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8A" w:rsidRPr="00C4438D" w:rsidRDefault="000E738A" w:rsidP="000E738A">
      <w:pPr>
        <w:spacing w:after="0" w:line="240" w:lineRule="auto"/>
        <w:jc w:val="center"/>
        <w:rPr>
          <w:b/>
          <w:bCs/>
          <w:sz w:val="28"/>
          <w:szCs w:val="28"/>
        </w:rPr>
      </w:pPr>
      <w:r w:rsidRPr="00C4438D">
        <w:rPr>
          <w:b/>
          <w:sz w:val="28"/>
          <w:szCs w:val="28"/>
        </w:rPr>
        <w:t>Virginia Department of Environmental Quality (DEQ) Storage Tank Program</w:t>
      </w:r>
    </w:p>
    <w:p w:rsidR="000E738A" w:rsidRPr="00C4438D" w:rsidRDefault="000E738A" w:rsidP="000E738A">
      <w:pPr>
        <w:jc w:val="center"/>
        <w:rPr>
          <w:b/>
          <w:sz w:val="28"/>
          <w:szCs w:val="28"/>
        </w:rPr>
      </w:pPr>
      <w:bookmarkStart w:id="0" w:name="_Fact_Sheet:_Regulated_Underground_S"/>
      <w:bookmarkStart w:id="1" w:name="reg_ust_clos_fact_sheet"/>
      <w:bookmarkEnd w:id="0"/>
      <w:bookmarkEnd w:id="1"/>
      <w:r w:rsidRPr="00C4438D">
        <w:rPr>
          <w:b/>
          <w:sz w:val="28"/>
          <w:szCs w:val="28"/>
        </w:rPr>
        <w:t>Fact Sheet: Regulated Underground Storage Tank (UST) Closures</w:t>
      </w:r>
    </w:p>
    <w:p w:rsidR="000E738A" w:rsidRPr="00812C0D" w:rsidRDefault="000E738A" w:rsidP="000E738A">
      <w:pPr>
        <w:tabs>
          <w:tab w:val="left" w:pos="2235"/>
        </w:tabs>
        <w:rPr>
          <w:sz w:val="20"/>
          <w:szCs w:val="20"/>
        </w:rPr>
      </w:pPr>
      <w:r w:rsidRPr="00812C0D">
        <w:rPr>
          <w:sz w:val="20"/>
          <w:szCs w:val="20"/>
          <w:u w:val="single"/>
        </w:rPr>
        <w:t>Steps to Follow</w:t>
      </w:r>
      <w:r w:rsidRPr="00812C0D">
        <w:rPr>
          <w:sz w:val="20"/>
          <w:szCs w:val="20"/>
        </w:rPr>
        <w:t>:</w:t>
      </w:r>
    </w:p>
    <w:p w:rsidR="003E3503" w:rsidRPr="00812C0D" w:rsidRDefault="000E738A" w:rsidP="000E738A">
      <w:pPr>
        <w:tabs>
          <w:tab w:val="left" w:pos="-1440"/>
        </w:tabs>
        <w:spacing w:after="0" w:line="240" w:lineRule="auto"/>
        <w:ind w:left="720" w:hanging="720"/>
        <w:rPr>
          <w:sz w:val="20"/>
          <w:szCs w:val="20"/>
        </w:rPr>
      </w:pPr>
      <w:r w:rsidRPr="00812C0D">
        <w:rPr>
          <w:sz w:val="20"/>
          <w:szCs w:val="20"/>
        </w:rPr>
        <w:t>1.</w:t>
      </w:r>
      <w:r w:rsidRPr="00812C0D">
        <w:rPr>
          <w:sz w:val="20"/>
          <w:szCs w:val="20"/>
        </w:rPr>
        <w:tab/>
        <w:t xml:space="preserve">Contact the local building official (or designated fire official) and obtain a building permit.  The building official </w:t>
      </w:r>
      <w:r w:rsidRPr="00812C0D">
        <w:rPr>
          <w:b/>
          <w:sz w:val="20"/>
          <w:szCs w:val="20"/>
        </w:rPr>
        <w:t>will usually be on site</w:t>
      </w:r>
      <w:r w:rsidRPr="00812C0D">
        <w:rPr>
          <w:sz w:val="20"/>
          <w:szCs w:val="20"/>
        </w:rPr>
        <w:t xml:space="preserve"> during the removal of the tank system.</w:t>
      </w:r>
    </w:p>
    <w:p w:rsidR="003E3503" w:rsidRPr="00812C0D" w:rsidRDefault="003E3503" w:rsidP="000E738A">
      <w:pPr>
        <w:tabs>
          <w:tab w:val="left" w:pos="-1440"/>
        </w:tabs>
        <w:spacing w:after="0" w:line="240" w:lineRule="auto"/>
        <w:ind w:left="720" w:hanging="720"/>
        <w:rPr>
          <w:sz w:val="20"/>
          <w:szCs w:val="20"/>
        </w:rPr>
      </w:pPr>
    </w:p>
    <w:p w:rsidR="000E738A" w:rsidRPr="00812C0D" w:rsidRDefault="000E738A" w:rsidP="000E738A">
      <w:pPr>
        <w:tabs>
          <w:tab w:val="left" w:pos="-1440"/>
        </w:tabs>
        <w:spacing w:after="0" w:line="240" w:lineRule="auto"/>
        <w:ind w:left="720" w:hanging="720"/>
        <w:rPr>
          <w:sz w:val="20"/>
          <w:szCs w:val="20"/>
        </w:rPr>
      </w:pPr>
      <w:r w:rsidRPr="00812C0D">
        <w:rPr>
          <w:sz w:val="20"/>
          <w:szCs w:val="20"/>
        </w:rPr>
        <w:t>2.</w:t>
      </w:r>
      <w:r w:rsidRPr="00812C0D">
        <w:rPr>
          <w:sz w:val="20"/>
          <w:szCs w:val="20"/>
        </w:rPr>
        <w:tab/>
        <w:t>The tank and associated pipes must be drained, cleaned, and completely emptied.  Precautions must be taken to mitigate vapor hazards (e.g. use of dry ice to purge vapors from the tank).</w:t>
      </w:r>
    </w:p>
    <w:p w:rsidR="000E738A" w:rsidRPr="00812C0D" w:rsidRDefault="000E738A" w:rsidP="000E738A">
      <w:pPr>
        <w:spacing w:after="0" w:line="240" w:lineRule="auto"/>
        <w:rPr>
          <w:sz w:val="20"/>
          <w:szCs w:val="20"/>
        </w:rPr>
      </w:pPr>
    </w:p>
    <w:p w:rsidR="000E738A" w:rsidRPr="00812C0D" w:rsidRDefault="000E738A" w:rsidP="000E738A">
      <w:pPr>
        <w:numPr>
          <w:ilvl w:val="0"/>
          <w:numId w:val="1"/>
        </w:numPr>
        <w:tabs>
          <w:tab w:val="left" w:pos="-1440"/>
        </w:tabs>
        <w:spacing w:after="0" w:line="240" w:lineRule="auto"/>
        <w:rPr>
          <w:sz w:val="20"/>
          <w:szCs w:val="20"/>
        </w:rPr>
      </w:pPr>
      <w:r w:rsidRPr="00812C0D">
        <w:rPr>
          <w:sz w:val="20"/>
          <w:szCs w:val="20"/>
        </w:rPr>
        <w:t xml:space="preserve">If the UST is closed in place (with prior approval from the building official), it </w:t>
      </w:r>
      <w:r w:rsidRPr="00812C0D">
        <w:rPr>
          <w:b/>
          <w:sz w:val="20"/>
          <w:szCs w:val="20"/>
        </w:rPr>
        <w:t>must</w:t>
      </w:r>
      <w:r w:rsidRPr="00812C0D">
        <w:rPr>
          <w:sz w:val="20"/>
          <w:szCs w:val="20"/>
        </w:rPr>
        <w:t xml:space="preserve"> be drained of product, cleaned, and filled with an inert substance (e.g. cement slurry, sand).  DEQ recommends that tanks be removed from the ground where possible. </w:t>
      </w:r>
    </w:p>
    <w:p w:rsidR="000E738A" w:rsidRPr="00812C0D" w:rsidRDefault="000E738A" w:rsidP="000E738A">
      <w:pPr>
        <w:tabs>
          <w:tab w:val="left" w:pos="-1440"/>
        </w:tabs>
        <w:spacing w:after="0" w:line="240" w:lineRule="auto"/>
        <w:rPr>
          <w:sz w:val="20"/>
          <w:szCs w:val="20"/>
        </w:rPr>
      </w:pPr>
    </w:p>
    <w:p w:rsidR="000E738A" w:rsidRPr="00812C0D" w:rsidRDefault="000E738A" w:rsidP="000E738A">
      <w:pPr>
        <w:numPr>
          <w:ilvl w:val="0"/>
          <w:numId w:val="1"/>
        </w:numPr>
        <w:tabs>
          <w:tab w:val="left" w:pos="-1440"/>
        </w:tabs>
        <w:spacing w:after="0" w:line="240" w:lineRule="auto"/>
        <w:rPr>
          <w:sz w:val="20"/>
          <w:szCs w:val="20"/>
        </w:rPr>
      </w:pPr>
      <w:r w:rsidRPr="00812C0D">
        <w:rPr>
          <w:sz w:val="20"/>
          <w:szCs w:val="20"/>
        </w:rPr>
        <w:t>Do</w:t>
      </w:r>
      <w:r w:rsidRPr="00812C0D">
        <w:rPr>
          <w:b/>
          <w:sz w:val="20"/>
          <w:szCs w:val="20"/>
        </w:rPr>
        <w:t xml:space="preserve"> not over-excavate</w:t>
      </w:r>
      <w:r w:rsidRPr="00812C0D">
        <w:rPr>
          <w:sz w:val="20"/>
          <w:szCs w:val="20"/>
        </w:rPr>
        <w:t xml:space="preserve"> the soil in the tank basin.  Remove only the volume of soil needed to extract the tank from the subsurface.</w:t>
      </w:r>
    </w:p>
    <w:p w:rsidR="000E738A" w:rsidRPr="00812C0D" w:rsidRDefault="000E738A" w:rsidP="000E738A">
      <w:pPr>
        <w:spacing w:after="0" w:line="240" w:lineRule="auto"/>
        <w:rPr>
          <w:sz w:val="20"/>
          <w:szCs w:val="20"/>
        </w:rPr>
      </w:pPr>
    </w:p>
    <w:p w:rsidR="000E738A" w:rsidRPr="00812C0D" w:rsidRDefault="000E738A" w:rsidP="000E738A">
      <w:pPr>
        <w:tabs>
          <w:tab w:val="left" w:pos="-1440"/>
        </w:tabs>
        <w:spacing w:after="0" w:line="240" w:lineRule="auto"/>
        <w:ind w:left="720" w:hanging="720"/>
        <w:rPr>
          <w:sz w:val="20"/>
          <w:szCs w:val="20"/>
        </w:rPr>
      </w:pPr>
      <w:r w:rsidRPr="00812C0D">
        <w:rPr>
          <w:sz w:val="20"/>
          <w:szCs w:val="20"/>
        </w:rPr>
        <w:t>5.</w:t>
      </w:r>
      <w:r w:rsidRPr="00812C0D">
        <w:rPr>
          <w:sz w:val="20"/>
          <w:szCs w:val="20"/>
        </w:rPr>
        <w:tab/>
        <w:t>A closure assessment is required in all cases (except where the UST has verifiable external vapor or ground water monitoring - see 9 VAC 25-580-330).</w:t>
      </w:r>
    </w:p>
    <w:p w:rsidR="000E738A" w:rsidRPr="00812C0D" w:rsidRDefault="000E738A" w:rsidP="000E738A">
      <w:pPr>
        <w:spacing w:after="0" w:line="240" w:lineRule="auto"/>
        <w:ind w:firstLine="720"/>
        <w:rPr>
          <w:sz w:val="20"/>
          <w:szCs w:val="20"/>
        </w:rPr>
      </w:pPr>
      <w:r w:rsidRPr="00812C0D">
        <w:rPr>
          <w:b/>
          <w:sz w:val="20"/>
          <w:szCs w:val="20"/>
        </w:rPr>
        <w:t>A closure assessment includes the following:</w:t>
      </w:r>
    </w:p>
    <w:p w:rsidR="000E738A" w:rsidRPr="00812C0D" w:rsidRDefault="000E738A" w:rsidP="000E738A">
      <w:pPr>
        <w:spacing w:after="0" w:line="240" w:lineRule="auto"/>
        <w:ind w:firstLine="720"/>
        <w:rPr>
          <w:sz w:val="20"/>
          <w:szCs w:val="20"/>
        </w:rPr>
      </w:pPr>
      <w:r w:rsidRPr="00812C0D">
        <w:rPr>
          <w:sz w:val="20"/>
          <w:szCs w:val="20"/>
        </w:rPr>
        <w:t>a.</w:t>
      </w:r>
      <w:r w:rsidRPr="00812C0D">
        <w:rPr>
          <w:sz w:val="20"/>
          <w:szCs w:val="20"/>
        </w:rPr>
        <w:tab/>
        <w:t>A site map containing:</w:t>
      </w:r>
    </w:p>
    <w:p w:rsidR="000E738A" w:rsidRPr="00812C0D" w:rsidRDefault="000E738A" w:rsidP="000E738A">
      <w:pPr>
        <w:spacing w:after="0" w:line="240" w:lineRule="auto"/>
        <w:ind w:firstLine="144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scale</w:t>
      </w:r>
      <w:proofErr w:type="gramEnd"/>
      <w:r w:rsidRPr="00812C0D">
        <w:rPr>
          <w:sz w:val="20"/>
          <w:szCs w:val="20"/>
        </w:rPr>
        <w:t>, north arrow, and legend;</w:t>
      </w:r>
    </w:p>
    <w:p w:rsidR="000E738A" w:rsidRPr="00812C0D" w:rsidRDefault="000E738A" w:rsidP="000E738A">
      <w:pPr>
        <w:spacing w:after="0" w:line="240" w:lineRule="auto"/>
        <w:ind w:firstLine="144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all</w:t>
      </w:r>
      <w:proofErr w:type="gramEnd"/>
      <w:r w:rsidRPr="00812C0D">
        <w:rPr>
          <w:sz w:val="20"/>
          <w:szCs w:val="20"/>
        </w:rPr>
        <w:t xml:space="preserve"> buildings and roads (labeled);</w:t>
      </w:r>
    </w:p>
    <w:p w:rsidR="000E738A" w:rsidRPr="00812C0D" w:rsidRDefault="000E738A" w:rsidP="000E738A">
      <w:pPr>
        <w:spacing w:after="0" w:line="240" w:lineRule="auto"/>
        <w:ind w:firstLine="144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the</w:t>
      </w:r>
      <w:proofErr w:type="gramEnd"/>
      <w:r w:rsidRPr="00812C0D">
        <w:rPr>
          <w:sz w:val="20"/>
          <w:szCs w:val="20"/>
        </w:rPr>
        <w:t xml:space="preserve"> entire UST system (this includes pipes and pump islands);</w:t>
      </w:r>
    </w:p>
    <w:p w:rsidR="000E738A" w:rsidRPr="00812C0D" w:rsidRDefault="000E738A" w:rsidP="000E738A">
      <w:pPr>
        <w:spacing w:after="0" w:line="240" w:lineRule="auto"/>
        <w:ind w:firstLine="144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soil</w:t>
      </w:r>
      <w:proofErr w:type="gramEnd"/>
      <w:r w:rsidRPr="00812C0D">
        <w:rPr>
          <w:sz w:val="20"/>
          <w:szCs w:val="20"/>
        </w:rPr>
        <w:t xml:space="preserve"> or water sample locations and depths; and</w:t>
      </w:r>
    </w:p>
    <w:p w:rsidR="000E738A" w:rsidRPr="00812C0D" w:rsidRDefault="000E738A" w:rsidP="000E738A">
      <w:pPr>
        <w:spacing w:after="0" w:line="240" w:lineRule="auto"/>
        <w:ind w:firstLine="1440"/>
        <w:rPr>
          <w:sz w:val="20"/>
          <w:szCs w:val="20"/>
        </w:rPr>
      </w:pPr>
      <w:r w:rsidRPr="00812C0D">
        <w:rPr>
          <w:rFonts w:ascii="Arial" w:hAnsi="Arial" w:cs="Arial"/>
          <w:sz w:val="20"/>
          <w:szCs w:val="20"/>
        </w:rPr>
        <w:t>►</w:t>
      </w:r>
      <w:r w:rsidRPr="00812C0D">
        <w:rPr>
          <w:sz w:val="20"/>
          <w:szCs w:val="20"/>
        </w:rPr>
        <w:tab/>
        <w:t>other important features including monitoring wells, drinking water wells, streams, etc.</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b.</w:t>
      </w:r>
      <w:r w:rsidRPr="00812C0D">
        <w:rPr>
          <w:sz w:val="20"/>
          <w:szCs w:val="20"/>
        </w:rPr>
        <w:tab/>
        <w:t>Sample collection and analysis:</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If</w:t>
      </w:r>
      <w:proofErr w:type="gramEnd"/>
      <w:r w:rsidRPr="00812C0D">
        <w:rPr>
          <w:sz w:val="20"/>
          <w:szCs w:val="20"/>
        </w:rPr>
        <w:t xml:space="preserve"> obvious signs of contamination are present (e.g. free product, contaminated ground water, stained soil, etc.) the collection of samples is not necessary.  Contact the Regional Office and report the release within 24 hours of discovery of a regulated substance in the environment.</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If</w:t>
      </w:r>
      <w:proofErr w:type="gramEnd"/>
      <w:r w:rsidRPr="00812C0D">
        <w:rPr>
          <w:sz w:val="20"/>
          <w:szCs w:val="20"/>
        </w:rPr>
        <w:t xml:space="preserve"> contamination is not obvious, s</w:t>
      </w:r>
      <w:r w:rsidRPr="00812C0D">
        <w:rPr>
          <w:b/>
          <w:sz w:val="20"/>
          <w:szCs w:val="20"/>
        </w:rPr>
        <w:t>amples must be collected from locations where a release would most likely be detected if one occurred</w:t>
      </w:r>
      <w:r w:rsidRPr="00812C0D">
        <w:rPr>
          <w:sz w:val="20"/>
          <w:szCs w:val="20"/>
        </w:rPr>
        <w:t>.  Soil samples must be collected from: the bottom of the UST basin; beneath the pipelines; under each pump dispenser; and any other area where contamination would be suspected.  If ground water is encountered, soil samples should be collected from just above the soil - ground water interface.</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r>
      <w:proofErr w:type="gramStart"/>
      <w:r w:rsidRPr="00812C0D">
        <w:rPr>
          <w:sz w:val="20"/>
          <w:szCs w:val="20"/>
        </w:rPr>
        <w:t>All</w:t>
      </w:r>
      <w:proofErr w:type="gramEnd"/>
      <w:r w:rsidRPr="00812C0D">
        <w:rPr>
          <w:sz w:val="20"/>
          <w:szCs w:val="20"/>
        </w:rPr>
        <w:t xml:space="preserve"> samples must be collected from discrete locations.  Composite samples (mixtures of soil from different locations) are not acceptable.</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t>Samples must be analyzed using EPA or DEQ-</w:t>
      </w:r>
      <w:r w:rsidRPr="00812C0D">
        <w:rPr>
          <w:b/>
          <w:sz w:val="20"/>
          <w:szCs w:val="20"/>
        </w:rPr>
        <w:t xml:space="preserve">approved </w:t>
      </w:r>
      <w:r w:rsidRPr="00812C0D">
        <w:rPr>
          <w:sz w:val="20"/>
          <w:szCs w:val="20"/>
        </w:rPr>
        <w:t>methods.</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t>If the tank contained petroleum, lab results for soil samples that equal or exceed 100 mg/kg TPH or water samples that equal or exceed 1 mg/l TPH must be reported to DEQ.  If the tank contained a regulated substance (CERCLA listed substance) other than petroleum, analytical results that exceed the detection limit for that substance must be reported to DEQ within</w:t>
      </w:r>
      <w:r w:rsidRPr="00812C0D">
        <w:rPr>
          <w:b/>
          <w:sz w:val="20"/>
          <w:szCs w:val="20"/>
        </w:rPr>
        <w:t xml:space="preserve"> 24 hours</w:t>
      </w:r>
      <w:r w:rsidRPr="00812C0D">
        <w:rPr>
          <w:sz w:val="20"/>
          <w:szCs w:val="20"/>
        </w:rPr>
        <w:t>.</w:t>
      </w:r>
    </w:p>
    <w:p w:rsidR="000E738A" w:rsidRPr="00812C0D" w:rsidRDefault="000E738A" w:rsidP="000E738A">
      <w:pPr>
        <w:tabs>
          <w:tab w:val="left" w:pos="-1440"/>
        </w:tabs>
        <w:spacing w:after="0" w:line="240" w:lineRule="auto"/>
        <w:ind w:left="2160" w:hanging="720"/>
        <w:rPr>
          <w:sz w:val="20"/>
          <w:szCs w:val="20"/>
        </w:rPr>
      </w:pPr>
      <w:r w:rsidRPr="00812C0D">
        <w:rPr>
          <w:rFonts w:ascii="Arial" w:hAnsi="Arial" w:cs="Arial"/>
          <w:sz w:val="20"/>
          <w:szCs w:val="20"/>
        </w:rPr>
        <w:t>►</w:t>
      </w:r>
      <w:r w:rsidRPr="00812C0D">
        <w:rPr>
          <w:sz w:val="20"/>
          <w:szCs w:val="20"/>
        </w:rPr>
        <w:tab/>
        <w:t xml:space="preserve">Results from vapor or ground water monitoring performed in accordance with Section 330 of the UST Technical Regulation are acceptable in lieu of soil or ground water samples during UST closure.  If, the results of monthly ground water or vapor monitoring are used in lieu of sample collection during UST closure, the monitoring results must be submitted along with the closure package. </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lastRenderedPageBreak/>
        <w:t>c.</w:t>
      </w:r>
      <w:r w:rsidRPr="00812C0D">
        <w:rPr>
          <w:sz w:val="20"/>
          <w:szCs w:val="20"/>
        </w:rPr>
        <w:tab/>
        <w:t xml:space="preserve">Any additional information (photos, maps, notes from the building inspector concerning the closure, or any other documentation) that may help evaluate the closure. </w:t>
      </w:r>
    </w:p>
    <w:p w:rsidR="000E738A" w:rsidRPr="00812C0D" w:rsidRDefault="000E738A" w:rsidP="000E738A">
      <w:pPr>
        <w:spacing w:after="0" w:line="240" w:lineRule="auto"/>
        <w:rPr>
          <w:sz w:val="20"/>
          <w:szCs w:val="20"/>
        </w:rPr>
      </w:pPr>
    </w:p>
    <w:p w:rsidR="000E738A" w:rsidRPr="00812C0D" w:rsidRDefault="000E738A" w:rsidP="000E738A">
      <w:pPr>
        <w:spacing w:after="0" w:line="240" w:lineRule="auto"/>
        <w:ind w:left="720" w:hanging="720"/>
        <w:rPr>
          <w:sz w:val="20"/>
          <w:szCs w:val="20"/>
        </w:rPr>
      </w:pPr>
      <w:r w:rsidRPr="00812C0D">
        <w:rPr>
          <w:sz w:val="20"/>
          <w:szCs w:val="20"/>
        </w:rPr>
        <w:t>6.</w:t>
      </w:r>
      <w:r w:rsidRPr="00812C0D">
        <w:rPr>
          <w:sz w:val="20"/>
          <w:szCs w:val="20"/>
        </w:rPr>
        <w:tab/>
        <w:t xml:space="preserve">A closure packet must be filed within 30 days of the tank closure.  This closure packet must be sent to the applicable DEQ regional office.  Refer to </w:t>
      </w:r>
      <w:hyperlink r:id="rId6" w:history="1">
        <w:r w:rsidRPr="00812C0D">
          <w:rPr>
            <w:rStyle w:val="Hyperlink"/>
            <w:sz w:val="20"/>
            <w:szCs w:val="20"/>
          </w:rPr>
          <w:t>https://www.deq.virginia.gov/get-involved/about-deq/contact-us</w:t>
        </w:r>
      </w:hyperlink>
      <w:r w:rsidRPr="00812C0D">
        <w:rPr>
          <w:sz w:val="20"/>
          <w:szCs w:val="20"/>
        </w:rPr>
        <w:t xml:space="preserve"> </w:t>
      </w:r>
      <w:hyperlink r:id="rId7" w:history="1"/>
      <w:r w:rsidRPr="00812C0D">
        <w:rPr>
          <w:sz w:val="20"/>
          <w:szCs w:val="20"/>
        </w:rPr>
        <w:t xml:space="preserve"> for the appropriate Regional Office addresses.</w:t>
      </w:r>
    </w:p>
    <w:p w:rsidR="000E738A" w:rsidRPr="00812C0D" w:rsidRDefault="000E738A" w:rsidP="000E738A">
      <w:pPr>
        <w:tabs>
          <w:tab w:val="left" w:pos="-1440"/>
        </w:tabs>
        <w:spacing w:after="0" w:line="240" w:lineRule="auto"/>
        <w:ind w:left="720" w:hanging="720"/>
        <w:rPr>
          <w:sz w:val="20"/>
          <w:szCs w:val="20"/>
        </w:rPr>
      </w:pPr>
      <w:r w:rsidRPr="00812C0D">
        <w:rPr>
          <w:sz w:val="20"/>
          <w:szCs w:val="20"/>
        </w:rPr>
        <w:t>.</w:t>
      </w:r>
    </w:p>
    <w:p w:rsidR="000E738A" w:rsidRPr="00812C0D" w:rsidRDefault="000E738A" w:rsidP="000E738A">
      <w:pPr>
        <w:spacing w:after="0" w:line="240" w:lineRule="auto"/>
        <w:ind w:firstLine="720"/>
        <w:rPr>
          <w:sz w:val="20"/>
          <w:szCs w:val="20"/>
        </w:rPr>
      </w:pPr>
      <w:r w:rsidRPr="00812C0D">
        <w:rPr>
          <w:b/>
          <w:sz w:val="20"/>
          <w:szCs w:val="20"/>
        </w:rPr>
        <w:t>The closure packet consists of:</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ab/>
      </w:r>
      <w:proofErr w:type="gramStart"/>
      <w:r w:rsidRPr="00812C0D">
        <w:rPr>
          <w:sz w:val="20"/>
          <w:szCs w:val="20"/>
        </w:rPr>
        <w:t>a</w:t>
      </w:r>
      <w:proofErr w:type="gramEnd"/>
      <w:r w:rsidRPr="00812C0D">
        <w:rPr>
          <w:sz w:val="20"/>
          <w:szCs w:val="20"/>
        </w:rPr>
        <w:t>.</w:t>
      </w:r>
      <w:r w:rsidRPr="00812C0D">
        <w:rPr>
          <w:sz w:val="20"/>
          <w:szCs w:val="20"/>
        </w:rPr>
        <w:tab/>
        <w:t>the completed and signed Notification Form 7530-3;</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ab/>
      </w:r>
      <w:proofErr w:type="gramStart"/>
      <w:r w:rsidRPr="00812C0D">
        <w:rPr>
          <w:sz w:val="20"/>
          <w:szCs w:val="20"/>
        </w:rPr>
        <w:t>b</w:t>
      </w:r>
      <w:proofErr w:type="gramEnd"/>
      <w:r w:rsidRPr="00812C0D">
        <w:rPr>
          <w:sz w:val="20"/>
          <w:szCs w:val="20"/>
        </w:rPr>
        <w:t>.</w:t>
      </w:r>
      <w:r w:rsidRPr="00812C0D">
        <w:rPr>
          <w:sz w:val="20"/>
          <w:szCs w:val="20"/>
        </w:rPr>
        <w:tab/>
        <w:t>a copy of the building permit;</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ab/>
      </w:r>
      <w:proofErr w:type="gramStart"/>
      <w:r w:rsidRPr="00812C0D">
        <w:rPr>
          <w:sz w:val="20"/>
          <w:szCs w:val="20"/>
        </w:rPr>
        <w:t>c</w:t>
      </w:r>
      <w:proofErr w:type="gramEnd"/>
      <w:r w:rsidRPr="00812C0D">
        <w:rPr>
          <w:sz w:val="20"/>
          <w:szCs w:val="20"/>
        </w:rPr>
        <w:t>.</w:t>
      </w:r>
      <w:r w:rsidRPr="00812C0D">
        <w:rPr>
          <w:sz w:val="20"/>
          <w:szCs w:val="20"/>
        </w:rPr>
        <w:tab/>
        <w:t>the closure assessment;</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ab/>
      </w:r>
      <w:proofErr w:type="gramStart"/>
      <w:r w:rsidRPr="00812C0D">
        <w:rPr>
          <w:sz w:val="20"/>
          <w:szCs w:val="20"/>
        </w:rPr>
        <w:t>d</w:t>
      </w:r>
      <w:proofErr w:type="gramEnd"/>
      <w:r w:rsidRPr="00812C0D">
        <w:rPr>
          <w:sz w:val="20"/>
          <w:szCs w:val="20"/>
        </w:rPr>
        <w:t>.</w:t>
      </w:r>
      <w:r w:rsidRPr="00812C0D">
        <w:rPr>
          <w:sz w:val="20"/>
          <w:szCs w:val="20"/>
        </w:rPr>
        <w:tab/>
        <w:t>lab sheets from all analyses; and</w:t>
      </w:r>
    </w:p>
    <w:p w:rsidR="000E738A" w:rsidRPr="00812C0D" w:rsidRDefault="000E738A" w:rsidP="000E738A">
      <w:pPr>
        <w:tabs>
          <w:tab w:val="left" w:pos="-1440"/>
        </w:tabs>
        <w:spacing w:after="0" w:line="240" w:lineRule="auto"/>
        <w:ind w:left="1440" w:hanging="720"/>
        <w:rPr>
          <w:sz w:val="20"/>
          <w:szCs w:val="20"/>
        </w:rPr>
      </w:pPr>
      <w:r w:rsidRPr="00812C0D">
        <w:rPr>
          <w:sz w:val="20"/>
          <w:szCs w:val="20"/>
        </w:rPr>
        <w:tab/>
      </w:r>
      <w:proofErr w:type="gramStart"/>
      <w:r w:rsidRPr="00812C0D">
        <w:rPr>
          <w:sz w:val="20"/>
          <w:szCs w:val="20"/>
        </w:rPr>
        <w:t>e</w:t>
      </w:r>
      <w:proofErr w:type="gramEnd"/>
      <w:r w:rsidRPr="00812C0D">
        <w:rPr>
          <w:sz w:val="20"/>
          <w:szCs w:val="20"/>
        </w:rPr>
        <w:t>.</w:t>
      </w:r>
      <w:r w:rsidRPr="00812C0D">
        <w:rPr>
          <w:sz w:val="20"/>
          <w:szCs w:val="20"/>
        </w:rPr>
        <w:tab/>
        <w:t>copies of all disposal manifests (sludge, contaminated soil and/or water, UST).</w:t>
      </w:r>
    </w:p>
    <w:p w:rsidR="000E738A" w:rsidRPr="00812C0D" w:rsidRDefault="000E738A" w:rsidP="000E738A">
      <w:pPr>
        <w:spacing w:after="0" w:line="240" w:lineRule="auto"/>
        <w:rPr>
          <w:sz w:val="20"/>
          <w:szCs w:val="20"/>
        </w:rPr>
      </w:pPr>
    </w:p>
    <w:tbl>
      <w:tblPr>
        <w:tblW w:w="9359" w:type="dxa"/>
        <w:tblInd w:w="156"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56" w:type="dxa"/>
          <w:right w:w="156" w:type="dxa"/>
        </w:tblCellMar>
        <w:tblLook w:val="0000" w:firstRow="0" w:lastRow="0" w:firstColumn="0" w:lastColumn="0" w:noHBand="0" w:noVBand="0"/>
      </w:tblPr>
      <w:tblGrid>
        <w:gridCol w:w="3060"/>
        <w:gridCol w:w="3780"/>
        <w:gridCol w:w="2519"/>
      </w:tblGrid>
      <w:tr w:rsidR="000E738A" w:rsidRPr="00812C0D" w:rsidTr="0034669E">
        <w:tc>
          <w:tcPr>
            <w:tcW w:w="9359" w:type="dxa"/>
            <w:gridSpan w:val="3"/>
            <w:tcBorders>
              <w:top w:val="double" w:sz="2" w:space="0" w:color="000000"/>
              <w:bottom w:val="nil"/>
            </w:tcBorders>
            <w:shd w:val="pct5" w:color="000000" w:fill="FFFFFF"/>
          </w:tcPr>
          <w:p w:rsidR="000E738A" w:rsidRPr="00812C0D" w:rsidRDefault="000E738A" w:rsidP="001454EA">
            <w:pPr>
              <w:spacing w:before="40" w:after="0" w:line="240" w:lineRule="auto"/>
              <w:rPr>
                <w:b/>
                <w:sz w:val="20"/>
                <w:szCs w:val="20"/>
              </w:rPr>
            </w:pPr>
            <w:r w:rsidRPr="00812C0D">
              <w:rPr>
                <w:b/>
                <w:sz w:val="20"/>
                <w:szCs w:val="20"/>
              </w:rPr>
              <w:t>Acceptable TPH Analytical Methods for Use During UST Closure</w:t>
            </w:r>
          </w:p>
        </w:tc>
      </w:tr>
      <w:tr w:rsidR="000E738A" w:rsidRPr="00812C0D" w:rsidTr="0034669E">
        <w:trPr>
          <w:cantSplit/>
        </w:trPr>
        <w:tc>
          <w:tcPr>
            <w:tcW w:w="3060" w:type="dxa"/>
            <w:tcBorders>
              <w:top w:val="double" w:sz="2" w:space="0" w:color="000000"/>
              <w:bottom w:val="double" w:sz="2" w:space="0" w:color="000000"/>
            </w:tcBorders>
          </w:tcPr>
          <w:p w:rsidR="000E738A" w:rsidRPr="00812C0D" w:rsidRDefault="000E738A" w:rsidP="001454EA">
            <w:pPr>
              <w:spacing w:after="0" w:line="240" w:lineRule="auto"/>
              <w:jc w:val="center"/>
              <w:rPr>
                <w:sz w:val="20"/>
                <w:szCs w:val="20"/>
              </w:rPr>
            </w:pPr>
            <w:r w:rsidRPr="00812C0D">
              <w:rPr>
                <w:sz w:val="20"/>
                <w:szCs w:val="20"/>
              </w:rPr>
              <w:t>Fuels</w:t>
            </w:r>
          </w:p>
        </w:tc>
        <w:tc>
          <w:tcPr>
            <w:tcW w:w="3780" w:type="dxa"/>
            <w:tcBorders>
              <w:top w:val="double" w:sz="2" w:space="0" w:color="000000"/>
              <w:bottom w:val="double" w:sz="2" w:space="0" w:color="000000"/>
            </w:tcBorders>
          </w:tcPr>
          <w:p w:rsidR="000E738A" w:rsidRPr="00812C0D" w:rsidRDefault="000E738A" w:rsidP="001454EA">
            <w:pPr>
              <w:spacing w:after="0" w:line="240" w:lineRule="auto"/>
              <w:jc w:val="center"/>
              <w:rPr>
                <w:sz w:val="20"/>
                <w:szCs w:val="20"/>
              </w:rPr>
            </w:pPr>
            <w:r w:rsidRPr="00812C0D">
              <w:rPr>
                <w:sz w:val="20"/>
                <w:szCs w:val="20"/>
              </w:rPr>
              <w:t>TPH Analytical Methods</w:t>
            </w:r>
          </w:p>
        </w:tc>
        <w:tc>
          <w:tcPr>
            <w:tcW w:w="2519" w:type="dxa"/>
            <w:tcBorders>
              <w:top w:val="double" w:sz="2" w:space="0" w:color="000000"/>
              <w:bottom w:val="double" w:sz="2" w:space="0" w:color="000000"/>
            </w:tcBorders>
          </w:tcPr>
          <w:p w:rsidR="000E738A" w:rsidRPr="00812C0D" w:rsidRDefault="000E738A" w:rsidP="001454EA">
            <w:pPr>
              <w:spacing w:after="0" w:line="240" w:lineRule="auto"/>
              <w:jc w:val="center"/>
              <w:rPr>
                <w:sz w:val="20"/>
                <w:szCs w:val="20"/>
              </w:rPr>
            </w:pPr>
            <w:r w:rsidRPr="00812C0D">
              <w:rPr>
                <w:sz w:val="20"/>
                <w:szCs w:val="20"/>
              </w:rPr>
              <w:t>Applicable Medium</w:t>
            </w:r>
            <w:r w:rsidRPr="00812C0D">
              <w:rPr>
                <w:sz w:val="20"/>
                <w:szCs w:val="20"/>
                <w:vertAlign w:val="superscript"/>
              </w:rPr>
              <w:t>1</w:t>
            </w:r>
          </w:p>
        </w:tc>
      </w:tr>
      <w:tr w:rsidR="000E738A" w:rsidRPr="00812C0D" w:rsidTr="0034669E">
        <w:trPr>
          <w:cantSplit/>
        </w:trPr>
        <w:tc>
          <w:tcPr>
            <w:tcW w:w="3060" w:type="dxa"/>
            <w:vAlign w:val="center"/>
          </w:tcPr>
          <w:p w:rsidR="000E738A" w:rsidRPr="00812C0D" w:rsidRDefault="000E738A" w:rsidP="001454EA">
            <w:pPr>
              <w:spacing w:after="0" w:line="240" w:lineRule="auto"/>
              <w:jc w:val="center"/>
              <w:rPr>
                <w:sz w:val="20"/>
                <w:szCs w:val="20"/>
              </w:rPr>
            </w:pPr>
          </w:p>
          <w:p w:rsidR="000E738A" w:rsidRPr="00812C0D" w:rsidRDefault="000E738A" w:rsidP="001454EA">
            <w:pPr>
              <w:spacing w:after="0" w:line="240" w:lineRule="auto"/>
              <w:jc w:val="center"/>
              <w:rPr>
                <w:sz w:val="20"/>
                <w:szCs w:val="20"/>
              </w:rPr>
            </w:pPr>
            <w:r w:rsidRPr="00812C0D">
              <w:rPr>
                <w:sz w:val="20"/>
                <w:szCs w:val="20"/>
              </w:rPr>
              <w:t>Gasoline and JP-4</w:t>
            </w:r>
          </w:p>
          <w:p w:rsidR="000E738A" w:rsidRPr="00812C0D" w:rsidRDefault="000E738A" w:rsidP="001454EA">
            <w:pPr>
              <w:spacing w:after="0" w:line="240" w:lineRule="auto"/>
              <w:jc w:val="center"/>
              <w:rPr>
                <w:sz w:val="20"/>
                <w:szCs w:val="20"/>
              </w:rPr>
            </w:pPr>
          </w:p>
        </w:tc>
        <w:tc>
          <w:tcPr>
            <w:tcW w:w="3780"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EPA 8015C (modified TPH - GRO)</w:t>
            </w:r>
          </w:p>
        </w:tc>
        <w:tc>
          <w:tcPr>
            <w:tcW w:w="2519"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water &amp; soil</w:t>
            </w:r>
          </w:p>
        </w:tc>
      </w:tr>
      <w:tr w:rsidR="000E738A" w:rsidRPr="00812C0D" w:rsidTr="0034669E">
        <w:trPr>
          <w:cantSplit/>
        </w:trPr>
        <w:tc>
          <w:tcPr>
            <w:tcW w:w="3060" w:type="dxa"/>
            <w:vAlign w:val="center"/>
          </w:tcPr>
          <w:p w:rsidR="000E738A" w:rsidRPr="00812C0D" w:rsidRDefault="000E738A" w:rsidP="001454EA">
            <w:pPr>
              <w:spacing w:after="0" w:line="240" w:lineRule="auto"/>
              <w:jc w:val="center"/>
              <w:rPr>
                <w:sz w:val="20"/>
                <w:szCs w:val="20"/>
              </w:rPr>
            </w:pPr>
          </w:p>
          <w:p w:rsidR="000E738A" w:rsidRPr="00812C0D" w:rsidRDefault="000E738A" w:rsidP="001454EA">
            <w:pPr>
              <w:spacing w:after="0" w:line="240" w:lineRule="auto"/>
              <w:jc w:val="center"/>
              <w:rPr>
                <w:sz w:val="20"/>
                <w:szCs w:val="20"/>
              </w:rPr>
            </w:pPr>
            <w:r w:rsidRPr="00812C0D">
              <w:rPr>
                <w:sz w:val="20"/>
                <w:szCs w:val="20"/>
              </w:rPr>
              <w:t>Diesel, Fuel Oil #1, #2, and #4 Jet Fuel other than JP-4</w:t>
            </w:r>
            <w:r w:rsidRPr="00812C0D">
              <w:rPr>
                <w:sz w:val="20"/>
                <w:szCs w:val="20"/>
                <w:vertAlign w:val="superscript"/>
              </w:rPr>
              <w:t>2</w:t>
            </w:r>
            <w:r w:rsidRPr="00812C0D">
              <w:rPr>
                <w:sz w:val="20"/>
                <w:szCs w:val="20"/>
              </w:rPr>
              <w:t>, Kerosene</w:t>
            </w:r>
          </w:p>
        </w:tc>
        <w:tc>
          <w:tcPr>
            <w:tcW w:w="3780"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EPA 8015C (modified TPH - DRO)</w:t>
            </w:r>
          </w:p>
        </w:tc>
        <w:tc>
          <w:tcPr>
            <w:tcW w:w="2519"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water &amp; soil</w:t>
            </w:r>
          </w:p>
        </w:tc>
      </w:tr>
      <w:tr w:rsidR="000E738A" w:rsidRPr="00812C0D" w:rsidTr="0034669E">
        <w:trPr>
          <w:cantSplit/>
          <w:trHeight w:val="624"/>
        </w:trPr>
        <w:tc>
          <w:tcPr>
            <w:tcW w:w="3060" w:type="dxa"/>
            <w:vAlign w:val="center"/>
          </w:tcPr>
          <w:p w:rsidR="000E738A" w:rsidRPr="00812C0D" w:rsidRDefault="000E738A" w:rsidP="001454EA">
            <w:pPr>
              <w:spacing w:after="0" w:line="240" w:lineRule="auto"/>
              <w:jc w:val="center"/>
              <w:rPr>
                <w:sz w:val="20"/>
                <w:szCs w:val="20"/>
              </w:rPr>
            </w:pPr>
          </w:p>
          <w:p w:rsidR="000E738A" w:rsidRPr="00812C0D" w:rsidRDefault="000E738A" w:rsidP="001454EA">
            <w:pPr>
              <w:spacing w:after="0" w:line="240" w:lineRule="auto"/>
              <w:jc w:val="center"/>
              <w:rPr>
                <w:sz w:val="20"/>
                <w:szCs w:val="20"/>
              </w:rPr>
            </w:pPr>
            <w:r w:rsidRPr="00812C0D">
              <w:rPr>
                <w:sz w:val="20"/>
                <w:szCs w:val="20"/>
              </w:rPr>
              <w:t>Crude Oil, Fuel Oil #5 and #6,</w:t>
            </w:r>
          </w:p>
          <w:p w:rsidR="000E738A" w:rsidRPr="00812C0D" w:rsidRDefault="000E738A" w:rsidP="001454EA">
            <w:pPr>
              <w:spacing w:after="0" w:line="240" w:lineRule="auto"/>
              <w:jc w:val="center"/>
              <w:rPr>
                <w:sz w:val="20"/>
                <w:szCs w:val="20"/>
              </w:rPr>
            </w:pPr>
            <w:r w:rsidRPr="00812C0D">
              <w:rPr>
                <w:sz w:val="20"/>
                <w:szCs w:val="20"/>
              </w:rPr>
              <w:t>Used Oil, Hydraulic Oil</w:t>
            </w:r>
          </w:p>
        </w:tc>
        <w:tc>
          <w:tcPr>
            <w:tcW w:w="3780"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vertAlign w:val="superscript"/>
              </w:rPr>
            </w:pPr>
            <w:r w:rsidRPr="00812C0D">
              <w:rPr>
                <w:sz w:val="20"/>
                <w:szCs w:val="20"/>
              </w:rPr>
              <w:t>8015C (modified TPH - DRO)</w:t>
            </w:r>
          </w:p>
        </w:tc>
        <w:tc>
          <w:tcPr>
            <w:tcW w:w="2519" w:type="dxa"/>
          </w:tcPr>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water &amp; soil</w:t>
            </w:r>
          </w:p>
        </w:tc>
      </w:tr>
      <w:tr w:rsidR="000E738A" w:rsidRPr="00812C0D" w:rsidTr="0034669E">
        <w:trPr>
          <w:cantSplit/>
        </w:trPr>
        <w:tc>
          <w:tcPr>
            <w:tcW w:w="9359" w:type="dxa"/>
            <w:gridSpan w:val="3"/>
            <w:tcBorders>
              <w:top w:val="double" w:sz="2" w:space="0" w:color="000000"/>
              <w:bottom w:val="double" w:sz="2" w:space="0" w:color="000000"/>
            </w:tcBorders>
          </w:tcPr>
          <w:p w:rsidR="003E3503" w:rsidRPr="00812C0D" w:rsidRDefault="000E738A" w:rsidP="001454EA">
            <w:pPr>
              <w:spacing w:after="0" w:line="240" w:lineRule="auto"/>
              <w:rPr>
                <w:sz w:val="20"/>
                <w:szCs w:val="20"/>
              </w:rPr>
            </w:pPr>
            <w:r w:rsidRPr="00812C0D">
              <w:rPr>
                <w:sz w:val="20"/>
                <w:szCs w:val="20"/>
                <w:vertAlign w:val="superscript"/>
              </w:rPr>
              <w:t>1</w:t>
            </w:r>
            <w:r w:rsidRPr="00812C0D">
              <w:rPr>
                <w:sz w:val="20"/>
                <w:szCs w:val="20"/>
              </w:rPr>
              <w:t xml:space="preserve"> Applicable medium refers to the sample matrix that may be analyzed by the subject test method.</w:t>
            </w:r>
          </w:p>
          <w:p w:rsidR="003E3503" w:rsidRPr="00812C0D" w:rsidRDefault="003E3503" w:rsidP="001454EA">
            <w:pPr>
              <w:spacing w:after="0" w:line="240" w:lineRule="auto"/>
              <w:rPr>
                <w:sz w:val="20"/>
                <w:szCs w:val="20"/>
              </w:rPr>
            </w:pPr>
          </w:p>
          <w:p w:rsidR="000E738A" w:rsidRPr="00812C0D" w:rsidRDefault="003E3503" w:rsidP="001454EA">
            <w:pPr>
              <w:spacing w:after="0" w:line="240" w:lineRule="auto"/>
              <w:rPr>
                <w:sz w:val="20"/>
                <w:szCs w:val="20"/>
              </w:rPr>
            </w:pPr>
            <w:r w:rsidRPr="00812C0D">
              <w:rPr>
                <w:sz w:val="20"/>
                <w:szCs w:val="20"/>
                <w:vertAlign w:val="superscript"/>
              </w:rPr>
              <w:t xml:space="preserve"> </w:t>
            </w:r>
            <w:r w:rsidR="000E738A" w:rsidRPr="00812C0D">
              <w:rPr>
                <w:sz w:val="20"/>
                <w:szCs w:val="20"/>
                <w:vertAlign w:val="superscript"/>
              </w:rPr>
              <w:t>2</w:t>
            </w:r>
            <w:r w:rsidR="000E738A" w:rsidRPr="00812C0D">
              <w:rPr>
                <w:sz w:val="20"/>
                <w:szCs w:val="20"/>
              </w:rPr>
              <w:t xml:space="preserve"> JP-4 is a wide-cut jet fuel made by blending gasoline and kerosene fractions in a 65 to 35 ratio.</w:t>
            </w:r>
          </w:p>
          <w:p w:rsidR="000E738A" w:rsidRPr="00812C0D" w:rsidRDefault="000E738A" w:rsidP="001454EA">
            <w:pPr>
              <w:spacing w:after="0" w:line="240" w:lineRule="auto"/>
              <w:rPr>
                <w:sz w:val="20"/>
                <w:szCs w:val="20"/>
              </w:rPr>
            </w:pPr>
          </w:p>
          <w:p w:rsidR="000E738A" w:rsidRPr="00812C0D" w:rsidRDefault="000E738A" w:rsidP="001454EA">
            <w:pPr>
              <w:spacing w:after="0" w:line="240" w:lineRule="auto"/>
              <w:rPr>
                <w:sz w:val="20"/>
                <w:szCs w:val="20"/>
              </w:rPr>
            </w:pPr>
            <w:r w:rsidRPr="00812C0D">
              <w:rPr>
                <w:sz w:val="20"/>
                <w:szCs w:val="20"/>
              </w:rPr>
              <w:t>Reference:</w:t>
            </w:r>
          </w:p>
          <w:p w:rsidR="000E738A" w:rsidRPr="00812C0D" w:rsidRDefault="000E738A" w:rsidP="001454EA">
            <w:pPr>
              <w:spacing w:after="0" w:line="240" w:lineRule="auto"/>
              <w:ind w:left="744" w:hanging="744"/>
              <w:rPr>
                <w:sz w:val="20"/>
                <w:szCs w:val="20"/>
              </w:rPr>
            </w:pPr>
            <w:r w:rsidRPr="00812C0D">
              <w:rPr>
                <w:sz w:val="20"/>
                <w:szCs w:val="20"/>
              </w:rPr>
              <w:t>EPA SW-846 – Test Methods for Evaluating Solid Waste, Physical/Chemical Methods (SW-846).  Update IV to the Third Edition, January 2008.</w:t>
            </w:r>
          </w:p>
          <w:p w:rsidR="000E738A" w:rsidRPr="00812C0D" w:rsidRDefault="000E738A" w:rsidP="001454EA">
            <w:pPr>
              <w:spacing w:after="0" w:line="240" w:lineRule="auto"/>
              <w:rPr>
                <w:sz w:val="20"/>
                <w:szCs w:val="20"/>
              </w:rPr>
            </w:pPr>
          </w:p>
        </w:tc>
      </w:tr>
    </w:tbl>
    <w:p w:rsidR="000E738A" w:rsidRPr="00812C0D" w:rsidRDefault="000E738A" w:rsidP="000E738A">
      <w:pPr>
        <w:spacing w:after="0" w:line="240" w:lineRule="auto"/>
        <w:rPr>
          <w:sz w:val="20"/>
          <w:szCs w:val="20"/>
        </w:rPr>
      </w:pPr>
    </w:p>
    <w:p w:rsidR="000E738A" w:rsidRPr="00812C0D" w:rsidRDefault="000E738A" w:rsidP="000E738A">
      <w:pPr>
        <w:spacing w:after="0" w:line="240" w:lineRule="auto"/>
        <w:rPr>
          <w:sz w:val="20"/>
          <w:szCs w:val="20"/>
        </w:rPr>
      </w:pPr>
    </w:p>
    <w:p w:rsidR="000E738A" w:rsidRPr="00812C0D" w:rsidRDefault="000E738A" w:rsidP="000E738A">
      <w:pPr>
        <w:spacing w:after="0" w:line="240" w:lineRule="auto"/>
        <w:rPr>
          <w:sz w:val="20"/>
          <w:szCs w:val="20"/>
        </w:rPr>
      </w:pPr>
      <w:r w:rsidRPr="00812C0D">
        <w:rPr>
          <w:sz w:val="20"/>
          <w:szCs w:val="20"/>
        </w:rPr>
        <w:t>If you have additional questions, persons in the storage tank program may be reached at the numbers listed below.</w:t>
      </w:r>
    </w:p>
    <w:p w:rsidR="000E738A" w:rsidRPr="00812C0D" w:rsidRDefault="000E738A" w:rsidP="000E738A">
      <w:pPr>
        <w:spacing w:after="0" w:line="240" w:lineRule="auto"/>
        <w:rPr>
          <w:sz w:val="20"/>
          <w:szCs w:val="20"/>
        </w:rPr>
      </w:pPr>
    </w:p>
    <w:p w:rsidR="000E738A" w:rsidRPr="00812C0D" w:rsidRDefault="000E738A" w:rsidP="000E738A">
      <w:pPr>
        <w:spacing w:after="0" w:line="240" w:lineRule="auto"/>
        <w:rPr>
          <w:sz w:val="20"/>
          <w:szCs w:val="20"/>
        </w:rPr>
      </w:pPr>
      <w:r w:rsidRPr="00812C0D">
        <w:rPr>
          <w:sz w:val="20"/>
          <w:szCs w:val="20"/>
        </w:rPr>
        <w:t>Central Office (Richmond)</w:t>
      </w:r>
      <w:r w:rsidRPr="00812C0D">
        <w:rPr>
          <w:sz w:val="20"/>
          <w:szCs w:val="20"/>
        </w:rPr>
        <w:tab/>
      </w:r>
      <w:r w:rsidRPr="00812C0D">
        <w:rPr>
          <w:sz w:val="20"/>
          <w:szCs w:val="20"/>
        </w:rPr>
        <w:tab/>
      </w:r>
      <w:r w:rsidRPr="00812C0D">
        <w:rPr>
          <w:sz w:val="20"/>
          <w:szCs w:val="20"/>
        </w:rPr>
        <w:tab/>
        <w:t>(804) 698-4269</w:t>
      </w:r>
    </w:p>
    <w:p w:rsidR="000E738A" w:rsidRPr="00812C0D" w:rsidRDefault="000E738A" w:rsidP="000E738A">
      <w:pPr>
        <w:spacing w:after="0" w:line="240" w:lineRule="auto"/>
        <w:rPr>
          <w:sz w:val="20"/>
          <w:szCs w:val="20"/>
        </w:rPr>
      </w:pPr>
      <w:r w:rsidRPr="00812C0D">
        <w:rPr>
          <w:sz w:val="20"/>
          <w:szCs w:val="20"/>
        </w:rPr>
        <w:t>Tidewater Regional Office (VA.  Beach)</w:t>
      </w:r>
      <w:r w:rsidRPr="00812C0D">
        <w:rPr>
          <w:sz w:val="20"/>
          <w:szCs w:val="20"/>
        </w:rPr>
        <w:tab/>
        <w:t>(757) 518-2000</w:t>
      </w:r>
    </w:p>
    <w:p w:rsidR="000E738A" w:rsidRPr="00812C0D" w:rsidRDefault="000E738A" w:rsidP="000E738A">
      <w:pPr>
        <w:spacing w:after="0" w:line="240" w:lineRule="auto"/>
        <w:rPr>
          <w:sz w:val="20"/>
          <w:szCs w:val="20"/>
        </w:rPr>
      </w:pPr>
      <w:r w:rsidRPr="00812C0D">
        <w:rPr>
          <w:sz w:val="20"/>
          <w:szCs w:val="20"/>
        </w:rPr>
        <w:t>Northern Regional Office (Woodbridge)</w:t>
      </w:r>
      <w:r w:rsidRPr="00812C0D">
        <w:rPr>
          <w:sz w:val="20"/>
          <w:szCs w:val="20"/>
        </w:rPr>
        <w:tab/>
        <w:t>(703) 583-3800</w:t>
      </w:r>
    </w:p>
    <w:p w:rsidR="000E738A" w:rsidRPr="00812C0D" w:rsidRDefault="000E738A" w:rsidP="000E738A">
      <w:pPr>
        <w:spacing w:after="0" w:line="240" w:lineRule="auto"/>
        <w:rPr>
          <w:sz w:val="20"/>
          <w:szCs w:val="20"/>
        </w:rPr>
      </w:pPr>
      <w:r w:rsidRPr="00812C0D">
        <w:rPr>
          <w:sz w:val="20"/>
          <w:szCs w:val="20"/>
        </w:rPr>
        <w:t>Piedmont Regional Office (Richmond)</w:t>
      </w:r>
      <w:r w:rsidRPr="00812C0D">
        <w:rPr>
          <w:sz w:val="20"/>
          <w:szCs w:val="20"/>
        </w:rPr>
        <w:tab/>
        <w:t>(804) 527-5020</w:t>
      </w:r>
    </w:p>
    <w:p w:rsidR="000E738A" w:rsidRPr="00812C0D" w:rsidRDefault="000E738A" w:rsidP="000E738A">
      <w:pPr>
        <w:spacing w:after="0" w:line="240" w:lineRule="auto"/>
        <w:rPr>
          <w:sz w:val="20"/>
          <w:szCs w:val="20"/>
        </w:rPr>
      </w:pPr>
      <w:r w:rsidRPr="00812C0D">
        <w:rPr>
          <w:sz w:val="20"/>
          <w:szCs w:val="20"/>
        </w:rPr>
        <w:t xml:space="preserve">Valley Regional Office (Harrisonburg) </w:t>
      </w:r>
      <w:r w:rsidRPr="00812C0D">
        <w:rPr>
          <w:sz w:val="20"/>
          <w:szCs w:val="20"/>
        </w:rPr>
        <w:tab/>
        <w:t>(540) 574-7800</w:t>
      </w:r>
    </w:p>
    <w:p w:rsidR="000E738A" w:rsidRPr="00812C0D" w:rsidRDefault="000E738A" w:rsidP="000E738A">
      <w:pPr>
        <w:spacing w:after="0" w:line="240" w:lineRule="auto"/>
        <w:rPr>
          <w:sz w:val="20"/>
          <w:szCs w:val="20"/>
        </w:rPr>
      </w:pPr>
      <w:r w:rsidRPr="00812C0D">
        <w:rPr>
          <w:sz w:val="20"/>
          <w:szCs w:val="20"/>
        </w:rPr>
        <w:t>Blue Ridge Regional Office (Salem)</w:t>
      </w:r>
      <w:r w:rsidRPr="00812C0D">
        <w:rPr>
          <w:sz w:val="20"/>
          <w:szCs w:val="20"/>
        </w:rPr>
        <w:tab/>
      </w:r>
      <w:r w:rsidRPr="00812C0D">
        <w:rPr>
          <w:sz w:val="20"/>
          <w:szCs w:val="20"/>
        </w:rPr>
        <w:tab/>
        <w:t>(540) 562-6700</w:t>
      </w:r>
    </w:p>
    <w:p w:rsidR="000E738A" w:rsidRPr="00812C0D" w:rsidRDefault="000E738A" w:rsidP="000E738A">
      <w:pPr>
        <w:spacing w:after="0" w:line="240" w:lineRule="auto"/>
        <w:rPr>
          <w:sz w:val="20"/>
          <w:szCs w:val="20"/>
        </w:rPr>
      </w:pPr>
      <w:r w:rsidRPr="00812C0D">
        <w:rPr>
          <w:sz w:val="20"/>
          <w:szCs w:val="20"/>
        </w:rPr>
        <w:t>Southwest Regional Office (Abingdon)</w:t>
      </w:r>
      <w:r w:rsidRPr="00812C0D">
        <w:rPr>
          <w:sz w:val="20"/>
          <w:szCs w:val="20"/>
        </w:rPr>
        <w:tab/>
        <w:t>(276) 676-4800</w:t>
      </w:r>
      <w:bookmarkStart w:id="2" w:name="_GoBack"/>
      <w:bookmarkEnd w:id="2"/>
    </w:p>
    <w:sectPr w:rsidR="000E738A" w:rsidRPr="0081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64"/>
    <w:multiLevelType w:val="singleLevel"/>
    <w:tmpl w:val="3E34E2F2"/>
    <w:lvl w:ilvl="0">
      <w:start w:val="3"/>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8A"/>
    <w:rsid w:val="000E738A"/>
    <w:rsid w:val="0034669E"/>
    <w:rsid w:val="003E3503"/>
    <w:rsid w:val="0041512C"/>
    <w:rsid w:val="005E6389"/>
    <w:rsid w:val="0081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3316B-1FE6-4CBE-AC4F-180E7DFA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8A"/>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8A"/>
    <w:rPr>
      <w:color w:val="0563C1" w:themeColor="hyperlink"/>
      <w:u w:val="single"/>
    </w:rPr>
  </w:style>
  <w:style w:type="character" w:styleId="FollowedHyperlink">
    <w:name w:val="FollowedHyperlink"/>
    <w:basedOn w:val="DefaultParagraphFont"/>
    <w:uiPriority w:val="99"/>
    <w:semiHidden/>
    <w:unhideWhenUsed/>
    <w:rsid w:val="000E7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q.virginia.gov/tanks/contac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q.virginia.gov/get-involved/about-deq/contac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FC5F7-9D16-4593-B634-7EC03CBC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Alicia (DEQ)</dc:creator>
  <cp:keywords/>
  <dc:description/>
  <cp:lastModifiedBy>Zach Pauley</cp:lastModifiedBy>
  <cp:revision>4</cp:revision>
  <dcterms:created xsi:type="dcterms:W3CDTF">2021-04-16T14:32:00Z</dcterms:created>
  <dcterms:modified xsi:type="dcterms:W3CDTF">2021-04-19T13:42:00Z</dcterms:modified>
</cp:coreProperties>
</file>