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07E" w:rsidRPr="00CE607E" w:rsidRDefault="00CE607E" w:rsidP="00CE607E">
      <w:pPr>
        <w:widowControl/>
        <w:tabs>
          <w:tab w:val="left" w:pos="10080"/>
        </w:tabs>
        <w:ind w:right="288"/>
        <w:rPr>
          <w:rFonts w:ascii="Times New Roman" w:hAnsi="Times New Roman"/>
          <w:sz w:val="22"/>
          <w:szCs w:val="22"/>
        </w:rPr>
      </w:pPr>
      <w:bookmarkStart w:id="0" w:name="_GoBack"/>
      <w:bookmarkEnd w:id="0"/>
    </w:p>
    <w:p w:rsidR="00CE607E" w:rsidRDefault="00CE607E" w:rsidP="00CE607E">
      <w:pPr>
        <w:pStyle w:val="ListParagraph"/>
        <w:widowControl/>
        <w:tabs>
          <w:tab w:val="left" w:pos="10080"/>
        </w:tabs>
        <w:ind w:left="1440" w:right="288"/>
        <w:contextualSpacing w:val="0"/>
        <w:rPr>
          <w:rFonts w:ascii="Times New Roman" w:hAnsi="Times New Roman"/>
          <w:sz w:val="22"/>
          <w:szCs w:val="22"/>
        </w:rPr>
      </w:pPr>
    </w:p>
    <w:tbl>
      <w:tblPr>
        <w:tblW w:w="0" w:type="auto"/>
        <w:tblInd w:w="1188" w:type="dxa"/>
        <w:tblBorders>
          <w:top w:val="single" w:sz="2" w:space="0" w:color="AAAAAA"/>
          <w:left w:val="single" w:sz="2" w:space="0" w:color="AAAAAA"/>
          <w:bottom w:val="single" w:sz="2" w:space="0" w:color="AAAAAA"/>
          <w:right w:val="single" w:sz="2" w:space="0" w:color="AAAAAA"/>
        </w:tblBorders>
        <w:tblCellMar>
          <w:left w:w="0" w:type="dxa"/>
          <w:right w:w="0" w:type="dxa"/>
        </w:tblCellMar>
        <w:tblLook w:val="04A0" w:firstRow="1" w:lastRow="0" w:firstColumn="1" w:lastColumn="0" w:noHBand="0" w:noVBand="1"/>
      </w:tblPr>
      <w:tblGrid>
        <w:gridCol w:w="5670"/>
        <w:gridCol w:w="3510"/>
      </w:tblGrid>
      <w:tr w:rsidR="00CE607E" w:rsidRPr="0073456A" w:rsidTr="009E3D68">
        <w:trPr>
          <w:trHeight w:val="288"/>
        </w:trPr>
        <w:tc>
          <w:tcPr>
            <w:tcW w:w="91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Default="00CE607E" w:rsidP="009E3D68">
            <w:pPr>
              <w:jc w:val="center"/>
              <w:rPr>
                <w:sz w:val="21"/>
                <w:szCs w:val="21"/>
                <w:vertAlign w:val="superscript"/>
              </w:rPr>
            </w:pPr>
            <w:r w:rsidRPr="00806B49">
              <w:rPr>
                <w:rFonts w:ascii="Times New Roman" w:hAnsi="Times New Roman"/>
                <w:color w:val="000000"/>
                <w:sz w:val="21"/>
                <w:szCs w:val="21"/>
              </w:rPr>
              <w:t>MINIMUM SETBACK DISTANCE REQUIREMENTS</w:t>
            </w:r>
            <w:r w:rsidRPr="00806B49">
              <w:rPr>
                <w:rFonts w:ascii="Times New Roman" w:hAnsi="Times New Roman"/>
                <w:color w:val="000000"/>
                <w:sz w:val="21"/>
                <w:szCs w:val="21"/>
                <w:vertAlign w:val="superscript"/>
              </w:rPr>
              <w:t xml:space="preserve"> (1)</w:t>
            </w:r>
          </w:p>
        </w:tc>
      </w:tr>
      <w:tr w:rsidR="00CE607E" w:rsidRPr="0073456A" w:rsidTr="009E3D68">
        <w:trPr>
          <w:trHeight w:val="576"/>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E607E" w:rsidRPr="00806B49" w:rsidRDefault="00CE607E" w:rsidP="009E3D68">
            <w:pPr>
              <w:tabs>
                <w:tab w:val="left" w:pos="10080"/>
              </w:tabs>
              <w:contextualSpacing/>
              <w:rPr>
                <w:rFonts w:ascii="Times New Roman" w:hAnsi="Times New Roman"/>
                <w:color w:val="000000"/>
                <w:sz w:val="21"/>
                <w:szCs w:val="21"/>
              </w:rPr>
            </w:pPr>
            <w:r w:rsidRPr="00806B49">
              <w:rPr>
                <w:rFonts w:ascii="Times New Roman" w:hAnsi="Times New Roman"/>
                <w:color w:val="000000"/>
                <w:sz w:val="21"/>
                <w:szCs w:val="21"/>
              </w:rPr>
              <w:t>Adjacent Feature</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Minimum Setback Distance (Feet) to Land Application Area</w:t>
            </w:r>
          </w:p>
        </w:tc>
      </w:tr>
      <w:tr w:rsidR="00CE607E" w:rsidRPr="0073456A" w:rsidTr="009E3D68">
        <w:trPr>
          <w:trHeight w:val="288"/>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Occupied dwelling</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vertAlign w:val="superscript"/>
              </w:rPr>
            </w:pPr>
            <w:r w:rsidRPr="00806B49">
              <w:rPr>
                <w:rFonts w:ascii="Times New Roman" w:hAnsi="Times New Roman"/>
                <w:color w:val="000000"/>
                <w:sz w:val="21"/>
                <w:szCs w:val="21"/>
              </w:rPr>
              <w:t xml:space="preserve">200 </w:t>
            </w:r>
            <w:r w:rsidRPr="00806B49">
              <w:rPr>
                <w:rFonts w:ascii="Times New Roman" w:hAnsi="Times New Roman"/>
                <w:color w:val="000000"/>
                <w:sz w:val="21"/>
                <w:szCs w:val="21"/>
                <w:vertAlign w:val="superscript"/>
              </w:rPr>
              <w:t>(2), (3), (4)</w:t>
            </w:r>
          </w:p>
        </w:tc>
      </w:tr>
      <w:tr w:rsidR="00CE607E" w:rsidRPr="0073456A" w:rsidTr="009E3D68">
        <w:trPr>
          <w:trHeight w:val="576"/>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 xml:space="preserve">Odor sensitive receptors </w:t>
            </w:r>
          </w:p>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(without injection or same day incorporation)</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400</w:t>
            </w:r>
            <w:r w:rsidRPr="00806B49">
              <w:rPr>
                <w:rFonts w:ascii="Times New Roman" w:hAnsi="Times New Roman"/>
                <w:color w:val="000000"/>
                <w:sz w:val="21"/>
                <w:szCs w:val="21"/>
                <w:vertAlign w:val="superscript"/>
              </w:rPr>
              <w:t xml:space="preserve"> (4)</w:t>
            </w:r>
          </w:p>
        </w:tc>
      </w:tr>
      <w:tr w:rsidR="00CE607E" w:rsidRPr="0073456A" w:rsidTr="009E3D68">
        <w:trPr>
          <w:trHeight w:val="576"/>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 xml:space="preserve">Odor sensitive receptors </w:t>
            </w:r>
          </w:p>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(with injection or same day incorporation)</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200</w:t>
            </w:r>
          </w:p>
        </w:tc>
      </w:tr>
      <w:tr w:rsidR="00CE607E" w:rsidRPr="0073456A" w:rsidTr="009E3D68">
        <w:trPr>
          <w:trHeight w:val="288"/>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Property lines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 xml:space="preserve">100 </w:t>
            </w:r>
            <w:r w:rsidRPr="00806B49">
              <w:rPr>
                <w:rFonts w:ascii="Times New Roman" w:hAnsi="Times New Roman"/>
                <w:color w:val="000000"/>
                <w:sz w:val="21"/>
                <w:szCs w:val="21"/>
                <w:vertAlign w:val="superscript"/>
              </w:rPr>
              <w:t>(3), (5)</w:t>
            </w:r>
          </w:p>
        </w:tc>
      </w:tr>
      <w:tr w:rsidR="00CE607E" w:rsidRPr="0073456A" w:rsidTr="009E3D68">
        <w:trPr>
          <w:trHeight w:val="288"/>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 xml:space="preserve">Property lines of publicly accessible sites </w:t>
            </w:r>
            <w:r w:rsidRPr="00806B49">
              <w:rPr>
                <w:rFonts w:ascii="Times New Roman" w:hAnsi="Times New Roman"/>
                <w:color w:val="000000"/>
                <w:sz w:val="21"/>
                <w:szCs w:val="21"/>
                <w:vertAlign w:val="superscript"/>
              </w:rPr>
              <w:t>(6)</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200</w:t>
            </w:r>
          </w:p>
        </w:tc>
      </w:tr>
      <w:tr w:rsidR="00CE607E" w:rsidRPr="0073456A" w:rsidTr="009E3D68">
        <w:trPr>
          <w:trHeight w:val="288"/>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Water supply wells or springs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100</w:t>
            </w:r>
          </w:p>
        </w:tc>
      </w:tr>
      <w:tr w:rsidR="00CE607E" w:rsidRPr="0073456A" w:rsidTr="009E3D68">
        <w:trPr>
          <w:trHeight w:val="288"/>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Public water supply reservoirs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400</w:t>
            </w:r>
          </w:p>
        </w:tc>
      </w:tr>
      <w:tr w:rsidR="00CE607E" w:rsidRPr="0073456A" w:rsidTr="009E3D68">
        <w:trPr>
          <w:trHeight w:val="576"/>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 xml:space="preserve">All segments of streams and tributaries designated as a Public Water Supply under the </w:t>
            </w:r>
            <w:r>
              <w:rPr>
                <w:rFonts w:ascii="Times New Roman" w:hAnsi="Times New Roman"/>
                <w:color w:val="000000"/>
                <w:sz w:val="21"/>
                <w:szCs w:val="21"/>
              </w:rPr>
              <w:t xml:space="preserve">Board’s </w:t>
            </w:r>
            <w:r w:rsidRPr="00806B49">
              <w:rPr>
                <w:rFonts w:ascii="Times New Roman" w:hAnsi="Times New Roman"/>
                <w:color w:val="000000"/>
                <w:sz w:val="21"/>
                <w:szCs w:val="21"/>
              </w:rPr>
              <w:t>Water Quality Standards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100</w:t>
            </w:r>
          </w:p>
        </w:tc>
      </w:tr>
      <w:tr w:rsidR="00CE607E" w:rsidRPr="0073456A" w:rsidTr="009E3D68">
        <w:trPr>
          <w:trHeight w:val="288"/>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Surface waters without a vegetated buffer</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100</w:t>
            </w:r>
          </w:p>
        </w:tc>
      </w:tr>
      <w:tr w:rsidR="00CE607E" w:rsidRPr="0073456A" w:rsidTr="009E3D68">
        <w:trPr>
          <w:trHeight w:val="288"/>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Surface waters with a 35-foot vegetated buffer</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35</w:t>
            </w:r>
          </w:p>
        </w:tc>
      </w:tr>
      <w:tr w:rsidR="00CE607E" w:rsidRPr="0073456A" w:rsidTr="009E3D68">
        <w:trPr>
          <w:trHeight w:val="288"/>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Agricultural drainage ditches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10</w:t>
            </w:r>
          </w:p>
        </w:tc>
      </w:tr>
      <w:tr w:rsidR="00CE607E" w:rsidRPr="0073456A" w:rsidTr="009E3D68">
        <w:trPr>
          <w:trHeight w:val="288"/>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All improved roadways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10</w:t>
            </w:r>
          </w:p>
        </w:tc>
      </w:tr>
      <w:tr w:rsidR="00CE607E" w:rsidRPr="0073456A" w:rsidTr="009E3D68">
        <w:trPr>
          <w:trHeight w:val="288"/>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Rock outcrops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25</w:t>
            </w:r>
          </w:p>
        </w:tc>
      </w:tr>
      <w:tr w:rsidR="00CE607E" w:rsidRPr="0073456A" w:rsidTr="009E3D68">
        <w:trPr>
          <w:trHeight w:val="288"/>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Open sinkholes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100</w:t>
            </w:r>
          </w:p>
        </w:tc>
      </w:tr>
      <w:tr w:rsidR="00CE607E" w:rsidRPr="0073456A" w:rsidTr="009E3D68">
        <w:trPr>
          <w:trHeight w:val="288"/>
        </w:trPr>
        <w:tc>
          <w:tcPr>
            <w:tcW w:w="5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ind w:right="288"/>
              <w:contextualSpacing/>
              <w:rPr>
                <w:rFonts w:ascii="Times New Roman" w:hAnsi="Times New Roman"/>
                <w:color w:val="000000"/>
                <w:sz w:val="21"/>
                <w:szCs w:val="21"/>
              </w:rPr>
            </w:pPr>
            <w:r w:rsidRPr="00806B49">
              <w:rPr>
                <w:rFonts w:ascii="Times New Roman" w:hAnsi="Times New Roman"/>
                <w:color w:val="000000"/>
                <w:sz w:val="21"/>
                <w:szCs w:val="21"/>
              </w:rPr>
              <w:t xml:space="preserve">Limestone rock outcrops and closed sinkholes </w:t>
            </w:r>
            <w:r w:rsidRPr="00806B49">
              <w:rPr>
                <w:rFonts w:ascii="Times New Roman" w:hAnsi="Times New Roman"/>
                <w:color w:val="000000"/>
                <w:sz w:val="21"/>
                <w:szCs w:val="21"/>
                <w:vertAlign w:val="superscript"/>
              </w:rPr>
              <w:t>(7)</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607E" w:rsidRPr="00806B49" w:rsidRDefault="00CE607E" w:rsidP="009E3D68">
            <w:pPr>
              <w:tabs>
                <w:tab w:val="left" w:pos="10080"/>
              </w:tabs>
              <w:contextualSpacing/>
              <w:jc w:val="center"/>
              <w:rPr>
                <w:rFonts w:ascii="Times New Roman" w:hAnsi="Times New Roman"/>
                <w:color w:val="000000"/>
                <w:sz w:val="21"/>
                <w:szCs w:val="21"/>
              </w:rPr>
            </w:pPr>
            <w:r w:rsidRPr="00806B49">
              <w:rPr>
                <w:rFonts w:ascii="Times New Roman" w:hAnsi="Times New Roman"/>
                <w:color w:val="000000"/>
                <w:sz w:val="21"/>
                <w:szCs w:val="21"/>
              </w:rPr>
              <w:t>50</w:t>
            </w:r>
          </w:p>
        </w:tc>
      </w:tr>
      <w:tr w:rsidR="00CE607E" w:rsidRPr="0073456A" w:rsidTr="009E3D68">
        <w:tc>
          <w:tcPr>
            <w:tcW w:w="91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607E" w:rsidRDefault="00CE607E" w:rsidP="00CE607E">
            <w:pPr>
              <w:pStyle w:val="ListParagraph"/>
              <w:numPr>
                <w:ilvl w:val="4"/>
                <w:numId w:val="1"/>
              </w:numPr>
              <w:tabs>
                <w:tab w:val="clear" w:pos="3780"/>
                <w:tab w:val="num" w:pos="342"/>
                <w:tab w:val="left" w:pos="10080"/>
              </w:tabs>
              <w:ind w:left="342" w:right="288"/>
              <w:rPr>
                <w:rFonts w:ascii="Times New Roman" w:hAnsi="Times New Roman"/>
                <w:color w:val="000000"/>
                <w:sz w:val="20"/>
              </w:rPr>
            </w:pPr>
            <w:r>
              <w:rPr>
                <w:rFonts w:ascii="Times New Roman" w:hAnsi="Times New Roman"/>
                <w:color w:val="000000"/>
                <w:sz w:val="20"/>
              </w:rPr>
              <w:t>In cases where more than one setback distance is involved, the most restrictive distance governs.</w:t>
            </w:r>
          </w:p>
          <w:p w:rsidR="00CE607E" w:rsidRDefault="00CE607E" w:rsidP="00CE607E">
            <w:pPr>
              <w:pStyle w:val="ListParagraph"/>
              <w:numPr>
                <w:ilvl w:val="4"/>
                <w:numId w:val="1"/>
              </w:numPr>
              <w:tabs>
                <w:tab w:val="clear" w:pos="3780"/>
                <w:tab w:val="num" w:pos="342"/>
                <w:tab w:val="left" w:pos="10080"/>
              </w:tabs>
              <w:ind w:left="342" w:right="288"/>
              <w:rPr>
                <w:rFonts w:ascii="Times New Roman" w:hAnsi="Times New Roman"/>
                <w:color w:val="000000"/>
                <w:sz w:val="20"/>
              </w:rPr>
            </w:pPr>
            <w:r w:rsidRPr="00905A64">
              <w:rPr>
                <w:rFonts w:ascii="Times New Roman" w:hAnsi="Times New Roman"/>
                <w:color w:val="000000"/>
                <w:sz w:val="20"/>
              </w:rPr>
              <w:t xml:space="preserve">The setback distance to occupied dwellings may be reduced or waived </w:t>
            </w:r>
            <w:r>
              <w:rPr>
                <w:rFonts w:ascii="Times New Roman" w:hAnsi="Times New Roman"/>
                <w:color w:val="000000"/>
                <w:sz w:val="20"/>
              </w:rPr>
              <w:t>with the</w:t>
            </w:r>
            <w:r w:rsidRPr="00905A64">
              <w:rPr>
                <w:rFonts w:ascii="Times New Roman" w:hAnsi="Times New Roman"/>
                <w:color w:val="000000"/>
                <w:sz w:val="20"/>
              </w:rPr>
              <w:t xml:space="preserve"> written consent of the occupant and landowner of the dwelling.</w:t>
            </w:r>
          </w:p>
          <w:p w:rsidR="00CE607E" w:rsidRDefault="00CE607E" w:rsidP="00CE607E">
            <w:pPr>
              <w:pStyle w:val="ListParagraph"/>
              <w:numPr>
                <w:ilvl w:val="4"/>
                <w:numId w:val="1"/>
              </w:numPr>
              <w:tabs>
                <w:tab w:val="clear" w:pos="3780"/>
                <w:tab w:val="num" w:pos="342"/>
                <w:tab w:val="left" w:pos="10080"/>
              </w:tabs>
              <w:ind w:left="342" w:right="288"/>
              <w:rPr>
                <w:rFonts w:ascii="Times New Roman" w:hAnsi="Times New Roman"/>
                <w:color w:val="000000"/>
                <w:sz w:val="20"/>
              </w:rPr>
            </w:pPr>
            <w:r>
              <w:rPr>
                <w:rFonts w:ascii="Times New Roman" w:hAnsi="Times New Roman"/>
                <w:color w:val="000000"/>
                <w:sz w:val="20"/>
              </w:rPr>
              <w:t>DEQ</w:t>
            </w:r>
            <w:r w:rsidRPr="00905A64">
              <w:rPr>
                <w:rFonts w:ascii="Times New Roman" w:hAnsi="Times New Roman"/>
                <w:color w:val="000000"/>
                <w:sz w:val="20"/>
              </w:rPr>
              <w:t xml:space="preserve"> shall grant to any landowner or resident in the vicinity of a </w:t>
            </w:r>
            <w:proofErr w:type="spellStart"/>
            <w:r w:rsidRPr="00905A64">
              <w:rPr>
                <w:rFonts w:ascii="Times New Roman" w:hAnsi="Times New Roman"/>
                <w:color w:val="000000"/>
                <w:sz w:val="20"/>
              </w:rPr>
              <w:t>biosolids</w:t>
            </w:r>
            <w:proofErr w:type="spellEnd"/>
            <w:r w:rsidRPr="00905A64">
              <w:rPr>
                <w:rFonts w:ascii="Times New Roman" w:hAnsi="Times New Roman"/>
                <w:color w:val="000000"/>
                <w:sz w:val="20"/>
              </w:rPr>
              <w:t xml:space="preserve"> land application site an extended setback of up to 200 feet from their property line and up to 400 feet from their occupied dwelling upon request from their physician based on medical reasons. In order for an extended setback request to be granted, the request must be submitted to </w:t>
            </w:r>
            <w:r>
              <w:rPr>
                <w:rFonts w:ascii="Times New Roman" w:hAnsi="Times New Roman"/>
                <w:color w:val="000000"/>
                <w:sz w:val="20"/>
              </w:rPr>
              <w:t>DEQ</w:t>
            </w:r>
            <w:r w:rsidRPr="00905A64">
              <w:rPr>
                <w:rFonts w:ascii="Times New Roman" w:hAnsi="Times New Roman"/>
                <w:color w:val="000000"/>
                <w:sz w:val="20"/>
              </w:rPr>
              <w:t xml:space="preserve"> in writing on a form provided by </w:t>
            </w:r>
            <w:r>
              <w:rPr>
                <w:rFonts w:ascii="Times New Roman" w:hAnsi="Times New Roman"/>
                <w:color w:val="000000"/>
                <w:sz w:val="20"/>
              </w:rPr>
              <w:t>DEQ</w:t>
            </w:r>
            <w:r w:rsidRPr="00905A64">
              <w:rPr>
                <w:rFonts w:ascii="Times New Roman" w:hAnsi="Times New Roman"/>
                <w:color w:val="000000"/>
                <w:sz w:val="20"/>
              </w:rPr>
              <w:t xml:space="preserve">. A request must be received by </w:t>
            </w:r>
            <w:r>
              <w:rPr>
                <w:rFonts w:ascii="Times New Roman" w:hAnsi="Times New Roman"/>
                <w:color w:val="000000"/>
                <w:sz w:val="20"/>
              </w:rPr>
              <w:t>DEQ</w:t>
            </w:r>
            <w:r w:rsidRPr="00905A64">
              <w:rPr>
                <w:rFonts w:ascii="Times New Roman" w:hAnsi="Times New Roman"/>
                <w:color w:val="000000"/>
                <w:sz w:val="20"/>
              </w:rPr>
              <w:t xml:space="preserve"> no later than 48 hours before land application commences on the field affected by the extended setback, and communicated </w:t>
            </w:r>
            <w:r>
              <w:rPr>
                <w:rFonts w:ascii="Times New Roman" w:hAnsi="Times New Roman"/>
                <w:color w:val="000000"/>
                <w:sz w:val="20"/>
              </w:rPr>
              <w:t xml:space="preserve">by DEQ staff </w:t>
            </w:r>
            <w:r w:rsidRPr="00905A64">
              <w:rPr>
                <w:rFonts w:ascii="Times New Roman" w:hAnsi="Times New Roman"/>
                <w:color w:val="000000"/>
                <w:sz w:val="20"/>
              </w:rPr>
              <w:t xml:space="preserve">to the permittee no later than 24 hours before land application commences on the field affected by the extended setback. </w:t>
            </w:r>
            <w:r>
              <w:rPr>
                <w:rFonts w:ascii="Times New Roman" w:hAnsi="Times New Roman"/>
                <w:color w:val="000000"/>
                <w:sz w:val="20"/>
              </w:rPr>
              <w:t>DEQ</w:t>
            </w:r>
            <w:r w:rsidRPr="00905A64">
              <w:rPr>
                <w:rFonts w:ascii="Times New Roman" w:hAnsi="Times New Roman"/>
                <w:color w:val="000000"/>
                <w:sz w:val="20"/>
              </w:rPr>
              <w:t xml:space="preserve"> may extend a setback distance within 48 hours of land application if requested by the Virginia Department of Health in connection with the landowner or resident's physician.</w:t>
            </w:r>
          </w:p>
          <w:p w:rsidR="00CE607E" w:rsidRDefault="00CE607E" w:rsidP="00CE607E">
            <w:pPr>
              <w:pStyle w:val="ListParagraph"/>
              <w:numPr>
                <w:ilvl w:val="4"/>
                <w:numId w:val="1"/>
              </w:numPr>
              <w:tabs>
                <w:tab w:val="clear" w:pos="3780"/>
                <w:tab w:val="num" w:pos="342"/>
                <w:tab w:val="left" w:pos="10080"/>
              </w:tabs>
              <w:ind w:left="342" w:right="288"/>
              <w:rPr>
                <w:rFonts w:ascii="Times New Roman" w:hAnsi="Times New Roman"/>
                <w:color w:val="000000"/>
                <w:sz w:val="20"/>
              </w:rPr>
            </w:pPr>
            <w:r w:rsidRPr="00905A64">
              <w:rPr>
                <w:rFonts w:ascii="Times New Roman" w:hAnsi="Times New Roman"/>
                <w:color w:val="000000"/>
                <w:sz w:val="20"/>
              </w:rPr>
              <w:t>Setback distances may be extended beyond 400 feet where an evaluation by the Virginia Department of Health determines that a setback in excess of 400 feet is necessary to prevent specific and immediate injury to the health of an individual.</w:t>
            </w:r>
          </w:p>
          <w:p w:rsidR="00CE607E" w:rsidRDefault="00CE607E" w:rsidP="00CE607E">
            <w:pPr>
              <w:pStyle w:val="ListParagraph"/>
              <w:numPr>
                <w:ilvl w:val="4"/>
                <w:numId w:val="1"/>
              </w:numPr>
              <w:tabs>
                <w:tab w:val="clear" w:pos="3780"/>
                <w:tab w:val="num" w:pos="342"/>
                <w:tab w:val="left" w:pos="10080"/>
              </w:tabs>
              <w:ind w:left="342" w:right="288"/>
              <w:rPr>
                <w:rFonts w:ascii="Times New Roman" w:hAnsi="Times New Roman"/>
                <w:color w:val="000000"/>
                <w:sz w:val="20"/>
              </w:rPr>
            </w:pPr>
            <w:r w:rsidRPr="00905A64">
              <w:rPr>
                <w:rFonts w:ascii="Times New Roman" w:hAnsi="Times New Roman"/>
                <w:color w:val="000000"/>
                <w:sz w:val="20"/>
              </w:rPr>
              <w:t>The setback distance to property lines may be reduced or waived upon written consent of the landowner.</w:t>
            </w:r>
          </w:p>
          <w:p w:rsidR="00CE607E" w:rsidRDefault="00CE607E" w:rsidP="00CE607E">
            <w:pPr>
              <w:pStyle w:val="ListParagraph"/>
              <w:numPr>
                <w:ilvl w:val="4"/>
                <w:numId w:val="1"/>
              </w:numPr>
              <w:tabs>
                <w:tab w:val="clear" w:pos="3780"/>
                <w:tab w:val="num" w:pos="342"/>
                <w:tab w:val="left" w:pos="10080"/>
              </w:tabs>
              <w:ind w:left="342" w:right="288"/>
              <w:rPr>
                <w:rFonts w:ascii="Times New Roman" w:hAnsi="Times New Roman"/>
                <w:color w:val="000000"/>
                <w:sz w:val="20"/>
              </w:rPr>
            </w:pPr>
            <w:r w:rsidRPr="00905A64">
              <w:rPr>
                <w:rFonts w:ascii="Times New Roman" w:hAnsi="Times New Roman"/>
                <w:color w:val="000000"/>
                <w:sz w:val="20"/>
              </w:rPr>
              <w:t>Publicly accessible sites are open to the general public and routinely accommodate pedestrians and include, but are not limited to, schools, churches, hospitals, parks, nature trails, businesses open to the public and sidewalks. Temporary structures, public roads or similar thoroughfares are not considered publicly accessible.</w:t>
            </w:r>
          </w:p>
          <w:p w:rsidR="00CE607E" w:rsidRDefault="00CE607E" w:rsidP="00CE607E">
            <w:pPr>
              <w:pStyle w:val="ListParagraph"/>
              <w:numPr>
                <w:ilvl w:val="4"/>
                <w:numId w:val="1"/>
              </w:numPr>
              <w:tabs>
                <w:tab w:val="clear" w:pos="3780"/>
                <w:tab w:val="num" w:pos="342"/>
                <w:tab w:val="left" w:pos="10080"/>
              </w:tabs>
              <w:ind w:left="342" w:right="288"/>
              <w:rPr>
                <w:rFonts w:ascii="Times New Roman" w:hAnsi="Times New Roman"/>
                <w:color w:val="000000"/>
                <w:sz w:val="20"/>
              </w:rPr>
            </w:pPr>
            <w:r w:rsidRPr="00905A64">
              <w:rPr>
                <w:rFonts w:ascii="Times New Roman" w:hAnsi="Times New Roman"/>
                <w:color w:val="000000"/>
                <w:sz w:val="20"/>
              </w:rPr>
              <w:t xml:space="preserve">A closed sinkhole does not have an open conduit to groundwater. The setback from a closed sinkhole may be reduced or waived by </w:t>
            </w:r>
            <w:r>
              <w:rPr>
                <w:rFonts w:ascii="Times New Roman" w:hAnsi="Times New Roman"/>
                <w:color w:val="000000"/>
                <w:sz w:val="20"/>
              </w:rPr>
              <w:t>DEQ</w:t>
            </w:r>
            <w:r w:rsidRPr="00905A64">
              <w:rPr>
                <w:rFonts w:ascii="Times New Roman" w:hAnsi="Times New Roman"/>
                <w:color w:val="000000"/>
                <w:sz w:val="20"/>
              </w:rPr>
              <w:t xml:space="preserve"> upon evaluation by a professional soil scientist.</w:t>
            </w:r>
          </w:p>
        </w:tc>
      </w:tr>
    </w:tbl>
    <w:p w:rsidR="00A90F0B" w:rsidRDefault="00A90F0B"/>
    <w:sectPr w:rsidR="00A90F0B" w:rsidSect="00CE60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F6177"/>
    <w:multiLevelType w:val="multilevel"/>
    <w:tmpl w:val="CCFA4EAC"/>
    <w:lvl w:ilvl="0">
      <w:start w:val="4"/>
      <w:numFmt w:val="upperLetter"/>
      <w:lvlText w:val="%1."/>
      <w:lvlJc w:val="left"/>
      <w:pPr>
        <w:tabs>
          <w:tab w:val="num" w:pos="1260"/>
        </w:tabs>
        <w:ind w:left="1260" w:hanging="720"/>
      </w:pPr>
      <w:rPr>
        <w:rFonts w:hint="default"/>
      </w:rPr>
    </w:lvl>
    <w:lvl w:ilvl="1">
      <w:start w:val="1"/>
      <w:numFmt w:val="decimal"/>
      <w:lvlText w:val="%2."/>
      <w:lvlJc w:val="left"/>
      <w:pPr>
        <w:tabs>
          <w:tab w:val="num" w:pos="1620"/>
        </w:tabs>
        <w:ind w:left="1620" w:hanging="360"/>
      </w:pPr>
      <w:rPr>
        <w:rFonts w:hint="default"/>
      </w:rPr>
    </w:lvl>
    <w:lvl w:ilvl="2">
      <w:start w:val="4"/>
      <w:numFmt w:val="lowerLetter"/>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decimal"/>
      <w:lvlText w:val="(%5)"/>
      <w:lvlJc w:val="left"/>
      <w:pPr>
        <w:tabs>
          <w:tab w:val="num" w:pos="3780"/>
        </w:tabs>
        <w:ind w:left="3780" w:hanging="360"/>
      </w:pPr>
      <w:rPr>
        <w:rFonts w:hint="default"/>
      </w:rPr>
    </w:lvl>
    <w:lvl w:ilvl="5">
      <w:start w:val="1"/>
      <w:numFmt w:val="none"/>
      <w:lvlText w:val="(a)"/>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 w15:restartNumberingAfterBreak="0">
    <w:nsid w:val="7116363B"/>
    <w:multiLevelType w:val="hybridMultilevel"/>
    <w:tmpl w:val="8C6EB8BE"/>
    <w:lvl w:ilvl="0" w:tplc="EEC8FC94">
      <w:start w:val="1"/>
      <w:numFmt w:val="lowerLetter"/>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7A491CCE"/>
    <w:multiLevelType w:val="multilevel"/>
    <w:tmpl w:val="D0D4EEBC"/>
    <w:lvl w:ilvl="0">
      <w:start w:val="13"/>
      <w:numFmt w:val="decimal"/>
      <w:lvlText w:val="%1."/>
      <w:lvlJc w:val="left"/>
      <w:pPr>
        <w:tabs>
          <w:tab w:val="num" w:pos="1080"/>
        </w:tabs>
        <w:ind w:left="1080" w:hanging="720"/>
      </w:pPr>
      <w:rPr>
        <w:rFonts w:hint="default"/>
      </w:rPr>
    </w:lvl>
    <w:lvl w:ilvl="1">
      <w:start w:val="5"/>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360"/>
        </w:tabs>
        <w:ind w:left="3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none"/>
      <w:lvlText w:val="(a)"/>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7E"/>
    <w:rsid w:val="00A90F0B"/>
    <w:rsid w:val="00CE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49F5"/>
  <w15:chartTrackingRefBased/>
  <w15:docId w15:val="{8391F7BA-1FF7-4666-B219-6963161B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07E"/>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 Mattie (DEQ)</dc:creator>
  <cp:keywords/>
  <dc:description/>
  <cp:lastModifiedBy>Witt, Mattie (DEQ)</cp:lastModifiedBy>
  <cp:revision>1</cp:revision>
  <dcterms:created xsi:type="dcterms:W3CDTF">2021-03-04T17:45:00Z</dcterms:created>
  <dcterms:modified xsi:type="dcterms:W3CDTF">2021-03-04T17:46:00Z</dcterms:modified>
</cp:coreProperties>
</file>