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lid Waste Management Facility Cost Estimate Form"/>
      </w:tblPr>
      <w:tblGrid>
        <w:gridCol w:w="4117"/>
        <w:gridCol w:w="6683"/>
      </w:tblGrid>
      <w:tr w:rsidR="00906F25" w:rsidRPr="007C0D23" w:rsidTr="00491787">
        <w:trPr>
          <w:tblHeader/>
        </w:trPr>
        <w:tc>
          <w:tcPr>
            <w:tcW w:w="4155" w:type="dxa"/>
            <w:vAlign w:val="center"/>
          </w:tcPr>
          <w:p w:rsidR="00906F25" w:rsidRPr="007C0D23" w:rsidRDefault="00906F25" w:rsidP="008A381F">
            <w:r w:rsidRPr="00906F25">
              <w:rPr>
                <w:noProof/>
              </w:rPr>
              <w:drawing>
                <wp:inline distT="0" distB="0" distL="0" distR="0">
                  <wp:extent cx="1651000" cy="673100"/>
                  <wp:effectExtent l="0" t="0" r="6350" b="0"/>
                  <wp:docPr id="4" name="Picture 1" descr="Logo for the Virginia Department of Environmental Quality" title="DEQ Logo"/>
                  <wp:cNvGraphicFramePr/>
                  <a:graphic xmlns:a="http://schemas.openxmlformats.org/drawingml/2006/main">
                    <a:graphicData uri="http://schemas.openxmlformats.org/drawingml/2006/picture">
                      <pic:pic xmlns:pic="http://schemas.openxmlformats.org/drawingml/2006/picture">
                        <pic:nvPicPr>
                          <pic:cNvPr id="1049" name="Picture 3" descr="deqgood"/>
                          <pic:cNvPicPr>
                            <a:picLocks noChangeAspect="1" noChangeArrowheads="1"/>
                          </pic:cNvPicPr>
                        </pic:nvPicPr>
                        <pic:blipFill>
                          <a:blip r:embed="rId8" cstate="print"/>
                          <a:srcRect/>
                          <a:stretch>
                            <a:fillRect/>
                          </a:stretch>
                        </pic:blipFill>
                        <pic:spPr bwMode="auto">
                          <a:xfrm>
                            <a:off x="0" y="0"/>
                            <a:ext cx="1651000" cy="673100"/>
                          </a:xfrm>
                          <a:prstGeom prst="rect">
                            <a:avLst/>
                          </a:prstGeom>
                          <a:noFill/>
                          <a:ln w="9525">
                            <a:noFill/>
                            <a:miter lim="800000"/>
                            <a:headEnd/>
                            <a:tailEnd/>
                          </a:ln>
                        </pic:spPr>
                      </pic:pic>
                    </a:graphicData>
                  </a:graphic>
                </wp:inline>
              </w:drawing>
            </w:r>
          </w:p>
        </w:tc>
        <w:tc>
          <w:tcPr>
            <w:tcW w:w="6817" w:type="dxa"/>
            <w:vAlign w:val="center"/>
          </w:tcPr>
          <w:p w:rsidR="00906F25" w:rsidRPr="008A381F" w:rsidRDefault="00906F25" w:rsidP="008A381F">
            <w:pPr>
              <w:pStyle w:val="Title"/>
              <w:rPr>
                <w:sz w:val="36"/>
                <w:szCs w:val="36"/>
              </w:rPr>
            </w:pPr>
            <w:r w:rsidRPr="008A381F">
              <w:rPr>
                <w:sz w:val="36"/>
                <w:szCs w:val="36"/>
              </w:rPr>
              <w:t xml:space="preserve">Solid Waste </w:t>
            </w:r>
            <w:r w:rsidR="00593C34">
              <w:rPr>
                <w:sz w:val="36"/>
                <w:szCs w:val="36"/>
              </w:rPr>
              <w:t>Management</w:t>
            </w:r>
            <w:r w:rsidR="00642517" w:rsidRPr="008A381F">
              <w:rPr>
                <w:sz w:val="36"/>
                <w:szCs w:val="36"/>
              </w:rPr>
              <w:t xml:space="preserve"> Facility</w:t>
            </w:r>
          </w:p>
          <w:p w:rsidR="00FE7D9E" w:rsidRPr="008A381F" w:rsidRDefault="00593C34" w:rsidP="00593C34">
            <w:pPr>
              <w:pStyle w:val="Title"/>
              <w:rPr>
                <w:sz w:val="40"/>
              </w:rPr>
            </w:pPr>
            <w:r>
              <w:rPr>
                <w:sz w:val="36"/>
                <w:szCs w:val="36"/>
              </w:rPr>
              <w:t>Cost Estimate Form</w:t>
            </w:r>
            <w:r w:rsidR="006204ED">
              <w:rPr>
                <w:sz w:val="36"/>
                <w:szCs w:val="36"/>
              </w:rPr>
              <w:t xml:space="preserve">, DEQ Form </w:t>
            </w:r>
            <w:r>
              <w:rPr>
                <w:sz w:val="36"/>
                <w:szCs w:val="36"/>
              </w:rPr>
              <w:t>CE SWMF</w:t>
            </w:r>
          </w:p>
        </w:tc>
      </w:tr>
    </w:tbl>
    <w:p w:rsidR="0008120E" w:rsidRDefault="0008120E" w:rsidP="003849E8">
      <w:pPr>
        <w:pStyle w:val="Heading1"/>
        <w:spacing w:before="120"/>
      </w:pPr>
      <w:r w:rsidRPr="00D560C0">
        <w:t>FACILITY INFORMATION</w:t>
      </w:r>
    </w:p>
    <w:p w:rsidR="00D560C0" w:rsidRDefault="00D560C0" w:rsidP="006204ED">
      <w:pPr>
        <w:tabs>
          <w:tab w:val="left" w:pos="7200"/>
        </w:tabs>
        <w:spacing w:after="0" w:line="240" w:lineRule="auto"/>
      </w:pPr>
      <w:r w:rsidRPr="006476A3">
        <w:rPr>
          <w:b/>
        </w:rPr>
        <w:t>Facility Name:</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bookmarkStart w:id="0" w:name="_GoBack"/>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bookmarkEnd w:id="0"/>
      <w:r w:rsidRPr="005350E6">
        <w:rPr>
          <w:u w:val="single"/>
        </w:rPr>
        <w:fldChar w:fldCharType="end"/>
      </w:r>
      <w:r>
        <w:tab/>
      </w:r>
      <w:r w:rsidRPr="006476A3">
        <w:rPr>
          <w:b/>
        </w:rPr>
        <w:t xml:space="preserve">Permit No. </w:t>
      </w:r>
      <w:r w:rsidRPr="006204ED">
        <w:rPr>
          <w:b/>
        </w:rPr>
        <w:t xml:space="preserve"> </w:t>
      </w:r>
      <w:r w:rsidRPr="005350E6">
        <w:rPr>
          <w:b/>
          <w:u w:val="single"/>
        </w:rPr>
        <w:fldChar w:fldCharType="begin">
          <w:ffData>
            <w:name w:val="Text35"/>
            <w:enabled/>
            <w:calcOnExit w:val="0"/>
            <w:textInput/>
          </w:ffData>
        </w:fldChar>
      </w:r>
      <w:r w:rsidRPr="005350E6">
        <w:rPr>
          <w:b/>
          <w:u w:val="single"/>
        </w:rPr>
        <w:instrText xml:space="preserve"> FORMTEXT </w:instrText>
      </w:r>
      <w:r w:rsidRPr="005350E6">
        <w:rPr>
          <w:b/>
          <w:u w:val="single"/>
        </w:rPr>
      </w:r>
      <w:r w:rsidRPr="005350E6">
        <w:rPr>
          <w:b/>
          <w:u w:val="single"/>
        </w:rPr>
        <w:fldChar w:fldCharType="separate"/>
      </w:r>
      <w:r w:rsidRPr="005350E6">
        <w:rPr>
          <w:b/>
          <w:noProof/>
          <w:u w:val="single"/>
        </w:rPr>
        <w:t> </w:t>
      </w:r>
      <w:r w:rsidRPr="005350E6">
        <w:rPr>
          <w:b/>
          <w:noProof/>
          <w:u w:val="single"/>
        </w:rPr>
        <w:t> </w:t>
      </w:r>
      <w:r w:rsidRPr="005350E6">
        <w:rPr>
          <w:b/>
          <w:noProof/>
          <w:u w:val="single"/>
        </w:rPr>
        <w:t> </w:t>
      </w:r>
      <w:r w:rsidRPr="005350E6">
        <w:rPr>
          <w:b/>
          <w:noProof/>
          <w:u w:val="single"/>
        </w:rPr>
        <w:t> </w:t>
      </w:r>
      <w:r w:rsidRPr="005350E6">
        <w:rPr>
          <w:b/>
          <w:noProof/>
          <w:u w:val="single"/>
        </w:rPr>
        <w:t> </w:t>
      </w:r>
      <w:r w:rsidRPr="005350E6">
        <w:rPr>
          <w:b/>
          <w:u w:val="single"/>
        </w:rPr>
        <w:fldChar w:fldCharType="end"/>
      </w:r>
    </w:p>
    <w:p w:rsidR="00D560C0" w:rsidRDefault="00D560C0" w:rsidP="006204ED">
      <w:pPr>
        <w:tabs>
          <w:tab w:val="left" w:pos="7200"/>
        </w:tabs>
        <w:spacing w:after="0" w:line="240" w:lineRule="auto"/>
      </w:pPr>
      <w:r w:rsidRPr="006476A3">
        <w:rPr>
          <w:b/>
        </w:rPr>
        <w:t>Location Address:</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D560C0" w:rsidRDefault="00D560C0" w:rsidP="004E5B1C">
      <w:pPr>
        <w:tabs>
          <w:tab w:val="left" w:pos="3600"/>
          <w:tab w:val="left" w:pos="5760"/>
        </w:tabs>
        <w:spacing w:after="120" w:line="240" w:lineRule="auto"/>
      </w:pP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D560C0" w:rsidRDefault="00593C34" w:rsidP="00D560C0">
      <w:pPr>
        <w:spacing w:after="0" w:line="240" w:lineRule="auto"/>
        <w:rPr>
          <w:u w:val="single"/>
        </w:rPr>
      </w:pPr>
      <w:r>
        <w:rPr>
          <w:b/>
        </w:rPr>
        <w:t xml:space="preserve">FA Holder: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593C34" w:rsidRDefault="00593C34" w:rsidP="00D560C0">
      <w:pPr>
        <w:spacing w:after="0" w:line="240" w:lineRule="auto"/>
      </w:pPr>
      <w:r w:rsidRPr="00593C34">
        <w:rPr>
          <w:b/>
        </w:rPr>
        <w:t>Estimate Prepared by:</w:t>
      </w:r>
      <w:r w:rsidRPr="00593C34">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rsidR="00D560C0" w:rsidRDefault="00D560C0" w:rsidP="00D560C0">
      <w:pPr>
        <w:spacing w:after="0" w:line="240" w:lineRule="auto"/>
      </w:pPr>
    </w:p>
    <w:p w:rsidR="00D560C0" w:rsidRPr="00D560C0" w:rsidRDefault="00593C34" w:rsidP="00593C34">
      <w:pPr>
        <w:pStyle w:val="Heading1"/>
      </w:pPr>
      <w:r>
        <w:t>OPERATIONAL AND CLOSURE DETAILS</w:t>
      </w:r>
    </w:p>
    <w:p w:rsidR="00593C34" w:rsidRPr="003849E8" w:rsidRDefault="00593C34" w:rsidP="003849E8">
      <w:pPr>
        <w:tabs>
          <w:tab w:val="left" w:pos="5760"/>
        </w:tabs>
        <w:spacing w:after="20" w:line="240" w:lineRule="auto"/>
        <w:rPr>
          <w:u w:val="single"/>
        </w:rPr>
      </w:pPr>
      <w:r w:rsidRPr="00593C34">
        <w:rPr>
          <w:b/>
        </w:rPr>
        <w:t xml:space="preserve">Process Rate: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593C34">
        <w:t xml:space="preserve"> tons/day</w:t>
      </w:r>
      <w:r w:rsidR="003849E8">
        <w:tab/>
      </w:r>
      <w:r w:rsidR="003849E8" w:rsidRPr="003849E8">
        <w:rPr>
          <w:b/>
        </w:rPr>
        <w:t>Closure Plan</w:t>
      </w:r>
      <w:r w:rsidR="003849E8">
        <w:rPr>
          <w:b/>
        </w:rPr>
        <w:t xml:space="preserve"> </w:t>
      </w:r>
      <w:r w:rsidR="003849E8" w:rsidRPr="00593C34">
        <w:rPr>
          <w:b/>
        </w:rPr>
        <w:t>Title:</w:t>
      </w:r>
      <w:r w:rsidR="003849E8">
        <w:t xml:space="preserve"> </w:t>
      </w:r>
      <w:r w:rsidR="003849E8" w:rsidRPr="005350E6">
        <w:rPr>
          <w:u w:val="single"/>
        </w:rPr>
        <w:fldChar w:fldCharType="begin">
          <w:ffData>
            <w:name w:val="Text1"/>
            <w:enabled/>
            <w:calcOnExit w:val="0"/>
            <w:textInput/>
          </w:ffData>
        </w:fldChar>
      </w:r>
      <w:r w:rsidR="003849E8" w:rsidRPr="005350E6">
        <w:rPr>
          <w:u w:val="single"/>
        </w:rPr>
        <w:instrText xml:space="preserve"> FORMTEXT </w:instrText>
      </w:r>
      <w:r w:rsidR="003849E8" w:rsidRPr="005350E6">
        <w:rPr>
          <w:u w:val="single"/>
        </w:rPr>
      </w:r>
      <w:r w:rsidR="003849E8" w:rsidRPr="005350E6">
        <w:rPr>
          <w:u w:val="single"/>
        </w:rPr>
        <w:fldChar w:fldCharType="separate"/>
      </w:r>
      <w:r w:rsidR="003849E8" w:rsidRPr="005350E6">
        <w:rPr>
          <w:noProof/>
          <w:u w:val="single"/>
        </w:rPr>
        <w:t> </w:t>
      </w:r>
      <w:r w:rsidR="003849E8" w:rsidRPr="005350E6">
        <w:rPr>
          <w:noProof/>
          <w:u w:val="single"/>
        </w:rPr>
        <w:t> </w:t>
      </w:r>
      <w:r w:rsidR="003849E8" w:rsidRPr="005350E6">
        <w:rPr>
          <w:noProof/>
          <w:u w:val="single"/>
        </w:rPr>
        <w:t> </w:t>
      </w:r>
      <w:r w:rsidR="003849E8" w:rsidRPr="005350E6">
        <w:rPr>
          <w:noProof/>
          <w:u w:val="single"/>
        </w:rPr>
        <w:t> </w:t>
      </w:r>
      <w:r w:rsidR="003849E8" w:rsidRPr="005350E6">
        <w:rPr>
          <w:noProof/>
          <w:u w:val="single"/>
        </w:rPr>
        <w:t> </w:t>
      </w:r>
      <w:r w:rsidR="003849E8" w:rsidRPr="005350E6">
        <w:rPr>
          <w:u w:val="single"/>
        </w:rPr>
        <w:fldChar w:fldCharType="end"/>
      </w:r>
    </w:p>
    <w:p w:rsidR="003849E8" w:rsidRDefault="00593C34" w:rsidP="003849E8">
      <w:pPr>
        <w:tabs>
          <w:tab w:val="left" w:pos="5760"/>
        </w:tabs>
        <w:spacing w:after="20" w:line="240" w:lineRule="auto"/>
        <w:rPr>
          <w:u w:val="single"/>
        </w:rPr>
      </w:pPr>
      <w:r w:rsidRPr="00593C34">
        <w:rPr>
          <w:b/>
        </w:rPr>
        <w:t xml:space="preserve">Storage Capacity: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t xml:space="preserve"> cubic yards</w:t>
      </w:r>
      <w:r w:rsidR="003849E8">
        <w:tab/>
      </w:r>
      <w:r w:rsidR="003849E8" w:rsidRPr="003849E8">
        <w:rPr>
          <w:b/>
        </w:rPr>
        <w:t xml:space="preserve">Closure </w:t>
      </w:r>
      <w:r w:rsidR="003849E8" w:rsidRPr="00593C34">
        <w:rPr>
          <w:b/>
        </w:rPr>
        <w:t xml:space="preserve">Plan Date: </w:t>
      </w:r>
      <w:r w:rsidR="003849E8" w:rsidRPr="005350E6">
        <w:rPr>
          <w:u w:val="single"/>
        </w:rPr>
        <w:fldChar w:fldCharType="begin">
          <w:ffData>
            <w:name w:val="Text1"/>
            <w:enabled/>
            <w:calcOnExit w:val="0"/>
            <w:textInput/>
          </w:ffData>
        </w:fldChar>
      </w:r>
      <w:r w:rsidR="003849E8" w:rsidRPr="005350E6">
        <w:rPr>
          <w:u w:val="single"/>
        </w:rPr>
        <w:instrText xml:space="preserve"> FORMTEXT </w:instrText>
      </w:r>
      <w:r w:rsidR="003849E8" w:rsidRPr="005350E6">
        <w:rPr>
          <w:u w:val="single"/>
        </w:rPr>
      </w:r>
      <w:r w:rsidR="003849E8" w:rsidRPr="005350E6">
        <w:rPr>
          <w:u w:val="single"/>
        </w:rPr>
        <w:fldChar w:fldCharType="separate"/>
      </w:r>
      <w:r w:rsidR="003849E8" w:rsidRPr="005350E6">
        <w:rPr>
          <w:noProof/>
          <w:u w:val="single"/>
        </w:rPr>
        <w:t> </w:t>
      </w:r>
      <w:r w:rsidR="003849E8" w:rsidRPr="005350E6">
        <w:rPr>
          <w:noProof/>
          <w:u w:val="single"/>
        </w:rPr>
        <w:t> </w:t>
      </w:r>
      <w:r w:rsidR="003849E8" w:rsidRPr="005350E6">
        <w:rPr>
          <w:noProof/>
          <w:u w:val="single"/>
        </w:rPr>
        <w:t> </w:t>
      </w:r>
      <w:r w:rsidR="003849E8" w:rsidRPr="005350E6">
        <w:rPr>
          <w:noProof/>
          <w:u w:val="single"/>
        </w:rPr>
        <w:t> </w:t>
      </w:r>
      <w:r w:rsidR="003849E8" w:rsidRPr="005350E6">
        <w:rPr>
          <w:noProof/>
          <w:u w:val="single"/>
        </w:rPr>
        <w:t> </w:t>
      </w:r>
      <w:r w:rsidR="003849E8" w:rsidRPr="005350E6">
        <w:rPr>
          <w:u w:val="single"/>
        </w:rPr>
        <w:fldChar w:fldCharType="end"/>
      </w:r>
    </w:p>
    <w:p w:rsidR="003849E8" w:rsidRPr="00593C34" w:rsidRDefault="00593C34" w:rsidP="003849E8">
      <w:pPr>
        <w:tabs>
          <w:tab w:val="left" w:pos="5760"/>
        </w:tabs>
        <w:spacing w:after="20" w:line="240" w:lineRule="auto"/>
        <w:rPr>
          <w:b/>
        </w:rPr>
      </w:pPr>
      <w:r w:rsidRPr="00593C34">
        <w:rPr>
          <w:b/>
        </w:rPr>
        <w:t xml:space="preserve">Process Area: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t xml:space="preserve"> square feet</w:t>
      </w:r>
      <w:r w:rsidR="003849E8">
        <w:tab/>
      </w:r>
      <w:r w:rsidR="003849E8" w:rsidRPr="00593C34">
        <w:rPr>
          <w:b/>
        </w:rPr>
        <w:t>P.E. Certification Date</w:t>
      </w:r>
      <w:r w:rsidR="003849E8">
        <w:rPr>
          <w:b/>
        </w:rPr>
        <w:t xml:space="preserve">: </w:t>
      </w:r>
      <w:r w:rsidR="003849E8" w:rsidRPr="005350E6">
        <w:rPr>
          <w:u w:val="single"/>
        </w:rPr>
        <w:fldChar w:fldCharType="begin">
          <w:ffData>
            <w:name w:val="Text1"/>
            <w:enabled/>
            <w:calcOnExit w:val="0"/>
            <w:textInput/>
          </w:ffData>
        </w:fldChar>
      </w:r>
      <w:r w:rsidR="003849E8" w:rsidRPr="005350E6">
        <w:rPr>
          <w:u w:val="single"/>
        </w:rPr>
        <w:instrText xml:space="preserve"> FORMTEXT </w:instrText>
      </w:r>
      <w:r w:rsidR="003849E8" w:rsidRPr="005350E6">
        <w:rPr>
          <w:u w:val="single"/>
        </w:rPr>
      </w:r>
      <w:r w:rsidR="003849E8" w:rsidRPr="005350E6">
        <w:rPr>
          <w:u w:val="single"/>
        </w:rPr>
        <w:fldChar w:fldCharType="separate"/>
      </w:r>
      <w:r w:rsidR="003849E8" w:rsidRPr="005350E6">
        <w:rPr>
          <w:noProof/>
          <w:u w:val="single"/>
        </w:rPr>
        <w:t> </w:t>
      </w:r>
      <w:r w:rsidR="003849E8" w:rsidRPr="005350E6">
        <w:rPr>
          <w:noProof/>
          <w:u w:val="single"/>
        </w:rPr>
        <w:t> </w:t>
      </w:r>
      <w:r w:rsidR="003849E8" w:rsidRPr="005350E6">
        <w:rPr>
          <w:noProof/>
          <w:u w:val="single"/>
        </w:rPr>
        <w:t> </w:t>
      </w:r>
      <w:r w:rsidR="003849E8" w:rsidRPr="005350E6">
        <w:rPr>
          <w:noProof/>
          <w:u w:val="single"/>
        </w:rPr>
        <w:t> </w:t>
      </w:r>
      <w:r w:rsidR="003849E8" w:rsidRPr="005350E6">
        <w:rPr>
          <w:noProof/>
          <w:u w:val="single"/>
        </w:rPr>
        <w:t> </w:t>
      </w:r>
      <w:r w:rsidR="003849E8" w:rsidRPr="005350E6">
        <w:rPr>
          <w:u w:val="single"/>
        </w:rPr>
        <w:fldChar w:fldCharType="end"/>
      </w:r>
    </w:p>
    <w:p w:rsidR="00593C34" w:rsidRPr="00593C34" w:rsidRDefault="00593C34" w:rsidP="00593C34">
      <w:pPr>
        <w:spacing w:after="20" w:line="240" w:lineRule="auto"/>
      </w:pPr>
    </w:p>
    <w:p w:rsidR="00593C34" w:rsidRDefault="00593C34" w:rsidP="00593C34">
      <w:pPr>
        <w:pStyle w:val="Heading1"/>
      </w:pPr>
      <w:r>
        <w:t>Total Closure Cost Estimate</w:t>
      </w:r>
    </w:p>
    <w:tbl>
      <w:tblPr>
        <w:tblStyle w:val="GridTable1Light"/>
        <w:tblW w:w="0" w:type="auto"/>
        <w:tblLook w:val="04E0" w:firstRow="1" w:lastRow="1" w:firstColumn="1" w:lastColumn="0" w:noHBand="0" w:noVBand="1"/>
        <w:tblCaption w:val="Outline of Total Facility Closure Costs"/>
        <w:tblDescription w:val="Each row identifies items that must be considered in determining the total closure cost for a solid waste management facility."/>
      </w:tblPr>
      <w:tblGrid>
        <w:gridCol w:w="4945"/>
        <w:gridCol w:w="1710"/>
        <w:gridCol w:w="4135"/>
      </w:tblGrid>
      <w:tr w:rsidR="00593C34" w:rsidTr="004E5B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45" w:type="dxa"/>
          </w:tcPr>
          <w:p w:rsidR="00593C34" w:rsidRDefault="00593C34" w:rsidP="00593C34">
            <w:r>
              <w:t>Closure Cost Element</w:t>
            </w:r>
          </w:p>
        </w:tc>
        <w:tc>
          <w:tcPr>
            <w:tcW w:w="1710" w:type="dxa"/>
          </w:tcPr>
          <w:p w:rsidR="00593C34" w:rsidRDefault="00593C34" w:rsidP="00593C34">
            <w:pPr>
              <w:cnfStyle w:val="100000000000" w:firstRow="1" w:lastRow="0" w:firstColumn="0" w:lastColumn="0" w:oddVBand="0" w:evenVBand="0" w:oddHBand="0" w:evenHBand="0" w:firstRowFirstColumn="0" w:firstRowLastColumn="0" w:lastRowFirstColumn="0" w:lastRowLastColumn="0"/>
            </w:pPr>
            <w:r>
              <w:t>Total Cost</w:t>
            </w:r>
          </w:p>
        </w:tc>
        <w:tc>
          <w:tcPr>
            <w:tcW w:w="4135" w:type="dxa"/>
          </w:tcPr>
          <w:p w:rsidR="00593C34" w:rsidRDefault="00593C34" w:rsidP="00593C34">
            <w:pPr>
              <w:cnfStyle w:val="100000000000" w:firstRow="1" w:lastRow="0" w:firstColumn="0" w:lastColumn="0" w:oddVBand="0" w:evenVBand="0" w:oddHBand="0" w:evenHBand="0" w:firstRowFirstColumn="0" w:firstRowLastColumn="0" w:lastRowFirstColumn="0" w:lastRowLastColumn="0"/>
            </w:pPr>
            <w:r>
              <w:t>Notes</w:t>
            </w:r>
          </w:p>
        </w:tc>
      </w:tr>
      <w:tr w:rsidR="00593C34" w:rsidTr="004E5B1C">
        <w:tc>
          <w:tcPr>
            <w:cnfStyle w:val="001000000000" w:firstRow="0" w:lastRow="0" w:firstColumn="1" w:lastColumn="0" w:oddVBand="0" w:evenVBand="0" w:oddHBand="0" w:evenHBand="0" w:firstRowFirstColumn="0" w:firstRowLastColumn="0" w:lastRowFirstColumn="0" w:lastRowLastColumn="0"/>
            <w:tcW w:w="4945" w:type="dxa"/>
            <w:vAlign w:val="center"/>
          </w:tcPr>
          <w:p w:rsidR="00593C34" w:rsidRDefault="00593C34" w:rsidP="004E5B1C">
            <w:r>
              <w:t>Total Waste Removal Cost (including stockpiles):</w:t>
            </w:r>
          </w:p>
        </w:tc>
        <w:tc>
          <w:tcPr>
            <w:tcW w:w="1710" w:type="dxa"/>
            <w:vAlign w:val="center"/>
          </w:tcPr>
          <w:p w:rsidR="00593C34" w:rsidRDefault="00593C34" w:rsidP="004E5B1C">
            <w:pPr>
              <w:cnfStyle w:val="000000000000" w:firstRow="0" w:lastRow="0" w:firstColumn="0" w:lastColumn="0" w:oddVBand="0" w:evenVBand="0" w:oddHBand="0" w:evenHBand="0" w:firstRowFirstColumn="0" w:firstRowLastColumn="0" w:lastRowFirstColumn="0" w:lastRowLastColumn="0"/>
            </w:pPr>
            <w:r>
              <w:t>$</w:t>
            </w:r>
            <w:r w:rsidRPr="00593C34">
              <w:fldChar w:fldCharType="begin">
                <w:ffData>
                  <w:name w:val="Text1"/>
                  <w:enabled/>
                  <w:calcOnExit w:val="0"/>
                  <w:textInput/>
                </w:ffData>
              </w:fldChar>
            </w:r>
            <w:r w:rsidRPr="00593C34">
              <w:instrText xml:space="preserve"> FORMTEXT </w:instrText>
            </w:r>
            <w:r w:rsidRPr="00593C34">
              <w:fldChar w:fldCharType="separate"/>
            </w:r>
            <w:r w:rsidRPr="00593C34">
              <w:rPr>
                <w:noProof/>
              </w:rPr>
              <w:t> </w:t>
            </w:r>
            <w:r w:rsidRPr="00593C34">
              <w:rPr>
                <w:noProof/>
              </w:rPr>
              <w:t> </w:t>
            </w:r>
            <w:r w:rsidRPr="00593C34">
              <w:rPr>
                <w:noProof/>
              </w:rPr>
              <w:t> </w:t>
            </w:r>
            <w:r w:rsidRPr="00593C34">
              <w:rPr>
                <w:noProof/>
              </w:rPr>
              <w:t> </w:t>
            </w:r>
            <w:r w:rsidRPr="00593C34">
              <w:rPr>
                <w:noProof/>
              </w:rPr>
              <w:t> </w:t>
            </w:r>
            <w:r w:rsidRPr="00593C34">
              <w:fldChar w:fldCharType="end"/>
            </w:r>
          </w:p>
        </w:tc>
        <w:tc>
          <w:tcPr>
            <w:tcW w:w="4135" w:type="dxa"/>
            <w:vAlign w:val="center"/>
          </w:tcPr>
          <w:p w:rsidR="00593C34" w:rsidRDefault="00593C34" w:rsidP="004E5B1C">
            <w:pPr>
              <w:cnfStyle w:val="000000000000" w:firstRow="0" w:lastRow="0" w:firstColumn="0" w:lastColumn="0" w:oddVBand="0" w:evenVBand="0" w:oddHBand="0" w:evenHBand="0" w:firstRowFirstColumn="0" w:firstRowLastColumn="0" w:lastRowFirstColumn="0" w:lastRowLastColumn="0"/>
            </w:pPr>
            <w:r>
              <w:t>Specify Loading / Hauling and Disposal Rate ($/ton) or ($/cy): $</w:t>
            </w:r>
            <w:r w:rsidRPr="00593C34">
              <w:fldChar w:fldCharType="begin">
                <w:ffData>
                  <w:name w:val="Text1"/>
                  <w:enabled/>
                  <w:calcOnExit w:val="0"/>
                  <w:textInput/>
                </w:ffData>
              </w:fldChar>
            </w:r>
            <w:r w:rsidRPr="00593C34">
              <w:instrText xml:space="preserve"> FORMTEXT </w:instrText>
            </w:r>
            <w:r w:rsidRPr="00593C34">
              <w:fldChar w:fldCharType="separate"/>
            </w:r>
            <w:r w:rsidRPr="00593C34">
              <w:rPr>
                <w:noProof/>
              </w:rPr>
              <w:t> </w:t>
            </w:r>
            <w:r w:rsidRPr="00593C34">
              <w:rPr>
                <w:noProof/>
              </w:rPr>
              <w:t> </w:t>
            </w:r>
            <w:r w:rsidRPr="00593C34">
              <w:rPr>
                <w:noProof/>
              </w:rPr>
              <w:t> </w:t>
            </w:r>
            <w:r w:rsidRPr="00593C34">
              <w:rPr>
                <w:noProof/>
              </w:rPr>
              <w:t> </w:t>
            </w:r>
            <w:r w:rsidRPr="00593C34">
              <w:rPr>
                <w:noProof/>
              </w:rPr>
              <w:t> </w:t>
            </w:r>
            <w:r w:rsidRPr="00593C34">
              <w:fldChar w:fldCharType="end"/>
            </w:r>
          </w:p>
        </w:tc>
      </w:tr>
      <w:tr w:rsidR="00593C34" w:rsidTr="004E5B1C">
        <w:tc>
          <w:tcPr>
            <w:cnfStyle w:val="001000000000" w:firstRow="0" w:lastRow="0" w:firstColumn="1" w:lastColumn="0" w:oddVBand="0" w:evenVBand="0" w:oddHBand="0" w:evenHBand="0" w:firstRowFirstColumn="0" w:firstRowLastColumn="0" w:lastRowFirstColumn="0" w:lastRowLastColumn="0"/>
            <w:tcW w:w="4945" w:type="dxa"/>
            <w:vAlign w:val="center"/>
          </w:tcPr>
          <w:p w:rsidR="00593C34" w:rsidRDefault="00593C34" w:rsidP="004E5B1C">
            <w:r>
              <w:t>Total Leachate / Washwater Removal Cost:</w:t>
            </w:r>
          </w:p>
        </w:tc>
        <w:tc>
          <w:tcPr>
            <w:tcW w:w="1710" w:type="dxa"/>
            <w:vAlign w:val="center"/>
          </w:tcPr>
          <w:p w:rsidR="00593C34" w:rsidRDefault="00593C34" w:rsidP="004E5B1C">
            <w:pPr>
              <w:cnfStyle w:val="000000000000" w:firstRow="0" w:lastRow="0" w:firstColumn="0" w:lastColumn="0" w:oddVBand="0" w:evenVBand="0" w:oddHBand="0" w:evenHBand="0" w:firstRowFirstColumn="0" w:firstRowLastColumn="0" w:lastRowFirstColumn="0" w:lastRowLastColumn="0"/>
            </w:pPr>
            <w:r>
              <w:t>$</w:t>
            </w:r>
            <w:r w:rsidRPr="00593C34">
              <w:fldChar w:fldCharType="begin">
                <w:ffData>
                  <w:name w:val="Text1"/>
                  <w:enabled/>
                  <w:calcOnExit w:val="0"/>
                  <w:textInput/>
                </w:ffData>
              </w:fldChar>
            </w:r>
            <w:r w:rsidRPr="00593C34">
              <w:instrText xml:space="preserve"> FORMTEXT </w:instrText>
            </w:r>
            <w:r w:rsidRPr="00593C34">
              <w:fldChar w:fldCharType="separate"/>
            </w:r>
            <w:r w:rsidRPr="00593C34">
              <w:rPr>
                <w:noProof/>
              </w:rPr>
              <w:t> </w:t>
            </w:r>
            <w:r w:rsidRPr="00593C34">
              <w:rPr>
                <w:noProof/>
              </w:rPr>
              <w:t> </w:t>
            </w:r>
            <w:r w:rsidRPr="00593C34">
              <w:rPr>
                <w:noProof/>
              </w:rPr>
              <w:t> </w:t>
            </w:r>
            <w:r w:rsidRPr="00593C34">
              <w:rPr>
                <w:noProof/>
              </w:rPr>
              <w:t> </w:t>
            </w:r>
            <w:r w:rsidRPr="00593C34">
              <w:rPr>
                <w:noProof/>
              </w:rPr>
              <w:t> </w:t>
            </w:r>
            <w:r w:rsidRPr="00593C34">
              <w:fldChar w:fldCharType="end"/>
            </w:r>
          </w:p>
        </w:tc>
        <w:tc>
          <w:tcPr>
            <w:tcW w:w="4135" w:type="dxa"/>
            <w:vAlign w:val="center"/>
          </w:tcPr>
          <w:p w:rsidR="00593C34" w:rsidRDefault="00593C34" w:rsidP="004E5B1C">
            <w:pPr>
              <w:cnfStyle w:val="000000000000" w:firstRow="0" w:lastRow="0" w:firstColumn="0" w:lastColumn="0" w:oddVBand="0" w:evenVBand="0" w:oddHBand="0" w:evenHBand="0" w:firstRowFirstColumn="0" w:firstRowLastColumn="0" w:lastRowFirstColumn="0" w:lastRowLastColumn="0"/>
            </w:pPr>
            <w:r>
              <w:t>Specify Loading / Hauling and Disposal Rate ($/ton) or ($/gal): $</w:t>
            </w:r>
            <w:r w:rsidRPr="00593C34">
              <w:fldChar w:fldCharType="begin">
                <w:ffData>
                  <w:name w:val="Text1"/>
                  <w:enabled/>
                  <w:calcOnExit w:val="0"/>
                  <w:textInput/>
                </w:ffData>
              </w:fldChar>
            </w:r>
            <w:r w:rsidRPr="00593C34">
              <w:instrText xml:space="preserve"> FORMTEXT </w:instrText>
            </w:r>
            <w:r w:rsidRPr="00593C34">
              <w:fldChar w:fldCharType="separate"/>
            </w:r>
            <w:r w:rsidRPr="00593C34">
              <w:rPr>
                <w:noProof/>
              </w:rPr>
              <w:t> </w:t>
            </w:r>
            <w:r w:rsidRPr="00593C34">
              <w:rPr>
                <w:noProof/>
              </w:rPr>
              <w:t> </w:t>
            </w:r>
            <w:r w:rsidRPr="00593C34">
              <w:rPr>
                <w:noProof/>
              </w:rPr>
              <w:t> </w:t>
            </w:r>
            <w:r w:rsidRPr="00593C34">
              <w:rPr>
                <w:noProof/>
              </w:rPr>
              <w:t> </w:t>
            </w:r>
            <w:r w:rsidRPr="00593C34">
              <w:rPr>
                <w:noProof/>
              </w:rPr>
              <w:t> </w:t>
            </w:r>
            <w:r w:rsidRPr="00593C34">
              <w:fldChar w:fldCharType="end"/>
            </w:r>
          </w:p>
        </w:tc>
      </w:tr>
      <w:tr w:rsidR="00593C34" w:rsidTr="004E5B1C">
        <w:tc>
          <w:tcPr>
            <w:cnfStyle w:val="001000000000" w:firstRow="0" w:lastRow="0" w:firstColumn="1" w:lastColumn="0" w:oddVBand="0" w:evenVBand="0" w:oddHBand="0" w:evenHBand="0" w:firstRowFirstColumn="0" w:firstRowLastColumn="0" w:lastRowFirstColumn="0" w:lastRowLastColumn="0"/>
            <w:tcW w:w="4945" w:type="dxa"/>
            <w:vAlign w:val="center"/>
          </w:tcPr>
          <w:p w:rsidR="00593C34" w:rsidRDefault="00593C34" w:rsidP="004E5B1C">
            <w:r>
              <w:t>Total Decontamination Cost:</w:t>
            </w:r>
          </w:p>
        </w:tc>
        <w:tc>
          <w:tcPr>
            <w:tcW w:w="1710" w:type="dxa"/>
            <w:vAlign w:val="center"/>
          </w:tcPr>
          <w:p w:rsidR="00593C34" w:rsidRDefault="00593C34" w:rsidP="004E5B1C">
            <w:pPr>
              <w:cnfStyle w:val="000000000000" w:firstRow="0" w:lastRow="0" w:firstColumn="0" w:lastColumn="0" w:oddVBand="0" w:evenVBand="0" w:oddHBand="0" w:evenHBand="0" w:firstRowFirstColumn="0" w:firstRowLastColumn="0" w:lastRowFirstColumn="0" w:lastRowLastColumn="0"/>
            </w:pPr>
            <w:r>
              <w:t>$</w:t>
            </w:r>
            <w:r w:rsidRPr="00593C34">
              <w:fldChar w:fldCharType="begin">
                <w:ffData>
                  <w:name w:val="Text1"/>
                  <w:enabled/>
                  <w:calcOnExit w:val="0"/>
                  <w:textInput/>
                </w:ffData>
              </w:fldChar>
            </w:r>
            <w:r w:rsidRPr="00593C34">
              <w:instrText xml:space="preserve"> FORMTEXT </w:instrText>
            </w:r>
            <w:r w:rsidRPr="00593C34">
              <w:fldChar w:fldCharType="separate"/>
            </w:r>
            <w:r w:rsidRPr="00593C34">
              <w:rPr>
                <w:noProof/>
              </w:rPr>
              <w:t> </w:t>
            </w:r>
            <w:r w:rsidRPr="00593C34">
              <w:rPr>
                <w:noProof/>
              </w:rPr>
              <w:t> </w:t>
            </w:r>
            <w:r w:rsidRPr="00593C34">
              <w:rPr>
                <w:noProof/>
              </w:rPr>
              <w:t> </w:t>
            </w:r>
            <w:r w:rsidRPr="00593C34">
              <w:rPr>
                <w:noProof/>
              </w:rPr>
              <w:t> </w:t>
            </w:r>
            <w:r w:rsidRPr="00593C34">
              <w:rPr>
                <w:noProof/>
              </w:rPr>
              <w:t> </w:t>
            </w:r>
            <w:r w:rsidRPr="00593C34">
              <w:fldChar w:fldCharType="end"/>
            </w:r>
          </w:p>
        </w:tc>
        <w:tc>
          <w:tcPr>
            <w:tcW w:w="4135" w:type="dxa"/>
            <w:vAlign w:val="center"/>
          </w:tcPr>
          <w:p w:rsidR="00593C34" w:rsidRDefault="00593C34" w:rsidP="004E5B1C">
            <w:pPr>
              <w:cnfStyle w:val="000000000000" w:firstRow="0" w:lastRow="0" w:firstColumn="0" w:lastColumn="0" w:oddVBand="0" w:evenVBand="0" w:oddHBand="0" w:evenHBand="0" w:firstRowFirstColumn="0" w:firstRowLastColumn="0" w:lastRowFirstColumn="0" w:lastRowLastColumn="0"/>
            </w:pPr>
          </w:p>
        </w:tc>
      </w:tr>
      <w:tr w:rsidR="00593C34" w:rsidTr="004E5B1C">
        <w:tc>
          <w:tcPr>
            <w:cnfStyle w:val="001000000000" w:firstRow="0" w:lastRow="0" w:firstColumn="1" w:lastColumn="0" w:oddVBand="0" w:evenVBand="0" w:oddHBand="0" w:evenHBand="0" w:firstRowFirstColumn="0" w:firstRowLastColumn="0" w:lastRowFirstColumn="0" w:lastRowLastColumn="0"/>
            <w:tcW w:w="4945" w:type="dxa"/>
            <w:vAlign w:val="center"/>
          </w:tcPr>
          <w:p w:rsidR="00593C34" w:rsidRDefault="00593C34" w:rsidP="004E5B1C">
            <w:r>
              <w:t>Total Postclosure Cost (if necessary):</w:t>
            </w:r>
          </w:p>
        </w:tc>
        <w:tc>
          <w:tcPr>
            <w:tcW w:w="1710" w:type="dxa"/>
            <w:vAlign w:val="center"/>
          </w:tcPr>
          <w:p w:rsidR="00593C34" w:rsidRDefault="00593C34" w:rsidP="004E5B1C">
            <w:pPr>
              <w:cnfStyle w:val="000000000000" w:firstRow="0" w:lastRow="0" w:firstColumn="0" w:lastColumn="0" w:oddVBand="0" w:evenVBand="0" w:oddHBand="0" w:evenHBand="0" w:firstRowFirstColumn="0" w:firstRowLastColumn="0" w:lastRowFirstColumn="0" w:lastRowLastColumn="0"/>
            </w:pPr>
            <w:r>
              <w:t>$</w:t>
            </w:r>
            <w:r w:rsidRPr="00593C34">
              <w:fldChar w:fldCharType="begin">
                <w:ffData>
                  <w:name w:val="Text1"/>
                  <w:enabled/>
                  <w:calcOnExit w:val="0"/>
                  <w:textInput/>
                </w:ffData>
              </w:fldChar>
            </w:r>
            <w:r w:rsidRPr="00593C34">
              <w:instrText xml:space="preserve"> FORMTEXT </w:instrText>
            </w:r>
            <w:r w:rsidRPr="00593C34">
              <w:fldChar w:fldCharType="separate"/>
            </w:r>
            <w:r w:rsidRPr="00593C34">
              <w:rPr>
                <w:noProof/>
              </w:rPr>
              <w:t> </w:t>
            </w:r>
            <w:r w:rsidRPr="00593C34">
              <w:rPr>
                <w:noProof/>
              </w:rPr>
              <w:t> </w:t>
            </w:r>
            <w:r w:rsidRPr="00593C34">
              <w:rPr>
                <w:noProof/>
              </w:rPr>
              <w:t> </w:t>
            </w:r>
            <w:r w:rsidRPr="00593C34">
              <w:rPr>
                <w:noProof/>
              </w:rPr>
              <w:t> </w:t>
            </w:r>
            <w:r w:rsidRPr="00593C34">
              <w:rPr>
                <w:noProof/>
              </w:rPr>
              <w:t> </w:t>
            </w:r>
            <w:r w:rsidRPr="00593C34">
              <w:fldChar w:fldCharType="end"/>
            </w:r>
          </w:p>
        </w:tc>
        <w:tc>
          <w:tcPr>
            <w:tcW w:w="4135" w:type="dxa"/>
            <w:vAlign w:val="center"/>
          </w:tcPr>
          <w:p w:rsidR="00593C34" w:rsidRDefault="00593C34" w:rsidP="004E5B1C">
            <w:pPr>
              <w:cnfStyle w:val="000000000000" w:firstRow="0" w:lastRow="0" w:firstColumn="0" w:lastColumn="0" w:oddVBand="0" w:evenVBand="0" w:oddHBand="0" w:evenHBand="0" w:firstRowFirstColumn="0" w:firstRowLastColumn="0" w:lastRowFirstColumn="0" w:lastRowLastColumn="0"/>
            </w:pPr>
          </w:p>
        </w:tc>
      </w:tr>
      <w:tr w:rsidR="00593C34" w:rsidTr="004E5B1C">
        <w:tc>
          <w:tcPr>
            <w:cnfStyle w:val="001000000000" w:firstRow="0" w:lastRow="0" w:firstColumn="1" w:lastColumn="0" w:oddVBand="0" w:evenVBand="0" w:oddHBand="0" w:evenHBand="0" w:firstRowFirstColumn="0" w:firstRowLastColumn="0" w:lastRowFirstColumn="0" w:lastRowLastColumn="0"/>
            <w:tcW w:w="4945" w:type="dxa"/>
            <w:vAlign w:val="center"/>
          </w:tcPr>
          <w:p w:rsidR="00593C34" w:rsidRDefault="00593C34" w:rsidP="004E5B1C">
            <w:r>
              <w:t>Total P.E. Certification of Closure:</w:t>
            </w:r>
          </w:p>
        </w:tc>
        <w:tc>
          <w:tcPr>
            <w:tcW w:w="1710" w:type="dxa"/>
            <w:vAlign w:val="center"/>
          </w:tcPr>
          <w:p w:rsidR="00593C34" w:rsidRDefault="00593C34" w:rsidP="004E5B1C">
            <w:pPr>
              <w:cnfStyle w:val="000000000000" w:firstRow="0" w:lastRow="0" w:firstColumn="0" w:lastColumn="0" w:oddVBand="0" w:evenVBand="0" w:oddHBand="0" w:evenHBand="0" w:firstRowFirstColumn="0" w:firstRowLastColumn="0" w:lastRowFirstColumn="0" w:lastRowLastColumn="0"/>
            </w:pPr>
            <w:r>
              <w:t>$</w:t>
            </w:r>
            <w:r w:rsidRPr="00593C34">
              <w:fldChar w:fldCharType="begin">
                <w:ffData>
                  <w:name w:val="Text1"/>
                  <w:enabled/>
                  <w:calcOnExit w:val="0"/>
                  <w:textInput/>
                </w:ffData>
              </w:fldChar>
            </w:r>
            <w:r w:rsidRPr="00593C34">
              <w:instrText xml:space="preserve"> FORMTEXT </w:instrText>
            </w:r>
            <w:r w:rsidRPr="00593C34">
              <w:fldChar w:fldCharType="separate"/>
            </w:r>
            <w:r w:rsidRPr="00593C34">
              <w:rPr>
                <w:noProof/>
              </w:rPr>
              <w:t> </w:t>
            </w:r>
            <w:r w:rsidRPr="00593C34">
              <w:rPr>
                <w:noProof/>
              </w:rPr>
              <w:t> </w:t>
            </w:r>
            <w:r w:rsidRPr="00593C34">
              <w:rPr>
                <w:noProof/>
              </w:rPr>
              <w:t> </w:t>
            </w:r>
            <w:r w:rsidRPr="00593C34">
              <w:rPr>
                <w:noProof/>
              </w:rPr>
              <w:t> </w:t>
            </w:r>
            <w:r w:rsidRPr="00593C34">
              <w:rPr>
                <w:noProof/>
              </w:rPr>
              <w:t> </w:t>
            </w:r>
            <w:r w:rsidRPr="00593C34">
              <w:fldChar w:fldCharType="end"/>
            </w:r>
          </w:p>
        </w:tc>
        <w:tc>
          <w:tcPr>
            <w:tcW w:w="4135" w:type="dxa"/>
            <w:vAlign w:val="center"/>
          </w:tcPr>
          <w:p w:rsidR="00593C34" w:rsidRDefault="00593C34" w:rsidP="004E5B1C">
            <w:pPr>
              <w:cnfStyle w:val="000000000000" w:firstRow="0" w:lastRow="0" w:firstColumn="0" w:lastColumn="0" w:oddVBand="0" w:evenVBand="0" w:oddHBand="0" w:evenHBand="0" w:firstRowFirstColumn="0" w:firstRowLastColumn="0" w:lastRowFirstColumn="0" w:lastRowLastColumn="0"/>
            </w:pPr>
          </w:p>
        </w:tc>
      </w:tr>
      <w:tr w:rsidR="00593C34" w:rsidTr="004E5B1C">
        <w:tc>
          <w:tcPr>
            <w:cnfStyle w:val="001000000000" w:firstRow="0" w:lastRow="0" w:firstColumn="1" w:lastColumn="0" w:oddVBand="0" w:evenVBand="0" w:oddHBand="0" w:evenHBand="0" w:firstRowFirstColumn="0" w:firstRowLastColumn="0" w:lastRowFirstColumn="0" w:lastRowLastColumn="0"/>
            <w:tcW w:w="4945" w:type="dxa"/>
            <w:vAlign w:val="center"/>
          </w:tcPr>
          <w:p w:rsidR="00593C34" w:rsidRDefault="00593C34" w:rsidP="004E5B1C">
            <w:r>
              <w:t xml:space="preserve">Total Other: </w:t>
            </w:r>
          </w:p>
        </w:tc>
        <w:tc>
          <w:tcPr>
            <w:tcW w:w="1710" w:type="dxa"/>
            <w:vAlign w:val="center"/>
          </w:tcPr>
          <w:p w:rsidR="00593C34" w:rsidRDefault="00593C34" w:rsidP="004E5B1C">
            <w:pPr>
              <w:cnfStyle w:val="000000000000" w:firstRow="0" w:lastRow="0" w:firstColumn="0" w:lastColumn="0" w:oddVBand="0" w:evenVBand="0" w:oddHBand="0" w:evenHBand="0" w:firstRowFirstColumn="0" w:firstRowLastColumn="0" w:lastRowFirstColumn="0" w:lastRowLastColumn="0"/>
            </w:pPr>
            <w:r>
              <w:t>$</w:t>
            </w:r>
            <w:r w:rsidRPr="00593C34">
              <w:fldChar w:fldCharType="begin">
                <w:ffData>
                  <w:name w:val="Text1"/>
                  <w:enabled/>
                  <w:calcOnExit w:val="0"/>
                  <w:textInput/>
                </w:ffData>
              </w:fldChar>
            </w:r>
            <w:r w:rsidRPr="00593C34">
              <w:instrText xml:space="preserve"> FORMTEXT </w:instrText>
            </w:r>
            <w:r w:rsidRPr="00593C34">
              <w:fldChar w:fldCharType="separate"/>
            </w:r>
            <w:r w:rsidRPr="00593C34">
              <w:rPr>
                <w:noProof/>
              </w:rPr>
              <w:t> </w:t>
            </w:r>
            <w:r w:rsidRPr="00593C34">
              <w:rPr>
                <w:noProof/>
              </w:rPr>
              <w:t> </w:t>
            </w:r>
            <w:r w:rsidRPr="00593C34">
              <w:rPr>
                <w:noProof/>
              </w:rPr>
              <w:t> </w:t>
            </w:r>
            <w:r w:rsidRPr="00593C34">
              <w:rPr>
                <w:noProof/>
              </w:rPr>
              <w:t> </w:t>
            </w:r>
            <w:r w:rsidRPr="00593C34">
              <w:rPr>
                <w:noProof/>
              </w:rPr>
              <w:t> </w:t>
            </w:r>
            <w:r w:rsidRPr="00593C34">
              <w:fldChar w:fldCharType="end"/>
            </w:r>
          </w:p>
        </w:tc>
        <w:tc>
          <w:tcPr>
            <w:tcW w:w="4135" w:type="dxa"/>
            <w:vAlign w:val="center"/>
          </w:tcPr>
          <w:p w:rsidR="00593C34" w:rsidRDefault="00593C34" w:rsidP="004E5B1C">
            <w:pPr>
              <w:cnfStyle w:val="000000000000" w:firstRow="0" w:lastRow="0" w:firstColumn="0" w:lastColumn="0" w:oddVBand="0" w:evenVBand="0" w:oddHBand="0" w:evenHBand="0" w:firstRowFirstColumn="0" w:firstRowLastColumn="0" w:lastRowFirstColumn="0" w:lastRowLastColumn="0"/>
            </w:pPr>
            <w:r>
              <w:t xml:space="preserve">Specify: </w:t>
            </w:r>
            <w:r w:rsidRPr="00593C34">
              <w:fldChar w:fldCharType="begin">
                <w:ffData>
                  <w:name w:val="Text1"/>
                  <w:enabled/>
                  <w:calcOnExit w:val="0"/>
                  <w:textInput/>
                </w:ffData>
              </w:fldChar>
            </w:r>
            <w:r w:rsidRPr="00593C34">
              <w:instrText xml:space="preserve"> FORMTEXT </w:instrText>
            </w:r>
            <w:r w:rsidRPr="00593C34">
              <w:fldChar w:fldCharType="separate"/>
            </w:r>
            <w:r w:rsidRPr="00593C34">
              <w:rPr>
                <w:noProof/>
              </w:rPr>
              <w:t> </w:t>
            </w:r>
            <w:r w:rsidRPr="00593C34">
              <w:rPr>
                <w:noProof/>
              </w:rPr>
              <w:t> </w:t>
            </w:r>
            <w:r w:rsidRPr="00593C34">
              <w:rPr>
                <w:noProof/>
              </w:rPr>
              <w:t> </w:t>
            </w:r>
            <w:r w:rsidRPr="00593C34">
              <w:rPr>
                <w:noProof/>
              </w:rPr>
              <w:t> </w:t>
            </w:r>
            <w:r w:rsidRPr="00593C34">
              <w:rPr>
                <w:noProof/>
              </w:rPr>
              <w:t> </w:t>
            </w:r>
            <w:r w:rsidRPr="00593C34">
              <w:fldChar w:fldCharType="end"/>
            </w:r>
          </w:p>
        </w:tc>
      </w:tr>
      <w:tr w:rsidR="00593C34" w:rsidTr="004E5B1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rsidR="00593C34" w:rsidRDefault="00593C34" w:rsidP="00593C34">
            <w:r>
              <w:t>Total:</w:t>
            </w:r>
          </w:p>
        </w:tc>
        <w:tc>
          <w:tcPr>
            <w:tcW w:w="1710" w:type="dxa"/>
          </w:tcPr>
          <w:p w:rsidR="00593C34" w:rsidRDefault="00593C34" w:rsidP="00593C34">
            <w:pPr>
              <w:cnfStyle w:val="010000000000" w:firstRow="0" w:lastRow="1" w:firstColumn="0" w:lastColumn="0" w:oddVBand="0" w:evenVBand="0" w:oddHBand="0" w:evenHBand="0" w:firstRowFirstColumn="0" w:firstRowLastColumn="0" w:lastRowFirstColumn="0" w:lastRowLastColumn="0"/>
            </w:pPr>
            <w:r>
              <w:t>$</w:t>
            </w:r>
            <w:r w:rsidRPr="00593C34">
              <w:fldChar w:fldCharType="begin">
                <w:ffData>
                  <w:name w:val="Text1"/>
                  <w:enabled/>
                  <w:calcOnExit w:val="0"/>
                  <w:textInput/>
                </w:ffData>
              </w:fldChar>
            </w:r>
            <w:r w:rsidRPr="00593C34">
              <w:instrText xml:space="preserve"> FORMTEXT </w:instrText>
            </w:r>
            <w:r w:rsidRPr="00593C34">
              <w:fldChar w:fldCharType="separate"/>
            </w:r>
            <w:r w:rsidRPr="00593C34">
              <w:rPr>
                <w:noProof/>
              </w:rPr>
              <w:t> </w:t>
            </w:r>
            <w:r w:rsidRPr="00593C34">
              <w:rPr>
                <w:noProof/>
              </w:rPr>
              <w:t> </w:t>
            </w:r>
            <w:r w:rsidRPr="00593C34">
              <w:rPr>
                <w:noProof/>
              </w:rPr>
              <w:t> </w:t>
            </w:r>
            <w:r w:rsidRPr="00593C34">
              <w:rPr>
                <w:noProof/>
              </w:rPr>
              <w:t> </w:t>
            </w:r>
            <w:r w:rsidRPr="00593C34">
              <w:rPr>
                <w:noProof/>
              </w:rPr>
              <w:t> </w:t>
            </w:r>
            <w:r w:rsidRPr="00593C34">
              <w:fldChar w:fldCharType="end"/>
            </w:r>
          </w:p>
        </w:tc>
        <w:tc>
          <w:tcPr>
            <w:tcW w:w="4135" w:type="dxa"/>
          </w:tcPr>
          <w:p w:rsidR="00593C34" w:rsidRDefault="00593C34" w:rsidP="00593C34">
            <w:pPr>
              <w:cnfStyle w:val="010000000000" w:firstRow="0" w:lastRow="1" w:firstColumn="0" w:lastColumn="0" w:oddVBand="0" w:evenVBand="0" w:oddHBand="0" w:evenHBand="0" w:firstRowFirstColumn="0" w:firstRowLastColumn="0" w:lastRowFirstColumn="0" w:lastRowLastColumn="0"/>
            </w:pPr>
          </w:p>
        </w:tc>
      </w:tr>
    </w:tbl>
    <w:p w:rsidR="004E5B1C" w:rsidRPr="00593C34" w:rsidRDefault="004E5B1C" w:rsidP="00593C34">
      <w:r w:rsidRPr="004E5B1C">
        <w:rPr>
          <w:b/>
        </w:rPr>
        <w:t>References:</w:t>
      </w:r>
      <w:r>
        <w:t xml:space="preserve"> Please indicate references used to develop this cost estimate, specify any assumptions made, and provide any supplemental calculations as necessary: </w:t>
      </w:r>
      <w:r w:rsidRPr="004E5B1C">
        <w:rPr>
          <w:u w:val="single"/>
        </w:rPr>
        <w:fldChar w:fldCharType="begin">
          <w:ffData>
            <w:name w:val="Text1"/>
            <w:enabled/>
            <w:calcOnExit w:val="0"/>
            <w:textInput/>
          </w:ffData>
        </w:fldChar>
      </w:r>
      <w:r w:rsidRPr="004E5B1C">
        <w:rPr>
          <w:u w:val="single"/>
        </w:rPr>
        <w:instrText xml:space="preserve"> FORMTEXT </w:instrText>
      </w:r>
      <w:r w:rsidRPr="004E5B1C">
        <w:rPr>
          <w:u w:val="single"/>
        </w:rPr>
      </w:r>
      <w:r w:rsidRPr="004E5B1C">
        <w:rPr>
          <w:u w:val="single"/>
        </w:rPr>
        <w:fldChar w:fldCharType="separate"/>
      </w:r>
      <w:r w:rsidRPr="004E5B1C">
        <w:rPr>
          <w:noProof/>
          <w:u w:val="single"/>
        </w:rPr>
        <w:t> </w:t>
      </w:r>
      <w:r w:rsidRPr="004E5B1C">
        <w:rPr>
          <w:noProof/>
          <w:u w:val="single"/>
        </w:rPr>
        <w:t> </w:t>
      </w:r>
      <w:r w:rsidRPr="004E5B1C">
        <w:rPr>
          <w:noProof/>
          <w:u w:val="single"/>
        </w:rPr>
        <w:t> </w:t>
      </w:r>
      <w:r w:rsidRPr="004E5B1C">
        <w:rPr>
          <w:noProof/>
          <w:u w:val="single"/>
        </w:rPr>
        <w:t> </w:t>
      </w:r>
      <w:r w:rsidRPr="004E5B1C">
        <w:rPr>
          <w:noProof/>
          <w:u w:val="single"/>
        </w:rPr>
        <w:t> </w:t>
      </w:r>
      <w:r w:rsidRPr="004E5B1C">
        <w:rPr>
          <w:u w:val="single"/>
        </w:rPr>
        <w:fldChar w:fldCharType="end"/>
      </w:r>
    </w:p>
    <w:p w:rsidR="00FF5BB7" w:rsidRDefault="00FF5BB7" w:rsidP="00313AAF">
      <w:pPr>
        <w:spacing w:after="0" w:line="240" w:lineRule="auto"/>
      </w:pPr>
    </w:p>
    <w:p w:rsidR="00241035" w:rsidRDefault="004E5B1C" w:rsidP="008A381F">
      <w:pPr>
        <w:pStyle w:val="Heading1"/>
      </w:pPr>
      <w:r>
        <w:t>CERTIFICATION BY PREPARER</w:t>
      </w:r>
    </w:p>
    <w:p w:rsidR="008A381F" w:rsidRDefault="004E5B1C" w:rsidP="008A381F">
      <w:pPr>
        <w:rPr>
          <w:rFonts w:eastAsia="Times New Roman" w:cs="Times New Roman"/>
        </w:rPr>
      </w:pPr>
      <w:r>
        <w:t xml:space="preserve">This is to certify that the cost estimates pertaining to the engineering features and monitoring requirements of this solid waste management facility </w:t>
      </w:r>
      <w:proofErr w:type="gramStart"/>
      <w:r>
        <w:t>have been prepared</w:t>
      </w:r>
      <w:proofErr w:type="gramEnd"/>
      <w:r>
        <w:t xml:space="preserve"> by me and are representative of the design specified in the facility’s Closure Plan.  The estimate is based on the cost of hiring a third party and does not incorporate any salvage value that may be realized by the sale of wastes, facility structures, or equipment, land or other facility assets at the time of closure.  In my professional judgment, the cost estimates are a true, correct, and complete representation of the financial liabilities for closure and postclosure care of the facility and comply with the requirements of </w:t>
      </w:r>
      <w:proofErr w:type="gramStart"/>
      <w:r>
        <w:t>9</w:t>
      </w:r>
      <w:proofErr w:type="gramEnd"/>
      <w:r>
        <w:t xml:space="preserve"> VAC 20-70 and all other DEQ rules and statutes of the Commonwealth of Virginia.</w:t>
      </w:r>
    </w:p>
    <w:p w:rsidR="008A381F" w:rsidRPr="003548A8" w:rsidRDefault="008A381F" w:rsidP="003161B7">
      <w:pPr>
        <w:tabs>
          <w:tab w:val="left" w:leader="underscore" w:pos="7920"/>
          <w:tab w:val="left" w:leader="underscore" w:pos="10800"/>
        </w:tabs>
        <w:spacing w:after="120"/>
      </w:pPr>
      <w:r w:rsidRPr="003548A8">
        <w:t>SIGNATURE</w:t>
      </w:r>
      <w:r w:rsidR="003161B7">
        <w:t>:</w:t>
      </w:r>
      <w:r w:rsidR="003161B7">
        <w:tab/>
        <w:t xml:space="preserve">DATE: </w:t>
      </w:r>
      <w:r w:rsidR="003161B7">
        <w:tab/>
      </w:r>
    </w:p>
    <w:p w:rsidR="008A381F" w:rsidRPr="003548A8" w:rsidRDefault="008A381F" w:rsidP="003849E8">
      <w:pPr>
        <w:tabs>
          <w:tab w:val="left" w:pos="7920"/>
          <w:tab w:val="left" w:leader="underscore" w:pos="10800"/>
        </w:tabs>
        <w:spacing w:after="0" w:line="240" w:lineRule="auto"/>
      </w:pPr>
      <w:r>
        <w:t>NAME</w:t>
      </w:r>
      <w:r w:rsidRPr="003548A8">
        <w:t xml:space="preserve">: </w:t>
      </w:r>
      <w:r w:rsidRPr="003548A8">
        <w:rPr>
          <w:u w:val="single"/>
        </w:rPr>
        <w:fldChar w:fldCharType="begin">
          <w:ffData>
            <w:name w:val=""/>
            <w:enabled/>
            <w:calcOnExit w:val="0"/>
            <w:statusText w:type="text" w:val="Name of Applicant signing form"/>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rsidR="003161B7">
        <w:tab/>
      </w:r>
    </w:p>
    <w:p w:rsidR="008A381F" w:rsidRPr="003548A8" w:rsidRDefault="008A381F" w:rsidP="003849E8">
      <w:pPr>
        <w:tabs>
          <w:tab w:val="left" w:pos="7020"/>
        </w:tabs>
        <w:spacing w:after="0" w:line="240" w:lineRule="auto"/>
        <w:rPr>
          <w:u w:val="single"/>
        </w:rPr>
      </w:pPr>
      <w:r w:rsidRPr="003548A8">
        <w:t xml:space="preserve">TITLE: </w:t>
      </w:r>
      <w:r w:rsidRPr="003548A8">
        <w:rPr>
          <w:u w:val="single"/>
        </w:rPr>
        <w:fldChar w:fldCharType="begin">
          <w:ffData>
            <w:name w:val=""/>
            <w:enabled/>
            <w:calcOnExit w:val="0"/>
            <w:statusText w:type="text" w:val="Applicant job position title"/>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p>
    <w:p w:rsidR="004E5B1C" w:rsidRPr="004E5B1C" w:rsidRDefault="004E5B1C" w:rsidP="00F17005">
      <w:pPr>
        <w:tabs>
          <w:tab w:val="left" w:pos="1440"/>
        </w:tabs>
        <w:rPr>
          <w:b/>
        </w:rPr>
      </w:pPr>
      <w:r w:rsidRPr="004E5B1C">
        <w:rPr>
          <w:b/>
        </w:rPr>
        <w:t xml:space="preserve">Acknowledgement by Owner / Operator: </w:t>
      </w:r>
    </w:p>
    <w:p w:rsidR="004E5B1C" w:rsidRPr="003548A8" w:rsidRDefault="004E5B1C" w:rsidP="004E5B1C">
      <w:pPr>
        <w:tabs>
          <w:tab w:val="left" w:leader="underscore" w:pos="7920"/>
          <w:tab w:val="left" w:leader="underscore" w:pos="10800"/>
        </w:tabs>
        <w:spacing w:after="120"/>
      </w:pPr>
      <w:r w:rsidRPr="003548A8">
        <w:t>SIGNATURE</w:t>
      </w:r>
      <w:r>
        <w:t>:</w:t>
      </w:r>
      <w:r>
        <w:tab/>
        <w:t xml:space="preserve">DATE: </w:t>
      </w:r>
      <w:r>
        <w:tab/>
      </w:r>
    </w:p>
    <w:p w:rsidR="004E5B1C" w:rsidRPr="003548A8" w:rsidRDefault="004E5B1C" w:rsidP="003849E8">
      <w:pPr>
        <w:tabs>
          <w:tab w:val="left" w:pos="7920"/>
          <w:tab w:val="left" w:leader="underscore" w:pos="10800"/>
        </w:tabs>
        <w:spacing w:after="0" w:line="240" w:lineRule="auto"/>
      </w:pPr>
      <w:r>
        <w:t>NAME</w:t>
      </w:r>
      <w:r w:rsidRPr="003548A8">
        <w:t xml:space="preserve">: </w:t>
      </w:r>
      <w:r w:rsidRPr="003548A8">
        <w:rPr>
          <w:u w:val="single"/>
        </w:rPr>
        <w:fldChar w:fldCharType="begin">
          <w:ffData>
            <w:name w:val=""/>
            <w:enabled/>
            <w:calcOnExit w:val="0"/>
            <w:statusText w:type="text" w:val="Name of Applicant signing form"/>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tab/>
      </w:r>
    </w:p>
    <w:p w:rsidR="003200C9" w:rsidRDefault="004E5B1C" w:rsidP="003849E8">
      <w:pPr>
        <w:tabs>
          <w:tab w:val="left" w:pos="7020"/>
        </w:tabs>
        <w:spacing w:after="0" w:line="240" w:lineRule="auto"/>
        <w:rPr>
          <w:u w:val="single"/>
        </w:rPr>
        <w:sectPr w:rsidR="003200C9" w:rsidSect="003849E8">
          <w:footerReference w:type="default" r:id="rId9"/>
          <w:footerReference w:type="first" r:id="rId10"/>
          <w:pgSz w:w="12240" w:h="15840"/>
          <w:pgMar w:top="720" w:right="720" w:bottom="720" w:left="720" w:header="720" w:footer="288" w:gutter="0"/>
          <w:cols w:space="720"/>
          <w:docGrid w:linePitch="360"/>
        </w:sectPr>
      </w:pPr>
      <w:r w:rsidRPr="003548A8">
        <w:t xml:space="preserve">TITLE: </w:t>
      </w:r>
      <w:r w:rsidRPr="003548A8">
        <w:rPr>
          <w:u w:val="single"/>
        </w:rPr>
        <w:fldChar w:fldCharType="begin">
          <w:ffData>
            <w:name w:val=""/>
            <w:enabled/>
            <w:calcOnExit w:val="0"/>
            <w:statusText w:type="text" w:val="Applicant job position title"/>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p>
    <w:p w:rsidR="003200C9" w:rsidRPr="00237304" w:rsidRDefault="003200C9" w:rsidP="003200C9">
      <w:pPr>
        <w:pStyle w:val="Heading2"/>
        <w:numPr>
          <w:ilvl w:val="0"/>
          <w:numId w:val="0"/>
        </w:numPr>
        <w:ind w:left="360" w:hanging="360"/>
        <w:jc w:val="center"/>
      </w:pPr>
      <w:r w:rsidRPr="00237304">
        <w:lastRenderedPageBreak/>
        <w:t>Instructions for Completing DEQ Form CE</w:t>
      </w:r>
      <w:r>
        <w:t xml:space="preserve"> SWMF</w:t>
      </w:r>
    </w:p>
    <w:p w:rsidR="00C22E90" w:rsidRDefault="003200C9" w:rsidP="003200C9">
      <w:pPr>
        <w:spacing w:after="0" w:line="240" w:lineRule="auto"/>
        <w:rPr>
          <w:rFonts w:eastAsia="Times New Roman" w:cs="Times New Roman"/>
        </w:rPr>
      </w:pPr>
      <w:r w:rsidRPr="00241035">
        <w:rPr>
          <w:rFonts w:eastAsia="Times New Roman" w:cs="Times New Roman"/>
        </w:rPr>
        <w:t xml:space="preserve">DEQ Form </w:t>
      </w:r>
      <w:r>
        <w:rPr>
          <w:rFonts w:eastAsia="Times New Roman" w:cs="Times New Roman"/>
        </w:rPr>
        <w:t xml:space="preserve">CE SWMF </w:t>
      </w:r>
      <w:proofErr w:type="gramStart"/>
      <w:r>
        <w:rPr>
          <w:rFonts w:eastAsia="Times New Roman" w:cs="Times New Roman"/>
        </w:rPr>
        <w:t>should be submitted</w:t>
      </w:r>
      <w:proofErr w:type="gramEnd"/>
      <w:r>
        <w:rPr>
          <w:rFonts w:eastAsia="Times New Roman" w:cs="Times New Roman"/>
        </w:rPr>
        <w:t xml:space="preserve"> by solid waste management facilities (SWMF) providing a new or updated cost estimate in accordance with a new permit</w:t>
      </w:r>
      <w:r w:rsidR="00973335">
        <w:rPr>
          <w:rFonts w:eastAsia="Times New Roman" w:cs="Times New Roman"/>
        </w:rPr>
        <w:t>,</w:t>
      </w:r>
      <w:r>
        <w:rPr>
          <w:rFonts w:eastAsia="Times New Roman" w:cs="Times New Roman"/>
        </w:rPr>
        <w:t xml:space="preserve"> permit </w:t>
      </w:r>
      <w:r w:rsidRPr="00241035">
        <w:rPr>
          <w:rFonts w:eastAsia="Times New Roman" w:cs="Times New Roman"/>
        </w:rPr>
        <w:t>modification</w:t>
      </w:r>
      <w:r w:rsidR="00973335">
        <w:rPr>
          <w:rFonts w:eastAsia="Times New Roman" w:cs="Times New Roman"/>
        </w:rPr>
        <w:t>,</w:t>
      </w:r>
      <w:r w:rsidR="00C22E90">
        <w:rPr>
          <w:rFonts w:eastAsia="Times New Roman" w:cs="Times New Roman"/>
        </w:rPr>
        <w:t xml:space="preserve"> or facility operational change</w:t>
      </w:r>
      <w:r>
        <w:rPr>
          <w:rFonts w:eastAsia="Times New Roman" w:cs="Times New Roman"/>
        </w:rPr>
        <w:t xml:space="preserve"> affecting the existing financial assurance cost estimate.  </w:t>
      </w:r>
      <w:r w:rsidR="00C22E90">
        <w:rPr>
          <w:rFonts w:eastAsia="Times New Roman" w:cs="Times New Roman"/>
        </w:rPr>
        <w:t xml:space="preserve">Examples of </w:t>
      </w:r>
      <w:r w:rsidR="00F51472">
        <w:rPr>
          <w:rFonts w:eastAsia="Times New Roman" w:cs="Times New Roman"/>
        </w:rPr>
        <w:t>operational changes</w:t>
      </w:r>
      <w:r w:rsidR="00C22E90">
        <w:rPr>
          <w:rFonts w:eastAsia="Times New Roman" w:cs="Times New Roman"/>
        </w:rPr>
        <w:t xml:space="preserve"> that </w:t>
      </w:r>
      <w:r w:rsidR="00F51472">
        <w:rPr>
          <w:rFonts w:eastAsia="Times New Roman" w:cs="Times New Roman"/>
        </w:rPr>
        <w:t>c</w:t>
      </w:r>
      <w:r w:rsidR="00C22E90">
        <w:rPr>
          <w:rFonts w:eastAsia="Times New Roman" w:cs="Times New Roman"/>
        </w:rPr>
        <w:t xml:space="preserve">ould require calculation of a revised cost estimate and submittal of this form </w:t>
      </w:r>
      <w:proofErr w:type="gramStart"/>
      <w:r w:rsidR="00C22E90">
        <w:rPr>
          <w:rFonts w:eastAsia="Times New Roman" w:cs="Times New Roman"/>
        </w:rPr>
        <w:t>are listed</w:t>
      </w:r>
      <w:proofErr w:type="gramEnd"/>
      <w:r w:rsidR="00C22E90">
        <w:rPr>
          <w:rFonts w:eastAsia="Times New Roman" w:cs="Times New Roman"/>
        </w:rPr>
        <w:t xml:space="preserve"> below: </w:t>
      </w:r>
    </w:p>
    <w:p w:rsidR="00C22E90" w:rsidRDefault="00C22E90" w:rsidP="00C22E90">
      <w:pPr>
        <w:pStyle w:val="ListParagraph"/>
        <w:numPr>
          <w:ilvl w:val="0"/>
          <w:numId w:val="26"/>
        </w:numPr>
        <w:spacing w:after="0" w:line="240" w:lineRule="auto"/>
        <w:rPr>
          <w:rFonts w:eastAsia="Times New Roman" w:cs="Times New Roman"/>
        </w:rPr>
      </w:pPr>
      <w:r>
        <w:rPr>
          <w:rFonts w:eastAsia="Times New Roman" w:cs="Times New Roman"/>
        </w:rPr>
        <w:t>Addition of a new solid waste building, equipment, or other construction on site</w:t>
      </w:r>
      <w:r w:rsidR="00B17A23">
        <w:rPr>
          <w:rFonts w:eastAsia="Times New Roman" w:cs="Times New Roman"/>
        </w:rPr>
        <w:t>;</w:t>
      </w:r>
    </w:p>
    <w:p w:rsidR="00C22E90" w:rsidRDefault="00C22E90" w:rsidP="00C22E90">
      <w:pPr>
        <w:pStyle w:val="ListParagraph"/>
        <w:numPr>
          <w:ilvl w:val="0"/>
          <w:numId w:val="26"/>
        </w:numPr>
        <w:spacing w:after="0" w:line="240" w:lineRule="auto"/>
        <w:rPr>
          <w:rFonts w:eastAsia="Times New Roman" w:cs="Times New Roman"/>
        </w:rPr>
      </w:pPr>
      <w:r w:rsidRPr="00C22E90">
        <w:rPr>
          <w:rFonts w:eastAsia="Times New Roman" w:cs="Times New Roman"/>
        </w:rPr>
        <w:t>Increase, decrease, or exceedance or permitted process rate</w:t>
      </w:r>
      <w:r w:rsidR="00B17A23">
        <w:rPr>
          <w:rFonts w:eastAsia="Times New Roman" w:cs="Times New Roman"/>
        </w:rPr>
        <w:t>;</w:t>
      </w:r>
    </w:p>
    <w:p w:rsidR="00C22E90" w:rsidRDefault="00C22E90" w:rsidP="00C22E90">
      <w:pPr>
        <w:pStyle w:val="ListParagraph"/>
        <w:numPr>
          <w:ilvl w:val="0"/>
          <w:numId w:val="26"/>
        </w:numPr>
        <w:spacing w:after="0" w:line="240" w:lineRule="auto"/>
        <w:rPr>
          <w:rFonts w:eastAsia="Times New Roman" w:cs="Times New Roman"/>
        </w:rPr>
      </w:pPr>
      <w:r>
        <w:rPr>
          <w:rFonts w:eastAsia="Times New Roman" w:cs="Times New Roman"/>
        </w:rPr>
        <w:t>Significant increase or decrease (</w:t>
      </w:r>
      <w:r>
        <w:rPr>
          <w:rFonts w:eastAsia="Times New Roman" w:cstheme="minorHAnsi"/>
        </w:rPr>
        <w:t>±</w:t>
      </w:r>
      <w:r>
        <w:rPr>
          <w:rFonts w:eastAsia="Times New Roman" w:cs="Times New Roman"/>
        </w:rPr>
        <w:t xml:space="preserve"> 15%) in SWIA report since previous year</w:t>
      </w:r>
      <w:r w:rsidR="00B17A23">
        <w:rPr>
          <w:rFonts w:eastAsia="Times New Roman" w:cs="Times New Roman"/>
        </w:rPr>
        <w:t>;</w:t>
      </w:r>
    </w:p>
    <w:p w:rsidR="00C22E90" w:rsidRDefault="00C22E90" w:rsidP="00C22E90">
      <w:pPr>
        <w:pStyle w:val="ListParagraph"/>
        <w:numPr>
          <w:ilvl w:val="0"/>
          <w:numId w:val="26"/>
        </w:numPr>
        <w:spacing w:after="0" w:line="240" w:lineRule="auto"/>
        <w:rPr>
          <w:rFonts w:eastAsia="Times New Roman" w:cs="Times New Roman"/>
        </w:rPr>
      </w:pPr>
      <w:r>
        <w:rPr>
          <w:rFonts w:eastAsia="Times New Roman" w:cs="Times New Roman"/>
        </w:rPr>
        <w:t>Increase, decrease, or exceedance of permitted storage capacity</w:t>
      </w:r>
      <w:r w:rsidR="00B17A23">
        <w:rPr>
          <w:rFonts w:eastAsia="Times New Roman" w:cs="Times New Roman"/>
        </w:rPr>
        <w:t>;</w:t>
      </w:r>
    </w:p>
    <w:p w:rsidR="00C22E90" w:rsidRDefault="00C22E90" w:rsidP="00C22E90">
      <w:pPr>
        <w:pStyle w:val="ListParagraph"/>
        <w:numPr>
          <w:ilvl w:val="0"/>
          <w:numId w:val="26"/>
        </w:numPr>
        <w:spacing w:after="0" w:line="240" w:lineRule="auto"/>
        <w:rPr>
          <w:rFonts w:eastAsia="Times New Roman" w:cs="Times New Roman"/>
        </w:rPr>
      </w:pPr>
      <w:r>
        <w:rPr>
          <w:rFonts w:eastAsia="Times New Roman" w:cs="Times New Roman"/>
        </w:rPr>
        <w:t>New stockpile, increase or decrease in stockpile size, or complete removal of stockpile</w:t>
      </w:r>
      <w:r w:rsidR="00B17A23">
        <w:rPr>
          <w:rFonts w:eastAsia="Times New Roman" w:cs="Times New Roman"/>
        </w:rPr>
        <w:t>;</w:t>
      </w:r>
    </w:p>
    <w:p w:rsidR="002C1F3C" w:rsidRDefault="00F51472" w:rsidP="00C22E90">
      <w:pPr>
        <w:pStyle w:val="ListParagraph"/>
        <w:numPr>
          <w:ilvl w:val="0"/>
          <w:numId w:val="26"/>
        </w:numPr>
        <w:spacing w:after="0" w:line="240" w:lineRule="auto"/>
        <w:rPr>
          <w:rFonts w:eastAsia="Times New Roman" w:cs="Times New Roman"/>
        </w:rPr>
      </w:pPr>
      <w:r>
        <w:rPr>
          <w:rFonts w:eastAsia="Times New Roman" w:cs="Times New Roman"/>
        </w:rPr>
        <w:t>Addition or removal of leachate storage unit capacity (e.g. tanks)</w:t>
      </w:r>
    </w:p>
    <w:p w:rsidR="00F51472" w:rsidRDefault="002C1F3C" w:rsidP="00C22E90">
      <w:pPr>
        <w:pStyle w:val="ListParagraph"/>
        <w:numPr>
          <w:ilvl w:val="0"/>
          <w:numId w:val="26"/>
        </w:numPr>
        <w:spacing w:after="0" w:line="240" w:lineRule="auto"/>
        <w:rPr>
          <w:rFonts w:eastAsia="Times New Roman" w:cs="Times New Roman"/>
        </w:rPr>
      </w:pPr>
      <w:r>
        <w:rPr>
          <w:rFonts w:eastAsia="Times New Roman" w:cs="Times New Roman"/>
        </w:rPr>
        <w:t>Change in leachate disposal method</w:t>
      </w:r>
      <w:r w:rsidR="00B17A23">
        <w:rPr>
          <w:rFonts w:eastAsia="Times New Roman" w:cs="Times New Roman"/>
        </w:rPr>
        <w:t>;</w:t>
      </w:r>
    </w:p>
    <w:p w:rsidR="00F51472" w:rsidRDefault="00F51472" w:rsidP="00C22E90">
      <w:pPr>
        <w:pStyle w:val="ListParagraph"/>
        <w:numPr>
          <w:ilvl w:val="0"/>
          <w:numId w:val="26"/>
        </w:numPr>
        <w:spacing w:after="0" w:line="240" w:lineRule="auto"/>
        <w:rPr>
          <w:rFonts w:eastAsia="Times New Roman" w:cs="Times New Roman"/>
        </w:rPr>
      </w:pPr>
      <w:r>
        <w:rPr>
          <w:rFonts w:eastAsia="Times New Roman" w:cs="Times New Roman"/>
        </w:rPr>
        <w:t>Modification to closure plan</w:t>
      </w:r>
      <w:r w:rsidR="00B17A23">
        <w:rPr>
          <w:rFonts w:eastAsia="Times New Roman" w:cs="Times New Roman"/>
        </w:rPr>
        <w:t>;</w:t>
      </w:r>
    </w:p>
    <w:p w:rsidR="00F51472" w:rsidRDefault="00F51472" w:rsidP="00C22E90">
      <w:pPr>
        <w:pStyle w:val="ListParagraph"/>
        <w:numPr>
          <w:ilvl w:val="0"/>
          <w:numId w:val="26"/>
        </w:numPr>
        <w:spacing w:after="0" w:line="240" w:lineRule="auto"/>
        <w:rPr>
          <w:rFonts w:eastAsia="Times New Roman" w:cs="Times New Roman"/>
        </w:rPr>
      </w:pPr>
      <w:r>
        <w:rPr>
          <w:rFonts w:eastAsia="Times New Roman" w:cs="Times New Roman"/>
        </w:rPr>
        <w:t>Partial facility closure</w:t>
      </w:r>
      <w:r w:rsidR="00B17A23">
        <w:rPr>
          <w:rFonts w:eastAsia="Times New Roman" w:cs="Times New Roman"/>
        </w:rPr>
        <w:t>; and</w:t>
      </w:r>
    </w:p>
    <w:p w:rsidR="00F51472" w:rsidRDefault="00F51472" w:rsidP="00C22E90">
      <w:pPr>
        <w:pStyle w:val="ListParagraph"/>
        <w:numPr>
          <w:ilvl w:val="0"/>
          <w:numId w:val="26"/>
        </w:numPr>
        <w:spacing w:after="0" w:line="240" w:lineRule="auto"/>
        <w:rPr>
          <w:rFonts w:eastAsia="Times New Roman" w:cs="Times New Roman"/>
        </w:rPr>
      </w:pPr>
      <w:r>
        <w:rPr>
          <w:rFonts w:eastAsia="Times New Roman" w:cs="Times New Roman"/>
        </w:rPr>
        <w:t>Any enforcement action requiring a revised cost estimate and financial assurance update.</w:t>
      </w:r>
    </w:p>
    <w:p w:rsidR="00C22E90" w:rsidRDefault="00C22E90" w:rsidP="003200C9">
      <w:pPr>
        <w:spacing w:after="0" w:line="240" w:lineRule="auto"/>
        <w:rPr>
          <w:rFonts w:eastAsia="Times New Roman" w:cs="Times New Roman"/>
        </w:rPr>
      </w:pPr>
    </w:p>
    <w:p w:rsidR="003200C9" w:rsidRDefault="003200C9" w:rsidP="003200C9">
      <w:pPr>
        <w:spacing w:after="0" w:line="240" w:lineRule="auto"/>
        <w:rPr>
          <w:rFonts w:eastAsia="Times New Roman" w:cs="Times New Roman"/>
        </w:rPr>
      </w:pPr>
      <w:r>
        <w:rPr>
          <w:rFonts w:eastAsia="Times New Roman" w:cs="Times New Roman"/>
        </w:rPr>
        <w:t xml:space="preserve">If the facility is increasing an existing cost estimate for inflation to meet the annual financial assurance demonstration, this worksheet is not necessary.  This form </w:t>
      </w:r>
      <w:proofErr w:type="gramStart"/>
      <w:r>
        <w:rPr>
          <w:rFonts w:eastAsia="Times New Roman" w:cs="Times New Roman"/>
        </w:rPr>
        <w:t>is designed</w:t>
      </w:r>
      <w:proofErr w:type="gramEnd"/>
      <w:r>
        <w:rPr>
          <w:rFonts w:eastAsia="Times New Roman" w:cs="Times New Roman"/>
        </w:rPr>
        <w:t xml:space="preserve"> to provide summary information regarding the individual cost estimates developed to cover the cost of facility closure and certification that the estimates are true, correct and complete</w:t>
      </w:r>
      <w:r w:rsidRPr="00241035">
        <w:rPr>
          <w:rFonts w:eastAsia="Times New Roman" w:cs="Times New Roman"/>
        </w:rPr>
        <w:t>.</w:t>
      </w:r>
    </w:p>
    <w:p w:rsidR="00C22E90" w:rsidRDefault="00C22E90" w:rsidP="00C22E90">
      <w:pPr>
        <w:spacing w:after="0" w:line="240" w:lineRule="auto"/>
        <w:rPr>
          <w:rFonts w:eastAsia="Times New Roman" w:cs="Times New Roman"/>
        </w:rPr>
      </w:pPr>
    </w:p>
    <w:p w:rsidR="003200C9" w:rsidRDefault="003200C9" w:rsidP="003200C9">
      <w:pPr>
        <w:pStyle w:val="Heading1"/>
        <w:numPr>
          <w:ilvl w:val="0"/>
          <w:numId w:val="25"/>
        </w:numPr>
        <w:ind w:left="360" w:hanging="360"/>
      </w:pPr>
      <w:r>
        <w:t>FACILITY INFORMATION</w:t>
      </w:r>
    </w:p>
    <w:p w:rsidR="003200C9" w:rsidRPr="002D661A" w:rsidRDefault="003200C9" w:rsidP="002D661A">
      <w:pPr>
        <w:spacing w:after="0" w:line="240" w:lineRule="auto"/>
        <w:rPr>
          <w:b/>
        </w:rPr>
      </w:pPr>
      <w:r w:rsidRPr="002D661A">
        <w:rPr>
          <w:b/>
        </w:rPr>
        <w:t>Facility Name:</w:t>
      </w:r>
    </w:p>
    <w:p w:rsidR="003200C9" w:rsidRPr="00132840" w:rsidRDefault="003200C9" w:rsidP="002D661A">
      <w:pPr>
        <w:spacing w:after="0" w:line="240" w:lineRule="auto"/>
      </w:pPr>
      <w:r w:rsidRPr="00132840">
        <w:t>Enter the name of the facility as it should appear or as it cu</w:t>
      </w:r>
      <w:r>
        <w:t>rrently appears on the existing permit.</w:t>
      </w:r>
    </w:p>
    <w:p w:rsidR="003200C9" w:rsidRDefault="003200C9" w:rsidP="003200C9">
      <w:pPr>
        <w:spacing w:after="0" w:line="240" w:lineRule="auto"/>
        <w:rPr>
          <w:rFonts w:eastAsia="Times New Roman" w:cs="Arial"/>
          <w:b/>
        </w:rPr>
      </w:pPr>
    </w:p>
    <w:p w:rsidR="003200C9" w:rsidRPr="002D661A" w:rsidRDefault="003200C9" w:rsidP="002D661A">
      <w:pPr>
        <w:spacing w:after="0" w:line="240" w:lineRule="auto"/>
        <w:rPr>
          <w:b/>
        </w:rPr>
      </w:pPr>
      <w:r w:rsidRPr="002D661A">
        <w:rPr>
          <w:b/>
        </w:rPr>
        <w:t xml:space="preserve">Permit No. </w:t>
      </w:r>
    </w:p>
    <w:p w:rsidR="003200C9" w:rsidRPr="00132840" w:rsidRDefault="003200C9" w:rsidP="002D661A">
      <w:pPr>
        <w:spacing w:after="0" w:line="240" w:lineRule="auto"/>
      </w:pPr>
      <w:r w:rsidRPr="00132840">
        <w:t xml:space="preserve">Indicate </w:t>
      </w:r>
      <w:r>
        <w:t>the permit number</w:t>
      </w:r>
      <w:r w:rsidRPr="00132840">
        <w:t xml:space="preserve"> assigned to the facility.  The permit number is usually written as </w:t>
      </w:r>
      <w:r>
        <w:t>PBR</w:t>
      </w:r>
      <w:r w:rsidRPr="00132840">
        <w:t>###</w:t>
      </w:r>
      <w:r>
        <w:t xml:space="preserve"> or SWP###</w:t>
      </w:r>
      <w:r w:rsidRPr="00132840">
        <w:t>.</w:t>
      </w:r>
    </w:p>
    <w:p w:rsidR="003200C9" w:rsidRDefault="003200C9" w:rsidP="002D661A">
      <w:pPr>
        <w:spacing w:after="0" w:line="240" w:lineRule="auto"/>
      </w:pPr>
    </w:p>
    <w:p w:rsidR="003200C9" w:rsidRPr="002D661A" w:rsidRDefault="003200C9" w:rsidP="002D661A">
      <w:pPr>
        <w:spacing w:after="0" w:line="240" w:lineRule="auto"/>
        <w:rPr>
          <w:b/>
        </w:rPr>
      </w:pPr>
      <w:r w:rsidRPr="002D661A">
        <w:rPr>
          <w:b/>
        </w:rPr>
        <w:t>Address, City, State, Zip:</w:t>
      </w:r>
    </w:p>
    <w:p w:rsidR="003200C9" w:rsidRDefault="003200C9" w:rsidP="002D661A">
      <w:pPr>
        <w:spacing w:after="0" w:line="240" w:lineRule="auto"/>
      </w:pPr>
      <w:r w:rsidRPr="00132840">
        <w:t>Provide the street address of the facility’s physical location (may be Rural Route/Box No. if 911 address is not available)</w:t>
      </w:r>
    </w:p>
    <w:p w:rsidR="003200C9" w:rsidRDefault="003200C9" w:rsidP="002D661A">
      <w:pPr>
        <w:spacing w:after="0" w:line="240" w:lineRule="auto"/>
        <w:rPr>
          <w:rFonts w:asciiTheme="majorHAnsi" w:hAnsiTheme="majorHAnsi"/>
          <w:u w:val="single"/>
        </w:rPr>
      </w:pPr>
    </w:p>
    <w:p w:rsidR="003200C9" w:rsidRPr="00237304" w:rsidRDefault="003200C9" w:rsidP="003200C9">
      <w:pPr>
        <w:spacing w:after="0" w:line="240" w:lineRule="auto"/>
        <w:outlineLvl w:val="0"/>
        <w:rPr>
          <w:b/>
        </w:rPr>
      </w:pPr>
      <w:r w:rsidRPr="00237304">
        <w:rPr>
          <w:b/>
        </w:rPr>
        <w:t>FA Holder:</w:t>
      </w:r>
    </w:p>
    <w:p w:rsidR="003200C9" w:rsidRDefault="003200C9" w:rsidP="003200C9">
      <w:pPr>
        <w:spacing w:after="0" w:line="240" w:lineRule="auto"/>
      </w:pPr>
      <w:r w:rsidRPr="00237304">
        <w:t>Indicate the entity responsible for maintaining the financial assurance mechanism.</w:t>
      </w:r>
      <w:r>
        <w:t xml:space="preserve">  This entity should be either the owner or operator of the facility listed, and should match the SCC documentation on file for the facility.</w:t>
      </w:r>
    </w:p>
    <w:p w:rsidR="003200C9" w:rsidRDefault="003200C9" w:rsidP="003200C9">
      <w:pPr>
        <w:spacing w:after="0" w:line="240" w:lineRule="auto"/>
      </w:pPr>
    </w:p>
    <w:p w:rsidR="003200C9" w:rsidRPr="004E7F2B" w:rsidRDefault="003200C9" w:rsidP="003200C9">
      <w:pPr>
        <w:spacing w:after="0" w:line="240" w:lineRule="auto"/>
        <w:outlineLvl w:val="0"/>
        <w:rPr>
          <w:b/>
        </w:rPr>
      </w:pPr>
      <w:r w:rsidRPr="004E7F2B">
        <w:rPr>
          <w:b/>
        </w:rPr>
        <w:t>Estimate Prepared By:</w:t>
      </w:r>
    </w:p>
    <w:p w:rsidR="003200C9" w:rsidRDefault="003200C9" w:rsidP="003200C9">
      <w:pPr>
        <w:spacing w:after="0" w:line="240" w:lineRule="auto"/>
      </w:pPr>
      <w:r>
        <w:t xml:space="preserve">Indicate the person and entity preparing this form and the attached cost estimate worksheets.  For example, if </w:t>
      </w:r>
      <w:proofErr w:type="gramStart"/>
      <w:r>
        <w:t>the form is prepared by a facility representative</w:t>
      </w:r>
      <w:proofErr w:type="gramEnd"/>
      <w:r>
        <w:t xml:space="preserve">, this box should contain his/her name along with the facility name.  If a consultant prepared the form, the consultant’s name along with the consultant’s company </w:t>
      </w:r>
      <w:proofErr w:type="gramStart"/>
      <w:r>
        <w:t>should be listed</w:t>
      </w:r>
      <w:proofErr w:type="gramEnd"/>
      <w:r>
        <w:t>.</w:t>
      </w:r>
    </w:p>
    <w:p w:rsidR="003200C9" w:rsidRDefault="003200C9" w:rsidP="003200C9">
      <w:pPr>
        <w:spacing w:after="0" w:line="240" w:lineRule="auto"/>
      </w:pPr>
    </w:p>
    <w:p w:rsidR="003200C9" w:rsidRPr="00D560C0" w:rsidRDefault="003200C9" w:rsidP="003200C9">
      <w:pPr>
        <w:pStyle w:val="Heading1"/>
      </w:pPr>
      <w:r>
        <w:t>OPERATIONAL AND CLOSURE DETAILS</w:t>
      </w:r>
    </w:p>
    <w:p w:rsidR="003200C9" w:rsidRPr="008463EC" w:rsidRDefault="003200C9" w:rsidP="003200C9">
      <w:pPr>
        <w:pBdr>
          <w:bottom w:val="single" w:sz="4" w:space="1" w:color="auto"/>
        </w:pBdr>
        <w:spacing w:after="0" w:line="240" w:lineRule="auto"/>
        <w:outlineLvl w:val="0"/>
        <w:rPr>
          <w:rFonts w:asciiTheme="majorHAnsi" w:hAnsiTheme="majorHAnsi"/>
          <w:b/>
        </w:rPr>
      </w:pPr>
      <w:r w:rsidRPr="008463EC">
        <w:rPr>
          <w:rFonts w:asciiTheme="majorHAnsi" w:hAnsiTheme="majorHAnsi"/>
          <w:b/>
        </w:rPr>
        <w:t>Operating Details</w:t>
      </w:r>
    </w:p>
    <w:p w:rsidR="003200C9" w:rsidRPr="008463EC" w:rsidRDefault="003200C9" w:rsidP="003200C9">
      <w:pPr>
        <w:spacing w:after="0" w:line="240" w:lineRule="auto"/>
      </w:pPr>
      <w:r w:rsidRPr="008463EC">
        <w:t>Provide details for which the cost estimate was prepared.</w:t>
      </w:r>
    </w:p>
    <w:p w:rsidR="003200C9" w:rsidRDefault="003200C9" w:rsidP="003200C9">
      <w:pPr>
        <w:spacing w:after="0" w:line="240" w:lineRule="auto"/>
        <w:rPr>
          <w:rFonts w:eastAsia="Times New Roman" w:cs="Times New Roman"/>
          <w:b/>
        </w:rPr>
      </w:pPr>
    </w:p>
    <w:p w:rsidR="003200C9" w:rsidRDefault="003200C9" w:rsidP="003200C9">
      <w:pPr>
        <w:spacing w:after="0" w:line="240" w:lineRule="auto"/>
        <w:rPr>
          <w:rFonts w:eastAsia="Times New Roman" w:cs="Times New Roman"/>
        </w:rPr>
      </w:pPr>
      <w:r w:rsidRPr="002B5952">
        <w:rPr>
          <w:rFonts w:eastAsia="Times New Roman" w:cs="Times New Roman"/>
          <w:b/>
        </w:rPr>
        <w:t>Process rate:</w:t>
      </w:r>
      <w:r>
        <w:rPr>
          <w:rFonts w:eastAsia="Times New Roman" w:cs="Times New Roman"/>
        </w:rPr>
        <w:t xml:space="preserve"> Indicate the process rate of the facility in tons per day.  The process rate </w:t>
      </w:r>
      <w:proofErr w:type="gramStart"/>
      <w:r>
        <w:rPr>
          <w:rFonts w:eastAsia="Times New Roman" w:cs="Times New Roman"/>
        </w:rPr>
        <w:t>is defined</w:t>
      </w:r>
      <w:proofErr w:type="gramEnd"/>
      <w:r>
        <w:rPr>
          <w:rFonts w:eastAsia="Times New Roman" w:cs="Times New Roman"/>
        </w:rPr>
        <w:t xml:space="preserve"> as “</w:t>
      </w:r>
      <w:r w:rsidRPr="008463EC">
        <w:rPr>
          <w:rFonts w:eastAsia="Times New Roman" w:cs="Times New Roman"/>
        </w:rPr>
        <w:t>the maximum rate of waste acceptance that a solid waste management facility can process for treatment and/or storage. This rate is limited by the capabilities of equipment,</w:t>
      </w:r>
      <w:r>
        <w:rPr>
          <w:rFonts w:eastAsia="Times New Roman" w:cs="Times New Roman"/>
        </w:rPr>
        <w:t xml:space="preserve"> personnel, and infrastructure</w:t>
      </w:r>
      <w:proofErr w:type="gramStart"/>
      <w:r>
        <w:rPr>
          <w:rFonts w:eastAsia="Times New Roman" w:cs="Times New Roman"/>
        </w:rPr>
        <w:t>.“</w:t>
      </w:r>
      <w:proofErr w:type="gramEnd"/>
      <w:r>
        <w:rPr>
          <w:rFonts w:eastAsia="Times New Roman" w:cs="Times New Roman"/>
        </w:rPr>
        <w:t xml:space="preserve">  The process rate </w:t>
      </w:r>
      <w:proofErr w:type="gramStart"/>
      <w:r>
        <w:rPr>
          <w:rFonts w:eastAsia="Times New Roman" w:cs="Times New Roman"/>
        </w:rPr>
        <w:t>is often specified in the facility’s Permit-by-Rule and used to estimate financial assurance</w:t>
      </w:r>
      <w:proofErr w:type="gramEnd"/>
      <w:r>
        <w:rPr>
          <w:rFonts w:eastAsia="Times New Roman" w:cs="Times New Roman"/>
        </w:rPr>
        <w:t>.</w:t>
      </w:r>
    </w:p>
    <w:p w:rsidR="003200C9" w:rsidRDefault="003200C9" w:rsidP="003200C9">
      <w:pPr>
        <w:tabs>
          <w:tab w:val="left" w:pos="0"/>
        </w:tabs>
        <w:spacing w:after="0" w:line="240" w:lineRule="auto"/>
        <w:rPr>
          <w:b/>
        </w:rPr>
      </w:pPr>
    </w:p>
    <w:p w:rsidR="003200C9" w:rsidRPr="00241035" w:rsidRDefault="003200C9" w:rsidP="003200C9">
      <w:pPr>
        <w:tabs>
          <w:tab w:val="left" w:pos="0"/>
        </w:tabs>
        <w:spacing w:after="0" w:line="240" w:lineRule="auto"/>
        <w:rPr>
          <w:b/>
        </w:rPr>
      </w:pPr>
      <w:r w:rsidRPr="00241035">
        <w:rPr>
          <w:b/>
        </w:rPr>
        <w:lastRenderedPageBreak/>
        <w:t xml:space="preserve">Storage Capacity:  </w:t>
      </w:r>
      <w:r w:rsidRPr="002B5952">
        <w:t>Indicate the storage capacity, for both incoming solid waste and recovered material, of the facility in cubic yards.  This value should correspond with the sum of the solid waste and recovered material storage capacity indicated on a facility’s PBR application form.</w:t>
      </w:r>
    </w:p>
    <w:p w:rsidR="003200C9" w:rsidRDefault="003200C9" w:rsidP="003200C9">
      <w:pPr>
        <w:spacing w:after="0" w:line="240" w:lineRule="auto"/>
        <w:rPr>
          <w:b/>
        </w:rPr>
      </w:pPr>
    </w:p>
    <w:p w:rsidR="003200C9" w:rsidRPr="008463EC" w:rsidRDefault="003200C9" w:rsidP="003200C9">
      <w:pPr>
        <w:spacing w:after="0" w:line="240" w:lineRule="auto"/>
      </w:pPr>
      <w:r w:rsidRPr="002B5952">
        <w:rPr>
          <w:b/>
        </w:rPr>
        <w:t>Processing area:</w:t>
      </w:r>
      <w:r>
        <w:t xml:space="preserve"> If the facility’s cost estimate </w:t>
      </w:r>
      <w:proofErr w:type="gramStart"/>
      <w:r>
        <w:t>is based</w:t>
      </w:r>
      <w:proofErr w:type="gramEnd"/>
      <w:r>
        <w:t xml:space="preserve"> on the processing area, the size of the processing area should be provided in square feet.</w:t>
      </w:r>
    </w:p>
    <w:p w:rsidR="003200C9" w:rsidRDefault="003200C9" w:rsidP="003200C9">
      <w:pPr>
        <w:spacing w:after="0" w:line="240" w:lineRule="auto"/>
      </w:pPr>
    </w:p>
    <w:p w:rsidR="003200C9" w:rsidRPr="00870EC1" w:rsidRDefault="003200C9" w:rsidP="003200C9">
      <w:pPr>
        <w:pStyle w:val="Heading2"/>
        <w:numPr>
          <w:ilvl w:val="0"/>
          <w:numId w:val="0"/>
        </w:numPr>
        <w:ind w:left="360" w:hanging="360"/>
      </w:pPr>
      <w:r>
        <w:t>Closure</w:t>
      </w:r>
      <w:r w:rsidRPr="00870EC1">
        <w:t xml:space="preserve"> Plans</w:t>
      </w:r>
    </w:p>
    <w:p w:rsidR="003200C9" w:rsidRDefault="003200C9" w:rsidP="003200C9">
      <w:pPr>
        <w:spacing w:after="0" w:line="240" w:lineRule="auto"/>
      </w:pPr>
      <w:r w:rsidRPr="004E7F2B">
        <w:rPr>
          <w:b/>
        </w:rPr>
        <w:t>Title:</w:t>
      </w:r>
      <w:r>
        <w:t xml:space="preserve"> Indicate the title of the Closure Plan on file at the facility.  In accordance with </w:t>
      </w:r>
      <w:proofErr w:type="gramStart"/>
      <w:r>
        <w:t>9</w:t>
      </w:r>
      <w:proofErr w:type="gramEnd"/>
      <w:r>
        <w:t xml:space="preserve"> VAC 20-81-360.2., Closure Plans and amended Closure Plans shall be maintained in the facility’s operating record. </w:t>
      </w:r>
    </w:p>
    <w:p w:rsidR="003200C9" w:rsidRDefault="003200C9" w:rsidP="003200C9">
      <w:pPr>
        <w:spacing w:after="0" w:line="240" w:lineRule="auto"/>
        <w:rPr>
          <w:b/>
        </w:rPr>
      </w:pPr>
    </w:p>
    <w:p w:rsidR="003200C9" w:rsidRDefault="003200C9" w:rsidP="003200C9">
      <w:pPr>
        <w:spacing w:after="0" w:line="240" w:lineRule="auto"/>
      </w:pPr>
      <w:r w:rsidRPr="004E7F2B">
        <w:rPr>
          <w:b/>
        </w:rPr>
        <w:t>Plan Date:</w:t>
      </w:r>
      <w:r>
        <w:t xml:space="preserve"> Specify the plan’s date.  If the plan </w:t>
      </w:r>
      <w:proofErr w:type="gramStart"/>
      <w:r>
        <w:t>has been amended</w:t>
      </w:r>
      <w:proofErr w:type="gramEnd"/>
      <w:r>
        <w:t>, enter the date of the last amendment.</w:t>
      </w:r>
    </w:p>
    <w:p w:rsidR="003200C9" w:rsidRDefault="003200C9" w:rsidP="003200C9">
      <w:pPr>
        <w:spacing w:after="0" w:line="240" w:lineRule="auto"/>
        <w:rPr>
          <w:b/>
        </w:rPr>
      </w:pPr>
    </w:p>
    <w:p w:rsidR="003200C9" w:rsidRDefault="003200C9" w:rsidP="003200C9">
      <w:pPr>
        <w:spacing w:after="0" w:line="240" w:lineRule="auto"/>
      </w:pPr>
      <w:r>
        <w:rPr>
          <w:b/>
        </w:rPr>
        <w:t>P.E. Certification</w:t>
      </w:r>
      <w:r w:rsidRPr="004E7F2B">
        <w:rPr>
          <w:b/>
        </w:rPr>
        <w:t>:</w:t>
      </w:r>
      <w:r>
        <w:t xml:space="preserve"> Applications for new or modified Permits-by-Rule should include a certificate signed by a P.E. that facility has a Closure Plan meeting the standards of </w:t>
      </w:r>
      <w:proofErr w:type="gramStart"/>
      <w:r>
        <w:t>9</w:t>
      </w:r>
      <w:proofErr w:type="gramEnd"/>
      <w:r>
        <w:t xml:space="preserve"> VAC 20-81-360 in its operating record.  Indicate the date of the P.E. Certification in this box.</w:t>
      </w:r>
    </w:p>
    <w:p w:rsidR="003200C9" w:rsidRDefault="003200C9" w:rsidP="003200C9">
      <w:pPr>
        <w:spacing w:after="0" w:line="240" w:lineRule="auto"/>
        <w:rPr>
          <w:b/>
        </w:rPr>
      </w:pPr>
    </w:p>
    <w:p w:rsidR="003200C9" w:rsidRPr="002B5952" w:rsidRDefault="003200C9" w:rsidP="003200C9">
      <w:pPr>
        <w:pStyle w:val="Heading1"/>
      </w:pPr>
      <w:r w:rsidRPr="002B5952">
        <w:t>Total Closure Cost Estimate</w:t>
      </w:r>
    </w:p>
    <w:p w:rsidR="003200C9" w:rsidRDefault="003200C9" w:rsidP="003200C9">
      <w:pPr>
        <w:spacing w:after="0" w:line="240" w:lineRule="auto"/>
        <w:rPr>
          <w:szCs w:val="24"/>
        </w:rPr>
      </w:pPr>
      <w:r>
        <w:t xml:space="preserve">In the box provided, indicate the total estimated cost to close the facility.  </w:t>
      </w:r>
      <w:proofErr w:type="gramStart"/>
      <w:r w:rsidRPr="0093000F">
        <w:t>In accordance with 9 VAC 2-70-111.A., the closure cost estimate shall (1) equal the cost of final closure at the point in the facility's active life when the extent and manner of its operation would make closure the most expensive; (2) be based on the costs to the owner or operator of hiring a third party to close the facility; and (3) may not incorporate any salvage value that may be realized by the sale of wastes, facility structures or equipment, land or other facility assets at the time of partial or final closures.</w:t>
      </w:r>
      <w:proofErr w:type="gramEnd"/>
      <w:r w:rsidRPr="0093000F">
        <w:t xml:space="preserve">  </w:t>
      </w:r>
      <w:proofErr w:type="gramStart"/>
      <w:r w:rsidRPr="0093000F">
        <w:t xml:space="preserve">To comply with these requirements, the closure cost estimate for solid waste management facilities should include costs associated with the </w:t>
      </w:r>
      <w:r w:rsidRPr="0093000F">
        <w:rPr>
          <w:szCs w:val="24"/>
        </w:rPr>
        <w:t xml:space="preserve">removal of solid waste and leachate/wastewater remaining on site at closure; decontamination of equipment, containers, and/or structures; </w:t>
      </w:r>
      <w:r>
        <w:rPr>
          <w:szCs w:val="24"/>
        </w:rPr>
        <w:t xml:space="preserve">postclosure care which may include </w:t>
      </w:r>
      <w:r w:rsidRPr="0093000F">
        <w:rPr>
          <w:szCs w:val="24"/>
        </w:rPr>
        <w:t xml:space="preserve">testing to ensure the facility has not contaminated underlying soils and/or groundwater (if contamination of underlying soils or groundwater is anticipated); </w:t>
      </w:r>
      <w:r>
        <w:rPr>
          <w:szCs w:val="24"/>
        </w:rPr>
        <w:t xml:space="preserve">P.E. certification of closure; </w:t>
      </w:r>
      <w:r w:rsidRPr="0093000F">
        <w:rPr>
          <w:szCs w:val="24"/>
        </w:rPr>
        <w:t>and any other potential costs associated with closing the facility.</w:t>
      </w:r>
      <w:proofErr w:type="gramEnd"/>
      <w:r w:rsidRPr="0093000F">
        <w:rPr>
          <w:szCs w:val="24"/>
        </w:rPr>
        <w:t xml:space="preserve">  </w:t>
      </w:r>
      <w:r>
        <w:rPr>
          <w:szCs w:val="24"/>
        </w:rPr>
        <w:t xml:space="preserve">Worksheets or other documentation substantiating the costs associated with closure </w:t>
      </w:r>
      <w:proofErr w:type="gramStart"/>
      <w:r>
        <w:rPr>
          <w:szCs w:val="24"/>
        </w:rPr>
        <w:t>should be provided</w:t>
      </w:r>
      <w:proofErr w:type="gramEnd"/>
      <w:r>
        <w:rPr>
          <w:szCs w:val="24"/>
        </w:rPr>
        <w:t xml:space="preserve"> as an attachment to this form.</w:t>
      </w:r>
    </w:p>
    <w:p w:rsidR="003200C9" w:rsidRDefault="003200C9" w:rsidP="003200C9">
      <w:pPr>
        <w:spacing w:after="0" w:line="240" w:lineRule="auto"/>
        <w:rPr>
          <w:szCs w:val="24"/>
        </w:rPr>
      </w:pPr>
    </w:p>
    <w:p w:rsidR="003200C9" w:rsidRPr="0093000F" w:rsidRDefault="003200C9" w:rsidP="003200C9">
      <w:pPr>
        <w:spacing w:after="0" w:line="240" w:lineRule="auto"/>
        <w:outlineLvl w:val="0"/>
        <w:rPr>
          <w:b/>
          <w:szCs w:val="24"/>
        </w:rPr>
      </w:pPr>
      <w:r>
        <w:rPr>
          <w:b/>
          <w:szCs w:val="24"/>
        </w:rPr>
        <w:t>Total Waste Removal Cost:</w:t>
      </w:r>
    </w:p>
    <w:p w:rsidR="003200C9" w:rsidRPr="0093000F" w:rsidRDefault="003200C9" w:rsidP="003200C9">
      <w:pPr>
        <w:spacing w:after="0" w:line="240" w:lineRule="auto"/>
        <w:rPr>
          <w:szCs w:val="24"/>
        </w:rPr>
      </w:pPr>
      <w:r w:rsidRPr="0093000F">
        <w:t xml:space="preserve">The cost of waste removal should include unit costs for loading all wastes stored on site and the costs associated with hauling and disposing/treating (i.e. tipping fee) the wastes at the closest solid waste disposal or management facility.  In addition, removal and treatment/disposal costs for all materials stored on site for beneficial use (excluding the first 20 cy of each material), as indicated in </w:t>
      </w:r>
      <w:hyperlink r:id="rId11" w:history="1">
        <w:r w:rsidRPr="0093000F">
          <w:rPr>
            <w:rStyle w:val="Hyperlink"/>
          </w:rPr>
          <w:t>Guidance Memo 04-2011: Financial Assurance for Stockpiles of Materials for Beneficial Use or Other Uses</w:t>
        </w:r>
      </w:hyperlink>
      <w:r w:rsidRPr="0093000F">
        <w:t xml:space="preserve">, shall be covered by the facility’s estimated closure cost.  The Department offers the following </w:t>
      </w:r>
      <w:proofErr w:type="gramStart"/>
      <w:r w:rsidRPr="0093000F">
        <w:t>equations which</w:t>
      </w:r>
      <w:proofErr w:type="gramEnd"/>
      <w:r w:rsidRPr="0093000F">
        <w:t xml:space="preserve"> can be used to determine the portion of the SWMF closure cost estimate for the removal of wastes remaining on site at closure.  </w:t>
      </w:r>
    </w:p>
    <w:p w:rsidR="003200C9" w:rsidRPr="0093000F" w:rsidRDefault="003200C9" w:rsidP="003200C9">
      <w:pPr>
        <w:numPr>
          <w:ilvl w:val="0"/>
          <w:numId w:val="24"/>
        </w:numPr>
        <w:tabs>
          <w:tab w:val="left" w:pos="720"/>
        </w:tabs>
        <w:spacing w:after="0" w:line="240" w:lineRule="auto"/>
        <w:ind w:left="720"/>
        <w:rPr>
          <w:szCs w:val="24"/>
        </w:rPr>
      </w:pPr>
      <w:r w:rsidRPr="0093000F">
        <w:rPr>
          <w:i/>
          <w:szCs w:val="24"/>
        </w:rPr>
        <w:t>Process rate cited in the facility permit</w:t>
      </w:r>
    </w:p>
    <w:p w:rsidR="003200C9" w:rsidRPr="0093000F" w:rsidRDefault="003200C9" w:rsidP="003200C9">
      <w:pPr>
        <w:tabs>
          <w:tab w:val="left" w:pos="720"/>
        </w:tabs>
        <w:spacing w:after="0" w:line="240" w:lineRule="auto"/>
        <w:ind w:left="720"/>
        <w:rPr>
          <w:szCs w:val="24"/>
        </w:rPr>
      </w:pPr>
      <w:r w:rsidRPr="0093000F">
        <w:rPr>
          <w:szCs w:val="24"/>
        </w:rPr>
        <w:t xml:space="preserve">If a process rate </w:t>
      </w:r>
      <w:proofErr w:type="gramStart"/>
      <w:r w:rsidRPr="0093000F">
        <w:rPr>
          <w:szCs w:val="24"/>
        </w:rPr>
        <w:t>is referenced</w:t>
      </w:r>
      <w:proofErr w:type="gramEnd"/>
      <w:r w:rsidRPr="0093000F">
        <w:rPr>
          <w:szCs w:val="24"/>
        </w:rPr>
        <w:t xml:space="preserve"> in the facility permit, the </w:t>
      </w:r>
      <w:r>
        <w:rPr>
          <w:szCs w:val="24"/>
        </w:rPr>
        <w:t xml:space="preserve">removal </w:t>
      </w:r>
      <w:r w:rsidRPr="0093000F">
        <w:rPr>
          <w:szCs w:val="24"/>
        </w:rPr>
        <w:t xml:space="preserve">cost may be based on the process rate in tons per day (TPD) plus the total on-site storage capacity in tons for all stored waste materials multiplied by </w:t>
      </w:r>
      <w:r>
        <w:rPr>
          <w:szCs w:val="24"/>
        </w:rPr>
        <w:t xml:space="preserve">the </w:t>
      </w:r>
      <w:r w:rsidRPr="0093000F">
        <w:rPr>
          <w:szCs w:val="24"/>
        </w:rPr>
        <w:t>hauling and disposal cost per ton.</w:t>
      </w:r>
    </w:p>
    <w:p w:rsidR="003200C9" w:rsidRPr="0093000F" w:rsidRDefault="003200C9" w:rsidP="003200C9">
      <w:pPr>
        <w:tabs>
          <w:tab w:val="left" w:pos="720"/>
        </w:tabs>
        <w:spacing w:after="0" w:line="240" w:lineRule="auto"/>
        <w:ind w:left="720"/>
        <w:rPr>
          <w:szCs w:val="24"/>
        </w:rPr>
      </w:pPr>
      <w:r w:rsidRPr="0093000F">
        <w:rPr>
          <w:szCs w:val="24"/>
        </w:rPr>
        <w:t xml:space="preserve">Waste Removal </w:t>
      </w:r>
      <w:r w:rsidRPr="0093000F">
        <w:rPr>
          <w:color w:val="000000"/>
          <w:szCs w:val="24"/>
        </w:rPr>
        <w:t>Cost, $</w:t>
      </w:r>
      <w:r w:rsidRPr="0093000F">
        <w:rPr>
          <w:szCs w:val="24"/>
        </w:rPr>
        <w:t xml:space="preserve"> = [(Process rate, TPD) + (Storage Capacity, tons)] x (Loading/Hauling + Disposal Rate, $/ton)</w:t>
      </w:r>
    </w:p>
    <w:p w:rsidR="003200C9" w:rsidRPr="0093000F" w:rsidRDefault="003200C9" w:rsidP="003200C9">
      <w:pPr>
        <w:numPr>
          <w:ilvl w:val="0"/>
          <w:numId w:val="24"/>
        </w:numPr>
        <w:tabs>
          <w:tab w:val="left" w:pos="720"/>
        </w:tabs>
        <w:spacing w:after="0" w:line="240" w:lineRule="auto"/>
        <w:ind w:left="720"/>
        <w:rPr>
          <w:szCs w:val="24"/>
        </w:rPr>
      </w:pPr>
      <w:r w:rsidRPr="0093000F">
        <w:rPr>
          <w:i/>
          <w:szCs w:val="24"/>
        </w:rPr>
        <w:t>Process rate not cited in the facility permit</w:t>
      </w:r>
      <w:r w:rsidRPr="0093000F">
        <w:rPr>
          <w:szCs w:val="24"/>
        </w:rPr>
        <w:t xml:space="preserve"> </w:t>
      </w:r>
    </w:p>
    <w:p w:rsidR="003200C9" w:rsidRPr="0093000F" w:rsidRDefault="003200C9" w:rsidP="003200C9">
      <w:pPr>
        <w:tabs>
          <w:tab w:val="left" w:pos="720"/>
        </w:tabs>
        <w:spacing w:after="0" w:line="240" w:lineRule="auto"/>
        <w:ind w:left="720"/>
        <w:rPr>
          <w:szCs w:val="24"/>
        </w:rPr>
      </w:pPr>
      <w:r w:rsidRPr="0093000F">
        <w:rPr>
          <w:szCs w:val="24"/>
        </w:rPr>
        <w:t xml:space="preserve">In the event that the facility permit does not contain a daily process rate, the estimated maximum on-site storage may be determined </w:t>
      </w:r>
      <w:proofErr w:type="gramStart"/>
      <w:r w:rsidRPr="0093000F">
        <w:rPr>
          <w:szCs w:val="24"/>
        </w:rPr>
        <w:t>on the basis of</w:t>
      </w:r>
      <w:proofErr w:type="gramEnd"/>
      <w:r w:rsidRPr="0093000F">
        <w:rPr>
          <w:szCs w:val="24"/>
        </w:rPr>
        <w:t xml:space="preserve"> the dimensions of the tipping floor or waste pile.  An estimated maximum on-site storage </w:t>
      </w:r>
      <w:proofErr w:type="gramStart"/>
      <w:r w:rsidRPr="0093000F">
        <w:rPr>
          <w:szCs w:val="24"/>
        </w:rPr>
        <w:t>can be calculated</w:t>
      </w:r>
      <w:proofErr w:type="gramEnd"/>
      <w:r w:rsidRPr="0093000F">
        <w:rPr>
          <w:szCs w:val="24"/>
        </w:rPr>
        <w:t xml:space="preserve"> using the area of the tipping floor or waste pile (in square feet) and an average waste pile height.  This volume </w:t>
      </w:r>
      <w:proofErr w:type="gramStart"/>
      <w:r w:rsidRPr="0093000F">
        <w:rPr>
          <w:szCs w:val="24"/>
        </w:rPr>
        <w:t>can be used</w:t>
      </w:r>
      <w:proofErr w:type="gramEnd"/>
      <w:r w:rsidRPr="0093000F">
        <w:rPr>
          <w:szCs w:val="24"/>
        </w:rPr>
        <w:t xml:space="preserve"> to determine an estimated tonnage and </w:t>
      </w:r>
      <w:r>
        <w:rPr>
          <w:szCs w:val="24"/>
        </w:rPr>
        <w:t xml:space="preserve">removal </w:t>
      </w:r>
      <w:r w:rsidRPr="0093000F">
        <w:rPr>
          <w:szCs w:val="24"/>
        </w:rPr>
        <w:t xml:space="preserve">cost. </w:t>
      </w:r>
    </w:p>
    <w:p w:rsidR="003200C9" w:rsidRPr="0093000F" w:rsidRDefault="003200C9" w:rsidP="003200C9">
      <w:pPr>
        <w:widowControl w:val="0"/>
        <w:tabs>
          <w:tab w:val="left" w:pos="720"/>
        </w:tabs>
        <w:autoSpaceDE w:val="0"/>
        <w:autoSpaceDN w:val="0"/>
        <w:adjustRightInd w:val="0"/>
        <w:spacing w:after="0" w:line="240" w:lineRule="auto"/>
        <w:ind w:left="720"/>
        <w:rPr>
          <w:szCs w:val="24"/>
        </w:rPr>
      </w:pPr>
      <w:r w:rsidRPr="0093000F">
        <w:rPr>
          <w:szCs w:val="24"/>
        </w:rPr>
        <w:t>Waste Removal Cost, $ = [Area of tipping floor/waste pile: (length, feet) x (</w:t>
      </w:r>
      <w:r w:rsidRPr="0093000F">
        <w:rPr>
          <w:iCs/>
          <w:szCs w:val="24"/>
        </w:rPr>
        <w:t xml:space="preserve">width, feet)] </w:t>
      </w:r>
      <w:r w:rsidRPr="0093000F">
        <w:rPr>
          <w:szCs w:val="24"/>
        </w:rPr>
        <w:t xml:space="preserve">x (Height of waste pile, feet) x </w:t>
      </w:r>
      <w:r w:rsidRPr="0093000F">
        <w:rPr>
          <w:iCs/>
          <w:szCs w:val="24"/>
        </w:rPr>
        <w:t>(0.037 cy/cf)</w:t>
      </w:r>
      <w:r w:rsidRPr="0093000F">
        <w:rPr>
          <w:szCs w:val="24"/>
        </w:rPr>
        <w:t xml:space="preserve"> x (0.4 tons/cy) x (Loading/Hauling + Disposal Rate, $/ton)</w:t>
      </w:r>
    </w:p>
    <w:p w:rsidR="003200C9" w:rsidRPr="0093000F" w:rsidRDefault="003200C9" w:rsidP="003200C9">
      <w:pPr>
        <w:spacing w:after="0" w:line="240" w:lineRule="auto"/>
      </w:pPr>
      <w:r w:rsidRPr="0093000F">
        <w:lastRenderedPageBreak/>
        <w:t>A</w:t>
      </w:r>
      <w:r w:rsidRPr="0093000F">
        <w:rPr>
          <w:szCs w:val="24"/>
        </w:rPr>
        <w:t>lternate calculations may be used; however, all estimates should provide documentation and justification for the cost factors and equations used.</w:t>
      </w:r>
    </w:p>
    <w:p w:rsidR="003200C9" w:rsidRPr="0093000F" w:rsidRDefault="003200C9" w:rsidP="003200C9">
      <w:pPr>
        <w:widowControl w:val="0"/>
        <w:tabs>
          <w:tab w:val="num" w:pos="900"/>
        </w:tabs>
        <w:autoSpaceDE w:val="0"/>
        <w:autoSpaceDN w:val="0"/>
        <w:adjustRightInd w:val="0"/>
        <w:spacing w:after="0" w:line="240" w:lineRule="auto"/>
        <w:rPr>
          <w:szCs w:val="24"/>
        </w:rPr>
      </w:pPr>
    </w:p>
    <w:p w:rsidR="003200C9" w:rsidRPr="0093000F" w:rsidRDefault="003200C9" w:rsidP="003200C9">
      <w:pPr>
        <w:widowControl w:val="0"/>
        <w:tabs>
          <w:tab w:val="num" w:pos="900"/>
        </w:tabs>
        <w:autoSpaceDE w:val="0"/>
        <w:autoSpaceDN w:val="0"/>
        <w:adjustRightInd w:val="0"/>
        <w:spacing w:after="0" w:line="240" w:lineRule="auto"/>
        <w:outlineLvl w:val="0"/>
        <w:rPr>
          <w:b/>
          <w:szCs w:val="24"/>
        </w:rPr>
      </w:pPr>
      <w:r>
        <w:rPr>
          <w:b/>
          <w:szCs w:val="24"/>
        </w:rPr>
        <w:t xml:space="preserve">Total Leachate / Wastewater Removal Cost: </w:t>
      </w:r>
    </w:p>
    <w:p w:rsidR="003200C9" w:rsidRPr="0093000F" w:rsidRDefault="003200C9" w:rsidP="003200C9">
      <w:pPr>
        <w:widowControl w:val="0"/>
        <w:tabs>
          <w:tab w:val="num" w:pos="900"/>
        </w:tabs>
        <w:autoSpaceDE w:val="0"/>
        <w:autoSpaceDN w:val="0"/>
        <w:adjustRightInd w:val="0"/>
        <w:spacing w:after="0" w:line="240" w:lineRule="auto"/>
        <w:rPr>
          <w:szCs w:val="24"/>
        </w:rPr>
      </w:pPr>
      <w:r w:rsidRPr="0093000F">
        <w:rPr>
          <w:szCs w:val="24"/>
        </w:rPr>
        <w:t>In the case of facilities that collect leachate, the closure cost estimate should include the cost of loading/hauling and disposing of the maximum leachate storage capacity at the prevailing industrial rate for the appropriate wastewater treatment facility.</w:t>
      </w:r>
    </w:p>
    <w:p w:rsidR="003200C9" w:rsidRPr="0093000F" w:rsidRDefault="003200C9" w:rsidP="003200C9">
      <w:pPr>
        <w:spacing w:after="0" w:line="240" w:lineRule="auto"/>
      </w:pPr>
    </w:p>
    <w:p w:rsidR="003200C9" w:rsidRPr="0093000F" w:rsidRDefault="003200C9" w:rsidP="003200C9">
      <w:pPr>
        <w:spacing w:after="0" w:line="240" w:lineRule="auto"/>
        <w:outlineLvl w:val="0"/>
        <w:rPr>
          <w:b/>
        </w:rPr>
      </w:pPr>
      <w:r>
        <w:rPr>
          <w:b/>
        </w:rPr>
        <w:t xml:space="preserve">Total Decontamination Cost: </w:t>
      </w:r>
    </w:p>
    <w:p w:rsidR="003200C9" w:rsidRPr="0093000F" w:rsidRDefault="003200C9" w:rsidP="003200C9">
      <w:pPr>
        <w:spacing w:after="0" w:line="240" w:lineRule="auto"/>
      </w:pPr>
      <w:r w:rsidRPr="0093000F">
        <w:t xml:space="preserve">Costs associated with decontaminating equipment, containers, and structures </w:t>
      </w:r>
      <w:proofErr w:type="gramStart"/>
      <w:r w:rsidRPr="0093000F">
        <w:t>should be provided for,</w:t>
      </w:r>
      <w:proofErr w:type="gramEnd"/>
      <w:r w:rsidRPr="0093000F">
        <w:t xml:space="preserve"> if necessary.  The estimate to cover decontamination should provide for a third party performing the service.  Remember, salvage value of equipment and structures </w:t>
      </w:r>
      <w:proofErr w:type="gramStart"/>
      <w:r w:rsidRPr="0093000F">
        <w:t>cannot be considered</w:t>
      </w:r>
      <w:proofErr w:type="gramEnd"/>
      <w:r w:rsidRPr="0093000F">
        <w:t xml:space="preserve"> when determining the estimate.</w:t>
      </w:r>
    </w:p>
    <w:p w:rsidR="003200C9" w:rsidRPr="0093000F" w:rsidRDefault="003200C9" w:rsidP="003200C9">
      <w:pPr>
        <w:spacing w:after="0" w:line="240" w:lineRule="auto"/>
      </w:pPr>
    </w:p>
    <w:p w:rsidR="003200C9" w:rsidRDefault="003200C9" w:rsidP="003200C9">
      <w:pPr>
        <w:spacing w:after="0" w:line="240" w:lineRule="auto"/>
        <w:outlineLvl w:val="0"/>
        <w:rPr>
          <w:b/>
        </w:rPr>
      </w:pPr>
      <w:r>
        <w:rPr>
          <w:b/>
        </w:rPr>
        <w:t>Total Postclosure Costs:</w:t>
      </w:r>
    </w:p>
    <w:p w:rsidR="003200C9" w:rsidRPr="0080637D" w:rsidRDefault="003200C9" w:rsidP="003200C9">
      <w:pPr>
        <w:spacing w:after="0" w:line="240" w:lineRule="auto"/>
      </w:pPr>
      <w:r>
        <w:t xml:space="preserve">In accordance with </w:t>
      </w:r>
      <w:proofErr w:type="gramStart"/>
      <w:r>
        <w:t>9</w:t>
      </w:r>
      <w:proofErr w:type="gramEnd"/>
      <w:r>
        <w:t xml:space="preserve"> VAC 20-81-360.1.b, if all contaminated subsoils cannot be practicably removed or decontaminated, the facility shall perform postclosure care in accordance with the closure and postclosure care requirements.  This may include soil and groundwater sampling and testing.  If so, the postclosure cost should include </w:t>
      </w:r>
      <w:r w:rsidRPr="0093000F">
        <w:t xml:space="preserve">costs associated with </w:t>
      </w:r>
      <w:r>
        <w:t>mobilization of a sampling team and costs associated with</w:t>
      </w:r>
      <w:r w:rsidRPr="0093000F">
        <w:t xml:space="preserve"> the number of sampling locations and number of tests </w:t>
      </w:r>
      <w:r>
        <w:t xml:space="preserve">to </w:t>
      </w:r>
      <w:proofErr w:type="gramStart"/>
      <w:r>
        <w:t>be performed</w:t>
      </w:r>
      <w:proofErr w:type="gramEnd"/>
      <w:r w:rsidRPr="0093000F">
        <w:t>.  Inclusion of costs associated with testing will not be applicable to most solid waste management facilities designed, constructed, and operated in accordance with the VSWMR</w:t>
      </w:r>
      <w:r>
        <w:t>.</w:t>
      </w:r>
    </w:p>
    <w:p w:rsidR="003200C9" w:rsidRDefault="003200C9" w:rsidP="003200C9">
      <w:pPr>
        <w:spacing w:after="0" w:line="240" w:lineRule="auto"/>
        <w:rPr>
          <w:b/>
        </w:rPr>
      </w:pPr>
    </w:p>
    <w:p w:rsidR="003200C9" w:rsidRDefault="003200C9" w:rsidP="003200C9">
      <w:pPr>
        <w:spacing w:after="0" w:line="240" w:lineRule="auto"/>
        <w:outlineLvl w:val="0"/>
        <w:rPr>
          <w:b/>
        </w:rPr>
      </w:pPr>
      <w:r>
        <w:rPr>
          <w:b/>
        </w:rPr>
        <w:t>Total P.E. Certification of Closure:</w:t>
      </w:r>
    </w:p>
    <w:p w:rsidR="003200C9" w:rsidRPr="0080637D" w:rsidRDefault="003200C9" w:rsidP="003200C9">
      <w:pPr>
        <w:spacing w:after="0" w:line="240" w:lineRule="auto"/>
      </w:pPr>
      <w:r>
        <w:t xml:space="preserve">Total cost for a professional engineer licensed in the State of Virginia to certify the facility has been closed in accordance with the facility’s approved Closure Plan in accordance with </w:t>
      </w:r>
      <w:proofErr w:type="gramStart"/>
      <w:r>
        <w:t>9</w:t>
      </w:r>
      <w:proofErr w:type="gramEnd"/>
      <w:r>
        <w:t xml:space="preserve"> VAC 20-81-360.2.e.</w:t>
      </w:r>
    </w:p>
    <w:p w:rsidR="003200C9" w:rsidRDefault="003200C9" w:rsidP="003200C9">
      <w:pPr>
        <w:spacing w:after="0" w:line="240" w:lineRule="auto"/>
        <w:rPr>
          <w:b/>
        </w:rPr>
      </w:pPr>
    </w:p>
    <w:p w:rsidR="003200C9" w:rsidRPr="001B1684" w:rsidRDefault="003200C9" w:rsidP="003200C9">
      <w:pPr>
        <w:spacing w:after="0" w:line="240" w:lineRule="auto"/>
        <w:outlineLvl w:val="0"/>
        <w:rPr>
          <w:b/>
        </w:rPr>
      </w:pPr>
      <w:r w:rsidRPr="001B1684">
        <w:rPr>
          <w:b/>
        </w:rPr>
        <w:t xml:space="preserve">Total Other: </w:t>
      </w:r>
    </w:p>
    <w:p w:rsidR="003200C9" w:rsidRPr="0093000F" w:rsidRDefault="003200C9" w:rsidP="003200C9">
      <w:pPr>
        <w:spacing w:after="0" w:line="240" w:lineRule="auto"/>
      </w:pPr>
      <w:r>
        <w:t xml:space="preserve">If any other costs associated with the closure of the solid waste management facility </w:t>
      </w:r>
      <w:proofErr w:type="gramStart"/>
      <w:r>
        <w:t>are anticipated</w:t>
      </w:r>
      <w:proofErr w:type="gramEnd"/>
      <w:r>
        <w:t xml:space="preserve"> and they do not fall under the previous categories, the total cost should be provided on this line.  Documentation for the other costs </w:t>
      </w:r>
      <w:proofErr w:type="gramStart"/>
      <w:r>
        <w:t>should be provided</w:t>
      </w:r>
      <w:proofErr w:type="gramEnd"/>
      <w:r>
        <w:t xml:space="preserve"> as an attachment to this form.</w:t>
      </w:r>
    </w:p>
    <w:p w:rsidR="003200C9" w:rsidRPr="0093000F" w:rsidRDefault="003200C9" w:rsidP="003200C9">
      <w:pPr>
        <w:spacing w:after="0" w:line="240" w:lineRule="auto"/>
        <w:rPr>
          <w:szCs w:val="24"/>
        </w:rPr>
      </w:pPr>
    </w:p>
    <w:p w:rsidR="003200C9" w:rsidRPr="003200C9" w:rsidRDefault="003200C9" w:rsidP="003200C9">
      <w:pPr>
        <w:spacing w:after="0" w:line="240" w:lineRule="auto"/>
        <w:rPr>
          <w:b/>
        </w:rPr>
      </w:pPr>
      <w:r w:rsidRPr="003200C9">
        <w:rPr>
          <w:b/>
        </w:rPr>
        <w:t>References</w:t>
      </w:r>
    </w:p>
    <w:p w:rsidR="003200C9" w:rsidRDefault="003200C9" w:rsidP="003200C9">
      <w:pPr>
        <w:spacing w:after="0" w:line="240" w:lineRule="auto"/>
      </w:pPr>
      <w:r>
        <w:t>In the space provided, list references used to prepare the cost estimate</w:t>
      </w:r>
      <w:r w:rsidRPr="001B0F06">
        <w:t xml:space="preserve"> </w:t>
      </w:r>
      <w:r>
        <w:t xml:space="preserve">and specify any assumptions used in the calculations.  These references can be bids or actual cost data from previous projects, RSMeans values, or other applicable data.  References listed should include dates associated with the documentation.  If valuable to support the worksheets provided, please attach copies of references to this form.  Any supplemental calculations </w:t>
      </w:r>
      <w:proofErr w:type="gramStart"/>
      <w:r>
        <w:t>should also be provided</w:t>
      </w:r>
      <w:proofErr w:type="gramEnd"/>
      <w:r>
        <w:t xml:space="preserve"> to demonstrate how costs were calculated if they vary from those calculations outlined in the instructions</w:t>
      </w:r>
    </w:p>
    <w:p w:rsidR="003200C9" w:rsidRDefault="003200C9" w:rsidP="003200C9">
      <w:pPr>
        <w:spacing w:after="0" w:line="240" w:lineRule="auto"/>
      </w:pPr>
    </w:p>
    <w:p w:rsidR="003200C9" w:rsidRPr="00870EC1" w:rsidRDefault="003200C9" w:rsidP="003200C9">
      <w:pPr>
        <w:pStyle w:val="Heading1"/>
      </w:pPr>
      <w:r w:rsidRPr="00870EC1">
        <w:t>Certification by Preparer</w:t>
      </w:r>
    </w:p>
    <w:p w:rsidR="003200C9" w:rsidRDefault="003200C9" w:rsidP="003200C9">
      <w:pPr>
        <w:spacing w:after="0" w:line="240" w:lineRule="auto"/>
      </w:pPr>
      <w:r w:rsidRPr="00143BD7">
        <w:t>The person responsible for preparing the cost estimate should read the certification statement and provide his/her name, title, signature, and date to certify that the facility cost estimate provided is true, correct, and complete.</w:t>
      </w:r>
    </w:p>
    <w:p w:rsidR="003200C9" w:rsidRDefault="003200C9" w:rsidP="003200C9">
      <w:pPr>
        <w:spacing w:after="0" w:line="240" w:lineRule="auto"/>
      </w:pPr>
    </w:p>
    <w:p w:rsidR="003200C9" w:rsidRPr="003200C9" w:rsidRDefault="003200C9" w:rsidP="003200C9">
      <w:pPr>
        <w:spacing w:after="0" w:line="240" w:lineRule="auto"/>
        <w:rPr>
          <w:b/>
        </w:rPr>
      </w:pPr>
      <w:r w:rsidRPr="003200C9">
        <w:rPr>
          <w:b/>
        </w:rPr>
        <w:t>Acknowledgement by Owner/Operator</w:t>
      </w:r>
    </w:p>
    <w:p w:rsidR="003200C9" w:rsidRDefault="003200C9" w:rsidP="003200C9">
      <w:pPr>
        <w:spacing w:after="0" w:line="240" w:lineRule="auto"/>
      </w:pPr>
      <w:r>
        <w:t xml:space="preserve">If DEQ Form CE SWMF and the attached cost estimate </w:t>
      </w:r>
      <w:proofErr w:type="gramStart"/>
      <w:r>
        <w:t>worksheets are prepared by a third party (i.e. consultant)</w:t>
      </w:r>
      <w:proofErr w:type="gramEnd"/>
      <w:r>
        <w:t xml:space="preserve">, a responsible official representing the FA Holder should indicate his/her acknowledgement of the cost estimate.  If </w:t>
      </w:r>
      <w:proofErr w:type="gramStart"/>
      <w:r>
        <w:t>this estimate is prepared by a responsible official</w:t>
      </w:r>
      <w:proofErr w:type="gramEnd"/>
      <w:r>
        <w:t xml:space="preserve"> representing the FA Holder then this line can be left blank so long as the Certification by Preparer is signed.</w:t>
      </w:r>
    </w:p>
    <w:p w:rsidR="00221224" w:rsidRDefault="00221224" w:rsidP="003849E8">
      <w:pPr>
        <w:tabs>
          <w:tab w:val="left" w:pos="7020"/>
        </w:tabs>
        <w:spacing w:after="0" w:line="240" w:lineRule="auto"/>
      </w:pPr>
    </w:p>
    <w:sectPr w:rsidR="00221224" w:rsidSect="00765711">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110" w:rsidRDefault="000D1110" w:rsidP="0080325E">
      <w:pPr>
        <w:spacing w:after="0" w:line="240" w:lineRule="auto"/>
      </w:pPr>
      <w:r>
        <w:separator/>
      </w:r>
    </w:p>
  </w:endnote>
  <w:endnote w:type="continuationSeparator" w:id="0">
    <w:p w:rsidR="000D1110" w:rsidRDefault="000D1110" w:rsidP="0080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34" w:rsidRDefault="003849E8" w:rsidP="0080325E">
    <w:r>
      <w:t>DEQ Form CE SWMF</w:t>
    </w:r>
    <w:r w:rsidR="00593C34">
      <w:ptab w:relativeTo="margin" w:alignment="center" w:leader="none"/>
    </w:r>
    <w:r w:rsidR="00593C34">
      <w:ptab w:relativeTo="margin" w:alignment="right" w:leader="none"/>
    </w:r>
    <w:r w:rsidR="00B17A23">
      <w:t>07/2020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0C9" w:rsidRDefault="003200C9" w:rsidP="003200C9">
    <w:r>
      <w:t>DEQ Form CE SWMF</w:t>
    </w:r>
    <w:r>
      <w:ptab w:relativeTo="margin" w:alignment="center" w:leader="none"/>
    </w:r>
    <w:r>
      <w:ptab w:relativeTo="margin" w:alignment="right" w:leader="none"/>
    </w:r>
    <w:r w:rsidR="00B17A23">
      <w:t>07/2020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110" w:rsidRDefault="000D1110" w:rsidP="0080325E">
      <w:pPr>
        <w:spacing w:after="0" w:line="240" w:lineRule="auto"/>
      </w:pPr>
      <w:r>
        <w:separator/>
      </w:r>
    </w:p>
  </w:footnote>
  <w:footnote w:type="continuationSeparator" w:id="0">
    <w:p w:rsidR="000D1110" w:rsidRDefault="000D1110" w:rsidP="00803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0F56"/>
    <w:multiLevelType w:val="hybridMultilevel"/>
    <w:tmpl w:val="F73A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D47FE"/>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1156E"/>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26234B"/>
    <w:multiLevelType w:val="hybridMultilevel"/>
    <w:tmpl w:val="E81AAA3A"/>
    <w:lvl w:ilvl="0" w:tplc="C0FC1A8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33D65012"/>
    <w:multiLevelType w:val="hybridMultilevel"/>
    <w:tmpl w:val="90C09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90644"/>
    <w:multiLevelType w:val="hybridMultilevel"/>
    <w:tmpl w:val="86420A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A788F"/>
    <w:multiLevelType w:val="hybridMultilevel"/>
    <w:tmpl w:val="9912F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0147E"/>
    <w:multiLevelType w:val="hybridMultilevel"/>
    <w:tmpl w:val="0D585064"/>
    <w:lvl w:ilvl="0" w:tplc="68FA9E2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20F55"/>
    <w:multiLevelType w:val="hybridMultilevel"/>
    <w:tmpl w:val="54DC1660"/>
    <w:lvl w:ilvl="0" w:tplc="8CF64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8511B"/>
    <w:multiLevelType w:val="hybridMultilevel"/>
    <w:tmpl w:val="0A8E48AC"/>
    <w:lvl w:ilvl="0" w:tplc="A7284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50C25"/>
    <w:multiLevelType w:val="hybridMultilevel"/>
    <w:tmpl w:val="31E8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861787"/>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8939D3"/>
    <w:multiLevelType w:val="hybridMultilevel"/>
    <w:tmpl w:val="50C62F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C295D"/>
    <w:multiLevelType w:val="hybridMultilevel"/>
    <w:tmpl w:val="36A01E8A"/>
    <w:lvl w:ilvl="0" w:tplc="09346008">
      <w:start w:val="1"/>
      <w:numFmt w:val="upperRoman"/>
      <w:pStyle w:val="Heading1"/>
      <w:lvlText w:val="%1."/>
      <w:lvlJc w:val="left"/>
      <w:pPr>
        <w:ind w:left="342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 w15:restartNumberingAfterBreak="0">
    <w:nsid w:val="75867997"/>
    <w:multiLevelType w:val="hybridMultilevel"/>
    <w:tmpl w:val="326A5B04"/>
    <w:lvl w:ilvl="0" w:tplc="6FA81856">
      <w:start w:val="1"/>
      <w:numFmt w:val="decimal"/>
      <w:lvlText w:val="%1."/>
      <w:lvlJc w:val="left"/>
      <w:pPr>
        <w:ind w:left="1800" w:hanging="360"/>
      </w:pPr>
      <w:rPr>
        <w:rFonts w:hint="default"/>
        <w:u w:val="none"/>
      </w:rPr>
    </w:lvl>
    <w:lvl w:ilvl="1" w:tplc="E800EDBC">
      <w:start w:val="1"/>
      <w:numFmt w:val="upperLetter"/>
      <w:lvlText w:val="%2."/>
      <w:lvlJc w:val="left"/>
      <w:pPr>
        <w:ind w:left="2520" w:hanging="360"/>
      </w:pPr>
      <w:rPr>
        <w:rFonts w:ascii="Calibri" w:eastAsia="Times New Roman" w:hAnsi="Calibri" w:cs="Times New Roman"/>
      </w:rPr>
    </w:lvl>
    <w:lvl w:ilvl="2" w:tplc="B1EC184A">
      <w:start w:val="1"/>
      <w:numFmt w:val="upperRoman"/>
      <w:lvlText w:val="%3."/>
      <w:lvlJc w:val="left"/>
      <w:pPr>
        <w:ind w:left="4680" w:hanging="360"/>
      </w:pPr>
      <w:rPr>
        <w:rFonts w:ascii="Cambria" w:eastAsia="Times New Roman" w:hAnsi="Cambria" w:cs="Times New Roman"/>
        <w:b w:val="0"/>
        <w:i w:val="0"/>
        <w:color w:val="365F91"/>
        <w:sz w:val="24"/>
        <w:szCs w:val="24"/>
      </w:rPr>
    </w:lvl>
    <w:lvl w:ilvl="3" w:tplc="0409000F">
      <w:start w:val="1"/>
      <w:numFmt w:val="decimal"/>
      <w:lvlText w:val="%4."/>
      <w:lvlJc w:val="left"/>
      <w:pPr>
        <w:ind w:left="3960" w:hanging="360"/>
      </w:pPr>
    </w:lvl>
    <w:lvl w:ilvl="4" w:tplc="BF281D0C">
      <w:start w:val="10"/>
      <w:numFmt w:val="upperLetter"/>
      <w:lvlText w:val="%5."/>
      <w:lvlJc w:val="left"/>
      <w:pPr>
        <w:ind w:left="4680" w:hanging="360"/>
      </w:pPr>
      <w:rPr>
        <w:rFonts w:ascii="Cambria" w:hAnsi="Cambria" w:hint="default"/>
        <w:color w:val="365F91"/>
        <w:sz w:val="24"/>
        <w:szCs w:val="24"/>
        <w:u w:val="none"/>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E321476"/>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8"/>
  </w:num>
  <w:num w:numId="3">
    <w:abstractNumId w:val="4"/>
  </w:num>
  <w:num w:numId="4">
    <w:abstractNumId w:val="10"/>
  </w:num>
  <w:num w:numId="5">
    <w:abstractNumId w:val="13"/>
  </w:num>
  <w:num w:numId="6">
    <w:abstractNumId w:val="11"/>
  </w:num>
  <w:num w:numId="7">
    <w:abstractNumId w:val="1"/>
  </w:num>
  <w:num w:numId="8">
    <w:abstractNumId w:val="3"/>
  </w:num>
  <w:num w:numId="9">
    <w:abstractNumId w:val="9"/>
  </w:num>
  <w:num w:numId="10">
    <w:abstractNumId w:val="15"/>
  </w:num>
  <w:num w:numId="11">
    <w:abstractNumId w:val="5"/>
  </w:num>
  <w:num w:numId="12">
    <w:abstractNumId w:val="2"/>
  </w:num>
  <w:num w:numId="13">
    <w:abstractNumId w:val="7"/>
    <w:lvlOverride w:ilvl="0">
      <w:startOverride w:val="1"/>
    </w:lvlOverride>
  </w:num>
  <w:num w:numId="14">
    <w:abstractNumId w:val="0"/>
  </w:num>
  <w:num w:numId="15">
    <w:abstractNumId w:val="13"/>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6"/>
  </w:num>
  <w:num w:numId="20">
    <w:abstractNumId w:val="13"/>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14"/>
  </w:num>
  <w:num w:numId="25">
    <w:abstractNumId w:val="13"/>
    <w:lvlOverride w:ilvl="0">
      <w:startOverride w:val="1"/>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KXUNVZ4tlTvd/5wTw5CuD10CvEVzwun7bFzshOHp08nc4fU2iptS/boowMNdmL80GE0a8zHf0Nmb56CzixZKw==" w:salt="wJkkxnfQwrL6wY01eiyCYw=="/>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23"/>
    <w:rsid w:val="00016DB8"/>
    <w:rsid w:val="0006062A"/>
    <w:rsid w:val="0007516E"/>
    <w:rsid w:val="0008120E"/>
    <w:rsid w:val="000820C1"/>
    <w:rsid w:val="000D1110"/>
    <w:rsid w:val="00103867"/>
    <w:rsid w:val="001053CC"/>
    <w:rsid w:val="00115279"/>
    <w:rsid w:val="00120100"/>
    <w:rsid w:val="00127FFC"/>
    <w:rsid w:val="00160B00"/>
    <w:rsid w:val="001615C4"/>
    <w:rsid w:val="001A1DA3"/>
    <w:rsid w:val="001B731D"/>
    <w:rsid w:val="001F00B3"/>
    <w:rsid w:val="001F1020"/>
    <w:rsid w:val="001F657D"/>
    <w:rsid w:val="002046B2"/>
    <w:rsid w:val="0021048E"/>
    <w:rsid w:val="00221224"/>
    <w:rsid w:val="00241035"/>
    <w:rsid w:val="00286167"/>
    <w:rsid w:val="002A7FEA"/>
    <w:rsid w:val="002B077C"/>
    <w:rsid w:val="002C1F3C"/>
    <w:rsid w:val="002D661A"/>
    <w:rsid w:val="00313AAF"/>
    <w:rsid w:val="003161B7"/>
    <w:rsid w:val="003200C9"/>
    <w:rsid w:val="00333FA9"/>
    <w:rsid w:val="00334228"/>
    <w:rsid w:val="003849E8"/>
    <w:rsid w:val="003B4F79"/>
    <w:rsid w:val="003D0998"/>
    <w:rsid w:val="00403585"/>
    <w:rsid w:val="00415A9E"/>
    <w:rsid w:val="004230B0"/>
    <w:rsid w:val="00426093"/>
    <w:rsid w:val="00454296"/>
    <w:rsid w:val="004638B2"/>
    <w:rsid w:val="004657BF"/>
    <w:rsid w:val="00475F31"/>
    <w:rsid w:val="00481406"/>
    <w:rsid w:val="00491787"/>
    <w:rsid w:val="004E5B1C"/>
    <w:rsid w:val="005054F6"/>
    <w:rsid w:val="00510A8A"/>
    <w:rsid w:val="005115B1"/>
    <w:rsid w:val="005304E3"/>
    <w:rsid w:val="005649A1"/>
    <w:rsid w:val="00571170"/>
    <w:rsid w:val="00585B88"/>
    <w:rsid w:val="0058610E"/>
    <w:rsid w:val="00593C34"/>
    <w:rsid w:val="005E135F"/>
    <w:rsid w:val="005E1CBE"/>
    <w:rsid w:val="005F1AB3"/>
    <w:rsid w:val="00600427"/>
    <w:rsid w:val="006204ED"/>
    <w:rsid w:val="00642517"/>
    <w:rsid w:val="006476A3"/>
    <w:rsid w:val="0076466D"/>
    <w:rsid w:val="007738C2"/>
    <w:rsid w:val="007B30C4"/>
    <w:rsid w:val="007C0D23"/>
    <w:rsid w:val="007E3F35"/>
    <w:rsid w:val="007F5B4A"/>
    <w:rsid w:val="0080325E"/>
    <w:rsid w:val="0081461E"/>
    <w:rsid w:val="0083733D"/>
    <w:rsid w:val="00883617"/>
    <w:rsid w:val="008A381F"/>
    <w:rsid w:val="008C30E8"/>
    <w:rsid w:val="0090280A"/>
    <w:rsid w:val="009042C2"/>
    <w:rsid w:val="00906875"/>
    <w:rsid w:val="00906F25"/>
    <w:rsid w:val="00973335"/>
    <w:rsid w:val="009B38F0"/>
    <w:rsid w:val="009F7595"/>
    <w:rsid w:val="00A33881"/>
    <w:rsid w:val="00A735CA"/>
    <w:rsid w:val="00A77774"/>
    <w:rsid w:val="00AE2869"/>
    <w:rsid w:val="00B17A23"/>
    <w:rsid w:val="00B44425"/>
    <w:rsid w:val="00BD0141"/>
    <w:rsid w:val="00BE05A7"/>
    <w:rsid w:val="00C00FDA"/>
    <w:rsid w:val="00C22E90"/>
    <w:rsid w:val="00C62A27"/>
    <w:rsid w:val="00C676E5"/>
    <w:rsid w:val="00C97A68"/>
    <w:rsid w:val="00CA7C84"/>
    <w:rsid w:val="00D53788"/>
    <w:rsid w:val="00D560C0"/>
    <w:rsid w:val="00DC6ADF"/>
    <w:rsid w:val="00DF0DE8"/>
    <w:rsid w:val="00E072C1"/>
    <w:rsid w:val="00E12B5C"/>
    <w:rsid w:val="00E140FC"/>
    <w:rsid w:val="00E7081D"/>
    <w:rsid w:val="00E7608A"/>
    <w:rsid w:val="00EA39AD"/>
    <w:rsid w:val="00ED4C51"/>
    <w:rsid w:val="00F17005"/>
    <w:rsid w:val="00F51472"/>
    <w:rsid w:val="00FE7D9E"/>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AD4637"/>
  <w15:docId w15:val="{5E40DBE0-2EF8-4623-8569-7911531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B3"/>
  </w:style>
  <w:style w:type="paragraph" w:styleId="Heading1">
    <w:name w:val="heading 1"/>
    <w:basedOn w:val="ListParagraph"/>
    <w:next w:val="Normal"/>
    <w:link w:val="Heading1Char"/>
    <w:qFormat/>
    <w:rsid w:val="00D560C0"/>
    <w:pPr>
      <w:numPr>
        <w:numId w:val="5"/>
      </w:numPr>
      <w:spacing w:before="20" w:after="20" w:line="240" w:lineRule="auto"/>
      <w:ind w:left="360" w:hanging="360"/>
      <w:contextualSpacing w:val="0"/>
      <w:outlineLvl w:val="0"/>
    </w:pPr>
    <w:rPr>
      <w:b/>
      <w:color w:val="0000FF"/>
      <w:sz w:val="24"/>
      <w:szCs w:val="24"/>
    </w:rPr>
  </w:style>
  <w:style w:type="paragraph" w:styleId="Heading2">
    <w:name w:val="heading 2"/>
    <w:basedOn w:val="Normal"/>
    <w:next w:val="Normal"/>
    <w:link w:val="Heading2Char"/>
    <w:uiPriority w:val="9"/>
    <w:unhideWhenUsed/>
    <w:qFormat/>
    <w:rsid w:val="00D560C0"/>
    <w:pPr>
      <w:numPr>
        <w:numId w:val="1"/>
      </w:numPr>
      <w:pBdr>
        <w:bottom w:val="single" w:sz="4" w:space="1" w:color="auto"/>
      </w:pBdr>
      <w:spacing w:before="20" w:after="20" w:line="240" w:lineRule="auto"/>
      <w:ind w:left="360"/>
      <w:outlineLvl w:val="1"/>
    </w:pPr>
    <w:rPr>
      <w:rFonts w:eastAsiaTheme="majorEastAsia" w:cstheme="minorHAnsi"/>
      <w:b/>
      <w:sz w:val="24"/>
      <w:szCs w:val="24"/>
    </w:rPr>
  </w:style>
  <w:style w:type="paragraph" w:styleId="Heading3">
    <w:name w:val="heading 3"/>
    <w:basedOn w:val="Normal"/>
    <w:next w:val="Normal"/>
    <w:link w:val="Heading3Char"/>
    <w:uiPriority w:val="9"/>
    <w:unhideWhenUsed/>
    <w:qFormat/>
    <w:rsid w:val="00D560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60C0"/>
    <w:rPr>
      <w:rFonts w:eastAsiaTheme="majorEastAsia" w:cstheme="minorHAnsi"/>
      <w:b/>
      <w:sz w:val="24"/>
      <w:szCs w:val="24"/>
    </w:rPr>
  </w:style>
  <w:style w:type="paragraph" w:styleId="BalloonText">
    <w:name w:val="Balloon Text"/>
    <w:basedOn w:val="Normal"/>
    <w:link w:val="BalloonTextChar"/>
    <w:uiPriority w:val="99"/>
    <w:semiHidden/>
    <w:unhideWhenUsed/>
    <w:rsid w:val="00906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F25"/>
    <w:rPr>
      <w:rFonts w:ascii="Tahoma" w:hAnsi="Tahoma" w:cs="Tahoma"/>
      <w:sz w:val="16"/>
      <w:szCs w:val="16"/>
    </w:rPr>
  </w:style>
  <w:style w:type="table" w:styleId="TableGrid">
    <w:name w:val="Table Grid"/>
    <w:basedOn w:val="TableNormal"/>
    <w:uiPriority w:val="59"/>
    <w:rsid w:val="0090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517"/>
    <w:pPr>
      <w:ind w:left="720"/>
      <w:contextualSpacing/>
    </w:pPr>
  </w:style>
  <w:style w:type="paragraph" w:styleId="Header">
    <w:name w:val="header"/>
    <w:basedOn w:val="Normal"/>
    <w:link w:val="HeaderChar"/>
    <w:uiPriority w:val="99"/>
    <w:unhideWhenUsed/>
    <w:rsid w:val="00803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5E"/>
  </w:style>
  <w:style w:type="paragraph" w:styleId="Footer">
    <w:name w:val="footer"/>
    <w:basedOn w:val="Normal"/>
    <w:link w:val="FooterChar"/>
    <w:uiPriority w:val="99"/>
    <w:unhideWhenUsed/>
    <w:rsid w:val="0080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5E"/>
  </w:style>
  <w:style w:type="character" w:customStyle="1" w:styleId="Heading1Char">
    <w:name w:val="Heading 1 Char"/>
    <w:basedOn w:val="DefaultParagraphFont"/>
    <w:link w:val="Heading1"/>
    <w:rsid w:val="00D560C0"/>
    <w:rPr>
      <w:b/>
      <w:color w:val="0000FF"/>
      <w:sz w:val="24"/>
      <w:szCs w:val="24"/>
    </w:rPr>
  </w:style>
  <w:style w:type="paragraph" w:customStyle="1" w:styleId="sectind">
    <w:name w:val="sectind"/>
    <w:basedOn w:val="Normal"/>
    <w:rsid w:val="00FF5BB7"/>
    <w:pPr>
      <w:autoSpaceDE w:val="0"/>
      <w:autoSpaceDN w:val="0"/>
      <w:spacing w:before="60" w:after="60" w:line="240" w:lineRule="auto"/>
      <w:ind w:firstLine="360"/>
      <w:jc w:val="both"/>
    </w:pPr>
    <w:rPr>
      <w:rFonts w:ascii="Arial" w:eastAsia="Times New Roman" w:hAnsi="Arial" w:cs="Arial"/>
    </w:rPr>
  </w:style>
  <w:style w:type="paragraph" w:customStyle="1" w:styleId="sectbi">
    <w:name w:val="sectbi"/>
    <w:basedOn w:val="Normal"/>
    <w:rsid w:val="00FF5BB7"/>
    <w:pPr>
      <w:autoSpaceDE w:val="0"/>
      <w:autoSpaceDN w:val="0"/>
      <w:spacing w:after="60" w:line="240" w:lineRule="auto"/>
      <w:ind w:left="720"/>
      <w:jc w:val="both"/>
    </w:pPr>
    <w:rPr>
      <w:rFonts w:ascii="Arial" w:eastAsia="Times New Roman" w:hAnsi="Arial" w:cs="Arial"/>
    </w:rPr>
  </w:style>
  <w:style w:type="paragraph" w:styleId="DocumentMap">
    <w:name w:val="Document Map"/>
    <w:basedOn w:val="Normal"/>
    <w:link w:val="DocumentMapChar"/>
    <w:uiPriority w:val="99"/>
    <w:semiHidden/>
    <w:unhideWhenUsed/>
    <w:rsid w:val="008373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3733D"/>
    <w:rPr>
      <w:rFonts w:ascii="Tahoma" w:hAnsi="Tahoma" w:cs="Tahoma"/>
      <w:sz w:val="16"/>
      <w:szCs w:val="16"/>
    </w:rPr>
  </w:style>
  <w:style w:type="character" w:customStyle="1" w:styleId="Heading3Char">
    <w:name w:val="Heading 3 Char"/>
    <w:basedOn w:val="DefaultParagraphFont"/>
    <w:link w:val="Heading3"/>
    <w:uiPriority w:val="9"/>
    <w:rsid w:val="00D560C0"/>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8A38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81F"/>
    <w:rPr>
      <w:rFonts w:asciiTheme="majorHAnsi" w:eastAsiaTheme="majorEastAsia" w:hAnsiTheme="majorHAnsi" w:cstheme="majorBidi"/>
      <w:spacing w:val="-10"/>
      <w:kern w:val="28"/>
      <w:sz w:val="56"/>
      <w:szCs w:val="56"/>
    </w:rPr>
  </w:style>
  <w:style w:type="table" w:styleId="GridTable1Light">
    <w:name w:val="Grid Table 1 Light"/>
    <w:basedOn w:val="TableNormal"/>
    <w:uiPriority w:val="46"/>
    <w:rsid w:val="008A38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E12B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PlaceholderText">
    <w:name w:val="Placeholder Text"/>
    <w:basedOn w:val="DefaultParagraphFont"/>
    <w:uiPriority w:val="99"/>
    <w:semiHidden/>
    <w:rsid w:val="006204ED"/>
    <w:rPr>
      <w:color w:val="808080"/>
    </w:rPr>
  </w:style>
  <w:style w:type="table" w:customStyle="1" w:styleId="TableGrid1">
    <w:name w:val="Table Grid1"/>
    <w:basedOn w:val="TableNormal"/>
    <w:next w:val="TableGrid"/>
    <w:uiPriority w:val="59"/>
    <w:rsid w:val="00BD0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20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4862">
      <w:bodyDiv w:val="1"/>
      <w:marLeft w:val="0"/>
      <w:marRight w:val="0"/>
      <w:marTop w:val="0"/>
      <w:marBottom w:val="0"/>
      <w:divBdr>
        <w:top w:val="none" w:sz="0" w:space="0" w:color="auto"/>
        <w:left w:val="none" w:sz="0" w:space="0" w:color="auto"/>
        <w:bottom w:val="none" w:sz="0" w:space="0" w:color="auto"/>
        <w:right w:val="none" w:sz="0" w:space="0" w:color="auto"/>
      </w:divBdr>
    </w:div>
    <w:div w:id="1106920817">
      <w:bodyDiv w:val="1"/>
      <w:marLeft w:val="0"/>
      <w:marRight w:val="0"/>
      <w:marTop w:val="0"/>
      <w:marBottom w:val="0"/>
      <w:divBdr>
        <w:top w:val="none" w:sz="0" w:space="0" w:color="auto"/>
        <w:left w:val="none" w:sz="0" w:space="0" w:color="auto"/>
        <w:bottom w:val="none" w:sz="0" w:space="0" w:color="auto"/>
        <w:right w:val="none" w:sz="0" w:space="0" w:color="auto"/>
      </w:divBdr>
    </w:div>
    <w:div w:id="1146169970">
      <w:bodyDiv w:val="1"/>
      <w:marLeft w:val="0"/>
      <w:marRight w:val="0"/>
      <w:marTop w:val="0"/>
      <w:marBottom w:val="0"/>
      <w:divBdr>
        <w:top w:val="none" w:sz="0" w:space="0" w:color="auto"/>
        <w:left w:val="none" w:sz="0" w:space="0" w:color="auto"/>
        <w:bottom w:val="none" w:sz="0" w:space="0" w:color="auto"/>
        <w:right w:val="none" w:sz="0" w:space="0" w:color="auto"/>
      </w:divBdr>
    </w:div>
    <w:div w:id="16178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wnhall.state.va.us/L/GetFile.cfm?File=E:\townhall\docroot\GuidanceDocs\440\GDoc_DEQ_4486_v1.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80389-2768-48B6-80FC-F943E0A22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okl86362</dc:creator>
  <cp:keywords/>
  <dc:description/>
  <cp:lastModifiedBy>Perszyk, Kathryn (DEQ)</cp:lastModifiedBy>
  <cp:revision>6</cp:revision>
  <cp:lastPrinted>2012-01-18T21:49:00Z</cp:lastPrinted>
  <dcterms:created xsi:type="dcterms:W3CDTF">2020-07-10T18:23:00Z</dcterms:created>
  <dcterms:modified xsi:type="dcterms:W3CDTF">2021-01-27T14:21:00Z</dcterms:modified>
</cp:coreProperties>
</file>