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34E52" w14:textId="77777777" w:rsidR="00DC7402" w:rsidRDefault="00DC7402" w:rsidP="00CD5E69">
      <w:pPr>
        <w:jc w:val="center"/>
        <w:rPr>
          <w:sz w:val="22"/>
          <w:szCs w:val="22"/>
        </w:rPr>
      </w:pPr>
    </w:p>
    <w:p w14:paraId="0B369982" w14:textId="575D8926" w:rsidR="00CD5E69" w:rsidRDefault="006F3E5E" w:rsidP="00CD5E69">
      <w:pPr>
        <w:jc w:val="center"/>
        <w:rPr>
          <w:sz w:val="22"/>
          <w:szCs w:val="22"/>
        </w:rPr>
      </w:pPr>
      <w:r>
        <w:rPr>
          <w:sz w:val="22"/>
          <w:szCs w:val="22"/>
        </w:rPr>
        <w:t>August</w:t>
      </w:r>
      <w:r w:rsidR="00CD5E69">
        <w:rPr>
          <w:sz w:val="22"/>
          <w:szCs w:val="22"/>
        </w:rPr>
        <w:t xml:space="preserve"> 1, 202</w:t>
      </w:r>
      <w:r w:rsidR="00B30F8D">
        <w:rPr>
          <w:sz w:val="22"/>
          <w:szCs w:val="22"/>
        </w:rPr>
        <w:t>5</w:t>
      </w:r>
    </w:p>
    <w:p w14:paraId="48ABCECB" w14:textId="77777777" w:rsidR="00CD5E69" w:rsidRPr="00B87B06" w:rsidRDefault="00CD5E69" w:rsidP="00CD5E69">
      <w:pPr>
        <w:jc w:val="center"/>
        <w:rPr>
          <w:sz w:val="22"/>
          <w:szCs w:val="22"/>
        </w:rPr>
      </w:pPr>
    </w:p>
    <w:p w14:paraId="02290EED" w14:textId="77777777" w:rsidR="00CD5E69" w:rsidRPr="00B87B06" w:rsidRDefault="00CD5E69" w:rsidP="00CD5E69">
      <w:pPr>
        <w:rPr>
          <w:sz w:val="22"/>
          <w:szCs w:val="22"/>
        </w:rPr>
      </w:pPr>
    </w:p>
    <w:p w14:paraId="7C2E5104" w14:textId="77777777" w:rsidR="00CD5E69" w:rsidRPr="00B87B06" w:rsidRDefault="00CD5E69" w:rsidP="00CD5E69">
      <w:pPr>
        <w:tabs>
          <w:tab w:val="left" w:pos="-1440"/>
        </w:tabs>
        <w:ind w:left="720" w:hanging="720"/>
        <w:rPr>
          <w:sz w:val="22"/>
          <w:szCs w:val="22"/>
        </w:rPr>
      </w:pPr>
      <w:r w:rsidRPr="00B87B06">
        <w:rPr>
          <w:b/>
          <w:sz w:val="22"/>
          <w:szCs w:val="22"/>
        </w:rPr>
        <w:t>TO:</w:t>
      </w:r>
      <w:r w:rsidRPr="00B87B06">
        <w:rPr>
          <w:b/>
          <w:sz w:val="22"/>
          <w:szCs w:val="22"/>
        </w:rPr>
        <w:tab/>
        <w:t>AIR SOURCES SUBJECT TO PERMIT EMISSIONS AND MAINTENANCE FEES</w:t>
      </w:r>
    </w:p>
    <w:p w14:paraId="17E70C21" w14:textId="77777777" w:rsidR="00CD5E69" w:rsidRPr="00B87B06" w:rsidRDefault="00CD5E69" w:rsidP="00CD5E69">
      <w:pPr>
        <w:rPr>
          <w:sz w:val="22"/>
          <w:szCs w:val="22"/>
        </w:rPr>
      </w:pPr>
    </w:p>
    <w:p w14:paraId="15C91A58" w14:textId="2252F4EF" w:rsidR="00CD5E69" w:rsidRPr="005E732B" w:rsidRDefault="00CD5E69" w:rsidP="00CD5E69">
      <w:pPr>
        <w:ind w:firstLine="720"/>
        <w:rPr>
          <w:rStyle w:val="Hyperlink"/>
          <w:sz w:val="22"/>
          <w:szCs w:val="22"/>
        </w:rPr>
      </w:pPr>
      <w:r w:rsidRPr="00B87B06">
        <w:rPr>
          <w:sz w:val="22"/>
          <w:szCs w:val="22"/>
        </w:rPr>
        <w:t xml:space="preserve">The state Title V permit fee regulation requires certain sources subject to the rule </w:t>
      </w:r>
      <w:proofErr w:type="gramStart"/>
      <w:r w:rsidRPr="00B87B06">
        <w:rPr>
          <w:sz w:val="22"/>
          <w:szCs w:val="22"/>
        </w:rPr>
        <w:t>be assessed</w:t>
      </w:r>
      <w:proofErr w:type="gramEnd"/>
      <w:r w:rsidRPr="00B87B06">
        <w:rPr>
          <w:sz w:val="22"/>
          <w:szCs w:val="22"/>
        </w:rPr>
        <w:t xml:space="preserve"> an annual emissions fee (9 VAC 80 - Article 2) and/or an annual maintenance fee (9 VAC 80 - Article 11) no later than August 1 each year.  The emissions fee </w:t>
      </w:r>
      <w:r>
        <w:rPr>
          <w:sz w:val="22"/>
          <w:szCs w:val="22"/>
        </w:rPr>
        <w:t xml:space="preserve">is </w:t>
      </w:r>
      <w:r w:rsidRPr="00B87B06">
        <w:rPr>
          <w:sz w:val="22"/>
          <w:szCs w:val="22"/>
        </w:rPr>
        <w:t>based on actual annual emissions of regulated pollutants reported for the previous calendar year.  The maintenance fee is based on the stationary source type defined in the fee regulation.  Please see page 3 of this document for specific information on permit maintenance fee</w:t>
      </w:r>
      <w:r>
        <w:rPr>
          <w:sz w:val="22"/>
          <w:szCs w:val="22"/>
        </w:rPr>
        <w:t>s</w:t>
      </w:r>
      <w:r w:rsidRPr="00B87B06">
        <w:rPr>
          <w:sz w:val="22"/>
          <w:szCs w:val="22"/>
        </w:rPr>
        <w:t>.  Additional information on all the fees established or revised by this regulatory action is available at</w:t>
      </w:r>
      <w:r>
        <w:rPr>
          <w:sz w:val="22"/>
          <w:szCs w:val="22"/>
        </w:rPr>
        <w:t xml:space="preserve"> </w:t>
      </w:r>
      <w:r w:rsidRPr="005E732B">
        <w:rPr>
          <w:sz w:val="22"/>
          <w:szCs w:val="22"/>
        </w:rPr>
        <w:t xml:space="preserve">DEQ's Webpage for </w:t>
      </w:r>
      <w:r w:rsidR="005E732B">
        <w:rPr>
          <w:sz w:val="22"/>
          <w:szCs w:val="22"/>
        </w:rPr>
        <w:fldChar w:fldCharType="begin"/>
      </w:r>
      <w:r w:rsidR="005E732B">
        <w:rPr>
          <w:sz w:val="22"/>
          <w:szCs w:val="22"/>
        </w:rPr>
        <w:instrText>HYPERLINK "https://www.deq.virginia.gov/laws-regulations/air/fees-under-the-air-pollution-control-law"</w:instrText>
      </w:r>
      <w:r w:rsidR="005E732B">
        <w:rPr>
          <w:sz w:val="22"/>
          <w:szCs w:val="22"/>
        </w:rPr>
      </w:r>
      <w:r w:rsidR="005E732B">
        <w:rPr>
          <w:sz w:val="22"/>
          <w:szCs w:val="22"/>
        </w:rPr>
        <w:fldChar w:fldCharType="separate"/>
      </w:r>
      <w:r w:rsidRPr="005E732B">
        <w:rPr>
          <w:rStyle w:val="Hyperlink"/>
          <w:sz w:val="22"/>
          <w:szCs w:val="22"/>
        </w:rPr>
        <w:t>Fees under the Virginia Air Pollution Control Law</w:t>
      </w:r>
    </w:p>
    <w:p w14:paraId="5F0458F7" w14:textId="76BB3D20" w:rsidR="00CD5E69" w:rsidRPr="00B87B06" w:rsidRDefault="005E732B" w:rsidP="00CD5E69">
      <w:pPr>
        <w:ind w:firstLine="720"/>
        <w:rPr>
          <w:sz w:val="22"/>
          <w:szCs w:val="22"/>
        </w:rPr>
      </w:pPr>
      <w:r>
        <w:rPr>
          <w:sz w:val="22"/>
          <w:szCs w:val="22"/>
        </w:rPr>
        <w:fldChar w:fldCharType="end"/>
      </w:r>
    </w:p>
    <w:p w14:paraId="44D5E202" w14:textId="17B0EACF" w:rsidR="00CD5E69" w:rsidRPr="00B87B06" w:rsidRDefault="00CD5E69" w:rsidP="00CD5E69">
      <w:pPr>
        <w:ind w:firstLine="720"/>
        <w:rPr>
          <w:sz w:val="22"/>
          <w:szCs w:val="22"/>
        </w:rPr>
      </w:pPr>
      <w:r w:rsidRPr="00B87B06">
        <w:rPr>
          <w:sz w:val="22"/>
          <w:szCs w:val="22"/>
        </w:rPr>
        <w:t>The purpose of this package is to tr</w:t>
      </w:r>
      <w:r>
        <w:rPr>
          <w:sz w:val="22"/>
          <w:szCs w:val="22"/>
        </w:rPr>
        <w:t>ansmit the State fiscal year 202</w:t>
      </w:r>
      <w:r w:rsidR="005D3644">
        <w:rPr>
          <w:sz w:val="22"/>
          <w:szCs w:val="22"/>
        </w:rPr>
        <w:t>5</w:t>
      </w:r>
      <w:r w:rsidRPr="00B87B06">
        <w:rPr>
          <w:sz w:val="22"/>
          <w:szCs w:val="22"/>
        </w:rPr>
        <w:t xml:space="preserve"> bill along with several related items.  The emissions fee has been calcula</w:t>
      </w:r>
      <w:r>
        <w:rPr>
          <w:sz w:val="22"/>
          <w:szCs w:val="22"/>
        </w:rPr>
        <w:t>ted using calendar year (CY) 202</w:t>
      </w:r>
      <w:r w:rsidR="005D3644">
        <w:rPr>
          <w:sz w:val="22"/>
          <w:szCs w:val="22"/>
        </w:rPr>
        <w:t>4</w:t>
      </w:r>
      <w:r w:rsidRPr="00B87B06">
        <w:rPr>
          <w:sz w:val="22"/>
          <w:szCs w:val="22"/>
        </w:rPr>
        <w:t xml:space="preserve"> annual emissions of regulated pollutants reported by the </w:t>
      </w:r>
      <w:r w:rsidR="00637B9A" w:rsidRPr="00B87B06">
        <w:rPr>
          <w:sz w:val="22"/>
          <w:szCs w:val="22"/>
        </w:rPr>
        <w:t>facility and</w:t>
      </w:r>
      <w:r w:rsidRPr="00B87B06">
        <w:rPr>
          <w:sz w:val="22"/>
          <w:szCs w:val="22"/>
        </w:rPr>
        <w:t xml:space="preserve"> </w:t>
      </w:r>
      <w:proofErr w:type="gramStart"/>
      <w:r w:rsidRPr="00B87B06">
        <w:rPr>
          <w:sz w:val="22"/>
          <w:szCs w:val="22"/>
        </w:rPr>
        <w:t>entered into</w:t>
      </w:r>
      <w:proofErr w:type="gramEnd"/>
      <w:r w:rsidRPr="00B87B06">
        <w:rPr>
          <w:sz w:val="22"/>
          <w:szCs w:val="22"/>
        </w:rPr>
        <w:t xml:space="preserve"> the Department's facility emission inventory system.  Please note that the base rate per ton in the fee regulation has been revised and adjusted by the Consumer Price Index as required (9 VAC 5-80-340</w:t>
      </w:r>
      <w:r w:rsidR="00637B9A" w:rsidRPr="00B87B06">
        <w:rPr>
          <w:sz w:val="22"/>
          <w:szCs w:val="22"/>
        </w:rPr>
        <w:t>) and</w:t>
      </w:r>
      <w:r w:rsidRPr="00B87B06">
        <w:rPr>
          <w:sz w:val="22"/>
          <w:szCs w:val="22"/>
        </w:rPr>
        <w:t xml:space="preserve"> is now </w:t>
      </w:r>
      <w:r w:rsidRPr="009F08BE">
        <w:rPr>
          <w:b/>
          <w:sz w:val="22"/>
          <w:szCs w:val="22"/>
          <w:u w:val="single"/>
        </w:rPr>
        <w:t>$</w:t>
      </w:r>
      <w:r w:rsidR="00F77939" w:rsidRPr="009F08BE">
        <w:rPr>
          <w:b/>
          <w:sz w:val="22"/>
          <w:szCs w:val="22"/>
          <w:u w:val="single"/>
        </w:rPr>
        <w:t>10</w:t>
      </w:r>
      <w:r w:rsidR="00252CC2" w:rsidRPr="009F08BE">
        <w:rPr>
          <w:b/>
          <w:sz w:val="22"/>
          <w:szCs w:val="22"/>
          <w:u w:val="single"/>
        </w:rPr>
        <w:t>4</w:t>
      </w:r>
      <w:r w:rsidR="00637B9A" w:rsidRPr="009F08BE">
        <w:rPr>
          <w:b/>
          <w:sz w:val="22"/>
          <w:szCs w:val="22"/>
          <w:u w:val="single"/>
        </w:rPr>
        <w:t>.</w:t>
      </w:r>
      <w:r w:rsidR="00252CC2" w:rsidRPr="009F08BE">
        <w:rPr>
          <w:b/>
          <w:sz w:val="22"/>
          <w:szCs w:val="22"/>
          <w:u w:val="single"/>
        </w:rPr>
        <w:t>82</w:t>
      </w:r>
      <w:r w:rsidRPr="00B87B06">
        <w:rPr>
          <w:sz w:val="22"/>
          <w:szCs w:val="22"/>
        </w:rPr>
        <w:t>.  Provided with this letter you should find the following items relating to this year's permit fee assessment:</w:t>
      </w:r>
    </w:p>
    <w:p w14:paraId="5C4C3E3E" w14:textId="77777777" w:rsidR="00CD5E69" w:rsidRPr="00B87B06" w:rsidRDefault="00CD5E69" w:rsidP="00CD5E69">
      <w:pPr>
        <w:rPr>
          <w:sz w:val="22"/>
          <w:szCs w:val="22"/>
        </w:rPr>
      </w:pPr>
    </w:p>
    <w:p w14:paraId="73FCB05B" w14:textId="77777777" w:rsidR="00CD5E69" w:rsidRPr="00B87B06" w:rsidRDefault="00CD5E69" w:rsidP="00CD5E69">
      <w:pPr>
        <w:pStyle w:val="a"/>
        <w:numPr>
          <w:ilvl w:val="0"/>
          <w:numId w:val="14"/>
        </w:numPr>
        <w:tabs>
          <w:tab w:val="left" w:pos="-1440"/>
        </w:tabs>
        <w:rPr>
          <w:rFonts w:ascii="Times New Roman" w:hAnsi="Times New Roman"/>
          <w:sz w:val="22"/>
          <w:szCs w:val="22"/>
        </w:rPr>
      </w:pPr>
      <w:r w:rsidRPr="00B87B06">
        <w:rPr>
          <w:rFonts w:ascii="Times New Roman" w:hAnsi="Times New Roman"/>
          <w:sz w:val="22"/>
          <w:szCs w:val="22"/>
        </w:rPr>
        <w:t>Annual Emission Fee bill (emissions and maintenance fees if applicable).</w:t>
      </w:r>
    </w:p>
    <w:p w14:paraId="4006791C" w14:textId="6BDDA72D" w:rsidR="00CD5E69" w:rsidRPr="00B87B06" w:rsidRDefault="00CD5E69" w:rsidP="00CD5E69">
      <w:pPr>
        <w:pStyle w:val="a"/>
        <w:numPr>
          <w:ilvl w:val="0"/>
          <w:numId w:val="14"/>
        </w:numPr>
        <w:tabs>
          <w:tab w:val="left" w:pos="-1440"/>
        </w:tabs>
        <w:rPr>
          <w:rFonts w:ascii="Times New Roman" w:hAnsi="Times New Roman"/>
          <w:sz w:val="22"/>
          <w:szCs w:val="22"/>
        </w:rPr>
      </w:pPr>
      <w:hyperlink r:id="rId10" w:history="1">
        <w:r w:rsidRPr="005E699F">
          <w:rPr>
            <w:rStyle w:val="Hyperlink"/>
            <w:rFonts w:ascii="Times New Roman" w:hAnsi="Times New Roman"/>
            <w:sz w:val="22"/>
            <w:szCs w:val="22"/>
          </w:rPr>
          <w:t>Permit Emission Fee Revision form</w:t>
        </w:r>
      </w:hyperlink>
      <w:r w:rsidRPr="00B87B06">
        <w:rPr>
          <w:rFonts w:ascii="Times New Roman" w:hAnsi="Times New Roman"/>
          <w:sz w:val="22"/>
          <w:szCs w:val="22"/>
        </w:rPr>
        <w:t>.</w:t>
      </w:r>
    </w:p>
    <w:p w14:paraId="5361104C" w14:textId="20C992C1" w:rsidR="00CD5E69" w:rsidRPr="00B87B06" w:rsidRDefault="00CD5E69" w:rsidP="00CD5E69">
      <w:pPr>
        <w:pStyle w:val="a"/>
        <w:numPr>
          <w:ilvl w:val="0"/>
          <w:numId w:val="14"/>
        </w:numPr>
        <w:tabs>
          <w:tab w:val="left" w:pos="-1440"/>
        </w:tabs>
        <w:rPr>
          <w:rFonts w:ascii="Times New Roman" w:hAnsi="Times New Roman"/>
          <w:sz w:val="22"/>
          <w:szCs w:val="22"/>
        </w:rPr>
      </w:pPr>
      <w:hyperlink r:id="rId11" w:history="1">
        <w:r w:rsidRPr="00B87B06">
          <w:rPr>
            <w:rStyle w:val="Hyperlink"/>
            <w:rFonts w:ascii="Times New Roman" w:hAnsi="Times New Roman"/>
            <w:sz w:val="22"/>
            <w:szCs w:val="22"/>
          </w:rPr>
          <w:t>Permit Emission Fee Alternate Payment form</w:t>
        </w:r>
      </w:hyperlink>
      <w:r w:rsidRPr="00B87B06">
        <w:rPr>
          <w:rFonts w:ascii="Times New Roman" w:hAnsi="Times New Roman"/>
          <w:sz w:val="22"/>
          <w:szCs w:val="22"/>
        </w:rPr>
        <w:t>.</w:t>
      </w:r>
    </w:p>
    <w:p w14:paraId="4DBB0761" w14:textId="1108B2F7" w:rsidR="00CD5E69" w:rsidRPr="00B87B06" w:rsidRDefault="00CD5E69" w:rsidP="00CD5E69">
      <w:pPr>
        <w:pStyle w:val="a"/>
        <w:numPr>
          <w:ilvl w:val="0"/>
          <w:numId w:val="14"/>
        </w:numPr>
        <w:tabs>
          <w:tab w:val="left" w:pos="-1440"/>
        </w:tabs>
        <w:rPr>
          <w:rFonts w:ascii="Times New Roman" w:hAnsi="Times New Roman"/>
          <w:sz w:val="22"/>
          <w:szCs w:val="22"/>
        </w:rPr>
      </w:pPr>
      <w:r w:rsidRPr="00B87B06">
        <w:rPr>
          <w:rFonts w:ascii="Times New Roman" w:hAnsi="Times New Roman"/>
          <w:sz w:val="22"/>
          <w:szCs w:val="22"/>
        </w:rPr>
        <w:t xml:space="preserve">Permit Emission Fee Detail Report </w:t>
      </w:r>
      <w:r w:rsidRPr="00B87B06">
        <w:rPr>
          <w:rFonts w:ascii="Times New Roman" w:hAnsi="Times New Roman"/>
          <w:sz w:val="22"/>
          <w:szCs w:val="22"/>
        </w:rPr>
        <w:br/>
        <w:t>(</w:t>
      </w:r>
      <w:r>
        <w:rPr>
          <w:rFonts w:ascii="Times New Roman" w:hAnsi="Times New Roman"/>
          <w:sz w:val="22"/>
          <w:szCs w:val="22"/>
        </w:rPr>
        <w:t>To obtain a copy, e</w:t>
      </w:r>
      <w:r w:rsidRPr="00B87B06">
        <w:rPr>
          <w:rFonts w:ascii="Times New Roman" w:hAnsi="Times New Roman"/>
          <w:sz w:val="22"/>
          <w:szCs w:val="22"/>
        </w:rPr>
        <w:t xml:space="preserve">mail </w:t>
      </w:r>
      <w:hyperlink r:id="rId12" w:history="1">
        <w:r w:rsidR="00673DB5" w:rsidRPr="00EF1058">
          <w:rPr>
            <w:rStyle w:val="Hyperlink"/>
            <w:rFonts w:ascii="Times New Roman" w:hAnsi="Times New Roman"/>
            <w:sz w:val="22"/>
            <w:szCs w:val="22"/>
          </w:rPr>
          <w:t>Amy.Kasper@deq.virginia.gov</w:t>
        </w:r>
      </w:hyperlink>
      <w:r w:rsidRPr="00B87B06">
        <w:rPr>
          <w:rFonts w:ascii="Times New Roman" w:hAnsi="Times New Roman"/>
          <w:sz w:val="22"/>
          <w:szCs w:val="22"/>
        </w:rPr>
        <w:t>, and a pdf will be provided.)</w:t>
      </w:r>
    </w:p>
    <w:p w14:paraId="1B16F0ED" w14:textId="77777777" w:rsidR="00CD5E69" w:rsidRPr="00B87B06" w:rsidRDefault="00CD5E69" w:rsidP="00CD5E69">
      <w:pPr>
        <w:pStyle w:val="a"/>
        <w:tabs>
          <w:tab w:val="left" w:pos="-1440"/>
        </w:tabs>
        <w:ind w:firstLine="0"/>
        <w:rPr>
          <w:rFonts w:ascii="Times New Roman" w:hAnsi="Times New Roman"/>
          <w:sz w:val="22"/>
          <w:szCs w:val="22"/>
        </w:rPr>
      </w:pPr>
    </w:p>
    <w:p w14:paraId="5A258206" w14:textId="77777777" w:rsidR="00CD5E69" w:rsidRDefault="00CD5E69" w:rsidP="00CD5E69">
      <w:pPr>
        <w:rPr>
          <w:sz w:val="22"/>
          <w:szCs w:val="22"/>
        </w:rPr>
      </w:pPr>
      <w:r w:rsidRPr="00B87B06">
        <w:rPr>
          <w:sz w:val="22"/>
          <w:szCs w:val="22"/>
        </w:rPr>
        <w:t xml:space="preserve">If you are just subject to the permit maintenance fee, you will only receive this cover letter and a fee bill. </w:t>
      </w:r>
      <w:r w:rsidRPr="002E15F5">
        <w:rPr>
          <w:color w:val="auto"/>
          <w:sz w:val="22"/>
          <w:szCs w:val="22"/>
          <w:u w:val="single"/>
        </w:rPr>
        <w:t>Maintenance fees are due in full</w:t>
      </w:r>
      <w:r w:rsidRPr="00B87B06">
        <w:rPr>
          <w:color w:val="auto"/>
          <w:sz w:val="22"/>
          <w:szCs w:val="22"/>
        </w:rPr>
        <w:t xml:space="preserve">, alternate payment is not an available option.  </w:t>
      </w:r>
      <w:r w:rsidRPr="00B87B06">
        <w:rPr>
          <w:sz w:val="22"/>
          <w:szCs w:val="22"/>
        </w:rPr>
        <w:t>Additional information specific to each of these items is provided below.</w:t>
      </w:r>
    </w:p>
    <w:p w14:paraId="6BF9F66B" w14:textId="77777777" w:rsidR="00CD5E69" w:rsidRPr="00B87B06" w:rsidRDefault="00CD5E69" w:rsidP="00CD5E69">
      <w:pPr>
        <w:rPr>
          <w:sz w:val="22"/>
          <w:szCs w:val="22"/>
        </w:rPr>
      </w:pPr>
    </w:p>
    <w:p w14:paraId="6F6F69B1" w14:textId="77777777" w:rsidR="00CD5E69" w:rsidRPr="00B87B06" w:rsidRDefault="00CD5E69" w:rsidP="00CD5E69">
      <w:pPr>
        <w:rPr>
          <w:b/>
          <w:sz w:val="22"/>
          <w:szCs w:val="22"/>
          <w:u w:val="single"/>
        </w:rPr>
      </w:pPr>
    </w:p>
    <w:p w14:paraId="2036B133" w14:textId="77777777" w:rsidR="00CD5E69" w:rsidRPr="00B87B06" w:rsidRDefault="00CD5E69" w:rsidP="00CD5E69">
      <w:pPr>
        <w:rPr>
          <w:b/>
          <w:sz w:val="22"/>
          <w:szCs w:val="22"/>
          <w:u w:val="single"/>
        </w:rPr>
      </w:pPr>
      <w:r w:rsidRPr="00B87B06">
        <w:rPr>
          <w:b/>
          <w:sz w:val="22"/>
          <w:szCs w:val="22"/>
          <w:u w:val="single"/>
        </w:rPr>
        <w:t>STATE OPERATING PERMIT SOURCES</w:t>
      </w:r>
    </w:p>
    <w:p w14:paraId="6D38BBC7" w14:textId="77777777" w:rsidR="00CD5E69" w:rsidRPr="00B87B06" w:rsidRDefault="00CD5E69" w:rsidP="00CD5E69">
      <w:pPr>
        <w:rPr>
          <w:sz w:val="22"/>
          <w:szCs w:val="22"/>
        </w:rPr>
      </w:pPr>
    </w:p>
    <w:p w14:paraId="3488C1B9" w14:textId="7D079F92" w:rsidR="00CD5E69" w:rsidRPr="00B87B06" w:rsidRDefault="00CD5E69" w:rsidP="00CD5E69">
      <w:pPr>
        <w:ind w:firstLine="720"/>
        <w:rPr>
          <w:sz w:val="22"/>
          <w:szCs w:val="22"/>
        </w:rPr>
      </w:pPr>
      <w:r w:rsidRPr="00B87B06">
        <w:rPr>
          <w:sz w:val="22"/>
          <w:szCs w:val="22"/>
        </w:rPr>
        <w:t>Facilities who have received a state operating permit in lieu of a Title V permit have also been asses</w:t>
      </w:r>
      <w:r>
        <w:rPr>
          <w:sz w:val="22"/>
          <w:szCs w:val="22"/>
        </w:rPr>
        <w:t>sed an emissions fee for the 202</w:t>
      </w:r>
      <w:r w:rsidR="00B6625D">
        <w:rPr>
          <w:sz w:val="22"/>
          <w:szCs w:val="22"/>
        </w:rPr>
        <w:t>5</w:t>
      </w:r>
      <w:r w:rsidRPr="00B87B06">
        <w:rPr>
          <w:sz w:val="22"/>
          <w:szCs w:val="22"/>
        </w:rPr>
        <w:t xml:space="preserve"> state fiscal year.  Please note that as part of the regulatory revision, these facilities are now subject to an emissions fee on an annual basis.</w:t>
      </w:r>
    </w:p>
    <w:p w14:paraId="7D7C9691" w14:textId="77777777" w:rsidR="00CD5E69" w:rsidRPr="00B87B06" w:rsidRDefault="00CD5E69" w:rsidP="00CD5E69">
      <w:pPr>
        <w:rPr>
          <w:sz w:val="22"/>
          <w:szCs w:val="22"/>
        </w:rPr>
      </w:pPr>
    </w:p>
    <w:p w14:paraId="2FA93A01" w14:textId="77777777" w:rsidR="00CD5E69" w:rsidRPr="00B87B06" w:rsidRDefault="00CD5E69" w:rsidP="00CD5E69">
      <w:pPr>
        <w:rPr>
          <w:sz w:val="22"/>
          <w:szCs w:val="22"/>
        </w:rPr>
      </w:pPr>
    </w:p>
    <w:p w14:paraId="2E931EDF" w14:textId="77777777" w:rsidR="00DC7402" w:rsidRDefault="00DC7402">
      <w:pPr>
        <w:rPr>
          <w:b/>
          <w:sz w:val="22"/>
          <w:szCs w:val="22"/>
          <w:u w:val="single"/>
        </w:rPr>
      </w:pPr>
      <w:r>
        <w:rPr>
          <w:b/>
          <w:sz w:val="22"/>
          <w:szCs w:val="22"/>
          <w:u w:val="single"/>
        </w:rPr>
        <w:br w:type="page"/>
      </w:r>
    </w:p>
    <w:p w14:paraId="0A22FFA0" w14:textId="35B652CC" w:rsidR="00CD5E69" w:rsidRPr="00B87B06" w:rsidRDefault="00CD5E69" w:rsidP="00CD5E69">
      <w:pPr>
        <w:rPr>
          <w:sz w:val="22"/>
          <w:szCs w:val="22"/>
        </w:rPr>
      </w:pPr>
      <w:r w:rsidRPr="00B87B06">
        <w:rPr>
          <w:b/>
          <w:sz w:val="22"/>
          <w:szCs w:val="22"/>
          <w:u w:val="single"/>
        </w:rPr>
        <w:lastRenderedPageBreak/>
        <w:t>EMISSION FEE BILL</w:t>
      </w:r>
    </w:p>
    <w:p w14:paraId="7BB546A2" w14:textId="77777777" w:rsidR="00CD5E69" w:rsidRPr="00B87B06" w:rsidRDefault="00CD5E69" w:rsidP="00CD5E69">
      <w:pPr>
        <w:ind w:firstLine="720"/>
        <w:rPr>
          <w:sz w:val="22"/>
          <w:szCs w:val="22"/>
        </w:rPr>
      </w:pPr>
    </w:p>
    <w:p w14:paraId="0746EC78" w14:textId="7FF37ABB" w:rsidR="00A114D9" w:rsidRDefault="00CD5E69" w:rsidP="00A114D9">
      <w:pPr>
        <w:rPr>
          <w:sz w:val="22"/>
          <w:szCs w:val="22"/>
        </w:rPr>
      </w:pPr>
      <w:r w:rsidRPr="00B87B06">
        <w:rPr>
          <w:sz w:val="22"/>
          <w:szCs w:val="22"/>
        </w:rPr>
        <w:t xml:space="preserve">The bill is </w:t>
      </w:r>
      <w:r w:rsidR="00736ABF">
        <w:rPr>
          <w:sz w:val="22"/>
          <w:szCs w:val="22"/>
        </w:rPr>
        <w:t>attached</w:t>
      </w:r>
      <w:r w:rsidRPr="00B87B06">
        <w:rPr>
          <w:sz w:val="22"/>
          <w:szCs w:val="22"/>
        </w:rPr>
        <w:t xml:space="preserve">.  Please read and follow the payment terms provided with the bill for fee remittance.  Payment is due in full by September 1 unless an alternate payment plan of four equal quarterly payments is used.  The alternate payment plan details are provided on page 3.  The pollutant emission quantities displayed on the bill reflect a 4000 ton per pollutant emission cap established by regulation to limit emissions subject to fees.  Emissions from identified insignificant activities (9 VAC 5-80-720) are also excluded.  A facility is exempt from paying emission fees for any year during which its </w:t>
      </w:r>
      <w:r w:rsidRPr="00180118">
        <w:rPr>
          <w:sz w:val="22"/>
          <w:szCs w:val="22"/>
          <w:u w:val="single"/>
        </w:rPr>
        <w:t>total annual emissions</w:t>
      </w:r>
      <w:r w:rsidRPr="00B87B06">
        <w:rPr>
          <w:sz w:val="22"/>
          <w:szCs w:val="22"/>
        </w:rPr>
        <w:t xml:space="preserve"> are less than 10 tons.  If you believe there is a discrepancy in your billing, you should immediately contact the DEQ regional office responsible for your facility using the procedure and form described below.</w:t>
      </w:r>
      <w:r w:rsidR="00A114D9">
        <w:rPr>
          <w:sz w:val="22"/>
          <w:szCs w:val="22"/>
        </w:rPr>
        <w:t xml:space="preserve"> </w:t>
      </w:r>
    </w:p>
    <w:p w14:paraId="29856563" w14:textId="648CC3F8" w:rsidR="00A114D9" w:rsidRPr="00DC7402" w:rsidRDefault="00A114D9" w:rsidP="00A114D9">
      <w:pPr>
        <w:rPr>
          <w:color w:val="auto"/>
          <w:sz w:val="22"/>
          <w:szCs w:val="22"/>
        </w:rPr>
      </w:pPr>
      <w:r w:rsidRPr="00DC7402">
        <w:rPr>
          <w:sz w:val="22"/>
          <w:szCs w:val="22"/>
        </w:rPr>
        <w:t xml:space="preserve">Online Payment Link: </w:t>
      </w:r>
      <w:hyperlink r:id="rId13" w:history="1">
        <w:r w:rsidRPr="00DC7402">
          <w:rPr>
            <w:rStyle w:val="Hyperlink"/>
            <w:sz w:val="22"/>
            <w:szCs w:val="22"/>
          </w:rPr>
          <w:t>https://ipn2.paymentus.com/rotp/sdeq</w:t>
        </w:r>
      </w:hyperlink>
    </w:p>
    <w:p w14:paraId="7463A6D1" w14:textId="7D8F54E3" w:rsidR="00CD5E69" w:rsidRDefault="00CD5E69" w:rsidP="00CD5E69">
      <w:pPr>
        <w:ind w:firstLine="720"/>
        <w:rPr>
          <w:sz w:val="22"/>
          <w:szCs w:val="22"/>
        </w:rPr>
      </w:pPr>
    </w:p>
    <w:p w14:paraId="2E038468" w14:textId="77777777" w:rsidR="00CD5E69" w:rsidRDefault="00CD5E69" w:rsidP="00CD5E69">
      <w:pPr>
        <w:ind w:firstLine="720"/>
        <w:rPr>
          <w:sz w:val="22"/>
          <w:szCs w:val="22"/>
        </w:rPr>
      </w:pPr>
    </w:p>
    <w:p w14:paraId="57FB5396" w14:textId="77777777" w:rsidR="00CD5E69" w:rsidRPr="00B87B06" w:rsidRDefault="00CD5E69" w:rsidP="00CD5E69">
      <w:pPr>
        <w:ind w:firstLine="720"/>
        <w:rPr>
          <w:b/>
          <w:sz w:val="22"/>
          <w:szCs w:val="22"/>
          <w:u w:val="single"/>
        </w:rPr>
      </w:pPr>
    </w:p>
    <w:p w14:paraId="5FC2781C" w14:textId="77777777" w:rsidR="00CD5E69" w:rsidRPr="00B87B06" w:rsidRDefault="00CD5E69" w:rsidP="00CD5E69">
      <w:pPr>
        <w:rPr>
          <w:sz w:val="22"/>
          <w:szCs w:val="22"/>
        </w:rPr>
      </w:pPr>
      <w:r w:rsidRPr="00B87B06">
        <w:rPr>
          <w:b/>
          <w:sz w:val="22"/>
          <w:szCs w:val="22"/>
          <w:u w:val="single"/>
        </w:rPr>
        <w:t>EMISSION FEE REVISION FORM</w:t>
      </w:r>
    </w:p>
    <w:p w14:paraId="4286A31D" w14:textId="77777777" w:rsidR="00CD5E69" w:rsidRPr="00B87B06" w:rsidRDefault="00CD5E69" w:rsidP="00CD5E69">
      <w:pPr>
        <w:ind w:firstLine="720"/>
        <w:rPr>
          <w:sz w:val="22"/>
          <w:szCs w:val="22"/>
        </w:rPr>
      </w:pPr>
    </w:p>
    <w:p w14:paraId="422C5A50" w14:textId="77777777" w:rsidR="00CD5E69" w:rsidRDefault="00CD5E69" w:rsidP="00CD5E69">
      <w:pPr>
        <w:ind w:firstLine="720"/>
        <w:rPr>
          <w:sz w:val="22"/>
          <w:szCs w:val="22"/>
        </w:rPr>
      </w:pPr>
      <w:r w:rsidRPr="00B87B06">
        <w:rPr>
          <w:sz w:val="22"/>
          <w:szCs w:val="22"/>
        </w:rPr>
        <w:t xml:space="preserve">If you believe there is a discrepancy or error in your emissions fee, you should immediately complete the permit fee revision form and send it along with any supporting documentation to the DEQ regional office responsible for your facility.  A list of contacts, locations, and phone numbers for each regional office is provided on page 4 to assist you in this process.  Until the request is approved by the regional office, you are still responsible for paying the full amount of the bill or the first </w:t>
      </w:r>
      <w:proofErr w:type="gramStart"/>
      <w:r w:rsidRPr="00B87B06">
        <w:rPr>
          <w:sz w:val="22"/>
          <w:szCs w:val="22"/>
        </w:rPr>
        <w:t>quarterly</w:t>
      </w:r>
      <w:proofErr w:type="gramEnd"/>
      <w:r w:rsidRPr="00B87B06">
        <w:rPr>
          <w:sz w:val="22"/>
          <w:szCs w:val="22"/>
        </w:rPr>
        <w:t xml:space="preserve"> payment by September 1.   If approved, any additional fee will be due within 30 days of the DEQ approval date.  (If using the quarterly payment plan, adjustments should be made to the three remaining installments.) The completed form, with appropriate signatures, will serve as official documentation of agreement by both parties to the newly revised fee.  A new invoice will not be generated as part of this process.</w:t>
      </w:r>
    </w:p>
    <w:p w14:paraId="3A91938B" w14:textId="77777777" w:rsidR="00CD5E69" w:rsidRPr="00B87B06" w:rsidRDefault="00CD5E69" w:rsidP="00CD5E69">
      <w:pPr>
        <w:ind w:firstLine="720"/>
        <w:rPr>
          <w:sz w:val="22"/>
          <w:szCs w:val="22"/>
        </w:rPr>
      </w:pPr>
    </w:p>
    <w:p w14:paraId="7DD60539" w14:textId="77777777" w:rsidR="00CD5E69" w:rsidRPr="00B87B06" w:rsidRDefault="00CD5E69" w:rsidP="00CD5E69">
      <w:pPr>
        <w:rPr>
          <w:sz w:val="22"/>
          <w:szCs w:val="22"/>
        </w:rPr>
      </w:pPr>
    </w:p>
    <w:p w14:paraId="169351B9" w14:textId="77777777" w:rsidR="00CD5E69" w:rsidRPr="00B87B06" w:rsidRDefault="00CD5E69" w:rsidP="00CD5E69">
      <w:pPr>
        <w:rPr>
          <w:sz w:val="22"/>
          <w:szCs w:val="22"/>
        </w:rPr>
      </w:pPr>
      <w:r w:rsidRPr="00B87B06">
        <w:rPr>
          <w:b/>
          <w:sz w:val="22"/>
          <w:szCs w:val="22"/>
          <w:u w:val="single"/>
        </w:rPr>
        <w:t>EMISSION FEE DETAIL REPORT</w:t>
      </w:r>
    </w:p>
    <w:p w14:paraId="2CB2DCFB" w14:textId="77777777" w:rsidR="00CD5E69" w:rsidRPr="00B87B06" w:rsidRDefault="00CD5E69" w:rsidP="00CD5E69">
      <w:pPr>
        <w:rPr>
          <w:sz w:val="22"/>
          <w:szCs w:val="22"/>
        </w:rPr>
      </w:pPr>
    </w:p>
    <w:p w14:paraId="64D45A8E" w14:textId="3E27FF25" w:rsidR="00CD5E69" w:rsidRPr="00B87B06" w:rsidRDefault="00CD5E69" w:rsidP="00CD5E69">
      <w:pPr>
        <w:ind w:firstLine="720"/>
        <w:rPr>
          <w:sz w:val="22"/>
          <w:szCs w:val="22"/>
        </w:rPr>
      </w:pPr>
      <w:r w:rsidRPr="00B87B06">
        <w:rPr>
          <w:sz w:val="22"/>
          <w:szCs w:val="22"/>
        </w:rPr>
        <w:t xml:space="preserve">This report provides a detailed calendar year emission inventory for your facility.  This information is presented on a process level.  Please note that emission estimates for fee regulated pollutants are included in this report.  Pollutants </w:t>
      </w:r>
      <w:proofErr w:type="gramStart"/>
      <w:r w:rsidRPr="00B87B06">
        <w:rPr>
          <w:sz w:val="22"/>
          <w:szCs w:val="22"/>
        </w:rPr>
        <w:t>not</w:t>
      </w:r>
      <w:proofErr w:type="gramEnd"/>
      <w:r w:rsidRPr="00B87B06">
        <w:rPr>
          <w:sz w:val="22"/>
          <w:szCs w:val="22"/>
        </w:rPr>
        <w:t xml:space="preserve"> used in calculating the permit fee, such as carbon monoxide are not included. You may request a copy of this report by contacting </w:t>
      </w:r>
      <w:hyperlink r:id="rId14" w:history="1">
        <w:r w:rsidR="00EF5837" w:rsidRPr="00EF1058">
          <w:rPr>
            <w:rStyle w:val="Hyperlink"/>
            <w:sz w:val="22"/>
            <w:szCs w:val="22"/>
          </w:rPr>
          <w:t>Amy.Kasper@deq.virginia.gov</w:t>
        </w:r>
      </w:hyperlink>
      <w:r w:rsidRPr="00B87B06">
        <w:rPr>
          <w:sz w:val="22"/>
          <w:szCs w:val="22"/>
        </w:rPr>
        <w:t>.</w:t>
      </w:r>
    </w:p>
    <w:p w14:paraId="41A2DD77" w14:textId="77777777" w:rsidR="00CD5E69" w:rsidRDefault="00CD5E69" w:rsidP="00CD5E69">
      <w:pPr>
        <w:ind w:firstLine="720"/>
        <w:rPr>
          <w:sz w:val="22"/>
          <w:szCs w:val="22"/>
        </w:rPr>
      </w:pPr>
    </w:p>
    <w:p w14:paraId="2016FCF1" w14:textId="77777777" w:rsidR="00CD5E69" w:rsidRPr="00B87B06" w:rsidRDefault="00CD5E69" w:rsidP="00CD5E69">
      <w:pPr>
        <w:ind w:firstLine="720"/>
        <w:rPr>
          <w:sz w:val="22"/>
          <w:szCs w:val="22"/>
        </w:rPr>
      </w:pPr>
    </w:p>
    <w:p w14:paraId="2CF273CE" w14:textId="77777777" w:rsidR="00CD5E69" w:rsidRPr="00B87B06" w:rsidRDefault="00CD5E69" w:rsidP="00CD5E69">
      <w:pPr>
        <w:rPr>
          <w:sz w:val="22"/>
          <w:szCs w:val="22"/>
        </w:rPr>
      </w:pPr>
      <w:r w:rsidRPr="00B87B06">
        <w:rPr>
          <w:b/>
          <w:sz w:val="22"/>
          <w:szCs w:val="22"/>
          <w:u w:val="single"/>
        </w:rPr>
        <w:t>ANNUAL EMISSION INVENTORY SUBMISSION REQUIREMENT</w:t>
      </w:r>
    </w:p>
    <w:p w14:paraId="6C517FE6" w14:textId="77777777" w:rsidR="00CD5E69" w:rsidRPr="00B87B06" w:rsidRDefault="00CD5E69" w:rsidP="00CD5E69">
      <w:pPr>
        <w:rPr>
          <w:sz w:val="22"/>
          <w:szCs w:val="22"/>
        </w:rPr>
      </w:pPr>
    </w:p>
    <w:p w14:paraId="0DA48123" w14:textId="77777777" w:rsidR="00CD5E69" w:rsidRDefault="00CD5E69" w:rsidP="00CD5E69">
      <w:pPr>
        <w:ind w:firstLine="720"/>
        <w:rPr>
          <w:sz w:val="22"/>
          <w:szCs w:val="22"/>
        </w:rPr>
      </w:pPr>
      <w:r w:rsidRPr="00B87B06">
        <w:rPr>
          <w:sz w:val="22"/>
          <w:szCs w:val="22"/>
        </w:rPr>
        <w:t>The state permit fee regulation requires sources subject to the rule to calculate their actual annual emissions of all pollutants for the preceding year, and to submit these estimates to DEQ by Ap</w:t>
      </w:r>
      <w:r w:rsidR="005B026E">
        <w:rPr>
          <w:sz w:val="22"/>
          <w:szCs w:val="22"/>
        </w:rPr>
        <w:t>ril 15 each year (9 VAC 5-80-342</w:t>
      </w:r>
      <w:r w:rsidRPr="00B87B06">
        <w:rPr>
          <w:sz w:val="22"/>
          <w:szCs w:val="22"/>
        </w:rPr>
        <w:t>). There are several options available to submit these estimates.  Contact your DEQ regional office to provide revised emission estimates.</w:t>
      </w:r>
    </w:p>
    <w:p w14:paraId="7AFAC273" w14:textId="77777777" w:rsidR="00CD5E69" w:rsidRPr="00B87B06" w:rsidRDefault="00CD5E69" w:rsidP="00CD5E69">
      <w:pPr>
        <w:ind w:firstLine="720"/>
        <w:rPr>
          <w:sz w:val="22"/>
          <w:szCs w:val="22"/>
        </w:rPr>
      </w:pPr>
    </w:p>
    <w:p w14:paraId="0102B276" w14:textId="77777777" w:rsidR="00CD5E69" w:rsidRPr="00B87B06" w:rsidRDefault="00CD5E69" w:rsidP="00CD5E69">
      <w:pPr>
        <w:rPr>
          <w:sz w:val="22"/>
          <w:szCs w:val="22"/>
        </w:rPr>
      </w:pPr>
    </w:p>
    <w:p w14:paraId="5F8515EF" w14:textId="77777777" w:rsidR="00CD5E69" w:rsidRPr="00B87B06" w:rsidRDefault="00CD5E69" w:rsidP="00CD5E69">
      <w:pPr>
        <w:rPr>
          <w:sz w:val="22"/>
          <w:szCs w:val="22"/>
        </w:rPr>
      </w:pPr>
      <w:r w:rsidRPr="00B87B06">
        <w:rPr>
          <w:b/>
          <w:sz w:val="22"/>
          <w:szCs w:val="22"/>
          <w:u w:val="single"/>
        </w:rPr>
        <w:t>HAZARDOUS AIR POLLUTANT (HAP) EMISSIONS DATA</w:t>
      </w:r>
    </w:p>
    <w:p w14:paraId="0FA74D17" w14:textId="77777777" w:rsidR="00CD5E69" w:rsidRPr="00B87B06" w:rsidRDefault="00CD5E69" w:rsidP="00CD5E69">
      <w:pPr>
        <w:spacing w:line="160" w:lineRule="exact"/>
        <w:rPr>
          <w:sz w:val="22"/>
          <w:szCs w:val="22"/>
        </w:rPr>
      </w:pPr>
    </w:p>
    <w:p w14:paraId="20453370" w14:textId="77777777" w:rsidR="00CD5E69" w:rsidRDefault="00CD5E69" w:rsidP="00CD5E69">
      <w:pPr>
        <w:ind w:firstLine="720"/>
        <w:rPr>
          <w:sz w:val="22"/>
          <w:szCs w:val="22"/>
        </w:rPr>
      </w:pPr>
      <w:r w:rsidRPr="00B87B06">
        <w:rPr>
          <w:sz w:val="22"/>
          <w:szCs w:val="22"/>
        </w:rPr>
        <w:t xml:space="preserve">The pollutants listed below are considered non-volatile/non-particulate HAPs.  If these pollutants are emitted from your facility, the emission fee invoice should include a line item for each pollutant.  Emissions of these pollutants must be reported in all annual inventory updates.  You should contact the </w:t>
      </w:r>
      <w:r w:rsidRPr="00B87B06">
        <w:rPr>
          <w:sz w:val="22"/>
          <w:szCs w:val="22"/>
        </w:rPr>
        <w:lastRenderedPageBreak/>
        <w:t xml:space="preserve">appropriate DEQ regional office if your facility emits any of these pollutants and the emissions do not appear on the permit fee detail report.  For fee purposes, emissions of any HAP </w:t>
      </w:r>
      <w:r w:rsidRPr="00B87B06">
        <w:rPr>
          <w:b/>
          <w:sz w:val="22"/>
          <w:szCs w:val="22"/>
          <w:u w:val="single"/>
        </w:rPr>
        <w:t>not</w:t>
      </w:r>
      <w:r w:rsidRPr="00B87B06">
        <w:rPr>
          <w:sz w:val="22"/>
          <w:szCs w:val="22"/>
        </w:rPr>
        <w:t xml:space="preserve"> listed below </w:t>
      </w:r>
      <w:proofErr w:type="gramStart"/>
      <w:r w:rsidRPr="00B87B06">
        <w:rPr>
          <w:sz w:val="22"/>
          <w:szCs w:val="22"/>
        </w:rPr>
        <w:t>are considered to be</w:t>
      </w:r>
      <w:proofErr w:type="gramEnd"/>
      <w:r w:rsidRPr="00B87B06">
        <w:rPr>
          <w:sz w:val="22"/>
          <w:szCs w:val="22"/>
        </w:rPr>
        <w:t xml:space="preserve"> included in the line items for "volatile organic compounds" and/or "PM-10". </w:t>
      </w:r>
    </w:p>
    <w:p w14:paraId="19D31F7D" w14:textId="77777777" w:rsidR="00CD5E69" w:rsidRPr="00B87B06" w:rsidRDefault="00CD5E69" w:rsidP="00CD5E69">
      <w:pPr>
        <w:ind w:firstLine="720"/>
        <w:rPr>
          <w:sz w:val="22"/>
          <w:szCs w:val="22"/>
        </w:rPr>
      </w:pPr>
    </w:p>
    <w:p w14:paraId="536BC30B" w14:textId="77777777" w:rsidR="00CD5E69" w:rsidRPr="00B87B06" w:rsidRDefault="00CD5E69" w:rsidP="00CD5E69">
      <w:pPr>
        <w:spacing w:line="60" w:lineRule="exact"/>
        <w:rPr>
          <w:sz w:val="22"/>
          <w:szCs w:val="22"/>
        </w:rPr>
      </w:pPr>
    </w:p>
    <w:p w14:paraId="68266585" w14:textId="77777777" w:rsidR="00CD5E69" w:rsidRPr="00B87B06" w:rsidRDefault="00CD5E69" w:rsidP="00CD5E69">
      <w:pPr>
        <w:ind w:firstLine="720"/>
        <w:rPr>
          <w:sz w:val="22"/>
          <w:szCs w:val="22"/>
          <w:lang w:val="fr-FR"/>
        </w:rPr>
      </w:pPr>
      <w:r w:rsidRPr="00B87B06">
        <w:rPr>
          <w:b/>
          <w:sz w:val="22"/>
          <w:szCs w:val="22"/>
          <w:u w:val="single"/>
          <w:lang w:val="fr-FR"/>
        </w:rPr>
        <w:t xml:space="preserve">CAS </w:t>
      </w:r>
      <w:proofErr w:type="spellStart"/>
      <w:r w:rsidRPr="00B87B06">
        <w:rPr>
          <w:b/>
          <w:sz w:val="22"/>
          <w:szCs w:val="22"/>
          <w:u w:val="single"/>
          <w:lang w:val="fr-FR"/>
        </w:rPr>
        <w:t>Number</w:t>
      </w:r>
      <w:proofErr w:type="spellEnd"/>
      <w:r w:rsidRPr="00B87B06">
        <w:rPr>
          <w:b/>
          <w:sz w:val="22"/>
          <w:szCs w:val="22"/>
          <w:lang w:val="fr-FR"/>
        </w:rPr>
        <w:tab/>
      </w:r>
      <w:r w:rsidRPr="00A41C8D">
        <w:rPr>
          <w:b/>
          <w:sz w:val="22"/>
          <w:szCs w:val="22"/>
        </w:rPr>
        <w:tab/>
      </w:r>
      <w:r w:rsidRPr="00A41C8D">
        <w:rPr>
          <w:b/>
          <w:sz w:val="22"/>
          <w:szCs w:val="22"/>
          <w:u w:val="single"/>
        </w:rPr>
        <w:t>Pollutant</w:t>
      </w:r>
      <w:r w:rsidRPr="00B87B06">
        <w:rPr>
          <w:b/>
          <w:sz w:val="22"/>
          <w:szCs w:val="22"/>
          <w:u w:val="single"/>
          <w:lang w:val="fr-FR"/>
        </w:rPr>
        <w:t xml:space="preserve"> Name</w:t>
      </w:r>
    </w:p>
    <w:p w14:paraId="24118811" w14:textId="77777777" w:rsidR="00CD5E69" w:rsidRPr="00B87B06" w:rsidRDefault="00CD5E69" w:rsidP="00CD5E69">
      <w:pPr>
        <w:ind w:firstLine="720"/>
        <w:rPr>
          <w:sz w:val="22"/>
          <w:szCs w:val="22"/>
          <w:lang w:val="fr-FR"/>
        </w:rPr>
      </w:pPr>
      <w:r w:rsidRPr="00B87B06">
        <w:rPr>
          <w:sz w:val="22"/>
          <w:szCs w:val="22"/>
          <w:lang w:val="fr-FR"/>
        </w:rPr>
        <w:t>7782-50-5</w:t>
      </w:r>
      <w:r w:rsidRPr="00B87B06">
        <w:rPr>
          <w:sz w:val="22"/>
          <w:szCs w:val="22"/>
          <w:lang w:val="fr-FR"/>
        </w:rPr>
        <w:tab/>
      </w:r>
      <w:r w:rsidRPr="00B87B06">
        <w:rPr>
          <w:sz w:val="22"/>
          <w:szCs w:val="22"/>
          <w:lang w:val="fr-FR"/>
        </w:rPr>
        <w:tab/>
      </w:r>
      <w:proofErr w:type="spellStart"/>
      <w:r w:rsidRPr="00B87B06">
        <w:rPr>
          <w:sz w:val="22"/>
          <w:szCs w:val="22"/>
          <w:lang w:val="fr-FR"/>
        </w:rPr>
        <w:t>Chlorine</w:t>
      </w:r>
      <w:proofErr w:type="spellEnd"/>
    </w:p>
    <w:p w14:paraId="4F9DCB77" w14:textId="77777777" w:rsidR="00CD5E69" w:rsidRPr="00B87B06" w:rsidRDefault="00CD5E69" w:rsidP="00CD5E69">
      <w:pPr>
        <w:ind w:firstLine="720"/>
        <w:rPr>
          <w:sz w:val="22"/>
          <w:szCs w:val="22"/>
          <w:lang w:val="fr-FR"/>
        </w:rPr>
      </w:pPr>
      <w:r w:rsidRPr="00B87B06">
        <w:rPr>
          <w:sz w:val="22"/>
          <w:szCs w:val="22"/>
          <w:lang w:val="fr-FR"/>
        </w:rPr>
        <w:t>302-01-2</w:t>
      </w:r>
      <w:r w:rsidRPr="00B87B06">
        <w:rPr>
          <w:sz w:val="22"/>
          <w:szCs w:val="22"/>
          <w:lang w:val="fr-FR"/>
        </w:rPr>
        <w:tab/>
      </w:r>
      <w:r w:rsidRPr="00B87B06">
        <w:rPr>
          <w:sz w:val="22"/>
          <w:szCs w:val="22"/>
          <w:lang w:val="fr-FR"/>
        </w:rPr>
        <w:tab/>
        <w:t>Hydrazine</w:t>
      </w:r>
    </w:p>
    <w:p w14:paraId="73938585" w14:textId="77777777" w:rsidR="00CD5E69" w:rsidRPr="00B87B06" w:rsidRDefault="00CD5E69" w:rsidP="00CD5E69">
      <w:pPr>
        <w:ind w:firstLine="720"/>
        <w:rPr>
          <w:sz w:val="22"/>
          <w:szCs w:val="22"/>
          <w:lang w:val="fr-FR"/>
        </w:rPr>
      </w:pPr>
      <w:r w:rsidRPr="00B87B06">
        <w:rPr>
          <w:sz w:val="22"/>
          <w:szCs w:val="22"/>
          <w:lang w:val="fr-FR"/>
        </w:rPr>
        <w:t>7647-01-0</w:t>
      </w:r>
      <w:r w:rsidRPr="00B87B06">
        <w:rPr>
          <w:sz w:val="22"/>
          <w:szCs w:val="22"/>
          <w:lang w:val="fr-FR"/>
        </w:rPr>
        <w:tab/>
      </w:r>
      <w:r w:rsidRPr="00B87B06">
        <w:rPr>
          <w:sz w:val="22"/>
          <w:szCs w:val="22"/>
          <w:lang w:val="fr-FR"/>
        </w:rPr>
        <w:tab/>
      </w:r>
      <w:proofErr w:type="spellStart"/>
      <w:r w:rsidRPr="00B87B06">
        <w:rPr>
          <w:sz w:val="22"/>
          <w:szCs w:val="22"/>
          <w:lang w:val="fr-FR"/>
        </w:rPr>
        <w:t>Hydrochloric</w:t>
      </w:r>
      <w:proofErr w:type="spellEnd"/>
      <w:r w:rsidRPr="00B87B06">
        <w:rPr>
          <w:sz w:val="22"/>
          <w:szCs w:val="22"/>
          <w:lang w:val="fr-FR"/>
        </w:rPr>
        <w:t xml:space="preserve"> </w:t>
      </w:r>
      <w:proofErr w:type="spellStart"/>
      <w:r w:rsidRPr="00B87B06">
        <w:rPr>
          <w:sz w:val="22"/>
          <w:szCs w:val="22"/>
          <w:lang w:val="fr-FR"/>
        </w:rPr>
        <w:t>acid</w:t>
      </w:r>
      <w:proofErr w:type="spellEnd"/>
      <w:r w:rsidRPr="00B87B06">
        <w:rPr>
          <w:sz w:val="22"/>
          <w:szCs w:val="22"/>
          <w:lang w:val="fr-FR"/>
        </w:rPr>
        <w:t xml:space="preserve"> (</w:t>
      </w:r>
      <w:proofErr w:type="spellStart"/>
      <w:r w:rsidRPr="00B87B06">
        <w:rPr>
          <w:sz w:val="22"/>
          <w:szCs w:val="22"/>
          <w:lang w:val="fr-FR"/>
        </w:rPr>
        <w:t>Hydrogen</w:t>
      </w:r>
      <w:proofErr w:type="spellEnd"/>
      <w:r w:rsidRPr="00A41C8D">
        <w:rPr>
          <w:sz w:val="22"/>
          <w:szCs w:val="22"/>
        </w:rPr>
        <w:t xml:space="preserve"> chloride</w:t>
      </w:r>
      <w:r w:rsidRPr="00B87B06">
        <w:rPr>
          <w:sz w:val="22"/>
          <w:szCs w:val="22"/>
          <w:lang w:val="fr-FR"/>
        </w:rPr>
        <w:t>)</w:t>
      </w:r>
    </w:p>
    <w:p w14:paraId="7D7631BA" w14:textId="77777777" w:rsidR="00CD5E69" w:rsidRPr="00B87B06" w:rsidRDefault="00CD5E69" w:rsidP="00CD5E69">
      <w:pPr>
        <w:ind w:firstLine="720"/>
        <w:rPr>
          <w:sz w:val="22"/>
          <w:szCs w:val="22"/>
          <w:lang w:val="fr-FR"/>
        </w:rPr>
      </w:pPr>
      <w:r w:rsidRPr="00B87B06">
        <w:rPr>
          <w:sz w:val="22"/>
          <w:szCs w:val="22"/>
          <w:lang w:val="fr-FR"/>
        </w:rPr>
        <w:t>7664-39-3</w:t>
      </w:r>
      <w:r w:rsidRPr="00B87B06">
        <w:rPr>
          <w:sz w:val="22"/>
          <w:szCs w:val="22"/>
          <w:lang w:val="fr-FR"/>
        </w:rPr>
        <w:tab/>
      </w:r>
      <w:r w:rsidRPr="00B87B06">
        <w:rPr>
          <w:sz w:val="22"/>
          <w:szCs w:val="22"/>
          <w:lang w:val="fr-FR"/>
        </w:rPr>
        <w:tab/>
      </w:r>
      <w:proofErr w:type="spellStart"/>
      <w:r w:rsidRPr="00B87B06">
        <w:rPr>
          <w:sz w:val="22"/>
          <w:szCs w:val="22"/>
          <w:lang w:val="fr-FR"/>
        </w:rPr>
        <w:t>Hydrogen</w:t>
      </w:r>
      <w:proofErr w:type="spellEnd"/>
      <w:r w:rsidRPr="00B87B06">
        <w:rPr>
          <w:sz w:val="22"/>
          <w:szCs w:val="22"/>
          <w:lang w:val="fr-FR"/>
        </w:rPr>
        <w:t xml:space="preserve"> fluoride (</w:t>
      </w:r>
      <w:proofErr w:type="spellStart"/>
      <w:r w:rsidRPr="00B87B06">
        <w:rPr>
          <w:sz w:val="22"/>
          <w:szCs w:val="22"/>
          <w:lang w:val="fr-FR"/>
        </w:rPr>
        <w:t>Hydrofluoric</w:t>
      </w:r>
      <w:proofErr w:type="spellEnd"/>
      <w:r w:rsidRPr="00B87B06">
        <w:rPr>
          <w:sz w:val="22"/>
          <w:szCs w:val="22"/>
          <w:lang w:val="fr-FR"/>
        </w:rPr>
        <w:t xml:space="preserve"> </w:t>
      </w:r>
      <w:proofErr w:type="spellStart"/>
      <w:r w:rsidRPr="00B87B06">
        <w:rPr>
          <w:sz w:val="22"/>
          <w:szCs w:val="22"/>
          <w:lang w:val="fr-FR"/>
        </w:rPr>
        <w:t>acid</w:t>
      </w:r>
      <w:proofErr w:type="spellEnd"/>
      <w:r w:rsidRPr="00B87B06">
        <w:rPr>
          <w:sz w:val="22"/>
          <w:szCs w:val="22"/>
          <w:lang w:val="fr-FR"/>
        </w:rPr>
        <w:t>)</w:t>
      </w:r>
    </w:p>
    <w:p w14:paraId="3A5EBADC" w14:textId="77777777" w:rsidR="00CD5E69" w:rsidRPr="00B87B06" w:rsidRDefault="00CD5E69" w:rsidP="00CD5E69">
      <w:pPr>
        <w:ind w:firstLine="720"/>
        <w:rPr>
          <w:sz w:val="22"/>
          <w:szCs w:val="22"/>
          <w:lang w:val="fr-FR"/>
        </w:rPr>
      </w:pPr>
      <w:r w:rsidRPr="00B87B06">
        <w:rPr>
          <w:sz w:val="22"/>
          <w:szCs w:val="22"/>
          <w:lang w:val="fr-FR"/>
        </w:rPr>
        <w:t>71-55-6</w:t>
      </w:r>
      <w:r w:rsidRPr="00B87B06">
        <w:rPr>
          <w:sz w:val="22"/>
          <w:szCs w:val="22"/>
          <w:lang w:val="fr-FR"/>
        </w:rPr>
        <w:tab/>
      </w:r>
      <w:r w:rsidRPr="00B87B06">
        <w:rPr>
          <w:sz w:val="22"/>
          <w:szCs w:val="22"/>
          <w:lang w:val="fr-FR"/>
        </w:rPr>
        <w:tab/>
      </w:r>
      <w:r w:rsidRPr="00B87B06">
        <w:rPr>
          <w:sz w:val="22"/>
          <w:szCs w:val="22"/>
          <w:lang w:val="fr-FR"/>
        </w:rPr>
        <w:tab/>
      </w:r>
      <w:proofErr w:type="spellStart"/>
      <w:r w:rsidRPr="00B87B06">
        <w:rPr>
          <w:sz w:val="22"/>
          <w:szCs w:val="22"/>
          <w:lang w:val="fr-FR"/>
        </w:rPr>
        <w:t>Methyl</w:t>
      </w:r>
      <w:proofErr w:type="spellEnd"/>
      <w:r w:rsidRPr="00B87B06">
        <w:rPr>
          <w:sz w:val="22"/>
          <w:szCs w:val="22"/>
          <w:lang w:val="fr-FR"/>
        </w:rPr>
        <w:t xml:space="preserve"> </w:t>
      </w:r>
      <w:proofErr w:type="spellStart"/>
      <w:r w:rsidRPr="00B87B06">
        <w:rPr>
          <w:sz w:val="22"/>
          <w:szCs w:val="22"/>
          <w:lang w:val="fr-FR"/>
        </w:rPr>
        <w:t>Chloroform</w:t>
      </w:r>
      <w:proofErr w:type="spellEnd"/>
      <w:r w:rsidRPr="00B87B06">
        <w:rPr>
          <w:sz w:val="22"/>
          <w:szCs w:val="22"/>
          <w:lang w:val="fr-FR"/>
        </w:rPr>
        <w:t xml:space="preserve"> (1,1,1-Trichloroethane)</w:t>
      </w:r>
    </w:p>
    <w:p w14:paraId="5F33615D" w14:textId="77777777" w:rsidR="00CD5E69" w:rsidRPr="00B87B06" w:rsidRDefault="00CD5E69" w:rsidP="00CD5E69">
      <w:pPr>
        <w:ind w:firstLine="720"/>
        <w:rPr>
          <w:sz w:val="22"/>
          <w:szCs w:val="22"/>
          <w:lang w:val="fr-FR"/>
        </w:rPr>
      </w:pPr>
      <w:r w:rsidRPr="00B87B06">
        <w:rPr>
          <w:sz w:val="22"/>
          <w:szCs w:val="22"/>
          <w:lang w:val="fr-FR"/>
        </w:rPr>
        <w:t>75-09-2</w:t>
      </w:r>
      <w:r w:rsidRPr="00B87B06">
        <w:rPr>
          <w:sz w:val="22"/>
          <w:szCs w:val="22"/>
          <w:lang w:val="fr-FR"/>
        </w:rPr>
        <w:tab/>
      </w:r>
      <w:r w:rsidRPr="00B87B06">
        <w:rPr>
          <w:sz w:val="22"/>
          <w:szCs w:val="22"/>
          <w:lang w:val="fr-FR"/>
        </w:rPr>
        <w:tab/>
      </w:r>
      <w:r w:rsidRPr="00B87B06">
        <w:rPr>
          <w:sz w:val="22"/>
          <w:szCs w:val="22"/>
          <w:lang w:val="fr-FR"/>
        </w:rPr>
        <w:tab/>
      </w:r>
      <w:proofErr w:type="spellStart"/>
      <w:r w:rsidRPr="00B87B06">
        <w:rPr>
          <w:sz w:val="22"/>
          <w:szCs w:val="22"/>
          <w:lang w:val="fr-FR"/>
        </w:rPr>
        <w:t>Methylene</w:t>
      </w:r>
      <w:proofErr w:type="spellEnd"/>
      <w:r w:rsidRPr="00B87B06">
        <w:rPr>
          <w:sz w:val="22"/>
          <w:szCs w:val="22"/>
          <w:lang w:val="fr-FR"/>
        </w:rPr>
        <w:t xml:space="preserve"> </w:t>
      </w:r>
      <w:proofErr w:type="spellStart"/>
      <w:r w:rsidRPr="00B87B06">
        <w:rPr>
          <w:sz w:val="22"/>
          <w:szCs w:val="22"/>
          <w:lang w:val="fr-FR"/>
        </w:rPr>
        <w:t>chloride</w:t>
      </w:r>
      <w:proofErr w:type="spellEnd"/>
      <w:r w:rsidRPr="00B87B06">
        <w:rPr>
          <w:sz w:val="22"/>
          <w:szCs w:val="22"/>
          <w:lang w:val="fr-FR"/>
        </w:rPr>
        <w:t xml:space="preserve"> (</w:t>
      </w:r>
      <w:proofErr w:type="spellStart"/>
      <w:r w:rsidRPr="00B87B06">
        <w:rPr>
          <w:sz w:val="22"/>
          <w:szCs w:val="22"/>
          <w:lang w:val="fr-FR"/>
        </w:rPr>
        <w:t>Dichloromethane</w:t>
      </w:r>
      <w:proofErr w:type="spellEnd"/>
      <w:r w:rsidRPr="00B87B06">
        <w:rPr>
          <w:sz w:val="22"/>
          <w:szCs w:val="22"/>
          <w:lang w:val="fr-FR"/>
        </w:rPr>
        <w:t>)</w:t>
      </w:r>
    </w:p>
    <w:p w14:paraId="512B05A6" w14:textId="77777777" w:rsidR="00CD5E69" w:rsidRPr="00B87B06" w:rsidRDefault="00CD5E69" w:rsidP="00CD5E69">
      <w:pPr>
        <w:ind w:firstLine="720"/>
        <w:rPr>
          <w:sz w:val="22"/>
          <w:szCs w:val="22"/>
        </w:rPr>
      </w:pPr>
      <w:r w:rsidRPr="00B87B06">
        <w:rPr>
          <w:sz w:val="22"/>
          <w:szCs w:val="22"/>
        </w:rPr>
        <w:t>7803-51-2</w:t>
      </w:r>
      <w:r w:rsidRPr="00B87B06">
        <w:rPr>
          <w:sz w:val="22"/>
          <w:szCs w:val="22"/>
        </w:rPr>
        <w:tab/>
      </w:r>
      <w:r w:rsidRPr="00B87B06">
        <w:rPr>
          <w:sz w:val="22"/>
          <w:szCs w:val="22"/>
        </w:rPr>
        <w:tab/>
        <w:t>Phosphine</w:t>
      </w:r>
    </w:p>
    <w:p w14:paraId="7A849B7A" w14:textId="77777777" w:rsidR="00CD5E69" w:rsidRPr="00B87B06" w:rsidRDefault="00CD5E69" w:rsidP="00CD5E69">
      <w:pPr>
        <w:ind w:firstLine="720"/>
        <w:rPr>
          <w:sz w:val="22"/>
          <w:szCs w:val="22"/>
        </w:rPr>
      </w:pPr>
      <w:r w:rsidRPr="00B87B06">
        <w:rPr>
          <w:sz w:val="22"/>
          <w:szCs w:val="22"/>
        </w:rPr>
        <w:t>7723-14-0</w:t>
      </w:r>
      <w:r w:rsidRPr="00B87B06">
        <w:rPr>
          <w:sz w:val="22"/>
          <w:szCs w:val="22"/>
        </w:rPr>
        <w:tab/>
      </w:r>
      <w:r w:rsidRPr="00B87B06">
        <w:rPr>
          <w:sz w:val="22"/>
          <w:szCs w:val="22"/>
        </w:rPr>
        <w:tab/>
        <w:t>Phosphorus</w:t>
      </w:r>
    </w:p>
    <w:p w14:paraId="4C4D7FEB" w14:textId="77777777" w:rsidR="00CD5E69" w:rsidRPr="00B87B06" w:rsidRDefault="00CD5E69" w:rsidP="00CD5E69">
      <w:pPr>
        <w:ind w:firstLine="720"/>
        <w:rPr>
          <w:sz w:val="22"/>
          <w:szCs w:val="22"/>
        </w:rPr>
      </w:pPr>
      <w:r w:rsidRPr="00B87B06">
        <w:rPr>
          <w:sz w:val="22"/>
          <w:szCs w:val="22"/>
        </w:rPr>
        <w:t>127-18-4</w:t>
      </w:r>
      <w:r w:rsidRPr="00B87B06">
        <w:rPr>
          <w:sz w:val="22"/>
          <w:szCs w:val="22"/>
        </w:rPr>
        <w:tab/>
      </w:r>
      <w:r w:rsidRPr="00B87B06">
        <w:rPr>
          <w:sz w:val="22"/>
          <w:szCs w:val="22"/>
        </w:rPr>
        <w:tab/>
        <w:t>Tetrachloroethylene (Perchloroethylene)</w:t>
      </w:r>
    </w:p>
    <w:p w14:paraId="54314A17" w14:textId="77777777" w:rsidR="00CD5E69" w:rsidRDefault="00CD5E69" w:rsidP="00CD5E69">
      <w:pPr>
        <w:ind w:firstLine="720"/>
        <w:rPr>
          <w:sz w:val="22"/>
          <w:szCs w:val="22"/>
        </w:rPr>
      </w:pPr>
      <w:r w:rsidRPr="00B87B06">
        <w:rPr>
          <w:sz w:val="22"/>
          <w:szCs w:val="22"/>
        </w:rPr>
        <w:t>7550-45-0</w:t>
      </w:r>
      <w:r w:rsidRPr="00B87B06">
        <w:rPr>
          <w:sz w:val="22"/>
          <w:szCs w:val="22"/>
        </w:rPr>
        <w:tab/>
      </w:r>
      <w:r w:rsidRPr="00B87B06">
        <w:rPr>
          <w:sz w:val="22"/>
          <w:szCs w:val="22"/>
        </w:rPr>
        <w:tab/>
        <w:t>Titanium tetrachloride</w:t>
      </w:r>
    </w:p>
    <w:p w14:paraId="01F42788" w14:textId="77777777" w:rsidR="00CD5E69" w:rsidRDefault="00CD5E69" w:rsidP="00CD5E69">
      <w:pPr>
        <w:ind w:firstLine="720"/>
        <w:rPr>
          <w:sz w:val="22"/>
          <w:szCs w:val="22"/>
        </w:rPr>
      </w:pPr>
    </w:p>
    <w:p w14:paraId="0E9D3159" w14:textId="77777777" w:rsidR="00CD5E69" w:rsidRDefault="00CD5E69" w:rsidP="00CD5E69">
      <w:pPr>
        <w:ind w:firstLine="720"/>
        <w:rPr>
          <w:sz w:val="22"/>
          <w:szCs w:val="22"/>
        </w:rPr>
      </w:pPr>
    </w:p>
    <w:p w14:paraId="3F7AEBDE" w14:textId="77777777" w:rsidR="00CD5E69" w:rsidRPr="00B87B06" w:rsidRDefault="00CD5E69" w:rsidP="00CD5E69">
      <w:pPr>
        <w:rPr>
          <w:b/>
          <w:sz w:val="22"/>
          <w:szCs w:val="22"/>
          <w:u w:val="single"/>
        </w:rPr>
      </w:pPr>
      <w:r w:rsidRPr="00B87B06">
        <w:rPr>
          <w:b/>
          <w:sz w:val="22"/>
          <w:szCs w:val="22"/>
          <w:u w:val="single"/>
        </w:rPr>
        <w:t>TITLE V ALTERNATE PAYMENT FORM</w:t>
      </w:r>
    </w:p>
    <w:p w14:paraId="69B76788" w14:textId="77777777" w:rsidR="00CD5E69" w:rsidRPr="00B87B06" w:rsidRDefault="00CD5E69" w:rsidP="00CD5E69">
      <w:pPr>
        <w:rPr>
          <w:sz w:val="22"/>
          <w:szCs w:val="22"/>
        </w:rPr>
      </w:pPr>
    </w:p>
    <w:p w14:paraId="3C0BBBFA" w14:textId="77777777" w:rsidR="00CD5E69" w:rsidRDefault="00CD5E69" w:rsidP="00CD5E69">
      <w:pPr>
        <w:ind w:firstLine="720"/>
        <w:rPr>
          <w:sz w:val="22"/>
          <w:szCs w:val="22"/>
        </w:rPr>
      </w:pPr>
      <w:r w:rsidRPr="00B87B06">
        <w:rPr>
          <w:sz w:val="22"/>
          <w:szCs w:val="22"/>
        </w:rPr>
        <w:t>The emission fee program offers a quarterly payment plan.  If you opt for the quarterly payment plan, then the first of four equal payments must be received along with the enclosed alternate payment form by September 1.  The subsequent quarterly payments are due no later than December 1, March 1, and June 1.  There are penalties if a quarterly payment is not received by the deadline.  Please read and follow the instructions provided on the form.  This alternate fee payment option only applies to the emissions fee and does not apply to the permit maintenance fee.</w:t>
      </w:r>
    </w:p>
    <w:p w14:paraId="29372B0E" w14:textId="77777777" w:rsidR="00CD5E69" w:rsidRPr="00B87B06" w:rsidRDefault="00CD5E69" w:rsidP="00CD5E69">
      <w:pPr>
        <w:ind w:firstLine="720"/>
        <w:rPr>
          <w:sz w:val="22"/>
          <w:szCs w:val="22"/>
        </w:rPr>
      </w:pPr>
    </w:p>
    <w:p w14:paraId="447B8BA2" w14:textId="77777777" w:rsidR="00CD5E69" w:rsidRPr="00B87B06" w:rsidRDefault="00CD5E69" w:rsidP="00CD5E69">
      <w:pPr>
        <w:rPr>
          <w:sz w:val="22"/>
          <w:szCs w:val="22"/>
        </w:rPr>
      </w:pPr>
    </w:p>
    <w:p w14:paraId="52A88DA2" w14:textId="77777777" w:rsidR="00CD5E69" w:rsidRPr="00B87B06" w:rsidRDefault="00CD5E69" w:rsidP="00CD5E69">
      <w:pPr>
        <w:rPr>
          <w:b/>
          <w:sz w:val="22"/>
          <w:szCs w:val="22"/>
          <w:u w:val="single"/>
        </w:rPr>
      </w:pPr>
      <w:r w:rsidRPr="00B87B06">
        <w:rPr>
          <w:b/>
          <w:sz w:val="22"/>
          <w:szCs w:val="22"/>
          <w:u w:val="single"/>
        </w:rPr>
        <w:t>ANNUAL AIR PERMIT MAINTENANCE FEES</w:t>
      </w:r>
    </w:p>
    <w:p w14:paraId="274E5A24" w14:textId="77777777" w:rsidR="00CD5E69" w:rsidRPr="00B87B06" w:rsidRDefault="00CD5E69" w:rsidP="00CD5E69">
      <w:pPr>
        <w:rPr>
          <w:sz w:val="22"/>
          <w:szCs w:val="22"/>
        </w:rPr>
      </w:pPr>
    </w:p>
    <w:p w14:paraId="03E4EC33" w14:textId="77777777" w:rsidR="00CD5E69" w:rsidRPr="00B87B06" w:rsidRDefault="00CD5E69" w:rsidP="00CD5E69">
      <w:pPr>
        <w:ind w:firstLine="720"/>
        <w:rPr>
          <w:sz w:val="22"/>
          <w:szCs w:val="22"/>
        </w:rPr>
      </w:pPr>
      <w:r>
        <w:rPr>
          <w:sz w:val="22"/>
          <w:szCs w:val="22"/>
        </w:rPr>
        <w:t xml:space="preserve">Title V air permit </w:t>
      </w:r>
      <w:r w:rsidRPr="00B87B06">
        <w:rPr>
          <w:sz w:val="22"/>
          <w:szCs w:val="22"/>
        </w:rPr>
        <w:t>maintenance fees are charged annually to all sources classified as Title V (including Title V by Rule</w:t>
      </w:r>
      <w:r w:rsidRPr="00B87B06">
        <w:rPr>
          <w:rStyle w:val="FootnoteReference"/>
          <w:sz w:val="22"/>
          <w:szCs w:val="22"/>
        </w:rPr>
        <w:footnoteReference w:id="1"/>
      </w:r>
      <w:r w:rsidRPr="00B87B06">
        <w:rPr>
          <w:sz w:val="22"/>
          <w:szCs w:val="22"/>
        </w:rPr>
        <w:t xml:space="preserve">) and </w:t>
      </w:r>
      <w:r>
        <w:rPr>
          <w:sz w:val="22"/>
          <w:szCs w:val="22"/>
        </w:rPr>
        <w:t xml:space="preserve">synthetic minor </w:t>
      </w:r>
      <w:r w:rsidRPr="00B87B06">
        <w:rPr>
          <w:sz w:val="22"/>
          <w:szCs w:val="22"/>
        </w:rPr>
        <w:t>sources.  Invoices for sources are sent by August 1</w:t>
      </w:r>
      <w:r w:rsidRPr="00B87B06">
        <w:rPr>
          <w:sz w:val="22"/>
          <w:szCs w:val="22"/>
          <w:vertAlign w:val="superscript"/>
        </w:rPr>
        <w:t>st</w:t>
      </w:r>
      <w:r w:rsidRPr="00B87B06">
        <w:rPr>
          <w:sz w:val="22"/>
          <w:szCs w:val="22"/>
        </w:rPr>
        <w:t xml:space="preserve"> of each year.  Sources that also pay emissions fees will see a line item on their invoice for the maintenance fee.  Maintenance fees are based on the applicable stationary source type as follows:</w:t>
      </w:r>
    </w:p>
    <w:p w14:paraId="00462132" w14:textId="77777777" w:rsidR="00CD5E69" w:rsidRPr="00B87B06" w:rsidRDefault="00CD5E69" w:rsidP="00CD5E6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CD5E69" w:rsidRPr="00B87B06" w14:paraId="647699B1" w14:textId="77777777" w:rsidTr="006F4111">
        <w:tc>
          <w:tcPr>
            <w:tcW w:w="4671" w:type="dxa"/>
          </w:tcPr>
          <w:p w14:paraId="1D742547" w14:textId="77777777" w:rsidR="00CD5E69" w:rsidRPr="00B87B06" w:rsidRDefault="00CD5E69" w:rsidP="006F4111">
            <w:pPr>
              <w:rPr>
                <w:b/>
                <w:sz w:val="22"/>
                <w:szCs w:val="22"/>
              </w:rPr>
            </w:pPr>
            <w:r w:rsidRPr="00B87B06">
              <w:rPr>
                <w:b/>
                <w:sz w:val="22"/>
                <w:szCs w:val="22"/>
              </w:rPr>
              <w:t>Stationary Source Type</w:t>
            </w:r>
          </w:p>
        </w:tc>
        <w:tc>
          <w:tcPr>
            <w:tcW w:w="4679" w:type="dxa"/>
          </w:tcPr>
          <w:p w14:paraId="0BC6CB6C" w14:textId="77777777" w:rsidR="00CD5E69" w:rsidRPr="00B87B06" w:rsidRDefault="00CD5E69" w:rsidP="00EF5837">
            <w:pPr>
              <w:jc w:val="center"/>
              <w:rPr>
                <w:b/>
                <w:sz w:val="22"/>
                <w:szCs w:val="22"/>
              </w:rPr>
            </w:pPr>
            <w:r w:rsidRPr="00B87B06">
              <w:rPr>
                <w:b/>
                <w:sz w:val="22"/>
                <w:szCs w:val="22"/>
              </w:rPr>
              <w:t>Maintenance Fee Amount</w:t>
            </w:r>
          </w:p>
        </w:tc>
      </w:tr>
      <w:tr w:rsidR="00CD5E69" w:rsidRPr="00B87B06" w14:paraId="6AF10E75" w14:textId="77777777" w:rsidTr="006F4111">
        <w:tc>
          <w:tcPr>
            <w:tcW w:w="4671" w:type="dxa"/>
          </w:tcPr>
          <w:p w14:paraId="34F302A1" w14:textId="77777777" w:rsidR="00CD5E69" w:rsidRPr="00B87B06" w:rsidRDefault="00CD5E69" w:rsidP="006F4111">
            <w:pPr>
              <w:rPr>
                <w:sz w:val="22"/>
                <w:szCs w:val="22"/>
              </w:rPr>
            </w:pPr>
            <w:r w:rsidRPr="00B87B06">
              <w:rPr>
                <w:sz w:val="22"/>
                <w:szCs w:val="22"/>
              </w:rPr>
              <w:t>Title V Complex Major Source*</w:t>
            </w:r>
          </w:p>
        </w:tc>
        <w:tc>
          <w:tcPr>
            <w:tcW w:w="4679" w:type="dxa"/>
          </w:tcPr>
          <w:p w14:paraId="69B8A078" w14:textId="45F70EBA" w:rsidR="00CD5E69" w:rsidRPr="00B87B06" w:rsidRDefault="004273EB" w:rsidP="00EF5837">
            <w:pPr>
              <w:jc w:val="right"/>
              <w:rPr>
                <w:sz w:val="22"/>
                <w:szCs w:val="22"/>
              </w:rPr>
            </w:pPr>
            <w:r>
              <w:rPr>
                <w:sz w:val="22"/>
                <w:szCs w:val="22"/>
              </w:rPr>
              <w:t xml:space="preserve"> </w:t>
            </w:r>
            <w:r w:rsidR="00CD5E69" w:rsidRPr="00B87B06">
              <w:rPr>
                <w:sz w:val="22"/>
                <w:szCs w:val="22"/>
              </w:rPr>
              <w:t>$</w:t>
            </w:r>
            <w:r w:rsidR="00CD5E69">
              <w:rPr>
                <w:sz w:val="22"/>
                <w:szCs w:val="22"/>
              </w:rPr>
              <w:t>2</w:t>
            </w:r>
            <w:r w:rsidR="007E6DA9">
              <w:rPr>
                <w:sz w:val="22"/>
                <w:szCs w:val="22"/>
              </w:rPr>
              <w:t>9,200</w:t>
            </w:r>
          </w:p>
        </w:tc>
      </w:tr>
      <w:tr w:rsidR="00CD5E69" w:rsidRPr="00B87B06" w14:paraId="78AE627D" w14:textId="77777777" w:rsidTr="006F4111">
        <w:tc>
          <w:tcPr>
            <w:tcW w:w="4671" w:type="dxa"/>
          </w:tcPr>
          <w:p w14:paraId="3CC489CD" w14:textId="77777777" w:rsidR="00CD5E69" w:rsidRPr="00B87B06" w:rsidRDefault="00CD5E69" w:rsidP="006F4111">
            <w:pPr>
              <w:rPr>
                <w:sz w:val="22"/>
                <w:szCs w:val="22"/>
              </w:rPr>
            </w:pPr>
            <w:r w:rsidRPr="00B87B06">
              <w:rPr>
                <w:sz w:val="22"/>
                <w:szCs w:val="22"/>
              </w:rPr>
              <w:t>Title V Major Source</w:t>
            </w:r>
          </w:p>
        </w:tc>
        <w:tc>
          <w:tcPr>
            <w:tcW w:w="4679" w:type="dxa"/>
          </w:tcPr>
          <w:p w14:paraId="5AE75B82" w14:textId="2D658A60" w:rsidR="00CD5E69" w:rsidRPr="00B87B06" w:rsidRDefault="00637B9A" w:rsidP="00EF5837">
            <w:pPr>
              <w:jc w:val="right"/>
              <w:rPr>
                <w:sz w:val="22"/>
                <w:szCs w:val="22"/>
              </w:rPr>
            </w:pPr>
            <w:r>
              <w:rPr>
                <w:sz w:val="22"/>
                <w:szCs w:val="22"/>
              </w:rPr>
              <w:t xml:space="preserve">                                   </w:t>
            </w:r>
            <w:r w:rsidR="00CD5E69" w:rsidRPr="00B87B06">
              <w:rPr>
                <w:sz w:val="22"/>
                <w:szCs w:val="22"/>
              </w:rPr>
              <w:t>$</w:t>
            </w:r>
            <w:r w:rsidR="00A262DE">
              <w:rPr>
                <w:sz w:val="22"/>
                <w:szCs w:val="22"/>
              </w:rPr>
              <w:t>10,219</w:t>
            </w:r>
          </w:p>
        </w:tc>
      </w:tr>
      <w:tr w:rsidR="00CD5E69" w:rsidRPr="00B87B06" w14:paraId="7085C38B" w14:textId="77777777" w:rsidTr="006F4111">
        <w:tc>
          <w:tcPr>
            <w:tcW w:w="4671" w:type="dxa"/>
          </w:tcPr>
          <w:p w14:paraId="55055490" w14:textId="77777777" w:rsidR="00CD5E69" w:rsidRPr="00B87B06" w:rsidRDefault="00CD5E69" w:rsidP="006F4111">
            <w:pPr>
              <w:rPr>
                <w:sz w:val="22"/>
                <w:szCs w:val="22"/>
              </w:rPr>
            </w:pPr>
            <w:r w:rsidRPr="00B87B06">
              <w:rPr>
                <w:sz w:val="22"/>
                <w:szCs w:val="22"/>
              </w:rPr>
              <w:t xml:space="preserve">Title V Source </w:t>
            </w:r>
            <w:proofErr w:type="gramStart"/>
            <w:r w:rsidRPr="00B87B06">
              <w:rPr>
                <w:sz w:val="22"/>
                <w:szCs w:val="22"/>
              </w:rPr>
              <w:t>By</w:t>
            </w:r>
            <w:proofErr w:type="gramEnd"/>
            <w:r w:rsidRPr="00B87B06">
              <w:rPr>
                <w:sz w:val="22"/>
                <w:szCs w:val="22"/>
              </w:rPr>
              <w:t xml:space="preserve"> Rule</w:t>
            </w:r>
          </w:p>
        </w:tc>
        <w:tc>
          <w:tcPr>
            <w:tcW w:w="4679" w:type="dxa"/>
          </w:tcPr>
          <w:p w14:paraId="4889FB98" w14:textId="18282560" w:rsidR="00CD5E69" w:rsidRPr="00B87B06" w:rsidRDefault="00CD5E69" w:rsidP="00EF5837">
            <w:pPr>
              <w:jc w:val="right"/>
              <w:rPr>
                <w:sz w:val="22"/>
                <w:szCs w:val="22"/>
              </w:rPr>
            </w:pPr>
            <w:r>
              <w:rPr>
                <w:sz w:val="22"/>
                <w:szCs w:val="22"/>
              </w:rPr>
              <w:t xml:space="preserve"> </w:t>
            </w:r>
            <w:r w:rsidRPr="00B87B06">
              <w:rPr>
                <w:sz w:val="22"/>
                <w:szCs w:val="22"/>
              </w:rPr>
              <w:t>$</w:t>
            </w:r>
            <w:r>
              <w:rPr>
                <w:sz w:val="22"/>
                <w:szCs w:val="22"/>
              </w:rPr>
              <w:t>3,</w:t>
            </w:r>
            <w:r w:rsidR="00A262DE">
              <w:rPr>
                <w:sz w:val="22"/>
                <w:szCs w:val="22"/>
              </w:rPr>
              <w:t>912</w:t>
            </w:r>
          </w:p>
        </w:tc>
      </w:tr>
      <w:tr w:rsidR="00CD5E69" w:rsidRPr="00B87B06" w14:paraId="1CED91E7" w14:textId="77777777" w:rsidTr="006F4111">
        <w:tc>
          <w:tcPr>
            <w:tcW w:w="4671" w:type="dxa"/>
          </w:tcPr>
          <w:p w14:paraId="56AB96B8" w14:textId="77777777" w:rsidR="00CD5E69" w:rsidRPr="00B87B06" w:rsidRDefault="00CD5E69" w:rsidP="006F4111">
            <w:pPr>
              <w:rPr>
                <w:color w:val="auto"/>
                <w:sz w:val="22"/>
                <w:szCs w:val="22"/>
              </w:rPr>
            </w:pPr>
            <w:r w:rsidRPr="00B87B06">
              <w:rPr>
                <w:color w:val="auto"/>
                <w:sz w:val="22"/>
                <w:szCs w:val="22"/>
              </w:rPr>
              <w:t>Synthetic Minor 80% Major (SM-80)</w:t>
            </w:r>
          </w:p>
        </w:tc>
        <w:tc>
          <w:tcPr>
            <w:tcW w:w="4679" w:type="dxa"/>
          </w:tcPr>
          <w:p w14:paraId="0FC1E7FD" w14:textId="4BD8982C" w:rsidR="00CD5E69" w:rsidRPr="00B87B06" w:rsidRDefault="00CD5E69" w:rsidP="00EF5837">
            <w:pPr>
              <w:jc w:val="right"/>
              <w:rPr>
                <w:sz w:val="22"/>
                <w:szCs w:val="22"/>
              </w:rPr>
            </w:pPr>
            <w:r>
              <w:rPr>
                <w:sz w:val="22"/>
                <w:szCs w:val="22"/>
              </w:rPr>
              <w:t xml:space="preserve"> $2,</w:t>
            </w:r>
            <w:r w:rsidR="00110C7E">
              <w:rPr>
                <w:sz w:val="22"/>
                <w:szCs w:val="22"/>
              </w:rPr>
              <w:t>608</w:t>
            </w:r>
          </w:p>
        </w:tc>
      </w:tr>
      <w:tr w:rsidR="00CD5E69" w:rsidRPr="00B87B06" w14:paraId="29D30749" w14:textId="77777777" w:rsidTr="006F4111">
        <w:tc>
          <w:tcPr>
            <w:tcW w:w="4671" w:type="dxa"/>
          </w:tcPr>
          <w:p w14:paraId="61031F36" w14:textId="77777777" w:rsidR="00CD5E69" w:rsidRPr="00B87B06" w:rsidRDefault="00CD5E69" w:rsidP="006F4111">
            <w:pPr>
              <w:rPr>
                <w:color w:val="auto"/>
                <w:sz w:val="22"/>
                <w:szCs w:val="22"/>
              </w:rPr>
            </w:pPr>
            <w:r w:rsidRPr="00B87B06">
              <w:rPr>
                <w:color w:val="auto"/>
                <w:sz w:val="22"/>
                <w:szCs w:val="22"/>
              </w:rPr>
              <w:t>Synthetic Minor (Other than SM-80)</w:t>
            </w:r>
          </w:p>
        </w:tc>
        <w:tc>
          <w:tcPr>
            <w:tcW w:w="4679" w:type="dxa"/>
          </w:tcPr>
          <w:p w14:paraId="4FD141B8" w14:textId="64C5B0D0" w:rsidR="00CD5E69" w:rsidRPr="00B87B06" w:rsidRDefault="004273EB" w:rsidP="00EF5837">
            <w:pPr>
              <w:jc w:val="right"/>
              <w:rPr>
                <w:sz w:val="22"/>
                <w:szCs w:val="22"/>
              </w:rPr>
            </w:pPr>
            <w:r>
              <w:rPr>
                <w:sz w:val="22"/>
                <w:szCs w:val="22"/>
              </w:rPr>
              <w:t xml:space="preserve">                                   </w:t>
            </w:r>
            <w:r w:rsidR="00CD5E69">
              <w:rPr>
                <w:sz w:val="22"/>
                <w:szCs w:val="22"/>
              </w:rPr>
              <w:t>$</w:t>
            </w:r>
            <w:r w:rsidR="00637B9A">
              <w:rPr>
                <w:sz w:val="22"/>
                <w:szCs w:val="22"/>
              </w:rPr>
              <w:t>6</w:t>
            </w:r>
            <w:r w:rsidR="00B72065">
              <w:rPr>
                <w:sz w:val="22"/>
                <w:szCs w:val="22"/>
              </w:rPr>
              <w:t>86</w:t>
            </w:r>
          </w:p>
        </w:tc>
      </w:tr>
    </w:tbl>
    <w:p w14:paraId="1FCB5463" w14:textId="77777777" w:rsidR="00CD5E69" w:rsidRPr="001758F7" w:rsidRDefault="00CD5E69" w:rsidP="00CD5E69">
      <w:pPr>
        <w:rPr>
          <w:sz w:val="20"/>
        </w:rPr>
      </w:pPr>
      <w:r w:rsidRPr="001758F7">
        <w:rPr>
          <w:sz w:val="20"/>
        </w:rPr>
        <w:t xml:space="preserve">*Title V Complex Major Source </w:t>
      </w:r>
      <w:r>
        <w:rPr>
          <w:sz w:val="20"/>
        </w:rPr>
        <w:t xml:space="preserve">is </w:t>
      </w:r>
      <w:r w:rsidRPr="001758F7">
        <w:rPr>
          <w:sz w:val="20"/>
        </w:rPr>
        <w:t>a major source subject to seven or more subparts in 40 CFR Parts 60, 61 and 63.</w:t>
      </w:r>
    </w:p>
    <w:p w14:paraId="56711DC6" w14:textId="77777777" w:rsidR="00CD5E69" w:rsidRDefault="00CD5E69" w:rsidP="00CD5E69">
      <w:pPr>
        <w:pStyle w:val="FootnoteText"/>
      </w:pPr>
      <w:r w:rsidRPr="001758F7">
        <w:rPr>
          <w:rStyle w:val="FootnoteReference"/>
        </w:rPr>
        <w:footnoteRef/>
      </w:r>
      <w:r w:rsidRPr="001758F7">
        <w:t xml:space="preserve"> Title V By Rule sources </w:t>
      </w:r>
      <w:r>
        <w:t>fall below</w:t>
      </w:r>
      <w:r w:rsidRPr="001758F7">
        <w:t xml:space="preserve"> major source threshold</w:t>
      </w:r>
      <w:r>
        <w:t>s</w:t>
      </w:r>
      <w:r w:rsidRPr="001758F7">
        <w:t xml:space="preserve"> but are required by EPA to obtain a Title V permit.</w:t>
      </w:r>
    </w:p>
    <w:p w14:paraId="4C901D87" w14:textId="77777777" w:rsidR="00CD5E69" w:rsidRPr="001758F7" w:rsidRDefault="00CD5E69" w:rsidP="00CD5E69">
      <w:pPr>
        <w:pStyle w:val="FootnoteText"/>
      </w:pPr>
    </w:p>
    <w:p w14:paraId="4FC9B3C3" w14:textId="77777777" w:rsidR="00CD5E69" w:rsidRPr="00B87B06" w:rsidRDefault="00CD5E69" w:rsidP="00CD5E69">
      <w:pPr>
        <w:rPr>
          <w:sz w:val="22"/>
          <w:szCs w:val="22"/>
        </w:rPr>
      </w:pPr>
    </w:p>
    <w:p w14:paraId="08021304" w14:textId="3ECB3BD5" w:rsidR="00CD5E69" w:rsidRPr="00B87B06" w:rsidRDefault="00CD5E69" w:rsidP="00CD5E69">
      <w:pPr>
        <w:rPr>
          <w:sz w:val="22"/>
          <w:szCs w:val="22"/>
          <w:u w:val="single"/>
        </w:rPr>
      </w:pPr>
      <w:r>
        <w:rPr>
          <w:b/>
          <w:sz w:val="22"/>
          <w:szCs w:val="22"/>
          <w:u w:val="single"/>
        </w:rPr>
        <w:t>PAYMENT OF THE MAINTENANCE FEE IS DUE IN FULL BY SEPTEMBER 1, 202</w:t>
      </w:r>
      <w:r w:rsidR="004273EB">
        <w:rPr>
          <w:b/>
          <w:sz w:val="22"/>
          <w:szCs w:val="22"/>
          <w:u w:val="single"/>
        </w:rPr>
        <w:t>4</w:t>
      </w:r>
      <w:r w:rsidRPr="00B87B06">
        <w:rPr>
          <w:b/>
          <w:sz w:val="22"/>
          <w:szCs w:val="22"/>
          <w:u w:val="single"/>
        </w:rPr>
        <w:t>.</w:t>
      </w:r>
    </w:p>
    <w:p w14:paraId="52A02564" w14:textId="77777777" w:rsidR="00CD5E69" w:rsidRPr="00B87B06" w:rsidRDefault="00CD5E69" w:rsidP="00CD5E69">
      <w:pPr>
        <w:rPr>
          <w:sz w:val="22"/>
          <w:szCs w:val="22"/>
        </w:rPr>
      </w:pPr>
    </w:p>
    <w:p w14:paraId="64C75C38" w14:textId="77777777" w:rsidR="00CD5E69" w:rsidRDefault="00CD5E69" w:rsidP="00CD5E69">
      <w:pPr>
        <w:ind w:firstLine="720"/>
        <w:rPr>
          <w:sz w:val="22"/>
          <w:szCs w:val="22"/>
        </w:rPr>
      </w:pPr>
      <w:r w:rsidRPr="00B87B06">
        <w:rPr>
          <w:sz w:val="22"/>
          <w:szCs w:val="22"/>
        </w:rPr>
        <w:t xml:space="preserve">If you believe there is a </w:t>
      </w:r>
      <w:r w:rsidRPr="001758F7">
        <w:rPr>
          <w:sz w:val="22"/>
          <w:szCs w:val="22"/>
        </w:rPr>
        <w:t xml:space="preserve">discrepancy or error in your permit maintenance fee, you should immediately contact the DEQ regional office responsible for your facility.  Requests for maintenance fee </w:t>
      </w:r>
      <w:r w:rsidRPr="001758F7">
        <w:rPr>
          <w:sz w:val="22"/>
          <w:szCs w:val="22"/>
        </w:rPr>
        <w:lastRenderedPageBreak/>
        <w:t>revisions can be made if you can document</w:t>
      </w:r>
      <w:r w:rsidRPr="00B87B06">
        <w:rPr>
          <w:sz w:val="22"/>
          <w:szCs w:val="22"/>
        </w:rPr>
        <w:t xml:space="preserve"> that the status of the permits on which the fee was based is in error.  This request must be made in writing and </w:t>
      </w:r>
      <w:proofErr w:type="gramStart"/>
      <w:r w:rsidRPr="00B87B06">
        <w:rPr>
          <w:sz w:val="22"/>
          <w:szCs w:val="22"/>
        </w:rPr>
        <w:t>include</w:t>
      </w:r>
      <w:proofErr w:type="gramEnd"/>
      <w:r w:rsidRPr="00B87B06">
        <w:rPr>
          <w:sz w:val="22"/>
          <w:szCs w:val="22"/>
        </w:rPr>
        <w:t xml:space="preserve"> appropriate source identification data, copies of all valid air permits, the revised fee amount, adequate supporting documentation, and other information as the department may require.  If the department approves the request, the revised fee will be due in full within 30 days of the approval date.  A list of contacts, locations, and phone numbers for each regional office is provided below to assist you in this process.</w:t>
      </w:r>
      <w:r>
        <w:rPr>
          <w:sz w:val="22"/>
          <w:szCs w:val="22"/>
        </w:rPr>
        <w:t xml:space="preserve"> </w:t>
      </w:r>
    </w:p>
    <w:p w14:paraId="4F29C9F4" w14:textId="77777777" w:rsidR="00CD5E69" w:rsidRDefault="00CD5E69" w:rsidP="00CD5E69">
      <w:pPr>
        <w:ind w:firstLine="720"/>
        <w:rPr>
          <w:sz w:val="22"/>
          <w:szCs w:val="22"/>
        </w:rPr>
      </w:pPr>
    </w:p>
    <w:p w14:paraId="113567EA" w14:textId="77777777" w:rsidR="00CD5E69" w:rsidRPr="00B87B06" w:rsidRDefault="00CD5E69" w:rsidP="00CD5E69">
      <w:pPr>
        <w:ind w:firstLine="720"/>
        <w:rPr>
          <w:sz w:val="22"/>
          <w:szCs w:val="22"/>
        </w:rPr>
      </w:pPr>
    </w:p>
    <w:p w14:paraId="48E0406B" w14:textId="77777777" w:rsidR="00CD5E69" w:rsidRDefault="00CD5E69" w:rsidP="00CD5E69">
      <w:pPr>
        <w:rPr>
          <w:b/>
          <w:sz w:val="22"/>
          <w:szCs w:val="22"/>
          <w:u w:val="single"/>
        </w:rPr>
      </w:pPr>
      <w:r>
        <w:rPr>
          <w:b/>
          <w:sz w:val="22"/>
          <w:szCs w:val="22"/>
          <w:u w:val="single"/>
        </w:rPr>
        <w:t>REGIONAL OFFICE INFORMATION AND FEE CONTACTS</w:t>
      </w:r>
    </w:p>
    <w:p w14:paraId="5E141C7D" w14:textId="77777777" w:rsidR="00CD5E69" w:rsidRDefault="00CD5E69" w:rsidP="00CD5E69">
      <w:pPr>
        <w:rPr>
          <w:b/>
          <w:sz w:val="22"/>
          <w:szCs w:val="22"/>
          <w:u w:val="single"/>
        </w:rPr>
      </w:pPr>
    </w:p>
    <w:p w14:paraId="4495DC86" w14:textId="77777777" w:rsidR="00CD5E69" w:rsidRPr="00B87B06" w:rsidRDefault="00CD5E69" w:rsidP="00CD5E69">
      <w:pPr>
        <w:rPr>
          <w:sz w:val="22"/>
          <w:szCs w:val="22"/>
        </w:rPr>
      </w:pPr>
      <w:r w:rsidRPr="00B87B06">
        <w:rPr>
          <w:b/>
          <w:sz w:val="22"/>
          <w:szCs w:val="22"/>
        </w:rPr>
        <w:t>Blue Ridge Regional Office</w:t>
      </w:r>
    </w:p>
    <w:p w14:paraId="4439D6D9" w14:textId="77777777" w:rsidR="00CD5E69" w:rsidRPr="00B87B06" w:rsidRDefault="00CD5E69" w:rsidP="00CD5E69">
      <w:pPr>
        <w:rPr>
          <w:sz w:val="22"/>
          <w:szCs w:val="22"/>
        </w:rPr>
      </w:pPr>
      <w:r>
        <w:rPr>
          <w:sz w:val="22"/>
          <w:szCs w:val="22"/>
        </w:rPr>
        <w:t>901 Russell Drive</w:t>
      </w:r>
    </w:p>
    <w:p w14:paraId="79F41852" w14:textId="77777777" w:rsidR="00CD5E69" w:rsidRPr="00B87B06" w:rsidRDefault="00CD5E69" w:rsidP="00CD5E69">
      <w:pPr>
        <w:rPr>
          <w:sz w:val="22"/>
          <w:szCs w:val="22"/>
        </w:rPr>
      </w:pPr>
      <w:r>
        <w:rPr>
          <w:sz w:val="22"/>
          <w:szCs w:val="22"/>
        </w:rPr>
        <w:t>Salem, VA 24153</w:t>
      </w:r>
    </w:p>
    <w:p w14:paraId="24560BA9" w14:textId="77777777" w:rsidR="00CD5E69" w:rsidRPr="00B87B06" w:rsidRDefault="00CD5E69" w:rsidP="00CD5E69">
      <w:pPr>
        <w:rPr>
          <w:sz w:val="22"/>
          <w:szCs w:val="22"/>
        </w:rPr>
      </w:pPr>
      <w:r w:rsidRPr="00B87B06">
        <w:rPr>
          <w:sz w:val="22"/>
          <w:szCs w:val="22"/>
        </w:rPr>
        <w:t>(540) 562-6700</w:t>
      </w:r>
    </w:p>
    <w:p w14:paraId="140A0E44" w14:textId="6A0AA605" w:rsidR="00CD5E69" w:rsidRPr="00B87B06" w:rsidRDefault="00CD5E69" w:rsidP="00CD5E69">
      <w:pPr>
        <w:rPr>
          <w:sz w:val="22"/>
          <w:szCs w:val="22"/>
        </w:rPr>
      </w:pPr>
      <w:r w:rsidRPr="00B87B06">
        <w:rPr>
          <w:sz w:val="22"/>
          <w:szCs w:val="22"/>
        </w:rPr>
        <w:t>Emissions and Maintenance</w:t>
      </w:r>
      <w:r>
        <w:rPr>
          <w:sz w:val="22"/>
          <w:szCs w:val="22"/>
        </w:rPr>
        <w:t xml:space="preserve"> </w:t>
      </w:r>
      <w:r w:rsidRPr="00B87B06">
        <w:rPr>
          <w:sz w:val="22"/>
          <w:szCs w:val="22"/>
        </w:rPr>
        <w:t>Contact: Nicole Wright</w:t>
      </w:r>
      <w:r w:rsidR="008116EA">
        <w:rPr>
          <w:sz w:val="22"/>
          <w:szCs w:val="22"/>
        </w:rPr>
        <w:t xml:space="preserve">, </w:t>
      </w:r>
      <w:hyperlink r:id="rId15" w:history="1">
        <w:r w:rsidR="008116EA" w:rsidRPr="00EF1058">
          <w:rPr>
            <w:rStyle w:val="Hyperlink"/>
            <w:sz w:val="22"/>
            <w:szCs w:val="22"/>
          </w:rPr>
          <w:t>Nicole.Wright@deq.virginia.gov</w:t>
        </w:r>
      </w:hyperlink>
      <w:r w:rsidR="008116EA">
        <w:rPr>
          <w:sz w:val="22"/>
          <w:szCs w:val="22"/>
        </w:rPr>
        <w:tab/>
      </w:r>
    </w:p>
    <w:p w14:paraId="60D1FF33" w14:textId="77777777" w:rsidR="00CD5E69" w:rsidRDefault="00CD5E69" w:rsidP="00CD5E69">
      <w:pPr>
        <w:rPr>
          <w:b/>
          <w:sz w:val="22"/>
          <w:szCs w:val="22"/>
        </w:rPr>
      </w:pPr>
    </w:p>
    <w:p w14:paraId="73381FB7" w14:textId="77777777" w:rsidR="00CD5E69" w:rsidRPr="00B87B06" w:rsidRDefault="00CD5E69" w:rsidP="00CD5E69">
      <w:pPr>
        <w:rPr>
          <w:b/>
          <w:sz w:val="22"/>
          <w:szCs w:val="22"/>
        </w:rPr>
      </w:pPr>
      <w:r w:rsidRPr="00B87B06">
        <w:rPr>
          <w:b/>
          <w:sz w:val="22"/>
          <w:szCs w:val="22"/>
        </w:rPr>
        <w:t>Northern Virginia Regional Office</w:t>
      </w:r>
    </w:p>
    <w:p w14:paraId="4B25A7AA" w14:textId="77777777" w:rsidR="00CD5E69" w:rsidRPr="00B87B06" w:rsidRDefault="00CD5E69" w:rsidP="00CD5E69">
      <w:pPr>
        <w:rPr>
          <w:sz w:val="22"/>
          <w:szCs w:val="22"/>
        </w:rPr>
      </w:pPr>
      <w:r w:rsidRPr="00B87B06">
        <w:rPr>
          <w:sz w:val="22"/>
          <w:szCs w:val="22"/>
        </w:rPr>
        <w:t>13901 Crown Court</w:t>
      </w:r>
    </w:p>
    <w:p w14:paraId="7E9E0C15" w14:textId="77777777" w:rsidR="00CD5E69" w:rsidRPr="00B87B06" w:rsidRDefault="00CD5E69" w:rsidP="00CD5E69">
      <w:pPr>
        <w:rPr>
          <w:sz w:val="22"/>
          <w:szCs w:val="22"/>
        </w:rPr>
      </w:pPr>
      <w:r w:rsidRPr="00B87B06">
        <w:rPr>
          <w:sz w:val="22"/>
          <w:szCs w:val="22"/>
        </w:rPr>
        <w:t>Woodbridge, VA  22193</w:t>
      </w:r>
    </w:p>
    <w:p w14:paraId="10426DFA" w14:textId="77777777" w:rsidR="00CD5E69" w:rsidRPr="00B87B06" w:rsidRDefault="00CD5E69" w:rsidP="00CD5E69">
      <w:pPr>
        <w:rPr>
          <w:sz w:val="22"/>
          <w:szCs w:val="22"/>
        </w:rPr>
      </w:pPr>
      <w:r w:rsidRPr="00B87B06">
        <w:rPr>
          <w:sz w:val="22"/>
          <w:szCs w:val="22"/>
        </w:rPr>
        <w:t>(703) 583-3800</w:t>
      </w:r>
    </w:p>
    <w:p w14:paraId="5F81DC78" w14:textId="3CAD021B" w:rsidR="00CD5E69" w:rsidRPr="00B87B06" w:rsidRDefault="00CD5E69" w:rsidP="00CD5E69">
      <w:pPr>
        <w:rPr>
          <w:sz w:val="22"/>
          <w:szCs w:val="22"/>
        </w:rPr>
      </w:pPr>
      <w:r w:rsidRPr="00B87B06">
        <w:rPr>
          <w:sz w:val="22"/>
          <w:szCs w:val="22"/>
        </w:rPr>
        <w:t>Emissions and Maintenan</w:t>
      </w:r>
      <w:r>
        <w:rPr>
          <w:sz w:val="22"/>
          <w:szCs w:val="22"/>
        </w:rPr>
        <w:t xml:space="preserve">ce Contact: </w:t>
      </w:r>
      <w:r w:rsidRPr="00B87B06">
        <w:rPr>
          <w:sz w:val="22"/>
          <w:szCs w:val="22"/>
        </w:rPr>
        <w:t xml:space="preserve">David </w:t>
      </w:r>
      <w:r w:rsidR="00637B9A" w:rsidRPr="00B87B06">
        <w:rPr>
          <w:sz w:val="22"/>
          <w:szCs w:val="22"/>
        </w:rPr>
        <w:t>Hartshorn</w:t>
      </w:r>
      <w:r w:rsidR="008116EA">
        <w:rPr>
          <w:sz w:val="22"/>
          <w:szCs w:val="22"/>
        </w:rPr>
        <w:t xml:space="preserve">, </w:t>
      </w:r>
      <w:hyperlink r:id="rId16" w:history="1">
        <w:r w:rsidR="00282B0E" w:rsidRPr="00EF1058">
          <w:rPr>
            <w:rStyle w:val="Hyperlink"/>
            <w:sz w:val="22"/>
            <w:szCs w:val="22"/>
          </w:rPr>
          <w:t>R.David.Hartshorn@deq.virginia.gov</w:t>
        </w:r>
      </w:hyperlink>
      <w:r w:rsidR="00282B0E">
        <w:rPr>
          <w:sz w:val="22"/>
          <w:szCs w:val="22"/>
        </w:rPr>
        <w:t xml:space="preserve">, </w:t>
      </w:r>
      <w:r w:rsidR="00637B9A">
        <w:rPr>
          <w:sz w:val="22"/>
          <w:szCs w:val="22"/>
        </w:rPr>
        <w:t>or</w:t>
      </w:r>
      <w:r>
        <w:rPr>
          <w:sz w:val="22"/>
          <w:szCs w:val="22"/>
        </w:rPr>
        <w:t xml:space="preserve"> Joe Herrmann</w:t>
      </w:r>
      <w:r w:rsidR="001207D0">
        <w:rPr>
          <w:sz w:val="22"/>
          <w:szCs w:val="22"/>
        </w:rPr>
        <w:t xml:space="preserve">, </w:t>
      </w:r>
      <w:hyperlink r:id="rId17" w:history="1">
        <w:r w:rsidR="001207D0" w:rsidRPr="00EF1058">
          <w:rPr>
            <w:rStyle w:val="Hyperlink"/>
            <w:sz w:val="22"/>
            <w:szCs w:val="22"/>
          </w:rPr>
          <w:t>Joseph.Herrmann@deq.virginia.gov</w:t>
        </w:r>
      </w:hyperlink>
      <w:r w:rsidR="001207D0">
        <w:rPr>
          <w:sz w:val="22"/>
          <w:szCs w:val="22"/>
        </w:rPr>
        <w:t xml:space="preserve"> </w:t>
      </w:r>
    </w:p>
    <w:p w14:paraId="13F3E0D5" w14:textId="77777777" w:rsidR="00CD5E69" w:rsidRPr="00B87B06" w:rsidRDefault="00CD5E69" w:rsidP="00CD5E69">
      <w:pPr>
        <w:rPr>
          <w:b/>
          <w:sz w:val="22"/>
          <w:szCs w:val="22"/>
        </w:rPr>
      </w:pPr>
    </w:p>
    <w:p w14:paraId="0E04FAD0" w14:textId="77777777" w:rsidR="00CD5E69" w:rsidRPr="00B87B06" w:rsidRDefault="00CD5E69" w:rsidP="00CD5E69">
      <w:pPr>
        <w:rPr>
          <w:b/>
          <w:sz w:val="22"/>
          <w:szCs w:val="22"/>
        </w:rPr>
      </w:pPr>
      <w:r w:rsidRPr="00B87B06">
        <w:rPr>
          <w:b/>
          <w:sz w:val="22"/>
          <w:szCs w:val="22"/>
        </w:rPr>
        <w:t>Piedmont Regional Office</w:t>
      </w:r>
    </w:p>
    <w:p w14:paraId="7016B036" w14:textId="77777777" w:rsidR="00CD5E69" w:rsidRPr="00B87B06" w:rsidRDefault="00CD5E69" w:rsidP="00CD5E69">
      <w:pPr>
        <w:rPr>
          <w:sz w:val="22"/>
          <w:szCs w:val="22"/>
        </w:rPr>
      </w:pPr>
      <w:r w:rsidRPr="00B87B06">
        <w:rPr>
          <w:sz w:val="22"/>
          <w:szCs w:val="22"/>
        </w:rPr>
        <w:t>4949-A Cox Road</w:t>
      </w:r>
    </w:p>
    <w:p w14:paraId="3172FFBA" w14:textId="77777777" w:rsidR="00CD5E69" w:rsidRPr="00B87B06" w:rsidRDefault="00CD5E69" w:rsidP="00CD5E69">
      <w:pPr>
        <w:rPr>
          <w:sz w:val="22"/>
          <w:szCs w:val="22"/>
        </w:rPr>
      </w:pPr>
      <w:r w:rsidRPr="00B87B06">
        <w:rPr>
          <w:sz w:val="22"/>
          <w:szCs w:val="22"/>
        </w:rPr>
        <w:t>Glen Allen, VA  23060</w:t>
      </w:r>
    </w:p>
    <w:p w14:paraId="23C96301" w14:textId="77777777" w:rsidR="00CD5E69" w:rsidRPr="00B87B06" w:rsidRDefault="00CD5E69" w:rsidP="00CD5E69">
      <w:pPr>
        <w:rPr>
          <w:sz w:val="22"/>
          <w:szCs w:val="22"/>
        </w:rPr>
      </w:pPr>
      <w:r w:rsidRPr="00B87B06">
        <w:rPr>
          <w:sz w:val="22"/>
          <w:szCs w:val="22"/>
        </w:rPr>
        <w:t>(804) 527-5020</w:t>
      </w:r>
    </w:p>
    <w:p w14:paraId="7FB306B1" w14:textId="46250C96" w:rsidR="00CD5E69" w:rsidRPr="00637B9A" w:rsidRDefault="00CD5E69" w:rsidP="00CD5E69">
      <w:pPr>
        <w:rPr>
          <w:sz w:val="22"/>
          <w:szCs w:val="22"/>
        </w:rPr>
      </w:pPr>
      <w:r w:rsidRPr="00B87B06">
        <w:rPr>
          <w:sz w:val="22"/>
          <w:szCs w:val="22"/>
        </w:rPr>
        <w:t>Emissions Contact</w:t>
      </w:r>
      <w:r w:rsidR="00637B9A">
        <w:rPr>
          <w:sz w:val="22"/>
          <w:szCs w:val="22"/>
        </w:rPr>
        <w:t xml:space="preserve"> and </w:t>
      </w:r>
      <w:r w:rsidRPr="00B87B06">
        <w:rPr>
          <w:sz w:val="22"/>
          <w:szCs w:val="22"/>
        </w:rPr>
        <w:t>Maintenance Contact: James Kyle</w:t>
      </w:r>
      <w:r w:rsidR="001207D0">
        <w:rPr>
          <w:b/>
          <w:sz w:val="22"/>
          <w:szCs w:val="22"/>
        </w:rPr>
        <w:t xml:space="preserve">, </w:t>
      </w:r>
      <w:hyperlink r:id="rId18" w:history="1">
        <w:r w:rsidR="001207D0" w:rsidRPr="001207D0">
          <w:rPr>
            <w:rStyle w:val="Hyperlink"/>
            <w:bCs/>
            <w:sz w:val="22"/>
            <w:szCs w:val="22"/>
          </w:rPr>
          <w:t>James.Kyle@deq.virginia.gov</w:t>
        </w:r>
      </w:hyperlink>
      <w:r w:rsidR="001207D0">
        <w:rPr>
          <w:b/>
          <w:sz w:val="22"/>
          <w:szCs w:val="22"/>
        </w:rPr>
        <w:t xml:space="preserve"> </w:t>
      </w:r>
    </w:p>
    <w:p w14:paraId="1214A393" w14:textId="77777777" w:rsidR="00CD5E69" w:rsidRDefault="00CD5E69" w:rsidP="00CD5E69">
      <w:pPr>
        <w:rPr>
          <w:b/>
          <w:sz w:val="22"/>
          <w:szCs w:val="22"/>
        </w:rPr>
      </w:pPr>
    </w:p>
    <w:p w14:paraId="3CD3E7D7" w14:textId="77777777" w:rsidR="00CD5E69" w:rsidRPr="00B87B06" w:rsidRDefault="00CD5E69" w:rsidP="00CD5E69">
      <w:pPr>
        <w:rPr>
          <w:sz w:val="22"/>
          <w:szCs w:val="22"/>
        </w:rPr>
      </w:pPr>
      <w:r w:rsidRPr="00B87B06">
        <w:rPr>
          <w:b/>
          <w:sz w:val="22"/>
          <w:szCs w:val="22"/>
        </w:rPr>
        <w:t>Southwest Regional Office</w:t>
      </w:r>
    </w:p>
    <w:p w14:paraId="2871E7BE" w14:textId="77777777" w:rsidR="00CD5E69" w:rsidRPr="00B87B06" w:rsidRDefault="00CD5E69" w:rsidP="00CD5E69">
      <w:pPr>
        <w:rPr>
          <w:sz w:val="22"/>
          <w:szCs w:val="22"/>
        </w:rPr>
      </w:pPr>
      <w:r w:rsidRPr="00B87B06">
        <w:rPr>
          <w:sz w:val="22"/>
          <w:szCs w:val="22"/>
        </w:rPr>
        <w:t xml:space="preserve">355 </w:t>
      </w:r>
      <w:proofErr w:type="spellStart"/>
      <w:r w:rsidRPr="00B87B06">
        <w:rPr>
          <w:sz w:val="22"/>
          <w:szCs w:val="22"/>
        </w:rPr>
        <w:t>Deadmore</w:t>
      </w:r>
      <w:proofErr w:type="spellEnd"/>
      <w:r w:rsidRPr="00B87B06">
        <w:rPr>
          <w:sz w:val="22"/>
          <w:szCs w:val="22"/>
        </w:rPr>
        <w:t xml:space="preserve"> Street</w:t>
      </w:r>
    </w:p>
    <w:p w14:paraId="34D42630" w14:textId="77777777" w:rsidR="00CD5E69" w:rsidRPr="00B87B06" w:rsidRDefault="00CD5E69" w:rsidP="00CD5E69">
      <w:pPr>
        <w:rPr>
          <w:sz w:val="22"/>
          <w:szCs w:val="22"/>
        </w:rPr>
      </w:pPr>
      <w:r w:rsidRPr="00B87B06">
        <w:rPr>
          <w:sz w:val="22"/>
          <w:szCs w:val="22"/>
        </w:rPr>
        <w:t>PO Box 1688</w:t>
      </w:r>
    </w:p>
    <w:p w14:paraId="49C9C1D3" w14:textId="77777777" w:rsidR="00CD5E69" w:rsidRPr="00B87B06" w:rsidRDefault="00CD5E69" w:rsidP="00CD5E69">
      <w:pPr>
        <w:rPr>
          <w:sz w:val="22"/>
          <w:szCs w:val="22"/>
        </w:rPr>
      </w:pPr>
      <w:r w:rsidRPr="00B87B06">
        <w:rPr>
          <w:sz w:val="22"/>
          <w:szCs w:val="22"/>
        </w:rPr>
        <w:t>Abingdon, VA  24210</w:t>
      </w:r>
    </w:p>
    <w:p w14:paraId="5C1D92F1" w14:textId="77777777" w:rsidR="00CD5E69" w:rsidRPr="00B87B06" w:rsidRDefault="00CD5E69" w:rsidP="00CD5E69">
      <w:pPr>
        <w:rPr>
          <w:b/>
          <w:sz w:val="22"/>
          <w:szCs w:val="22"/>
        </w:rPr>
      </w:pPr>
      <w:r w:rsidRPr="00B87B06">
        <w:rPr>
          <w:sz w:val="22"/>
          <w:szCs w:val="22"/>
        </w:rPr>
        <w:t>(276) 676-4800</w:t>
      </w:r>
    </w:p>
    <w:p w14:paraId="759B18D7" w14:textId="3A2D412E" w:rsidR="00CD5E69" w:rsidRDefault="00CD5E69" w:rsidP="00CD5E69">
      <w:pPr>
        <w:rPr>
          <w:b/>
          <w:sz w:val="22"/>
          <w:szCs w:val="22"/>
        </w:rPr>
      </w:pPr>
      <w:r w:rsidRPr="00B87B06">
        <w:rPr>
          <w:sz w:val="22"/>
          <w:szCs w:val="22"/>
        </w:rPr>
        <w:t>Emissions and Maintenance</w:t>
      </w:r>
      <w:r>
        <w:rPr>
          <w:sz w:val="22"/>
          <w:szCs w:val="22"/>
        </w:rPr>
        <w:t xml:space="preserve"> </w:t>
      </w:r>
      <w:r w:rsidRPr="00B87B06">
        <w:rPr>
          <w:sz w:val="22"/>
          <w:szCs w:val="22"/>
        </w:rPr>
        <w:t>Contact:  Tracey Blalock</w:t>
      </w:r>
      <w:r w:rsidR="001207D0">
        <w:rPr>
          <w:b/>
          <w:sz w:val="22"/>
          <w:szCs w:val="22"/>
        </w:rPr>
        <w:t xml:space="preserve">, </w:t>
      </w:r>
      <w:hyperlink r:id="rId19" w:history="1">
        <w:r w:rsidR="001207D0" w:rsidRPr="001207D0">
          <w:rPr>
            <w:rStyle w:val="Hyperlink"/>
            <w:bCs/>
            <w:sz w:val="22"/>
            <w:szCs w:val="22"/>
          </w:rPr>
          <w:t>Susan.Blalock@deq.virginia.gov</w:t>
        </w:r>
      </w:hyperlink>
      <w:r w:rsidR="001207D0">
        <w:rPr>
          <w:b/>
          <w:sz w:val="22"/>
          <w:szCs w:val="22"/>
        </w:rPr>
        <w:t xml:space="preserve"> </w:t>
      </w:r>
    </w:p>
    <w:p w14:paraId="5A14E285" w14:textId="77777777" w:rsidR="00CD5E69" w:rsidRDefault="00CD5E69" w:rsidP="00CD5E69">
      <w:pPr>
        <w:rPr>
          <w:b/>
          <w:sz w:val="22"/>
          <w:szCs w:val="22"/>
        </w:rPr>
      </w:pPr>
    </w:p>
    <w:p w14:paraId="6E42F03D" w14:textId="77777777" w:rsidR="00CD5E69" w:rsidRPr="00B87B06" w:rsidRDefault="00CD5E69" w:rsidP="00CD5E69">
      <w:pPr>
        <w:rPr>
          <w:sz w:val="22"/>
          <w:szCs w:val="22"/>
        </w:rPr>
      </w:pPr>
      <w:r w:rsidRPr="00B87B06">
        <w:rPr>
          <w:b/>
          <w:sz w:val="22"/>
          <w:szCs w:val="22"/>
        </w:rPr>
        <w:t>Tidewater Regional Office</w:t>
      </w:r>
    </w:p>
    <w:p w14:paraId="190751E4" w14:textId="77777777" w:rsidR="00CD5E69" w:rsidRPr="00B87B06" w:rsidRDefault="00CD5E69" w:rsidP="00CD5E69">
      <w:pPr>
        <w:rPr>
          <w:sz w:val="22"/>
          <w:szCs w:val="22"/>
        </w:rPr>
      </w:pPr>
      <w:r w:rsidRPr="00B87B06">
        <w:rPr>
          <w:sz w:val="22"/>
          <w:szCs w:val="22"/>
        </w:rPr>
        <w:t>5636 Southern Blvd.</w:t>
      </w:r>
    </w:p>
    <w:p w14:paraId="48DD69E0" w14:textId="77777777" w:rsidR="00CD5E69" w:rsidRPr="00B87B06" w:rsidRDefault="00CD5E69" w:rsidP="00CD5E69">
      <w:pPr>
        <w:rPr>
          <w:sz w:val="22"/>
          <w:szCs w:val="22"/>
        </w:rPr>
      </w:pPr>
      <w:r w:rsidRPr="00B87B06">
        <w:rPr>
          <w:sz w:val="22"/>
          <w:szCs w:val="22"/>
        </w:rPr>
        <w:t>Virginia Beach, VA  23462</w:t>
      </w:r>
    </w:p>
    <w:p w14:paraId="71338C3D" w14:textId="77777777" w:rsidR="00CD5E69" w:rsidRPr="00B87B06" w:rsidRDefault="001718FD" w:rsidP="00CD5E69">
      <w:pPr>
        <w:rPr>
          <w:sz w:val="22"/>
          <w:szCs w:val="22"/>
        </w:rPr>
      </w:pPr>
      <w:r>
        <w:rPr>
          <w:sz w:val="22"/>
          <w:szCs w:val="22"/>
        </w:rPr>
        <w:t>(757) 407-2341</w:t>
      </w:r>
    </w:p>
    <w:p w14:paraId="61980681" w14:textId="1B0C4C0F" w:rsidR="00CD5E69" w:rsidRDefault="00CD5E69" w:rsidP="00CD5E69">
      <w:pPr>
        <w:rPr>
          <w:sz w:val="22"/>
          <w:szCs w:val="22"/>
        </w:rPr>
      </w:pPr>
      <w:r w:rsidRPr="00B87B06">
        <w:rPr>
          <w:sz w:val="22"/>
          <w:szCs w:val="22"/>
        </w:rPr>
        <w:t xml:space="preserve">Emissions and Maintenance Contact: </w:t>
      </w:r>
      <w:r w:rsidR="00EF5837">
        <w:rPr>
          <w:sz w:val="22"/>
          <w:szCs w:val="22"/>
        </w:rPr>
        <w:t>Mariama Ou</w:t>
      </w:r>
      <w:r w:rsidR="003963D8">
        <w:rPr>
          <w:sz w:val="22"/>
          <w:szCs w:val="22"/>
        </w:rPr>
        <w:t xml:space="preserve">edraogo, </w:t>
      </w:r>
      <w:hyperlink r:id="rId20" w:history="1">
        <w:r w:rsidR="003963D8" w:rsidRPr="00EF1058">
          <w:rPr>
            <w:rStyle w:val="Hyperlink"/>
            <w:sz w:val="22"/>
            <w:szCs w:val="22"/>
          </w:rPr>
          <w:t>Mariama.Ouedraogo@deq.virginia.gov</w:t>
        </w:r>
      </w:hyperlink>
      <w:r w:rsidR="003963D8">
        <w:rPr>
          <w:sz w:val="22"/>
          <w:szCs w:val="22"/>
        </w:rPr>
        <w:t xml:space="preserve"> </w:t>
      </w:r>
    </w:p>
    <w:p w14:paraId="203E76EE" w14:textId="77777777" w:rsidR="00CD5E69" w:rsidRPr="00B87B06" w:rsidRDefault="00CD5E69" w:rsidP="00CD5E69">
      <w:pPr>
        <w:rPr>
          <w:sz w:val="22"/>
          <w:szCs w:val="22"/>
        </w:rPr>
      </w:pPr>
    </w:p>
    <w:p w14:paraId="176549CD" w14:textId="77777777" w:rsidR="00CD5E69" w:rsidRPr="00B87B06" w:rsidRDefault="00CD5E69" w:rsidP="00CD5E69">
      <w:pPr>
        <w:rPr>
          <w:sz w:val="22"/>
          <w:szCs w:val="22"/>
        </w:rPr>
      </w:pPr>
      <w:r w:rsidRPr="00B87B06">
        <w:rPr>
          <w:b/>
          <w:sz w:val="22"/>
          <w:szCs w:val="22"/>
        </w:rPr>
        <w:t>Valley Regional Office</w:t>
      </w:r>
    </w:p>
    <w:p w14:paraId="23CCFFF0" w14:textId="77777777" w:rsidR="00CD5E69" w:rsidRPr="00B87B06" w:rsidRDefault="00CD5E69" w:rsidP="00CD5E69">
      <w:pPr>
        <w:rPr>
          <w:sz w:val="22"/>
          <w:szCs w:val="22"/>
        </w:rPr>
      </w:pPr>
      <w:r w:rsidRPr="00B87B06">
        <w:rPr>
          <w:sz w:val="22"/>
          <w:szCs w:val="22"/>
        </w:rPr>
        <w:t>4411 Early Road</w:t>
      </w:r>
    </w:p>
    <w:p w14:paraId="0A835216" w14:textId="77777777" w:rsidR="00CD5E69" w:rsidRPr="00B87B06" w:rsidRDefault="00CD5E69" w:rsidP="00CD5E69">
      <w:pPr>
        <w:rPr>
          <w:sz w:val="22"/>
          <w:szCs w:val="22"/>
        </w:rPr>
      </w:pPr>
      <w:r w:rsidRPr="00B87B06">
        <w:rPr>
          <w:sz w:val="22"/>
          <w:szCs w:val="22"/>
        </w:rPr>
        <w:t>PO Box 3000</w:t>
      </w:r>
    </w:p>
    <w:p w14:paraId="6AF0DCCC" w14:textId="77777777" w:rsidR="00CD5E69" w:rsidRPr="00B87B06" w:rsidRDefault="00CD5E69" w:rsidP="00CD5E69">
      <w:pPr>
        <w:rPr>
          <w:b/>
          <w:sz w:val="22"/>
          <w:szCs w:val="22"/>
        </w:rPr>
      </w:pPr>
      <w:r w:rsidRPr="00B87B06">
        <w:rPr>
          <w:sz w:val="22"/>
          <w:szCs w:val="22"/>
        </w:rPr>
        <w:t>Harrisonburg, VA 22801</w:t>
      </w:r>
    </w:p>
    <w:p w14:paraId="355370E7" w14:textId="77777777" w:rsidR="00CD5E69" w:rsidRPr="00B87B06" w:rsidRDefault="00CD5E69" w:rsidP="00CD5E69">
      <w:pPr>
        <w:rPr>
          <w:sz w:val="22"/>
          <w:szCs w:val="22"/>
        </w:rPr>
      </w:pPr>
      <w:r w:rsidRPr="00B87B06">
        <w:rPr>
          <w:sz w:val="22"/>
          <w:szCs w:val="22"/>
        </w:rPr>
        <w:t>(540) 574-7800</w:t>
      </w:r>
    </w:p>
    <w:p w14:paraId="5D1F0BE2" w14:textId="5F565D61" w:rsidR="00CD5E69" w:rsidRPr="00B87B06" w:rsidRDefault="00CD5E69" w:rsidP="00CD5E69">
      <w:pPr>
        <w:rPr>
          <w:sz w:val="22"/>
          <w:szCs w:val="22"/>
        </w:rPr>
      </w:pPr>
      <w:r w:rsidRPr="00B87B06">
        <w:rPr>
          <w:sz w:val="22"/>
          <w:szCs w:val="22"/>
        </w:rPr>
        <w:t>Emissions Contact: Kelly Showalter</w:t>
      </w:r>
      <w:r w:rsidR="003963D8">
        <w:rPr>
          <w:sz w:val="22"/>
          <w:szCs w:val="22"/>
        </w:rPr>
        <w:t xml:space="preserve">, </w:t>
      </w:r>
      <w:hyperlink r:id="rId21" w:history="1">
        <w:r w:rsidR="003963D8" w:rsidRPr="00EF1058">
          <w:rPr>
            <w:rStyle w:val="Hyperlink"/>
            <w:sz w:val="22"/>
            <w:szCs w:val="22"/>
          </w:rPr>
          <w:t>Kelly.Showalter@deq.virginia.gov</w:t>
        </w:r>
      </w:hyperlink>
      <w:r w:rsidR="003963D8">
        <w:rPr>
          <w:sz w:val="22"/>
          <w:szCs w:val="22"/>
        </w:rPr>
        <w:t xml:space="preserve"> </w:t>
      </w:r>
    </w:p>
    <w:p w14:paraId="0B17BF43" w14:textId="0CA2FB0D" w:rsidR="00CD5E69" w:rsidRPr="00BD65C2" w:rsidRDefault="00CD5E69" w:rsidP="00CD5E69">
      <w:pPr>
        <w:rPr>
          <w:sz w:val="22"/>
          <w:szCs w:val="22"/>
        </w:rPr>
      </w:pPr>
      <w:r w:rsidRPr="00B87B06">
        <w:rPr>
          <w:sz w:val="22"/>
          <w:szCs w:val="22"/>
        </w:rPr>
        <w:t>Maintenance Contact: Keith Fowler</w:t>
      </w:r>
      <w:r w:rsidR="003963D8">
        <w:rPr>
          <w:sz w:val="22"/>
          <w:szCs w:val="22"/>
        </w:rPr>
        <w:t xml:space="preserve">, </w:t>
      </w:r>
      <w:hyperlink r:id="rId22" w:history="1">
        <w:r w:rsidR="003963D8" w:rsidRPr="00EF1058">
          <w:rPr>
            <w:rStyle w:val="Hyperlink"/>
            <w:sz w:val="22"/>
            <w:szCs w:val="22"/>
          </w:rPr>
          <w:t>Keith.Fowler@deq.virginia.gov</w:t>
        </w:r>
      </w:hyperlink>
      <w:r w:rsidR="003963D8">
        <w:rPr>
          <w:sz w:val="22"/>
          <w:szCs w:val="22"/>
        </w:rPr>
        <w:t xml:space="preserve"> </w:t>
      </w:r>
    </w:p>
    <w:p w14:paraId="29111EDF" w14:textId="77777777" w:rsidR="005968B0" w:rsidRPr="00496095" w:rsidRDefault="005968B0" w:rsidP="000A7663">
      <w:pPr>
        <w:pStyle w:val="Heading1"/>
        <w:rPr>
          <w:rFonts w:ascii="Times New Roman" w:hAnsi="Times New Roman"/>
          <w:b w:val="0"/>
          <w:sz w:val="24"/>
        </w:rPr>
      </w:pPr>
    </w:p>
    <w:sectPr w:rsidR="005968B0" w:rsidRPr="00496095" w:rsidSect="004F1BF4">
      <w:footerReference w:type="default" r:id="rId23"/>
      <w:headerReference w:type="first" r:id="rId2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97FAD" w14:textId="77777777" w:rsidR="005D033E" w:rsidRDefault="005D033E">
      <w:r>
        <w:separator/>
      </w:r>
    </w:p>
  </w:endnote>
  <w:endnote w:type="continuationSeparator" w:id="0">
    <w:p w14:paraId="33C89C72" w14:textId="77777777" w:rsidR="005D033E" w:rsidRDefault="005D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1842" w14:textId="77777777" w:rsidR="00BD6E0B" w:rsidRDefault="00926295">
    <w:pPr>
      <w:pStyle w:val="Footer"/>
      <w:jc w:val="center"/>
    </w:pPr>
    <w:r>
      <w:fldChar w:fldCharType="begin"/>
    </w:r>
    <w:r>
      <w:instrText xml:space="preserve"> PAGE   \* MERGEFORMAT </w:instrText>
    </w:r>
    <w:r>
      <w:fldChar w:fldCharType="separate"/>
    </w:r>
    <w:r w:rsidR="00A65E04">
      <w:rPr>
        <w:noProof/>
      </w:rPr>
      <w:t>4</w:t>
    </w:r>
    <w:r>
      <w:rPr>
        <w:noProof/>
      </w:rPr>
      <w:fldChar w:fldCharType="end"/>
    </w:r>
  </w:p>
  <w:p w14:paraId="61FD69AD" w14:textId="77777777" w:rsidR="00BD6E0B" w:rsidRDefault="00BD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B3CD0" w14:textId="77777777" w:rsidR="005D033E" w:rsidRDefault="005D033E">
      <w:r>
        <w:separator/>
      </w:r>
    </w:p>
  </w:footnote>
  <w:footnote w:type="continuationSeparator" w:id="0">
    <w:p w14:paraId="2592729E" w14:textId="77777777" w:rsidR="005D033E" w:rsidRDefault="005D033E">
      <w:r>
        <w:continuationSeparator/>
      </w:r>
    </w:p>
  </w:footnote>
  <w:footnote w:id="1">
    <w:p w14:paraId="76481933" w14:textId="77777777" w:rsidR="00CD5E69" w:rsidRDefault="00CD5E69" w:rsidP="00CD5E6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B118" w14:textId="77777777" w:rsidR="003A7546" w:rsidRPr="00294AE5" w:rsidRDefault="003A7546" w:rsidP="003A7546">
    <w:pPr>
      <w:pStyle w:val="ltrhdweb-and-seal"/>
    </w:pPr>
    <w:r>
      <w:rPr>
        <w:noProof/>
      </w:rPr>
      <w:drawing>
        <wp:inline distT="0" distB="0" distL="0" distR="0" wp14:anchorId="7EB94254" wp14:editId="24327BE4">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2942C22F" w14:textId="77777777" w:rsidR="003A7546" w:rsidRDefault="003A7546" w:rsidP="003A7546">
    <w:pPr>
      <w:pStyle w:val="ltrhdCoV"/>
    </w:pPr>
    <w:r>
      <w:t>Commonwealth of Virginia</w:t>
    </w:r>
  </w:p>
  <w:p w14:paraId="01203E19" w14:textId="77777777" w:rsidR="003A7546" w:rsidRDefault="003A7546" w:rsidP="003A7546">
    <w:pPr>
      <w:pStyle w:val="ltrhddeq"/>
    </w:pPr>
    <w:r w:rsidRPr="008B6E4D">
      <w:t xml:space="preserve">VIRGINIA DEPARTMENT OF ENVIRONMENTAL </w:t>
    </w:r>
    <w:r w:rsidRPr="0028450E">
      <w:t>QUALITY</w:t>
    </w:r>
  </w:p>
  <w:p w14:paraId="4CFB0153" w14:textId="77777777" w:rsidR="003A7546" w:rsidRPr="00595617" w:rsidRDefault="003A7546" w:rsidP="003A7546">
    <w:pPr>
      <w:pStyle w:val="ltrhdweb-and-seal"/>
      <w:rPr>
        <w:rStyle w:val="Hyperlink"/>
        <w:color w:val="000080"/>
      </w:rPr>
    </w:pPr>
    <w:r w:rsidRPr="00595617">
      <w:t>www.deq.</w:t>
    </w:r>
    <w:r w:rsidRPr="00DC5989">
      <w:t>virginia</w:t>
    </w:r>
    <w:r w:rsidRPr="00595617">
      <w:t>.gov</w:t>
    </w:r>
  </w:p>
  <w:p w14:paraId="546EA87D" w14:textId="77777777" w:rsidR="003A7546" w:rsidRDefault="003A7546" w:rsidP="003A7546">
    <w:pPr>
      <w:pStyle w:val="ltrhdnames"/>
    </w:pPr>
    <w:r>
      <w:t xml:space="preserve">Stefanie K. Taillon </w:t>
    </w:r>
    <w:r>
      <w:tab/>
    </w:r>
    <w:r>
      <w:tab/>
    </w:r>
    <w:r>
      <w:tab/>
    </w:r>
    <w:r>
      <w:tab/>
    </w:r>
    <w:r>
      <w:tab/>
    </w:r>
    <w:r>
      <w:tab/>
    </w:r>
    <w:r>
      <w:tab/>
      <w:t xml:space="preserve">              </w:t>
    </w:r>
    <w:r w:rsidRPr="00FF576C">
      <w:t xml:space="preserve">Michael S. </w:t>
    </w:r>
    <w:proofErr w:type="spellStart"/>
    <w:r w:rsidRPr="00FF576C">
      <w:t>Rolband</w:t>
    </w:r>
    <w:proofErr w:type="spellEnd"/>
    <w:r w:rsidRPr="00FF576C">
      <w:t>, PE, PWD, PWS Emeritus</w:t>
    </w:r>
  </w:p>
  <w:p w14:paraId="3442B8D3" w14:textId="77777777" w:rsidR="003A7546" w:rsidRPr="00783037" w:rsidRDefault="003A7546" w:rsidP="003A7546">
    <w:pPr>
      <w:pStyle w:val="ltrhdnames"/>
      <w:tabs>
        <w:tab w:val="left" w:pos="6030"/>
      </w:tabs>
    </w:pPr>
    <w:r>
      <w:t>Secretary of Natural and Historic Resources</w:t>
    </w:r>
    <w:r>
      <w:tab/>
    </w:r>
    <w:r>
      <w:tab/>
    </w:r>
    <w:r>
      <w:tab/>
    </w:r>
    <w:r>
      <w:tab/>
    </w:r>
    <w:r>
      <w:tab/>
      <w:t xml:space="preserve">    Director</w:t>
    </w:r>
    <w:r>
      <w:ptab w:relativeTo="indent" w:alignment="right" w:leader="none"/>
    </w:r>
  </w:p>
  <w:p w14:paraId="7CE0C20C" w14:textId="6534A4A1" w:rsidR="005968B0" w:rsidRPr="003A7546" w:rsidRDefault="005968B0" w:rsidP="003A7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5EA8"/>
    <w:multiLevelType w:val="hybridMultilevel"/>
    <w:tmpl w:val="29C619B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8BC1AF1"/>
    <w:multiLevelType w:val="hybridMultilevel"/>
    <w:tmpl w:val="C3F4214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E221B1F"/>
    <w:multiLevelType w:val="hybridMultilevel"/>
    <w:tmpl w:val="7744E6E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2FC95D9D"/>
    <w:multiLevelType w:val="hybridMultilevel"/>
    <w:tmpl w:val="4D6A653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DB0E80"/>
    <w:multiLevelType w:val="hybridMultilevel"/>
    <w:tmpl w:val="CDFCCB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8276BB4"/>
    <w:multiLevelType w:val="hybridMultilevel"/>
    <w:tmpl w:val="52AC17F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43F13536"/>
    <w:multiLevelType w:val="hybridMultilevel"/>
    <w:tmpl w:val="4CA6CB6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85F2D55"/>
    <w:multiLevelType w:val="hybridMultilevel"/>
    <w:tmpl w:val="967471B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0FA537F"/>
    <w:multiLevelType w:val="hybridMultilevel"/>
    <w:tmpl w:val="D21E6CA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A414A1F"/>
    <w:multiLevelType w:val="hybridMultilevel"/>
    <w:tmpl w:val="B4B8A3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C43458F"/>
    <w:multiLevelType w:val="hybridMultilevel"/>
    <w:tmpl w:val="91CCB54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69C1649E"/>
    <w:multiLevelType w:val="hybridMultilevel"/>
    <w:tmpl w:val="0280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E5FC5"/>
    <w:multiLevelType w:val="hybridMultilevel"/>
    <w:tmpl w:val="AB800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A01632"/>
    <w:multiLevelType w:val="hybridMultilevel"/>
    <w:tmpl w:val="52B6A4D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955016310">
    <w:abstractNumId w:val="1"/>
  </w:num>
  <w:num w:numId="2" w16cid:durableId="1277640992">
    <w:abstractNumId w:val="4"/>
  </w:num>
  <w:num w:numId="3" w16cid:durableId="2114128311">
    <w:abstractNumId w:val="9"/>
  </w:num>
  <w:num w:numId="4" w16cid:durableId="1981380965">
    <w:abstractNumId w:val="3"/>
  </w:num>
  <w:num w:numId="5" w16cid:durableId="2011787046">
    <w:abstractNumId w:val="7"/>
  </w:num>
  <w:num w:numId="6" w16cid:durableId="1941913894">
    <w:abstractNumId w:val="5"/>
  </w:num>
  <w:num w:numId="7" w16cid:durableId="646323927">
    <w:abstractNumId w:val="2"/>
  </w:num>
  <w:num w:numId="8" w16cid:durableId="1739159905">
    <w:abstractNumId w:val="10"/>
  </w:num>
  <w:num w:numId="9" w16cid:durableId="1643386031">
    <w:abstractNumId w:val="8"/>
  </w:num>
  <w:num w:numId="10" w16cid:durableId="152453042">
    <w:abstractNumId w:val="13"/>
  </w:num>
  <w:num w:numId="11" w16cid:durableId="1860466349">
    <w:abstractNumId w:val="0"/>
  </w:num>
  <w:num w:numId="12" w16cid:durableId="320474017">
    <w:abstractNumId w:val="6"/>
  </w:num>
  <w:num w:numId="13" w16cid:durableId="108863763">
    <w:abstractNumId w:val="11"/>
  </w:num>
  <w:num w:numId="14" w16cid:durableId="16061889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04"/>
    <w:rsid w:val="000067C1"/>
    <w:rsid w:val="00031E9A"/>
    <w:rsid w:val="00045005"/>
    <w:rsid w:val="00067BBB"/>
    <w:rsid w:val="000A7663"/>
    <w:rsid w:val="000F1621"/>
    <w:rsid w:val="001068E7"/>
    <w:rsid w:val="00110C7E"/>
    <w:rsid w:val="001207D0"/>
    <w:rsid w:val="001641D5"/>
    <w:rsid w:val="00167343"/>
    <w:rsid w:val="001718FD"/>
    <w:rsid w:val="00171C2D"/>
    <w:rsid w:val="00180118"/>
    <w:rsid w:val="0018175C"/>
    <w:rsid w:val="001A5682"/>
    <w:rsid w:val="001B000D"/>
    <w:rsid w:val="001C3BF0"/>
    <w:rsid w:val="001D7FD0"/>
    <w:rsid w:val="002275FF"/>
    <w:rsid w:val="00233802"/>
    <w:rsid w:val="00252CC2"/>
    <w:rsid w:val="00282303"/>
    <w:rsid w:val="00282B0E"/>
    <w:rsid w:val="00293A2E"/>
    <w:rsid w:val="002E15F5"/>
    <w:rsid w:val="00333B45"/>
    <w:rsid w:val="00335A69"/>
    <w:rsid w:val="00371925"/>
    <w:rsid w:val="00393443"/>
    <w:rsid w:val="003963D8"/>
    <w:rsid w:val="003A7546"/>
    <w:rsid w:val="003E282A"/>
    <w:rsid w:val="004168D0"/>
    <w:rsid w:val="004273EB"/>
    <w:rsid w:val="004344BF"/>
    <w:rsid w:val="00434922"/>
    <w:rsid w:val="00446086"/>
    <w:rsid w:val="00462825"/>
    <w:rsid w:val="00480B5B"/>
    <w:rsid w:val="00496095"/>
    <w:rsid w:val="004A641D"/>
    <w:rsid w:val="004F1BF4"/>
    <w:rsid w:val="00501A3C"/>
    <w:rsid w:val="00520449"/>
    <w:rsid w:val="005451CE"/>
    <w:rsid w:val="00554DC1"/>
    <w:rsid w:val="00556F92"/>
    <w:rsid w:val="005648B5"/>
    <w:rsid w:val="00575233"/>
    <w:rsid w:val="005968B0"/>
    <w:rsid w:val="005B026E"/>
    <w:rsid w:val="005C79CD"/>
    <w:rsid w:val="005D033E"/>
    <w:rsid w:val="005D3644"/>
    <w:rsid w:val="005E176A"/>
    <w:rsid w:val="005E31FF"/>
    <w:rsid w:val="005E699F"/>
    <w:rsid w:val="005E732B"/>
    <w:rsid w:val="006310FB"/>
    <w:rsid w:val="00637B9A"/>
    <w:rsid w:val="006468D6"/>
    <w:rsid w:val="006659E5"/>
    <w:rsid w:val="00673DB5"/>
    <w:rsid w:val="006744D4"/>
    <w:rsid w:val="0068696E"/>
    <w:rsid w:val="006B0F41"/>
    <w:rsid w:val="006C6531"/>
    <w:rsid w:val="006F3E5E"/>
    <w:rsid w:val="007008B7"/>
    <w:rsid w:val="00702A55"/>
    <w:rsid w:val="00736ABF"/>
    <w:rsid w:val="007635FF"/>
    <w:rsid w:val="00766D53"/>
    <w:rsid w:val="00783037"/>
    <w:rsid w:val="00797340"/>
    <w:rsid w:val="007D66B1"/>
    <w:rsid w:val="007E6DA9"/>
    <w:rsid w:val="008116EA"/>
    <w:rsid w:val="00820CC0"/>
    <w:rsid w:val="00847F16"/>
    <w:rsid w:val="00851307"/>
    <w:rsid w:val="00864770"/>
    <w:rsid w:val="008A1D40"/>
    <w:rsid w:val="008B6E4D"/>
    <w:rsid w:val="00926295"/>
    <w:rsid w:val="0096792D"/>
    <w:rsid w:val="00974E9E"/>
    <w:rsid w:val="00983B87"/>
    <w:rsid w:val="009B59E5"/>
    <w:rsid w:val="009C5890"/>
    <w:rsid w:val="009E4904"/>
    <w:rsid w:val="009E63B7"/>
    <w:rsid w:val="009F08BE"/>
    <w:rsid w:val="009F68EA"/>
    <w:rsid w:val="00A10AD0"/>
    <w:rsid w:val="00A114D9"/>
    <w:rsid w:val="00A262DE"/>
    <w:rsid w:val="00A27D04"/>
    <w:rsid w:val="00A65E04"/>
    <w:rsid w:val="00A8486B"/>
    <w:rsid w:val="00AA433E"/>
    <w:rsid w:val="00AB0997"/>
    <w:rsid w:val="00AC2EEF"/>
    <w:rsid w:val="00AD7820"/>
    <w:rsid w:val="00AF7580"/>
    <w:rsid w:val="00B30F8D"/>
    <w:rsid w:val="00B33F5D"/>
    <w:rsid w:val="00B34C50"/>
    <w:rsid w:val="00B436A1"/>
    <w:rsid w:val="00B511AC"/>
    <w:rsid w:val="00B6625D"/>
    <w:rsid w:val="00B72065"/>
    <w:rsid w:val="00B95A30"/>
    <w:rsid w:val="00BD0158"/>
    <w:rsid w:val="00BD6E0B"/>
    <w:rsid w:val="00C20F5A"/>
    <w:rsid w:val="00C76648"/>
    <w:rsid w:val="00C90650"/>
    <w:rsid w:val="00CD2599"/>
    <w:rsid w:val="00CD5E69"/>
    <w:rsid w:val="00CE45A4"/>
    <w:rsid w:val="00CF3E83"/>
    <w:rsid w:val="00D319F1"/>
    <w:rsid w:val="00D4664E"/>
    <w:rsid w:val="00D520D4"/>
    <w:rsid w:val="00D721BD"/>
    <w:rsid w:val="00D8019A"/>
    <w:rsid w:val="00D84630"/>
    <w:rsid w:val="00DC28A7"/>
    <w:rsid w:val="00DC7402"/>
    <w:rsid w:val="00DE23BD"/>
    <w:rsid w:val="00E225E4"/>
    <w:rsid w:val="00E65C0F"/>
    <w:rsid w:val="00EC71B8"/>
    <w:rsid w:val="00ED3AB1"/>
    <w:rsid w:val="00EE246D"/>
    <w:rsid w:val="00EF5837"/>
    <w:rsid w:val="00F14B16"/>
    <w:rsid w:val="00F26D6C"/>
    <w:rsid w:val="00F6443A"/>
    <w:rsid w:val="00F77939"/>
    <w:rsid w:val="00FA45BC"/>
    <w:rsid w:val="00FB7FAC"/>
    <w:rsid w:val="00FC662F"/>
    <w:rsid w:val="00FE5437"/>
    <w:rsid w:val="00FE772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8E93E"/>
  <w15:docId w15:val="{AC431327-6E7A-4983-BB1F-2417854E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682"/>
    <w:rPr>
      <w:color w:val="000000"/>
      <w:sz w:val="24"/>
    </w:rPr>
  </w:style>
  <w:style w:type="paragraph" w:styleId="Heading1">
    <w:name w:val="heading 1"/>
    <w:basedOn w:val="Normal"/>
    <w:next w:val="Normal"/>
    <w:link w:val="Heading1Char"/>
    <w:qFormat/>
    <w:rsid w:val="00BD6E0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A5682"/>
    <w:pPr>
      <w:keepNext/>
      <w:jc w:val="center"/>
      <w:outlineLvl w:val="1"/>
    </w:pPr>
    <w:rPr>
      <w:rFonts w:ascii="Imprint MT Shadow" w:hAnsi="Imprint MT Shadow"/>
      <w:color w:val="auto"/>
    </w:rPr>
  </w:style>
  <w:style w:type="paragraph" w:styleId="Heading4">
    <w:name w:val="heading 4"/>
    <w:basedOn w:val="Normal"/>
    <w:next w:val="Normal"/>
    <w:qFormat/>
    <w:rsid w:val="001A5682"/>
    <w:pPr>
      <w:keepNext/>
      <w:jc w:val="center"/>
      <w:outlineLvl w:val="3"/>
    </w:pPr>
    <w:rPr>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682"/>
    <w:pPr>
      <w:tabs>
        <w:tab w:val="center" w:pos="4320"/>
        <w:tab w:val="right" w:pos="8640"/>
      </w:tabs>
    </w:pPr>
  </w:style>
  <w:style w:type="paragraph" w:styleId="Footer">
    <w:name w:val="footer"/>
    <w:basedOn w:val="Normal"/>
    <w:link w:val="FooterChar"/>
    <w:uiPriority w:val="99"/>
    <w:rsid w:val="001A5682"/>
    <w:pPr>
      <w:tabs>
        <w:tab w:val="center" w:pos="4320"/>
        <w:tab w:val="right" w:pos="8640"/>
      </w:tabs>
    </w:pPr>
  </w:style>
  <w:style w:type="paragraph" w:styleId="BodyText">
    <w:name w:val="Body Text"/>
    <w:basedOn w:val="Normal"/>
    <w:rsid w:val="001A5682"/>
    <w:pPr>
      <w:jc w:val="center"/>
    </w:pPr>
    <w:rPr>
      <w:b/>
      <w:color w:val="auto"/>
      <w:sz w:val="16"/>
    </w:rPr>
  </w:style>
  <w:style w:type="paragraph" w:styleId="NormalWeb">
    <w:name w:val="Normal (Web)"/>
    <w:basedOn w:val="Normal"/>
    <w:rsid w:val="004F1BF4"/>
    <w:pPr>
      <w:spacing w:before="100" w:beforeAutospacing="1" w:after="100" w:afterAutospacing="1"/>
    </w:pPr>
    <w:rPr>
      <w:color w:val="auto"/>
      <w:szCs w:val="24"/>
    </w:rPr>
  </w:style>
  <w:style w:type="character" w:styleId="Hyperlink">
    <w:name w:val="Hyperlink"/>
    <w:basedOn w:val="DefaultParagraphFont"/>
    <w:rsid w:val="00F6443A"/>
    <w:rPr>
      <w:color w:val="0000FF"/>
      <w:u w:val="single"/>
    </w:rPr>
  </w:style>
  <w:style w:type="character" w:customStyle="1" w:styleId="Heading1Char">
    <w:name w:val="Heading 1 Char"/>
    <w:basedOn w:val="DefaultParagraphFont"/>
    <w:link w:val="Heading1"/>
    <w:rsid w:val="00BD6E0B"/>
    <w:rPr>
      <w:rFonts w:ascii="Arial" w:hAnsi="Arial" w:cs="Arial"/>
      <w:b/>
      <w:bCs/>
      <w:color w:val="000000"/>
      <w:kern w:val="32"/>
      <w:sz w:val="32"/>
      <w:szCs w:val="32"/>
    </w:rPr>
  </w:style>
  <w:style w:type="character" w:customStyle="1" w:styleId="FooterChar">
    <w:name w:val="Footer Char"/>
    <w:basedOn w:val="DefaultParagraphFont"/>
    <w:link w:val="Footer"/>
    <w:uiPriority w:val="99"/>
    <w:rsid w:val="00BD6E0B"/>
    <w:rPr>
      <w:color w:val="000000"/>
      <w:sz w:val="24"/>
    </w:rPr>
  </w:style>
  <w:style w:type="character" w:styleId="CommentReference">
    <w:name w:val="annotation reference"/>
    <w:basedOn w:val="DefaultParagraphFont"/>
    <w:rsid w:val="00A8486B"/>
    <w:rPr>
      <w:sz w:val="16"/>
      <w:szCs w:val="16"/>
    </w:rPr>
  </w:style>
  <w:style w:type="paragraph" w:styleId="CommentText">
    <w:name w:val="annotation text"/>
    <w:basedOn w:val="Normal"/>
    <w:link w:val="CommentTextChar"/>
    <w:rsid w:val="00A8486B"/>
    <w:rPr>
      <w:color w:val="auto"/>
      <w:sz w:val="20"/>
    </w:rPr>
  </w:style>
  <w:style w:type="character" w:customStyle="1" w:styleId="CommentTextChar">
    <w:name w:val="Comment Text Char"/>
    <w:basedOn w:val="DefaultParagraphFont"/>
    <w:link w:val="CommentText"/>
    <w:rsid w:val="00A8486B"/>
  </w:style>
  <w:style w:type="paragraph" w:styleId="BalloonText">
    <w:name w:val="Balloon Text"/>
    <w:basedOn w:val="Normal"/>
    <w:link w:val="BalloonTextChar"/>
    <w:rsid w:val="00A8486B"/>
    <w:rPr>
      <w:rFonts w:ascii="Tahoma" w:hAnsi="Tahoma" w:cs="Tahoma"/>
      <w:sz w:val="16"/>
      <w:szCs w:val="16"/>
    </w:rPr>
  </w:style>
  <w:style w:type="character" w:customStyle="1" w:styleId="BalloonTextChar">
    <w:name w:val="Balloon Text Char"/>
    <w:basedOn w:val="DefaultParagraphFont"/>
    <w:link w:val="BalloonText"/>
    <w:rsid w:val="00A8486B"/>
    <w:rPr>
      <w:rFonts w:ascii="Tahoma" w:hAnsi="Tahoma" w:cs="Tahoma"/>
      <w:color w:val="000000"/>
      <w:sz w:val="16"/>
      <w:szCs w:val="16"/>
    </w:rPr>
  </w:style>
  <w:style w:type="paragraph" w:customStyle="1" w:styleId="a">
    <w:name w:val="_"/>
    <w:basedOn w:val="Normal"/>
    <w:rsid w:val="00CD5E69"/>
    <w:pPr>
      <w:widowControl w:val="0"/>
      <w:ind w:left="720" w:hanging="720"/>
    </w:pPr>
    <w:rPr>
      <w:rFonts w:ascii="Courier" w:hAnsi="Courier"/>
      <w:snapToGrid w:val="0"/>
      <w:color w:val="auto"/>
    </w:rPr>
  </w:style>
  <w:style w:type="paragraph" w:styleId="FootnoteText">
    <w:name w:val="footnote text"/>
    <w:basedOn w:val="Normal"/>
    <w:link w:val="FootnoteTextChar"/>
    <w:rsid w:val="00CD5E69"/>
    <w:rPr>
      <w:sz w:val="20"/>
    </w:rPr>
  </w:style>
  <w:style w:type="character" w:customStyle="1" w:styleId="FootnoteTextChar">
    <w:name w:val="Footnote Text Char"/>
    <w:basedOn w:val="DefaultParagraphFont"/>
    <w:link w:val="FootnoteText"/>
    <w:rsid w:val="00CD5E69"/>
    <w:rPr>
      <w:color w:val="000000"/>
    </w:rPr>
  </w:style>
  <w:style w:type="character" w:styleId="FootnoteReference">
    <w:name w:val="footnote reference"/>
    <w:rsid w:val="00CD5E69"/>
    <w:rPr>
      <w:vertAlign w:val="superscript"/>
    </w:rPr>
  </w:style>
  <w:style w:type="character" w:styleId="FollowedHyperlink">
    <w:name w:val="FollowedHyperlink"/>
    <w:basedOn w:val="DefaultParagraphFont"/>
    <w:semiHidden/>
    <w:unhideWhenUsed/>
    <w:rsid w:val="005B026E"/>
    <w:rPr>
      <w:color w:val="800080" w:themeColor="followedHyperlink"/>
      <w:u w:val="single"/>
    </w:rPr>
  </w:style>
  <w:style w:type="character" w:styleId="UnresolvedMention">
    <w:name w:val="Unresolved Mention"/>
    <w:basedOn w:val="DefaultParagraphFont"/>
    <w:uiPriority w:val="99"/>
    <w:semiHidden/>
    <w:unhideWhenUsed/>
    <w:rsid w:val="005E732B"/>
    <w:rPr>
      <w:color w:val="605E5C"/>
      <w:shd w:val="clear" w:color="auto" w:fill="E1DFDD"/>
    </w:rPr>
  </w:style>
  <w:style w:type="paragraph" w:customStyle="1" w:styleId="ltrhdCoV">
    <w:name w:val="ltrhd_CoV"/>
    <w:rsid w:val="003A7546"/>
    <w:pPr>
      <w:spacing w:before="120"/>
      <w:jc w:val="center"/>
    </w:pPr>
    <w:rPr>
      <w:rFonts w:ascii="CG Times" w:hAnsi="CG Times"/>
      <w:i/>
      <w:color w:val="000080"/>
      <w:sz w:val="28"/>
      <w:szCs w:val="28"/>
    </w:rPr>
  </w:style>
  <w:style w:type="paragraph" w:customStyle="1" w:styleId="ltrhddeq">
    <w:name w:val="ltrhd_deq"/>
    <w:rsid w:val="003A7546"/>
    <w:pPr>
      <w:spacing w:before="120"/>
      <w:jc w:val="center"/>
    </w:pPr>
    <w:rPr>
      <w:rFonts w:ascii="CG Times" w:hAnsi="CG Times"/>
      <w:i/>
      <w:color w:val="000080"/>
      <w:sz w:val="28"/>
      <w:szCs w:val="28"/>
    </w:rPr>
  </w:style>
  <w:style w:type="paragraph" w:customStyle="1" w:styleId="ltrhdnames">
    <w:name w:val="ltrhd_names"/>
    <w:next w:val="Normal"/>
    <w:rsid w:val="003A7546"/>
    <w:rPr>
      <w:color w:val="000080"/>
      <w:sz w:val="16"/>
    </w:rPr>
  </w:style>
  <w:style w:type="paragraph" w:customStyle="1" w:styleId="ltrhdweb-and-seal">
    <w:name w:val="ltrhd_web-and-seal"/>
    <w:rsid w:val="003A7546"/>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201007">
      <w:bodyDiv w:val="1"/>
      <w:marLeft w:val="0"/>
      <w:marRight w:val="0"/>
      <w:marTop w:val="0"/>
      <w:marBottom w:val="0"/>
      <w:divBdr>
        <w:top w:val="none" w:sz="0" w:space="0" w:color="auto"/>
        <w:left w:val="none" w:sz="0" w:space="0" w:color="auto"/>
        <w:bottom w:val="none" w:sz="0" w:space="0" w:color="auto"/>
        <w:right w:val="none" w:sz="0" w:space="0" w:color="auto"/>
      </w:divBdr>
    </w:div>
    <w:div w:id="15450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pn2.paymentus.com/rotp/sdeq" TargetMode="External"/><Relationship Id="rId18" Type="http://schemas.openxmlformats.org/officeDocument/2006/relationships/hyperlink" Target="mailto:James.Kyle@deq.virgini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elly.Showalter@deq.virginia.gov" TargetMode="External"/><Relationship Id="rId7" Type="http://schemas.openxmlformats.org/officeDocument/2006/relationships/webSettings" Target="webSettings.xml"/><Relationship Id="rId12" Type="http://schemas.openxmlformats.org/officeDocument/2006/relationships/hyperlink" Target="mailto:Amy.Kasper@deq.virginia.gov" TargetMode="External"/><Relationship Id="rId17" Type="http://schemas.openxmlformats.org/officeDocument/2006/relationships/hyperlink" Target="mailto:Joseph.Herrmann@deq.virgini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David.Hartshorn@deq.virginia.gov" TargetMode="External"/><Relationship Id="rId20" Type="http://schemas.openxmlformats.org/officeDocument/2006/relationships/hyperlink" Target="mailto:Mariama.Ouedraogo@deq.virgini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q.virginia.gov/permits/air/form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Nicole.Wright@deq.virginia.gov" TargetMode="External"/><Relationship Id="rId23" Type="http://schemas.openxmlformats.org/officeDocument/2006/relationships/footer" Target="footer1.xml"/><Relationship Id="rId10" Type="http://schemas.openxmlformats.org/officeDocument/2006/relationships/hyperlink" Target="https://www.deq.virginia.gov/permits/air/forms" TargetMode="External"/><Relationship Id="rId19" Type="http://schemas.openxmlformats.org/officeDocument/2006/relationships/hyperlink" Target="mailto:Susan.Blalock@deq.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my.Kasper@deq.virginia.gov" TargetMode="External"/><Relationship Id="rId22" Type="http://schemas.openxmlformats.org/officeDocument/2006/relationships/hyperlink" Target="mailto:Keith.Fowler@deq.virgin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9C16DB2E3704B8741B4EBB0B92A30" ma:contentTypeVersion="15" ma:contentTypeDescription="Create a new document." ma:contentTypeScope="" ma:versionID="2f1587318ea03cbd1f74e8886786fdd0">
  <xsd:schema xmlns:xsd="http://www.w3.org/2001/XMLSchema" xmlns:xs="http://www.w3.org/2001/XMLSchema" xmlns:p="http://schemas.microsoft.com/office/2006/metadata/properties" xmlns:ns2="1f5fb54e-aa0f-4d90-8076-4260ae26c80d" xmlns:ns3="82e9bd10-5776-4d78-9acf-ee2c810c8230" targetNamespace="http://schemas.microsoft.com/office/2006/metadata/properties" ma:root="true" ma:fieldsID="06aea18629044af8e19785572bd4c49a" ns2:_="" ns3:_="">
    <xsd:import namespace="1f5fb54e-aa0f-4d90-8076-4260ae26c80d"/>
    <xsd:import namespace="82e9bd10-5776-4d78-9acf-ee2c810c8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fb54e-aa0f-4d90-8076-4260ae26c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9bd10-5776-4d78-9acf-ee2c810c82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9821c0-a523-41b3-b82e-88c237195386}" ma:internalName="TaxCatchAll" ma:showField="CatchAllData" ma:web="82e9bd10-5776-4d78-9acf-ee2c810c823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e9bd10-5776-4d78-9acf-ee2c810c8230">
      <UserInfo>
        <DisplayName/>
        <AccountId xsi:nil="true"/>
        <AccountType/>
      </UserInfo>
    </SharedWithUsers>
    <lcf76f155ced4ddcb4097134ff3c332f xmlns="1f5fb54e-aa0f-4d90-8076-4260ae26c80d">
      <Terms xmlns="http://schemas.microsoft.com/office/infopath/2007/PartnerControls"/>
    </lcf76f155ced4ddcb4097134ff3c332f>
    <TaxCatchAll xmlns="82e9bd10-5776-4d78-9acf-ee2c810c82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B7354-FECD-4893-B121-9FE7A10EF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fb54e-aa0f-4d90-8076-4260ae26c80d"/>
    <ds:schemaRef ds:uri="82e9bd10-5776-4d78-9acf-ee2c810c8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04F2-82E8-4FFF-80DF-9E5C2F5524FF}">
  <ds:schemaRefs>
    <ds:schemaRef ds:uri="http://schemas.microsoft.com/office/2006/metadata/properties"/>
    <ds:schemaRef ds:uri="http://schemas.microsoft.com/office/infopath/2007/PartnerControls"/>
    <ds:schemaRef ds:uri="82e9bd10-5776-4d78-9acf-ee2c810c8230"/>
    <ds:schemaRef ds:uri="1f5fb54e-aa0f-4d90-8076-4260ae26c80d"/>
  </ds:schemaRefs>
</ds:datastoreItem>
</file>

<file path=customXml/itemProps3.xml><?xml version="1.0" encoding="utf-8"?>
<ds:datastoreItem xmlns:ds="http://schemas.openxmlformats.org/officeDocument/2006/customXml" ds:itemID="{0D0343AE-F012-4308-B16B-73BB31068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Quality</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Commonwealth of Virginia</dc:creator>
  <cp:lastModifiedBy>Kasper, Amy (DEQ)</cp:lastModifiedBy>
  <cp:revision>10</cp:revision>
  <cp:lastPrinted>2018-08-23T19:48:00Z</cp:lastPrinted>
  <dcterms:created xsi:type="dcterms:W3CDTF">2025-07-08T14:44:00Z</dcterms:created>
  <dcterms:modified xsi:type="dcterms:W3CDTF">2025-07-08T15:25:00Z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0x0101004739C16DB2E3704B8741B4EBB0B92A30</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{"FileActivityType":"9","FileActivityTimeStamp":"2025-07-08T14:53:23.317Z","FileActivityUsersOnPage":[{"DisplayName":"Kasper, Amy (DEQ)","Id":"amy.kasper@deq.virginia.gov"}],"FileActivityNavigationId":null}</vt:lpwstr>
  </property>
  <property fmtid="{D5CDD505-2E9C-101B-9397-08002B2CF9AE}" pid="7" name="TriggerFlowInfo">
    <vt:lpwstr/>
  </property>
</Properties>
</file>