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9CEA" w14:textId="2B425299" w:rsidR="00EE0CA9" w:rsidRDefault="00EE0CA9" w:rsidP="43EB01A2">
      <w:pPr>
        <w:pStyle w:val="Heading1"/>
        <w:ind w:left="-540"/>
        <w:rPr>
          <w:rFonts w:eastAsiaTheme="minorHAnsi"/>
        </w:rPr>
      </w:pPr>
    </w:p>
    <w:p w14:paraId="2535FDE9" w14:textId="781A0BA1" w:rsidR="000C2F79" w:rsidRPr="00625F87" w:rsidRDefault="009D4C7B" w:rsidP="06A099C2">
      <w:pPr>
        <w:pStyle w:val="Heading1"/>
        <w:jc w:val="center"/>
        <w:rPr>
          <w:rFonts w:ascii="Arial" w:hAnsi="Arial" w:cs="Arial"/>
          <w:sz w:val="28"/>
          <w:szCs w:val="28"/>
        </w:rPr>
      </w:pPr>
      <w:r w:rsidRPr="009D4C7B">
        <w:rPr>
          <w:rFonts w:ascii="Arial" w:hAnsi="Arial" w:cs="Arial"/>
          <w:sz w:val="28"/>
          <w:szCs w:val="28"/>
        </w:rPr>
        <w:t>Certification of Nonpoint Source Nutrient Credits</w:t>
      </w:r>
    </w:p>
    <w:p w14:paraId="3EAC7C6A" w14:textId="601DFCEA" w:rsidR="00B8724A" w:rsidRDefault="000C2F79" w:rsidP="0EE02D85">
      <w:pPr>
        <w:pStyle w:val="Heading1"/>
        <w:jc w:val="center"/>
        <w:rPr>
          <w:rFonts w:ascii="Arial" w:hAnsi="Arial" w:cs="Arial"/>
          <w:sz w:val="28"/>
          <w:szCs w:val="28"/>
        </w:rPr>
      </w:pPr>
      <w:r w:rsidRPr="0EE02D85">
        <w:rPr>
          <w:rFonts w:ascii="Arial" w:hAnsi="Arial" w:cs="Arial"/>
          <w:sz w:val="28"/>
          <w:szCs w:val="28"/>
        </w:rPr>
        <w:t xml:space="preserve">Complete Application </w:t>
      </w:r>
      <w:r w:rsidR="0056130B">
        <w:rPr>
          <w:rFonts w:ascii="Arial" w:hAnsi="Arial" w:cs="Arial"/>
          <w:sz w:val="28"/>
          <w:szCs w:val="28"/>
        </w:rPr>
        <w:t xml:space="preserve">and Credit Release </w:t>
      </w:r>
      <w:r w:rsidRPr="0EE02D85">
        <w:rPr>
          <w:rFonts w:ascii="Arial" w:hAnsi="Arial" w:cs="Arial"/>
          <w:sz w:val="28"/>
          <w:szCs w:val="28"/>
        </w:rPr>
        <w:t>Checklist</w:t>
      </w:r>
    </w:p>
    <w:p w14:paraId="49B0CCE6" w14:textId="77777777" w:rsidR="00B8724A" w:rsidRDefault="00B8724A" w:rsidP="0EE02D85">
      <w:pPr>
        <w:pStyle w:val="Heading1"/>
        <w:jc w:val="center"/>
        <w:rPr>
          <w:rFonts w:ascii="Arial" w:hAnsi="Arial" w:cs="Arial"/>
          <w:sz w:val="28"/>
          <w:szCs w:val="28"/>
        </w:rPr>
      </w:pPr>
    </w:p>
    <w:p w14:paraId="235A87DF" w14:textId="59070741" w:rsidR="000C2F79" w:rsidRPr="000A4D81" w:rsidRDefault="00D069BD" w:rsidP="775E8E9A">
      <w:pPr>
        <w:pStyle w:val="Heading1"/>
        <w:jc w:val="center"/>
        <w:rPr>
          <w:rFonts w:ascii="Arial" w:hAnsi="Arial" w:cs="Arial"/>
        </w:rPr>
      </w:pPr>
      <w:r w:rsidRPr="00B97431">
        <w:rPr>
          <w:rFonts w:ascii="Arial" w:hAnsi="Arial" w:cs="Arial"/>
        </w:rPr>
        <w:t xml:space="preserve">Land Conversion </w:t>
      </w:r>
      <w:r w:rsidR="00317AF0" w:rsidRPr="00B97431">
        <w:rPr>
          <w:rFonts w:ascii="Arial" w:hAnsi="Arial" w:cs="Arial"/>
        </w:rPr>
        <w:t xml:space="preserve">Application </w:t>
      </w:r>
      <w:r w:rsidRPr="00B97431">
        <w:rPr>
          <w:rFonts w:ascii="Arial" w:hAnsi="Arial" w:cs="Arial"/>
        </w:rPr>
        <w:t>for Perpetual Credit Generation</w:t>
      </w:r>
    </w:p>
    <w:p w14:paraId="0F15D79F" w14:textId="77777777" w:rsidR="006F2BB4" w:rsidRDefault="006F2BB4" w:rsidP="006F2BB4">
      <w:pPr>
        <w:spacing w:after="0" w:line="240" w:lineRule="auto"/>
        <w:ind w:left="-540"/>
        <w:rPr>
          <w:rFonts w:ascii="Arial" w:hAnsi="Arial" w:cs="Arial"/>
          <w:sz w:val="20"/>
        </w:rPr>
      </w:pPr>
      <w:bookmarkStart w:id="0" w:name="_Hlk137122495"/>
    </w:p>
    <w:p w14:paraId="4C676332" w14:textId="72842D12" w:rsidR="006F2BB4" w:rsidRPr="007E0BC4" w:rsidRDefault="006F2BB4" w:rsidP="4A1F1F51">
      <w:pPr>
        <w:spacing w:after="0" w:line="240" w:lineRule="auto"/>
        <w:ind w:left="-547" w:right="-540"/>
        <w:rPr>
          <w:rFonts w:ascii="Arial" w:eastAsia="Arial" w:hAnsi="Arial" w:cs="Arial"/>
        </w:rPr>
      </w:pPr>
      <w:r w:rsidRPr="007E0BC4">
        <w:rPr>
          <w:rFonts w:ascii="Arial" w:hAnsi="Arial" w:cs="Arial"/>
          <w:b/>
          <w:bCs/>
        </w:rPr>
        <w:t>Disclaimer:</w:t>
      </w:r>
      <w:r w:rsidRPr="007E0BC4">
        <w:rPr>
          <w:rFonts w:ascii="Arial" w:hAnsi="Arial" w:cs="Arial"/>
        </w:rPr>
        <w:t xml:space="preserve"> Checklists are provided as a tool when applying for </w:t>
      </w:r>
      <w:r w:rsidR="009D4C7B" w:rsidRPr="007E0BC4">
        <w:rPr>
          <w:rFonts w:ascii="Arial" w:hAnsi="Arial" w:cs="Arial"/>
        </w:rPr>
        <w:t>plan approval and certification of nonpoint source nutrient and sediment credits</w:t>
      </w:r>
      <w:r w:rsidRPr="007E0BC4">
        <w:rPr>
          <w:rFonts w:ascii="Arial" w:hAnsi="Arial" w:cs="Arial"/>
        </w:rPr>
        <w:t>. DEQ decisions will be made by applying the State Water Control Law</w:t>
      </w:r>
      <w:r w:rsidR="009D4C7B" w:rsidRPr="007E0BC4">
        <w:rPr>
          <w:rFonts w:ascii="Arial" w:hAnsi="Arial" w:cs="Arial"/>
        </w:rPr>
        <w:t>, Certification of Nonpoint Source Nutrient Credits regulations (</w:t>
      </w:r>
      <w:bookmarkStart w:id="1" w:name="_Hlk143496848"/>
      <w:r w:rsidR="00DC0BDC" w:rsidRPr="007E0BC4">
        <w:rPr>
          <w:rFonts w:ascii="Arial" w:hAnsi="Arial" w:cs="Arial"/>
        </w:rPr>
        <w:fldChar w:fldCharType="begin"/>
      </w:r>
      <w:r w:rsidR="00DC0BDC" w:rsidRPr="007E0BC4">
        <w:rPr>
          <w:rFonts w:ascii="Arial" w:hAnsi="Arial" w:cs="Arial"/>
        </w:rPr>
        <w:instrText>HYPERLINK "https://law.lis.virginia.gov/admincode/title9/agency25/chapter900/"</w:instrText>
      </w:r>
      <w:r w:rsidR="00DC0BDC" w:rsidRPr="007E0BC4">
        <w:rPr>
          <w:rFonts w:ascii="Arial" w:hAnsi="Arial" w:cs="Arial"/>
        </w:rPr>
      </w:r>
      <w:r w:rsidR="00DC0BDC" w:rsidRPr="007E0BC4">
        <w:rPr>
          <w:rFonts w:ascii="Arial" w:hAnsi="Arial" w:cs="Arial"/>
        </w:rPr>
        <w:fldChar w:fldCharType="separate"/>
      </w:r>
      <w:r w:rsidR="009D4C7B" w:rsidRPr="007E0BC4">
        <w:rPr>
          <w:rStyle w:val="Hyperlink"/>
          <w:rFonts w:ascii="Arial" w:hAnsi="Arial" w:cs="Arial"/>
        </w:rPr>
        <w:t>9VAC2</w:t>
      </w:r>
      <w:r w:rsidR="00DC0BDC" w:rsidRPr="007E0BC4">
        <w:rPr>
          <w:rStyle w:val="Hyperlink"/>
          <w:rFonts w:ascii="Arial" w:hAnsi="Arial" w:cs="Arial"/>
        </w:rPr>
        <w:t>5-900</w:t>
      </w:r>
      <w:r w:rsidR="00DC0BDC" w:rsidRPr="007E0BC4">
        <w:rPr>
          <w:rFonts w:ascii="Arial" w:hAnsi="Arial" w:cs="Arial"/>
        </w:rPr>
        <w:fldChar w:fldCharType="end"/>
      </w:r>
      <w:bookmarkEnd w:id="1"/>
      <w:r w:rsidR="00DC0BDC" w:rsidRPr="007E0BC4">
        <w:rPr>
          <w:rFonts w:ascii="Arial" w:hAnsi="Arial" w:cs="Arial"/>
        </w:rPr>
        <w:t>)</w:t>
      </w:r>
      <w:r w:rsidR="009D4C7B" w:rsidRPr="007E0BC4">
        <w:rPr>
          <w:rFonts w:ascii="Arial" w:hAnsi="Arial" w:cs="Arial"/>
        </w:rPr>
        <w:t xml:space="preserve"> </w:t>
      </w:r>
      <w:r w:rsidRPr="007E0BC4">
        <w:rPr>
          <w:rFonts w:ascii="Arial" w:hAnsi="Arial" w:cs="Arial"/>
        </w:rPr>
        <w:t xml:space="preserve">and project-specific facts. </w:t>
      </w:r>
      <w:r w:rsidRPr="007E0BC4">
        <w:rPr>
          <w:rFonts w:ascii="Arial" w:hAnsi="Arial" w:cs="Arial"/>
          <w:b/>
          <w:bCs/>
        </w:rPr>
        <w:t xml:space="preserve">Refer to </w:t>
      </w:r>
      <w:r w:rsidR="009D4C7B" w:rsidRPr="007E0BC4">
        <w:rPr>
          <w:rFonts w:ascii="Arial" w:hAnsi="Arial" w:cs="Arial"/>
          <w:b/>
          <w:bCs/>
        </w:rPr>
        <w:t xml:space="preserve">sections of 9VAC25-900 </w:t>
      </w:r>
      <w:r w:rsidRPr="007E0BC4">
        <w:rPr>
          <w:rFonts w:ascii="Arial" w:hAnsi="Arial" w:cs="Arial"/>
          <w:b/>
          <w:bCs/>
        </w:rPr>
        <w:t>noted herein for details of required information for complete applications.</w:t>
      </w:r>
    </w:p>
    <w:p w14:paraId="695AD3ED" w14:textId="77777777" w:rsidR="006F2BB4" w:rsidRPr="007E0BC4" w:rsidRDefault="006F2BB4" w:rsidP="06A099C2">
      <w:pPr>
        <w:spacing w:after="0" w:line="240" w:lineRule="auto"/>
        <w:ind w:left="-547"/>
        <w:rPr>
          <w:rFonts w:ascii="Arial" w:hAnsi="Arial" w:cs="Arial"/>
        </w:rPr>
      </w:pPr>
    </w:p>
    <w:p w14:paraId="33215C54" w14:textId="30460CAC" w:rsidR="008B73AA" w:rsidRDefault="008B73AA" w:rsidP="00E62503">
      <w:pPr>
        <w:spacing w:after="0" w:line="240" w:lineRule="auto"/>
        <w:ind w:left="-547" w:right="-540"/>
        <w:rPr>
          <w:rFonts w:ascii="Arial" w:hAnsi="Arial" w:cs="Arial"/>
        </w:rPr>
      </w:pPr>
      <w:r w:rsidRPr="008B73AA">
        <w:rPr>
          <w:rFonts w:ascii="Arial" w:hAnsi="Arial" w:cs="Arial"/>
        </w:rPr>
        <w:t xml:space="preserve">For specific questions regarding the application or process please contact Derick Winn </w:t>
      </w:r>
      <w:r w:rsidR="00D523B9">
        <w:rPr>
          <w:rFonts w:ascii="Arial" w:hAnsi="Arial" w:cs="Arial"/>
        </w:rPr>
        <w:t>(</w:t>
      </w:r>
      <w:hyperlink r:id="rId10" w:history="1">
        <w:r w:rsidRPr="0050541D">
          <w:rPr>
            <w:rStyle w:val="Hyperlink"/>
            <w:rFonts w:ascii="Arial" w:hAnsi="Arial" w:cs="Arial"/>
          </w:rPr>
          <w:t>derick.winn@deq.virginia.gov</w:t>
        </w:r>
      </w:hyperlink>
      <w:r w:rsidR="00D523B9">
        <w:rPr>
          <w:rFonts w:ascii="Arial" w:hAnsi="Arial" w:cs="Arial"/>
        </w:rPr>
        <w:t xml:space="preserve">; </w:t>
      </w:r>
      <w:r>
        <w:rPr>
          <w:rFonts w:ascii="Arial" w:hAnsi="Arial" w:cs="Arial"/>
        </w:rPr>
        <w:t>804-965-4875</w:t>
      </w:r>
      <w:r w:rsidR="00D523B9">
        <w:rPr>
          <w:rFonts w:ascii="Arial" w:hAnsi="Arial" w:cs="Arial"/>
        </w:rPr>
        <w:t>) or Tyler Monteith (</w:t>
      </w:r>
      <w:hyperlink r:id="rId11" w:history="1">
        <w:r w:rsidR="00D523B9" w:rsidRPr="00FA37AD">
          <w:rPr>
            <w:rStyle w:val="Hyperlink"/>
            <w:rFonts w:ascii="Arial" w:hAnsi="Arial" w:cs="Arial"/>
          </w:rPr>
          <w:t>tyler.monteith@deq.virginia.gov</w:t>
        </w:r>
      </w:hyperlink>
      <w:r w:rsidR="00D523B9">
        <w:rPr>
          <w:rFonts w:ascii="Arial" w:hAnsi="Arial" w:cs="Arial"/>
        </w:rPr>
        <w:t>; 804-</w:t>
      </w:r>
      <w:r w:rsidR="00A832F6">
        <w:rPr>
          <w:rFonts w:ascii="Arial" w:hAnsi="Arial" w:cs="Arial"/>
        </w:rPr>
        <w:t xml:space="preserve">489-1809). </w:t>
      </w:r>
    </w:p>
    <w:p w14:paraId="268797D7" w14:textId="0D9A3A54" w:rsidR="006F2BB4" w:rsidRPr="007E0BC4" w:rsidRDefault="006F2BB4" w:rsidP="00BC5D38">
      <w:pPr>
        <w:spacing w:after="0" w:line="240" w:lineRule="auto"/>
        <w:ind w:right="-540"/>
        <w:rPr>
          <w:rFonts w:ascii="Arial" w:hAnsi="Arial" w:cs="Arial"/>
        </w:rPr>
      </w:pPr>
    </w:p>
    <w:p w14:paraId="2486EAFC" w14:textId="3A76E89A" w:rsidR="006F2BB4" w:rsidRPr="007E0BC4" w:rsidRDefault="7383152D" w:rsidP="775E8E9A">
      <w:pPr>
        <w:spacing w:after="0" w:line="240" w:lineRule="auto"/>
        <w:ind w:left="-547" w:right="-540"/>
        <w:rPr>
          <w:rFonts w:ascii="Arial" w:hAnsi="Arial" w:cs="Arial"/>
        </w:rPr>
      </w:pPr>
      <w:r w:rsidRPr="007E0BC4">
        <w:rPr>
          <w:rFonts w:ascii="Arial" w:hAnsi="Arial" w:cs="Arial"/>
        </w:rPr>
        <w:t>Application status may be viewed on the DEQ Permit Enhancement and Evaluation Platform (</w:t>
      </w:r>
      <w:hyperlink r:id="rId12">
        <w:r w:rsidRPr="007E0BC4">
          <w:rPr>
            <w:rStyle w:val="Hyperlink"/>
            <w:rFonts w:ascii="Arial" w:hAnsi="Arial" w:cs="Arial"/>
          </w:rPr>
          <w:t>PEEP</w:t>
        </w:r>
      </w:hyperlink>
      <w:r w:rsidRPr="007E0BC4">
        <w:rPr>
          <w:rFonts w:ascii="Arial" w:hAnsi="Arial" w:cs="Arial"/>
        </w:rPr>
        <w:t>).</w:t>
      </w:r>
    </w:p>
    <w:p w14:paraId="4DEC5E75" w14:textId="6DEEA295" w:rsidR="00356485" w:rsidRPr="007E0BC4" w:rsidRDefault="00356485" w:rsidP="06A099C2">
      <w:pPr>
        <w:spacing w:after="0" w:line="240" w:lineRule="auto"/>
        <w:rPr>
          <w:rFonts w:ascii="Arial" w:hAnsi="Arial" w:cs="Arial"/>
        </w:rPr>
      </w:pPr>
    </w:p>
    <w:p w14:paraId="0ECAE9D7" w14:textId="5B33F67A" w:rsidR="002228E7" w:rsidRDefault="27D25F01" w:rsidP="00483857">
      <w:pPr>
        <w:ind w:left="-540" w:right="-540"/>
        <w:jc w:val="both"/>
        <w:rPr>
          <w:rFonts w:ascii="Arial" w:hAnsi="Arial" w:cs="Arial"/>
        </w:rPr>
      </w:pPr>
      <w:r w:rsidRPr="007E0BC4">
        <w:rPr>
          <w:rFonts w:ascii="Arial" w:hAnsi="Arial" w:cs="Arial"/>
        </w:rPr>
        <w:t xml:space="preserve">Information Required for a complete application </w:t>
      </w:r>
      <w:r w:rsidR="3A7E641B" w:rsidRPr="007E0BC4">
        <w:rPr>
          <w:rFonts w:ascii="Arial" w:hAnsi="Arial" w:cs="Arial"/>
        </w:rPr>
        <w:t xml:space="preserve">is </w:t>
      </w:r>
      <w:r w:rsidRPr="007E0BC4">
        <w:rPr>
          <w:rFonts w:ascii="Arial" w:hAnsi="Arial" w:cs="Arial"/>
        </w:rPr>
        <w:t>in accordance with the following regulations, unless otherwise noted on item in th</w:t>
      </w:r>
      <w:r w:rsidR="009D4C7B" w:rsidRPr="007E0BC4">
        <w:rPr>
          <w:rFonts w:ascii="Arial" w:hAnsi="Arial" w:cs="Arial"/>
        </w:rPr>
        <w:t>is</w:t>
      </w:r>
      <w:r w:rsidRPr="007E0BC4">
        <w:rPr>
          <w:rFonts w:ascii="Arial" w:hAnsi="Arial" w:cs="Arial"/>
        </w:rPr>
        <w:t xml:space="preserve"> checklist. The</w:t>
      </w:r>
      <w:r w:rsidR="00DC0BDC" w:rsidRPr="007E0BC4">
        <w:rPr>
          <w:rFonts w:ascii="Arial" w:hAnsi="Arial" w:cs="Arial"/>
        </w:rPr>
        <w:t xml:space="preserve"> Certification of Nonpoint Source Nutrient Credits </w:t>
      </w:r>
      <w:r w:rsidRPr="007E0BC4">
        <w:rPr>
          <w:rFonts w:ascii="Arial" w:hAnsi="Arial" w:cs="Arial"/>
        </w:rPr>
        <w:t>Regulations are</w:t>
      </w:r>
      <w:r w:rsidR="00DC0BDC" w:rsidRPr="007E0BC4">
        <w:rPr>
          <w:rFonts w:ascii="Arial" w:hAnsi="Arial" w:cs="Arial"/>
        </w:rPr>
        <w:t xml:space="preserve"> </w:t>
      </w:r>
      <w:hyperlink r:id="rId13" w:history="1">
        <w:r w:rsidR="00DC0BDC" w:rsidRPr="007E0BC4">
          <w:rPr>
            <w:rStyle w:val="Hyperlink"/>
            <w:rFonts w:ascii="Arial" w:hAnsi="Arial" w:cs="Arial"/>
          </w:rPr>
          <w:t>9VAC25-900</w:t>
        </w:r>
      </w:hyperlink>
      <w:r w:rsidR="00DC0BDC" w:rsidRPr="007E0BC4">
        <w:rPr>
          <w:rFonts w:ascii="Arial" w:hAnsi="Arial" w:cs="Arial"/>
        </w:rPr>
        <w:t xml:space="preserve">; </w:t>
      </w:r>
      <w:r w:rsidR="00120B60" w:rsidRPr="007E0BC4">
        <w:rPr>
          <w:rFonts w:ascii="Arial" w:hAnsi="Arial" w:cs="Arial"/>
        </w:rPr>
        <w:t>p</w:t>
      </w:r>
      <w:r w:rsidR="00DC0BDC" w:rsidRPr="007E0BC4">
        <w:rPr>
          <w:rFonts w:ascii="Arial" w:hAnsi="Arial" w:cs="Arial"/>
        </w:rPr>
        <w:t>rocedure for application for certification of nutrient credits</w:t>
      </w:r>
      <w:r w:rsidR="00120B60" w:rsidRPr="007E0BC4">
        <w:rPr>
          <w:rFonts w:ascii="Arial" w:hAnsi="Arial" w:cs="Arial"/>
        </w:rPr>
        <w:t xml:space="preserve"> </w:t>
      </w:r>
      <w:hyperlink r:id="rId14" w:history="1">
        <w:r w:rsidR="00DC0BDC" w:rsidRPr="007E0BC4">
          <w:rPr>
            <w:rStyle w:val="Hyperlink"/>
            <w:rFonts w:ascii="Arial" w:hAnsi="Arial" w:cs="Arial"/>
          </w:rPr>
          <w:t>9VAC25-900-80</w:t>
        </w:r>
      </w:hyperlink>
      <w:r w:rsidR="00DC0BDC" w:rsidRPr="007E0BC4">
        <w:rPr>
          <w:rFonts w:ascii="Arial" w:hAnsi="Arial" w:cs="Arial"/>
        </w:rPr>
        <w:t xml:space="preserve">; </w:t>
      </w:r>
      <w:r w:rsidR="00FE349A" w:rsidRPr="007E0BC4">
        <w:rPr>
          <w:rFonts w:ascii="Arial" w:hAnsi="Arial" w:cs="Arial"/>
        </w:rPr>
        <w:t xml:space="preserve">revised credit rates </w:t>
      </w:r>
      <w:hyperlink r:id="rId15" w:history="1">
        <w:r w:rsidR="00FE349A" w:rsidRPr="007E0BC4">
          <w:rPr>
            <w:rStyle w:val="Hyperlink"/>
            <w:rFonts w:ascii="Arial" w:hAnsi="Arial" w:cs="Arial"/>
          </w:rPr>
          <w:t>GM20-2001</w:t>
        </w:r>
      </w:hyperlink>
      <w:r w:rsidR="00FE349A" w:rsidRPr="007E0BC4">
        <w:rPr>
          <w:rFonts w:ascii="Arial" w:hAnsi="Arial" w:cs="Arial"/>
        </w:rPr>
        <w:t xml:space="preserve">, </w:t>
      </w:r>
      <w:r w:rsidRPr="007E0BC4">
        <w:rPr>
          <w:rFonts w:ascii="Arial" w:hAnsi="Arial" w:cs="Arial"/>
        </w:rPr>
        <w:t>and</w:t>
      </w:r>
      <w:r w:rsidR="00DC0BDC" w:rsidRPr="007E0BC4">
        <w:rPr>
          <w:rFonts w:ascii="Arial" w:hAnsi="Arial" w:cs="Arial"/>
        </w:rPr>
        <w:t xml:space="preserve"> </w:t>
      </w:r>
      <w:r w:rsidR="00120B60" w:rsidRPr="007E0BC4">
        <w:rPr>
          <w:rFonts w:ascii="Arial" w:hAnsi="Arial" w:cs="Arial"/>
        </w:rPr>
        <w:t>d</w:t>
      </w:r>
      <w:r w:rsidR="00DC0BDC" w:rsidRPr="007E0BC4">
        <w:rPr>
          <w:rFonts w:ascii="Arial" w:hAnsi="Arial" w:cs="Arial"/>
        </w:rPr>
        <w:t xml:space="preserve">etermination of application fee amount </w:t>
      </w:r>
      <w:hyperlink r:id="rId16" w:history="1">
        <w:r w:rsidR="00DC0BDC" w:rsidRPr="007E0BC4">
          <w:rPr>
            <w:rStyle w:val="Hyperlink"/>
            <w:rFonts w:ascii="Arial" w:hAnsi="Arial" w:cs="Arial"/>
          </w:rPr>
          <w:t>9VAC25-900-200</w:t>
        </w:r>
      </w:hyperlink>
      <w:r w:rsidRPr="007E0BC4">
        <w:rPr>
          <w:rFonts w:ascii="Arial" w:hAnsi="Arial" w:cs="Arial"/>
        </w:rPr>
        <w:t xml:space="preserve">. </w:t>
      </w:r>
      <w:hyperlink r:id="rId17" w:history="1">
        <w:r w:rsidR="00120B60" w:rsidRPr="007E0BC4">
          <w:rPr>
            <w:rStyle w:val="Hyperlink"/>
            <w:rFonts w:ascii="Arial" w:hAnsi="Arial" w:cs="Arial"/>
          </w:rPr>
          <w:t>9VAC25-900-150</w:t>
        </w:r>
      </w:hyperlink>
      <w:r w:rsidRPr="007E0BC4">
        <w:rPr>
          <w:rFonts w:ascii="Arial" w:hAnsi="Arial" w:cs="Arial"/>
        </w:rPr>
        <w:t xml:space="preserve"> contain</w:t>
      </w:r>
      <w:r w:rsidR="00120B60" w:rsidRPr="007E0BC4">
        <w:rPr>
          <w:rFonts w:ascii="Arial" w:hAnsi="Arial" w:cs="Arial"/>
        </w:rPr>
        <w:t>s recordkeeping and reporting requirements</w:t>
      </w:r>
      <w:r w:rsidRPr="007E0BC4">
        <w:rPr>
          <w:rFonts w:ascii="Arial" w:hAnsi="Arial" w:cs="Arial"/>
        </w:rPr>
        <w:t xml:space="preserve">. </w:t>
      </w:r>
      <w:hyperlink r:id="rId18" w:history="1">
        <w:r w:rsidR="00120B60" w:rsidRPr="007E0BC4">
          <w:rPr>
            <w:rStyle w:val="Hyperlink"/>
            <w:rFonts w:ascii="Arial" w:hAnsi="Arial" w:cs="Arial"/>
          </w:rPr>
          <w:t>Documents incorporated by reference</w:t>
        </w:r>
      </w:hyperlink>
      <w:r w:rsidR="00120B60" w:rsidRPr="007E0BC4">
        <w:rPr>
          <w:rFonts w:ascii="Arial" w:hAnsi="Arial" w:cs="Arial"/>
        </w:rPr>
        <w:t xml:space="preserve"> should be </w:t>
      </w:r>
      <w:r w:rsidR="007E18B7" w:rsidRPr="007E0BC4">
        <w:rPr>
          <w:rFonts w:ascii="Arial" w:hAnsi="Arial" w:cs="Arial"/>
        </w:rPr>
        <w:t>reviewed</w:t>
      </w:r>
      <w:r w:rsidR="00120B60" w:rsidRPr="007E0BC4">
        <w:rPr>
          <w:rFonts w:ascii="Arial" w:hAnsi="Arial" w:cs="Arial"/>
        </w:rPr>
        <w:t xml:space="preserve"> for information on baseline best management practice (BMP) specifications and the DCR invasive species list. </w:t>
      </w:r>
      <w:hyperlink r:id="rId19" w:history="1">
        <w:r w:rsidR="00120B60" w:rsidRPr="007E0BC4">
          <w:rPr>
            <w:rStyle w:val="Hyperlink"/>
            <w:rFonts w:ascii="Arial" w:hAnsi="Arial" w:cs="Arial"/>
          </w:rPr>
          <w:t>9VAC25-900</w:t>
        </w:r>
        <w:r w:rsidR="00BD495A" w:rsidRPr="007E0BC4">
          <w:rPr>
            <w:rStyle w:val="Hyperlink"/>
            <w:rFonts w:ascii="Arial" w:hAnsi="Arial" w:cs="Arial"/>
          </w:rPr>
          <w:t>-91</w:t>
        </w:r>
      </w:hyperlink>
      <w:r w:rsidR="00BD495A" w:rsidRPr="007E0BC4">
        <w:rPr>
          <w:rFonts w:ascii="Arial" w:hAnsi="Arial" w:cs="Arial"/>
        </w:rPr>
        <w:t xml:space="preserve">, </w:t>
      </w:r>
      <w:hyperlink r:id="rId20" w:history="1">
        <w:r w:rsidR="004A6BDA" w:rsidRPr="007E0BC4">
          <w:rPr>
            <w:rStyle w:val="Hyperlink"/>
            <w:rFonts w:ascii="Arial" w:hAnsi="Arial" w:cs="Arial"/>
          </w:rPr>
          <w:t>GM21-2007</w:t>
        </w:r>
      </w:hyperlink>
      <w:r w:rsidR="004A6BDA" w:rsidRPr="007E0BC4">
        <w:rPr>
          <w:rFonts w:ascii="Arial" w:hAnsi="Arial" w:cs="Arial"/>
        </w:rPr>
        <w:t xml:space="preserve">, </w:t>
      </w:r>
      <w:hyperlink r:id="rId21" w:history="1">
        <w:r w:rsidR="00BD495A" w:rsidRPr="007E0BC4">
          <w:rPr>
            <w:rStyle w:val="Hyperlink"/>
            <w:rFonts w:ascii="Arial" w:hAnsi="Arial" w:cs="Arial"/>
          </w:rPr>
          <w:t>9VAC25-870-69</w:t>
        </w:r>
      </w:hyperlink>
      <w:r w:rsidR="00BD495A" w:rsidRPr="007E0BC4">
        <w:rPr>
          <w:rFonts w:ascii="Arial" w:hAnsi="Arial" w:cs="Arial"/>
        </w:rPr>
        <w:t xml:space="preserve">, </w:t>
      </w:r>
      <w:hyperlink r:id="rId22" w:history="1">
        <w:r w:rsidR="00BD495A" w:rsidRPr="007E0BC4">
          <w:rPr>
            <w:rStyle w:val="Hyperlink"/>
            <w:rFonts w:ascii="Arial" w:hAnsi="Arial" w:cs="Arial"/>
          </w:rPr>
          <w:t>§ 62.1-44.19:20</w:t>
        </w:r>
      </w:hyperlink>
      <w:r w:rsidR="00BD495A" w:rsidRPr="007E0BC4">
        <w:rPr>
          <w:rFonts w:ascii="Arial" w:hAnsi="Arial" w:cs="Arial"/>
        </w:rPr>
        <w:t xml:space="preserve">, and </w:t>
      </w:r>
      <w:hyperlink r:id="rId23" w:history="1">
        <w:r w:rsidR="00BD495A" w:rsidRPr="007E0BC4">
          <w:rPr>
            <w:rStyle w:val="Hyperlink"/>
            <w:rFonts w:ascii="Arial" w:hAnsi="Arial" w:cs="Arial"/>
          </w:rPr>
          <w:t>§ 62.1-44.19:21</w:t>
        </w:r>
      </w:hyperlink>
      <w:r w:rsidR="00BD495A" w:rsidRPr="007E0BC4">
        <w:rPr>
          <w:rFonts w:ascii="Arial" w:hAnsi="Arial" w:cs="Arial"/>
        </w:rPr>
        <w:t xml:space="preserve"> </w:t>
      </w:r>
      <w:r w:rsidRPr="007E0BC4">
        <w:rPr>
          <w:rFonts w:ascii="Arial" w:hAnsi="Arial" w:cs="Arial"/>
        </w:rPr>
        <w:t>should be used as reference</w:t>
      </w:r>
      <w:r w:rsidR="004A6BDA" w:rsidRPr="007E0BC4">
        <w:rPr>
          <w:rFonts w:ascii="Arial" w:hAnsi="Arial" w:cs="Arial"/>
        </w:rPr>
        <w:t>s</w:t>
      </w:r>
      <w:r w:rsidRPr="007E0BC4">
        <w:rPr>
          <w:rFonts w:ascii="Arial" w:hAnsi="Arial" w:cs="Arial"/>
        </w:rPr>
        <w:t xml:space="preserve"> </w:t>
      </w:r>
      <w:r w:rsidR="00BD495A" w:rsidRPr="007E0BC4">
        <w:rPr>
          <w:rFonts w:ascii="Arial" w:hAnsi="Arial" w:cs="Arial"/>
        </w:rPr>
        <w:t xml:space="preserve">for </w:t>
      </w:r>
      <w:r w:rsidRPr="007E0BC4">
        <w:rPr>
          <w:rFonts w:ascii="Arial" w:hAnsi="Arial" w:cs="Arial"/>
        </w:rPr>
        <w:t>requirements</w:t>
      </w:r>
      <w:r w:rsidR="00BD495A" w:rsidRPr="007E0BC4">
        <w:rPr>
          <w:rFonts w:ascii="Arial" w:hAnsi="Arial" w:cs="Arial"/>
        </w:rPr>
        <w:t xml:space="preserve"> on the exchange of credits</w:t>
      </w:r>
      <w:r w:rsidRPr="007E0BC4">
        <w:rPr>
          <w:rFonts w:ascii="Arial" w:hAnsi="Arial" w:cs="Arial"/>
        </w:rPr>
        <w:t>.</w:t>
      </w:r>
      <w:bookmarkEnd w:id="0"/>
    </w:p>
    <w:p w14:paraId="3B462BB0" w14:textId="0F349983" w:rsidR="00B07D36" w:rsidRPr="007E0BC4" w:rsidRDefault="00B07D36" w:rsidP="00483857">
      <w:pPr>
        <w:ind w:left="-540" w:right="-540"/>
        <w:jc w:val="both"/>
        <w:rPr>
          <w:rFonts w:ascii="Arial" w:hAnsi="Arial" w:cs="Arial"/>
        </w:rPr>
      </w:pPr>
      <w:r>
        <w:rPr>
          <w:rFonts w:ascii="Arial" w:hAnsi="Arial" w:cs="Arial"/>
        </w:rPr>
        <w:t>Items identified as “Optional” will assist DEQ in expediting your request</w:t>
      </w:r>
      <w:r w:rsidR="00830713">
        <w:rPr>
          <w:rFonts w:ascii="Arial" w:hAnsi="Arial" w:cs="Arial"/>
        </w:rPr>
        <w:t xml:space="preserve">. </w:t>
      </w:r>
      <w:r w:rsidR="00830713" w:rsidRPr="00830713">
        <w:rPr>
          <w:rFonts w:ascii="Arial" w:hAnsi="Arial" w:cs="Arial"/>
        </w:rPr>
        <w:t>Item numbers below do not correspond to regulation numbering.</w:t>
      </w:r>
    </w:p>
    <w:tbl>
      <w:tblPr>
        <w:tblStyle w:val="TableGrid"/>
        <w:tblW w:w="10560" w:type="dxa"/>
        <w:tblInd w:w="-545" w:type="dxa"/>
        <w:tblLayout w:type="fixed"/>
        <w:tblLook w:val="04A0" w:firstRow="1" w:lastRow="0" w:firstColumn="1" w:lastColumn="0" w:noHBand="0" w:noVBand="1"/>
      </w:tblPr>
      <w:tblGrid>
        <w:gridCol w:w="7380"/>
        <w:gridCol w:w="1440"/>
        <w:gridCol w:w="1740"/>
      </w:tblGrid>
      <w:tr w:rsidR="002228E7" w14:paraId="303E6E31" w14:textId="77777777" w:rsidTr="09CAB8F0">
        <w:trPr>
          <w:trHeight w:val="576"/>
          <w:tblHeader/>
        </w:trPr>
        <w:tc>
          <w:tcPr>
            <w:tcW w:w="7380" w:type="dxa"/>
            <w:shd w:val="clear" w:color="auto" w:fill="DEEAF6" w:themeFill="accent5" w:themeFillTint="33"/>
            <w:vAlign w:val="center"/>
          </w:tcPr>
          <w:p w14:paraId="6256D180" w14:textId="0E9679DB" w:rsidR="008E1E9B" w:rsidRPr="006F2BB4" w:rsidRDefault="00F8050C" w:rsidP="006F2BB4">
            <w:pPr>
              <w:jc w:val="center"/>
              <w:rPr>
                <w:rFonts w:ascii="Arial" w:hAnsi="Arial" w:cs="Arial"/>
                <w:b/>
                <w:bCs/>
                <w:sz w:val="26"/>
                <w:szCs w:val="26"/>
              </w:rPr>
            </w:pPr>
            <w:r>
              <w:rPr>
                <w:rFonts w:ascii="Arial" w:hAnsi="Arial" w:cs="Arial"/>
                <w:b/>
                <w:bCs/>
                <w:sz w:val="26"/>
                <w:szCs w:val="26"/>
              </w:rPr>
              <w:t>F</w:t>
            </w:r>
            <w:r w:rsidRPr="41FEE9A0">
              <w:rPr>
                <w:rFonts w:ascii="Arial" w:hAnsi="Arial" w:cs="Arial"/>
                <w:b/>
                <w:bCs/>
                <w:sz w:val="26"/>
                <w:szCs w:val="26"/>
              </w:rPr>
              <w:t>or</w:t>
            </w:r>
            <w:r w:rsidR="001D4F79" w:rsidRPr="41FEE9A0">
              <w:rPr>
                <w:rFonts w:ascii="Arial" w:hAnsi="Arial" w:cs="Arial"/>
                <w:b/>
                <w:bCs/>
                <w:sz w:val="26"/>
                <w:szCs w:val="26"/>
              </w:rPr>
              <w:t xml:space="preserve"> a Complete Application, </w:t>
            </w:r>
            <w:r w:rsidR="00A17B3A" w:rsidRPr="41FEE9A0">
              <w:rPr>
                <w:rFonts w:ascii="Arial" w:hAnsi="Arial" w:cs="Arial"/>
                <w:b/>
                <w:bCs/>
                <w:sz w:val="26"/>
                <w:szCs w:val="26"/>
              </w:rPr>
              <w:t>P</w:t>
            </w:r>
            <w:r w:rsidR="001D4F79" w:rsidRPr="41FEE9A0">
              <w:rPr>
                <w:rFonts w:ascii="Arial" w:hAnsi="Arial" w:cs="Arial"/>
                <w:b/>
                <w:bCs/>
                <w:sz w:val="26"/>
                <w:szCs w:val="26"/>
              </w:rPr>
              <w:t xml:space="preserve">rovide at </w:t>
            </w:r>
            <w:r w:rsidR="00A17B3A" w:rsidRPr="41FEE9A0">
              <w:rPr>
                <w:rFonts w:ascii="Arial" w:hAnsi="Arial" w:cs="Arial"/>
                <w:b/>
                <w:bCs/>
                <w:sz w:val="26"/>
                <w:szCs w:val="26"/>
              </w:rPr>
              <w:t>M</w:t>
            </w:r>
            <w:r w:rsidR="001D4F79" w:rsidRPr="41FEE9A0">
              <w:rPr>
                <w:rFonts w:ascii="Arial" w:hAnsi="Arial" w:cs="Arial"/>
                <w:b/>
                <w:bCs/>
                <w:sz w:val="26"/>
                <w:szCs w:val="26"/>
              </w:rPr>
              <w:t>inimum:</w:t>
            </w:r>
          </w:p>
        </w:tc>
        <w:tc>
          <w:tcPr>
            <w:tcW w:w="1440" w:type="dxa"/>
            <w:shd w:val="clear" w:color="auto" w:fill="DEEAF6" w:themeFill="accent5" w:themeFillTint="33"/>
            <w:vAlign w:val="center"/>
          </w:tcPr>
          <w:p w14:paraId="2764CDB1"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Included</w:t>
            </w:r>
          </w:p>
          <w:p w14:paraId="37AFFB2F" w14:textId="69950E48" w:rsidR="002228E7" w:rsidRPr="00EA2459" w:rsidRDefault="7383152D" w:rsidP="41FEE9A0">
            <w:pPr>
              <w:jc w:val="center"/>
              <w:rPr>
                <w:rFonts w:ascii="Arial" w:hAnsi="Arial" w:cs="Arial"/>
                <w:b/>
                <w:bCs/>
                <w:sz w:val="26"/>
                <w:szCs w:val="26"/>
              </w:rPr>
            </w:pPr>
            <w:r w:rsidRPr="41FEE9A0">
              <w:rPr>
                <w:rFonts w:ascii="Arial" w:hAnsi="Arial" w:cs="Arial"/>
                <w:b/>
                <w:bCs/>
                <w:sz w:val="26"/>
                <w:szCs w:val="26"/>
              </w:rPr>
              <w:t>(Y, N, or N</w:t>
            </w:r>
            <w:r w:rsidR="3342BCD6" w:rsidRPr="41FEE9A0">
              <w:rPr>
                <w:rFonts w:ascii="Arial" w:hAnsi="Arial" w:cs="Arial"/>
                <w:b/>
                <w:bCs/>
                <w:sz w:val="26"/>
                <w:szCs w:val="26"/>
              </w:rPr>
              <w:t>/</w:t>
            </w:r>
            <w:r w:rsidRPr="41FEE9A0">
              <w:rPr>
                <w:rFonts w:ascii="Arial" w:hAnsi="Arial" w:cs="Arial"/>
                <w:b/>
                <w:bCs/>
                <w:sz w:val="26"/>
                <w:szCs w:val="26"/>
              </w:rPr>
              <w:t>A)</w:t>
            </w:r>
          </w:p>
        </w:tc>
        <w:tc>
          <w:tcPr>
            <w:tcW w:w="1740" w:type="dxa"/>
            <w:shd w:val="clear" w:color="auto" w:fill="DEEAF6" w:themeFill="accent5" w:themeFillTint="33"/>
            <w:vAlign w:val="center"/>
          </w:tcPr>
          <w:p w14:paraId="4551D0E7" w14:textId="77777777" w:rsidR="002228E7" w:rsidRPr="00EA2459" w:rsidRDefault="002228E7" w:rsidP="41FEE9A0">
            <w:pPr>
              <w:jc w:val="center"/>
              <w:rPr>
                <w:rFonts w:ascii="Arial" w:hAnsi="Arial" w:cs="Arial"/>
                <w:b/>
                <w:bCs/>
                <w:sz w:val="26"/>
                <w:szCs w:val="26"/>
              </w:rPr>
            </w:pPr>
            <w:r w:rsidRPr="41FEE9A0">
              <w:rPr>
                <w:rFonts w:ascii="Arial" w:hAnsi="Arial" w:cs="Arial"/>
                <w:b/>
                <w:bCs/>
                <w:sz w:val="26"/>
                <w:szCs w:val="26"/>
              </w:rPr>
              <w:t>Page Number</w:t>
            </w:r>
            <w:r w:rsidR="000C2F79" w:rsidRPr="41FEE9A0">
              <w:rPr>
                <w:rFonts w:ascii="Arial" w:hAnsi="Arial" w:cs="Arial"/>
                <w:b/>
                <w:bCs/>
                <w:sz w:val="26"/>
                <w:szCs w:val="26"/>
              </w:rPr>
              <w:t>(s)</w:t>
            </w:r>
          </w:p>
          <w:p w14:paraId="75441230" w14:textId="0F1630BF" w:rsidR="000C2F79" w:rsidRPr="00EA2459" w:rsidRDefault="000C2F79" w:rsidP="41FEE9A0">
            <w:pPr>
              <w:jc w:val="center"/>
              <w:rPr>
                <w:rFonts w:ascii="Arial" w:hAnsi="Arial" w:cs="Arial"/>
                <w:b/>
                <w:bCs/>
                <w:sz w:val="26"/>
                <w:szCs w:val="26"/>
              </w:rPr>
            </w:pPr>
            <w:r w:rsidRPr="41FEE9A0">
              <w:rPr>
                <w:rFonts w:ascii="Arial" w:hAnsi="Arial" w:cs="Arial"/>
                <w:b/>
                <w:bCs/>
                <w:sz w:val="26"/>
                <w:szCs w:val="26"/>
              </w:rPr>
              <w:t>Or Location(s)</w:t>
            </w:r>
          </w:p>
        </w:tc>
      </w:tr>
      <w:tr w:rsidR="003B041C" w:rsidRPr="00CD699E" w14:paraId="1DC61307" w14:textId="77777777" w:rsidTr="09CAB8F0">
        <w:trPr>
          <w:trHeight w:val="576"/>
        </w:trPr>
        <w:tc>
          <w:tcPr>
            <w:tcW w:w="10560" w:type="dxa"/>
            <w:gridSpan w:val="3"/>
            <w:shd w:val="clear" w:color="auto" w:fill="D9D9D9" w:themeFill="background1" w:themeFillShade="D9"/>
          </w:tcPr>
          <w:p w14:paraId="2EA2BC34" w14:textId="2AA104E6" w:rsidR="003B041C" w:rsidRPr="00C7431B" w:rsidRDefault="07C13093" w:rsidP="00C7431B">
            <w:pPr>
              <w:pStyle w:val="BodyText"/>
              <w:rPr>
                <w:rFonts w:ascii="Arial" w:hAnsi="Arial" w:cs="Arial"/>
                <w:b/>
                <w:sz w:val="22"/>
                <w:szCs w:val="22"/>
              </w:rPr>
            </w:pPr>
            <w:r w:rsidRPr="43EB01A2">
              <w:rPr>
                <w:rFonts w:ascii="Arial" w:hAnsi="Arial" w:cs="Arial"/>
                <w:b/>
                <w:bCs/>
                <w:sz w:val="22"/>
                <w:szCs w:val="22"/>
              </w:rPr>
              <w:t xml:space="preserve">Part A: </w:t>
            </w:r>
            <w:r w:rsidR="003B041C" w:rsidRPr="43EB01A2">
              <w:rPr>
                <w:rFonts w:ascii="Arial" w:hAnsi="Arial" w:cs="Arial"/>
                <w:b/>
                <w:sz w:val="22"/>
                <w:szCs w:val="22"/>
              </w:rPr>
              <w:t>Procedure for Application for Certification of Nutrient Credits</w:t>
            </w:r>
          </w:p>
          <w:p w14:paraId="5DF1BBFF" w14:textId="341AF0CE" w:rsidR="003B041C" w:rsidRPr="00CD699E" w:rsidRDefault="003B041C" w:rsidP="003B041C">
            <w:pPr>
              <w:jc w:val="center"/>
            </w:pPr>
            <w:r w:rsidRPr="00C7431B">
              <w:rPr>
                <w:rFonts w:ascii="Arial" w:hAnsi="Arial" w:cs="Arial"/>
                <w:b/>
                <w:bCs/>
              </w:rPr>
              <w:t>9VAC25-900-80</w:t>
            </w:r>
          </w:p>
        </w:tc>
      </w:tr>
      <w:tr w:rsidR="00DB3B50" w:rsidRPr="00CD699E" w14:paraId="73A8BF46" w14:textId="77777777" w:rsidTr="09CAB8F0">
        <w:trPr>
          <w:trHeight w:val="576"/>
        </w:trPr>
        <w:tc>
          <w:tcPr>
            <w:tcW w:w="7380" w:type="dxa"/>
          </w:tcPr>
          <w:p w14:paraId="66161A60" w14:textId="2F3F8EEE" w:rsidR="00DB3B50" w:rsidRPr="00B85E56" w:rsidRDefault="006C1388" w:rsidP="006C1388">
            <w:pPr>
              <w:pStyle w:val="BodyText"/>
              <w:jc w:val="both"/>
              <w:rPr>
                <w:rFonts w:ascii="Arial" w:hAnsi="Arial" w:cs="Arial"/>
                <w:sz w:val="22"/>
                <w:szCs w:val="22"/>
              </w:rPr>
            </w:pPr>
            <w:r w:rsidRPr="43EB01A2">
              <w:rPr>
                <w:rFonts w:ascii="Arial" w:hAnsi="Arial" w:cs="Arial"/>
                <w:b/>
                <w:sz w:val="22"/>
                <w:szCs w:val="22"/>
              </w:rPr>
              <w:t>1:</w:t>
            </w:r>
            <w:r w:rsidRPr="43EB01A2">
              <w:rPr>
                <w:rFonts w:ascii="Arial" w:hAnsi="Arial" w:cs="Arial"/>
                <w:sz w:val="22"/>
                <w:szCs w:val="22"/>
              </w:rPr>
              <w:t xml:space="preserve"> </w:t>
            </w:r>
            <w:r w:rsidR="00156827" w:rsidRPr="43EB01A2">
              <w:rPr>
                <w:rFonts w:ascii="Arial" w:hAnsi="Arial" w:cs="Arial"/>
                <w:sz w:val="22"/>
                <w:szCs w:val="22"/>
              </w:rPr>
              <w:t>A brief narrative description of the nutrient credit-generating project.</w:t>
            </w:r>
          </w:p>
        </w:tc>
        <w:tc>
          <w:tcPr>
            <w:tcW w:w="1440" w:type="dxa"/>
          </w:tcPr>
          <w:p w14:paraId="78FEC723" w14:textId="77777777" w:rsidR="00DB3B50" w:rsidRPr="00CD699E" w:rsidRDefault="00DB3B50" w:rsidP="00DB3B50"/>
        </w:tc>
        <w:tc>
          <w:tcPr>
            <w:tcW w:w="1740" w:type="dxa"/>
          </w:tcPr>
          <w:p w14:paraId="612A89FE" w14:textId="77777777" w:rsidR="00DB3B50" w:rsidRPr="00CD699E" w:rsidRDefault="00DB3B50" w:rsidP="00DB3B50"/>
        </w:tc>
      </w:tr>
      <w:tr w:rsidR="00B85E56" w:rsidRPr="00CD699E" w14:paraId="79EC937E" w14:textId="77777777" w:rsidTr="09CAB8F0">
        <w:trPr>
          <w:trHeight w:val="576"/>
        </w:trPr>
        <w:tc>
          <w:tcPr>
            <w:tcW w:w="7380" w:type="dxa"/>
          </w:tcPr>
          <w:p w14:paraId="6513092F" w14:textId="1D743F7C" w:rsidR="00B85E56" w:rsidRDefault="006C1388" w:rsidP="006C1388">
            <w:pPr>
              <w:pStyle w:val="BodyText"/>
              <w:jc w:val="both"/>
              <w:rPr>
                <w:rFonts w:ascii="Arial" w:hAnsi="Arial" w:cs="Arial"/>
                <w:sz w:val="22"/>
              </w:rPr>
            </w:pPr>
            <w:r w:rsidRPr="006C1388">
              <w:rPr>
                <w:rFonts w:ascii="Arial" w:hAnsi="Arial" w:cs="Arial"/>
                <w:b/>
                <w:bCs/>
                <w:sz w:val="22"/>
              </w:rPr>
              <w:t>2:</w:t>
            </w:r>
            <w:r>
              <w:rPr>
                <w:rFonts w:ascii="Arial" w:hAnsi="Arial" w:cs="Arial"/>
                <w:sz w:val="22"/>
              </w:rPr>
              <w:t xml:space="preserve"> </w:t>
            </w:r>
            <w:r w:rsidR="00156827" w:rsidRPr="00156827">
              <w:rPr>
                <w:rFonts w:ascii="Arial" w:hAnsi="Arial" w:cs="Arial"/>
                <w:sz w:val="22"/>
              </w:rPr>
              <w:t>Contact information for the applicant including name, address, telephone number</w:t>
            </w:r>
            <w:r w:rsidR="00ED2DD4">
              <w:rPr>
                <w:rFonts w:ascii="Arial" w:hAnsi="Arial" w:cs="Arial"/>
                <w:sz w:val="22"/>
              </w:rPr>
              <w:t xml:space="preserve">, and email address. </w:t>
            </w:r>
          </w:p>
        </w:tc>
        <w:tc>
          <w:tcPr>
            <w:tcW w:w="1440" w:type="dxa"/>
          </w:tcPr>
          <w:p w14:paraId="26543395" w14:textId="77777777" w:rsidR="00B85E56" w:rsidRPr="00CD699E" w:rsidRDefault="00B85E56" w:rsidP="00DB3B50"/>
        </w:tc>
        <w:tc>
          <w:tcPr>
            <w:tcW w:w="1740" w:type="dxa"/>
          </w:tcPr>
          <w:p w14:paraId="074B9700" w14:textId="77777777" w:rsidR="00B85E56" w:rsidRPr="00CD699E" w:rsidRDefault="00B85E56" w:rsidP="00DB3B50"/>
        </w:tc>
      </w:tr>
      <w:tr w:rsidR="00B85E56" w:rsidRPr="00CD699E" w14:paraId="50AC30CE" w14:textId="77777777" w:rsidTr="09CAB8F0">
        <w:trPr>
          <w:trHeight w:val="576"/>
        </w:trPr>
        <w:tc>
          <w:tcPr>
            <w:tcW w:w="7380" w:type="dxa"/>
          </w:tcPr>
          <w:p w14:paraId="42F28B3D" w14:textId="0FB42A8D" w:rsidR="00B85E56" w:rsidRPr="00B85E56" w:rsidRDefault="006C1388" w:rsidP="006C1388">
            <w:pPr>
              <w:pStyle w:val="BodyText"/>
              <w:jc w:val="both"/>
              <w:rPr>
                <w:rFonts w:ascii="Arial" w:hAnsi="Arial" w:cs="Arial"/>
                <w:sz w:val="22"/>
                <w:szCs w:val="22"/>
              </w:rPr>
            </w:pPr>
            <w:r w:rsidRPr="006C1388">
              <w:rPr>
                <w:rFonts w:ascii="Arial" w:hAnsi="Arial" w:cs="Arial"/>
                <w:b/>
                <w:bCs/>
                <w:sz w:val="22"/>
                <w:szCs w:val="22"/>
              </w:rPr>
              <w:t>3:</w:t>
            </w:r>
            <w:r>
              <w:rPr>
                <w:rFonts w:ascii="Arial" w:hAnsi="Arial" w:cs="Arial"/>
                <w:sz w:val="22"/>
                <w:szCs w:val="22"/>
              </w:rPr>
              <w:t xml:space="preserve"> </w:t>
            </w:r>
            <w:r w:rsidR="00156827" w:rsidRPr="00156827">
              <w:rPr>
                <w:rFonts w:ascii="Arial" w:hAnsi="Arial" w:cs="Arial"/>
                <w:sz w:val="22"/>
                <w:szCs w:val="22"/>
              </w:rPr>
              <w:t>Contact information for the nutrient credit-generating project, including the project's mailing address, street address, telephone number, and the contact person's name and email address.</w:t>
            </w:r>
          </w:p>
        </w:tc>
        <w:tc>
          <w:tcPr>
            <w:tcW w:w="1440" w:type="dxa"/>
          </w:tcPr>
          <w:p w14:paraId="6DD476ED" w14:textId="77777777" w:rsidR="00B85E56" w:rsidRPr="00CD699E" w:rsidRDefault="00B85E56" w:rsidP="00DB3B50"/>
        </w:tc>
        <w:tc>
          <w:tcPr>
            <w:tcW w:w="1740" w:type="dxa"/>
          </w:tcPr>
          <w:p w14:paraId="0AE36527" w14:textId="77777777" w:rsidR="00B85E56" w:rsidRPr="00CD699E" w:rsidRDefault="00B85E56" w:rsidP="00DB3B50"/>
        </w:tc>
      </w:tr>
      <w:tr w:rsidR="00DB3B50" w:rsidRPr="00CD699E" w14:paraId="59D8FFCF" w14:textId="77777777" w:rsidTr="09CAB8F0">
        <w:trPr>
          <w:trHeight w:val="576"/>
        </w:trPr>
        <w:tc>
          <w:tcPr>
            <w:tcW w:w="7380" w:type="dxa"/>
          </w:tcPr>
          <w:p w14:paraId="2BBED565" w14:textId="5734ACCA" w:rsidR="00DB3B50" w:rsidRPr="00A919FE" w:rsidRDefault="00156827" w:rsidP="7C587EE5">
            <w:pPr>
              <w:pStyle w:val="BodyText"/>
              <w:jc w:val="both"/>
              <w:rPr>
                <w:rFonts w:ascii="Arial" w:hAnsi="Arial" w:cs="Arial"/>
                <w:sz w:val="22"/>
                <w:szCs w:val="22"/>
              </w:rPr>
            </w:pPr>
            <w:r w:rsidRPr="7C587EE5">
              <w:rPr>
                <w:rFonts w:ascii="Arial" w:hAnsi="Arial" w:cs="Arial"/>
                <w:b/>
                <w:bCs/>
                <w:sz w:val="22"/>
                <w:szCs w:val="22"/>
              </w:rPr>
              <w:t xml:space="preserve">4: </w:t>
            </w:r>
            <w:r w:rsidRPr="7C587EE5">
              <w:rPr>
                <w:rFonts w:ascii="Arial" w:hAnsi="Arial" w:cs="Arial"/>
                <w:sz w:val="22"/>
                <w:szCs w:val="22"/>
              </w:rPr>
              <w:t xml:space="preserve">Status of the applicant as owner, co-owner, operator, or lessee of the nutrient credit-generating project or the site on which the project is located. The applicant shall provide documentation of the applicant's right to </w:t>
            </w:r>
            <w:r w:rsidRPr="7C587EE5">
              <w:rPr>
                <w:rFonts w:ascii="Arial" w:hAnsi="Arial" w:cs="Arial"/>
                <w:sz w:val="22"/>
                <w:szCs w:val="22"/>
              </w:rPr>
              <w:lastRenderedPageBreak/>
              <w:t>exercise control of the nutrient credit-generating project and the site on which it is located for the purposes of generating and maintaining the proposed nutrient credit-generating project via a title, deed, grant, lease, or easement agreement</w:t>
            </w:r>
            <w:r w:rsidR="006357C0">
              <w:rPr>
                <w:rFonts w:ascii="Arial" w:hAnsi="Arial" w:cs="Arial"/>
                <w:sz w:val="22"/>
                <w:szCs w:val="22"/>
              </w:rPr>
              <w:t xml:space="preserve"> as outlined in </w:t>
            </w:r>
            <w:hyperlink r:id="rId24" w:history="1">
              <w:r w:rsidR="006357C0" w:rsidRPr="006357C0">
                <w:rPr>
                  <w:rStyle w:val="Hyperlink"/>
                  <w:rFonts w:ascii="Arial" w:hAnsi="Arial" w:cs="Arial"/>
                  <w:sz w:val="22"/>
                  <w:szCs w:val="22"/>
                </w:rPr>
                <w:t>9VAC25-900-80.A.4.</w:t>
              </w:r>
            </w:hyperlink>
            <w:r w:rsidR="006357C0">
              <w:rPr>
                <w:rFonts w:ascii="Arial" w:hAnsi="Arial" w:cs="Arial"/>
                <w:sz w:val="22"/>
                <w:szCs w:val="22"/>
              </w:rPr>
              <w:t xml:space="preserve"> </w:t>
            </w:r>
          </w:p>
        </w:tc>
        <w:tc>
          <w:tcPr>
            <w:tcW w:w="1440" w:type="dxa"/>
          </w:tcPr>
          <w:p w14:paraId="530D4BFF" w14:textId="77777777" w:rsidR="00DB3B50" w:rsidRPr="00CD699E" w:rsidRDefault="00DB3B50" w:rsidP="00DB3B50"/>
        </w:tc>
        <w:tc>
          <w:tcPr>
            <w:tcW w:w="1740" w:type="dxa"/>
          </w:tcPr>
          <w:p w14:paraId="40295A57" w14:textId="77777777" w:rsidR="00DB3B50" w:rsidRPr="00CD699E" w:rsidRDefault="00DB3B50" w:rsidP="00DB3B50"/>
        </w:tc>
      </w:tr>
      <w:tr w:rsidR="00B85E56" w:rsidRPr="00CD699E" w14:paraId="5ED7CF42" w14:textId="77777777" w:rsidTr="09CAB8F0">
        <w:trPr>
          <w:trHeight w:val="576"/>
        </w:trPr>
        <w:tc>
          <w:tcPr>
            <w:tcW w:w="7380" w:type="dxa"/>
          </w:tcPr>
          <w:p w14:paraId="1CE32579" w14:textId="1AD5AD48" w:rsidR="00B85E56" w:rsidRDefault="00156827" w:rsidP="00156827">
            <w:pPr>
              <w:pStyle w:val="BodyText"/>
              <w:jc w:val="both"/>
              <w:rPr>
                <w:rFonts w:ascii="Arial" w:hAnsi="Arial" w:cs="Arial"/>
                <w:sz w:val="22"/>
              </w:rPr>
            </w:pPr>
            <w:r w:rsidRPr="003B041C">
              <w:rPr>
                <w:rFonts w:ascii="Arial" w:hAnsi="Arial" w:cs="Arial"/>
                <w:b/>
                <w:bCs/>
                <w:sz w:val="22"/>
              </w:rPr>
              <w:t>5:</w:t>
            </w:r>
            <w:r>
              <w:rPr>
                <w:rFonts w:ascii="Arial" w:hAnsi="Arial" w:cs="Arial"/>
                <w:sz w:val="22"/>
              </w:rPr>
              <w:t xml:space="preserve"> </w:t>
            </w:r>
            <w:r w:rsidRPr="00156827">
              <w:rPr>
                <w:rFonts w:ascii="Arial" w:hAnsi="Arial" w:cs="Arial"/>
                <w:sz w:val="22"/>
              </w:rPr>
              <w:t xml:space="preserve">The name, mailing address, telephone number, </w:t>
            </w:r>
            <w:r w:rsidR="00ED2DD4">
              <w:rPr>
                <w:rFonts w:ascii="Arial" w:hAnsi="Arial" w:cs="Arial"/>
                <w:sz w:val="22"/>
              </w:rPr>
              <w:t xml:space="preserve">email address, </w:t>
            </w:r>
            <w:r w:rsidRPr="00156827">
              <w:rPr>
                <w:rFonts w:ascii="Arial" w:hAnsi="Arial" w:cs="Arial"/>
                <w:sz w:val="22"/>
              </w:rPr>
              <w:t>and responsibilities of all known contractors responsible for any operational or maintenance aspects of the nutrient credit-generating project.</w:t>
            </w:r>
          </w:p>
        </w:tc>
        <w:tc>
          <w:tcPr>
            <w:tcW w:w="1440" w:type="dxa"/>
          </w:tcPr>
          <w:p w14:paraId="5121630E" w14:textId="77777777" w:rsidR="00B85E56" w:rsidRPr="00CD699E" w:rsidRDefault="00B85E56" w:rsidP="00DB3B50"/>
        </w:tc>
        <w:tc>
          <w:tcPr>
            <w:tcW w:w="1740" w:type="dxa"/>
          </w:tcPr>
          <w:p w14:paraId="08E1F099" w14:textId="77777777" w:rsidR="00B85E56" w:rsidRPr="00CD699E" w:rsidRDefault="00B85E56" w:rsidP="00DB3B50"/>
        </w:tc>
      </w:tr>
      <w:tr w:rsidR="00B85E56" w:rsidRPr="00CD699E" w14:paraId="60616409" w14:textId="77777777" w:rsidTr="09CAB8F0">
        <w:trPr>
          <w:trHeight w:val="576"/>
        </w:trPr>
        <w:tc>
          <w:tcPr>
            <w:tcW w:w="7380" w:type="dxa"/>
          </w:tcPr>
          <w:p w14:paraId="527B3A4E" w14:textId="12656C37" w:rsidR="00B85E56" w:rsidRDefault="00156827" w:rsidP="00156827">
            <w:pPr>
              <w:pStyle w:val="BodyText"/>
              <w:jc w:val="both"/>
              <w:rPr>
                <w:rFonts w:ascii="Arial" w:hAnsi="Arial" w:cs="Arial"/>
                <w:sz w:val="22"/>
              </w:rPr>
            </w:pPr>
            <w:r w:rsidRPr="003B041C">
              <w:rPr>
                <w:rFonts w:ascii="Arial" w:hAnsi="Arial" w:cs="Arial"/>
                <w:b/>
                <w:bCs/>
                <w:sz w:val="22"/>
              </w:rPr>
              <w:t>6:</w:t>
            </w:r>
            <w:r>
              <w:rPr>
                <w:rFonts w:ascii="Arial" w:hAnsi="Arial" w:cs="Arial"/>
                <w:sz w:val="22"/>
              </w:rPr>
              <w:t xml:space="preserve"> </w:t>
            </w:r>
            <w:r w:rsidRPr="00156827">
              <w:rPr>
                <w:rFonts w:ascii="Arial" w:hAnsi="Arial" w:cs="Arial"/>
                <w:sz w:val="22"/>
              </w:rPr>
              <w:t>The number and type</w:t>
            </w:r>
            <w:r w:rsidR="00830713">
              <w:rPr>
                <w:rFonts w:ascii="Arial" w:hAnsi="Arial" w:cs="Arial"/>
                <w:sz w:val="22"/>
              </w:rPr>
              <w:t xml:space="preserve"> </w:t>
            </w:r>
            <w:r w:rsidRPr="00156827">
              <w:rPr>
                <w:rFonts w:ascii="Arial" w:hAnsi="Arial" w:cs="Arial"/>
                <w:sz w:val="22"/>
              </w:rPr>
              <w:t>of potential nutrient credits to be generated</w:t>
            </w:r>
            <w:r>
              <w:rPr>
                <w:rFonts w:ascii="Arial" w:hAnsi="Arial" w:cs="Arial"/>
                <w:sz w:val="22"/>
              </w:rPr>
              <w:t xml:space="preserve"> using the appropriate land conversion credit generation rates </w:t>
            </w:r>
            <w:r w:rsidR="004A1679">
              <w:rPr>
                <w:rFonts w:ascii="Arial" w:hAnsi="Arial" w:cs="Arial"/>
                <w:sz w:val="22"/>
              </w:rPr>
              <w:t xml:space="preserve">based on land conversion type and 8-digit hydrologic unit code (HUC8). Land conversion rate tables can be </w:t>
            </w:r>
            <w:r>
              <w:rPr>
                <w:rFonts w:ascii="Arial" w:hAnsi="Arial" w:cs="Arial"/>
                <w:sz w:val="22"/>
              </w:rPr>
              <w:t xml:space="preserve">found in </w:t>
            </w:r>
            <w:hyperlink r:id="rId25" w:history="1">
              <w:r w:rsidRPr="00156827">
                <w:rPr>
                  <w:rStyle w:val="Hyperlink"/>
                  <w:rFonts w:ascii="Arial" w:hAnsi="Arial" w:cs="Arial"/>
                  <w:sz w:val="22"/>
                  <w:szCs w:val="22"/>
                </w:rPr>
                <w:t>GM20-2001</w:t>
              </w:r>
            </w:hyperlink>
            <w:r>
              <w:rPr>
                <w:rStyle w:val="Hyperlink"/>
                <w:rFonts w:ascii="Arial" w:hAnsi="Arial" w:cs="Arial"/>
              </w:rPr>
              <w:t>.</w:t>
            </w:r>
          </w:p>
        </w:tc>
        <w:tc>
          <w:tcPr>
            <w:tcW w:w="1440" w:type="dxa"/>
          </w:tcPr>
          <w:p w14:paraId="5C789E59" w14:textId="77777777" w:rsidR="00B85E56" w:rsidRPr="00CD699E" w:rsidRDefault="00B85E56" w:rsidP="00DB3B50"/>
        </w:tc>
        <w:tc>
          <w:tcPr>
            <w:tcW w:w="1740" w:type="dxa"/>
          </w:tcPr>
          <w:p w14:paraId="1A5F9846" w14:textId="77777777" w:rsidR="00B85E56" w:rsidRPr="00CD699E" w:rsidRDefault="00B85E56" w:rsidP="00DB3B50"/>
        </w:tc>
      </w:tr>
      <w:tr w:rsidR="00DB3B50" w:rsidRPr="00CD699E" w14:paraId="27BE2A23" w14:textId="77777777" w:rsidTr="09CAB8F0">
        <w:trPr>
          <w:trHeight w:val="576"/>
        </w:trPr>
        <w:tc>
          <w:tcPr>
            <w:tcW w:w="7380" w:type="dxa"/>
          </w:tcPr>
          <w:p w14:paraId="74DA8662" w14:textId="57F53147" w:rsidR="00DB3B50" w:rsidRPr="00A919FE" w:rsidRDefault="006357C0" w:rsidP="00A919FE">
            <w:pPr>
              <w:pStyle w:val="BodyText"/>
              <w:jc w:val="both"/>
              <w:rPr>
                <w:rFonts w:ascii="Arial" w:hAnsi="Arial" w:cs="Arial"/>
                <w:sz w:val="22"/>
              </w:rPr>
            </w:pPr>
            <w:r>
              <w:rPr>
                <w:rFonts w:ascii="Arial" w:hAnsi="Arial" w:cs="Arial"/>
                <w:b/>
                <w:bCs/>
                <w:sz w:val="22"/>
              </w:rPr>
              <w:t>7</w:t>
            </w:r>
            <w:r w:rsidR="00156827" w:rsidRPr="003B041C">
              <w:rPr>
                <w:rFonts w:ascii="Arial" w:hAnsi="Arial" w:cs="Arial"/>
                <w:b/>
                <w:bCs/>
                <w:sz w:val="22"/>
              </w:rPr>
              <w:t>:</w:t>
            </w:r>
            <w:r w:rsidR="00156827">
              <w:rPr>
                <w:rFonts w:ascii="Arial" w:hAnsi="Arial" w:cs="Arial"/>
                <w:sz w:val="22"/>
              </w:rPr>
              <w:t xml:space="preserve"> A </w:t>
            </w:r>
            <w:r w:rsidR="00156827" w:rsidRPr="00156827">
              <w:rPr>
                <w:rFonts w:ascii="Arial" w:hAnsi="Arial" w:cs="Arial"/>
                <w:sz w:val="22"/>
              </w:rPr>
              <w:t>description of the baseline practices in place within the management area and the nutrient credit-generating project's practices that may result in generation of nutrient credits beyond baseline requirements</w:t>
            </w:r>
            <w:r w:rsidR="00156827">
              <w:rPr>
                <w:rFonts w:ascii="Arial" w:hAnsi="Arial" w:cs="Arial"/>
                <w:sz w:val="22"/>
              </w:rPr>
              <w:t>.</w:t>
            </w:r>
            <w:r w:rsidR="00830713">
              <w:rPr>
                <w:rFonts w:ascii="Arial" w:hAnsi="Arial" w:cs="Arial"/>
                <w:sz w:val="22"/>
              </w:rPr>
              <w:t xml:space="preserve"> Baseline p</w:t>
            </w:r>
            <w:r w:rsidR="00D223CC">
              <w:rPr>
                <w:rFonts w:ascii="Arial" w:hAnsi="Arial" w:cs="Arial"/>
                <w:sz w:val="22"/>
              </w:rPr>
              <w:t xml:space="preserve">ractice </w:t>
            </w:r>
            <w:r w:rsidR="00DA582C">
              <w:rPr>
                <w:rFonts w:ascii="Arial" w:hAnsi="Arial" w:cs="Arial"/>
                <w:sz w:val="22"/>
              </w:rPr>
              <w:t>requirements</w:t>
            </w:r>
            <w:r w:rsidR="00D223CC">
              <w:rPr>
                <w:rFonts w:ascii="Arial" w:hAnsi="Arial" w:cs="Arial"/>
                <w:sz w:val="22"/>
              </w:rPr>
              <w:t xml:space="preserve"> are outlined in </w:t>
            </w:r>
            <w:hyperlink r:id="rId26" w:history="1">
              <w:r w:rsidR="00D223CC" w:rsidRPr="00D223CC">
                <w:rPr>
                  <w:rStyle w:val="Hyperlink"/>
                  <w:rFonts w:ascii="Arial" w:hAnsi="Arial" w:cs="Arial"/>
                  <w:sz w:val="22"/>
                </w:rPr>
                <w:t>9VAC25-900-100.B</w:t>
              </w:r>
            </w:hyperlink>
            <w:r w:rsidR="00D223CC">
              <w:rPr>
                <w:rFonts w:ascii="Arial" w:hAnsi="Arial" w:cs="Arial"/>
                <w:sz w:val="22"/>
              </w:rPr>
              <w:t>.</w:t>
            </w:r>
          </w:p>
        </w:tc>
        <w:tc>
          <w:tcPr>
            <w:tcW w:w="1440" w:type="dxa"/>
          </w:tcPr>
          <w:p w14:paraId="7E6243CD" w14:textId="77777777" w:rsidR="00DB3B50" w:rsidRPr="00CD699E" w:rsidRDefault="00DB3B50" w:rsidP="00DB3B50"/>
        </w:tc>
        <w:tc>
          <w:tcPr>
            <w:tcW w:w="1740" w:type="dxa"/>
          </w:tcPr>
          <w:p w14:paraId="1AD00663" w14:textId="77777777" w:rsidR="00DB3B50" w:rsidRPr="00CD699E" w:rsidRDefault="00DB3B50" w:rsidP="00DB3B50"/>
        </w:tc>
      </w:tr>
      <w:tr w:rsidR="00DB3B50" w:rsidRPr="00CD699E" w14:paraId="6CD4D749" w14:textId="77777777" w:rsidTr="09CAB8F0">
        <w:trPr>
          <w:trHeight w:val="576"/>
        </w:trPr>
        <w:tc>
          <w:tcPr>
            <w:tcW w:w="7380" w:type="dxa"/>
          </w:tcPr>
          <w:p w14:paraId="456342BA" w14:textId="74704C94" w:rsidR="00DB3B50" w:rsidRPr="00CD699E" w:rsidRDefault="006357C0" w:rsidP="00DB3B50">
            <w:pPr>
              <w:pStyle w:val="BodyText"/>
              <w:jc w:val="both"/>
              <w:rPr>
                <w:rFonts w:ascii="Arial" w:hAnsi="Arial" w:cs="Arial"/>
                <w:sz w:val="22"/>
                <w:szCs w:val="22"/>
              </w:rPr>
            </w:pPr>
            <w:r>
              <w:rPr>
                <w:rFonts w:ascii="Arial" w:hAnsi="Arial" w:cs="Arial"/>
                <w:b/>
                <w:bCs/>
                <w:sz w:val="22"/>
              </w:rPr>
              <w:t>8</w:t>
            </w:r>
            <w:r w:rsidR="00156827" w:rsidRPr="003B041C">
              <w:rPr>
                <w:rFonts w:ascii="Arial" w:hAnsi="Arial" w:cs="Arial"/>
                <w:b/>
                <w:bCs/>
                <w:sz w:val="22"/>
              </w:rPr>
              <w:t>:</w:t>
            </w:r>
            <w:r w:rsidR="00156827">
              <w:rPr>
                <w:rFonts w:ascii="Arial" w:hAnsi="Arial" w:cs="Arial"/>
                <w:sz w:val="22"/>
              </w:rPr>
              <w:t xml:space="preserve"> </w:t>
            </w:r>
            <w:r w:rsidR="008A3325" w:rsidRPr="008A3325">
              <w:rPr>
                <w:rFonts w:ascii="Arial" w:hAnsi="Arial" w:cs="Arial"/>
                <w:sz w:val="22"/>
              </w:rPr>
              <w:t>A topographic map, survey, or another type of map deemed acceptable by the department that delineates the property boundary of the management area and clearly shows the location of all practices, including nutrient credit-generating projects and any baseline practices</w:t>
            </w:r>
            <w:r w:rsidR="008A3325">
              <w:rPr>
                <w:rFonts w:ascii="Arial" w:hAnsi="Arial" w:cs="Arial"/>
                <w:sz w:val="22"/>
              </w:rPr>
              <w:t>.</w:t>
            </w:r>
          </w:p>
        </w:tc>
        <w:tc>
          <w:tcPr>
            <w:tcW w:w="1440" w:type="dxa"/>
          </w:tcPr>
          <w:p w14:paraId="0C03B463" w14:textId="77777777" w:rsidR="00DB3B50" w:rsidRPr="00CD699E" w:rsidRDefault="00DB3B50" w:rsidP="00DB3B50"/>
        </w:tc>
        <w:tc>
          <w:tcPr>
            <w:tcW w:w="1740" w:type="dxa"/>
          </w:tcPr>
          <w:p w14:paraId="782B4B7E" w14:textId="77777777" w:rsidR="00DB3B50" w:rsidRDefault="00DB3B50" w:rsidP="00DB3B50"/>
          <w:p w14:paraId="77E2D90B" w14:textId="77777777" w:rsidR="00BE3A48" w:rsidRDefault="00BE3A48" w:rsidP="00BE3A48"/>
          <w:p w14:paraId="052BF324" w14:textId="2FFC29F8" w:rsidR="00BE3A48" w:rsidRPr="00BE3A48" w:rsidRDefault="00BE3A48" w:rsidP="00BE3A48">
            <w:pPr>
              <w:jc w:val="center"/>
            </w:pPr>
          </w:p>
        </w:tc>
      </w:tr>
      <w:tr w:rsidR="006357C0" w:rsidRPr="00CD699E" w14:paraId="727BEFE9" w14:textId="77777777" w:rsidTr="09CAB8F0">
        <w:trPr>
          <w:trHeight w:val="576"/>
        </w:trPr>
        <w:tc>
          <w:tcPr>
            <w:tcW w:w="7380" w:type="dxa"/>
          </w:tcPr>
          <w:p w14:paraId="202DE541" w14:textId="1336B72A" w:rsidR="006653A3" w:rsidRDefault="003D7580" w:rsidP="00DB3B50">
            <w:pPr>
              <w:pStyle w:val="BodyText"/>
              <w:jc w:val="both"/>
              <w:rPr>
                <w:rFonts w:ascii="Arial" w:hAnsi="Arial" w:cs="Arial"/>
                <w:sz w:val="22"/>
              </w:rPr>
            </w:pPr>
            <w:r>
              <w:rPr>
                <w:rFonts w:ascii="Arial" w:hAnsi="Arial" w:cs="Arial"/>
                <w:b/>
                <w:bCs/>
                <w:sz w:val="22"/>
              </w:rPr>
              <w:t>9</w:t>
            </w:r>
            <w:r w:rsidR="006357C0" w:rsidRPr="003B041C">
              <w:rPr>
                <w:rFonts w:ascii="Arial" w:hAnsi="Arial" w:cs="Arial"/>
                <w:b/>
                <w:bCs/>
                <w:sz w:val="22"/>
              </w:rPr>
              <w:t>:</w:t>
            </w:r>
            <w:r w:rsidR="006357C0">
              <w:rPr>
                <w:rFonts w:ascii="Arial" w:hAnsi="Arial" w:cs="Arial"/>
                <w:sz w:val="22"/>
              </w:rPr>
              <w:t xml:space="preserve"> </w:t>
            </w:r>
            <w:proofErr w:type="spellStart"/>
            <w:r w:rsidR="00D223CC">
              <w:rPr>
                <w:rFonts w:ascii="Arial" w:hAnsi="Arial" w:cs="Arial"/>
                <w:sz w:val="22"/>
              </w:rPr>
              <w:t>Preconversion</w:t>
            </w:r>
            <w:proofErr w:type="spellEnd"/>
            <w:r w:rsidR="00D223CC">
              <w:rPr>
                <w:rFonts w:ascii="Arial" w:hAnsi="Arial" w:cs="Arial"/>
                <w:sz w:val="22"/>
              </w:rPr>
              <w:t xml:space="preserve"> land use</w:t>
            </w:r>
            <w:r w:rsidR="006357C0">
              <w:rPr>
                <w:rFonts w:ascii="Arial" w:hAnsi="Arial" w:cs="Arial"/>
                <w:sz w:val="22"/>
              </w:rPr>
              <w:t>:</w:t>
            </w:r>
            <w:r w:rsidR="006357C0" w:rsidRPr="00894065">
              <w:rPr>
                <w:rFonts w:ascii="Arial" w:hAnsi="Arial" w:cs="Arial"/>
                <w:sz w:val="22"/>
              </w:rPr>
              <w:t xml:space="preserve"> </w:t>
            </w:r>
            <w:r w:rsidR="00D223CC">
              <w:rPr>
                <w:rFonts w:ascii="Arial" w:hAnsi="Arial" w:cs="Arial"/>
                <w:sz w:val="22"/>
              </w:rPr>
              <w:t>T</w:t>
            </w:r>
            <w:r w:rsidR="006357C0" w:rsidRPr="00894065">
              <w:rPr>
                <w:rFonts w:ascii="Arial" w:hAnsi="Arial" w:cs="Arial"/>
                <w:sz w:val="22"/>
              </w:rPr>
              <w:t xml:space="preserve">he </w:t>
            </w:r>
            <w:proofErr w:type="spellStart"/>
            <w:r w:rsidR="006357C0" w:rsidRPr="00894065">
              <w:rPr>
                <w:rFonts w:ascii="Arial" w:hAnsi="Arial" w:cs="Arial"/>
                <w:sz w:val="22"/>
              </w:rPr>
              <w:t>preconversion</w:t>
            </w:r>
            <w:proofErr w:type="spellEnd"/>
            <w:r w:rsidR="006357C0" w:rsidRPr="00894065">
              <w:rPr>
                <w:rFonts w:ascii="Arial" w:hAnsi="Arial" w:cs="Arial"/>
                <w:sz w:val="22"/>
              </w:rPr>
              <w:t xml:space="preserve"> land use shall be based on the land use as of (</w:t>
            </w:r>
            <w:proofErr w:type="spellStart"/>
            <w:r w:rsidR="006357C0" w:rsidRPr="00894065">
              <w:rPr>
                <w:rFonts w:ascii="Arial" w:hAnsi="Arial" w:cs="Arial"/>
                <w:sz w:val="22"/>
              </w:rPr>
              <w:t>i</w:t>
            </w:r>
            <w:proofErr w:type="spellEnd"/>
            <w:r w:rsidR="006357C0" w:rsidRPr="00894065">
              <w:rPr>
                <w:rFonts w:ascii="Arial" w:hAnsi="Arial" w:cs="Arial"/>
                <w:sz w:val="22"/>
              </w:rPr>
              <w:t>) July 1, 2005, for project</w:t>
            </w:r>
            <w:r w:rsidR="00D223CC">
              <w:rPr>
                <w:rFonts w:ascii="Arial" w:hAnsi="Arial" w:cs="Arial"/>
                <w:sz w:val="22"/>
              </w:rPr>
              <w:t>s</w:t>
            </w:r>
            <w:r w:rsidR="006357C0" w:rsidRPr="00894065">
              <w:rPr>
                <w:rFonts w:ascii="Arial" w:hAnsi="Arial" w:cs="Arial"/>
                <w:sz w:val="22"/>
              </w:rPr>
              <w:t xml:space="preserve"> located within the Chesapeake Bay Watershed; (ii) the date of the approved TMDL for a project located within a TMDL watershed but not within the Chesapeake Bay Watershed; or (iii) July, 1, 2009, for a project not within an approved TMDL watershed or the Chesapeake Bay Watershed.</w:t>
            </w:r>
            <w:r w:rsidR="00D223CC">
              <w:rPr>
                <w:rFonts w:ascii="Arial" w:hAnsi="Arial" w:cs="Arial"/>
                <w:sz w:val="22"/>
              </w:rPr>
              <w:t xml:space="preserve"> </w:t>
            </w:r>
          </w:p>
          <w:p w14:paraId="5164189A" w14:textId="77777777" w:rsidR="00FF4F1A" w:rsidRDefault="00FF4F1A" w:rsidP="00DB3B50">
            <w:pPr>
              <w:pStyle w:val="BodyText"/>
              <w:jc w:val="both"/>
              <w:rPr>
                <w:rFonts w:ascii="Arial" w:hAnsi="Arial" w:cs="Arial"/>
                <w:sz w:val="22"/>
              </w:rPr>
            </w:pPr>
          </w:p>
          <w:p w14:paraId="1C0A5AC1" w14:textId="77777777" w:rsidR="008B73AA" w:rsidRDefault="008B73AA" w:rsidP="00DB3B50">
            <w:pPr>
              <w:pStyle w:val="BodyText"/>
              <w:jc w:val="both"/>
              <w:rPr>
                <w:rFonts w:ascii="Arial" w:hAnsi="Arial" w:cs="Arial"/>
                <w:sz w:val="22"/>
              </w:rPr>
            </w:pPr>
          </w:p>
          <w:p w14:paraId="38CD1696" w14:textId="6B822AFA" w:rsidR="002F6907" w:rsidRDefault="005B08DA" w:rsidP="3C149F4D">
            <w:pPr>
              <w:pStyle w:val="BodyText"/>
              <w:jc w:val="both"/>
              <w:rPr>
                <w:rFonts w:ascii="Arial" w:hAnsi="Arial" w:cs="Arial"/>
                <w:sz w:val="22"/>
                <w:szCs w:val="22"/>
              </w:rPr>
            </w:pPr>
            <w:r w:rsidRPr="09CAB8F0">
              <w:rPr>
                <w:rFonts w:ascii="Arial" w:hAnsi="Arial" w:cs="Arial"/>
                <w:sz w:val="22"/>
                <w:szCs w:val="22"/>
              </w:rPr>
              <w:t xml:space="preserve">For applications in the Chesapeake Bay Watershed: </w:t>
            </w:r>
            <w:r w:rsidR="008B73AA" w:rsidRPr="09CAB8F0">
              <w:rPr>
                <w:rFonts w:ascii="Arial" w:hAnsi="Arial" w:cs="Arial"/>
                <w:sz w:val="22"/>
                <w:szCs w:val="22"/>
              </w:rPr>
              <w:t xml:space="preserve">Provide evidence of </w:t>
            </w:r>
            <w:proofErr w:type="spellStart"/>
            <w:r w:rsidR="008B73AA" w:rsidRPr="09CAB8F0">
              <w:rPr>
                <w:rFonts w:ascii="Arial" w:hAnsi="Arial" w:cs="Arial"/>
                <w:sz w:val="22"/>
                <w:szCs w:val="22"/>
              </w:rPr>
              <w:t>preconversion</w:t>
            </w:r>
            <w:proofErr w:type="spellEnd"/>
            <w:r w:rsidR="008B73AA" w:rsidRPr="09CAB8F0">
              <w:rPr>
                <w:rFonts w:ascii="Arial" w:hAnsi="Arial" w:cs="Arial"/>
                <w:sz w:val="22"/>
                <w:szCs w:val="22"/>
              </w:rPr>
              <w:t xml:space="preserve"> land use as of July 1, 2005. Examples may include</w:t>
            </w:r>
            <w:r w:rsidR="004150F4" w:rsidRPr="09CAB8F0">
              <w:rPr>
                <w:rFonts w:ascii="Arial" w:hAnsi="Arial" w:cs="Arial"/>
                <w:sz w:val="22"/>
                <w:szCs w:val="22"/>
              </w:rPr>
              <w:t>,</w:t>
            </w:r>
            <w:r w:rsidR="008B73AA" w:rsidRPr="09CAB8F0">
              <w:rPr>
                <w:rFonts w:ascii="Arial" w:hAnsi="Arial" w:cs="Arial"/>
                <w:sz w:val="22"/>
                <w:szCs w:val="22"/>
              </w:rPr>
              <w:t xml:space="preserve"> but are not limited to</w:t>
            </w:r>
            <w:r w:rsidR="004150F4" w:rsidRPr="09CAB8F0">
              <w:rPr>
                <w:rFonts w:ascii="Arial" w:hAnsi="Arial" w:cs="Arial"/>
                <w:sz w:val="22"/>
                <w:szCs w:val="22"/>
              </w:rPr>
              <w:t>,</w:t>
            </w:r>
            <w:r w:rsidRPr="09CAB8F0">
              <w:rPr>
                <w:rFonts w:ascii="Arial" w:hAnsi="Arial" w:cs="Arial"/>
                <w:sz w:val="22"/>
                <w:szCs w:val="22"/>
              </w:rPr>
              <w:t xml:space="preserve"> available </w:t>
            </w:r>
            <w:r w:rsidR="008B73AA" w:rsidRPr="09CAB8F0">
              <w:rPr>
                <w:rFonts w:ascii="Arial" w:hAnsi="Arial" w:cs="Arial"/>
                <w:sz w:val="22"/>
                <w:szCs w:val="22"/>
              </w:rPr>
              <w:t>aerial or satellite imagery</w:t>
            </w:r>
            <w:r w:rsidR="002F6907" w:rsidRPr="09CAB8F0">
              <w:rPr>
                <w:rFonts w:ascii="Arial" w:hAnsi="Arial" w:cs="Arial"/>
                <w:sz w:val="22"/>
                <w:szCs w:val="22"/>
              </w:rPr>
              <w:t xml:space="preserve"> captured in 2005</w:t>
            </w:r>
            <w:r w:rsidR="008B73AA" w:rsidRPr="09CAB8F0">
              <w:rPr>
                <w:rFonts w:ascii="Arial" w:hAnsi="Arial" w:cs="Arial"/>
                <w:sz w:val="22"/>
                <w:szCs w:val="22"/>
              </w:rPr>
              <w:t>.</w:t>
            </w:r>
            <w:r w:rsidR="00AC6BCB" w:rsidRPr="09CAB8F0">
              <w:rPr>
                <w:rFonts w:ascii="Arial" w:hAnsi="Arial" w:cs="Arial"/>
                <w:sz w:val="22"/>
                <w:szCs w:val="22"/>
              </w:rPr>
              <w:t xml:space="preserve"> H</w:t>
            </w:r>
            <w:r w:rsidRPr="09CAB8F0">
              <w:rPr>
                <w:rFonts w:ascii="Arial" w:hAnsi="Arial" w:cs="Arial"/>
                <w:sz w:val="22"/>
                <w:szCs w:val="22"/>
              </w:rPr>
              <w:t xml:space="preserve">igher resolution imagery may also be provided </w:t>
            </w:r>
            <w:r w:rsidR="002F6907" w:rsidRPr="09CAB8F0">
              <w:rPr>
                <w:rFonts w:ascii="Arial" w:hAnsi="Arial" w:cs="Arial"/>
                <w:sz w:val="22"/>
                <w:szCs w:val="22"/>
              </w:rPr>
              <w:t>from 2006 and</w:t>
            </w:r>
            <w:r w:rsidR="4ACAD76D" w:rsidRPr="09CAB8F0">
              <w:rPr>
                <w:rFonts w:ascii="Arial" w:hAnsi="Arial" w:cs="Arial"/>
                <w:sz w:val="22"/>
                <w:szCs w:val="22"/>
              </w:rPr>
              <w:t>/or</w:t>
            </w:r>
            <w:r w:rsidR="002F6907" w:rsidRPr="09CAB8F0">
              <w:rPr>
                <w:rFonts w:ascii="Arial" w:hAnsi="Arial" w:cs="Arial"/>
                <w:sz w:val="22"/>
                <w:szCs w:val="22"/>
              </w:rPr>
              <w:t xml:space="preserve"> 2007 in addition to </w:t>
            </w:r>
            <w:r w:rsidR="00CC3C12" w:rsidRPr="09CAB8F0">
              <w:rPr>
                <w:rFonts w:ascii="Arial" w:hAnsi="Arial" w:cs="Arial"/>
                <w:sz w:val="22"/>
                <w:szCs w:val="22"/>
              </w:rPr>
              <w:t>200</w:t>
            </w:r>
            <w:r w:rsidR="002F6907" w:rsidRPr="09CAB8F0">
              <w:rPr>
                <w:rFonts w:ascii="Arial" w:hAnsi="Arial" w:cs="Arial"/>
                <w:sz w:val="22"/>
                <w:szCs w:val="22"/>
              </w:rPr>
              <w:t>5 imagery</w:t>
            </w:r>
            <w:r w:rsidR="00CC3C12" w:rsidRPr="09CAB8F0">
              <w:rPr>
                <w:rFonts w:ascii="Arial" w:hAnsi="Arial" w:cs="Arial"/>
                <w:sz w:val="22"/>
                <w:szCs w:val="22"/>
              </w:rPr>
              <w:t xml:space="preserve"> to further support baseline </w:t>
            </w:r>
            <w:proofErr w:type="spellStart"/>
            <w:r w:rsidR="00CC3C12" w:rsidRPr="09CAB8F0">
              <w:rPr>
                <w:rFonts w:ascii="Arial" w:hAnsi="Arial" w:cs="Arial"/>
                <w:sz w:val="22"/>
                <w:szCs w:val="22"/>
              </w:rPr>
              <w:t>preconversion</w:t>
            </w:r>
            <w:proofErr w:type="spellEnd"/>
            <w:r w:rsidR="00CC3C12" w:rsidRPr="09CAB8F0">
              <w:rPr>
                <w:rFonts w:ascii="Arial" w:hAnsi="Arial" w:cs="Arial"/>
                <w:sz w:val="22"/>
                <w:szCs w:val="22"/>
              </w:rPr>
              <w:t xml:space="preserve"> land use.</w:t>
            </w:r>
          </w:p>
          <w:p w14:paraId="7E8BDCB9" w14:textId="77777777" w:rsidR="002F6907" w:rsidRDefault="002F6907" w:rsidP="00DB3B50">
            <w:pPr>
              <w:pStyle w:val="BodyText"/>
              <w:jc w:val="both"/>
              <w:rPr>
                <w:rFonts w:ascii="Arial" w:hAnsi="Arial" w:cs="Arial"/>
                <w:sz w:val="22"/>
              </w:rPr>
            </w:pPr>
          </w:p>
          <w:p w14:paraId="7AF98444" w14:textId="447C2173" w:rsidR="002F6907" w:rsidRDefault="002F6907" w:rsidP="09CAB8F0">
            <w:pPr>
              <w:pStyle w:val="BodyText"/>
              <w:jc w:val="both"/>
              <w:rPr>
                <w:rFonts w:ascii="Arial" w:hAnsi="Arial" w:cs="Arial"/>
                <w:sz w:val="22"/>
                <w:szCs w:val="22"/>
              </w:rPr>
            </w:pPr>
            <w:r w:rsidRPr="09CAB8F0">
              <w:rPr>
                <w:rFonts w:ascii="Arial" w:hAnsi="Arial" w:cs="Arial"/>
                <w:sz w:val="22"/>
                <w:szCs w:val="22"/>
              </w:rPr>
              <w:t xml:space="preserve">For applications not within the Chesapeake Bay Watershed: Provide evidence of </w:t>
            </w:r>
            <w:proofErr w:type="spellStart"/>
            <w:r w:rsidRPr="09CAB8F0">
              <w:rPr>
                <w:rFonts w:ascii="Arial" w:hAnsi="Arial" w:cs="Arial"/>
                <w:sz w:val="22"/>
                <w:szCs w:val="22"/>
              </w:rPr>
              <w:t>preconversion</w:t>
            </w:r>
            <w:proofErr w:type="spellEnd"/>
            <w:r w:rsidRPr="09CAB8F0">
              <w:rPr>
                <w:rFonts w:ascii="Arial" w:hAnsi="Arial" w:cs="Arial"/>
                <w:sz w:val="22"/>
                <w:szCs w:val="22"/>
              </w:rPr>
              <w:t xml:space="preserve"> land use as of July 1, 2009. Examples may include but are not limited to available aerial or satellite imagery captured in 2009. </w:t>
            </w:r>
            <w:r w:rsidR="00AC6BCB" w:rsidRPr="09CAB8F0">
              <w:rPr>
                <w:rFonts w:ascii="Arial" w:hAnsi="Arial" w:cs="Arial"/>
                <w:sz w:val="22"/>
                <w:szCs w:val="22"/>
              </w:rPr>
              <w:t>H</w:t>
            </w:r>
            <w:r w:rsidRPr="09CAB8F0">
              <w:rPr>
                <w:rFonts w:ascii="Arial" w:hAnsi="Arial" w:cs="Arial"/>
                <w:sz w:val="22"/>
                <w:szCs w:val="22"/>
              </w:rPr>
              <w:t>igher resolution imagery may also be provided</w:t>
            </w:r>
            <w:r w:rsidR="00CC3C12" w:rsidRPr="09CAB8F0">
              <w:rPr>
                <w:rFonts w:ascii="Arial" w:hAnsi="Arial" w:cs="Arial"/>
                <w:sz w:val="22"/>
                <w:szCs w:val="22"/>
              </w:rPr>
              <w:t xml:space="preserve"> from</w:t>
            </w:r>
            <w:r w:rsidRPr="09CAB8F0">
              <w:rPr>
                <w:rFonts w:ascii="Arial" w:hAnsi="Arial" w:cs="Arial"/>
                <w:sz w:val="22"/>
                <w:szCs w:val="22"/>
              </w:rPr>
              <w:t xml:space="preserve"> 2010 </w:t>
            </w:r>
            <w:r w:rsidR="00CC3C12" w:rsidRPr="09CAB8F0">
              <w:rPr>
                <w:rFonts w:ascii="Arial" w:hAnsi="Arial" w:cs="Arial"/>
                <w:sz w:val="22"/>
                <w:szCs w:val="22"/>
              </w:rPr>
              <w:t>and/or</w:t>
            </w:r>
            <w:r w:rsidRPr="09CAB8F0">
              <w:rPr>
                <w:rFonts w:ascii="Arial" w:hAnsi="Arial" w:cs="Arial"/>
                <w:sz w:val="22"/>
                <w:szCs w:val="22"/>
              </w:rPr>
              <w:t xml:space="preserve"> 2011</w:t>
            </w:r>
            <w:r w:rsidR="00CC3C12" w:rsidRPr="09CAB8F0">
              <w:rPr>
                <w:rFonts w:ascii="Arial" w:hAnsi="Arial" w:cs="Arial"/>
                <w:sz w:val="22"/>
                <w:szCs w:val="22"/>
              </w:rPr>
              <w:t xml:space="preserve"> to further support baseline </w:t>
            </w:r>
            <w:proofErr w:type="spellStart"/>
            <w:r w:rsidR="00CC3C12" w:rsidRPr="09CAB8F0">
              <w:rPr>
                <w:rFonts w:ascii="Arial" w:hAnsi="Arial" w:cs="Arial"/>
                <w:sz w:val="22"/>
                <w:szCs w:val="22"/>
              </w:rPr>
              <w:t>preconversion</w:t>
            </w:r>
            <w:proofErr w:type="spellEnd"/>
            <w:r w:rsidR="00CC3C12" w:rsidRPr="09CAB8F0">
              <w:rPr>
                <w:rFonts w:ascii="Arial" w:hAnsi="Arial" w:cs="Arial"/>
                <w:sz w:val="22"/>
                <w:szCs w:val="22"/>
              </w:rPr>
              <w:t xml:space="preserve"> land use</w:t>
            </w:r>
            <w:r w:rsidRPr="09CAB8F0">
              <w:rPr>
                <w:rFonts w:ascii="Arial" w:hAnsi="Arial" w:cs="Arial"/>
                <w:sz w:val="22"/>
                <w:szCs w:val="22"/>
              </w:rPr>
              <w:t>.</w:t>
            </w:r>
          </w:p>
          <w:p w14:paraId="46320ED3" w14:textId="439E6265" w:rsidR="006357C0" w:rsidRPr="00D223CC" w:rsidRDefault="006357C0" w:rsidP="00DB3B50">
            <w:pPr>
              <w:pStyle w:val="BodyText"/>
              <w:jc w:val="both"/>
              <w:rPr>
                <w:rFonts w:ascii="Arial" w:hAnsi="Arial" w:cs="Arial"/>
                <w:sz w:val="22"/>
              </w:rPr>
            </w:pPr>
          </w:p>
        </w:tc>
        <w:tc>
          <w:tcPr>
            <w:tcW w:w="1440" w:type="dxa"/>
          </w:tcPr>
          <w:p w14:paraId="096F9098" w14:textId="77777777" w:rsidR="006357C0" w:rsidRPr="00CD699E" w:rsidRDefault="006357C0" w:rsidP="00DB3B50"/>
        </w:tc>
        <w:tc>
          <w:tcPr>
            <w:tcW w:w="1740" w:type="dxa"/>
          </w:tcPr>
          <w:p w14:paraId="180AD437" w14:textId="77777777" w:rsidR="006357C0" w:rsidRDefault="006357C0" w:rsidP="00DB3B50"/>
        </w:tc>
      </w:tr>
      <w:tr w:rsidR="00DB3B50" w:rsidRPr="00CD699E" w14:paraId="66CE1B19" w14:textId="77777777" w:rsidTr="09CAB8F0">
        <w:trPr>
          <w:trHeight w:val="576"/>
        </w:trPr>
        <w:tc>
          <w:tcPr>
            <w:tcW w:w="7380" w:type="dxa"/>
          </w:tcPr>
          <w:p w14:paraId="3C53F638" w14:textId="351D813A" w:rsidR="00DB3B50" w:rsidRPr="00CD699E" w:rsidRDefault="003D7580" w:rsidP="00897367">
            <w:r>
              <w:rPr>
                <w:rFonts w:ascii="Arial" w:hAnsi="Arial" w:cs="Arial"/>
                <w:b/>
                <w:bCs/>
              </w:rPr>
              <w:t>10</w:t>
            </w:r>
            <w:r w:rsidR="008A3325" w:rsidRPr="003B041C">
              <w:rPr>
                <w:rFonts w:ascii="Arial" w:hAnsi="Arial" w:cs="Arial"/>
                <w:b/>
                <w:bCs/>
              </w:rPr>
              <w:t>:</w:t>
            </w:r>
            <w:r w:rsidR="008A3325">
              <w:rPr>
                <w:rFonts w:ascii="Arial" w:hAnsi="Arial" w:cs="Arial"/>
              </w:rPr>
              <w:t xml:space="preserve"> </w:t>
            </w:r>
            <w:r w:rsidR="008A3325" w:rsidRPr="008A3325">
              <w:rPr>
                <w:rFonts w:ascii="Arial" w:hAnsi="Arial" w:cs="Arial"/>
              </w:rPr>
              <w:t>A description of current site conditions with photographs.</w:t>
            </w:r>
          </w:p>
        </w:tc>
        <w:tc>
          <w:tcPr>
            <w:tcW w:w="1440" w:type="dxa"/>
          </w:tcPr>
          <w:p w14:paraId="7C19A612" w14:textId="77777777" w:rsidR="00DB3B50" w:rsidRPr="00CD699E" w:rsidRDefault="00DB3B50" w:rsidP="00DB3B50"/>
        </w:tc>
        <w:tc>
          <w:tcPr>
            <w:tcW w:w="1740" w:type="dxa"/>
          </w:tcPr>
          <w:p w14:paraId="7F04F7AC" w14:textId="77777777" w:rsidR="00DB3B50" w:rsidRPr="00CD699E" w:rsidRDefault="00DB3B50" w:rsidP="00DB3B50"/>
        </w:tc>
      </w:tr>
      <w:tr w:rsidR="00DB3B50" w:rsidRPr="00CD699E" w14:paraId="685E9DC0" w14:textId="77777777" w:rsidTr="09CAB8F0">
        <w:trPr>
          <w:trHeight w:val="576"/>
        </w:trPr>
        <w:tc>
          <w:tcPr>
            <w:tcW w:w="7380" w:type="dxa"/>
          </w:tcPr>
          <w:p w14:paraId="0BF27A82" w14:textId="47F36609" w:rsidR="00DB3B50" w:rsidRPr="00DB3B50" w:rsidRDefault="006357C0" w:rsidP="00897367">
            <w:pPr>
              <w:pStyle w:val="BodyText"/>
              <w:jc w:val="both"/>
              <w:rPr>
                <w:rFonts w:ascii="Arial" w:hAnsi="Arial" w:cs="Arial"/>
                <w:sz w:val="22"/>
              </w:rPr>
            </w:pPr>
            <w:r>
              <w:rPr>
                <w:rFonts w:ascii="Arial" w:hAnsi="Arial" w:cs="Arial"/>
                <w:b/>
                <w:bCs/>
                <w:sz w:val="22"/>
              </w:rPr>
              <w:t>1</w:t>
            </w:r>
            <w:r w:rsidR="003D7580">
              <w:rPr>
                <w:rFonts w:ascii="Arial" w:hAnsi="Arial" w:cs="Arial"/>
                <w:b/>
                <w:bCs/>
                <w:sz w:val="22"/>
              </w:rPr>
              <w:t>1</w:t>
            </w:r>
            <w:r w:rsidR="008A3325" w:rsidRPr="003B041C">
              <w:rPr>
                <w:rFonts w:ascii="Arial" w:hAnsi="Arial" w:cs="Arial"/>
                <w:b/>
                <w:bCs/>
                <w:sz w:val="22"/>
              </w:rPr>
              <w:t>:</w:t>
            </w:r>
            <w:r w:rsidR="008A3325">
              <w:rPr>
                <w:rFonts w:ascii="Arial" w:hAnsi="Arial" w:cs="Arial"/>
                <w:sz w:val="22"/>
              </w:rPr>
              <w:t xml:space="preserve"> </w:t>
            </w:r>
            <w:r w:rsidR="008A3325" w:rsidRPr="008A3325">
              <w:rPr>
                <w:rFonts w:ascii="Arial" w:hAnsi="Arial" w:cs="Arial"/>
                <w:sz w:val="22"/>
              </w:rPr>
              <w:t>The 8-digit, 10-digit, and 12-digit HUC in which the project is located.</w:t>
            </w:r>
          </w:p>
        </w:tc>
        <w:tc>
          <w:tcPr>
            <w:tcW w:w="1440" w:type="dxa"/>
          </w:tcPr>
          <w:p w14:paraId="70527A55" w14:textId="77777777" w:rsidR="00DB3B50" w:rsidRPr="00CD699E" w:rsidRDefault="00DB3B50" w:rsidP="00DB3B50"/>
        </w:tc>
        <w:tc>
          <w:tcPr>
            <w:tcW w:w="1740" w:type="dxa"/>
          </w:tcPr>
          <w:p w14:paraId="272BF60F" w14:textId="77777777" w:rsidR="00DB3B50" w:rsidRPr="00CD699E" w:rsidRDefault="00DB3B50" w:rsidP="00DB3B50"/>
        </w:tc>
      </w:tr>
      <w:tr w:rsidR="00DB3B50" w:rsidRPr="00CD699E" w14:paraId="7005C89C" w14:textId="77777777" w:rsidTr="09CAB8F0">
        <w:trPr>
          <w:trHeight w:val="576"/>
        </w:trPr>
        <w:tc>
          <w:tcPr>
            <w:tcW w:w="7380" w:type="dxa"/>
          </w:tcPr>
          <w:p w14:paraId="5478B726" w14:textId="453F6430" w:rsidR="00DB3B50" w:rsidRPr="00DB3B50" w:rsidRDefault="03206C2D" w:rsidP="008A3325">
            <w:pPr>
              <w:rPr>
                <w:rFonts w:ascii="Arial" w:hAnsi="Arial" w:cs="Arial"/>
              </w:rPr>
            </w:pPr>
            <w:r w:rsidRPr="2EAD5B0D">
              <w:rPr>
                <w:rFonts w:ascii="Arial" w:hAnsi="Arial" w:cs="Arial"/>
                <w:b/>
                <w:bCs/>
              </w:rPr>
              <w:lastRenderedPageBreak/>
              <w:t>1</w:t>
            </w:r>
            <w:r w:rsidR="70A7969E" w:rsidRPr="2EAD5B0D">
              <w:rPr>
                <w:rFonts w:ascii="Arial" w:hAnsi="Arial" w:cs="Arial"/>
                <w:b/>
                <w:bCs/>
              </w:rPr>
              <w:t>2</w:t>
            </w:r>
            <w:r w:rsidRPr="2EAD5B0D">
              <w:rPr>
                <w:rFonts w:ascii="Arial" w:hAnsi="Arial" w:cs="Arial"/>
                <w:b/>
                <w:bCs/>
              </w:rPr>
              <w:t>:</w:t>
            </w:r>
            <w:r w:rsidRPr="2EAD5B0D">
              <w:rPr>
                <w:rFonts w:ascii="Arial" w:hAnsi="Arial" w:cs="Arial"/>
              </w:rPr>
              <w:t xml:space="preserve"> The appropriate fee required pursuant to Part V (</w:t>
            </w:r>
            <w:hyperlink r:id="rId27">
              <w:r w:rsidRPr="2EAD5B0D">
                <w:rPr>
                  <w:rStyle w:val="Hyperlink"/>
                  <w:rFonts w:ascii="Arial" w:hAnsi="Arial" w:cs="Arial"/>
                </w:rPr>
                <w:t>9VAC25-900-190</w:t>
              </w:r>
            </w:hyperlink>
            <w:r w:rsidRPr="2EAD5B0D">
              <w:rPr>
                <w:rFonts w:ascii="Arial" w:hAnsi="Arial" w:cs="Arial"/>
              </w:rPr>
              <w:t> et seq.)</w:t>
            </w:r>
            <w:r w:rsidR="147EEE0B" w:rsidRPr="2EAD5B0D">
              <w:rPr>
                <w:rFonts w:ascii="Arial" w:hAnsi="Arial" w:cs="Arial"/>
              </w:rPr>
              <w:t>.</w:t>
            </w:r>
          </w:p>
        </w:tc>
        <w:tc>
          <w:tcPr>
            <w:tcW w:w="1440" w:type="dxa"/>
          </w:tcPr>
          <w:p w14:paraId="361709F1" w14:textId="77777777" w:rsidR="00DB3B50" w:rsidRPr="00CD699E" w:rsidRDefault="00DB3B50" w:rsidP="00DB3B50"/>
        </w:tc>
        <w:tc>
          <w:tcPr>
            <w:tcW w:w="1740" w:type="dxa"/>
          </w:tcPr>
          <w:p w14:paraId="2CE533ED" w14:textId="77777777" w:rsidR="00DB3B50" w:rsidRPr="00CD699E" w:rsidRDefault="00DB3B50" w:rsidP="00DB3B50"/>
        </w:tc>
      </w:tr>
      <w:tr w:rsidR="00DB3B50" w:rsidRPr="00CD699E" w14:paraId="6EECB028" w14:textId="77777777" w:rsidTr="09CAB8F0">
        <w:trPr>
          <w:trHeight w:val="576"/>
        </w:trPr>
        <w:tc>
          <w:tcPr>
            <w:tcW w:w="7380" w:type="dxa"/>
          </w:tcPr>
          <w:p w14:paraId="40C2C528" w14:textId="0196440D" w:rsidR="00DB3B50" w:rsidRPr="00DB3B50" w:rsidRDefault="03206C2D" w:rsidP="008A3325">
            <w:pPr>
              <w:rPr>
                <w:rFonts w:ascii="Arial" w:hAnsi="Arial" w:cs="Arial"/>
              </w:rPr>
            </w:pPr>
            <w:r w:rsidRPr="2EAD5B0D">
              <w:rPr>
                <w:rFonts w:ascii="Arial" w:hAnsi="Arial" w:cs="Arial"/>
                <w:b/>
                <w:bCs/>
              </w:rPr>
              <w:t>1</w:t>
            </w:r>
            <w:r w:rsidR="58BA72FD" w:rsidRPr="2EAD5B0D">
              <w:rPr>
                <w:rFonts w:ascii="Arial" w:hAnsi="Arial" w:cs="Arial"/>
                <w:b/>
                <w:bCs/>
              </w:rPr>
              <w:t>3</w:t>
            </w:r>
            <w:r w:rsidR="008A3325" w:rsidRPr="003B041C">
              <w:rPr>
                <w:rFonts w:ascii="Arial" w:hAnsi="Arial" w:cs="Arial"/>
                <w:b/>
                <w:bCs/>
              </w:rPr>
              <w:t>:</w:t>
            </w:r>
            <w:r w:rsidR="008A3325">
              <w:rPr>
                <w:rFonts w:ascii="Arial" w:hAnsi="Arial" w:cs="Arial"/>
              </w:rPr>
              <w:t xml:space="preserve"> A</w:t>
            </w:r>
            <w:r w:rsidR="008A3325" w:rsidRPr="008A3325">
              <w:rPr>
                <w:rFonts w:ascii="Arial" w:hAnsi="Arial" w:cs="Arial"/>
              </w:rPr>
              <w:t xml:space="preserve"> draft of the proposed site protection instrument for the site on which the project is located. If the landowner is not an individual, documentation will be required establishing that the person executing the protection instrument has the authority to do so.</w:t>
            </w:r>
          </w:p>
        </w:tc>
        <w:tc>
          <w:tcPr>
            <w:tcW w:w="1440" w:type="dxa"/>
          </w:tcPr>
          <w:p w14:paraId="0B125C90" w14:textId="77777777" w:rsidR="00DB3B50" w:rsidRPr="00CD699E" w:rsidRDefault="00DB3B50" w:rsidP="00DB3B50"/>
        </w:tc>
        <w:tc>
          <w:tcPr>
            <w:tcW w:w="1740" w:type="dxa"/>
          </w:tcPr>
          <w:p w14:paraId="5A75A94C" w14:textId="77777777" w:rsidR="00DB3B50" w:rsidRPr="00CD699E" w:rsidRDefault="00DB3B50" w:rsidP="00DB3B50"/>
        </w:tc>
      </w:tr>
      <w:tr w:rsidR="00DB3B50" w:rsidRPr="00CD699E" w14:paraId="0E95DDAD" w14:textId="77777777" w:rsidTr="09CAB8F0">
        <w:trPr>
          <w:trHeight w:val="576"/>
        </w:trPr>
        <w:tc>
          <w:tcPr>
            <w:tcW w:w="7380" w:type="dxa"/>
          </w:tcPr>
          <w:p w14:paraId="60019200" w14:textId="1DB9A930" w:rsidR="00DB3B50" w:rsidRPr="00DB3B50" w:rsidRDefault="03206C2D" w:rsidP="008A3325">
            <w:pPr>
              <w:rPr>
                <w:rFonts w:ascii="Arial" w:hAnsi="Arial" w:cs="Arial"/>
              </w:rPr>
            </w:pPr>
            <w:r w:rsidRPr="2EAD5B0D">
              <w:rPr>
                <w:rFonts w:ascii="Arial" w:hAnsi="Arial" w:cs="Arial"/>
                <w:b/>
                <w:bCs/>
              </w:rPr>
              <w:t>1</w:t>
            </w:r>
            <w:r w:rsidR="632D5A77" w:rsidRPr="2EAD5B0D">
              <w:rPr>
                <w:rFonts w:ascii="Arial" w:hAnsi="Arial" w:cs="Arial"/>
                <w:b/>
                <w:bCs/>
              </w:rPr>
              <w:t>4</w:t>
            </w:r>
            <w:r w:rsidR="008A3325" w:rsidRPr="003B041C">
              <w:rPr>
                <w:rFonts w:ascii="Arial" w:hAnsi="Arial" w:cs="Arial"/>
                <w:b/>
                <w:bCs/>
              </w:rPr>
              <w:t>:</w:t>
            </w:r>
            <w:r w:rsidR="008A3325">
              <w:rPr>
                <w:rFonts w:ascii="Arial" w:hAnsi="Arial" w:cs="Arial"/>
              </w:rPr>
              <w:t xml:space="preserve"> </w:t>
            </w:r>
            <w:r w:rsidR="008A3325" w:rsidRPr="008A3325">
              <w:rPr>
                <w:rFonts w:ascii="Arial" w:hAnsi="Arial" w:cs="Arial"/>
              </w:rPr>
              <w:t>A description of other permits and approvals that may be necessary to operate the nutrient credit-generating project.</w:t>
            </w:r>
          </w:p>
        </w:tc>
        <w:tc>
          <w:tcPr>
            <w:tcW w:w="1440" w:type="dxa"/>
          </w:tcPr>
          <w:p w14:paraId="374AF18D" w14:textId="77777777" w:rsidR="00DB3B50" w:rsidRPr="00CD699E" w:rsidRDefault="00DB3B50" w:rsidP="00DB3B50"/>
        </w:tc>
        <w:tc>
          <w:tcPr>
            <w:tcW w:w="1740" w:type="dxa"/>
          </w:tcPr>
          <w:p w14:paraId="5121891C" w14:textId="77777777" w:rsidR="00DB3B50" w:rsidRPr="00CD699E" w:rsidRDefault="00DB3B50" w:rsidP="00DB3B50"/>
        </w:tc>
      </w:tr>
      <w:tr w:rsidR="00DB3B50" w:rsidRPr="00CD699E" w14:paraId="519367A8" w14:textId="77777777" w:rsidTr="09CAB8F0">
        <w:trPr>
          <w:trHeight w:val="576"/>
        </w:trPr>
        <w:tc>
          <w:tcPr>
            <w:tcW w:w="7380" w:type="dxa"/>
          </w:tcPr>
          <w:p w14:paraId="5215DD9A" w14:textId="769C699B" w:rsidR="006653A3" w:rsidRDefault="03206C2D" w:rsidP="008A3325">
            <w:pPr>
              <w:rPr>
                <w:rFonts w:ascii="Arial" w:hAnsi="Arial" w:cs="Arial"/>
              </w:rPr>
            </w:pPr>
            <w:r w:rsidRPr="2EAD5B0D">
              <w:rPr>
                <w:rFonts w:ascii="Arial" w:hAnsi="Arial" w:cs="Arial"/>
                <w:b/>
                <w:bCs/>
              </w:rPr>
              <w:t>1</w:t>
            </w:r>
            <w:r w:rsidR="77ED5D3F" w:rsidRPr="2EAD5B0D">
              <w:rPr>
                <w:rFonts w:ascii="Arial" w:hAnsi="Arial" w:cs="Arial"/>
                <w:b/>
                <w:bCs/>
              </w:rPr>
              <w:t>5</w:t>
            </w:r>
            <w:r w:rsidR="008A3325" w:rsidRPr="003B041C">
              <w:rPr>
                <w:rFonts w:ascii="Arial" w:hAnsi="Arial" w:cs="Arial"/>
                <w:b/>
                <w:bCs/>
              </w:rPr>
              <w:t>:</w:t>
            </w:r>
            <w:r w:rsidR="008A3325">
              <w:rPr>
                <w:rFonts w:ascii="Arial" w:hAnsi="Arial" w:cs="Arial"/>
              </w:rPr>
              <w:t xml:space="preserve"> </w:t>
            </w:r>
            <w:r w:rsidR="008A3325" w:rsidRPr="008A3325">
              <w:rPr>
                <w:rFonts w:ascii="Arial" w:hAnsi="Arial" w:cs="Arial"/>
              </w:rPr>
              <w:t>A description of any state or federal water quality grants received for water quality actions in the management area.</w:t>
            </w:r>
            <w:r w:rsidR="006653A3">
              <w:rPr>
                <w:rFonts w:ascii="Arial" w:hAnsi="Arial" w:cs="Arial"/>
              </w:rPr>
              <w:t xml:space="preserve"> </w:t>
            </w:r>
          </w:p>
          <w:p w14:paraId="4543DF81" w14:textId="77777777" w:rsidR="006653A3" w:rsidRDefault="006653A3" w:rsidP="008A3325">
            <w:pPr>
              <w:rPr>
                <w:rFonts w:ascii="Arial" w:hAnsi="Arial" w:cs="Arial"/>
              </w:rPr>
            </w:pPr>
          </w:p>
          <w:p w14:paraId="19CA5483" w14:textId="2BE32D0C" w:rsidR="00DB3B50" w:rsidRPr="00DB3B50" w:rsidRDefault="006653A3" w:rsidP="008A3325">
            <w:pPr>
              <w:rPr>
                <w:rFonts w:ascii="Arial" w:hAnsi="Arial" w:cs="Arial"/>
              </w:rPr>
            </w:pPr>
            <w:r w:rsidRPr="006653A3">
              <w:rPr>
                <w:rFonts w:ascii="Arial" w:hAnsi="Arial" w:cs="Arial"/>
                <w:b/>
                <w:bCs/>
              </w:rPr>
              <w:t>Note:</w:t>
            </w:r>
            <w:r>
              <w:rPr>
                <w:rFonts w:ascii="Arial" w:hAnsi="Arial" w:cs="Arial"/>
              </w:rPr>
              <w:t xml:space="preserve"> Agricultural cost share funding may be utilized for the establishment of baseline practices, but state and federal water quality grants may not be utilized to fund credit generating practices. The </w:t>
            </w:r>
            <w:hyperlink r:id="rId28" w:history="1">
              <w:r w:rsidRPr="006653A3">
                <w:rPr>
                  <w:rStyle w:val="Hyperlink"/>
                  <w:rFonts w:ascii="Arial" w:hAnsi="Arial" w:cs="Arial"/>
                </w:rPr>
                <w:t>Virginia Agricultural Cost Share (VACS) Manual</w:t>
              </w:r>
            </w:hyperlink>
            <w:r>
              <w:rPr>
                <w:rFonts w:ascii="Arial" w:hAnsi="Arial" w:cs="Arial"/>
              </w:rPr>
              <w:t xml:space="preserve"> provides guidelines on applying for cost share funding. </w:t>
            </w:r>
          </w:p>
        </w:tc>
        <w:tc>
          <w:tcPr>
            <w:tcW w:w="1440" w:type="dxa"/>
          </w:tcPr>
          <w:p w14:paraId="0218D3F9" w14:textId="77777777" w:rsidR="00DB3B50" w:rsidRPr="00CD699E" w:rsidRDefault="00DB3B50" w:rsidP="00DB3B50"/>
        </w:tc>
        <w:tc>
          <w:tcPr>
            <w:tcW w:w="1740" w:type="dxa"/>
          </w:tcPr>
          <w:p w14:paraId="0D88BBA5" w14:textId="77777777" w:rsidR="00DB3B50" w:rsidRPr="00CD699E" w:rsidRDefault="00DB3B50" w:rsidP="00DB3B50"/>
        </w:tc>
      </w:tr>
      <w:tr w:rsidR="00DB3B50" w:rsidRPr="00CD699E" w14:paraId="721D8937" w14:textId="77777777" w:rsidTr="09CAB8F0">
        <w:trPr>
          <w:trHeight w:val="576"/>
        </w:trPr>
        <w:tc>
          <w:tcPr>
            <w:tcW w:w="7380" w:type="dxa"/>
          </w:tcPr>
          <w:p w14:paraId="25742EA7" w14:textId="698C50F9" w:rsidR="00DB3B50" w:rsidRPr="00DB3B50" w:rsidRDefault="03206C2D" w:rsidP="008A3325">
            <w:pPr>
              <w:rPr>
                <w:rFonts w:ascii="Arial" w:hAnsi="Arial" w:cs="Arial"/>
              </w:rPr>
            </w:pPr>
            <w:r w:rsidRPr="2EAD5B0D">
              <w:rPr>
                <w:rFonts w:ascii="Arial" w:hAnsi="Arial" w:cs="Arial"/>
                <w:b/>
                <w:bCs/>
              </w:rPr>
              <w:t>1</w:t>
            </w:r>
            <w:r w:rsidR="153D0498" w:rsidRPr="2EAD5B0D">
              <w:rPr>
                <w:rFonts w:ascii="Arial" w:hAnsi="Arial" w:cs="Arial"/>
                <w:b/>
                <w:bCs/>
              </w:rPr>
              <w:t>6</w:t>
            </w:r>
            <w:r w:rsidR="008A3325" w:rsidRPr="003B041C">
              <w:rPr>
                <w:rFonts w:ascii="Arial" w:hAnsi="Arial" w:cs="Arial"/>
                <w:b/>
                <w:bCs/>
              </w:rPr>
              <w:t>:</w:t>
            </w:r>
            <w:r w:rsidR="008A3325">
              <w:rPr>
                <w:rFonts w:ascii="Arial" w:hAnsi="Arial" w:cs="Arial"/>
              </w:rPr>
              <w:t xml:space="preserve"> D</w:t>
            </w:r>
            <w:r w:rsidR="008A3325" w:rsidRPr="008A3325">
              <w:rPr>
                <w:rFonts w:ascii="Arial" w:hAnsi="Arial" w:cs="Arial"/>
              </w:rPr>
              <w:t xml:space="preserve">emonstration by the applicant that the site on which the project is located is held with title free from all defects, liens, and encumbrances that would interfere with or </w:t>
            </w:r>
            <w:proofErr w:type="gramStart"/>
            <w:r w:rsidR="008A3325" w:rsidRPr="008A3325">
              <w:rPr>
                <w:rFonts w:ascii="Arial" w:hAnsi="Arial" w:cs="Arial"/>
              </w:rPr>
              <w:t>be in conflict with</w:t>
            </w:r>
            <w:proofErr w:type="gramEnd"/>
            <w:r w:rsidR="008A3325" w:rsidRPr="008A3325">
              <w:rPr>
                <w:rFonts w:ascii="Arial" w:hAnsi="Arial" w:cs="Arial"/>
              </w:rPr>
              <w:t xml:space="preserve"> the establishment and operation of the nutrient credit-generating project. The demonstration may include documentation of the subordination of property interests (e.g., mineral rights, mortgages, easement) if </w:t>
            </w:r>
            <w:r w:rsidR="006653A3">
              <w:rPr>
                <w:rFonts w:ascii="Arial" w:hAnsi="Arial" w:cs="Arial"/>
              </w:rPr>
              <w:t>DEQ</w:t>
            </w:r>
            <w:r w:rsidR="008A3325" w:rsidRPr="008A3325">
              <w:rPr>
                <w:rFonts w:ascii="Arial" w:hAnsi="Arial" w:cs="Arial"/>
              </w:rPr>
              <w:t xml:space="preserve"> determines that the property interest would interfere with or </w:t>
            </w:r>
            <w:proofErr w:type="gramStart"/>
            <w:r w:rsidR="008A3325" w:rsidRPr="008A3325">
              <w:rPr>
                <w:rFonts w:ascii="Arial" w:hAnsi="Arial" w:cs="Arial"/>
              </w:rPr>
              <w:t>be in conflict with</w:t>
            </w:r>
            <w:proofErr w:type="gramEnd"/>
            <w:r w:rsidR="008A3325" w:rsidRPr="008A3325">
              <w:rPr>
                <w:rFonts w:ascii="Arial" w:hAnsi="Arial" w:cs="Arial"/>
              </w:rPr>
              <w:t xml:space="preserve"> the establishment and operation of the nutrient credit-generating project.</w:t>
            </w:r>
          </w:p>
        </w:tc>
        <w:tc>
          <w:tcPr>
            <w:tcW w:w="1440" w:type="dxa"/>
          </w:tcPr>
          <w:p w14:paraId="752E924F" w14:textId="77777777" w:rsidR="00DB3B50" w:rsidRPr="00CD699E" w:rsidRDefault="00DB3B50" w:rsidP="00DB3B50"/>
        </w:tc>
        <w:tc>
          <w:tcPr>
            <w:tcW w:w="1740" w:type="dxa"/>
          </w:tcPr>
          <w:p w14:paraId="16AFD225" w14:textId="77777777" w:rsidR="00DB3B50" w:rsidRPr="00CD699E" w:rsidRDefault="00DB3B50" w:rsidP="00DB3B50"/>
        </w:tc>
      </w:tr>
      <w:tr w:rsidR="00DB3B50" w:rsidRPr="00CD699E" w14:paraId="2FC8FE8F" w14:textId="77777777" w:rsidTr="09CAB8F0">
        <w:trPr>
          <w:trHeight w:val="576"/>
        </w:trPr>
        <w:tc>
          <w:tcPr>
            <w:tcW w:w="7380" w:type="dxa"/>
          </w:tcPr>
          <w:p w14:paraId="3E7AB4AF" w14:textId="470B4F6D" w:rsidR="00DB3B50" w:rsidRPr="00DB3B50" w:rsidRDefault="71DB8EF1" w:rsidP="008A3325">
            <w:pPr>
              <w:rPr>
                <w:rFonts w:ascii="Arial" w:hAnsi="Arial" w:cs="Arial"/>
              </w:rPr>
            </w:pPr>
            <w:r w:rsidRPr="2EAD5B0D">
              <w:rPr>
                <w:rFonts w:ascii="Arial" w:hAnsi="Arial" w:cs="Arial"/>
                <w:b/>
                <w:bCs/>
              </w:rPr>
              <w:t>1</w:t>
            </w:r>
            <w:r w:rsidR="4C322355" w:rsidRPr="2EAD5B0D">
              <w:rPr>
                <w:rFonts w:ascii="Arial" w:hAnsi="Arial" w:cs="Arial"/>
                <w:b/>
                <w:bCs/>
              </w:rPr>
              <w:t>7</w:t>
            </w:r>
            <w:r w:rsidR="008A3325" w:rsidRPr="003B041C">
              <w:rPr>
                <w:rFonts w:ascii="Arial" w:hAnsi="Arial" w:cs="Arial"/>
                <w:b/>
                <w:bCs/>
              </w:rPr>
              <w:t>:</w:t>
            </w:r>
            <w:r w:rsidR="008A3325">
              <w:rPr>
                <w:rFonts w:ascii="Arial" w:hAnsi="Arial" w:cs="Arial"/>
              </w:rPr>
              <w:t xml:space="preserve"> </w:t>
            </w:r>
            <w:r w:rsidR="008A3325" w:rsidRPr="008A3325">
              <w:rPr>
                <w:rFonts w:ascii="Arial" w:hAnsi="Arial" w:cs="Arial"/>
              </w:rPr>
              <w:t>A tax map showing the management area and adjacent parcels.</w:t>
            </w:r>
          </w:p>
        </w:tc>
        <w:tc>
          <w:tcPr>
            <w:tcW w:w="1440" w:type="dxa"/>
          </w:tcPr>
          <w:p w14:paraId="0472607D" w14:textId="77777777" w:rsidR="00DB3B50" w:rsidRPr="00CD699E" w:rsidRDefault="00DB3B50" w:rsidP="00DB3B50"/>
        </w:tc>
        <w:tc>
          <w:tcPr>
            <w:tcW w:w="1740" w:type="dxa"/>
          </w:tcPr>
          <w:p w14:paraId="32EC56C1" w14:textId="77777777" w:rsidR="00DB3B50" w:rsidRPr="00CD699E" w:rsidRDefault="00DB3B50" w:rsidP="00DB3B50"/>
        </w:tc>
      </w:tr>
      <w:tr w:rsidR="00DB3B50" w:rsidRPr="00CD699E" w14:paraId="3F42E9B3" w14:textId="77777777" w:rsidTr="09CAB8F0">
        <w:trPr>
          <w:trHeight w:val="576"/>
        </w:trPr>
        <w:tc>
          <w:tcPr>
            <w:tcW w:w="7380" w:type="dxa"/>
          </w:tcPr>
          <w:p w14:paraId="7F4B2254" w14:textId="17F2E2D0" w:rsidR="00DB3B50" w:rsidRPr="00DB3B50" w:rsidRDefault="71DB8EF1" w:rsidP="00DB3B50">
            <w:pPr>
              <w:rPr>
                <w:rFonts w:ascii="Arial" w:hAnsi="Arial" w:cs="Arial"/>
              </w:rPr>
            </w:pPr>
            <w:r w:rsidRPr="2EAD5B0D">
              <w:rPr>
                <w:rFonts w:ascii="Arial" w:hAnsi="Arial" w:cs="Arial"/>
                <w:b/>
                <w:bCs/>
              </w:rPr>
              <w:t>1</w:t>
            </w:r>
            <w:r w:rsidR="68D0AA26" w:rsidRPr="2EAD5B0D">
              <w:rPr>
                <w:rFonts w:ascii="Arial" w:hAnsi="Arial" w:cs="Arial"/>
                <w:b/>
                <w:bCs/>
              </w:rPr>
              <w:t>8</w:t>
            </w:r>
            <w:r w:rsidR="004A1679" w:rsidRPr="003B041C">
              <w:rPr>
                <w:rFonts w:ascii="Arial" w:hAnsi="Arial" w:cs="Arial"/>
                <w:b/>
                <w:bCs/>
              </w:rPr>
              <w:t>:</w:t>
            </w:r>
            <w:r w:rsidR="004A1679" w:rsidRPr="004A1679">
              <w:rPr>
                <w:rFonts w:ascii="Arial" w:hAnsi="Arial" w:cs="Arial"/>
              </w:rPr>
              <w:t xml:space="preserve"> Any other information deemed necessary by </w:t>
            </w:r>
            <w:r w:rsidR="00F54DFE">
              <w:rPr>
                <w:rFonts w:ascii="Arial" w:hAnsi="Arial" w:cs="Arial"/>
              </w:rPr>
              <w:t>DEQ</w:t>
            </w:r>
            <w:r w:rsidR="002329D6">
              <w:rPr>
                <w:rFonts w:ascii="Arial" w:hAnsi="Arial" w:cs="Arial"/>
              </w:rPr>
              <w:t>.</w:t>
            </w:r>
          </w:p>
        </w:tc>
        <w:tc>
          <w:tcPr>
            <w:tcW w:w="1440" w:type="dxa"/>
          </w:tcPr>
          <w:p w14:paraId="0070FCA3" w14:textId="77777777" w:rsidR="00DB3B50" w:rsidRPr="00CD699E" w:rsidRDefault="00DB3B50" w:rsidP="00DB3B50"/>
        </w:tc>
        <w:tc>
          <w:tcPr>
            <w:tcW w:w="1740" w:type="dxa"/>
          </w:tcPr>
          <w:p w14:paraId="0998A01B" w14:textId="77777777" w:rsidR="00DB3B50" w:rsidRPr="00CD699E" w:rsidRDefault="00DB3B50" w:rsidP="00DB3B50"/>
        </w:tc>
      </w:tr>
      <w:tr w:rsidR="00F3205D" w:rsidRPr="00CD699E" w14:paraId="1D373731" w14:textId="77777777" w:rsidTr="09CAB8F0">
        <w:trPr>
          <w:trHeight w:val="576"/>
        </w:trPr>
        <w:tc>
          <w:tcPr>
            <w:tcW w:w="10560" w:type="dxa"/>
            <w:gridSpan w:val="3"/>
            <w:shd w:val="clear" w:color="auto" w:fill="E7E6E6" w:themeFill="background2"/>
          </w:tcPr>
          <w:p w14:paraId="1007481C" w14:textId="660DBEAD" w:rsidR="00F3205D" w:rsidRPr="00F3205D" w:rsidRDefault="03AC8D69" w:rsidP="00F3205D">
            <w:pPr>
              <w:jc w:val="center"/>
              <w:rPr>
                <w:rFonts w:ascii="Arial" w:hAnsi="Arial" w:cs="Arial"/>
                <w:b/>
                <w:bCs/>
              </w:rPr>
            </w:pPr>
            <w:r w:rsidRPr="43EB01A2">
              <w:rPr>
                <w:rFonts w:ascii="Arial" w:hAnsi="Arial" w:cs="Arial"/>
                <w:b/>
                <w:bCs/>
              </w:rPr>
              <w:t xml:space="preserve">Part B: </w:t>
            </w:r>
            <w:r w:rsidR="00F3205D" w:rsidRPr="00F3205D">
              <w:rPr>
                <w:rFonts w:ascii="Arial" w:hAnsi="Arial" w:cs="Arial"/>
                <w:b/>
                <w:bCs/>
              </w:rPr>
              <w:t>Credit Calculation Procedures</w:t>
            </w:r>
          </w:p>
          <w:p w14:paraId="610BCFFE" w14:textId="0266142C" w:rsidR="00F3205D" w:rsidRPr="00F3205D" w:rsidRDefault="00F3205D" w:rsidP="00F3205D">
            <w:pPr>
              <w:jc w:val="center"/>
              <w:rPr>
                <w:rFonts w:ascii="Arial" w:hAnsi="Arial" w:cs="Arial"/>
              </w:rPr>
            </w:pPr>
            <w:r w:rsidRPr="00F3205D">
              <w:rPr>
                <w:rFonts w:ascii="Arial" w:hAnsi="Arial" w:cs="Arial"/>
                <w:b/>
                <w:bCs/>
              </w:rPr>
              <w:t>9VAC25-900-110</w:t>
            </w:r>
          </w:p>
        </w:tc>
      </w:tr>
      <w:tr w:rsidR="00F3205D" w:rsidRPr="00CD699E" w14:paraId="7E409519" w14:textId="77777777" w:rsidTr="09CAB8F0">
        <w:trPr>
          <w:trHeight w:val="576"/>
        </w:trPr>
        <w:tc>
          <w:tcPr>
            <w:tcW w:w="7380" w:type="dxa"/>
          </w:tcPr>
          <w:p w14:paraId="13CE82CA" w14:textId="5BF413B6" w:rsidR="00F3205D" w:rsidRPr="00F3205D" w:rsidRDefault="00672F97" w:rsidP="001E6F8B">
            <w:pPr>
              <w:pStyle w:val="BodyText"/>
              <w:jc w:val="left"/>
              <w:rPr>
                <w:rFonts w:ascii="Arial" w:hAnsi="Arial" w:cs="Arial"/>
                <w:sz w:val="22"/>
                <w:szCs w:val="22"/>
              </w:rPr>
            </w:pPr>
            <w:r w:rsidRPr="43EB01A2">
              <w:rPr>
                <w:rFonts w:ascii="Arial" w:hAnsi="Arial" w:cs="Arial"/>
                <w:b/>
                <w:sz w:val="22"/>
                <w:szCs w:val="22"/>
              </w:rPr>
              <w:t>B</w:t>
            </w:r>
            <w:r w:rsidR="00F3205D" w:rsidRPr="43EB01A2">
              <w:rPr>
                <w:rFonts w:ascii="Arial" w:hAnsi="Arial" w:cs="Arial"/>
                <w:b/>
                <w:sz w:val="22"/>
                <w:szCs w:val="22"/>
              </w:rPr>
              <w:t>:</w:t>
            </w:r>
            <w:r w:rsidR="00C10DBC" w:rsidRPr="43EB01A2">
              <w:rPr>
                <w:rFonts w:ascii="Arial" w:hAnsi="Arial" w:cs="Arial"/>
                <w:b/>
                <w:sz w:val="22"/>
                <w:szCs w:val="22"/>
              </w:rPr>
              <w:t xml:space="preserve"> Credit Calculations: </w:t>
            </w:r>
            <w:r w:rsidR="00F3205D" w:rsidRPr="43EB01A2">
              <w:rPr>
                <w:rFonts w:ascii="Arial" w:hAnsi="Arial" w:cs="Arial"/>
                <w:sz w:val="22"/>
                <w:szCs w:val="22"/>
              </w:rPr>
              <w:t xml:space="preserve">The number of potential nutrient and sediment credits shall be determined by multiplying the land conversion credit rate by the total acreage that will undergo land use conversion. For land use conversion credit rates see </w:t>
            </w:r>
            <w:hyperlink r:id="rId29">
              <w:r w:rsidR="2F4214A7" w:rsidRPr="43EB01A2">
                <w:rPr>
                  <w:rStyle w:val="Hyperlink"/>
                  <w:rFonts w:ascii="Arial" w:hAnsi="Arial" w:cs="Arial"/>
                  <w:sz w:val="22"/>
                  <w:szCs w:val="22"/>
                </w:rPr>
                <w:t>GM20-2001</w:t>
              </w:r>
            </w:hyperlink>
            <w:r w:rsidR="2F4214A7" w:rsidRPr="43EB01A2">
              <w:rPr>
                <w:rFonts w:ascii="Arial" w:hAnsi="Arial" w:cs="Arial"/>
                <w:sz w:val="22"/>
                <w:szCs w:val="22"/>
              </w:rPr>
              <w:t>.</w:t>
            </w:r>
          </w:p>
        </w:tc>
        <w:tc>
          <w:tcPr>
            <w:tcW w:w="1440" w:type="dxa"/>
          </w:tcPr>
          <w:p w14:paraId="747C284A" w14:textId="77777777" w:rsidR="00F3205D" w:rsidRPr="00CD699E" w:rsidRDefault="00F3205D" w:rsidP="00A72872"/>
        </w:tc>
        <w:tc>
          <w:tcPr>
            <w:tcW w:w="1740" w:type="dxa"/>
          </w:tcPr>
          <w:p w14:paraId="5A22A5D4" w14:textId="77777777" w:rsidR="00F3205D" w:rsidRPr="00CD699E" w:rsidRDefault="00F3205D" w:rsidP="00A72872"/>
        </w:tc>
      </w:tr>
      <w:tr w:rsidR="00A72872" w:rsidRPr="00CD699E" w14:paraId="3568563A" w14:textId="77777777" w:rsidTr="09CAB8F0">
        <w:trPr>
          <w:trHeight w:val="576"/>
        </w:trPr>
        <w:tc>
          <w:tcPr>
            <w:tcW w:w="10560" w:type="dxa"/>
            <w:gridSpan w:val="3"/>
            <w:shd w:val="clear" w:color="auto" w:fill="D9D9D9" w:themeFill="background1" w:themeFillShade="D9"/>
          </w:tcPr>
          <w:p w14:paraId="78938C3C" w14:textId="1FA4C325" w:rsidR="00A72872" w:rsidRPr="00F3205D" w:rsidRDefault="5E59173F" w:rsidP="00A72872">
            <w:pPr>
              <w:jc w:val="center"/>
              <w:rPr>
                <w:rFonts w:ascii="Arial" w:hAnsi="Arial" w:cs="Arial"/>
                <w:b/>
                <w:bCs/>
              </w:rPr>
            </w:pPr>
            <w:r w:rsidRPr="43EB01A2">
              <w:rPr>
                <w:rFonts w:ascii="Arial" w:hAnsi="Arial" w:cs="Arial"/>
                <w:b/>
                <w:bCs/>
              </w:rPr>
              <w:t xml:space="preserve">Part C: </w:t>
            </w:r>
            <w:r w:rsidR="00A72872" w:rsidRPr="00F3205D">
              <w:rPr>
                <w:rFonts w:ascii="Arial" w:hAnsi="Arial" w:cs="Arial"/>
                <w:b/>
                <w:bCs/>
              </w:rPr>
              <w:t>Implementation Plan Requirements</w:t>
            </w:r>
          </w:p>
          <w:p w14:paraId="6D8228E9" w14:textId="1E592DE6" w:rsidR="00A72872" w:rsidRPr="00C7431B" w:rsidRDefault="00A72872" w:rsidP="00A72872">
            <w:pPr>
              <w:jc w:val="center"/>
              <w:rPr>
                <w:b/>
                <w:bCs/>
              </w:rPr>
            </w:pPr>
            <w:r w:rsidRPr="00F3205D">
              <w:rPr>
                <w:rFonts w:ascii="Arial" w:hAnsi="Arial" w:cs="Arial"/>
                <w:b/>
                <w:bCs/>
              </w:rPr>
              <w:t>9VAC25-900-120</w:t>
            </w:r>
          </w:p>
        </w:tc>
      </w:tr>
      <w:tr w:rsidR="00A72872" w:rsidRPr="00CD699E" w14:paraId="1E26279C" w14:textId="77777777" w:rsidTr="09CAB8F0">
        <w:trPr>
          <w:trHeight w:val="576"/>
        </w:trPr>
        <w:tc>
          <w:tcPr>
            <w:tcW w:w="7380" w:type="dxa"/>
          </w:tcPr>
          <w:p w14:paraId="7FBA521A" w14:textId="74944DD7" w:rsidR="00A72872" w:rsidRPr="003B041C" w:rsidRDefault="00A72872" w:rsidP="001E6F8B">
            <w:pPr>
              <w:pStyle w:val="BodyText"/>
              <w:jc w:val="left"/>
              <w:rPr>
                <w:rFonts w:ascii="Arial" w:hAnsi="Arial" w:cs="Arial"/>
                <w:sz w:val="22"/>
                <w:szCs w:val="22"/>
              </w:rPr>
            </w:pPr>
            <w:r w:rsidRPr="003B041C">
              <w:rPr>
                <w:rFonts w:ascii="Arial" w:hAnsi="Arial" w:cs="Arial"/>
                <w:b/>
                <w:bCs/>
                <w:sz w:val="22"/>
                <w:szCs w:val="22"/>
              </w:rPr>
              <w:t>1:</w:t>
            </w:r>
            <w:r w:rsidRPr="003B041C">
              <w:rPr>
                <w:sz w:val="22"/>
                <w:szCs w:val="22"/>
              </w:rPr>
              <w:t xml:space="preserve"> </w:t>
            </w:r>
            <w:r w:rsidRPr="003B041C">
              <w:rPr>
                <w:rFonts w:ascii="Arial" w:hAnsi="Arial" w:cs="Arial"/>
                <w:sz w:val="22"/>
                <w:szCs w:val="22"/>
              </w:rPr>
              <w:t xml:space="preserve">An operation and maintenance plan that provides a description and schedule of operation and maintenance requirements and detailed written specifications and process diagrams for the practices used </w:t>
            </w:r>
            <w:r w:rsidR="00F54DFE">
              <w:rPr>
                <w:rFonts w:ascii="Arial" w:hAnsi="Arial" w:cs="Arial"/>
                <w:sz w:val="22"/>
                <w:szCs w:val="22"/>
              </w:rPr>
              <w:t>for</w:t>
            </w:r>
            <w:r w:rsidRPr="003B041C">
              <w:rPr>
                <w:rFonts w:ascii="Arial" w:hAnsi="Arial" w:cs="Arial"/>
                <w:sz w:val="22"/>
                <w:szCs w:val="22"/>
              </w:rPr>
              <w:t xml:space="preserve"> nutrient credit</w:t>
            </w:r>
            <w:r w:rsidR="00F54DFE">
              <w:rPr>
                <w:rFonts w:ascii="Arial" w:hAnsi="Arial" w:cs="Arial"/>
                <w:sz w:val="22"/>
                <w:szCs w:val="22"/>
              </w:rPr>
              <w:t xml:space="preserve"> generation</w:t>
            </w:r>
            <w:r w:rsidRPr="003B041C">
              <w:rPr>
                <w:rFonts w:ascii="Arial" w:hAnsi="Arial" w:cs="Arial"/>
                <w:sz w:val="22"/>
                <w:szCs w:val="22"/>
              </w:rPr>
              <w:t xml:space="preserve">. </w:t>
            </w:r>
          </w:p>
        </w:tc>
        <w:tc>
          <w:tcPr>
            <w:tcW w:w="1440" w:type="dxa"/>
          </w:tcPr>
          <w:p w14:paraId="29ECA502" w14:textId="77777777" w:rsidR="00A72872" w:rsidRPr="00CD699E" w:rsidRDefault="00A72872" w:rsidP="00A72872"/>
        </w:tc>
        <w:tc>
          <w:tcPr>
            <w:tcW w:w="1740" w:type="dxa"/>
          </w:tcPr>
          <w:p w14:paraId="7683176A" w14:textId="77777777" w:rsidR="00A72872" w:rsidRPr="00CD699E" w:rsidRDefault="00A72872" w:rsidP="00A72872"/>
        </w:tc>
      </w:tr>
      <w:tr w:rsidR="00A72872" w:rsidRPr="00CD699E" w14:paraId="0C8DB9EA" w14:textId="77777777" w:rsidTr="09CAB8F0">
        <w:trPr>
          <w:trHeight w:val="576"/>
        </w:trPr>
        <w:tc>
          <w:tcPr>
            <w:tcW w:w="7380" w:type="dxa"/>
          </w:tcPr>
          <w:p w14:paraId="17F2F260" w14:textId="54AF435B" w:rsidR="00A72872" w:rsidRPr="003B041C" w:rsidRDefault="0001196D" w:rsidP="001E6F8B">
            <w:pPr>
              <w:pStyle w:val="BodyText"/>
              <w:jc w:val="left"/>
              <w:rPr>
                <w:sz w:val="22"/>
                <w:szCs w:val="22"/>
              </w:rPr>
            </w:pPr>
            <w:r>
              <w:rPr>
                <w:rFonts w:ascii="Arial" w:hAnsi="Arial" w:cs="Arial"/>
                <w:b/>
                <w:bCs/>
                <w:sz w:val="22"/>
                <w:szCs w:val="22"/>
              </w:rPr>
              <w:t>2</w:t>
            </w:r>
            <w:r w:rsidR="00A72872" w:rsidRPr="003B041C">
              <w:rPr>
                <w:rFonts w:ascii="Arial" w:hAnsi="Arial" w:cs="Arial"/>
                <w:b/>
                <w:bCs/>
                <w:sz w:val="22"/>
                <w:szCs w:val="22"/>
              </w:rPr>
              <w:t>:</w:t>
            </w:r>
            <w:r w:rsidR="00A72872" w:rsidRPr="003B041C">
              <w:rPr>
                <w:rFonts w:ascii="Arial" w:hAnsi="Arial" w:cs="Arial"/>
                <w:sz w:val="22"/>
                <w:szCs w:val="22"/>
              </w:rPr>
              <w:t xml:space="preserve"> A project plan </w:t>
            </w:r>
            <w:r w:rsidR="00F54DFE">
              <w:rPr>
                <w:rFonts w:ascii="Arial" w:hAnsi="Arial" w:cs="Arial"/>
                <w:sz w:val="22"/>
                <w:szCs w:val="22"/>
              </w:rPr>
              <w:t>included in the application</w:t>
            </w:r>
            <w:r w:rsidR="00A72872" w:rsidRPr="003B041C">
              <w:rPr>
                <w:rFonts w:ascii="Arial" w:hAnsi="Arial" w:cs="Arial"/>
                <w:sz w:val="22"/>
                <w:szCs w:val="22"/>
              </w:rPr>
              <w:t xml:space="preserve"> and prepared by a person trained in (</w:t>
            </w:r>
            <w:proofErr w:type="spellStart"/>
            <w:r w:rsidR="00A72872" w:rsidRPr="003B041C">
              <w:rPr>
                <w:rFonts w:ascii="Arial" w:hAnsi="Arial" w:cs="Arial"/>
                <w:sz w:val="22"/>
                <w:szCs w:val="22"/>
              </w:rPr>
              <w:t>i</w:t>
            </w:r>
            <w:proofErr w:type="spellEnd"/>
            <w:r w:rsidR="00A72872" w:rsidRPr="003B041C">
              <w:rPr>
                <w:rFonts w:ascii="Arial" w:hAnsi="Arial" w:cs="Arial"/>
                <w:sz w:val="22"/>
                <w:szCs w:val="22"/>
              </w:rPr>
              <w:t xml:space="preserve">) forestry management, (ii) nutrient management, or (iii) other </w:t>
            </w:r>
            <w:r w:rsidR="00A72872" w:rsidRPr="003B041C">
              <w:rPr>
                <w:rFonts w:ascii="Arial" w:hAnsi="Arial" w:cs="Arial"/>
                <w:sz w:val="22"/>
                <w:szCs w:val="22"/>
              </w:rPr>
              <w:lastRenderedPageBreak/>
              <w:t>applicable land management training that includes an understanding of whole land management planning.</w:t>
            </w:r>
          </w:p>
        </w:tc>
        <w:tc>
          <w:tcPr>
            <w:tcW w:w="1440" w:type="dxa"/>
          </w:tcPr>
          <w:p w14:paraId="5E48FD5A" w14:textId="77777777" w:rsidR="00A72872" w:rsidRPr="00CD699E" w:rsidRDefault="00A72872" w:rsidP="00A72872"/>
        </w:tc>
        <w:tc>
          <w:tcPr>
            <w:tcW w:w="1740" w:type="dxa"/>
          </w:tcPr>
          <w:p w14:paraId="312C538B" w14:textId="77777777" w:rsidR="00A72872" w:rsidRPr="00CD699E" w:rsidRDefault="00A72872" w:rsidP="00A72872"/>
        </w:tc>
      </w:tr>
      <w:tr w:rsidR="00A72872" w:rsidRPr="00CD699E" w14:paraId="34AE8623" w14:textId="77777777" w:rsidTr="09CAB8F0">
        <w:trPr>
          <w:trHeight w:val="576"/>
        </w:trPr>
        <w:tc>
          <w:tcPr>
            <w:tcW w:w="7380" w:type="dxa"/>
          </w:tcPr>
          <w:p w14:paraId="3A8C1E52" w14:textId="6541D11A" w:rsidR="00A72872" w:rsidRPr="003B041C" w:rsidRDefault="0001196D" w:rsidP="001E6F8B">
            <w:pPr>
              <w:pStyle w:val="BodyText"/>
              <w:jc w:val="left"/>
              <w:rPr>
                <w:rFonts w:ascii="Arial" w:hAnsi="Arial" w:cs="Arial"/>
                <w:sz w:val="22"/>
                <w:szCs w:val="22"/>
              </w:rPr>
            </w:pPr>
            <w:r>
              <w:rPr>
                <w:rFonts w:ascii="Arial" w:hAnsi="Arial" w:cs="Arial"/>
                <w:b/>
                <w:bCs/>
                <w:sz w:val="22"/>
                <w:szCs w:val="22"/>
              </w:rPr>
              <w:t>2.a</w:t>
            </w:r>
            <w:r w:rsidR="00A72872" w:rsidRPr="003B041C">
              <w:rPr>
                <w:rFonts w:ascii="Arial" w:hAnsi="Arial" w:cs="Arial"/>
                <w:b/>
                <w:bCs/>
                <w:sz w:val="22"/>
                <w:szCs w:val="22"/>
              </w:rPr>
              <w:t>:</w:t>
            </w:r>
            <w:r w:rsidR="00A72872" w:rsidRPr="003B041C">
              <w:rPr>
                <w:rFonts w:ascii="Arial" w:hAnsi="Arial" w:cs="Arial"/>
                <w:sz w:val="22"/>
                <w:szCs w:val="22"/>
              </w:rPr>
              <w:t xml:space="preserve"> </w:t>
            </w:r>
            <w:r w:rsidR="00F54DFE">
              <w:rPr>
                <w:rFonts w:ascii="Arial" w:hAnsi="Arial" w:cs="Arial"/>
                <w:sz w:val="22"/>
                <w:szCs w:val="22"/>
              </w:rPr>
              <w:t>The p</w:t>
            </w:r>
            <w:r w:rsidR="00A72872" w:rsidRPr="003B041C">
              <w:rPr>
                <w:rFonts w:ascii="Arial" w:hAnsi="Arial" w:cs="Arial"/>
                <w:sz w:val="22"/>
                <w:szCs w:val="22"/>
              </w:rPr>
              <w:t>lan shall include methods for invasive plant species control and eradication if woody invasive plant species impacts 5% or more of the project's acreage.</w:t>
            </w:r>
          </w:p>
        </w:tc>
        <w:tc>
          <w:tcPr>
            <w:tcW w:w="1440" w:type="dxa"/>
          </w:tcPr>
          <w:p w14:paraId="2C73F9F8" w14:textId="77777777" w:rsidR="00A72872" w:rsidRPr="00CD699E" w:rsidRDefault="00A72872" w:rsidP="00A72872"/>
        </w:tc>
        <w:tc>
          <w:tcPr>
            <w:tcW w:w="1740" w:type="dxa"/>
          </w:tcPr>
          <w:p w14:paraId="78497230" w14:textId="77777777" w:rsidR="00A72872" w:rsidRPr="00CD699E" w:rsidRDefault="00A72872" w:rsidP="00A72872"/>
        </w:tc>
      </w:tr>
      <w:tr w:rsidR="00A72872" w:rsidRPr="00CD699E" w14:paraId="0F3DE40F" w14:textId="77777777" w:rsidTr="09CAB8F0">
        <w:trPr>
          <w:trHeight w:val="576"/>
        </w:trPr>
        <w:tc>
          <w:tcPr>
            <w:tcW w:w="7380" w:type="dxa"/>
          </w:tcPr>
          <w:p w14:paraId="0569DF58" w14:textId="6749B3A5" w:rsidR="00A72872" w:rsidRPr="003B041C" w:rsidRDefault="0001196D" w:rsidP="001E6F8B">
            <w:pPr>
              <w:pStyle w:val="BodyText"/>
              <w:jc w:val="left"/>
              <w:rPr>
                <w:rFonts w:ascii="Arial" w:hAnsi="Arial" w:cs="Arial"/>
                <w:sz w:val="22"/>
                <w:szCs w:val="22"/>
              </w:rPr>
            </w:pPr>
            <w:r>
              <w:rPr>
                <w:rFonts w:ascii="Arial" w:hAnsi="Arial" w:cs="Arial"/>
                <w:b/>
                <w:bCs/>
                <w:sz w:val="22"/>
                <w:szCs w:val="22"/>
              </w:rPr>
              <w:t>2.b</w:t>
            </w:r>
            <w:r w:rsidR="00A72872" w:rsidRPr="003B041C">
              <w:rPr>
                <w:rFonts w:ascii="Arial" w:hAnsi="Arial" w:cs="Arial"/>
                <w:b/>
                <w:bCs/>
                <w:sz w:val="22"/>
                <w:szCs w:val="22"/>
              </w:rPr>
              <w:t>:</w:t>
            </w:r>
            <w:r w:rsidR="00A72872" w:rsidRPr="003B041C">
              <w:rPr>
                <w:sz w:val="22"/>
                <w:szCs w:val="22"/>
              </w:rPr>
              <w:t xml:space="preserve"> </w:t>
            </w:r>
            <w:r w:rsidR="00BB51D5">
              <w:rPr>
                <w:rFonts w:ascii="Arial" w:hAnsi="Arial" w:cs="Arial"/>
                <w:sz w:val="22"/>
                <w:szCs w:val="22"/>
              </w:rPr>
              <w:t>A</w:t>
            </w:r>
            <w:r w:rsidR="00A72872" w:rsidRPr="003B041C">
              <w:rPr>
                <w:rFonts w:ascii="Arial" w:hAnsi="Arial" w:cs="Arial"/>
                <w:sz w:val="22"/>
                <w:szCs w:val="22"/>
              </w:rPr>
              <w:t xml:space="preserve"> requirement that any harvesting of timber shall adhere to best management practices as set forth by Department of Forestry's </w:t>
            </w:r>
            <w:hyperlink r:id="rId30">
              <w:r w:rsidR="46DC5B14" w:rsidRPr="43EB01A2">
                <w:rPr>
                  <w:rStyle w:val="Hyperlink"/>
                  <w:rFonts w:ascii="Arial" w:hAnsi="Arial" w:cs="Arial"/>
                  <w:sz w:val="22"/>
                  <w:szCs w:val="22"/>
                </w:rPr>
                <w:t>Water Quality Guide</w:t>
              </w:r>
            </w:hyperlink>
            <w:r w:rsidR="00A72872" w:rsidRPr="003B041C">
              <w:rPr>
                <w:rFonts w:ascii="Arial" w:hAnsi="Arial" w:cs="Arial"/>
                <w:sz w:val="22"/>
                <w:szCs w:val="22"/>
              </w:rPr>
              <w:t xml:space="preserve"> and any other applicable local, state, or federal laws or requirements.</w:t>
            </w:r>
          </w:p>
        </w:tc>
        <w:tc>
          <w:tcPr>
            <w:tcW w:w="1440" w:type="dxa"/>
          </w:tcPr>
          <w:p w14:paraId="49A9E6AB" w14:textId="77777777" w:rsidR="00A72872" w:rsidRPr="00CD699E" w:rsidRDefault="00A72872" w:rsidP="00A72872"/>
        </w:tc>
        <w:tc>
          <w:tcPr>
            <w:tcW w:w="1740" w:type="dxa"/>
          </w:tcPr>
          <w:p w14:paraId="160314B3" w14:textId="77777777" w:rsidR="00A72872" w:rsidRPr="00CD699E" w:rsidRDefault="00A72872" w:rsidP="00A72872"/>
        </w:tc>
      </w:tr>
      <w:tr w:rsidR="00A72872" w:rsidRPr="00CD699E" w14:paraId="142D3FF9" w14:textId="77777777" w:rsidTr="09CAB8F0">
        <w:trPr>
          <w:trHeight w:val="576"/>
        </w:trPr>
        <w:tc>
          <w:tcPr>
            <w:tcW w:w="7380" w:type="dxa"/>
          </w:tcPr>
          <w:p w14:paraId="6B1F69EA" w14:textId="1FCC4119" w:rsidR="00A72872" w:rsidRPr="003B041C" w:rsidRDefault="0001196D" w:rsidP="001E6F8B">
            <w:pPr>
              <w:pStyle w:val="BodyText"/>
              <w:jc w:val="left"/>
              <w:rPr>
                <w:rFonts w:ascii="Arial" w:hAnsi="Arial" w:cs="Arial"/>
                <w:sz w:val="22"/>
                <w:szCs w:val="22"/>
              </w:rPr>
            </w:pPr>
            <w:r>
              <w:rPr>
                <w:rFonts w:ascii="Arial" w:hAnsi="Arial" w:cs="Arial"/>
                <w:b/>
                <w:bCs/>
                <w:sz w:val="22"/>
                <w:szCs w:val="22"/>
              </w:rPr>
              <w:t>2.c</w:t>
            </w:r>
            <w:r w:rsidR="00A72872" w:rsidRPr="003B041C">
              <w:rPr>
                <w:rFonts w:ascii="Arial" w:hAnsi="Arial" w:cs="Arial"/>
                <w:b/>
                <w:bCs/>
                <w:sz w:val="22"/>
                <w:szCs w:val="22"/>
              </w:rPr>
              <w:t>:</w:t>
            </w:r>
            <w:r w:rsidR="00A72872" w:rsidRPr="003B041C">
              <w:rPr>
                <w:sz w:val="22"/>
                <w:szCs w:val="22"/>
              </w:rPr>
              <w:t xml:space="preserve"> </w:t>
            </w:r>
            <w:r>
              <w:rPr>
                <w:rFonts w:ascii="Arial" w:hAnsi="Arial" w:cs="Arial"/>
                <w:sz w:val="22"/>
                <w:szCs w:val="22"/>
              </w:rPr>
              <w:t>The l</w:t>
            </w:r>
            <w:r w:rsidRPr="003B041C">
              <w:rPr>
                <w:rFonts w:ascii="Arial" w:hAnsi="Arial" w:cs="Arial"/>
                <w:sz w:val="22"/>
                <w:szCs w:val="22"/>
              </w:rPr>
              <w:t xml:space="preserve">and </w:t>
            </w:r>
            <w:r w:rsidR="00A72872" w:rsidRPr="003B041C">
              <w:rPr>
                <w:rFonts w:ascii="Arial" w:hAnsi="Arial" w:cs="Arial"/>
                <w:sz w:val="22"/>
                <w:szCs w:val="22"/>
              </w:rPr>
              <w:t>management goals.</w:t>
            </w:r>
          </w:p>
        </w:tc>
        <w:tc>
          <w:tcPr>
            <w:tcW w:w="1440" w:type="dxa"/>
          </w:tcPr>
          <w:p w14:paraId="2F2F2966" w14:textId="77777777" w:rsidR="00A72872" w:rsidRPr="00CD699E" w:rsidRDefault="00A72872" w:rsidP="00A72872"/>
        </w:tc>
        <w:tc>
          <w:tcPr>
            <w:tcW w:w="1740" w:type="dxa"/>
          </w:tcPr>
          <w:p w14:paraId="3F53FD67" w14:textId="77777777" w:rsidR="00A72872" w:rsidRPr="00CD699E" w:rsidRDefault="00A72872" w:rsidP="00A72872"/>
        </w:tc>
      </w:tr>
      <w:tr w:rsidR="00A72872" w:rsidRPr="00CD699E" w14:paraId="4F5C47BF" w14:textId="77777777" w:rsidTr="09CAB8F0">
        <w:trPr>
          <w:trHeight w:val="540"/>
        </w:trPr>
        <w:tc>
          <w:tcPr>
            <w:tcW w:w="7380" w:type="dxa"/>
          </w:tcPr>
          <w:p w14:paraId="1EACD91C" w14:textId="27ECFE60" w:rsidR="00A72872" w:rsidRPr="003B041C" w:rsidRDefault="0001196D" w:rsidP="001E6F8B">
            <w:pPr>
              <w:pStyle w:val="BodyText"/>
              <w:jc w:val="left"/>
              <w:rPr>
                <w:rFonts w:ascii="Arial" w:hAnsi="Arial" w:cs="Arial"/>
                <w:sz w:val="22"/>
                <w:szCs w:val="22"/>
              </w:rPr>
            </w:pPr>
            <w:r>
              <w:rPr>
                <w:rFonts w:ascii="Arial" w:hAnsi="Arial" w:cs="Arial"/>
                <w:b/>
                <w:bCs/>
                <w:sz w:val="22"/>
                <w:szCs w:val="22"/>
              </w:rPr>
              <w:t>2.d</w:t>
            </w:r>
            <w:r w:rsidR="00A72872" w:rsidRPr="003B041C">
              <w:rPr>
                <w:rFonts w:ascii="Arial" w:hAnsi="Arial" w:cs="Arial"/>
                <w:b/>
                <w:bCs/>
                <w:sz w:val="22"/>
                <w:szCs w:val="22"/>
              </w:rPr>
              <w:t>:</w:t>
            </w:r>
            <w:r w:rsidR="00A72872" w:rsidRPr="003B041C">
              <w:rPr>
                <w:rFonts w:ascii="Arial" w:hAnsi="Arial" w:cs="Arial"/>
                <w:sz w:val="22"/>
                <w:szCs w:val="22"/>
              </w:rPr>
              <w:t xml:space="preserve"> A statement that no fertilizer is to be used on the nutrient credit-generating project's land conversion acreage.</w:t>
            </w:r>
          </w:p>
        </w:tc>
        <w:tc>
          <w:tcPr>
            <w:tcW w:w="1440" w:type="dxa"/>
          </w:tcPr>
          <w:p w14:paraId="6811C7FC" w14:textId="77777777" w:rsidR="00A72872" w:rsidRPr="00CD699E" w:rsidRDefault="00A72872" w:rsidP="00A72872"/>
        </w:tc>
        <w:tc>
          <w:tcPr>
            <w:tcW w:w="1740" w:type="dxa"/>
          </w:tcPr>
          <w:p w14:paraId="0D31ECF6" w14:textId="77777777" w:rsidR="00A72872" w:rsidRPr="00CD699E" w:rsidRDefault="00A72872" w:rsidP="00A72872"/>
        </w:tc>
      </w:tr>
      <w:tr w:rsidR="00A72872" w:rsidRPr="00CD699E" w14:paraId="6C0F346D" w14:textId="77777777" w:rsidTr="09CAB8F0">
        <w:trPr>
          <w:trHeight w:val="576"/>
        </w:trPr>
        <w:tc>
          <w:tcPr>
            <w:tcW w:w="7380" w:type="dxa"/>
          </w:tcPr>
          <w:p w14:paraId="11E0BDF4" w14:textId="4F38930D" w:rsidR="00A72872" w:rsidRPr="003B041C" w:rsidRDefault="0001196D" w:rsidP="001E6F8B">
            <w:pPr>
              <w:pStyle w:val="BodyText"/>
              <w:jc w:val="left"/>
              <w:rPr>
                <w:rFonts w:ascii="Arial" w:hAnsi="Arial" w:cs="Arial"/>
                <w:sz w:val="22"/>
                <w:szCs w:val="22"/>
              </w:rPr>
            </w:pPr>
            <w:r>
              <w:rPr>
                <w:rFonts w:ascii="Arial" w:hAnsi="Arial" w:cs="Arial"/>
                <w:b/>
                <w:bCs/>
                <w:sz w:val="22"/>
                <w:szCs w:val="22"/>
              </w:rPr>
              <w:t>2.e</w:t>
            </w:r>
            <w:r w:rsidR="00A72872" w:rsidRPr="003B041C">
              <w:rPr>
                <w:rFonts w:ascii="Arial" w:hAnsi="Arial" w:cs="Arial"/>
                <w:b/>
                <w:bCs/>
                <w:sz w:val="22"/>
                <w:szCs w:val="22"/>
              </w:rPr>
              <w:t>:</w:t>
            </w:r>
            <w:r w:rsidR="00A72872" w:rsidRPr="003B041C">
              <w:rPr>
                <w:rFonts w:ascii="Arial" w:hAnsi="Arial" w:cs="Arial"/>
                <w:sz w:val="22"/>
                <w:szCs w:val="22"/>
              </w:rPr>
              <w:t xml:space="preserve"> A planting plan to include size, species, and spacing of trees</w:t>
            </w:r>
            <w:r w:rsidR="004666ED">
              <w:rPr>
                <w:rFonts w:ascii="Arial" w:hAnsi="Arial" w:cs="Arial"/>
                <w:sz w:val="22"/>
                <w:szCs w:val="22"/>
              </w:rPr>
              <w:t xml:space="preserve">, including provisions to achieve </w:t>
            </w:r>
            <w:r w:rsidR="004666ED" w:rsidRPr="004666ED">
              <w:rPr>
                <w:rFonts w:ascii="Arial" w:hAnsi="Arial" w:cs="Arial"/>
                <w:sz w:val="22"/>
                <w:szCs w:val="22"/>
              </w:rPr>
              <w:t>an initial survival density of a minimum of 400 deciduous tree or evergreen tree woody stems per acre including any noninvasive volunteers.</w:t>
            </w:r>
          </w:p>
        </w:tc>
        <w:tc>
          <w:tcPr>
            <w:tcW w:w="1440" w:type="dxa"/>
          </w:tcPr>
          <w:p w14:paraId="75E3F355" w14:textId="77777777" w:rsidR="00A72872" w:rsidRPr="00CD699E" w:rsidRDefault="00A72872" w:rsidP="00A72872"/>
        </w:tc>
        <w:tc>
          <w:tcPr>
            <w:tcW w:w="1740" w:type="dxa"/>
          </w:tcPr>
          <w:p w14:paraId="44FAFED6" w14:textId="77777777" w:rsidR="00A72872" w:rsidRPr="00CD699E" w:rsidRDefault="00A72872" w:rsidP="00A72872"/>
        </w:tc>
      </w:tr>
      <w:tr w:rsidR="00A72872" w:rsidRPr="00CD699E" w14:paraId="334FE4B5" w14:textId="77777777" w:rsidTr="09CAB8F0">
        <w:trPr>
          <w:trHeight w:val="576"/>
        </w:trPr>
        <w:tc>
          <w:tcPr>
            <w:tcW w:w="7380" w:type="dxa"/>
          </w:tcPr>
          <w:p w14:paraId="66AEB45D" w14:textId="139EAA5A" w:rsidR="00A72872" w:rsidRPr="003B041C" w:rsidRDefault="0001196D" w:rsidP="001E6F8B">
            <w:pPr>
              <w:pStyle w:val="BodyText"/>
              <w:jc w:val="left"/>
              <w:rPr>
                <w:rFonts w:ascii="Arial" w:hAnsi="Arial" w:cs="Arial"/>
                <w:sz w:val="22"/>
                <w:szCs w:val="22"/>
              </w:rPr>
            </w:pPr>
            <w:r>
              <w:rPr>
                <w:rFonts w:ascii="Arial" w:hAnsi="Arial" w:cs="Arial"/>
                <w:b/>
                <w:bCs/>
                <w:sz w:val="22"/>
                <w:szCs w:val="22"/>
              </w:rPr>
              <w:t>2.f</w:t>
            </w:r>
            <w:r w:rsidR="00A72872" w:rsidRPr="003B041C">
              <w:rPr>
                <w:rFonts w:ascii="Arial" w:hAnsi="Arial" w:cs="Arial"/>
                <w:b/>
                <w:bCs/>
                <w:sz w:val="22"/>
                <w:szCs w:val="22"/>
              </w:rPr>
              <w:t>:</w:t>
            </w:r>
            <w:r w:rsidR="00A72872" w:rsidRPr="003B041C">
              <w:rPr>
                <w:rFonts w:ascii="Arial" w:hAnsi="Arial" w:cs="Arial"/>
                <w:sz w:val="22"/>
                <w:szCs w:val="22"/>
              </w:rPr>
              <w:t xml:space="preserve"> </w:t>
            </w:r>
            <w:r w:rsidR="00F54DFE">
              <w:rPr>
                <w:rFonts w:ascii="Arial" w:hAnsi="Arial" w:cs="Arial"/>
                <w:sz w:val="22"/>
                <w:szCs w:val="22"/>
              </w:rPr>
              <w:t>A p</w:t>
            </w:r>
            <w:r>
              <w:rPr>
                <w:rFonts w:ascii="Arial" w:hAnsi="Arial" w:cs="Arial"/>
                <w:sz w:val="22"/>
                <w:szCs w:val="22"/>
              </w:rPr>
              <w:t>lan for phased planting, if applicable</w:t>
            </w:r>
            <w:r w:rsidR="00F54DFE">
              <w:rPr>
                <w:rFonts w:ascii="Arial" w:hAnsi="Arial" w:cs="Arial"/>
                <w:sz w:val="22"/>
                <w:szCs w:val="22"/>
              </w:rPr>
              <w:t>.</w:t>
            </w:r>
          </w:p>
        </w:tc>
        <w:tc>
          <w:tcPr>
            <w:tcW w:w="1440" w:type="dxa"/>
          </w:tcPr>
          <w:p w14:paraId="574A3664" w14:textId="77777777" w:rsidR="00A72872" w:rsidRPr="00CD699E" w:rsidRDefault="00A72872" w:rsidP="00A72872"/>
        </w:tc>
        <w:tc>
          <w:tcPr>
            <w:tcW w:w="1740" w:type="dxa"/>
          </w:tcPr>
          <w:p w14:paraId="551575AA" w14:textId="77777777" w:rsidR="00A72872" w:rsidRPr="00CD699E" w:rsidRDefault="00A72872" w:rsidP="00A72872"/>
        </w:tc>
      </w:tr>
      <w:tr w:rsidR="0001196D" w:rsidRPr="0001196D" w14:paraId="3A59D3B4" w14:textId="77777777" w:rsidTr="09CAB8F0">
        <w:trPr>
          <w:trHeight w:val="576"/>
        </w:trPr>
        <w:tc>
          <w:tcPr>
            <w:tcW w:w="7380" w:type="dxa"/>
            <w:shd w:val="clear" w:color="auto" w:fill="auto"/>
          </w:tcPr>
          <w:p w14:paraId="382F697C" w14:textId="5E2FD64B" w:rsidR="0001196D" w:rsidRPr="009D433E" w:rsidRDefault="0001196D" w:rsidP="006A659F">
            <w:pPr>
              <w:pStyle w:val="BodyText"/>
              <w:jc w:val="left"/>
              <w:rPr>
                <w:rFonts w:ascii="Arial" w:hAnsi="Arial" w:cs="Arial"/>
                <w:sz w:val="22"/>
                <w:szCs w:val="22"/>
              </w:rPr>
            </w:pPr>
            <w:r w:rsidRPr="003D7580">
              <w:rPr>
                <w:rFonts w:ascii="Arial" w:hAnsi="Arial" w:cs="Arial"/>
                <w:b/>
                <w:bCs/>
                <w:sz w:val="22"/>
                <w:szCs w:val="22"/>
              </w:rPr>
              <w:t>2.g:</w:t>
            </w:r>
            <w:r w:rsidRPr="009D433E">
              <w:rPr>
                <w:rFonts w:ascii="Arial" w:hAnsi="Arial" w:cs="Arial"/>
                <w:sz w:val="22"/>
                <w:szCs w:val="22"/>
              </w:rPr>
              <w:t xml:space="preserve"> If timbering is planned within the conversion area: A copy of the timbering plan shall be submitted to the department at least 90 days prior to the occurrence of any land disturbance or timbering, as applicable.</w:t>
            </w:r>
          </w:p>
        </w:tc>
        <w:tc>
          <w:tcPr>
            <w:tcW w:w="1440" w:type="dxa"/>
            <w:shd w:val="clear" w:color="auto" w:fill="auto"/>
          </w:tcPr>
          <w:p w14:paraId="0DEE9A55" w14:textId="77777777" w:rsidR="0001196D" w:rsidRPr="0001196D" w:rsidRDefault="0001196D" w:rsidP="00A72872"/>
        </w:tc>
        <w:tc>
          <w:tcPr>
            <w:tcW w:w="1740" w:type="dxa"/>
            <w:shd w:val="clear" w:color="auto" w:fill="auto"/>
          </w:tcPr>
          <w:p w14:paraId="15A37204" w14:textId="77777777" w:rsidR="0001196D" w:rsidRPr="0001196D" w:rsidRDefault="0001196D" w:rsidP="00A72872"/>
        </w:tc>
      </w:tr>
      <w:tr w:rsidR="00A72872" w:rsidRPr="00CD699E" w14:paraId="257BE34A" w14:textId="77777777" w:rsidTr="09CAB8F0">
        <w:trPr>
          <w:trHeight w:val="576"/>
        </w:trPr>
        <w:tc>
          <w:tcPr>
            <w:tcW w:w="7380" w:type="dxa"/>
          </w:tcPr>
          <w:p w14:paraId="685FA695" w14:textId="74884182" w:rsidR="00A72872" w:rsidRPr="003B041C" w:rsidRDefault="004666ED" w:rsidP="006A659F">
            <w:pPr>
              <w:pStyle w:val="BodyText"/>
              <w:jc w:val="left"/>
              <w:rPr>
                <w:rFonts w:ascii="Arial" w:hAnsi="Arial" w:cs="Arial"/>
                <w:sz w:val="22"/>
                <w:szCs w:val="22"/>
              </w:rPr>
            </w:pPr>
            <w:r>
              <w:rPr>
                <w:rFonts w:ascii="Arial" w:hAnsi="Arial" w:cs="Arial"/>
                <w:b/>
                <w:bCs/>
                <w:sz w:val="22"/>
                <w:szCs w:val="22"/>
              </w:rPr>
              <w:t>2.h</w:t>
            </w:r>
            <w:r w:rsidR="00A72872" w:rsidRPr="003B041C">
              <w:rPr>
                <w:rFonts w:ascii="Arial" w:hAnsi="Arial" w:cs="Arial"/>
                <w:b/>
                <w:bCs/>
                <w:sz w:val="22"/>
                <w:szCs w:val="22"/>
              </w:rPr>
              <w:t>:</w:t>
            </w:r>
            <w:r w:rsidR="00A72872" w:rsidRPr="003B041C">
              <w:rPr>
                <w:rFonts w:ascii="Arial" w:hAnsi="Arial" w:cs="Arial"/>
                <w:sz w:val="22"/>
                <w:szCs w:val="22"/>
              </w:rPr>
              <w:t xml:space="preserve"> A description of agricultural baseline requirements implemented in accordance with </w:t>
            </w:r>
            <w:hyperlink r:id="rId31">
              <w:r w:rsidR="46DC5B14" w:rsidRPr="43EB01A2">
                <w:rPr>
                  <w:rStyle w:val="Hyperlink"/>
                  <w:rFonts w:ascii="Arial" w:hAnsi="Arial" w:cs="Arial"/>
                  <w:sz w:val="22"/>
                  <w:szCs w:val="22"/>
                </w:rPr>
                <w:t>9VAC50-900-100</w:t>
              </w:r>
              <w:r w:rsidR="72D66C95" w:rsidRPr="43EB01A2">
                <w:rPr>
                  <w:rStyle w:val="Hyperlink"/>
                  <w:rFonts w:ascii="Arial" w:hAnsi="Arial" w:cs="Arial"/>
                  <w:sz w:val="22"/>
                  <w:szCs w:val="22"/>
                </w:rPr>
                <w:t>.</w:t>
              </w:r>
              <w:r w:rsidR="46DC5B14" w:rsidRPr="43EB01A2">
                <w:rPr>
                  <w:rStyle w:val="Hyperlink"/>
                  <w:rFonts w:ascii="Arial" w:hAnsi="Arial" w:cs="Arial"/>
                  <w:sz w:val="22"/>
                  <w:szCs w:val="22"/>
                </w:rPr>
                <w:t>B</w:t>
              </w:r>
            </w:hyperlink>
            <w:r w:rsidR="0044455B">
              <w:rPr>
                <w:rFonts w:ascii="Arial" w:hAnsi="Arial" w:cs="Arial"/>
                <w:sz w:val="22"/>
                <w:szCs w:val="22"/>
              </w:rPr>
              <w:t xml:space="preserve"> </w:t>
            </w:r>
            <w:r w:rsidR="00A72872" w:rsidRPr="003B041C">
              <w:rPr>
                <w:rFonts w:ascii="Arial" w:hAnsi="Arial" w:cs="Arial"/>
                <w:sz w:val="22"/>
                <w:szCs w:val="22"/>
              </w:rPr>
              <w:t>that apply to any remaining portions of the management area that are not undergoing land use conversion.</w:t>
            </w:r>
          </w:p>
        </w:tc>
        <w:tc>
          <w:tcPr>
            <w:tcW w:w="1440" w:type="dxa"/>
          </w:tcPr>
          <w:p w14:paraId="38868675" w14:textId="77777777" w:rsidR="00A72872" w:rsidRPr="00CD699E" w:rsidRDefault="00A72872" w:rsidP="00A72872"/>
        </w:tc>
        <w:tc>
          <w:tcPr>
            <w:tcW w:w="1740" w:type="dxa"/>
          </w:tcPr>
          <w:p w14:paraId="1BE118AA" w14:textId="77777777" w:rsidR="00A72872" w:rsidRPr="00CD699E" w:rsidRDefault="00A72872" w:rsidP="00A72872"/>
        </w:tc>
      </w:tr>
      <w:tr w:rsidR="00A72872" w:rsidRPr="00CD699E" w14:paraId="433FEF54" w14:textId="77777777" w:rsidTr="09CAB8F0">
        <w:trPr>
          <w:trHeight w:val="576"/>
        </w:trPr>
        <w:tc>
          <w:tcPr>
            <w:tcW w:w="7380" w:type="dxa"/>
          </w:tcPr>
          <w:p w14:paraId="4CDFB916" w14:textId="5A69B0A5" w:rsidR="00A72872" w:rsidRPr="003B041C" w:rsidRDefault="004666ED" w:rsidP="006A659F">
            <w:pPr>
              <w:pStyle w:val="BodyText"/>
              <w:jc w:val="left"/>
              <w:rPr>
                <w:rFonts w:ascii="Arial" w:hAnsi="Arial" w:cs="Arial"/>
                <w:sz w:val="22"/>
                <w:szCs w:val="22"/>
              </w:rPr>
            </w:pPr>
            <w:r>
              <w:rPr>
                <w:rFonts w:ascii="Arial" w:hAnsi="Arial" w:cs="Arial"/>
                <w:b/>
                <w:bCs/>
                <w:sz w:val="22"/>
                <w:szCs w:val="22"/>
              </w:rPr>
              <w:t>2.i</w:t>
            </w:r>
            <w:r w:rsidR="00A72872" w:rsidRPr="003B041C">
              <w:rPr>
                <w:rFonts w:ascii="Arial" w:hAnsi="Arial" w:cs="Arial"/>
                <w:b/>
                <w:bCs/>
                <w:sz w:val="22"/>
                <w:szCs w:val="22"/>
              </w:rPr>
              <w:t>:</w:t>
            </w:r>
            <w:r w:rsidR="00A72872" w:rsidRPr="003B041C">
              <w:rPr>
                <w:rFonts w:ascii="Arial" w:hAnsi="Arial" w:cs="Arial"/>
                <w:sz w:val="22"/>
                <w:szCs w:val="22"/>
              </w:rPr>
              <w:t xml:space="preserve"> P</w:t>
            </w:r>
            <w:r>
              <w:rPr>
                <w:rFonts w:ascii="Arial" w:hAnsi="Arial" w:cs="Arial"/>
                <w:sz w:val="22"/>
                <w:szCs w:val="22"/>
              </w:rPr>
              <w:t>roposed p</w:t>
            </w:r>
            <w:r w:rsidR="00A72872" w:rsidRPr="003B041C">
              <w:rPr>
                <w:rFonts w:ascii="Arial" w:hAnsi="Arial" w:cs="Arial"/>
                <w:sz w:val="22"/>
                <w:szCs w:val="22"/>
              </w:rPr>
              <w:t>erformance standards and reporting procedures</w:t>
            </w:r>
            <w:r>
              <w:rPr>
                <w:rFonts w:ascii="Arial" w:hAnsi="Arial" w:cs="Arial"/>
                <w:sz w:val="22"/>
                <w:szCs w:val="22"/>
              </w:rPr>
              <w:t xml:space="preserve"> necessary to</w:t>
            </w:r>
            <w:r w:rsidR="00A72872" w:rsidRPr="003B041C">
              <w:rPr>
                <w:rFonts w:ascii="Arial" w:hAnsi="Arial" w:cs="Arial"/>
                <w:sz w:val="22"/>
                <w:szCs w:val="22"/>
              </w:rPr>
              <w:t xml:space="preserve"> demonstrat</w:t>
            </w:r>
            <w:r>
              <w:rPr>
                <w:rFonts w:ascii="Arial" w:hAnsi="Arial" w:cs="Arial"/>
                <w:sz w:val="22"/>
                <w:szCs w:val="22"/>
              </w:rPr>
              <w:t>e</w:t>
            </w:r>
            <w:r w:rsidR="00A72872" w:rsidRPr="003B041C">
              <w:rPr>
                <w:rFonts w:ascii="Arial" w:hAnsi="Arial" w:cs="Arial"/>
                <w:sz w:val="22"/>
                <w:szCs w:val="22"/>
              </w:rPr>
              <w:t xml:space="preserve"> ongoing compliance with the baseline requirements of </w:t>
            </w:r>
            <w:hyperlink r:id="rId32">
              <w:r w:rsidR="46DC5B14" w:rsidRPr="43EB01A2">
                <w:rPr>
                  <w:rStyle w:val="Hyperlink"/>
                  <w:rFonts w:ascii="Arial" w:hAnsi="Arial" w:cs="Arial"/>
                  <w:sz w:val="22"/>
                  <w:szCs w:val="22"/>
                </w:rPr>
                <w:t>9VAC25-900-100</w:t>
              </w:r>
              <w:r w:rsidR="752EECE3" w:rsidRPr="43EB01A2">
                <w:rPr>
                  <w:rStyle w:val="Hyperlink"/>
                  <w:rFonts w:ascii="Arial" w:hAnsi="Arial" w:cs="Arial"/>
                  <w:sz w:val="22"/>
                  <w:szCs w:val="22"/>
                </w:rPr>
                <w:t>.B</w:t>
              </w:r>
            </w:hyperlink>
            <w:r w:rsidR="00A72872" w:rsidRPr="003B041C">
              <w:rPr>
                <w:rFonts w:ascii="Arial" w:hAnsi="Arial" w:cs="Arial"/>
                <w:sz w:val="22"/>
                <w:szCs w:val="22"/>
              </w:rPr>
              <w:t>.</w:t>
            </w:r>
          </w:p>
        </w:tc>
        <w:tc>
          <w:tcPr>
            <w:tcW w:w="1440" w:type="dxa"/>
          </w:tcPr>
          <w:p w14:paraId="3DCC71FC" w14:textId="77777777" w:rsidR="00A72872" w:rsidRPr="00CD699E" w:rsidRDefault="00A72872" w:rsidP="00A72872"/>
        </w:tc>
        <w:tc>
          <w:tcPr>
            <w:tcW w:w="1740" w:type="dxa"/>
          </w:tcPr>
          <w:p w14:paraId="673DA716" w14:textId="77777777" w:rsidR="00A72872" w:rsidRPr="00CD699E" w:rsidRDefault="00A72872" w:rsidP="00A72872"/>
        </w:tc>
      </w:tr>
      <w:tr w:rsidR="00A72872" w:rsidRPr="00CD699E" w14:paraId="46FEFDAE" w14:textId="77777777" w:rsidTr="09CAB8F0">
        <w:trPr>
          <w:trHeight w:val="576"/>
        </w:trPr>
        <w:tc>
          <w:tcPr>
            <w:tcW w:w="10560" w:type="dxa"/>
            <w:gridSpan w:val="3"/>
            <w:shd w:val="clear" w:color="auto" w:fill="D9D9D9" w:themeFill="background1" w:themeFillShade="D9"/>
          </w:tcPr>
          <w:p w14:paraId="522D30DD" w14:textId="633C3967" w:rsidR="00A72872" w:rsidRPr="006A659F" w:rsidRDefault="2B348B62" w:rsidP="00A72872">
            <w:pPr>
              <w:jc w:val="center"/>
              <w:rPr>
                <w:rFonts w:ascii="Arial" w:eastAsia="Arial" w:hAnsi="Arial" w:cs="Arial"/>
                <w:b/>
              </w:rPr>
            </w:pPr>
            <w:r w:rsidRPr="43EB01A2">
              <w:rPr>
                <w:rFonts w:ascii="Arial" w:eastAsia="Arial" w:hAnsi="Arial" w:cs="Arial"/>
                <w:b/>
                <w:bCs/>
              </w:rPr>
              <w:t xml:space="preserve">Part D: </w:t>
            </w:r>
            <w:r w:rsidR="00A72872" w:rsidRPr="006A659F">
              <w:rPr>
                <w:rFonts w:ascii="Arial" w:eastAsia="Arial" w:hAnsi="Arial" w:cs="Arial"/>
                <w:b/>
              </w:rPr>
              <w:t xml:space="preserve">Signature Requirements </w:t>
            </w:r>
          </w:p>
          <w:p w14:paraId="0906051E" w14:textId="3681B3A0" w:rsidR="00A72872" w:rsidRPr="006A659F" w:rsidRDefault="00A72872" w:rsidP="00A72872">
            <w:pPr>
              <w:jc w:val="center"/>
              <w:rPr>
                <w:rFonts w:ascii="Arial" w:eastAsia="Arial" w:hAnsi="Arial" w:cs="Arial"/>
                <w:b/>
              </w:rPr>
            </w:pPr>
            <w:r w:rsidRPr="006A659F">
              <w:rPr>
                <w:rFonts w:ascii="Arial" w:eastAsia="Arial" w:hAnsi="Arial" w:cs="Arial"/>
                <w:b/>
              </w:rPr>
              <w:t>9VAC25-130</w:t>
            </w:r>
          </w:p>
        </w:tc>
      </w:tr>
      <w:tr w:rsidR="00A72872" w:rsidRPr="00CD699E" w14:paraId="3CD55E3C" w14:textId="77777777" w:rsidTr="09CAB8F0">
        <w:trPr>
          <w:trHeight w:val="576"/>
        </w:trPr>
        <w:tc>
          <w:tcPr>
            <w:tcW w:w="7380" w:type="dxa"/>
          </w:tcPr>
          <w:p w14:paraId="629B63FF" w14:textId="36861A1A" w:rsidR="00A72872" w:rsidRPr="00832C95" w:rsidRDefault="003B6C0D" w:rsidP="006A659F">
            <w:pPr>
              <w:pStyle w:val="BodyText"/>
              <w:jc w:val="left"/>
              <w:rPr>
                <w:rFonts w:ascii="Arial" w:hAnsi="Arial" w:cs="Arial"/>
                <w:sz w:val="22"/>
                <w:szCs w:val="22"/>
              </w:rPr>
            </w:pPr>
            <w:r>
              <w:rPr>
                <w:rFonts w:ascii="Arial" w:hAnsi="Arial" w:cs="Arial"/>
                <w:b/>
                <w:bCs/>
                <w:sz w:val="22"/>
                <w:szCs w:val="22"/>
              </w:rPr>
              <w:t>1</w:t>
            </w:r>
            <w:r w:rsidR="00A72872" w:rsidRPr="00832C95">
              <w:rPr>
                <w:rFonts w:ascii="Arial" w:hAnsi="Arial" w:cs="Arial"/>
                <w:b/>
                <w:bCs/>
                <w:sz w:val="22"/>
                <w:szCs w:val="22"/>
              </w:rPr>
              <w:t>:</w:t>
            </w:r>
            <w:r w:rsidR="00A72872" w:rsidRPr="00832C95">
              <w:rPr>
                <w:rFonts w:ascii="Arial" w:hAnsi="Arial" w:cs="Arial"/>
                <w:sz w:val="22"/>
                <w:szCs w:val="22"/>
              </w:rPr>
              <w:t xml:space="preserve"> For a corporation, the application shall be signed by a responsible corporate officer</w:t>
            </w:r>
            <w:r w:rsidR="004666ED">
              <w:rPr>
                <w:rFonts w:ascii="Arial" w:hAnsi="Arial" w:cs="Arial"/>
                <w:sz w:val="22"/>
                <w:szCs w:val="22"/>
              </w:rPr>
              <w:t>(</w:t>
            </w:r>
            <w:r w:rsidR="00A72872" w:rsidRPr="00832C95">
              <w:rPr>
                <w:rFonts w:ascii="Arial" w:hAnsi="Arial" w:cs="Arial"/>
                <w:sz w:val="22"/>
                <w:szCs w:val="22"/>
              </w:rPr>
              <w:t>a president, secretary, treasurer, or vice-president of the corporation in charge of a principal business function or any other person who performs similar policy-making or decision-making functions for the corporation or the manager of the nutrient credit-generating project provided the manager is authorized to make management decisions that govern the operation of the project</w:t>
            </w:r>
            <w:r w:rsidR="004666ED">
              <w:rPr>
                <w:rFonts w:ascii="Arial" w:hAnsi="Arial" w:cs="Arial"/>
                <w:sz w:val="22"/>
                <w:szCs w:val="22"/>
              </w:rPr>
              <w:t>)</w:t>
            </w:r>
            <w:r w:rsidR="00A72872">
              <w:rPr>
                <w:rFonts w:ascii="Arial" w:hAnsi="Arial" w:cs="Arial"/>
                <w:sz w:val="22"/>
                <w:szCs w:val="22"/>
              </w:rPr>
              <w:t>.</w:t>
            </w:r>
          </w:p>
        </w:tc>
        <w:tc>
          <w:tcPr>
            <w:tcW w:w="1440" w:type="dxa"/>
          </w:tcPr>
          <w:p w14:paraId="7E58212C" w14:textId="77777777" w:rsidR="00A72872" w:rsidRPr="00CD699E" w:rsidRDefault="00A72872" w:rsidP="00A72872"/>
        </w:tc>
        <w:tc>
          <w:tcPr>
            <w:tcW w:w="1740" w:type="dxa"/>
          </w:tcPr>
          <w:p w14:paraId="15FD98A3" w14:textId="77777777" w:rsidR="00A72872" w:rsidRPr="00CD699E" w:rsidRDefault="00A72872" w:rsidP="00A72872"/>
        </w:tc>
      </w:tr>
      <w:tr w:rsidR="00A72872" w:rsidRPr="00CD699E" w14:paraId="538AB967" w14:textId="77777777" w:rsidTr="09CAB8F0">
        <w:trPr>
          <w:trHeight w:val="576"/>
        </w:trPr>
        <w:tc>
          <w:tcPr>
            <w:tcW w:w="7380" w:type="dxa"/>
          </w:tcPr>
          <w:p w14:paraId="7B88A866" w14:textId="52EADFA4" w:rsidR="00A72872" w:rsidRDefault="00A72872" w:rsidP="006A659F">
            <w:pPr>
              <w:pStyle w:val="BodyText"/>
              <w:jc w:val="left"/>
              <w:rPr>
                <w:rFonts w:ascii="Arial" w:hAnsi="Arial" w:cs="Arial"/>
                <w:sz w:val="22"/>
                <w:szCs w:val="22"/>
              </w:rPr>
            </w:pPr>
            <w:r w:rsidRPr="00832C95">
              <w:rPr>
                <w:rFonts w:ascii="Arial" w:hAnsi="Arial" w:cs="Arial"/>
                <w:b/>
                <w:bCs/>
                <w:sz w:val="22"/>
                <w:szCs w:val="22"/>
              </w:rPr>
              <w:t>2:</w:t>
            </w:r>
            <w:r>
              <w:rPr>
                <w:rFonts w:ascii="Arial" w:hAnsi="Arial" w:cs="Arial"/>
                <w:sz w:val="22"/>
                <w:szCs w:val="22"/>
              </w:rPr>
              <w:t xml:space="preserve"> </w:t>
            </w:r>
            <w:r w:rsidRPr="00832C95">
              <w:rPr>
                <w:rFonts w:ascii="Arial" w:hAnsi="Arial" w:cs="Arial"/>
                <w:sz w:val="22"/>
                <w:szCs w:val="22"/>
              </w:rPr>
              <w:t>For a partnership or sole proprietorship, the application shall be signed by a general partner or the proprietor, respectively</w:t>
            </w:r>
            <w:r>
              <w:rPr>
                <w:rFonts w:ascii="Arial" w:hAnsi="Arial" w:cs="Arial"/>
                <w:sz w:val="22"/>
                <w:szCs w:val="22"/>
              </w:rPr>
              <w:t>.</w:t>
            </w:r>
          </w:p>
        </w:tc>
        <w:tc>
          <w:tcPr>
            <w:tcW w:w="1440" w:type="dxa"/>
          </w:tcPr>
          <w:p w14:paraId="44B14A83" w14:textId="77777777" w:rsidR="00A72872" w:rsidRPr="00CD699E" w:rsidRDefault="00A72872" w:rsidP="00A72872"/>
        </w:tc>
        <w:tc>
          <w:tcPr>
            <w:tcW w:w="1740" w:type="dxa"/>
          </w:tcPr>
          <w:p w14:paraId="60846E5C" w14:textId="77777777" w:rsidR="00A72872" w:rsidRPr="00CD699E" w:rsidRDefault="00A72872" w:rsidP="00A72872"/>
        </w:tc>
      </w:tr>
      <w:tr w:rsidR="00A72872" w:rsidRPr="00CD699E" w14:paraId="1F5F3511" w14:textId="77777777" w:rsidTr="09CAB8F0">
        <w:trPr>
          <w:trHeight w:val="576"/>
        </w:trPr>
        <w:tc>
          <w:tcPr>
            <w:tcW w:w="7380" w:type="dxa"/>
          </w:tcPr>
          <w:p w14:paraId="458E4CB2" w14:textId="1653A7A0" w:rsidR="00A72872" w:rsidRDefault="00A72872" w:rsidP="006A659F">
            <w:pPr>
              <w:pStyle w:val="BodyText"/>
              <w:jc w:val="left"/>
              <w:rPr>
                <w:rFonts w:ascii="Arial" w:hAnsi="Arial" w:cs="Arial"/>
                <w:sz w:val="22"/>
                <w:szCs w:val="22"/>
              </w:rPr>
            </w:pPr>
            <w:r w:rsidRPr="00832C95">
              <w:rPr>
                <w:rFonts w:ascii="Arial" w:hAnsi="Arial" w:cs="Arial"/>
                <w:b/>
                <w:bCs/>
                <w:sz w:val="22"/>
                <w:szCs w:val="22"/>
              </w:rPr>
              <w:t>3:</w:t>
            </w:r>
            <w:r>
              <w:rPr>
                <w:rFonts w:ascii="Arial" w:hAnsi="Arial" w:cs="Arial"/>
                <w:sz w:val="22"/>
                <w:szCs w:val="22"/>
              </w:rPr>
              <w:t xml:space="preserve"> </w:t>
            </w:r>
            <w:r w:rsidRPr="009D433E">
              <w:rPr>
                <w:rFonts w:ascii="Arial" w:hAnsi="Arial" w:cs="Arial"/>
                <w:sz w:val="22"/>
                <w:szCs w:val="22"/>
              </w:rPr>
              <w:t>For a municipality</w:t>
            </w:r>
            <w:r w:rsidRPr="00832C95">
              <w:rPr>
                <w:rFonts w:ascii="Arial" w:hAnsi="Arial" w:cs="Arial"/>
                <w:sz w:val="22"/>
                <w:szCs w:val="22"/>
              </w:rPr>
              <w:t xml:space="preserve">, state, federal, or other public agency, the application shall be signed by either a principal executive officer or ranking elected official. For purposes of this section, a principal executive </w:t>
            </w:r>
            <w:r w:rsidRPr="00832C95">
              <w:rPr>
                <w:rFonts w:ascii="Arial" w:hAnsi="Arial" w:cs="Arial"/>
                <w:sz w:val="22"/>
                <w:szCs w:val="22"/>
              </w:rPr>
              <w:lastRenderedPageBreak/>
              <w:t>officer of a federal agency includes the chief executive officer of the agency or a senior executive officer having responsibility for the overall operations of a principal geographic unit of the agency.</w:t>
            </w:r>
          </w:p>
        </w:tc>
        <w:tc>
          <w:tcPr>
            <w:tcW w:w="1440" w:type="dxa"/>
          </w:tcPr>
          <w:p w14:paraId="7F212AE4" w14:textId="77777777" w:rsidR="00A72872" w:rsidRPr="00CD699E" w:rsidRDefault="00A72872" w:rsidP="00A72872"/>
        </w:tc>
        <w:tc>
          <w:tcPr>
            <w:tcW w:w="1740" w:type="dxa"/>
          </w:tcPr>
          <w:p w14:paraId="3677720D" w14:textId="77777777" w:rsidR="00A72872" w:rsidRPr="00CD699E" w:rsidRDefault="00A72872" w:rsidP="00A72872"/>
        </w:tc>
      </w:tr>
    </w:tbl>
    <w:p w14:paraId="725D4BBE" w14:textId="77777777" w:rsidR="002D55E5" w:rsidRDefault="002D55E5" w:rsidP="00EF499E">
      <w:pPr>
        <w:rPr>
          <w:rFonts w:ascii="Arial" w:hAnsi="Arial" w:cs="Arial"/>
          <w:b/>
        </w:rPr>
      </w:pPr>
    </w:p>
    <w:tbl>
      <w:tblPr>
        <w:tblStyle w:val="TableGrid"/>
        <w:tblW w:w="10515" w:type="dxa"/>
        <w:tblInd w:w="-545" w:type="dxa"/>
        <w:tblLayout w:type="fixed"/>
        <w:tblLook w:val="04A0" w:firstRow="1" w:lastRow="0" w:firstColumn="1" w:lastColumn="0" w:noHBand="0" w:noVBand="1"/>
      </w:tblPr>
      <w:tblGrid>
        <w:gridCol w:w="7380"/>
        <w:gridCol w:w="1440"/>
        <w:gridCol w:w="1695"/>
      </w:tblGrid>
      <w:tr w:rsidR="00BB6A83" w:rsidRPr="00EA2459" w14:paraId="2A00A820" w14:textId="77777777" w:rsidTr="006A659F">
        <w:trPr>
          <w:trHeight w:val="576"/>
          <w:tblHeader/>
        </w:trPr>
        <w:tc>
          <w:tcPr>
            <w:tcW w:w="7380" w:type="dxa"/>
            <w:shd w:val="clear" w:color="auto" w:fill="DEEAF6" w:themeFill="accent5" w:themeFillTint="33"/>
            <w:vAlign w:val="center"/>
          </w:tcPr>
          <w:p w14:paraId="750F1143" w14:textId="7A3E1B9E" w:rsidR="00BB6A83" w:rsidRPr="006F2BB4" w:rsidRDefault="00BB6A83" w:rsidP="00ED7702">
            <w:pPr>
              <w:jc w:val="center"/>
              <w:rPr>
                <w:rFonts w:ascii="Arial" w:hAnsi="Arial" w:cs="Arial"/>
                <w:b/>
                <w:bCs/>
                <w:sz w:val="26"/>
                <w:szCs w:val="26"/>
              </w:rPr>
            </w:pPr>
            <w:r w:rsidRPr="41FEE9A0">
              <w:rPr>
                <w:rFonts w:ascii="Arial" w:hAnsi="Arial" w:cs="Arial"/>
                <w:b/>
                <w:bCs/>
                <w:sz w:val="26"/>
                <w:szCs w:val="26"/>
              </w:rPr>
              <w:t>For</w:t>
            </w:r>
            <w:r>
              <w:rPr>
                <w:rFonts w:ascii="Arial" w:hAnsi="Arial" w:cs="Arial"/>
                <w:b/>
                <w:bCs/>
                <w:sz w:val="26"/>
                <w:szCs w:val="26"/>
              </w:rPr>
              <w:t xml:space="preserve"> Credit Release Requests</w:t>
            </w:r>
            <w:r w:rsidRPr="41FEE9A0">
              <w:rPr>
                <w:rFonts w:ascii="Arial" w:hAnsi="Arial" w:cs="Arial"/>
                <w:b/>
                <w:bCs/>
                <w:sz w:val="26"/>
                <w:szCs w:val="26"/>
              </w:rPr>
              <w:t xml:space="preserve"> Provide at Minimum:</w:t>
            </w:r>
          </w:p>
        </w:tc>
        <w:tc>
          <w:tcPr>
            <w:tcW w:w="1440" w:type="dxa"/>
            <w:shd w:val="clear" w:color="auto" w:fill="DEEAF6" w:themeFill="accent5" w:themeFillTint="33"/>
            <w:vAlign w:val="center"/>
          </w:tcPr>
          <w:p w14:paraId="5E16306C" w14:textId="77777777" w:rsidR="00BB6A83" w:rsidRPr="00EA2459" w:rsidRDefault="00BB6A83" w:rsidP="00ED7702">
            <w:pPr>
              <w:jc w:val="center"/>
              <w:rPr>
                <w:rFonts w:ascii="Arial" w:hAnsi="Arial" w:cs="Arial"/>
                <w:b/>
                <w:bCs/>
                <w:sz w:val="26"/>
                <w:szCs w:val="26"/>
              </w:rPr>
            </w:pPr>
            <w:r w:rsidRPr="41FEE9A0">
              <w:rPr>
                <w:rFonts w:ascii="Arial" w:hAnsi="Arial" w:cs="Arial"/>
                <w:b/>
                <w:bCs/>
                <w:sz w:val="26"/>
                <w:szCs w:val="26"/>
              </w:rPr>
              <w:t>Included</w:t>
            </w:r>
          </w:p>
          <w:p w14:paraId="144C8D75" w14:textId="77777777" w:rsidR="00BB6A83" w:rsidRPr="00EA2459" w:rsidRDefault="00BB6A83" w:rsidP="00ED7702">
            <w:pPr>
              <w:jc w:val="center"/>
              <w:rPr>
                <w:rFonts w:ascii="Arial" w:hAnsi="Arial" w:cs="Arial"/>
                <w:b/>
                <w:bCs/>
                <w:sz w:val="26"/>
                <w:szCs w:val="26"/>
              </w:rPr>
            </w:pPr>
            <w:r w:rsidRPr="41FEE9A0">
              <w:rPr>
                <w:rFonts w:ascii="Arial" w:hAnsi="Arial" w:cs="Arial"/>
                <w:b/>
                <w:bCs/>
                <w:sz w:val="26"/>
                <w:szCs w:val="26"/>
              </w:rPr>
              <w:t>(Y, N, or N/A)</w:t>
            </w:r>
          </w:p>
        </w:tc>
        <w:tc>
          <w:tcPr>
            <w:tcW w:w="1695" w:type="dxa"/>
            <w:shd w:val="clear" w:color="auto" w:fill="DEEAF6" w:themeFill="accent5" w:themeFillTint="33"/>
            <w:vAlign w:val="center"/>
          </w:tcPr>
          <w:p w14:paraId="57DB7C65" w14:textId="77777777" w:rsidR="00BB6A83" w:rsidRPr="00EA2459" w:rsidRDefault="00BB6A83" w:rsidP="00ED7702">
            <w:pPr>
              <w:jc w:val="center"/>
              <w:rPr>
                <w:rFonts w:ascii="Arial" w:hAnsi="Arial" w:cs="Arial"/>
                <w:b/>
                <w:bCs/>
                <w:sz w:val="26"/>
                <w:szCs w:val="26"/>
              </w:rPr>
            </w:pPr>
            <w:r w:rsidRPr="41FEE9A0">
              <w:rPr>
                <w:rFonts w:ascii="Arial" w:hAnsi="Arial" w:cs="Arial"/>
                <w:b/>
                <w:bCs/>
                <w:sz w:val="26"/>
                <w:szCs w:val="26"/>
              </w:rPr>
              <w:t>Page Number(s)</w:t>
            </w:r>
          </w:p>
          <w:p w14:paraId="1A40260E" w14:textId="77777777" w:rsidR="00BB6A83" w:rsidRPr="00EA2459" w:rsidRDefault="00BB6A83" w:rsidP="00ED7702">
            <w:pPr>
              <w:jc w:val="center"/>
              <w:rPr>
                <w:rFonts w:ascii="Arial" w:hAnsi="Arial" w:cs="Arial"/>
                <w:b/>
                <w:bCs/>
                <w:sz w:val="26"/>
                <w:szCs w:val="26"/>
              </w:rPr>
            </w:pPr>
            <w:r w:rsidRPr="41FEE9A0">
              <w:rPr>
                <w:rFonts w:ascii="Arial" w:hAnsi="Arial" w:cs="Arial"/>
                <w:b/>
                <w:bCs/>
                <w:sz w:val="26"/>
                <w:szCs w:val="26"/>
              </w:rPr>
              <w:t>Or Location(s)</w:t>
            </w:r>
          </w:p>
        </w:tc>
      </w:tr>
      <w:tr w:rsidR="00BB6A83" w:rsidRPr="00CD699E" w14:paraId="73091CE8" w14:textId="77777777" w:rsidTr="006A659F">
        <w:trPr>
          <w:trHeight w:val="576"/>
        </w:trPr>
        <w:tc>
          <w:tcPr>
            <w:tcW w:w="7380" w:type="dxa"/>
          </w:tcPr>
          <w:p w14:paraId="72C073C9" w14:textId="1A75FA7E" w:rsidR="00BB6A83" w:rsidRPr="00B30400" w:rsidRDefault="001E6F8B" w:rsidP="006A659F">
            <w:pPr>
              <w:pStyle w:val="BodyText"/>
              <w:jc w:val="left"/>
              <w:rPr>
                <w:rFonts w:ascii="Arial" w:hAnsi="Arial" w:cs="Arial"/>
                <w:sz w:val="22"/>
                <w:szCs w:val="22"/>
              </w:rPr>
            </w:pPr>
            <w:r>
              <w:rPr>
                <w:rFonts w:ascii="Arial" w:hAnsi="Arial" w:cs="Arial"/>
                <w:b/>
                <w:bCs/>
                <w:sz w:val="22"/>
                <w:szCs w:val="22"/>
              </w:rPr>
              <w:t>1</w:t>
            </w:r>
            <w:r w:rsidR="2EE4EC29" w:rsidRPr="43EB01A2">
              <w:rPr>
                <w:rFonts w:ascii="Arial" w:hAnsi="Arial" w:cs="Arial"/>
                <w:b/>
                <w:bCs/>
                <w:sz w:val="22"/>
                <w:szCs w:val="22"/>
              </w:rPr>
              <w:t>:</w:t>
            </w:r>
            <w:r w:rsidR="752EECE3" w:rsidRPr="43EB01A2">
              <w:rPr>
                <w:rFonts w:ascii="Arial" w:hAnsi="Arial" w:cs="Arial"/>
                <w:b/>
                <w:bCs/>
                <w:sz w:val="22"/>
                <w:szCs w:val="22"/>
              </w:rPr>
              <w:t xml:space="preserve"> </w:t>
            </w:r>
            <w:r w:rsidR="3CD29470" w:rsidRPr="006A659F">
              <w:rPr>
                <w:rFonts w:ascii="Arial" w:hAnsi="Arial" w:cs="Arial"/>
                <w:sz w:val="22"/>
                <w:szCs w:val="22"/>
              </w:rPr>
              <w:t xml:space="preserve">Final </w:t>
            </w:r>
            <w:r w:rsidR="67233AF6" w:rsidRPr="006A659F">
              <w:rPr>
                <w:rFonts w:ascii="Arial" w:hAnsi="Arial" w:cs="Arial"/>
                <w:sz w:val="22"/>
                <w:szCs w:val="22"/>
              </w:rPr>
              <w:t>c</w:t>
            </w:r>
            <w:r w:rsidR="4A3D0445" w:rsidRPr="006A659F">
              <w:rPr>
                <w:rFonts w:ascii="Arial" w:hAnsi="Arial" w:cs="Arial"/>
                <w:sz w:val="22"/>
                <w:szCs w:val="22"/>
              </w:rPr>
              <w:t xml:space="preserve">redit release table in accordance with </w:t>
            </w:r>
            <w:hyperlink r:id="rId33">
              <w:r w:rsidR="4A3D0445" w:rsidRPr="006A659F">
                <w:rPr>
                  <w:rStyle w:val="Hyperlink"/>
                  <w:rFonts w:ascii="Arial" w:hAnsi="Arial" w:cs="Arial"/>
                  <w:sz w:val="22"/>
                  <w:szCs w:val="22"/>
                </w:rPr>
                <w:t>9VAC25-900-90</w:t>
              </w:r>
            </w:hyperlink>
            <w:r w:rsidR="6D1ACF9A" w:rsidRPr="43EB01A2">
              <w:rPr>
                <w:rFonts w:ascii="Arial" w:hAnsi="Arial" w:cs="Arial"/>
                <w:sz w:val="22"/>
                <w:szCs w:val="22"/>
              </w:rPr>
              <w:t xml:space="preserve"> </w:t>
            </w:r>
            <w:r w:rsidR="752EECE3" w:rsidRPr="43EB01A2">
              <w:rPr>
                <w:rFonts w:ascii="Arial" w:hAnsi="Arial" w:cs="Arial"/>
                <w:sz w:val="22"/>
                <w:szCs w:val="22"/>
              </w:rPr>
              <w:t>(</w:t>
            </w:r>
            <w:r w:rsidR="6D1ACF9A" w:rsidRPr="43EB01A2">
              <w:rPr>
                <w:rFonts w:ascii="Arial" w:hAnsi="Arial" w:cs="Arial"/>
                <w:sz w:val="22"/>
                <w:szCs w:val="22"/>
              </w:rPr>
              <w:t>Optional</w:t>
            </w:r>
            <w:r w:rsidR="752EECE3" w:rsidRPr="43EB01A2">
              <w:rPr>
                <w:rFonts w:ascii="Arial" w:hAnsi="Arial" w:cs="Arial"/>
                <w:sz w:val="22"/>
                <w:szCs w:val="22"/>
              </w:rPr>
              <w:t>)</w:t>
            </w:r>
          </w:p>
        </w:tc>
        <w:tc>
          <w:tcPr>
            <w:tcW w:w="1440" w:type="dxa"/>
          </w:tcPr>
          <w:p w14:paraId="5C26EE2A" w14:textId="77777777" w:rsidR="00BB6A83" w:rsidRPr="00CD699E" w:rsidRDefault="00BB6A83" w:rsidP="00ED7702"/>
        </w:tc>
        <w:tc>
          <w:tcPr>
            <w:tcW w:w="1695" w:type="dxa"/>
          </w:tcPr>
          <w:p w14:paraId="5C8B9CBE" w14:textId="77777777" w:rsidR="00BB6A83" w:rsidRPr="00CD699E" w:rsidRDefault="00BB6A83" w:rsidP="00ED7702"/>
        </w:tc>
      </w:tr>
      <w:tr w:rsidR="006357C0" w:rsidRPr="00CD699E" w14:paraId="63031749" w14:textId="77777777" w:rsidTr="006A659F">
        <w:trPr>
          <w:trHeight w:val="576"/>
        </w:trPr>
        <w:tc>
          <w:tcPr>
            <w:tcW w:w="7380" w:type="dxa"/>
          </w:tcPr>
          <w:p w14:paraId="75B51A5E" w14:textId="3004493B" w:rsidR="006357C0" w:rsidRDefault="00672F97" w:rsidP="006A659F">
            <w:pPr>
              <w:pStyle w:val="BodyText"/>
              <w:jc w:val="left"/>
              <w:rPr>
                <w:rFonts w:ascii="Arial" w:hAnsi="Arial" w:cs="Arial"/>
                <w:sz w:val="22"/>
                <w:szCs w:val="22"/>
              </w:rPr>
            </w:pPr>
            <w:r w:rsidRPr="43EB01A2">
              <w:rPr>
                <w:rFonts w:ascii="Arial" w:hAnsi="Arial" w:cs="Arial"/>
                <w:b/>
                <w:sz w:val="22"/>
                <w:szCs w:val="22"/>
              </w:rPr>
              <w:t>2</w:t>
            </w:r>
            <w:r w:rsidR="006357C0" w:rsidRPr="43EB01A2">
              <w:rPr>
                <w:rFonts w:ascii="Arial" w:hAnsi="Arial" w:cs="Arial"/>
                <w:b/>
                <w:sz w:val="22"/>
                <w:szCs w:val="22"/>
              </w:rPr>
              <w:t>:</w:t>
            </w:r>
            <w:r w:rsidR="006357C0" w:rsidRPr="43EB01A2">
              <w:rPr>
                <w:rFonts w:ascii="Arial" w:hAnsi="Arial" w:cs="Arial"/>
                <w:sz w:val="22"/>
                <w:szCs w:val="22"/>
              </w:rPr>
              <w:t xml:space="preserve"> </w:t>
            </w:r>
            <w:r w:rsidR="003D7580" w:rsidRPr="43EB01A2">
              <w:rPr>
                <w:rFonts w:ascii="Arial" w:hAnsi="Arial" w:cs="Arial"/>
                <w:sz w:val="22"/>
                <w:szCs w:val="22"/>
              </w:rPr>
              <w:t>Evidence t</w:t>
            </w:r>
            <w:r w:rsidR="006357C0" w:rsidRPr="43EB01A2">
              <w:rPr>
                <w:rFonts w:ascii="Arial" w:hAnsi="Arial" w:cs="Arial"/>
                <w:sz w:val="22"/>
                <w:szCs w:val="22"/>
              </w:rPr>
              <w:t>he owner holds a valid Certificate of Resource Management Plan Implementation for the management area that has been issued pursuant to the Resource Management Plans regulation (</w:t>
            </w:r>
            <w:hyperlink r:id="rId34">
              <w:r w:rsidR="4675AD8F" w:rsidRPr="43EB01A2">
                <w:rPr>
                  <w:rStyle w:val="Hyperlink"/>
                  <w:rFonts w:ascii="Arial" w:hAnsi="Arial" w:cs="Arial"/>
                  <w:sz w:val="22"/>
                  <w:szCs w:val="22"/>
                </w:rPr>
                <w:t>4VAC50-70</w:t>
              </w:r>
            </w:hyperlink>
            <w:r w:rsidR="006357C0" w:rsidRPr="43EB01A2">
              <w:rPr>
                <w:rFonts w:ascii="Arial" w:hAnsi="Arial" w:cs="Arial"/>
                <w:sz w:val="22"/>
                <w:szCs w:val="22"/>
              </w:rPr>
              <w:t xml:space="preserve">). </w:t>
            </w:r>
          </w:p>
        </w:tc>
        <w:tc>
          <w:tcPr>
            <w:tcW w:w="1440" w:type="dxa"/>
          </w:tcPr>
          <w:p w14:paraId="3FC18C8C" w14:textId="77777777" w:rsidR="006357C0" w:rsidRPr="00CD699E" w:rsidRDefault="006357C0" w:rsidP="0089244A"/>
        </w:tc>
        <w:tc>
          <w:tcPr>
            <w:tcW w:w="1695" w:type="dxa"/>
          </w:tcPr>
          <w:p w14:paraId="7F39AF32" w14:textId="77777777" w:rsidR="006357C0" w:rsidRPr="00CD699E" w:rsidRDefault="006357C0" w:rsidP="0089244A"/>
        </w:tc>
      </w:tr>
      <w:tr w:rsidR="006357C0" w:rsidRPr="00CD699E" w14:paraId="6ECD64FE" w14:textId="77777777" w:rsidTr="006A659F">
        <w:trPr>
          <w:trHeight w:val="576"/>
        </w:trPr>
        <w:tc>
          <w:tcPr>
            <w:tcW w:w="7380" w:type="dxa"/>
          </w:tcPr>
          <w:p w14:paraId="08A12AC2" w14:textId="7CEB9F55" w:rsidR="006357C0" w:rsidRPr="003B041C" w:rsidRDefault="00672F97" w:rsidP="006A659F">
            <w:pPr>
              <w:pStyle w:val="BodyText"/>
              <w:jc w:val="left"/>
              <w:rPr>
                <w:rFonts w:ascii="Arial" w:hAnsi="Arial" w:cs="Arial"/>
                <w:b/>
                <w:bCs/>
                <w:sz w:val="22"/>
                <w:szCs w:val="22"/>
              </w:rPr>
            </w:pPr>
            <w:r>
              <w:rPr>
                <w:rFonts w:ascii="Arial" w:hAnsi="Arial" w:cs="Arial"/>
                <w:b/>
                <w:bCs/>
                <w:sz w:val="22"/>
                <w:szCs w:val="22"/>
              </w:rPr>
              <w:t>3</w:t>
            </w:r>
            <w:r w:rsidR="006357C0" w:rsidRPr="7C587EE5">
              <w:rPr>
                <w:rFonts w:ascii="Arial" w:hAnsi="Arial" w:cs="Arial"/>
                <w:b/>
                <w:bCs/>
                <w:sz w:val="22"/>
                <w:szCs w:val="22"/>
              </w:rPr>
              <w:t xml:space="preserve">: </w:t>
            </w:r>
            <w:r w:rsidR="006357C0" w:rsidRPr="7C587EE5">
              <w:rPr>
                <w:rFonts w:ascii="Arial" w:hAnsi="Arial" w:cs="Arial"/>
                <w:sz w:val="22"/>
                <w:szCs w:val="22"/>
              </w:rPr>
              <w:t>If the owner does not hold a valid Certificate of Resource Management Plan</w:t>
            </w:r>
            <w:r w:rsidR="00E857CE">
              <w:rPr>
                <w:rFonts w:ascii="Arial" w:hAnsi="Arial" w:cs="Arial"/>
                <w:sz w:val="22"/>
                <w:szCs w:val="22"/>
              </w:rPr>
              <w:t xml:space="preserve"> </w:t>
            </w:r>
            <w:r w:rsidR="006357C0" w:rsidRPr="7C587EE5">
              <w:rPr>
                <w:rFonts w:ascii="Arial" w:hAnsi="Arial" w:cs="Arial"/>
                <w:sz w:val="22"/>
                <w:szCs w:val="22"/>
              </w:rPr>
              <w:t>for the management area, the following shall</w:t>
            </w:r>
            <w:r w:rsidR="00367207">
              <w:rPr>
                <w:rFonts w:ascii="Arial" w:hAnsi="Arial" w:cs="Arial"/>
                <w:sz w:val="22"/>
                <w:szCs w:val="22"/>
              </w:rPr>
              <w:t xml:space="preserve"> be</w:t>
            </w:r>
            <w:r w:rsidR="006357C0" w:rsidRPr="7C587EE5">
              <w:rPr>
                <w:rFonts w:ascii="Arial" w:hAnsi="Arial" w:cs="Arial"/>
                <w:sz w:val="22"/>
                <w:szCs w:val="22"/>
              </w:rPr>
              <w:t xml:space="preserve"> </w:t>
            </w:r>
            <w:r w:rsidR="009D433E" w:rsidRPr="7C587EE5">
              <w:rPr>
                <w:rFonts w:ascii="Arial" w:hAnsi="Arial" w:cs="Arial"/>
                <w:sz w:val="22"/>
                <w:szCs w:val="22"/>
              </w:rPr>
              <w:t>implemented</w:t>
            </w:r>
            <w:r w:rsidR="006357C0" w:rsidRPr="7C587EE5">
              <w:rPr>
                <w:rFonts w:ascii="Arial" w:hAnsi="Arial" w:cs="Arial"/>
                <w:sz w:val="22"/>
                <w:szCs w:val="22"/>
              </w:rPr>
              <w:t>, as applicable:</w:t>
            </w:r>
          </w:p>
        </w:tc>
        <w:tc>
          <w:tcPr>
            <w:tcW w:w="1440" w:type="dxa"/>
          </w:tcPr>
          <w:p w14:paraId="29F202C9" w14:textId="77777777" w:rsidR="006357C0" w:rsidRPr="00CD699E" w:rsidRDefault="006357C0" w:rsidP="0089244A"/>
        </w:tc>
        <w:tc>
          <w:tcPr>
            <w:tcW w:w="1695" w:type="dxa"/>
          </w:tcPr>
          <w:p w14:paraId="4461963C" w14:textId="77777777" w:rsidR="006357C0" w:rsidRPr="00CD699E" w:rsidRDefault="006357C0" w:rsidP="0089244A"/>
        </w:tc>
      </w:tr>
      <w:tr w:rsidR="006357C0" w:rsidRPr="00CD699E" w14:paraId="3E5EAE4F" w14:textId="77777777" w:rsidTr="006A659F">
        <w:trPr>
          <w:trHeight w:val="576"/>
        </w:trPr>
        <w:tc>
          <w:tcPr>
            <w:tcW w:w="7380" w:type="dxa"/>
          </w:tcPr>
          <w:p w14:paraId="58A86560" w14:textId="70A0CE60" w:rsidR="006357C0" w:rsidRDefault="001557FC" w:rsidP="006A659F">
            <w:pPr>
              <w:pStyle w:val="BodyText"/>
              <w:jc w:val="left"/>
              <w:rPr>
                <w:rFonts w:ascii="Arial" w:hAnsi="Arial" w:cs="Arial"/>
                <w:sz w:val="22"/>
                <w:szCs w:val="22"/>
              </w:rPr>
            </w:pPr>
            <w:r w:rsidRPr="43EB01A2">
              <w:rPr>
                <w:rFonts w:ascii="Arial" w:hAnsi="Arial" w:cs="Arial"/>
                <w:b/>
                <w:sz w:val="22"/>
                <w:szCs w:val="22"/>
              </w:rPr>
              <w:t>3</w:t>
            </w:r>
            <w:r w:rsidR="006357C0" w:rsidRPr="43EB01A2">
              <w:rPr>
                <w:rFonts w:ascii="Arial" w:hAnsi="Arial" w:cs="Arial"/>
                <w:b/>
                <w:sz w:val="22"/>
                <w:szCs w:val="22"/>
              </w:rPr>
              <w:t>.a:</w:t>
            </w:r>
            <w:r w:rsidR="006357C0">
              <w:t xml:space="preserve"> </w:t>
            </w:r>
            <w:r w:rsidR="006357C0" w:rsidRPr="43EB01A2">
              <w:rPr>
                <w:rFonts w:ascii="Arial" w:hAnsi="Arial" w:cs="Arial"/>
                <w:sz w:val="22"/>
                <w:szCs w:val="22"/>
              </w:rPr>
              <w:t>Soil conservation. Soil conservation practices for the management area shall be implemented and maintained to achieve a maximum soil loss rate not to exceed "T" and to address gross erosion when it is present as gullies or other severely eroding conditions.</w:t>
            </w:r>
          </w:p>
        </w:tc>
        <w:tc>
          <w:tcPr>
            <w:tcW w:w="1440" w:type="dxa"/>
          </w:tcPr>
          <w:p w14:paraId="4F45EC84" w14:textId="77777777" w:rsidR="006357C0" w:rsidRPr="00CD699E" w:rsidRDefault="006357C0" w:rsidP="0089244A"/>
        </w:tc>
        <w:tc>
          <w:tcPr>
            <w:tcW w:w="1695" w:type="dxa"/>
          </w:tcPr>
          <w:p w14:paraId="488F5939" w14:textId="77777777" w:rsidR="006357C0" w:rsidRPr="00CD699E" w:rsidRDefault="006357C0" w:rsidP="0089244A"/>
        </w:tc>
      </w:tr>
      <w:tr w:rsidR="006357C0" w:rsidRPr="00CD699E" w14:paraId="5D92ECA5" w14:textId="77777777" w:rsidTr="006A659F">
        <w:trPr>
          <w:trHeight w:val="576"/>
        </w:trPr>
        <w:tc>
          <w:tcPr>
            <w:tcW w:w="7380" w:type="dxa"/>
          </w:tcPr>
          <w:p w14:paraId="5151D4EE" w14:textId="04D475F1" w:rsidR="006357C0" w:rsidRDefault="00672F97" w:rsidP="00BC293F">
            <w:pPr>
              <w:pStyle w:val="BodyText"/>
              <w:jc w:val="left"/>
              <w:rPr>
                <w:rFonts w:ascii="Arial" w:hAnsi="Arial" w:cs="Arial"/>
                <w:sz w:val="22"/>
                <w:szCs w:val="22"/>
              </w:rPr>
            </w:pPr>
            <w:r>
              <w:rPr>
                <w:rFonts w:ascii="Arial" w:hAnsi="Arial" w:cs="Arial"/>
                <w:b/>
                <w:bCs/>
                <w:sz w:val="22"/>
                <w:szCs w:val="22"/>
              </w:rPr>
              <w:t>3</w:t>
            </w:r>
            <w:r w:rsidR="006357C0" w:rsidRPr="7C587EE5">
              <w:rPr>
                <w:rFonts w:ascii="Arial" w:hAnsi="Arial" w:cs="Arial"/>
                <w:b/>
                <w:bCs/>
                <w:sz w:val="22"/>
                <w:szCs w:val="22"/>
              </w:rPr>
              <w:t>.b:</w:t>
            </w:r>
            <w:r w:rsidR="006357C0" w:rsidRPr="7C587EE5">
              <w:rPr>
                <w:rFonts w:ascii="PT Serif" w:eastAsiaTheme="minorEastAsia" w:hAnsi="PT Serif" w:cstheme="minorBidi"/>
                <w:color w:val="444444"/>
                <w:sz w:val="27"/>
                <w:szCs w:val="27"/>
              </w:rPr>
              <w:t xml:space="preserve"> </w:t>
            </w:r>
            <w:r w:rsidR="006357C0" w:rsidRPr="7C587EE5">
              <w:rPr>
                <w:rFonts w:ascii="Arial" w:hAnsi="Arial" w:cs="Arial"/>
                <w:sz w:val="22"/>
                <w:szCs w:val="22"/>
              </w:rPr>
              <w:t>Nutrient management. Implementation and maintenance of the nutrient management practices required by the nutrient management plan written by a certified nutrient management planner pursuant to the Nutrient Management Training and Certification Regulations.</w:t>
            </w:r>
            <w:r w:rsidR="001557FC">
              <w:rPr>
                <w:rFonts w:ascii="Arial" w:hAnsi="Arial" w:cs="Arial"/>
                <w:sz w:val="22"/>
                <w:szCs w:val="22"/>
              </w:rPr>
              <w:t xml:space="preserve"> DCR certified nutrient management planners are listed in the following </w:t>
            </w:r>
            <w:hyperlink r:id="rId35">
              <w:r w:rsidR="77B90468" w:rsidRPr="43EB01A2">
                <w:rPr>
                  <w:rStyle w:val="Hyperlink"/>
                  <w:rFonts w:ascii="Arial" w:hAnsi="Arial" w:cs="Arial"/>
                  <w:sz w:val="22"/>
                  <w:szCs w:val="22"/>
                </w:rPr>
                <w:t>Directory</w:t>
              </w:r>
            </w:hyperlink>
            <w:r w:rsidR="77B90468" w:rsidRPr="43EB01A2">
              <w:rPr>
                <w:rFonts w:ascii="Arial" w:hAnsi="Arial" w:cs="Arial"/>
                <w:sz w:val="22"/>
                <w:szCs w:val="22"/>
              </w:rPr>
              <w:t>.</w:t>
            </w:r>
          </w:p>
        </w:tc>
        <w:tc>
          <w:tcPr>
            <w:tcW w:w="1440" w:type="dxa"/>
          </w:tcPr>
          <w:p w14:paraId="4B628C32" w14:textId="77777777" w:rsidR="006357C0" w:rsidRPr="00CD699E" w:rsidRDefault="006357C0" w:rsidP="0089244A"/>
        </w:tc>
        <w:tc>
          <w:tcPr>
            <w:tcW w:w="1695" w:type="dxa"/>
          </w:tcPr>
          <w:p w14:paraId="1EA93CEC" w14:textId="77777777" w:rsidR="006357C0" w:rsidRPr="00CD699E" w:rsidRDefault="006357C0" w:rsidP="0089244A"/>
        </w:tc>
      </w:tr>
      <w:tr w:rsidR="006357C0" w:rsidRPr="00CD699E" w14:paraId="4368EFCC" w14:textId="77777777" w:rsidTr="006A659F">
        <w:trPr>
          <w:trHeight w:val="576"/>
        </w:trPr>
        <w:tc>
          <w:tcPr>
            <w:tcW w:w="7380" w:type="dxa"/>
          </w:tcPr>
          <w:p w14:paraId="688D57A5" w14:textId="2496AE6A" w:rsidR="006357C0" w:rsidRPr="006B0972" w:rsidRDefault="00672F97" w:rsidP="00BC293F">
            <w:pPr>
              <w:pStyle w:val="BodyText"/>
              <w:jc w:val="left"/>
              <w:rPr>
                <w:rFonts w:ascii="Arial" w:hAnsi="Arial" w:cs="Arial"/>
                <w:sz w:val="22"/>
                <w:szCs w:val="22"/>
              </w:rPr>
            </w:pPr>
            <w:r w:rsidRPr="43EB01A2">
              <w:rPr>
                <w:rFonts w:ascii="Arial" w:hAnsi="Arial" w:cs="Arial"/>
                <w:b/>
                <w:sz w:val="22"/>
                <w:szCs w:val="22"/>
              </w:rPr>
              <w:t>3</w:t>
            </w:r>
            <w:r w:rsidR="006357C0" w:rsidRPr="43EB01A2">
              <w:rPr>
                <w:rFonts w:ascii="Arial" w:hAnsi="Arial" w:cs="Arial"/>
                <w:b/>
                <w:sz w:val="22"/>
                <w:szCs w:val="22"/>
              </w:rPr>
              <w:t>.c:</w:t>
            </w:r>
            <w:r w:rsidR="006357C0">
              <w:t xml:space="preserve"> </w:t>
            </w:r>
            <w:r w:rsidR="006357C0" w:rsidRPr="43EB01A2">
              <w:rPr>
                <w:rFonts w:ascii="Arial" w:hAnsi="Arial" w:cs="Arial"/>
                <w:sz w:val="22"/>
                <w:szCs w:val="22"/>
              </w:rPr>
              <w:t xml:space="preserve">Riparian buffer. A woodland or grass riparian buffer shall be installed and maintained around all water bodies with perennial flow within the management area and shall be installed and maintained along all water bodies with perennial flow bordering the management area. The riparian buffer shall be a minimum width of 35 feet as measured from the top of the channel bank to the edge of the cropland, </w:t>
            </w:r>
            <w:proofErr w:type="spellStart"/>
            <w:r w:rsidR="006357C0" w:rsidRPr="43EB01A2">
              <w:rPr>
                <w:rFonts w:ascii="Arial" w:hAnsi="Arial" w:cs="Arial"/>
                <w:sz w:val="22"/>
                <w:szCs w:val="22"/>
              </w:rPr>
              <w:t>hayland</w:t>
            </w:r>
            <w:proofErr w:type="spellEnd"/>
            <w:r w:rsidR="006357C0" w:rsidRPr="43EB01A2">
              <w:rPr>
                <w:rFonts w:ascii="Arial" w:hAnsi="Arial" w:cs="Arial"/>
                <w:sz w:val="22"/>
                <w:szCs w:val="22"/>
              </w:rPr>
              <w:t xml:space="preserve">, or pasture and in accordance with </w:t>
            </w:r>
            <w:r w:rsidR="00E857CE" w:rsidRPr="43EB01A2">
              <w:rPr>
                <w:rFonts w:ascii="Arial" w:hAnsi="Arial" w:cs="Arial"/>
                <w:sz w:val="22"/>
                <w:szCs w:val="22"/>
              </w:rPr>
              <w:t>s</w:t>
            </w:r>
            <w:r w:rsidR="006357C0" w:rsidRPr="43EB01A2">
              <w:rPr>
                <w:rFonts w:ascii="Arial" w:hAnsi="Arial" w:cs="Arial"/>
                <w:sz w:val="22"/>
                <w:szCs w:val="22"/>
              </w:rPr>
              <w:t xml:space="preserve">pecifications for </w:t>
            </w:r>
            <w:hyperlink r:id="rId36">
              <w:r w:rsidR="4675AD8F" w:rsidRPr="43EB01A2">
                <w:rPr>
                  <w:rStyle w:val="Hyperlink"/>
                  <w:rFonts w:ascii="Arial" w:hAnsi="Arial" w:cs="Arial"/>
                  <w:sz w:val="22"/>
                  <w:szCs w:val="22"/>
                </w:rPr>
                <w:t>NO. FR-3</w:t>
              </w:r>
            </w:hyperlink>
            <w:r w:rsidR="4675AD8F" w:rsidRPr="43EB01A2">
              <w:rPr>
                <w:rFonts w:ascii="Arial" w:hAnsi="Arial" w:cs="Arial"/>
                <w:sz w:val="22"/>
                <w:szCs w:val="22"/>
              </w:rPr>
              <w:t xml:space="preserve"> or </w:t>
            </w:r>
            <w:r w:rsidR="752EECE3" w:rsidRPr="43EB01A2">
              <w:rPr>
                <w:rFonts w:ascii="Arial" w:hAnsi="Arial" w:cs="Arial"/>
                <w:sz w:val="22"/>
                <w:szCs w:val="22"/>
              </w:rPr>
              <w:t>s</w:t>
            </w:r>
            <w:r w:rsidR="4675AD8F" w:rsidRPr="43EB01A2">
              <w:rPr>
                <w:rFonts w:ascii="Arial" w:hAnsi="Arial" w:cs="Arial"/>
                <w:sz w:val="22"/>
                <w:szCs w:val="22"/>
              </w:rPr>
              <w:t xml:space="preserve">pecifications for </w:t>
            </w:r>
            <w:hyperlink r:id="rId37">
              <w:r w:rsidR="4675AD8F" w:rsidRPr="43EB01A2">
                <w:rPr>
                  <w:rStyle w:val="Hyperlink"/>
                  <w:rFonts w:ascii="Arial" w:hAnsi="Arial" w:cs="Arial"/>
                  <w:sz w:val="22"/>
                  <w:szCs w:val="22"/>
                </w:rPr>
                <w:t>NO. WQ-1</w:t>
              </w:r>
            </w:hyperlink>
            <w:r w:rsidR="006357C0" w:rsidRPr="43EB01A2">
              <w:rPr>
                <w:rFonts w:ascii="Arial" w:hAnsi="Arial" w:cs="Arial"/>
                <w:sz w:val="22"/>
                <w:szCs w:val="22"/>
              </w:rPr>
              <w:t xml:space="preserve"> contained in the VACS BMP Manual.</w:t>
            </w:r>
          </w:p>
        </w:tc>
        <w:tc>
          <w:tcPr>
            <w:tcW w:w="1440" w:type="dxa"/>
          </w:tcPr>
          <w:p w14:paraId="11684FC1" w14:textId="77777777" w:rsidR="006357C0" w:rsidRPr="00CD699E" w:rsidRDefault="006357C0" w:rsidP="0089244A"/>
        </w:tc>
        <w:tc>
          <w:tcPr>
            <w:tcW w:w="1695" w:type="dxa"/>
          </w:tcPr>
          <w:p w14:paraId="69C8476C" w14:textId="77777777" w:rsidR="006357C0" w:rsidRPr="00CD699E" w:rsidRDefault="006357C0" w:rsidP="0089244A"/>
        </w:tc>
      </w:tr>
      <w:tr w:rsidR="006357C0" w:rsidRPr="00CD699E" w14:paraId="3E945DBD" w14:textId="77777777" w:rsidTr="006A659F">
        <w:trPr>
          <w:trHeight w:val="576"/>
        </w:trPr>
        <w:tc>
          <w:tcPr>
            <w:tcW w:w="7380" w:type="dxa"/>
          </w:tcPr>
          <w:p w14:paraId="2BC43EBA" w14:textId="79C3AE7F" w:rsidR="006357C0" w:rsidRDefault="00672F97" w:rsidP="00BC293F">
            <w:pPr>
              <w:pStyle w:val="BodyText"/>
              <w:jc w:val="left"/>
              <w:rPr>
                <w:rFonts w:ascii="Arial" w:hAnsi="Arial" w:cs="Arial"/>
                <w:sz w:val="22"/>
                <w:szCs w:val="22"/>
              </w:rPr>
            </w:pPr>
            <w:r w:rsidRPr="43EB01A2">
              <w:rPr>
                <w:rFonts w:ascii="Arial" w:hAnsi="Arial" w:cs="Arial"/>
                <w:b/>
                <w:sz w:val="22"/>
                <w:szCs w:val="22"/>
              </w:rPr>
              <w:t>3</w:t>
            </w:r>
            <w:r w:rsidR="006357C0" w:rsidRPr="43EB01A2">
              <w:rPr>
                <w:rFonts w:ascii="Arial" w:hAnsi="Arial" w:cs="Arial"/>
                <w:b/>
                <w:sz w:val="22"/>
                <w:szCs w:val="22"/>
              </w:rPr>
              <w:t>.d:</w:t>
            </w:r>
            <w:r w:rsidR="006357C0">
              <w:t xml:space="preserve"> </w:t>
            </w:r>
            <w:r w:rsidR="006357C0" w:rsidRPr="43EB01A2">
              <w:rPr>
                <w:rFonts w:ascii="Arial" w:hAnsi="Arial" w:cs="Arial"/>
                <w:sz w:val="22"/>
                <w:szCs w:val="22"/>
              </w:rPr>
              <w:t xml:space="preserve">Cover crop. For croplands, cover crops shall be planted to meet the standard planting date and other specifications in accordance with </w:t>
            </w:r>
            <w:r w:rsidR="00E857CE" w:rsidRPr="43EB01A2">
              <w:rPr>
                <w:rFonts w:ascii="Arial" w:hAnsi="Arial" w:cs="Arial"/>
                <w:sz w:val="22"/>
                <w:szCs w:val="22"/>
              </w:rPr>
              <w:t>s</w:t>
            </w:r>
            <w:r w:rsidR="006357C0" w:rsidRPr="43EB01A2">
              <w:rPr>
                <w:rFonts w:ascii="Arial" w:hAnsi="Arial" w:cs="Arial"/>
                <w:sz w:val="22"/>
                <w:szCs w:val="22"/>
              </w:rPr>
              <w:t xml:space="preserve">pecifications for </w:t>
            </w:r>
            <w:hyperlink r:id="rId38">
              <w:r w:rsidR="4675AD8F" w:rsidRPr="43EB01A2">
                <w:rPr>
                  <w:rStyle w:val="Hyperlink"/>
                  <w:rFonts w:ascii="Arial" w:hAnsi="Arial" w:cs="Arial"/>
                  <w:sz w:val="22"/>
                  <w:szCs w:val="22"/>
                </w:rPr>
                <w:t>NO. SL-8B</w:t>
              </w:r>
            </w:hyperlink>
            <w:r w:rsidR="006357C0" w:rsidRPr="43EB01A2">
              <w:rPr>
                <w:rFonts w:ascii="Arial" w:hAnsi="Arial" w:cs="Arial"/>
                <w:sz w:val="22"/>
                <w:szCs w:val="22"/>
              </w:rPr>
              <w:t xml:space="preserve"> contained in the VACS BMP Manual. This requirement applies to all croplands where summer annual crops are grown and the summer annual crop receives greater than a total of 50 pounds per acre of nitrogen application from any nutrient source; however, if the cropland is planted to winter cereal crops for harvest in </w:t>
            </w:r>
            <w:r w:rsidR="006357C0" w:rsidRPr="43EB01A2">
              <w:rPr>
                <w:rFonts w:ascii="Arial" w:hAnsi="Arial" w:cs="Arial"/>
                <w:sz w:val="22"/>
                <w:szCs w:val="22"/>
              </w:rPr>
              <w:lastRenderedPageBreak/>
              <w:t>the spring, then cover crops do not need to be planted on these croplands during that production year.</w:t>
            </w:r>
          </w:p>
        </w:tc>
        <w:tc>
          <w:tcPr>
            <w:tcW w:w="1440" w:type="dxa"/>
          </w:tcPr>
          <w:p w14:paraId="22A72257" w14:textId="77777777" w:rsidR="006357C0" w:rsidRPr="00CD699E" w:rsidRDefault="006357C0" w:rsidP="0089244A"/>
        </w:tc>
        <w:tc>
          <w:tcPr>
            <w:tcW w:w="1695" w:type="dxa"/>
          </w:tcPr>
          <w:p w14:paraId="00DD2300" w14:textId="77777777" w:rsidR="006357C0" w:rsidRPr="00CD699E" w:rsidRDefault="006357C0" w:rsidP="0089244A"/>
        </w:tc>
      </w:tr>
      <w:tr w:rsidR="006357C0" w:rsidRPr="00CD699E" w14:paraId="6BDC96D7" w14:textId="77777777" w:rsidTr="006A659F">
        <w:trPr>
          <w:trHeight w:val="576"/>
        </w:trPr>
        <w:tc>
          <w:tcPr>
            <w:tcW w:w="7380" w:type="dxa"/>
          </w:tcPr>
          <w:p w14:paraId="5CDCF1FA" w14:textId="2AD683CB" w:rsidR="006357C0" w:rsidRDefault="00672F97" w:rsidP="00BC293F">
            <w:pPr>
              <w:pStyle w:val="BodyText"/>
              <w:jc w:val="left"/>
              <w:rPr>
                <w:rFonts w:ascii="Arial" w:hAnsi="Arial" w:cs="Arial"/>
                <w:sz w:val="22"/>
                <w:szCs w:val="22"/>
              </w:rPr>
            </w:pPr>
            <w:r>
              <w:rPr>
                <w:rFonts w:ascii="Arial" w:hAnsi="Arial" w:cs="Arial"/>
                <w:b/>
                <w:bCs/>
                <w:sz w:val="22"/>
                <w:szCs w:val="22"/>
              </w:rPr>
              <w:t>3</w:t>
            </w:r>
            <w:r w:rsidR="006357C0" w:rsidRPr="7C587EE5">
              <w:rPr>
                <w:rFonts w:ascii="Arial" w:hAnsi="Arial" w:cs="Arial"/>
                <w:b/>
                <w:bCs/>
                <w:sz w:val="22"/>
                <w:szCs w:val="22"/>
              </w:rPr>
              <w:t>.e:</w:t>
            </w:r>
            <w:r w:rsidR="006357C0">
              <w:t xml:space="preserve"> </w:t>
            </w:r>
            <w:r w:rsidR="006357C0" w:rsidRPr="7C587EE5">
              <w:rPr>
                <w:rFonts w:ascii="Arial" w:hAnsi="Arial" w:cs="Arial"/>
                <w:sz w:val="22"/>
                <w:szCs w:val="22"/>
              </w:rPr>
              <w:t>Livestock water body exclusion. For pastures or when livestock are present within the management area, livestock exclusion fencing shall be placed around perennial streams, rivers, lakes, ponds, or other water bodies having perennial flow, in accordance with</w:t>
            </w:r>
            <w:r w:rsidR="00E857CE">
              <w:rPr>
                <w:rFonts w:ascii="Arial" w:hAnsi="Arial" w:cs="Arial"/>
                <w:sz w:val="22"/>
                <w:szCs w:val="22"/>
              </w:rPr>
              <w:t xml:space="preserve"> s</w:t>
            </w:r>
            <w:r w:rsidR="006357C0" w:rsidRPr="7C587EE5">
              <w:rPr>
                <w:rFonts w:ascii="Arial" w:hAnsi="Arial" w:cs="Arial"/>
                <w:sz w:val="22"/>
                <w:szCs w:val="22"/>
              </w:rPr>
              <w:t xml:space="preserve">pecification </w:t>
            </w:r>
            <w:hyperlink r:id="rId39">
              <w:r w:rsidR="4675AD8F" w:rsidRPr="43EB01A2">
                <w:rPr>
                  <w:rStyle w:val="Hyperlink"/>
                  <w:rFonts w:ascii="Arial" w:hAnsi="Arial" w:cs="Arial"/>
                  <w:sz w:val="22"/>
                  <w:szCs w:val="22"/>
                </w:rPr>
                <w:t>NO. WP-2W</w:t>
              </w:r>
            </w:hyperlink>
            <w:r w:rsidR="006357C0" w:rsidRPr="7C587EE5">
              <w:rPr>
                <w:rFonts w:ascii="Arial" w:hAnsi="Arial" w:cs="Arial"/>
                <w:sz w:val="22"/>
                <w:szCs w:val="22"/>
              </w:rPr>
              <w:t xml:space="preserve"> contained in the </w:t>
            </w:r>
            <w:r w:rsidR="00AB2468">
              <w:rPr>
                <w:rFonts w:ascii="Arial" w:hAnsi="Arial" w:cs="Arial"/>
                <w:sz w:val="22"/>
                <w:szCs w:val="22"/>
              </w:rPr>
              <w:t xml:space="preserve">VAC BMP Manual </w:t>
            </w:r>
            <w:r w:rsidR="006357C0" w:rsidRPr="7C587EE5">
              <w:rPr>
                <w:rFonts w:ascii="Arial" w:hAnsi="Arial" w:cs="Arial"/>
                <w:sz w:val="22"/>
                <w:szCs w:val="22"/>
              </w:rPr>
              <w:t>to restrict livestock access to the water body</w:t>
            </w:r>
            <w:r w:rsidR="006357C0" w:rsidRPr="00AB2468">
              <w:rPr>
                <w:rFonts w:ascii="Arial" w:hAnsi="Arial" w:cs="Arial"/>
                <w:sz w:val="22"/>
                <w:szCs w:val="22"/>
              </w:rPr>
              <w:t xml:space="preserve">. </w:t>
            </w:r>
          </w:p>
        </w:tc>
        <w:tc>
          <w:tcPr>
            <w:tcW w:w="1440" w:type="dxa"/>
          </w:tcPr>
          <w:p w14:paraId="233BF2B7" w14:textId="77777777" w:rsidR="006357C0" w:rsidRPr="00CD699E" w:rsidRDefault="006357C0" w:rsidP="0089244A"/>
        </w:tc>
        <w:tc>
          <w:tcPr>
            <w:tcW w:w="1695" w:type="dxa"/>
          </w:tcPr>
          <w:p w14:paraId="4DDB29BA" w14:textId="77777777" w:rsidR="006357C0" w:rsidRPr="00CD699E" w:rsidRDefault="006357C0" w:rsidP="0089244A"/>
        </w:tc>
      </w:tr>
      <w:tr w:rsidR="003D7580" w:rsidRPr="00CD699E" w14:paraId="6E1BEA2D" w14:textId="77777777" w:rsidTr="006A659F">
        <w:trPr>
          <w:trHeight w:val="576"/>
        </w:trPr>
        <w:tc>
          <w:tcPr>
            <w:tcW w:w="7380" w:type="dxa"/>
          </w:tcPr>
          <w:p w14:paraId="68F9343A" w14:textId="171689E7" w:rsidR="003D7580" w:rsidRPr="00B85E56" w:rsidRDefault="00672F97" w:rsidP="00BC293F">
            <w:pPr>
              <w:pStyle w:val="BodyText"/>
              <w:jc w:val="left"/>
              <w:rPr>
                <w:rFonts w:ascii="Arial" w:hAnsi="Arial" w:cs="Arial"/>
                <w:sz w:val="22"/>
                <w:szCs w:val="22"/>
              </w:rPr>
            </w:pPr>
            <w:r>
              <w:rPr>
                <w:rFonts w:ascii="Arial" w:hAnsi="Arial" w:cs="Arial"/>
                <w:b/>
                <w:bCs/>
                <w:sz w:val="22"/>
                <w:szCs w:val="22"/>
              </w:rPr>
              <w:t>4</w:t>
            </w:r>
            <w:r w:rsidR="003D7580" w:rsidRPr="00AB2468">
              <w:rPr>
                <w:rFonts w:ascii="Arial" w:hAnsi="Arial" w:cs="Arial"/>
                <w:b/>
                <w:bCs/>
                <w:sz w:val="22"/>
                <w:szCs w:val="22"/>
              </w:rPr>
              <w:t>:</w:t>
            </w:r>
            <w:r w:rsidR="003D7580">
              <w:rPr>
                <w:rFonts w:ascii="Arial" w:hAnsi="Arial" w:cs="Arial"/>
                <w:sz w:val="22"/>
                <w:szCs w:val="22"/>
              </w:rPr>
              <w:t xml:space="preserve"> </w:t>
            </w:r>
            <w:r w:rsidR="003D7580" w:rsidRPr="7C587EE5">
              <w:rPr>
                <w:rFonts w:ascii="Arial" w:hAnsi="Arial" w:cs="Arial"/>
                <w:sz w:val="22"/>
                <w:szCs w:val="22"/>
              </w:rPr>
              <w:t>A copy of the recorded site protection instrument for the site on which the nutrient credit-generating project is located.</w:t>
            </w:r>
          </w:p>
        </w:tc>
        <w:tc>
          <w:tcPr>
            <w:tcW w:w="1440" w:type="dxa"/>
          </w:tcPr>
          <w:p w14:paraId="3B5595B9" w14:textId="77777777" w:rsidR="003D7580" w:rsidRPr="00CD699E" w:rsidRDefault="003D7580" w:rsidP="0089244A"/>
        </w:tc>
        <w:tc>
          <w:tcPr>
            <w:tcW w:w="1695" w:type="dxa"/>
          </w:tcPr>
          <w:p w14:paraId="5D5DAF53" w14:textId="77777777" w:rsidR="003D7580" w:rsidRPr="00CD699E" w:rsidRDefault="003D7580" w:rsidP="0089244A"/>
        </w:tc>
      </w:tr>
      <w:tr w:rsidR="003D7580" w:rsidRPr="00CD699E" w14:paraId="171ABA2E" w14:textId="77777777" w:rsidTr="006A659F">
        <w:trPr>
          <w:trHeight w:val="576"/>
        </w:trPr>
        <w:tc>
          <w:tcPr>
            <w:tcW w:w="7380" w:type="dxa"/>
          </w:tcPr>
          <w:p w14:paraId="57EAE604" w14:textId="6D094166" w:rsidR="003D7580" w:rsidRPr="003D7580" w:rsidRDefault="00672F97" w:rsidP="00BC293F">
            <w:pPr>
              <w:pStyle w:val="BodyText"/>
              <w:jc w:val="left"/>
              <w:rPr>
                <w:rFonts w:ascii="Arial" w:hAnsi="Arial" w:cs="Arial"/>
                <w:b/>
                <w:bCs/>
                <w:sz w:val="22"/>
                <w:szCs w:val="22"/>
              </w:rPr>
            </w:pPr>
            <w:r>
              <w:rPr>
                <w:rFonts w:ascii="Arial" w:hAnsi="Arial" w:cs="Arial"/>
                <w:b/>
                <w:bCs/>
                <w:sz w:val="22"/>
                <w:szCs w:val="22"/>
              </w:rPr>
              <w:t>5</w:t>
            </w:r>
            <w:r w:rsidR="003D7580">
              <w:rPr>
                <w:rFonts w:ascii="Arial" w:hAnsi="Arial" w:cs="Arial"/>
                <w:b/>
                <w:bCs/>
                <w:sz w:val="22"/>
                <w:szCs w:val="22"/>
              </w:rPr>
              <w:t xml:space="preserve">: </w:t>
            </w:r>
            <w:r w:rsidR="00AB2468">
              <w:rPr>
                <w:rFonts w:ascii="Arial" w:hAnsi="Arial" w:cs="Arial"/>
                <w:sz w:val="22"/>
                <w:szCs w:val="22"/>
              </w:rPr>
              <w:t>E</w:t>
            </w:r>
            <w:r w:rsidR="003D7580">
              <w:rPr>
                <w:rFonts w:ascii="Arial" w:hAnsi="Arial" w:cs="Arial"/>
                <w:sz w:val="22"/>
                <w:szCs w:val="22"/>
              </w:rPr>
              <w:t>vidence that</w:t>
            </w:r>
            <w:r w:rsidR="003D7580" w:rsidRPr="00AB2468">
              <w:rPr>
                <w:rFonts w:ascii="Arial" w:hAnsi="Arial" w:cs="Arial"/>
                <w:sz w:val="22"/>
                <w:szCs w:val="22"/>
              </w:rPr>
              <w:t xml:space="preserve"> the site has </w:t>
            </w:r>
            <w:r w:rsidR="00AB2468">
              <w:rPr>
                <w:rFonts w:ascii="Arial" w:hAnsi="Arial" w:cs="Arial"/>
                <w:sz w:val="22"/>
                <w:szCs w:val="22"/>
              </w:rPr>
              <w:t>achieved</w:t>
            </w:r>
            <w:r w:rsidR="003D7580" w:rsidRPr="00AB2468">
              <w:rPr>
                <w:rFonts w:ascii="Arial" w:hAnsi="Arial" w:cs="Arial"/>
                <w:sz w:val="22"/>
                <w:szCs w:val="22"/>
              </w:rPr>
              <w:t xml:space="preserve"> a minimum of 400 woody stems per acre</w:t>
            </w:r>
            <w:r w:rsidR="00367207">
              <w:rPr>
                <w:rFonts w:ascii="Arial" w:hAnsi="Arial" w:cs="Arial"/>
                <w:sz w:val="22"/>
                <w:szCs w:val="22"/>
              </w:rPr>
              <w:t xml:space="preserve"> for afforestation practices. </w:t>
            </w:r>
          </w:p>
        </w:tc>
        <w:tc>
          <w:tcPr>
            <w:tcW w:w="1440" w:type="dxa"/>
          </w:tcPr>
          <w:p w14:paraId="698712D3" w14:textId="77777777" w:rsidR="003D7580" w:rsidRPr="00CD699E" w:rsidRDefault="003D7580" w:rsidP="0089244A"/>
        </w:tc>
        <w:tc>
          <w:tcPr>
            <w:tcW w:w="1695" w:type="dxa"/>
          </w:tcPr>
          <w:p w14:paraId="7DEA0DA7" w14:textId="77777777" w:rsidR="003D7580" w:rsidRPr="00CD699E" w:rsidRDefault="003D7580" w:rsidP="0089244A"/>
        </w:tc>
      </w:tr>
      <w:tr w:rsidR="003D7580" w:rsidRPr="00CD699E" w14:paraId="25F9807A" w14:textId="77777777" w:rsidTr="006A659F">
        <w:trPr>
          <w:trHeight w:val="576"/>
        </w:trPr>
        <w:tc>
          <w:tcPr>
            <w:tcW w:w="7380" w:type="dxa"/>
          </w:tcPr>
          <w:p w14:paraId="29605228" w14:textId="19BA1951" w:rsidR="003D7580" w:rsidRPr="003D7580" w:rsidRDefault="00672F97" w:rsidP="00BC293F">
            <w:pPr>
              <w:pStyle w:val="BodyText"/>
              <w:jc w:val="left"/>
              <w:rPr>
                <w:rFonts w:ascii="Arial" w:hAnsi="Arial" w:cs="Arial"/>
                <w:b/>
                <w:bCs/>
                <w:sz w:val="22"/>
                <w:szCs w:val="22"/>
              </w:rPr>
            </w:pPr>
            <w:r>
              <w:rPr>
                <w:rFonts w:ascii="Arial" w:hAnsi="Arial" w:cs="Arial"/>
                <w:b/>
                <w:bCs/>
                <w:sz w:val="22"/>
                <w:szCs w:val="22"/>
              </w:rPr>
              <w:t>6</w:t>
            </w:r>
            <w:r w:rsidR="003D7580">
              <w:rPr>
                <w:rFonts w:ascii="Arial" w:hAnsi="Arial" w:cs="Arial"/>
                <w:b/>
                <w:bCs/>
                <w:sz w:val="22"/>
                <w:szCs w:val="22"/>
              </w:rPr>
              <w:t xml:space="preserve">: </w:t>
            </w:r>
            <w:r w:rsidR="00E82928">
              <w:rPr>
                <w:rFonts w:ascii="Arial" w:hAnsi="Arial" w:cs="Arial"/>
                <w:sz w:val="22"/>
                <w:szCs w:val="22"/>
              </w:rPr>
              <w:t xml:space="preserve">For </w:t>
            </w:r>
            <w:r w:rsidR="003D7952">
              <w:rPr>
                <w:rFonts w:ascii="Arial" w:hAnsi="Arial" w:cs="Arial"/>
                <w:sz w:val="22"/>
                <w:szCs w:val="22"/>
              </w:rPr>
              <w:t xml:space="preserve">year one </w:t>
            </w:r>
            <w:r w:rsidR="00E82928">
              <w:rPr>
                <w:rFonts w:ascii="Arial" w:hAnsi="Arial" w:cs="Arial"/>
                <w:sz w:val="22"/>
                <w:szCs w:val="22"/>
              </w:rPr>
              <w:t>post-growing season credit release requests after an initial credit release has been issued, provide e</w:t>
            </w:r>
            <w:r w:rsidR="003D7580" w:rsidRPr="00AB2468">
              <w:rPr>
                <w:rFonts w:ascii="Arial" w:hAnsi="Arial" w:cs="Arial"/>
                <w:sz w:val="22"/>
                <w:szCs w:val="22"/>
              </w:rPr>
              <w:t xml:space="preserve">vidence that the implementation plan's performance criteria required pursuant to </w:t>
            </w:r>
            <w:hyperlink r:id="rId40">
              <w:r w:rsidR="595F5A54" w:rsidRPr="43EB01A2">
                <w:rPr>
                  <w:rStyle w:val="Hyperlink"/>
                  <w:rFonts w:ascii="Arial" w:hAnsi="Arial" w:cs="Arial"/>
                  <w:sz w:val="22"/>
                  <w:szCs w:val="22"/>
                </w:rPr>
                <w:t>9VAC25-900-120.C.2</w:t>
              </w:r>
            </w:hyperlink>
            <w:r w:rsidR="003D7580" w:rsidRPr="00AB2468">
              <w:rPr>
                <w:rFonts w:ascii="Arial" w:hAnsi="Arial" w:cs="Arial"/>
                <w:sz w:val="22"/>
                <w:szCs w:val="22"/>
              </w:rPr>
              <w:t xml:space="preserve"> has been achieved</w:t>
            </w:r>
            <w:r w:rsidR="00E82928">
              <w:rPr>
                <w:rFonts w:ascii="Arial" w:hAnsi="Arial" w:cs="Arial"/>
                <w:sz w:val="22"/>
                <w:szCs w:val="22"/>
              </w:rPr>
              <w:t>.</w:t>
            </w:r>
          </w:p>
        </w:tc>
        <w:tc>
          <w:tcPr>
            <w:tcW w:w="1440" w:type="dxa"/>
          </w:tcPr>
          <w:p w14:paraId="6F3C89CB" w14:textId="53346C52" w:rsidR="003D7580" w:rsidRPr="00CD699E" w:rsidRDefault="003D7580" w:rsidP="0089244A"/>
        </w:tc>
        <w:tc>
          <w:tcPr>
            <w:tcW w:w="1695" w:type="dxa"/>
          </w:tcPr>
          <w:p w14:paraId="007F129B" w14:textId="77777777" w:rsidR="003D7580" w:rsidRPr="00CD699E" w:rsidRDefault="003D7580" w:rsidP="0089244A"/>
        </w:tc>
      </w:tr>
      <w:tr w:rsidR="00E82928" w:rsidRPr="00CD699E" w14:paraId="57B8E374" w14:textId="77777777" w:rsidTr="006A659F">
        <w:trPr>
          <w:trHeight w:val="576"/>
        </w:trPr>
        <w:tc>
          <w:tcPr>
            <w:tcW w:w="7380" w:type="dxa"/>
          </w:tcPr>
          <w:p w14:paraId="7400A313" w14:textId="55482410" w:rsidR="00E82928" w:rsidRPr="00E82928" w:rsidRDefault="00E82928" w:rsidP="00BC293F">
            <w:pPr>
              <w:pStyle w:val="BodyText"/>
              <w:jc w:val="left"/>
              <w:rPr>
                <w:rFonts w:ascii="Arial" w:hAnsi="Arial" w:cs="Arial"/>
                <w:sz w:val="22"/>
                <w:szCs w:val="22"/>
              </w:rPr>
            </w:pPr>
            <w:r>
              <w:rPr>
                <w:rFonts w:ascii="Arial" w:hAnsi="Arial" w:cs="Arial"/>
                <w:b/>
                <w:bCs/>
                <w:sz w:val="22"/>
                <w:szCs w:val="22"/>
              </w:rPr>
              <w:t xml:space="preserve">7: </w:t>
            </w:r>
            <w:r>
              <w:rPr>
                <w:rFonts w:ascii="Arial" w:hAnsi="Arial" w:cs="Arial"/>
                <w:sz w:val="22"/>
                <w:szCs w:val="22"/>
              </w:rPr>
              <w:t xml:space="preserve">DEQ has conducted </w:t>
            </w:r>
            <w:r w:rsidR="00F874C3">
              <w:rPr>
                <w:rFonts w:ascii="Arial" w:hAnsi="Arial" w:cs="Arial"/>
                <w:sz w:val="22"/>
                <w:szCs w:val="22"/>
              </w:rPr>
              <w:t xml:space="preserve">a </w:t>
            </w:r>
            <w:r>
              <w:rPr>
                <w:rFonts w:ascii="Arial" w:hAnsi="Arial" w:cs="Arial"/>
                <w:sz w:val="22"/>
                <w:szCs w:val="22"/>
              </w:rPr>
              <w:t>post-planting site visit.</w:t>
            </w:r>
          </w:p>
        </w:tc>
        <w:tc>
          <w:tcPr>
            <w:tcW w:w="1440" w:type="dxa"/>
          </w:tcPr>
          <w:p w14:paraId="577CFF65" w14:textId="77777777" w:rsidR="00E82928" w:rsidRPr="00CD699E" w:rsidRDefault="00E82928" w:rsidP="0089244A"/>
        </w:tc>
        <w:tc>
          <w:tcPr>
            <w:tcW w:w="1695" w:type="dxa"/>
          </w:tcPr>
          <w:p w14:paraId="715EAA51" w14:textId="77777777" w:rsidR="00E82928" w:rsidRPr="00CD699E" w:rsidRDefault="00E82928" w:rsidP="0089244A"/>
        </w:tc>
      </w:tr>
    </w:tbl>
    <w:p w14:paraId="3EAD93A8" w14:textId="77777777" w:rsidR="00BB6A83" w:rsidDel="006F4E2F" w:rsidRDefault="00BB6A83" w:rsidP="00FB27E7">
      <w:pPr>
        <w:ind w:right="-540"/>
        <w:rPr>
          <w:rFonts w:ascii="Arial" w:hAnsi="Arial" w:cs="Arial"/>
          <w:b/>
          <w:sz w:val="28"/>
        </w:rPr>
      </w:pPr>
    </w:p>
    <w:p w14:paraId="7D30E512" w14:textId="610E8E80" w:rsidR="00137661" w:rsidRPr="00FB27E7" w:rsidRDefault="001D4F79" w:rsidP="00FB27E7">
      <w:pPr>
        <w:ind w:right="-540"/>
        <w:rPr>
          <w:sz w:val="2"/>
          <w:szCs w:val="2"/>
        </w:rPr>
      </w:pPr>
      <w:proofErr w:type="spellStart"/>
      <w:r w:rsidRPr="112FD34C">
        <w:rPr>
          <w:sz w:val="2"/>
          <w:szCs w:val="2"/>
        </w:rPr>
        <w:t>S</w:t>
      </w:r>
      <w:r w:rsidR="00137661" w:rsidRPr="00AB2468">
        <w:rPr>
          <w:rStyle w:val="normaltextrun"/>
          <w:rFonts w:ascii="Arial" w:hAnsi="Arial" w:cs="Arial"/>
          <w:b/>
          <w:bCs/>
        </w:rPr>
        <w:t>How</w:t>
      </w:r>
      <w:proofErr w:type="spellEnd"/>
      <w:r w:rsidR="00137661" w:rsidRPr="00AB2468">
        <w:rPr>
          <w:rStyle w:val="normaltextrun"/>
          <w:rFonts w:ascii="Arial" w:hAnsi="Arial" w:cs="Arial"/>
          <w:b/>
        </w:rPr>
        <w:t xml:space="preserve"> to Submit: </w:t>
      </w:r>
      <w:r w:rsidR="00137661" w:rsidRPr="00AB2468">
        <w:rPr>
          <w:rStyle w:val="eop"/>
          <w:rFonts w:ascii="Arial" w:hAnsi="Arial" w:cs="Arial"/>
          <w:b/>
          <w:bCs/>
        </w:rPr>
        <w:t> </w:t>
      </w:r>
    </w:p>
    <w:p w14:paraId="57D0CE16" w14:textId="64472989" w:rsidR="00137661" w:rsidRDefault="00137661" w:rsidP="43EB01A2">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normaltextrun"/>
          <w:rFonts w:ascii="Wingdings" w:hAnsi="Wingdings" w:cs="Segoe UI"/>
          <w:sz w:val="28"/>
          <w:szCs w:val="28"/>
        </w:rPr>
        <w:t>o</w:t>
      </w:r>
      <w:r>
        <w:rPr>
          <w:rStyle w:val="normaltextrun"/>
          <w:sz w:val="14"/>
          <w:szCs w:val="14"/>
        </w:rPr>
        <w:t xml:space="preserve"> </w:t>
      </w:r>
      <w:r w:rsidRPr="00BC293F">
        <w:rPr>
          <w:rStyle w:val="normaltextrun"/>
          <w:rFonts w:ascii="Arial" w:hAnsi="Arial" w:cs="Arial"/>
          <w:b/>
          <w:sz w:val="22"/>
          <w:szCs w:val="22"/>
        </w:rPr>
        <w:t xml:space="preserve">DEQ </w:t>
      </w:r>
      <w:r w:rsidR="00AB2468" w:rsidRPr="00BC293F">
        <w:rPr>
          <w:rStyle w:val="normaltextrun"/>
          <w:rFonts w:ascii="Arial" w:hAnsi="Arial" w:cs="Arial"/>
          <w:b/>
          <w:sz w:val="22"/>
          <w:szCs w:val="22"/>
        </w:rPr>
        <w:t>Land Use Conversion Nutrient Credit Certification</w:t>
      </w:r>
      <w:r w:rsidRPr="00BC293F">
        <w:rPr>
          <w:rStyle w:val="normaltextrun"/>
          <w:rFonts w:ascii="Arial" w:hAnsi="Arial" w:cs="Arial"/>
          <w:b/>
          <w:sz w:val="22"/>
          <w:szCs w:val="22"/>
        </w:rPr>
        <w:t xml:space="preserve"> Application </w:t>
      </w:r>
      <w:r w:rsidR="00AB2468" w:rsidRPr="00BC293F">
        <w:rPr>
          <w:rStyle w:val="normaltextrun"/>
          <w:rFonts w:ascii="Arial" w:hAnsi="Arial" w:cs="Arial"/>
          <w:b/>
          <w:sz w:val="22"/>
          <w:szCs w:val="22"/>
        </w:rPr>
        <w:t xml:space="preserve">Review </w:t>
      </w:r>
      <w:r w:rsidRPr="00BC293F">
        <w:rPr>
          <w:rStyle w:val="normaltextrun"/>
          <w:rFonts w:ascii="Arial" w:hAnsi="Arial" w:cs="Arial"/>
          <w:b/>
          <w:sz w:val="22"/>
          <w:szCs w:val="22"/>
        </w:rPr>
        <w:t>Process: </w:t>
      </w:r>
      <w:r w:rsidRPr="00BC293F">
        <w:rPr>
          <w:rStyle w:val="eop"/>
          <w:rFonts w:ascii="Arial" w:hAnsi="Arial" w:cs="Arial"/>
          <w:sz w:val="22"/>
          <w:szCs w:val="22"/>
        </w:rPr>
        <w:t> </w:t>
      </w:r>
    </w:p>
    <w:p w14:paraId="1432AE1E" w14:textId="77777777" w:rsidR="00137661" w:rsidRPr="00BC293F" w:rsidRDefault="00137661" w:rsidP="43EB01A2">
      <w:pPr>
        <w:pStyle w:val="paragraph"/>
        <w:shd w:val="clear" w:color="auto" w:fill="FFFFFF" w:themeFill="background1"/>
        <w:spacing w:before="0" w:beforeAutospacing="0" w:after="0" w:afterAutospacing="0"/>
        <w:textAlignment w:val="baseline"/>
        <w:rPr>
          <w:rStyle w:val="normaltextrun"/>
          <w:rFonts w:ascii="Arial" w:hAnsi="Arial" w:cs="Arial"/>
          <w:sz w:val="22"/>
          <w:szCs w:val="22"/>
        </w:rPr>
      </w:pPr>
    </w:p>
    <w:p w14:paraId="007F0739" w14:textId="7260A30D" w:rsidR="00137661" w:rsidRDefault="00137661" w:rsidP="43EB01A2">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BC293F">
        <w:rPr>
          <w:rStyle w:val="normaltextrun"/>
          <w:rFonts w:ascii="Arial" w:hAnsi="Arial" w:cs="Arial"/>
          <w:sz w:val="22"/>
          <w:szCs w:val="22"/>
        </w:rPr>
        <w:t>Please begin the application process by completing th</w:t>
      </w:r>
      <w:r w:rsidR="00775A93" w:rsidRPr="00BC293F">
        <w:rPr>
          <w:rStyle w:val="normaltextrun"/>
          <w:rFonts w:ascii="Arial" w:hAnsi="Arial" w:cs="Arial"/>
          <w:sz w:val="22"/>
          <w:szCs w:val="22"/>
        </w:rPr>
        <w:t>is</w:t>
      </w:r>
      <w:r w:rsidRPr="00BC293F">
        <w:rPr>
          <w:rStyle w:val="normaltextrun"/>
          <w:rFonts w:ascii="Arial" w:hAnsi="Arial" w:cs="Arial"/>
          <w:sz w:val="22"/>
          <w:szCs w:val="22"/>
        </w:rPr>
        <w:t xml:space="preserve"> Application Checklist a</w:t>
      </w:r>
      <w:r w:rsidR="00775A93" w:rsidRPr="00BC293F">
        <w:rPr>
          <w:rStyle w:val="normaltextrun"/>
          <w:rFonts w:ascii="Arial" w:hAnsi="Arial" w:cs="Arial"/>
          <w:sz w:val="22"/>
          <w:szCs w:val="22"/>
        </w:rPr>
        <w:t xml:space="preserve">nd provide an </w:t>
      </w:r>
      <w:r w:rsidRPr="00BC293F">
        <w:rPr>
          <w:rStyle w:val="normaltextrun"/>
          <w:rFonts w:ascii="Arial" w:hAnsi="Arial" w:cs="Arial"/>
          <w:b/>
          <w:sz w:val="22"/>
          <w:szCs w:val="22"/>
        </w:rPr>
        <w:t>Application Document</w:t>
      </w:r>
      <w:r w:rsidRPr="00BC293F">
        <w:rPr>
          <w:rStyle w:val="normaltextrun"/>
          <w:rFonts w:ascii="Arial" w:hAnsi="Arial" w:cs="Arial"/>
          <w:sz w:val="22"/>
          <w:szCs w:val="22"/>
        </w:rPr>
        <w:t xml:space="preserve"> </w:t>
      </w:r>
      <w:r w:rsidR="00775A93" w:rsidRPr="00BC293F">
        <w:rPr>
          <w:rStyle w:val="normaltextrun"/>
          <w:rFonts w:ascii="Arial" w:hAnsi="Arial" w:cs="Arial"/>
          <w:sz w:val="22"/>
          <w:szCs w:val="22"/>
        </w:rPr>
        <w:t xml:space="preserve">containing all the information required on this checklist </w:t>
      </w:r>
      <w:r w:rsidRPr="00BC293F">
        <w:rPr>
          <w:rStyle w:val="normaltextrun"/>
          <w:rFonts w:ascii="Arial" w:hAnsi="Arial" w:cs="Arial"/>
          <w:sz w:val="22"/>
          <w:szCs w:val="22"/>
        </w:rPr>
        <w:t>for initial submission</w:t>
      </w:r>
      <w:r>
        <w:rPr>
          <w:rStyle w:val="normaltextrun"/>
          <w:rFonts w:ascii="Arial" w:hAnsi="Arial" w:cs="Arial"/>
          <w:b/>
          <w:bCs/>
          <w:sz w:val="22"/>
          <w:szCs w:val="22"/>
        </w:rPr>
        <w:t xml:space="preserve"> </w:t>
      </w:r>
      <w:r w:rsidRPr="00BC293F">
        <w:rPr>
          <w:rStyle w:val="normaltextrun"/>
          <w:rFonts w:ascii="Arial" w:hAnsi="Arial" w:cs="Arial"/>
          <w:sz w:val="22"/>
          <w:szCs w:val="22"/>
        </w:rPr>
        <w:t xml:space="preserve">to </w:t>
      </w:r>
      <w:r w:rsidR="003C5D9D" w:rsidRPr="00BC293F">
        <w:rPr>
          <w:rStyle w:val="normaltextrun"/>
          <w:rFonts w:ascii="Arial" w:hAnsi="Arial" w:cs="Arial"/>
          <w:sz w:val="22"/>
          <w:szCs w:val="22"/>
        </w:rPr>
        <w:t xml:space="preserve">the </w:t>
      </w:r>
      <w:r w:rsidRPr="00BC293F">
        <w:rPr>
          <w:rStyle w:val="normaltextrun"/>
          <w:rFonts w:ascii="Arial" w:hAnsi="Arial" w:cs="Arial"/>
          <w:sz w:val="22"/>
          <w:szCs w:val="22"/>
        </w:rPr>
        <w:t xml:space="preserve">DEQ </w:t>
      </w:r>
      <w:r w:rsidR="003C5D9D" w:rsidRPr="00BC293F">
        <w:rPr>
          <w:rStyle w:val="normaltextrun"/>
          <w:rFonts w:ascii="Arial" w:hAnsi="Arial" w:cs="Arial"/>
          <w:sz w:val="22"/>
          <w:szCs w:val="22"/>
        </w:rPr>
        <w:t xml:space="preserve">Nonpoint Source Trading Coordinators </w:t>
      </w:r>
      <w:r w:rsidRPr="00BC293F">
        <w:rPr>
          <w:rStyle w:val="normaltextrun"/>
          <w:rFonts w:ascii="Arial" w:hAnsi="Arial" w:cs="Arial"/>
          <w:sz w:val="22"/>
          <w:szCs w:val="22"/>
        </w:rPr>
        <w:t>via email to</w:t>
      </w:r>
      <w:r w:rsidR="00AB2468">
        <w:rPr>
          <w:rFonts w:ascii="Segoe UI" w:hAnsi="Segoe UI" w:cs="Segoe UI"/>
          <w:sz w:val="18"/>
          <w:szCs w:val="18"/>
        </w:rPr>
        <w:t xml:space="preserve"> </w:t>
      </w:r>
      <w:hyperlink r:id="rId41">
        <w:r w:rsidR="00AB2468" w:rsidRPr="00BC293F">
          <w:rPr>
            <w:rStyle w:val="Hyperlink"/>
            <w:rFonts w:ascii="Arial" w:hAnsi="Arial" w:cs="Arial"/>
            <w:color w:val="0029BF"/>
            <w:sz w:val="22"/>
            <w:szCs w:val="22"/>
          </w:rPr>
          <w:t>Tyler.Monteith@deq.virginia.gov</w:t>
        </w:r>
      </w:hyperlink>
      <w:r w:rsidR="00AB2468">
        <w:rPr>
          <w:rFonts w:ascii="Arial" w:hAnsi="Arial" w:cs="Arial"/>
          <w:sz w:val="22"/>
          <w:szCs w:val="22"/>
        </w:rPr>
        <w:t xml:space="preserve"> </w:t>
      </w:r>
      <w:r w:rsidR="00AB2468" w:rsidRPr="00BC293F">
        <w:rPr>
          <w:rFonts w:ascii="Arial" w:hAnsi="Arial" w:cs="Arial"/>
          <w:sz w:val="22"/>
          <w:szCs w:val="22"/>
        </w:rPr>
        <w:t>and</w:t>
      </w:r>
      <w:r w:rsidR="00AB2468">
        <w:rPr>
          <w:rFonts w:ascii="Arial" w:hAnsi="Arial" w:cs="Arial"/>
          <w:sz w:val="22"/>
          <w:szCs w:val="22"/>
        </w:rPr>
        <w:t xml:space="preserve"> </w:t>
      </w:r>
      <w:hyperlink r:id="rId42">
        <w:r w:rsidR="00AB2468" w:rsidRPr="00BC293F">
          <w:rPr>
            <w:rStyle w:val="Hyperlink"/>
            <w:rFonts w:ascii="Arial" w:hAnsi="Arial" w:cs="Arial"/>
            <w:color w:val="0029BF"/>
            <w:sz w:val="22"/>
            <w:szCs w:val="22"/>
          </w:rPr>
          <w:t>Derick.Winn@deq.virginia.gov</w:t>
        </w:r>
      </w:hyperlink>
      <w:r w:rsidR="00AB2468" w:rsidRPr="43EB01A2">
        <w:rPr>
          <w:rFonts w:ascii="Arial" w:hAnsi="Arial" w:cs="Arial"/>
          <w:sz w:val="22"/>
          <w:szCs w:val="22"/>
        </w:rPr>
        <w:t>.</w:t>
      </w:r>
      <w:r w:rsidR="003C5D9D" w:rsidRPr="00BC293F">
        <w:rPr>
          <w:rStyle w:val="normaltextrun"/>
          <w:rFonts w:ascii="Arial" w:hAnsi="Arial" w:cs="Arial"/>
          <w:sz w:val="22"/>
          <w:szCs w:val="22"/>
        </w:rPr>
        <w:t xml:space="preserve"> Please contact the Nonpoint Source Trading Coordinators </w:t>
      </w:r>
      <w:r w:rsidRPr="00BC293F">
        <w:rPr>
          <w:rStyle w:val="normaltextrun"/>
          <w:rFonts w:ascii="Arial" w:hAnsi="Arial" w:cs="Arial"/>
          <w:sz w:val="22"/>
          <w:szCs w:val="22"/>
        </w:rPr>
        <w:t xml:space="preserve">to schedule a </w:t>
      </w:r>
      <w:r w:rsidR="261C02C8" w:rsidRPr="43EB01A2">
        <w:rPr>
          <w:rStyle w:val="normaltextrun"/>
          <w:rFonts w:ascii="Arial" w:hAnsi="Arial" w:cs="Arial"/>
          <w:sz w:val="22"/>
          <w:szCs w:val="22"/>
        </w:rPr>
        <w:t>p</w:t>
      </w:r>
      <w:r w:rsidRPr="00BC293F">
        <w:rPr>
          <w:rStyle w:val="contextualspellingandgrammarerror"/>
          <w:rFonts w:ascii="Arial" w:hAnsi="Arial" w:cs="Arial"/>
          <w:sz w:val="22"/>
          <w:szCs w:val="22"/>
        </w:rPr>
        <w:t>re-</w:t>
      </w:r>
      <w:r w:rsidR="51ECEF20" w:rsidRPr="43EB01A2">
        <w:rPr>
          <w:rStyle w:val="contextualspellingandgrammarerror"/>
          <w:rFonts w:ascii="Arial" w:hAnsi="Arial" w:cs="Arial"/>
          <w:sz w:val="22"/>
          <w:szCs w:val="22"/>
        </w:rPr>
        <w:t>a</w:t>
      </w:r>
      <w:r w:rsidRPr="00BC293F">
        <w:rPr>
          <w:rStyle w:val="normaltextrun"/>
          <w:rFonts w:ascii="Arial" w:hAnsi="Arial" w:cs="Arial"/>
          <w:sz w:val="22"/>
          <w:szCs w:val="22"/>
        </w:rPr>
        <w:t xml:space="preserve">pplication </w:t>
      </w:r>
      <w:r w:rsidR="00002055" w:rsidRPr="00BC293F">
        <w:rPr>
          <w:rStyle w:val="normaltextrun"/>
          <w:rFonts w:ascii="Arial" w:hAnsi="Arial" w:cs="Arial"/>
          <w:sz w:val="22"/>
          <w:szCs w:val="22"/>
        </w:rPr>
        <w:t xml:space="preserve">site visit </w:t>
      </w:r>
      <w:r w:rsidRPr="00BC293F">
        <w:rPr>
          <w:rStyle w:val="normaltextrun"/>
          <w:rFonts w:ascii="Arial" w:hAnsi="Arial" w:cs="Arial"/>
          <w:sz w:val="22"/>
          <w:szCs w:val="22"/>
        </w:rPr>
        <w:t>prior to initial plan submission. Pre-</w:t>
      </w:r>
      <w:r w:rsidR="1BC748F2" w:rsidRPr="43EB01A2">
        <w:rPr>
          <w:rStyle w:val="normaltextrun"/>
          <w:rFonts w:ascii="Arial" w:hAnsi="Arial" w:cs="Arial"/>
          <w:sz w:val="22"/>
          <w:szCs w:val="22"/>
        </w:rPr>
        <w:t>a</w:t>
      </w:r>
      <w:r w:rsidRPr="00BC293F">
        <w:rPr>
          <w:rStyle w:val="normaltextrun"/>
          <w:rFonts w:ascii="Arial" w:hAnsi="Arial" w:cs="Arial"/>
          <w:sz w:val="22"/>
          <w:szCs w:val="22"/>
        </w:rPr>
        <w:t xml:space="preserve">pplication </w:t>
      </w:r>
      <w:r w:rsidR="00002055" w:rsidRPr="00BC293F">
        <w:rPr>
          <w:rStyle w:val="normaltextrun"/>
          <w:rFonts w:ascii="Arial" w:hAnsi="Arial" w:cs="Arial"/>
          <w:sz w:val="22"/>
          <w:szCs w:val="22"/>
        </w:rPr>
        <w:t>site visits</w:t>
      </w:r>
      <w:r w:rsidRPr="00BC293F">
        <w:rPr>
          <w:rStyle w:val="normaltextrun"/>
          <w:rFonts w:ascii="Arial" w:hAnsi="Arial" w:cs="Arial"/>
          <w:sz w:val="22"/>
          <w:szCs w:val="22"/>
        </w:rPr>
        <w:t xml:space="preserve"> are highly encouraged but not required. </w:t>
      </w:r>
      <w:r w:rsidRPr="00BC293F">
        <w:rPr>
          <w:rStyle w:val="eop"/>
          <w:rFonts w:ascii="Arial" w:hAnsi="Arial" w:cs="Arial"/>
          <w:sz w:val="22"/>
          <w:szCs w:val="22"/>
        </w:rPr>
        <w:t> </w:t>
      </w:r>
    </w:p>
    <w:p w14:paraId="6B7982CF" w14:textId="77777777" w:rsidR="00137661" w:rsidRPr="001D27AD" w:rsidRDefault="00137661" w:rsidP="43EB01A2">
      <w:pPr>
        <w:pStyle w:val="paragraph"/>
        <w:shd w:val="clear" w:color="auto" w:fill="FFFFFF" w:themeFill="background1"/>
        <w:spacing w:before="0" w:beforeAutospacing="0" w:after="0" w:afterAutospacing="0"/>
        <w:textAlignment w:val="baseline"/>
        <w:rPr>
          <w:rStyle w:val="normaltextrun"/>
          <w:rFonts w:ascii="Arial" w:hAnsi="Arial" w:cs="Arial"/>
          <w:b/>
          <w:sz w:val="22"/>
          <w:szCs w:val="22"/>
        </w:rPr>
      </w:pPr>
    </w:p>
    <w:p w14:paraId="2444D865" w14:textId="7467115B" w:rsidR="00137661" w:rsidRDefault="00137661" w:rsidP="43EB01A2">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1D27AD">
        <w:rPr>
          <w:rStyle w:val="normaltextrun"/>
          <w:rFonts w:ascii="Arial" w:hAnsi="Arial" w:cs="Arial"/>
          <w:b/>
          <w:sz w:val="22"/>
          <w:szCs w:val="22"/>
        </w:rPr>
        <w:t>A</w:t>
      </w:r>
      <w:r w:rsidR="00775A93" w:rsidRPr="001D27AD">
        <w:rPr>
          <w:rStyle w:val="normaltextrun"/>
          <w:rFonts w:ascii="Arial" w:hAnsi="Arial" w:cs="Arial"/>
          <w:b/>
          <w:sz w:val="22"/>
          <w:szCs w:val="22"/>
        </w:rPr>
        <w:t xml:space="preserve">pplications </w:t>
      </w:r>
      <w:r w:rsidR="00775A93" w:rsidRPr="001D27AD">
        <w:rPr>
          <w:rStyle w:val="normaltextrun"/>
          <w:rFonts w:ascii="Arial" w:hAnsi="Arial" w:cs="Arial"/>
          <w:sz w:val="22"/>
          <w:szCs w:val="22"/>
        </w:rPr>
        <w:t>with a large file size</w:t>
      </w:r>
      <w:r w:rsidRPr="001D27AD">
        <w:rPr>
          <w:rStyle w:val="normaltextrun"/>
          <w:rFonts w:ascii="Arial" w:hAnsi="Arial" w:cs="Arial"/>
          <w:sz w:val="22"/>
          <w:szCs w:val="22"/>
        </w:rPr>
        <w:t xml:space="preserve"> </w:t>
      </w:r>
      <w:r w:rsidR="00775A93" w:rsidRPr="001D27AD">
        <w:rPr>
          <w:rStyle w:val="normaltextrun"/>
          <w:rFonts w:ascii="Arial" w:hAnsi="Arial" w:cs="Arial"/>
          <w:sz w:val="22"/>
          <w:szCs w:val="22"/>
        </w:rPr>
        <w:t xml:space="preserve">may be </w:t>
      </w:r>
      <w:r w:rsidRPr="001D27AD">
        <w:rPr>
          <w:rStyle w:val="normaltextrun"/>
          <w:rFonts w:ascii="Arial" w:hAnsi="Arial" w:cs="Arial"/>
          <w:sz w:val="22"/>
          <w:szCs w:val="22"/>
        </w:rPr>
        <w:t xml:space="preserve">submitted to DEQ electronically through the file sharing service </w:t>
      </w:r>
      <w:proofErr w:type="spellStart"/>
      <w:r w:rsidRPr="001D27AD">
        <w:rPr>
          <w:rStyle w:val="spellingerror"/>
          <w:rFonts w:ascii="Arial" w:hAnsi="Arial" w:cs="Arial"/>
          <w:sz w:val="22"/>
          <w:szCs w:val="22"/>
        </w:rPr>
        <w:t>VITAShare</w:t>
      </w:r>
      <w:proofErr w:type="spellEnd"/>
      <w:r w:rsidRPr="001D27AD">
        <w:rPr>
          <w:rStyle w:val="normaltextrun"/>
          <w:rFonts w:ascii="Arial" w:hAnsi="Arial" w:cs="Arial"/>
          <w:sz w:val="22"/>
          <w:szCs w:val="22"/>
        </w:rPr>
        <w:t>.</w:t>
      </w:r>
      <w:r w:rsidR="00367207" w:rsidRPr="001D27AD">
        <w:rPr>
          <w:rStyle w:val="normaltextrun"/>
          <w:rFonts w:ascii="Arial" w:hAnsi="Arial" w:cs="Arial"/>
          <w:sz w:val="22"/>
          <w:szCs w:val="22"/>
        </w:rPr>
        <w:t xml:space="preserve"> Please contact the Nonpoint Source Trading Coordinators above to initiate a file transfer via the </w:t>
      </w:r>
      <w:proofErr w:type="spellStart"/>
      <w:r w:rsidR="00367207" w:rsidRPr="001D27AD">
        <w:rPr>
          <w:rStyle w:val="normaltextrun"/>
          <w:rFonts w:ascii="Arial" w:hAnsi="Arial" w:cs="Arial"/>
          <w:sz w:val="22"/>
          <w:szCs w:val="22"/>
        </w:rPr>
        <w:t>VITAShare</w:t>
      </w:r>
      <w:proofErr w:type="spellEnd"/>
      <w:r w:rsidR="00367207" w:rsidRPr="001D27AD">
        <w:rPr>
          <w:rStyle w:val="normaltextrun"/>
          <w:rFonts w:ascii="Arial" w:hAnsi="Arial" w:cs="Arial"/>
          <w:sz w:val="22"/>
          <w:szCs w:val="22"/>
        </w:rPr>
        <w:t xml:space="preserve"> site.</w:t>
      </w:r>
      <w:r w:rsidRPr="001D27AD">
        <w:rPr>
          <w:rStyle w:val="normaltextrun"/>
          <w:rFonts w:ascii="Arial" w:hAnsi="Arial" w:cs="Arial"/>
          <w:sz w:val="22"/>
          <w:szCs w:val="22"/>
        </w:rPr>
        <w:t xml:space="preserve"> DEQ is unable to accept plans submitted through other file-sharing services at this time. Once this </w:t>
      </w:r>
      <w:r w:rsidR="37462DCA" w:rsidRPr="43EB01A2">
        <w:rPr>
          <w:rStyle w:val="normaltextrun"/>
          <w:rFonts w:ascii="Arial" w:hAnsi="Arial" w:cs="Arial"/>
          <w:sz w:val="22"/>
          <w:szCs w:val="22"/>
        </w:rPr>
        <w:t>c</w:t>
      </w:r>
      <w:r w:rsidRPr="001D27AD">
        <w:rPr>
          <w:rStyle w:val="normaltextrun"/>
          <w:rFonts w:ascii="Arial" w:hAnsi="Arial" w:cs="Arial"/>
          <w:sz w:val="22"/>
          <w:szCs w:val="22"/>
        </w:rPr>
        <w:t>hecklist is submitted, DEQ staff will respond within 48 hours or by the end of the following business day.</w:t>
      </w:r>
    </w:p>
    <w:p w14:paraId="0A698846" w14:textId="77777777" w:rsidR="00137661" w:rsidRPr="001D27AD" w:rsidRDefault="00137661" w:rsidP="43EB01A2">
      <w:pPr>
        <w:pStyle w:val="paragraph"/>
        <w:shd w:val="clear" w:color="auto" w:fill="FFFFFF" w:themeFill="background1"/>
        <w:spacing w:before="0" w:beforeAutospacing="0" w:after="0" w:afterAutospacing="0"/>
        <w:textAlignment w:val="baseline"/>
        <w:rPr>
          <w:rStyle w:val="normaltextrun"/>
          <w:rFonts w:ascii="Arial" w:hAnsi="Arial" w:cs="Arial"/>
          <w:sz w:val="22"/>
          <w:szCs w:val="22"/>
        </w:rPr>
      </w:pPr>
    </w:p>
    <w:p w14:paraId="002E6780" w14:textId="4C2387EA" w:rsidR="00137661" w:rsidRDefault="00137661" w:rsidP="43EB01A2">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1D27AD">
        <w:rPr>
          <w:rStyle w:val="normaltextrun"/>
          <w:rFonts w:ascii="Arial" w:hAnsi="Arial" w:cs="Arial"/>
          <w:sz w:val="22"/>
          <w:szCs w:val="22"/>
        </w:rPr>
        <w:t>Paper copies of the plans are not required for DEQ review</w:t>
      </w:r>
      <w:r w:rsidR="003C5D9D" w:rsidRPr="001D27AD">
        <w:rPr>
          <w:rStyle w:val="normaltextrun"/>
          <w:rFonts w:ascii="Arial" w:hAnsi="Arial" w:cs="Arial"/>
          <w:sz w:val="22"/>
          <w:szCs w:val="22"/>
        </w:rPr>
        <w:t>.</w:t>
      </w:r>
    </w:p>
    <w:p w14:paraId="7C15A66C" w14:textId="77777777" w:rsidR="00137661" w:rsidRPr="001D27AD" w:rsidRDefault="00137661" w:rsidP="43EB01A2">
      <w:pPr>
        <w:pStyle w:val="paragraph"/>
        <w:shd w:val="clear" w:color="auto" w:fill="FFFFFF" w:themeFill="background1"/>
        <w:spacing w:before="0" w:beforeAutospacing="0" w:after="0" w:afterAutospacing="0"/>
        <w:textAlignment w:val="baseline"/>
        <w:rPr>
          <w:rStyle w:val="normaltextrun"/>
          <w:rFonts w:ascii="Arial" w:hAnsi="Arial" w:cs="Arial"/>
          <w:sz w:val="22"/>
          <w:szCs w:val="22"/>
        </w:rPr>
      </w:pPr>
    </w:p>
    <w:p w14:paraId="6DABB6D4" w14:textId="14153FA3" w:rsidR="00137661" w:rsidRPr="003C5D9D" w:rsidRDefault="00137661" w:rsidP="43EB01A2">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1D27AD">
        <w:rPr>
          <w:rStyle w:val="normaltextrun"/>
          <w:rFonts w:ascii="Arial" w:hAnsi="Arial" w:cs="Arial"/>
          <w:sz w:val="22"/>
          <w:szCs w:val="22"/>
        </w:rPr>
        <w:t>All submissions are reviewed in the order they are received unless otherwise specified. Submissions are assigned to</w:t>
      </w:r>
      <w:r w:rsidR="003C5D9D" w:rsidRPr="001D27AD">
        <w:rPr>
          <w:rStyle w:val="normaltextrun"/>
          <w:rFonts w:ascii="Arial" w:hAnsi="Arial" w:cs="Arial"/>
          <w:sz w:val="22"/>
          <w:szCs w:val="22"/>
        </w:rPr>
        <w:t xml:space="preserve"> an individual Nonpoint Source Trading Coordinator who will </w:t>
      </w:r>
      <w:r w:rsidR="00E66AD8" w:rsidRPr="001D27AD">
        <w:rPr>
          <w:rStyle w:val="normaltextrun"/>
          <w:rFonts w:ascii="Arial" w:hAnsi="Arial" w:cs="Arial"/>
          <w:sz w:val="22"/>
          <w:szCs w:val="22"/>
        </w:rPr>
        <w:t>act as</w:t>
      </w:r>
      <w:r w:rsidR="003C5D9D" w:rsidRPr="001D27AD">
        <w:rPr>
          <w:rStyle w:val="normaltextrun"/>
          <w:rFonts w:ascii="Arial" w:hAnsi="Arial" w:cs="Arial"/>
          <w:sz w:val="22"/>
          <w:szCs w:val="22"/>
        </w:rPr>
        <w:t xml:space="preserve"> the project’s primary Point of Contact (POC)</w:t>
      </w:r>
      <w:r w:rsidRPr="001D27AD">
        <w:rPr>
          <w:rStyle w:val="normaltextrun"/>
          <w:rFonts w:ascii="Arial" w:hAnsi="Arial" w:cs="Arial"/>
          <w:sz w:val="22"/>
          <w:szCs w:val="22"/>
        </w:rPr>
        <w:t>. </w:t>
      </w:r>
      <w:r w:rsidRPr="001D27AD">
        <w:rPr>
          <w:rStyle w:val="eop"/>
          <w:rFonts w:ascii="Arial" w:hAnsi="Arial" w:cs="Arial"/>
          <w:sz w:val="22"/>
          <w:szCs w:val="22"/>
        </w:rPr>
        <w:t> </w:t>
      </w:r>
      <w:r w:rsidRPr="001D27AD">
        <w:rPr>
          <w:rStyle w:val="normaltextrun"/>
          <w:rFonts w:ascii="Arial" w:hAnsi="Arial" w:cs="Arial"/>
          <w:sz w:val="22"/>
          <w:szCs w:val="22"/>
        </w:rPr>
        <w:t>Project specific inquiries should be directed to the P</w:t>
      </w:r>
      <w:r w:rsidR="003C5D9D" w:rsidRPr="001D27AD">
        <w:rPr>
          <w:rStyle w:val="normaltextrun"/>
          <w:rFonts w:ascii="Arial" w:hAnsi="Arial" w:cs="Arial"/>
          <w:sz w:val="22"/>
          <w:szCs w:val="22"/>
        </w:rPr>
        <w:t>OC</w:t>
      </w:r>
      <w:r w:rsidRPr="001D27AD">
        <w:rPr>
          <w:rStyle w:val="normaltextrun"/>
          <w:rFonts w:ascii="Arial" w:hAnsi="Arial" w:cs="Arial"/>
          <w:sz w:val="22"/>
          <w:szCs w:val="22"/>
        </w:rPr>
        <w:t>.</w:t>
      </w:r>
      <w:r w:rsidRPr="001D27AD">
        <w:rPr>
          <w:rStyle w:val="eop"/>
          <w:rFonts w:ascii="Arial" w:hAnsi="Arial" w:cs="Arial"/>
          <w:sz w:val="22"/>
          <w:szCs w:val="22"/>
        </w:rPr>
        <w:t> </w:t>
      </w:r>
    </w:p>
    <w:p w14:paraId="51377FCF" w14:textId="77777777" w:rsidR="00137661" w:rsidRDefault="00137661" w:rsidP="00DD41C4">
      <w:pPr>
        <w:ind w:left="-540" w:right="-540"/>
        <w:rPr>
          <w:rFonts w:ascii="Arial" w:eastAsia="Times New Roman" w:hAnsi="Arial" w:cs="Arial"/>
          <w:color w:val="000000"/>
          <w:szCs w:val="24"/>
          <w:lang w:val="x-none"/>
        </w:rPr>
      </w:pPr>
    </w:p>
    <w:p w14:paraId="7D7E51A1" w14:textId="002FB59C" w:rsidR="00337981" w:rsidRPr="00DD41C4" w:rsidRDefault="00337981" w:rsidP="00DD41C4">
      <w:pPr>
        <w:ind w:left="-540" w:right="-540"/>
        <w:rPr>
          <w:sz w:val="2"/>
          <w:szCs w:val="2"/>
        </w:rPr>
      </w:pPr>
      <w:r w:rsidRPr="00DD41C4">
        <w:rPr>
          <w:rFonts w:ascii="Arial" w:eastAsia="Times New Roman" w:hAnsi="Arial" w:cs="Arial"/>
          <w:color w:val="000000"/>
          <w:szCs w:val="24"/>
          <w:lang w:val="x-none"/>
        </w:rPr>
        <w:t>"I certify under penalty of law that this document and all attachments were prepared under my direction or</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supervision in accordance with a system designed to assure that qualified personnel properly gather and evaluate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the information submitted. Based on my inquiry of the person or persons who manage the system, or those</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persons directly responsible for gathering the information, the information submitted is, to the best of my</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knowledge and belief, true, accurate, and complete. I am aware that there are significant penalties for submitting</w:t>
      </w:r>
      <w:r w:rsidRPr="00DD41C4">
        <w:rPr>
          <w:rFonts w:ascii="Arial" w:eastAsia="Times New Roman" w:hAnsi="Arial" w:cs="Arial"/>
          <w:color w:val="000000"/>
          <w:szCs w:val="24"/>
        </w:rPr>
        <w:t xml:space="preserve"> </w:t>
      </w:r>
      <w:r w:rsidRPr="00DD41C4">
        <w:rPr>
          <w:rFonts w:ascii="Arial" w:eastAsia="Times New Roman" w:hAnsi="Arial" w:cs="Arial"/>
          <w:color w:val="000000"/>
          <w:szCs w:val="24"/>
          <w:lang w:val="x-none"/>
        </w:rPr>
        <w:t>false information."</w:t>
      </w:r>
    </w:p>
    <w:p w14:paraId="0431F228" w14:textId="77777777" w:rsidR="00337981" w:rsidRPr="00725BA3" w:rsidRDefault="00337981" w:rsidP="00337981">
      <w:pPr>
        <w:autoSpaceDE w:val="0"/>
        <w:autoSpaceDN w:val="0"/>
        <w:adjustRightInd w:val="0"/>
        <w:snapToGrid w:val="0"/>
        <w:spacing w:after="0" w:line="240" w:lineRule="auto"/>
        <w:rPr>
          <w:rFonts w:ascii="Arial" w:eastAsia="Times New Roman" w:hAnsi="Arial" w:cs="Arial"/>
          <w:b/>
          <w:bCs/>
          <w:color w:val="000000"/>
          <w:szCs w:val="24"/>
          <w:lang w:val="x-none"/>
        </w:rPr>
      </w:pPr>
    </w:p>
    <w:p w14:paraId="720E93E8" w14:textId="77777777" w:rsidR="00337981" w:rsidRPr="00725BA3" w:rsidRDefault="00337981" w:rsidP="00DD41C4">
      <w:pPr>
        <w:autoSpaceDE w:val="0"/>
        <w:autoSpaceDN w:val="0"/>
        <w:adjustRightInd w:val="0"/>
        <w:snapToGrid w:val="0"/>
        <w:spacing w:after="0" w:line="240" w:lineRule="auto"/>
        <w:ind w:left="-450"/>
        <w:rPr>
          <w:rFonts w:ascii="Arial" w:eastAsia="Times New Roman" w:hAnsi="Arial" w:cs="Arial"/>
          <w:b/>
          <w:bCs/>
          <w:color w:val="000000"/>
          <w:szCs w:val="24"/>
          <w:lang w:val="x-none"/>
        </w:rPr>
      </w:pPr>
      <w:r w:rsidRPr="00725BA3">
        <w:rPr>
          <w:rFonts w:ascii="Arial" w:eastAsia="Times New Roman" w:hAnsi="Arial" w:cs="Arial"/>
          <w:b/>
          <w:bCs/>
          <w:color w:val="000000"/>
          <w:szCs w:val="24"/>
          <w:lang w:val="x-none"/>
        </w:rPr>
        <w:t>_____________________________________________________</w:t>
      </w:r>
    </w:p>
    <w:p w14:paraId="344D2664" w14:textId="77777777"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lang w:val="x-none"/>
        </w:rPr>
      </w:pPr>
      <w:r w:rsidRPr="00DD41C4">
        <w:rPr>
          <w:rFonts w:ascii="Arial" w:eastAsia="Times New Roman" w:hAnsi="Arial" w:cs="Arial"/>
          <w:i/>
          <w:color w:val="000000"/>
          <w:szCs w:val="24"/>
          <w:lang w:val="x-none"/>
        </w:rPr>
        <w:t>Applicant Printed Name</w:t>
      </w:r>
    </w:p>
    <w:p w14:paraId="09440DEC" w14:textId="77777777" w:rsidR="00DD41C4" w:rsidRDefault="00DD41C4" w:rsidP="00DD41C4">
      <w:pPr>
        <w:autoSpaceDE w:val="0"/>
        <w:autoSpaceDN w:val="0"/>
        <w:adjustRightInd w:val="0"/>
        <w:snapToGrid w:val="0"/>
        <w:spacing w:after="0" w:line="240" w:lineRule="auto"/>
        <w:ind w:left="-450" w:right="-630"/>
        <w:rPr>
          <w:rFonts w:ascii="Arial" w:eastAsia="Times New Roman" w:hAnsi="Arial" w:cs="Arial"/>
          <w:i/>
          <w:color w:val="000000"/>
          <w:szCs w:val="24"/>
          <w:lang w:val="x-none"/>
        </w:rPr>
      </w:pPr>
    </w:p>
    <w:p w14:paraId="2F949A0E" w14:textId="77777777" w:rsidR="005A3BD0" w:rsidRPr="003D7BB8" w:rsidRDefault="005A3BD0"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p>
    <w:p w14:paraId="0EC68E97" w14:textId="6820060A" w:rsidR="00337981" w:rsidRPr="00725BA3" w:rsidRDefault="00337981" w:rsidP="00DD41C4">
      <w:pPr>
        <w:autoSpaceDE w:val="0"/>
        <w:autoSpaceDN w:val="0"/>
        <w:adjustRightInd w:val="0"/>
        <w:snapToGrid w:val="0"/>
        <w:spacing w:after="0" w:line="240" w:lineRule="auto"/>
        <w:ind w:left="-450" w:right="-630"/>
        <w:rPr>
          <w:rFonts w:ascii="Arial" w:eastAsia="Times New Roman" w:hAnsi="Arial" w:cs="Arial"/>
          <w:b/>
          <w:bCs/>
          <w:i/>
          <w:color w:val="000000"/>
          <w:szCs w:val="24"/>
          <w:lang w:val="x-none"/>
        </w:rPr>
      </w:pPr>
      <w:r w:rsidRPr="00725BA3">
        <w:rPr>
          <w:rFonts w:ascii="Arial" w:eastAsia="Times New Roman" w:hAnsi="Arial" w:cs="Arial"/>
          <w:b/>
          <w:bCs/>
          <w:i/>
          <w:color w:val="000000"/>
          <w:szCs w:val="24"/>
          <w:lang w:val="x-none"/>
        </w:rPr>
        <w:t xml:space="preserve">______________________________________________________ </w:t>
      </w:r>
      <w:r w:rsidR="00DD41C4" w:rsidRPr="00725BA3">
        <w:rPr>
          <w:rFonts w:ascii="Arial" w:eastAsia="Times New Roman" w:hAnsi="Arial" w:cs="Arial"/>
          <w:b/>
          <w:bCs/>
          <w:i/>
          <w:color w:val="000000"/>
          <w:szCs w:val="24"/>
          <w:lang w:val="x-none"/>
        </w:rPr>
        <w:tab/>
      </w:r>
      <w:r w:rsidR="00DD41C4" w:rsidRPr="00725BA3">
        <w:rPr>
          <w:rFonts w:ascii="Arial" w:eastAsia="Times New Roman" w:hAnsi="Arial" w:cs="Arial"/>
          <w:b/>
          <w:bCs/>
          <w:i/>
          <w:color w:val="000000"/>
          <w:szCs w:val="24"/>
          <w:lang w:val="x-none"/>
        </w:rPr>
        <w:tab/>
      </w:r>
      <w:r w:rsidRPr="00725BA3">
        <w:rPr>
          <w:rFonts w:ascii="Arial" w:eastAsia="Times New Roman" w:hAnsi="Arial" w:cs="Arial"/>
          <w:b/>
          <w:bCs/>
          <w:i/>
          <w:color w:val="000000"/>
          <w:szCs w:val="24"/>
          <w:lang w:val="x-none"/>
        </w:rPr>
        <w:t>___________________</w:t>
      </w:r>
    </w:p>
    <w:p w14:paraId="73C7B808" w14:textId="630E920A" w:rsidR="00337981" w:rsidRPr="00DD41C4" w:rsidRDefault="00337981" w:rsidP="00DD41C4">
      <w:pPr>
        <w:autoSpaceDE w:val="0"/>
        <w:autoSpaceDN w:val="0"/>
        <w:adjustRightInd w:val="0"/>
        <w:snapToGrid w:val="0"/>
        <w:spacing w:after="0" w:line="240" w:lineRule="auto"/>
        <w:ind w:left="-450"/>
        <w:rPr>
          <w:rFonts w:ascii="Arial" w:eastAsia="Times New Roman" w:hAnsi="Arial" w:cs="Arial"/>
          <w:i/>
          <w:color w:val="000000"/>
          <w:szCs w:val="24"/>
        </w:rPr>
      </w:pPr>
      <w:r w:rsidRPr="00DD41C4">
        <w:rPr>
          <w:rFonts w:ascii="Arial" w:eastAsia="Times New Roman" w:hAnsi="Arial" w:cs="Arial"/>
          <w:i/>
          <w:color w:val="000000"/>
          <w:szCs w:val="24"/>
        </w:rPr>
        <w:t>Applicant Signature</w:t>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r>
      <w:r w:rsidRPr="00DD41C4">
        <w:rPr>
          <w:rFonts w:ascii="Arial" w:eastAsia="Times New Roman" w:hAnsi="Arial" w:cs="Arial"/>
          <w:i/>
          <w:color w:val="000000"/>
          <w:szCs w:val="24"/>
        </w:rPr>
        <w:tab/>
        <w:t xml:space="preserve">   </w:t>
      </w:r>
      <w:r w:rsidR="00DD41C4">
        <w:rPr>
          <w:rFonts w:ascii="Arial" w:eastAsia="Times New Roman" w:hAnsi="Arial" w:cs="Arial"/>
          <w:i/>
          <w:color w:val="000000"/>
          <w:szCs w:val="24"/>
        </w:rPr>
        <w:tab/>
      </w:r>
      <w:r w:rsidR="00DD41C4">
        <w:rPr>
          <w:rFonts w:ascii="Arial" w:eastAsia="Times New Roman" w:hAnsi="Arial" w:cs="Arial"/>
          <w:i/>
          <w:color w:val="000000"/>
          <w:szCs w:val="24"/>
        </w:rPr>
        <w:tab/>
      </w:r>
      <w:r w:rsidRPr="00DD41C4">
        <w:rPr>
          <w:rFonts w:ascii="Arial" w:eastAsia="Times New Roman" w:hAnsi="Arial" w:cs="Arial"/>
          <w:i/>
          <w:color w:val="000000"/>
          <w:szCs w:val="24"/>
        </w:rPr>
        <w:t>Date</w:t>
      </w:r>
    </w:p>
    <w:p w14:paraId="0801FFD4" w14:textId="726E2302" w:rsidR="001D4F79" w:rsidRPr="00E55580" w:rsidRDefault="001D4F79" w:rsidP="00337981">
      <w:pPr>
        <w:ind w:right="-540"/>
        <w:rPr>
          <w:sz w:val="2"/>
          <w:szCs w:val="2"/>
        </w:rPr>
      </w:pPr>
    </w:p>
    <w:sectPr w:rsidR="001D4F79" w:rsidRPr="00E55580">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A796" w14:textId="77777777" w:rsidR="00C575B3" w:rsidRDefault="00C575B3" w:rsidP="00F36E36">
      <w:pPr>
        <w:spacing w:after="0" w:line="240" w:lineRule="auto"/>
      </w:pPr>
      <w:r>
        <w:separator/>
      </w:r>
    </w:p>
  </w:endnote>
  <w:endnote w:type="continuationSeparator" w:id="0">
    <w:p w14:paraId="098BCA0A" w14:textId="77777777" w:rsidR="00C575B3" w:rsidRDefault="00C575B3" w:rsidP="00F36E36">
      <w:pPr>
        <w:spacing w:after="0" w:line="240" w:lineRule="auto"/>
      </w:pPr>
      <w:r>
        <w:continuationSeparator/>
      </w:r>
    </w:p>
  </w:endnote>
  <w:endnote w:type="continuationNotice" w:id="1">
    <w:p w14:paraId="714AE063" w14:textId="77777777" w:rsidR="00C575B3" w:rsidRDefault="00C57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266918"/>
      <w:docPartObj>
        <w:docPartGallery w:val="Page Numbers (Bottom of Page)"/>
        <w:docPartUnique/>
      </w:docPartObj>
    </w:sdtPr>
    <w:sdtEndPr>
      <w:rPr>
        <w:noProof/>
      </w:rPr>
    </w:sdtEndPr>
    <w:sdtContent>
      <w:sdt>
        <w:sdtPr>
          <w:rPr>
            <w:rFonts w:ascii="Arial" w:hAnsi="Arial" w:cs="Arial"/>
            <w:sz w:val="20"/>
            <w:szCs w:val="20"/>
          </w:rPr>
          <w:id w:val="1009567043"/>
          <w:docPartObj>
            <w:docPartGallery w:val="Page Numbers (Bottom of Page)"/>
            <w:docPartUnique/>
          </w:docPartObj>
        </w:sdtPr>
        <w:sdtContent>
          <w:p w14:paraId="4040537B" w14:textId="4DDA5D20" w:rsidR="00F36E36" w:rsidRPr="00BE3A48" w:rsidRDefault="00D15E32" w:rsidP="00BE3A48">
            <w:pPr>
              <w:pStyle w:val="Footer"/>
              <w:jc w:val="right"/>
              <w:rPr>
                <w:rFonts w:ascii="Arial" w:hAnsi="Arial" w:cs="Arial"/>
                <w:sz w:val="20"/>
              </w:rPr>
            </w:pPr>
            <w:r>
              <w:rPr>
                <w:rFonts w:ascii="Arial" w:hAnsi="Arial" w:cs="Arial"/>
                <w:sz w:val="20"/>
              </w:rPr>
              <w:t>August</w:t>
            </w:r>
            <w:r w:rsidR="00BE3A48">
              <w:rPr>
                <w:rFonts w:ascii="Arial" w:hAnsi="Arial" w:cs="Arial"/>
                <w:sz w:val="20"/>
              </w:rPr>
              <w:t xml:space="preserve"> 2023 - Page </w:t>
            </w:r>
            <w:r w:rsidR="00BE3A48">
              <w:rPr>
                <w:rFonts w:ascii="Arial" w:hAnsi="Arial" w:cs="Arial"/>
                <w:sz w:val="20"/>
              </w:rPr>
              <w:fldChar w:fldCharType="begin"/>
            </w:r>
            <w:r w:rsidR="00BE3A48">
              <w:rPr>
                <w:rFonts w:ascii="Arial" w:hAnsi="Arial" w:cs="Arial"/>
                <w:sz w:val="20"/>
              </w:rPr>
              <w:instrText xml:space="preserve"> PAGE   \* MERGEFORMAT </w:instrText>
            </w:r>
            <w:r w:rsidR="00BE3A48">
              <w:rPr>
                <w:rFonts w:ascii="Arial" w:hAnsi="Arial" w:cs="Arial"/>
                <w:sz w:val="20"/>
              </w:rPr>
              <w:fldChar w:fldCharType="separate"/>
            </w:r>
            <w:r w:rsidR="00BE3A48">
              <w:rPr>
                <w:rFonts w:ascii="Arial" w:hAnsi="Arial" w:cs="Arial"/>
                <w:sz w:val="20"/>
              </w:rPr>
              <w:t>4</w:t>
            </w:r>
            <w:r w:rsidR="00BE3A48">
              <w:rPr>
                <w:rFonts w:ascii="Arial" w:hAnsi="Arial" w:cs="Arial"/>
                <w:noProof/>
                <w:sz w:val="20"/>
              </w:rPr>
              <w:fldChar w:fldCharType="end"/>
            </w:r>
          </w:p>
        </w:sdtContent>
      </w:sdt>
    </w:sdtContent>
  </w:sdt>
  <w:p w14:paraId="250B350F" w14:textId="77777777" w:rsidR="00F36E36" w:rsidRDefault="00F36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2692" w14:textId="77777777" w:rsidR="00C575B3" w:rsidRDefault="00C575B3" w:rsidP="00F36E36">
      <w:pPr>
        <w:spacing w:after="0" w:line="240" w:lineRule="auto"/>
      </w:pPr>
      <w:r>
        <w:separator/>
      </w:r>
    </w:p>
  </w:footnote>
  <w:footnote w:type="continuationSeparator" w:id="0">
    <w:p w14:paraId="0321F9B1" w14:textId="77777777" w:rsidR="00C575B3" w:rsidRDefault="00C575B3" w:rsidP="00F36E36">
      <w:pPr>
        <w:spacing w:after="0" w:line="240" w:lineRule="auto"/>
      </w:pPr>
      <w:r>
        <w:continuationSeparator/>
      </w:r>
    </w:p>
  </w:footnote>
  <w:footnote w:type="continuationNotice" w:id="1">
    <w:p w14:paraId="1B98A306" w14:textId="77777777" w:rsidR="00C575B3" w:rsidRDefault="00C57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3EB01A2" w14:paraId="5369E7C6" w14:textId="77777777" w:rsidTr="43EB01A2">
      <w:trPr>
        <w:trHeight w:val="300"/>
      </w:trPr>
      <w:tc>
        <w:tcPr>
          <w:tcW w:w="3120" w:type="dxa"/>
        </w:tcPr>
        <w:p w14:paraId="3FA9A937" w14:textId="08F54A1F" w:rsidR="43EB01A2" w:rsidRDefault="43EB01A2" w:rsidP="43EB01A2">
          <w:pPr>
            <w:pStyle w:val="Header"/>
            <w:ind w:left="-115"/>
            <w:rPr>
              <w:rFonts w:ascii="Arial" w:hAnsi="Arial" w:cs="Arial"/>
              <w:sz w:val="28"/>
              <w:szCs w:val="28"/>
            </w:rPr>
          </w:pPr>
          <w:r>
            <w:rPr>
              <w:noProof/>
            </w:rPr>
            <w:drawing>
              <wp:inline distT="0" distB="0" distL="0" distR="0" wp14:anchorId="114F73DB" wp14:editId="4C9A0053">
                <wp:extent cx="1428750" cy="584200"/>
                <wp:effectExtent l="0" t="0" r="0" b="6350"/>
                <wp:docPr id="181854816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8750" cy="584200"/>
                        </a:xfrm>
                        <a:prstGeom prst="rect">
                          <a:avLst/>
                        </a:prstGeom>
                      </pic:spPr>
                    </pic:pic>
                  </a:graphicData>
                </a:graphic>
              </wp:inline>
            </w:drawing>
          </w:r>
        </w:p>
      </w:tc>
      <w:tc>
        <w:tcPr>
          <w:tcW w:w="3120" w:type="dxa"/>
        </w:tcPr>
        <w:p w14:paraId="62651D0C" w14:textId="2F5ABB16" w:rsidR="43EB01A2" w:rsidRDefault="43EB01A2" w:rsidP="43EB01A2">
          <w:pPr>
            <w:pStyle w:val="Header"/>
            <w:jc w:val="center"/>
          </w:pPr>
        </w:p>
      </w:tc>
      <w:tc>
        <w:tcPr>
          <w:tcW w:w="3120" w:type="dxa"/>
        </w:tcPr>
        <w:p w14:paraId="33AA1357" w14:textId="4E741695" w:rsidR="43EB01A2" w:rsidRDefault="43EB01A2" w:rsidP="43EB01A2">
          <w:pPr>
            <w:pStyle w:val="Header"/>
            <w:ind w:right="-115"/>
            <w:jc w:val="right"/>
          </w:pPr>
        </w:p>
      </w:tc>
    </w:tr>
  </w:tbl>
  <w:p w14:paraId="14EFD9F0" w14:textId="36E2E91F" w:rsidR="00F56CA7" w:rsidRDefault="00F56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E7"/>
    <w:rsid w:val="00001DEF"/>
    <w:rsid w:val="00002055"/>
    <w:rsid w:val="000054BD"/>
    <w:rsid w:val="000106C0"/>
    <w:rsid w:val="0001196D"/>
    <w:rsid w:val="00024BDD"/>
    <w:rsid w:val="00043159"/>
    <w:rsid w:val="00054DBB"/>
    <w:rsid w:val="0006570C"/>
    <w:rsid w:val="00072501"/>
    <w:rsid w:val="000730AA"/>
    <w:rsid w:val="00082C48"/>
    <w:rsid w:val="00084D31"/>
    <w:rsid w:val="00086F9E"/>
    <w:rsid w:val="00097287"/>
    <w:rsid w:val="000A4D81"/>
    <w:rsid w:val="000B0B9D"/>
    <w:rsid w:val="000B0D1C"/>
    <w:rsid w:val="000B100E"/>
    <w:rsid w:val="000B1EE9"/>
    <w:rsid w:val="000B7516"/>
    <w:rsid w:val="000C2F79"/>
    <w:rsid w:val="000E0850"/>
    <w:rsid w:val="001026C8"/>
    <w:rsid w:val="00120B60"/>
    <w:rsid w:val="001222AE"/>
    <w:rsid w:val="00137661"/>
    <w:rsid w:val="001404EF"/>
    <w:rsid w:val="00142A53"/>
    <w:rsid w:val="00142B1B"/>
    <w:rsid w:val="001466B2"/>
    <w:rsid w:val="00150A60"/>
    <w:rsid w:val="001557FC"/>
    <w:rsid w:val="00156827"/>
    <w:rsid w:val="00160557"/>
    <w:rsid w:val="001606D1"/>
    <w:rsid w:val="00163E40"/>
    <w:rsid w:val="001747BD"/>
    <w:rsid w:val="00175FFF"/>
    <w:rsid w:val="00187137"/>
    <w:rsid w:val="001A5574"/>
    <w:rsid w:val="001B2EE0"/>
    <w:rsid w:val="001B3C20"/>
    <w:rsid w:val="001B54FB"/>
    <w:rsid w:val="001C31CF"/>
    <w:rsid w:val="001D27AD"/>
    <w:rsid w:val="001D4A6C"/>
    <w:rsid w:val="001D4F79"/>
    <w:rsid w:val="001E6795"/>
    <w:rsid w:val="001E6F8B"/>
    <w:rsid w:val="002064D4"/>
    <w:rsid w:val="00212D38"/>
    <w:rsid w:val="00221DEC"/>
    <w:rsid w:val="002228E7"/>
    <w:rsid w:val="00230530"/>
    <w:rsid w:val="002329D6"/>
    <w:rsid w:val="002362E8"/>
    <w:rsid w:val="002612EF"/>
    <w:rsid w:val="00294516"/>
    <w:rsid w:val="002D55E5"/>
    <w:rsid w:val="002E204A"/>
    <w:rsid w:val="002E6646"/>
    <w:rsid w:val="002F6907"/>
    <w:rsid w:val="00306369"/>
    <w:rsid w:val="003074CB"/>
    <w:rsid w:val="00315457"/>
    <w:rsid w:val="00317AF0"/>
    <w:rsid w:val="00337981"/>
    <w:rsid w:val="0034612B"/>
    <w:rsid w:val="00356485"/>
    <w:rsid w:val="00361DE1"/>
    <w:rsid w:val="00367207"/>
    <w:rsid w:val="0038296E"/>
    <w:rsid w:val="003A31D6"/>
    <w:rsid w:val="003B041C"/>
    <w:rsid w:val="003B40C5"/>
    <w:rsid w:val="003B6C0D"/>
    <w:rsid w:val="003C2925"/>
    <w:rsid w:val="003C5D9D"/>
    <w:rsid w:val="003D571E"/>
    <w:rsid w:val="003D7580"/>
    <w:rsid w:val="003D7952"/>
    <w:rsid w:val="003D7BB8"/>
    <w:rsid w:val="003E08A6"/>
    <w:rsid w:val="003E2B9F"/>
    <w:rsid w:val="003E2E85"/>
    <w:rsid w:val="003E3080"/>
    <w:rsid w:val="003E3EB2"/>
    <w:rsid w:val="00400E7F"/>
    <w:rsid w:val="004048F7"/>
    <w:rsid w:val="0040715F"/>
    <w:rsid w:val="004150F4"/>
    <w:rsid w:val="00416671"/>
    <w:rsid w:val="00431458"/>
    <w:rsid w:val="00443F2C"/>
    <w:rsid w:val="0044455B"/>
    <w:rsid w:val="004666ED"/>
    <w:rsid w:val="00473714"/>
    <w:rsid w:val="0047503E"/>
    <w:rsid w:val="00475C9A"/>
    <w:rsid w:val="00475FD5"/>
    <w:rsid w:val="00483857"/>
    <w:rsid w:val="004A1679"/>
    <w:rsid w:val="004A6BDA"/>
    <w:rsid w:val="004C2FF6"/>
    <w:rsid w:val="004E4450"/>
    <w:rsid w:val="004F0E48"/>
    <w:rsid w:val="004F3697"/>
    <w:rsid w:val="00510117"/>
    <w:rsid w:val="00536D7C"/>
    <w:rsid w:val="00542944"/>
    <w:rsid w:val="00543322"/>
    <w:rsid w:val="00551859"/>
    <w:rsid w:val="00560E22"/>
    <w:rsid w:val="0056130B"/>
    <w:rsid w:val="00567F47"/>
    <w:rsid w:val="0057511D"/>
    <w:rsid w:val="00584E04"/>
    <w:rsid w:val="00592CE6"/>
    <w:rsid w:val="00594280"/>
    <w:rsid w:val="0059522E"/>
    <w:rsid w:val="005A3BD0"/>
    <w:rsid w:val="005B08DA"/>
    <w:rsid w:val="005C6E85"/>
    <w:rsid w:val="005E35B8"/>
    <w:rsid w:val="00613592"/>
    <w:rsid w:val="006202A9"/>
    <w:rsid w:val="00625F87"/>
    <w:rsid w:val="006357C0"/>
    <w:rsid w:val="00642DD9"/>
    <w:rsid w:val="00657550"/>
    <w:rsid w:val="006653A3"/>
    <w:rsid w:val="00665926"/>
    <w:rsid w:val="00671457"/>
    <w:rsid w:val="00672F97"/>
    <w:rsid w:val="006735CD"/>
    <w:rsid w:val="00684DC4"/>
    <w:rsid w:val="006953B8"/>
    <w:rsid w:val="006A309F"/>
    <w:rsid w:val="006A659F"/>
    <w:rsid w:val="006B0972"/>
    <w:rsid w:val="006B41E1"/>
    <w:rsid w:val="006C0FBF"/>
    <w:rsid w:val="006C1388"/>
    <w:rsid w:val="006D1DE6"/>
    <w:rsid w:val="006D61CE"/>
    <w:rsid w:val="006F2BB4"/>
    <w:rsid w:val="006F4E2F"/>
    <w:rsid w:val="006F7E5F"/>
    <w:rsid w:val="0071121D"/>
    <w:rsid w:val="00722877"/>
    <w:rsid w:val="00725BA3"/>
    <w:rsid w:val="007314B0"/>
    <w:rsid w:val="0073397D"/>
    <w:rsid w:val="00735FFB"/>
    <w:rsid w:val="00761E00"/>
    <w:rsid w:val="00764A87"/>
    <w:rsid w:val="00775A93"/>
    <w:rsid w:val="00775A96"/>
    <w:rsid w:val="00791CCF"/>
    <w:rsid w:val="007974C5"/>
    <w:rsid w:val="007A1DCC"/>
    <w:rsid w:val="007A440E"/>
    <w:rsid w:val="007A76BD"/>
    <w:rsid w:val="007D5547"/>
    <w:rsid w:val="007D70EE"/>
    <w:rsid w:val="007E05ED"/>
    <w:rsid w:val="007E0BC4"/>
    <w:rsid w:val="007E18B7"/>
    <w:rsid w:val="007E2116"/>
    <w:rsid w:val="007E6096"/>
    <w:rsid w:val="007F0A20"/>
    <w:rsid w:val="00805132"/>
    <w:rsid w:val="008200CE"/>
    <w:rsid w:val="008241AE"/>
    <w:rsid w:val="00830713"/>
    <w:rsid w:val="00832C95"/>
    <w:rsid w:val="00836910"/>
    <w:rsid w:val="00837163"/>
    <w:rsid w:val="00857CBF"/>
    <w:rsid w:val="008705CE"/>
    <w:rsid w:val="008717A7"/>
    <w:rsid w:val="00872AE3"/>
    <w:rsid w:val="00885C91"/>
    <w:rsid w:val="008917E7"/>
    <w:rsid w:val="00894065"/>
    <w:rsid w:val="00897367"/>
    <w:rsid w:val="008A3325"/>
    <w:rsid w:val="008A5F16"/>
    <w:rsid w:val="008B73AA"/>
    <w:rsid w:val="008D46BD"/>
    <w:rsid w:val="008E1E9B"/>
    <w:rsid w:val="008E3591"/>
    <w:rsid w:val="008E3880"/>
    <w:rsid w:val="008F1604"/>
    <w:rsid w:val="008F2195"/>
    <w:rsid w:val="008F4500"/>
    <w:rsid w:val="008F6744"/>
    <w:rsid w:val="00902B14"/>
    <w:rsid w:val="00903172"/>
    <w:rsid w:val="00920E33"/>
    <w:rsid w:val="00922A8B"/>
    <w:rsid w:val="009247B4"/>
    <w:rsid w:val="00933BEA"/>
    <w:rsid w:val="00957A3C"/>
    <w:rsid w:val="009844D5"/>
    <w:rsid w:val="00984740"/>
    <w:rsid w:val="00992FD5"/>
    <w:rsid w:val="009932BA"/>
    <w:rsid w:val="00997B41"/>
    <w:rsid w:val="009A0B47"/>
    <w:rsid w:val="009D433E"/>
    <w:rsid w:val="009D4C7B"/>
    <w:rsid w:val="009D5179"/>
    <w:rsid w:val="009E3374"/>
    <w:rsid w:val="009F10B0"/>
    <w:rsid w:val="009F7FA4"/>
    <w:rsid w:val="00A07DB8"/>
    <w:rsid w:val="00A17B3A"/>
    <w:rsid w:val="00A314C8"/>
    <w:rsid w:val="00A3508D"/>
    <w:rsid w:val="00A53276"/>
    <w:rsid w:val="00A57F5C"/>
    <w:rsid w:val="00A72872"/>
    <w:rsid w:val="00A832F6"/>
    <w:rsid w:val="00A919FE"/>
    <w:rsid w:val="00AA712F"/>
    <w:rsid w:val="00AB2468"/>
    <w:rsid w:val="00AC33D2"/>
    <w:rsid w:val="00AC6BCB"/>
    <w:rsid w:val="00AD75BC"/>
    <w:rsid w:val="00AD7883"/>
    <w:rsid w:val="00AF357E"/>
    <w:rsid w:val="00AF65E4"/>
    <w:rsid w:val="00AF7B82"/>
    <w:rsid w:val="00B027BB"/>
    <w:rsid w:val="00B07D36"/>
    <w:rsid w:val="00B22A0A"/>
    <w:rsid w:val="00B309AC"/>
    <w:rsid w:val="00B3721F"/>
    <w:rsid w:val="00B5029E"/>
    <w:rsid w:val="00B51DA5"/>
    <w:rsid w:val="00B5417C"/>
    <w:rsid w:val="00B6199B"/>
    <w:rsid w:val="00B62A40"/>
    <w:rsid w:val="00B65D2D"/>
    <w:rsid w:val="00B81BE7"/>
    <w:rsid w:val="00B85E56"/>
    <w:rsid w:val="00B8724A"/>
    <w:rsid w:val="00B972CA"/>
    <w:rsid w:val="00B97431"/>
    <w:rsid w:val="00BA2950"/>
    <w:rsid w:val="00BB51D5"/>
    <w:rsid w:val="00BB64D7"/>
    <w:rsid w:val="00BB6A83"/>
    <w:rsid w:val="00BC293F"/>
    <w:rsid w:val="00BC314D"/>
    <w:rsid w:val="00BC5D38"/>
    <w:rsid w:val="00BD0C6A"/>
    <w:rsid w:val="00BD21E0"/>
    <w:rsid w:val="00BD24C1"/>
    <w:rsid w:val="00BD495A"/>
    <w:rsid w:val="00BE116C"/>
    <w:rsid w:val="00BE3A48"/>
    <w:rsid w:val="00BE5739"/>
    <w:rsid w:val="00C107C6"/>
    <w:rsid w:val="00C10DBC"/>
    <w:rsid w:val="00C11FE1"/>
    <w:rsid w:val="00C16C2B"/>
    <w:rsid w:val="00C34FF4"/>
    <w:rsid w:val="00C3765C"/>
    <w:rsid w:val="00C451AB"/>
    <w:rsid w:val="00C575B3"/>
    <w:rsid w:val="00C6404C"/>
    <w:rsid w:val="00C7431B"/>
    <w:rsid w:val="00C7778E"/>
    <w:rsid w:val="00C96CC2"/>
    <w:rsid w:val="00CB0D0C"/>
    <w:rsid w:val="00CB2DAC"/>
    <w:rsid w:val="00CC1965"/>
    <w:rsid w:val="00CC2560"/>
    <w:rsid w:val="00CC3C12"/>
    <w:rsid w:val="00CD699E"/>
    <w:rsid w:val="00CE40F1"/>
    <w:rsid w:val="00CE6D7A"/>
    <w:rsid w:val="00D069BD"/>
    <w:rsid w:val="00D06F6D"/>
    <w:rsid w:val="00D12F06"/>
    <w:rsid w:val="00D1493F"/>
    <w:rsid w:val="00D15869"/>
    <w:rsid w:val="00D15983"/>
    <w:rsid w:val="00D15E32"/>
    <w:rsid w:val="00D223CC"/>
    <w:rsid w:val="00D332C8"/>
    <w:rsid w:val="00D367B1"/>
    <w:rsid w:val="00D40BF9"/>
    <w:rsid w:val="00D43502"/>
    <w:rsid w:val="00D4644C"/>
    <w:rsid w:val="00D523B9"/>
    <w:rsid w:val="00D663A6"/>
    <w:rsid w:val="00D77DE6"/>
    <w:rsid w:val="00D850E8"/>
    <w:rsid w:val="00D87092"/>
    <w:rsid w:val="00DA506B"/>
    <w:rsid w:val="00DA582C"/>
    <w:rsid w:val="00DB3B50"/>
    <w:rsid w:val="00DB5674"/>
    <w:rsid w:val="00DC0BDC"/>
    <w:rsid w:val="00DC69DB"/>
    <w:rsid w:val="00DD41C4"/>
    <w:rsid w:val="00DD7357"/>
    <w:rsid w:val="00DE36E7"/>
    <w:rsid w:val="00E11DA6"/>
    <w:rsid w:val="00E12319"/>
    <w:rsid w:val="00E35E91"/>
    <w:rsid w:val="00E47E6F"/>
    <w:rsid w:val="00E55580"/>
    <w:rsid w:val="00E62503"/>
    <w:rsid w:val="00E66AD8"/>
    <w:rsid w:val="00E676B3"/>
    <w:rsid w:val="00E74120"/>
    <w:rsid w:val="00E8105D"/>
    <w:rsid w:val="00E82928"/>
    <w:rsid w:val="00E857CE"/>
    <w:rsid w:val="00E940C3"/>
    <w:rsid w:val="00E97AE5"/>
    <w:rsid w:val="00EA2459"/>
    <w:rsid w:val="00EA4BFC"/>
    <w:rsid w:val="00EA7B03"/>
    <w:rsid w:val="00EB48DF"/>
    <w:rsid w:val="00EB4E87"/>
    <w:rsid w:val="00ED2DD4"/>
    <w:rsid w:val="00EE0CA9"/>
    <w:rsid w:val="00EF499E"/>
    <w:rsid w:val="00F0027F"/>
    <w:rsid w:val="00F252B2"/>
    <w:rsid w:val="00F253B6"/>
    <w:rsid w:val="00F3205D"/>
    <w:rsid w:val="00F36E36"/>
    <w:rsid w:val="00F549A7"/>
    <w:rsid w:val="00F54DFE"/>
    <w:rsid w:val="00F56CA7"/>
    <w:rsid w:val="00F631EF"/>
    <w:rsid w:val="00F8050C"/>
    <w:rsid w:val="00F86150"/>
    <w:rsid w:val="00F86C18"/>
    <w:rsid w:val="00F874C3"/>
    <w:rsid w:val="00F93957"/>
    <w:rsid w:val="00F93FCC"/>
    <w:rsid w:val="00FB26C3"/>
    <w:rsid w:val="00FB27E7"/>
    <w:rsid w:val="00FC55A8"/>
    <w:rsid w:val="00FD2261"/>
    <w:rsid w:val="00FD4B36"/>
    <w:rsid w:val="00FE349A"/>
    <w:rsid w:val="00FF0EE7"/>
    <w:rsid w:val="00FF4F1A"/>
    <w:rsid w:val="01D87DCC"/>
    <w:rsid w:val="03206C2D"/>
    <w:rsid w:val="03AC8D69"/>
    <w:rsid w:val="059C0261"/>
    <w:rsid w:val="0628E87F"/>
    <w:rsid w:val="06A099C2"/>
    <w:rsid w:val="071C19B1"/>
    <w:rsid w:val="0759FCD5"/>
    <w:rsid w:val="07C13093"/>
    <w:rsid w:val="093D060C"/>
    <w:rsid w:val="097FAABE"/>
    <w:rsid w:val="09CAB8F0"/>
    <w:rsid w:val="0B8FB450"/>
    <w:rsid w:val="0EE02D85"/>
    <w:rsid w:val="0F9C6578"/>
    <w:rsid w:val="112FD34C"/>
    <w:rsid w:val="11917118"/>
    <w:rsid w:val="11D6B76E"/>
    <w:rsid w:val="12416C0C"/>
    <w:rsid w:val="13DD3C6D"/>
    <w:rsid w:val="147EEE0B"/>
    <w:rsid w:val="1501F79F"/>
    <w:rsid w:val="153D0498"/>
    <w:rsid w:val="17DABE66"/>
    <w:rsid w:val="19D984B5"/>
    <w:rsid w:val="1A39BB23"/>
    <w:rsid w:val="1A4C7DF1"/>
    <w:rsid w:val="1A6EDE96"/>
    <w:rsid w:val="1BC748F2"/>
    <w:rsid w:val="1C37ED98"/>
    <w:rsid w:val="1C63FBE7"/>
    <w:rsid w:val="1C64C945"/>
    <w:rsid w:val="1D841EB3"/>
    <w:rsid w:val="1DAA387E"/>
    <w:rsid w:val="1DB3F2CF"/>
    <w:rsid w:val="1F1FEF14"/>
    <w:rsid w:val="1FA32067"/>
    <w:rsid w:val="200E804D"/>
    <w:rsid w:val="20985423"/>
    <w:rsid w:val="2107DFA0"/>
    <w:rsid w:val="22770441"/>
    <w:rsid w:val="2307E909"/>
    <w:rsid w:val="24131D9F"/>
    <w:rsid w:val="24E7232A"/>
    <w:rsid w:val="25095773"/>
    <w:rsid w:val="25AEEE00"/>
    <w:rsid w:val="261C02C8"/>
    <w:rsid w:val="26233C64"/>
    <w:rsid w:val="26C45D8F"/>
    <w:rsid w:val="27D25F01"/>
    <w:rsid w:val="287E55C5"/>
    <w:rsid w:val="2929365E"/>
    <w:rsid w:val="2ADB41BE"/>
    <w:rsid w:val="2AE51263"/>
    <w:rsid w:val="2B348B62"/>
    <w:rsid w:val="2B5A395E"/>
    <w:rsid w:val="2CA1F796"/>
    <w:rsid w:val="2E3DC7F7"/>
    <w:rsid w:val="2E4A9B5D"/>
    <w:rsid w:val="2EAD5B0D"/>
    <w:rsid w:val="2EE4EC29"/>
    <w:rsid w:val="2F0E2E0D"/>
    <w:rsid w:val="2F4214A7"/>
    <w:rsid w:val="31BDB898"/>
    <w:rsid w:val="3273E38D"/>
    <w:rsid w:val="3342BCD6"/>
    <w:rsid w:val="35479B64"/>
    <w:rsid w:val="36DAD4C8"/>
    <w:rsid w:val="36FA89AC"/>
    <w:rsid w:val="37462DCA"/>
    <w:rsid w:val="3793EB37"/>
    <w:rsid w:val="37AD6018"/>
    <w:rsid w:val="38C3E742"/>
    <w:rsid w:val="3A7E641B"/>
    <w:rsid w:val="3B9D1D62"/>
    <w:rsid w:val="3C149F4D"/>
    <w:rsid w:val="3CAA0625"/>
    <w:rsid w:val="3CD29470"/>
    <w:rsid w:val="3D787CB6"/>
    <w:rsid w:val="3EA89FA9"/>
    <w:rsid w:val="40477BD1"/>
    <w:rsid w:val="40F6899A"/>
    <w:rsid w:val="4115F9EF"/>
    <w:rsid w:val="41FEE9A0"/>
    <w:rsid w:val="42A8BE06"/>
    <w:rsid w:val="43665F86"/>
    <w:rsid w:val="43EB01A2"/>
    <w:rsid w:val="4522CFEC"/>
    <w:rsid w:val="4540C62C"/>
    <w:rsid w:val="456242EB"/>
    <w:rsid w:val="4675AD8F"/>
    <w:rsid w:val="46C85BC6"/>
    <w:rsid w:val="46DC5B14"/>
    <w:rsid w:val="4956D0BD"/>
    <w:rsid w:val="4A1F1F51"/>
    <w:rsid w:val="4A3D0445"/>
    <w:rsid w:val="4ACAD76D"/>
    <w:rsid w:val="4C322355"/>
    <w:rsid w:val="4D8D6A69"/>
    <w:rsid w:val="4E6825B0"/>
    <w:rsid w:val="4F383E88"/>
    <w:rsid w:val="4F46910C"/>
    <w:rsid w:val="50E3EBE5"/>
    <w:rsid w:val="51ECEF20"/>
    <w:rsid w:val="522B8BDD"/>
    <w:rsid w:val="571776A8"/>
    <w:rsid w:val="575292A0"/>
    <w:rsid w:val="5782ACE2"/>
    <w:rsid w:val="5812A604"/>
    <w:rsid w:val="58BA72FD"/>
    <w:rsid w:val="59210EE7"/>
    <w:rsid w:val="595F5A54"/>
    <w:rsid w:val="5A4EB6B9"/>
    <w:rsid w:val="5DAE0B3C"/>
    <w:rsid w:val="5E59173F"/>
    <w:rsid w:val="5F3546FA"/>
    <w:rsid w:val="60F0580E"/>
    <w:rsid w:val="611782B9"/>
    <w:rsid w:val="61B21BE1"/>
    <w:rsid w:val="624133C3"/>
    <w:rsid w:val="632D5A77"/>
    <w:rsid w:val="66748BD0"/>
    <w:rsid w:val="66EA463D"/>
    <w:rsid w:val="6718C985"/>
    <w:rsid w:val="67233AF6"/>
    <w:rsid w:val="6736E94D"/>
    <w:rsid w:val="681F785D"/>
    <w:rsid w:val="68B499E6"/>
    <w:rsid w:val="68D0AA26"/>
    <w:rsid w:val="6A1F1A19"/>
    <w:rsid w:val="6D1ACF9A"/>
    <w:rsid w:val="6D2ADAE5"/>
    <w:rsid w:val="6D684E2D"/>
    <w:rsid w:val="6DFAFB99"/>
    <w:rsid w:val="7015CBDE"/>
    <w:rsid w:val="70A7969E"/>
    <w:rsid w:val="719B712A"/>
    <w:rsid w:val="71DB8EF1"/>
    <w:rsid w:val="7266EF7C"/>
    <w:rsid w:val="72D66C95"/>
    <w:rsid w:val="7319DE1D"/>
    <w:rsid w:val="7383152D"/>
    <w:rsid w:val="74DC9482"/>
    <w:rsid w:val="752EECE3"/>
    <w:rsid w:val="75C5B0BF"/>
    <w:rsid w:val="76517EDF"/>
    <w:rsid w:val="766E24DF"/>
    <w:rsid w:val="775E8E9A"/>
    <w:rsid w:val="77A88A27"/>
    <w:rsid w:val="77B90468"/>
    <w:rsid w:val="77ED5D3F"/>
    <w:rsid w:val="7BF61989"/>
    <w:rsid w:val="7C587EE5"/>
    <w:rsid w:val="7CDBB8C5"/>
    <w:rsid w:val="7CEFBEC6"/>
    <w:rsid w:val="7E04E721"/>
    <w:rsid w:val="7EC2AD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AB2E1"/>
  <w15:chartTrackingRefBased/>
  <w15:docId w15:val="{BB50F6F7-8934-44BF-B10B-3AEB1A1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5D"/>
  </w:style>
  <w:style w:type="paragraph" w:styleId="Heading1">
    <w:name w:val="heading 1"/>
    <w:basedOn w:val="Normal"/>
    <w:next w:val="Normal"/>
    <w:link w:val="Heading1Char"/>
    <w:qFormat/>
    <w:rsid w:val="000C2F79"/>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35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0C2F79"/>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after="0" w:line="240" w:lineRule="auto"/>
      <w:ind w:right="360"/>
      <w:outlineLvl w:val="4"/>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C2F7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0C2F79"/>
    <w:rPr>
      <w:rFonts w:ascii="Times New Roman" w:eastAsia="Times New Roman" w:hAnsi="Times New Roman" w:cs="Times New Roman"/>
      <w:b/>
      <w:sz w:val="24"/>
      <w:szCs w:val="20"/>
    </w:rPr>
  </w:style>
  <w:style w:type="character" w:styleId="Hyperlink">
    <w:name w:val="Hyperlink"/>
    <w:rsid w:val="000C2F79"/>
    <w:rPr>
      <w:color w:val="0000FF"/>
      <w:u w:val="single"/>
    </w:rPr>
  </w:style>
  <w:style w:type="paragraph" w:styleId="EndnoteText">
    <w:name w:val="endnote text"/>
    <w:basedOn w:val="Normal"/>
    <w:link w:val="EndnoteTextChar"/>
    <w:semiHidden/>
    <w:rsid w:val="000C2F79"/>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0C2F79"/>
    <w:rPr>
      <w:rFonts w:ascii="Courier New" w:eastAsia="Times New Roman" w:hAnsi="Courier New" w:cs="Times New Roman"/>
      <w:snapToGrid w:val="0"/>
      <w:sz w:val="24"/>
      <w:szCs w:val="20"/>
    </w:rPr>
  </w:style>
  <w:style w:type="character" w:styleId="CommentReference">
    <w:name w:val="annotation reference"/>
    <w:basedOn w:val="DefaultParagraphFont"/>
    <w:uiPriority w:val="99"/>
    <w:semiHidden/>
    <w:unhideWhenUsed/>
    <w:rsid w:val="000C2F79"/>
    <w:rPr>
      <w:sz w:val="16"/>
      <w:szCs w:val="16"/>
    </w:rPr>
  </w:style>
  <w:style w:type="paragraph" w:styleId="CommentText">
    <w:name w:val="annotation text"/>
    <w:basedOn w:val="Normal"/>
    <w:link w:val="CommentTextChar"/>
    <w:uiPriority w:val="99"/>
    <w:unhideWhenUsed/>
    <w:rsid w:val="000C2F7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C2F79"/>
    <w:rPr>
      <w:rFonts w:ascii="Times New Roman" w:eastAsia="Times New Roman" w:hAnsi="Times New Roman" w:cs="Times New Roman"/>
      <w:sz w:val="20"/>
      <w:szCs w:val="20"/>
    </w:rPr>
  </w:style>
  <w:style w:type="paragraph" w:styleId="BodyText">
    <w:name w:val="Body Text"/>
    <w:basedOn w:val="Normal"/>
    <w:link w:val="BodyTextChar"/>
    <w:rsid w:val="000C2F79"/>
    <w:pPr>
      <w:spacing w:after="0" w:line="240" w:lineRule="auto"/>
      <w:jc w:val="center"/>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C2F79"/>
    <w:rPr>
      <w:rFonts w:ascii="Times New Roman" w:eastAsia="Times New Roman" w:hAnsi="Times New Roman" w:cs="Times New Roman"/>
      <w:sz w:val="20"/>
      <w:szCs w:val="20"/>
    </w:rPr>
  </w:style>
  <w:style w:type="paragraph" w:styleId="ListParagraph">
    <w:name w:val="List Paragraph"/>
    <w:basedOn w:val="Normal"/>
    <w:uiPriority w:val="34"/>
    <w:qFormat/>
    <w:rsid w:val="000C2F79"/>
    <w:pPr>
      <w:ind w:left="720"/>
      <w:contextualSpacing/>
    </w:pPr>
  </w:style>
  <w:style w:type="paragraph" w:styleId="Title">
    <w:name w:val="Title"/>
    <w:basedOn w:val="Normal"/>
    <w:link w:val="TitleChar"/>
    <w:qFormat/>
    <w:rsid w:val="00625F87"/>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25F8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36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36"/>
  </w:style>
  <w:style w:type="paragraph" w:styleId="Footer">
    <w:name w:val="footer"/>
    <w:basedOn w:val="Normal"/>
    <w:link w:val="FooterChar"/>
    <w:uiPriority w:val="99"/>
    <w:unhideWhenUsed/>
    <w:rsid w:val="00F36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36"/>
  </w:style>
  <w:style w:type="paragraph" w:styleId="Revision">
    <w:name w:val="Revision"/>
    <w:hidden/>
    <w:uiPriority w:val="99"/>
    <w:semiHidden/>
    <w:rsid w:val="00CD699E"/>
    <w:pPr>
      <w:spacing w:after="0" w:line="240" w:lineRule="auto"/>
    </w:pPr>
  </w:style>
  <w:style w:type="paragraph" w:styleId="NormalWeb">
    <w:name w:val="Normal (Web)"/>
    <w:basedOn w:val="Normal"/>
    <w:uiPriority w:val="99"/>
    <w:unhideWhenUsed/>
    <w:rsid w:val="0009728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1DA6"/>
    <w:rPr>
      <w:color w:val="605E5C"/>
      <w:shd w:val="clear" w:color="auto" w:fill="E1DFDD"/>
    </w:rPr>
  </w:style>
  <w:style w:type="paragraph" w:customStyle="1" w:styleId="sectbi2">
    <w:name w:val="sectbi2"/>
    <w:basedOn w:val="Normal"/>
    <w:rsid w:val="00E11DA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E085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F160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F1604"/>
    <w:rPr>
      <w:rFonts w:ascii="Times New Roman" w:eastAsia="Times New Roman" w:hAnsi="Times New Roman" w:cs="Times New Roman"/>
      <w:b/>
      <w:bCs/>
      <w:sz w:val="20"/>
      <w:szCs w:val="20"/>
    </w:rPr>
  </w:style>
  <w:style w:type="paragraph" w:customStyle="1" w:styleId="paragraph">
    <w:name w:val="paragraph"/>
    <w:basedOn w:val="Normal"/>
    <w:rsid w:val="001376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7661"/>
  </w:style>
  <w:style w:type="character" w:customStyle="1" w:styleId="eop">
    <w:name w:val="eop"/>
    <w:basedOn w:val="DefaultParagraphFont"/>
    <w:rsid w:val="00137661"/>
  </w:style>
  <w:style w:type="character" w:customStyle="1" w:styleId="spellingerror">
    <w:name w:val="spellingerror"/>
    <w:basedOn w:val="DefaultParagraphFont"/>
    <w:rsid w:val="00137661"/>
  </w:style>
  <w:style w:type="character" w:customStyle="1" w:styleId="contextualspellingandgrammarerror">
    <w:name w:val="contextualspellingandgrammarerror"/>
    <w:basedOn w:val="DefaultParagraphFont"/>
    <w:rsid w:val="00137661"/>
  </w:style>
  <w:style w:type="character" w:customStyle="1" w:styleId="advancedproofingissue">
    <w:name w:val="advancedproofingissue"/>
    <w:basedOn w:val="DefaultParagraphFont"/>
    <w:rsid w:val="00137661"/>
  </w:style>
  <w:style w:type="character" w:customStyle="1" w:styleId="Heading2Char">
    <w:name w:val="Heading 2 Char"/>
    <w:basedOn w:val="DefaultParagraphFont"/>
    <w:link w:val="Heading2"/>
    <w:uiPriority w:val="9"/>
    <w:semiHidden/>
    <w:rsid w:val="006357C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20637">
      <w:bodyDiv w:val="1"/>
      <w:marLeft w:val="0"/>
      <w:marRight w:val="0"/>
      <w:marTop w:val="0"/>
      <w:marBottom w:val="0"/>
      <w:divBdr>
        <w:top w:val="none" w:sz="0" w:space="0" w:color="auto"/>
        <w:left w:val="none" w:sz="0" w:space="0" w:color="auto"/>
        <w:bottom w:val="none" w:sz="0" w:space="0" w:color="auto"/>
        <w:right w:val="none" w:sz="0" w:space="0" w:color="auto"/>
      </w:divBdr>
    </w:div>
    <w:div w:id="538978922">
      <w:bodyDiv w:val="1"/>
      <w:marLeft w:val="0"/>
      <w:marRight w:val="0"/>
      <w:marTop w:val="0"/>
      <w:marBottom w:val="0"/>
      <w:divBdr>
        <w:top w:val="none" w:sz="0" w:space="0" w:color="auto"/>
        <w:left w:val="none" w:sz="0" w:space="0" w:color="auto"/>
        <w:bottom w:val="none" w:sz="0" w:space="0" w:color="auto"/>
        <w:right w:val="none" w:sz="0" w:space="0" w:color="auto"/>
      </w:divBdr>
      <w:divsChild>
        <w:div w:id="977300362">
          <w:marLeft w:val="0"/>
          <w:marRight w:val="0"/>
          <w:marTop w:val="0"/>
          <w:marBottom w:val="0"/>
          <w:divBdr>
            <w:top w:val="none" w:sz="0" w:space="0" w:color="auto"/>
            <w:left w:val="none" w:sz="0" w:space="0" w:color="auto"/>
            <w:bottom w:val="none" w:sz="0" w:space="0" w:color="auto"/>
            <w:right w:val="none" w:sz="0" w:space="0" w:color="auto"/>
          </w:divBdr>
        </w:div>
        <w:div w:id="857081343">
          <w:marLeft w:val="0"/>
          <w:marRight w:val="0"/>
          <w:marTop w:val="0"/>
          <w:marBottom w:val="0"/>
          <w:divBdr>
            <w:top w:val="none" w:sz="0" w:space="0" w:color="auto"/>
            <w:left w:val="none" w:sz="0" w:space="0" w:color="auto"/>
            <w:bottom w:val="none" w:sz="0" w:space="0" w:color="auto"/>
            <w:right w:val="none" w:sz="0" w:space="0" w:color="auto"/>
          </w:divBdr>
        </w:div>
        <w:div w:id="281152404">
          <w:marLeft w:val="0"/>
          <w:marRight w:val="0"/>
          <w:marTop w:val="0"/>
          <w:marBottom w:val="0"/>
          <w:divBdr>
            <w:top w:val="none" w:sz="0" w:space="0" w:color="auto"/>
            <w:left w:val="none" w:sz="0" w:space="0" w:color="auto"/>
            <w:bottom w:val="none" w:sz="0" w:space="0" w:color="auto"/>
            <w:right w:val="none" w:sz="0" w:space="0" w:color="auto"/>
          </w:divBdr>
        </w:div>
        <w:div w:id="995188273">
          <w:marLeft w:val="0"/>
          <w:marRight w:val="0"/>
          <w:marTop w:val="0"/>
          <w:marBottom w:val="0"/>
          <w:divBdr>
            <w:top w:val="none" w:sz="0" w:space="0" w:color="auto"/>
            <w:left w:val="none" w:sz="0" w:space="0" w:color="auto"/>
            <w:bottom w:val="none" w:sz="0" w:space="0" w:color="auto"/>
            <w:right w:val="none" w:sz="0" w:space="0" w:color="auto"/>
          </w:divBdr>
        </w:div>
        <w:div w:id="887450525">
          <w:marLeft w:val="0"/>
          <w:marRight w:val="0"/>
          <w:marTop w:val="0"/>
          <w:marBottom w:val="0"/>
          <w:divBdr>
            <w:top w:val="none" w:sz="0" w:space="0" w:color="auto"/>
            <w:left w:val="none" w:sz="0" w:space="0" w:color="auto"/>
            <w:bottom w:val="none" w:sz="0" w:space="0" w:color="auto"/>
            <w:right w:val="none" w:sz="0" w:space="0" w:color="auto"/>
          </w:divBdr>
        </w:div>
        <w:div w:id="234441279">
          <w:marLeft w:val="0"/>
          <w:marRight w:val="0"/>
          <w:marTop w:val="0"/>
          <w:marBottom w:val="0"/>
          <w:divBdr>
            <w:top w:val="none" w:sz="0" w:space="0" w:color="auto"/>
            <w:left w:val="none" w:sz="0" w:space="0" w:color="auto"/>
            <w:bottom w:val="none" w:sz="0" w:space="0" w:color="auto"/>
            <w:right w:val="none" w:sz="0" w:space="0" w:color="auto"/>
          </w:divBdr>
        </w:div>
        <w:div w:id="7143818">
          <w:marLeft w:val="0"/>
          <w:marRight w:val="0"/>
          <w:marTop w:val="0"/>
          <w:marBottom w:val="0"/>
          <w:divBdr>
            <w:top w:val="none" w:sz="0" w:space="0" w:color="auto"/>
            <w:left w:val="none" w:sz="0" w:space="0" w:color="auto"/>
            <w:bottom w:val="none" w:sz="0" w:space="0" w:color="auto"/>
            <w:right w:val="none" w:sz="0" w:space="0" w:color="auto"/>
          </w:divBdr>
        </w:div>
      </w:divsChild>
    </w:div>
    <w:div w:id="652371229">
      <w:bodyDiv w:val="1"/>
      <w:marLeft w:val="0"/>
      <w:marRight w:val="0"/>
      <w:marTop w:val="0"/>
      <w:marBottom w:val="0"/>
      <w:divBdr>
        <w:top w:val="none" w:sz="0" w:space="0" w:color="auto"/>
        <w:left w:val="none" w:sz="0" w:space="0" w:color="auto"/>
        <w:bottom w:val="none" w:sz="0" w:space="0" w:color="auto"/>
        <w:right w:val="none" w:sz="0" w:space="0" w:color="auto"/>
      </w:divBdr>
    </w:div>
    <w:div w:id="1143081984">
      <w:bodyDiv w:val="1"/>
      <w:marLeft w:val="0"/>
      <w:marRight w:val="0"/>
      <w:marTop w:val="0"/>
      <w:marBottom w:val="0"/>
      <w:divBdr>
        <w:top w:val="none" w:sz="0" w:space="0" w:color="auto"/>
        <w:left w:val="none" w:sz="0" w:space="0" w:color="auto"/>
        <w:bottom w:val="none" w:sz="0" w:space="0" w:color="auto"/>
        <w:right w:val="none" w:sz="0" w:space="0" w:color="auto"/>
      </w:divBdr>
    </w:div>
    <w:div w:id="1319309872">
      <w:bodyDiv w:val="1"/>
      <w:marLeft w:val="0"/>
      <w:marRight w:val="0"/>
      <w:marTop w:val="0"/>
      <w:marBottom w:val="0"/>
      <w:divBdr>
        <w:top w:val="none" w:sz="0" w:space="0" w:color="auto"/>
        <w:left w:val="none" w:sz="0" w:space="0" w:color="auto"/>
        <w:bottom w:val="none" w:sz="0" w:space="0" w:color="auto"/>
        <w:right w:val="none" w:sz="0" w:space="0" w:color="auto"/>
      </w:divBdr>
    </w:div>
    <w:div w:id="1701734448">
      <w:bodyDiv w:val="1"/>
      <w:marLeft w:val="0"/>
      <w:marRight w:val="0"/>
      <w:marTop w:val="0"/>
      <w:marBottom w:val="0"/>
      <w:divBdr>
        <w:top w:val="none" w:sz="0" w:space="0" w:color="auto"/>
        <w:left w:val="none" w:sz="0" w:space="0" w:color="auto"/>
        <w:bottom w:val="none" w:sz="0" w:space="0" w:color="auto"/>
        <w:right w:val="none" w:sz="0" w:space="0" w:color="auto"/>
      </w:divBdr>
    </w:div>
    <w:div w:id="1817188110">
      <w:bodyDiv w:val="1"/>
      <w:marLeft w:val="0"/>
      <w:marRight w:val="0"/>
      <w:marTop w:val="0"/>
      <w:marBottom w:val="0"/>
      <w:divBdr>
        <w:top w:val="none" w:sz="0" w:space="0" w:color="auto"/>
        <w:left w:val="none" w:sz="0" w:space="0" w:color="auto"/>
        <w:bottom w:val="none" w:sz="0" w:space="0" w:color="auto"/>
        <w:right w:val="none" w:sz="0" w:space="0" w:color="auto"/>
      </w:divBdr>
    </w:div>
    <w:div w:id="1883589430">
      <w:bodyDiv w:val="1"/>
      <w:marLeft w:val="0"/>
      <w:marRight w:val="0"/>
      <w:marTop w:val="0"/>
      <w:marBottom w:val="0"/>
      <w:divBdr>
        <w:top w:val="none" w:sz="0" w:space="0" w:color="auto"/>
        <w:left w:val="none" w:sz="0" w:space="0" w:color="auto"/>
        <w:bottom w:val="none" w:sz="0" w:space="0" w:color="auto"/>
        <w:right w:val="none" w:sz="0" w:space="0" w:color="auto"/>
      </w:divBdr>
    </w:div>
    <w:div w:id="20537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admincode/title9/agency25/chapter900/" TargetMode="External"/><Relationship Id="rId18" Type="http://schemas.openxmlformats.org/officeDocument/2006/relationships/hyperlink" Target="https://law.lis.virginia.gov/admincode/title9/agency25/chapter900/section9999/" TargetMode="External"/><Relationship Id="rId26" Type="http://schemas.openxmlformats.org/officeDocument/2006/relationships/hyperlink" Target="https://law.lis.virginia.gov/admincode/title9/agency25/chapter900/section100/" TargetMode="External"/><Relationship Id="rId39" Type="http://schemas.openxmlformats.org/officeDocument/2006/relationships/hyperlink" Target="https://consapps.dcr.virginia.gov/htdocs/agbmpman/BMPs/WP-2W_2024.pdf" TargetMode="External"/><Relationship Id="rId21" Type="http://schemas.openxmlformats.org/officeDocument/2006/relationships/hyperlink" Target="https://law.lis.virginia.gov/admincode/title9/agency25/chapter870/section69/" TargetMode="External"/><Relationship Id="rId34" Type="http://schemas.openxmlformats.org/officeDocument/2006/relationships/hyperlink" Target="https://law.lis.virginia.gov/admincode/title4/agency50/chapter70/section40/" TargetMode="External"/><Relationship Id="rId42" Type="http://schemas.openxmlformats.org/officeDocument/2006/relationships/hyperlink" Target="mailto:Derick.Winn@deq.virginia.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aw.lis.virginia.gov/admincode/title9/agency25/chapter900/section200/" TargetMode="External"/><Relationship Id="rId29" Type="http://schemas.openxmlformats.org/officeDocument/2006/relationships/hyperlink" Target="https://townhall.virginia.gov/L/GetFile.cfm?File=C:\TownHall\docroot\GuidanceDocs\440\GDoc_DEQ_6815_v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yler.monteith@deq.virginia.gov" TargetMode="External"/><Relationship Id="rId24" Type="http://schemas.openxmlformats.org/officeDocument/2006/relationships/hyperlink" Target="https://law.lis.virginia.gov/admincode/title9/agency25/chapter900/section80/" TargetMode="External"/><Relationship Id="rId32" Type="http://schemas.openxmlformats.org/officeDocument/2006/relationships/hyperlink" Target="https://law.lis.virginia.gov/admincode/title9/agency25/chapter900/section100/" TargetMode="External"/><Relationship Id="rId37" Type="http://schemas.openxmlformats.org/officeDocument/2006/relationships/hyperlink" Target="https://consapps.dcr.virginia.gov/htdocs/agbmpman/BMPs/WQ-1_2024.pdf" TargetMode="External"/><Relationship Id="rId40" Type="http://schemas.openxmlformats.org/officeDocument/2006/relationships/hyperlink" Target="https://law.lis.virginia.gov/admincode/title9/agency25/chapter900/section120/"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ownhall.virginia.gov/L/GetFile.cfm?File=C:\TownHall\docroot\GuidanceDocs\440\GDoc_DEQ_6815_v1.pdf" TargetMode="External"/><Relationship Id="rId23" Type="http://schemas.openxmlformats.org/officeDocument/2006/relationships/hyperlink" Target="https://law.lis.virginia.gov/vacode/title62.1/chapter3.1/section62.1-44.19:21/" TargetMode="External"/><Relationship Id="rId28" Type="http://schemas.openxmlformats.org/officeDocument/2006/relationships/hyperlink" Target="https://consapps.dcr.virginia.gov/htdocs/agbmpman/agbmptoc.htm" TargetMode="External"/><Relationship Id="rId36" Type="http://schemas.openxmlformats.org/officeDocument/2006/relationships/hyperlink" Target="https://consapps.dcr.virginia.gov/htdocs/agbmpman/BMPs/FR-3_2024.pdf" TargetMode="External"/><Relationship Id="rId10" Type="http://schemas.openxmlformats.org/officeDocument/2006/relationships/hyperlink" Target="mailto:derick.winn@deq.virginia.gov" TargetMode="External"/><Relationship Id="rId19" Type="http://schemas.openxmlformats.org/officeDocument/2006/relationships/hyperlink" Target="https://law.lis.virginia.gov/admincode/title9/agency25/chapter900/section91/" TargetMode="External"/><Relationship Id="rId31" Type="http://schemas.openxmlformats.org/officeDocument/2006/relationships/hyperlink" Target="https://law.lis.virginia.gov/admincode/title9/agency25/chapter900/section100/"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aw.lis.virginia.gov/admincode/title9/agency25/chapter900/section80/" TargetMode="External"/><Relationship Id="rId22" Type="http://schemas.openxmlformats.org/officeDocument/2006/relationships/hyperlink" Target="https://law.lis.virginia.gov/vacode/title62.1/chapter3.1/section62.1-44.19:20/" TargetMode="External"/><Relationship Id="rId27" Type="http://schemas.openxmlformats.org/officeDocument/2006/relationships/hyperlink" Target="https://law.lis.virginia.gov/admincodefull/title9/agency25/chapter900/partV/" TargetMode="External"/><Relationship Id="rId30" Type="http://schemas.openxmlformats.org/officeDocument/2006/relationships/hyperlink" Target="https://dof.virginia.gov/wp-content/uploads/VAs-Forestry-BMP-Technical-Guide_pub.pdf" TargetMode="External"/><Relationship Id="rId35" Type="http://schemas.openxmlformats.org/officeDocument/2006/relationships/hyperlink" Target="https://www.dcr.virginia.gov/soil-and-water/document/nmdir.pdf" TargetMode="Externa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900/section150/" TargetMode="External"/><Relationship Id="rId25" Type="http://schemas.openxmlformats.org/officeDocument/2006/relationships/hyperlink" Target="https://townhall.virginia.gov/L/GetFile.cfm?File=C:\TownHall\docroot\GuidanceDocs\440\GDoc_DEQ_6815_v1.pdf" TargetMode="External"/><Relationship Id="rId33" Type="http://schemas.openxmlformats.org/officeDocument/2006/relationships/hyperlink" Target="https://law.lis.virginia.gov/admincode/title9/agency25/chapter900/section90/" TargetMode="External"/><Relationship Id="rId38" Type="http://schemas.openxmlformats.org/officeDocument/2006/relationships/hyperlink" Target="https://consapps.dcr.virginia.gov/htdocs/agbmpman/BMPs/SL-8B_2024.pdf" TargetMode="External"/><Relationship Id="rId46" Type="http://schemas.openxmlformats.org/officeDocument/2006/relationships/theme" Target="theme/theme1.xml"/><Relationship Id="rId20" Type="http://schemas.openxmlformats.org/officeDocument/2006/relationships/hyperlink" Target="https://townhall.virginia.gov/L/GetFile.cfm?File=C:\TownHall\docroot\GuidanceDocs\440\GDoc_DEQ_7159_v1.pdf" TargetMode="External"/><Relationship Id="rId41" Type="http://schemas.openxmlformats.org/officeDocument/2006/relationships/hyperlink" Target="mailto:Tyler.Monteith@deq.virgini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F4ABACD4CBD4E9B92E5DBFA77BDD5" ma:contentTypeVersion="15" ma:contentTypeDescription="Create a new document." ma:contentTypeScope="" ma:versionID="8bdd994732167c5143a05bc672948d02">
  <xsd:schema xmlns:xsd="http://www.w3.org/2001/XMLSchema" xmlns:xs="http://www.w3.org/2001/XMLSchema" xmlns:p="http://schemas.microsoft.com/office/2006/metadata/properties" xmlns:ns2="aa526758-a91e-4c7e-a601-4f961e68e761" xmlns:ns3="f8457998-39e2-4bc1-be68-7fc758322aa6" targetNamespace="http://schemas.microsoft.com/office/2006/metadata/properties" ma:root="true" ma:fieldsID="ee2f0b8a68348e30ad983b3c323ccfe6" ns2:_="" ns3:_="">
    <xsd:import namespace="aa526758-a91e-4c7e-a601-4f961e68e761"/>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26758-a91e-4c7e-a601-4f961e68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526758-a91e-4c7e-a601-4f961e68e761">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75F114D0-9DCD-4F10-AACE-8C8BC1F1D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26758-a91e-4c7e-a601-4f961e68e761"/>
    <ds:schemaRef ds:uri="f8457998-39e2-4bc1-be68-7fc758322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0A139-115E-44E2-9A91-EABE6586DB16}">
  <ds:schemaRefs>
    <ds:schemaRef ds:uri="http://schemas.microsoft.com/sharepoint/v3/contenttype/forms"/>
  </ds:schemaRefs>
</ds:datastoreItem>
</file>

<file path=customXml/itemProps3.xml><?xml version="1.0" encoding="utf-8"?>
<ds:datastoreItem xmlns:ds="http://schemas.openxmlformats.org/officeDocument/2006/customXml" ds:itemID="{73C305EA-33CF-4F38-8B1E-85799501C8D6}">
  <ds:schemaRefs>
    <ds:schemaRef ds:uri="http://schemas.openxmlformats.org/officeDocument/2006/bibliography"/>
  </ds:schemaRefs>
</ds:datastoreItem>
</file>

<file path=customXml/itemProps4.xml><?xml version="1.0" encoding="utf-8"?>
<ds:datastoreItem xmlns:ds="http://schemas.openxmlformats.org/officeDocument/2006/customXml" ds:itemID="{346FCFD3-4F77-479A-A030-52A272F4EC51}">
  <ds:schemaRefs>
    <ds:schemaRef ds:uri="http://schemas.microsoft.com/office/2006/metadata/properties"/>
    <ds:schemaRef ds:uri="http://schemas.microsoft.com/office/infopath/2007/PartnerControls"/>
    <ds:schemaRef ds:uri="aa526758-a91e-4c7e-a601-4f961e68e761"/>
    <ds:schemaRef ds:uri="f8457998-39e2-4bc1-be68-7fc758322a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2774</Words>
  <Characters>15813</Characters>
  <Application>Microsoft Office Word</Application>
  <DocSecurity>0</DocSecurity>
  <Lines>131</Lines>
  <Paragraphs>37</Paragraphs>
  <ScaleCrop>false</ScaleCrop>
  <Company>VITA</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Winn</dc:creator>
  <cp:keywords/>
  <dc:description/>
  <cp:lastModifiedBy>Monteith, Tyler (DEQ)</cp:lastModifiedBy>
  <cp:revision>3</cp:revision>
  <dcterms:created xsi:type="dcterms:W3CDTF">2025-02-13T18:04:00Z</dcterms:created>
  <dcterms:modified xsi:type="dcterms:W3CDTF">2025-02-13T18:05:00Z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0x0101001E1F4ABACD4CBD4E9B92E5DBFA77BDD5</vt:lpwstr>
  </property>
  <property fmtid="{D5CDD505-2E9C-101B-9397-08002B2CF9AE}" pid="3" name="MediaServiceImageTags">
    <vt:lpwstr/>
  </property>
</Properties>
</file>