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CF4" w14:textId="2CCCCD07" w:rsidR="00E81821" w:rsidRDefault="00E81821" w:rsidP="00862D4D">
      <w:pPr>
        <w:pStyle w:val="ListParagraph"/>
        <w:spacing w:before="240"/>
        <w:ind w:left="1440"/>
      </w:pPr>
    </w:p>
    <w:tbl>
      <w:tblPr>
        <w:tblStyle w:val="TableGrid"/>
        <w:tblW w:w="9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2020 Annual Solid Waste Report for CY2020"/>
        <w:tblDescription w:val="Cover paper"/>
      </w:tblPr>
      <w:tblGrid>
        <w:gridCol w:w="9681"/>
      </w:tblGrid>
      <w:tr w:rsidR="00E81821" w14:paraId="23D1C1E3" w14:textId="77777777" w:rsidTr="001D10C9">
        <w:trPr>
          <w:trHeight w:val="3060"/>
          <w:tblHeader/>
          <w:jc w:val="center"/>
        </w:trPr>
        <w:tc>
          <w:tcPr>
            <w:tcW w:w="9681" w:type="dxa"/>
          </w:tcPr>
          <w:p w14:paraId="0ED1DB2B" w14:textId="1E5EB837" w:rsidR="00E81821" w:rsidRPr="009C3902" w:rsidRDefault="00E81821">
            <w:pPr>
              <w:rPr>
                <w:b/>
                <w:noProof/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7DBB9B46" wp14:editId="32CDDCDD">
                  <wp:extent cx="2457937" cy="1005840"/>
                  <wp:effectExtent l="0" t="0" r="0" b="3810"/>
                  <wp:docPr id="1" name="Picture 1" descr="DEQ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Q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25" cy="103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821" w14:paraId="65B48562" w14:textId="77777777" w:rsidTr="001D10C9">
        <w:trPr>
          <w:trHeight w:val="1791"/>
          <w:jc w:val="center"/>
        </w:trPr>
        <w:tc>
          <w:tcPr>
            <w:tcW w:w="9681" w:type="dxa"/>
            <w:tcBorders>
              <w:bottom w:val="single" w:sz="12" w:space="0" w:color="7F7F7F" w:themeColor="text1" w:themeTint="80"/>
            </w:tcBorders>
            <w:vAlign w:val="center"/>
          </w:tcPr>
          <w:p w14:paraId="4107DCF5" w14:textId="77777777" w:rsidR="00E81821" w:rsidRPr="009C3902" w:rsidRDefault="00E81821" w:rsidP="001D10C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Virginia Annual Recycling Summary Report</w:t>
            </w:r>
          </w:p>
        </w:tc>
      </w:tr>
      <w:tr w:rsidR="00E81821" w14:paraId="69393200" w14:textId="77777777" w:rsidTr="001D10C9">
        <w:trPr>
          <w:trHeight w:val="780"/>
          <w:jc w:val="center"/>
        </w:trPr>
        <w:tc>
          <w:tcPr>
            <w:tcW w:w="9681" w:type="dxa"/>
            <w:tcBorders>
              <w:top w:val="single" w:sz="12" w:space="0" w:color="7F7F7F" w:themeColor="text1" w:themeTint="80"/>
            </w:tcBorders>
            <w:vAlign w:val="center"/>
          </w:tcPr>
          <w:p w14:paraId="596DED65" w14:textId="281721A7" w:rsidR="00E81821" w:rsidRPr="009C3902" w:rsidRDefault="00E81821" w:rsidP="001D10C9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Calendar Year 202</w:t>
            </w:r>
            <w:r w:rsidR="000A6CAA"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3</w:t>
            </w:r>
          </w:p>
        </w:tc>
      </w:tr>
      <w:tr w:rsidR="00E81821" w14:paraId="01890B1C" w14:textId="77777777" w:rsidTr="001D10C9">
        <w:trPr>
          <w:trHeight w:val="5499"/>
          <w:jc w:val="center"/>
        </w:trPr>
        <w:tc>
          <w:tcPr>
            <w:tcW w:w="9681" w:type="dxa"/>
            <w:vAlign w:val="center"/>
          </w:tcPr>
          <w:p w14:paraId="524022EF" w14:textId="77777777" w:rsidR="00E81821" w:rsidRDefault="00E81821" w:rsidP="001D10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8439C5" wp14:editId="67A45946">
                  <wp:extent cx="5593662" cy="2766950"/>
                  <wp:effectExtent l="0" t="0" r="0" b="0"/>
                  <wp:docPr id="3" name="Picture 3" descr="A map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map of Virgini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662" cy="27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821" w14:paraId="0B584AF4" w14:textId="77777777" w:rsidTr="001D10C9">
        <w:trPr>
          <w:jc w:val="center"/>
        </w:trPr>
        <w:tc>
          <w:tcPr>
            <w:tcW w:w="9681" w:type="dxa"/>
            <w:vAlign w:val="center"/>
          </w:tcPr>
          <w:p w14:paraId="017BF450" w14:textId="212F11DD" w:rsidR="00E81821" w:rsidRPr="009C3902" w:rsidRDefault="0078634F" w:rsidP="001D10C9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October</w:t>
            </w:r>
            <w:r w:rsidR="000A6CAA"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 xml:space="preserve"> 2024</w:t>
            </w:r>
          </w:p>
        </w:tc>
      </w:tr>
    </w:tbl>
    <w:p w14:paraId="55401FDB" w14:textId="77777777" w:rsidR="00E81821" w:rsidRDefault="00E81821"/>
    <w:p w14:paraId="18130261" w14:textId="77777777" w:rsidR="00E81821" w:rsidRDefault="00E81821">
      <w:r>
        <w:br w:type="page"/>
      </w:r>
    </w:p>
    <w:p w14:paraId="2C4EFA3D" w14:textId="77777777" w:rsidR="00DC243F" w:rsidRDefault="00DC243F" w:rsidP="009A779E">
      <w:pPr>
        <w:spacing w:before="240"/>
      </w:pPr>
    </w:p>
    <w:sdt>
      <w:sdtPr>
        <w:rPr>
          <w:rFonts w:asciiTheme="minorHAnsi" w:eastAsia="Times New Roman" w:hAnsiTheme="minorHAnsi" w:cstheme="minorBidi"/>
          <w:b w:val="0"/>
          <w:bCs w:val="0"/>
          <w:color w:val="auto"/>
          <w:sz w:val="22"/>
          <w:szCs w:val="22"/>
        </w:rPr>
        <w:id w:val="83231962"/>
        <w:docPartObj>
          <w:docPartGallery w:val="Table of Contents"/>
          <w:docPartUnique/>
        </w:docPartObj>
      </w:sdtPr>
      <w:sdtContent>
        <w:p w14:paraId="6CE2B612" w14:textId="77777777" w:rsidR="005B1EA2" w:rsidRPr="00EE470A" w:rsidRDefault="005B1EA2">
          <w:pPr>
            <w:pStyle w:val="TOCHeading"/>
            <w:rPr>
              <w:rFonts w:asciiTheme="minorHAnsi" w:hAnsiTheme="minorHAnsi" w:cstheme="minorHAnsi"/>
              <w:sz w:val="22"/>
              <w:szCs w:val="22"/>
            </w:rPr>
          </w:pPr>
          <w:r w:rsidRPr="00EE470A">
            <w:rPr>
              <w:rFonts w:asciiTheme="minorHAnsi" w:hAnsiTheme="minorHAnsi" w:cstheme="minorHAnsi"/>
              <w:sz w:val="22"/>
              <w:szCs w:val="22"/>
            </w:rPr>
            <w:t>Table of Contents</w:t>
          </w:r>
        </w:p>
        <w:p w14:paraId="506FCE6B" w14:textId="77777777" w:rsidR="005B1EA2" w:rsidRPr="00EE470A" w:rsidRDefault="005B1EA2" w:rsidP="005B1EA2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C4EBEB4" w14:textId="3BDF164E" w:rsidR="00EE470A" w:rsidRPr="00EE470A" w:rsidRDefault="000F1EE5" w:rsidP="000F1EE5">
          <w:pPr>
            <w:pStyle w:val="TOC2"/>
            <w:tabs>
              <w:tab w:val="right" w:leader="dot" w:pos="9782"/>
            </w:tabs>
            <w:ind w:left="0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EE470A">
            <w:rPr>
              <w:rFonts w:asciiTheme="minorHAnsi" w:hAnsiTheme="minorHAnsi" w:cstheme="minorHAnsi"/>
              <w:b/>
              <w:sz w:val="22"/>
              <w:szCs w:val="22"/>
            </w:rPr>
            <w:t xml:space="preserve"> Virginia’s State Recycling Summary </w:t>
          </w:r>
          <w:r w:rsidR="00DD2E47" w:rsidRPr="00EE470A">
            <w:rPr>
              <w:rFonts w:asciiTheme="minorHAnsi" w:hAnsiTheme="minorHAnsi" w:cstheme="minorHAnsi"/>
              <w:b/>
              <w:sz w:val="22"/>
              <w:szCs w:val="22"/>
            </w:rPr>
            <w:t>Report for Calendar Year 202</w:t>
          </w:r>
          <w:r w:rsidR="000A6CAA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  <w:r w:rsidR="0002259B" w:rsidRPr="00EE470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="005B1EA2" w:rsidRPr="00EE470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TOC \o "1-3" \h \z \u </w:instrText>
          </w:r>
          <w:r w:rsidR="0002259B" w:rsidRPr="00EE470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</w:p>
        <w:p w14:paraId="23F6E572" w14:textId="3471DE94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1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Executive Summary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_Toc112849191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CD092D" w14:textId="1A111F4C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2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Introduction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_Toc112849192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E5D71E" w14:textId="113C315A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3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Mandated Recycling Rates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_Toc112849193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7A7696" w14:textId="094A9DAF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4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Solid Waste Management Planning and Recycling Action Plans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_Toc112849194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24266B" w14:textId="680C8FDD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5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State Recycling Rate Calculation for CY202</w:t>
            </w:r>
            <w:r w:rsidR="000A6CA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_Toc112849195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E2AD1D" w14:textId="793D582A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6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Calculated Recycling Rates for CY202</w:t>
            </w:r>
            <w:r w:rsidR="000A6CA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_Toc112849196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180E00" w14:textId="43EE64B4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7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Solid Waste Planning Units Not Reporting for CY202</w:t>
            </w:r>
            <w:r w:rsidR="000A6CA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_Toc112849197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DDCF05" w14:textId="75B5631F" w:rsidR="00EE470A" w:rsidRPr="00EE470A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12849198" w:history="1">
            <w:r w:rsidR="00EE470A" w:rsidRPr="00EE470A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</w:rPr>
              <w:t>Recycling Related Report Information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_Toc112849198 \h </w:instrTex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482D7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EE470A" w:rsidRPr="00EE470A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5BD56D" w14:textId="044D9646" w:rsidR="00352B1D" w:rsidRPr="00B962E2" w:rsidRDefault="0002259B" w:rsidP="00794F9B">
          <w:pPr>
            <w:rPr>
              <w:rFonts w:asciiTheme="minorHAnsi" w:hAnsiTheme="minorHAnsi" w:cstheme="minorHAnsi"/>
              <w:sz w:val="22"/>
              <w:szCs w:val="22"/>
            </w:rPr>
          </w:pPr>
          <w:r w:rsidRPr="00EE470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</w:p>
      </w:sdtContent>
    </w:sdt>
    <w:p w14:paraId="39176B93" w14:textId="77777777" w:rsidR="0073581C" w:rsidRPr="0013229C" w:rsidRDefault="000C5CAC">
      <w:pPr>
        <w:rPr>
          <w:rFonts w:asciiTheme="minorHAnsi" w:hAnsiTheme="minorHAnsi"/>
          <w:b/>
          <w:sz w:val="22"/>
          <w:szCs w:val="22"/>
        </w:rPr>
        <w:sectPr w:rsidR="0073581C" w:rsidRPr="0013229C" w:rsidSect="00A27581">
          <w:footerReference w:type="default" r:id="rId13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  <w:r w:rsidRPr="0013229C">
        <w:rPr>
          <w:rFonts w:asciiTheme="minorHAnsi" w:hAnsiTheme="minorHAnsi"/>
          <w:b/>
          <w:sz w:val="22"/>
          <w:szCs w:val="22"/>
        </w:rPr>
        <w:br w:type="page"/>
      </w:r>
    </w:p>
    <w:p w14:paraId="5286A9FD" w14:textId="6F997F89" w:rsidR="00D61DE8" w:rsidRPr="00887694" w:rsidRDefault="009A0361" w:rsidP="00D5019B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Toc426102517"/>
      <w:bookmarkStart w:id="1" w:name="_Toc427155609"/>
      <w:r w:rsidRPr="00887694">
        <w:rPr>
          <w:rFonts w:asciiTheme="minorHAnsi" w:hAnsiTheme="minorHAnsi"/>
          <w:b/>
          <w:sz w:val="24"/>
          <w:szCs w:val="24"/>
        </w:rPr>
        <w:lastRenderedPageBreak/>
        <w:t xml:space="preserve">Virginia </w:t>
      </w:r>
      <w:r w:rsidR="007205F1" w:rsidRPr="00887694">
        <w:rPr>
          <w:rFonts w:asciiTheme="minorHAnsi" w:hAnsiTheme="minorHAnsi"/>
          <w:b/>
          <w:sz w:val="24"/>
          <w:szCs w:val="24"/>
        </w:rPr>
        <w:t>State</w:t>
      </w:r>
      <w:r w:rsidRPr="00887694">
        <w:rPr>
          <w:rFonts w:asciiTheme="minorHAnsi" w:hAnsiTheme="minorHAnsi"/>
          <w:b/>
          <w:sz w:val="24"/>
          <w:szCs w:val="24"/>
        </w:rPr>
        <w:t xml:space="preserve"> Recycling </w:t>
      </w:r>
      <w:r w:rsidR="00401CF4" w:rsidRPr="00887694">
        <w:rPr>
          <w:rFonts w:asciiTheme="minorHAnsi" w:hAnsiTheme="minorHAnsi"/>
          <w:b/>
          <w:sz w:val="24"/>
          <w:szCs w:val="24"/>
        </w:rPr>
        <w:t xml:space="preserve">Summary </w:t>
      </w:r>
      <w:r w:rsidR="00BB432A" w:rsidRPr="00887694">
        <w:rPr>
          <w:rFonts w:asciiTheme="minorHAnsi" w:hAnsiTheme="minorHAnsi"/>
          <w:b/>
          <w:sz w:val="24"/>
          <w:szCs w:val="24"/>
        </w:rPr>
        <w:t xml:space="preserve">Report </w:t>
      </w:r>
      <w:r w:rsidRPr="00887694">
        <w:rPr>
          <w:rFonts w:asciiTheme="minorHAnsi" w:hAnsiTheme="minorHAnsi"/>
          <w:b/>
          <w:sz w:val="24"/>
          <w:szCs w:val="24"/>
        </w:rPr>
        <w:t xml:space="preserve">for Calendar Year </w:t>
      </w:r>
      <w:r w:rsidR="00CB43E0" w:rsidRPr="00887694">
        <w:rPr>
          <w:rFonts w:asciiTheme="minorHAnsi" w:hAnsiTheme="minorHAnsi"/>
          <w:b/>
          <w:sz w:val="24"/>
          <w:szCs w:val="24"/>
        </w:rPr>
        <w:t>20</w:t>
      </w:r>
      <w:bookmarkEnd w:id="0"/>
      <w:bookmarkEnd w:id="1"/>
      <w:r w:rsidR="003F30B9">
        <w:rPr>
          <w:rFonts w:asciiTheme="minorHAnsi" w:hAnsiTheme="minorHAnsi"/>
          <w:b/>
          <w:sz w:val="24"/>
          <w:szCs w:val="24"/>
        </w:rPr>
        <w:t>2</w:t>
      </w:r>
      <w:r w:rsidR="000A6CAA">
        <w:rPr>
          <w:rFonts w:asciiTheme="minorHAnsi" w:hAnsiTheme="minorHAnsi"/>
          <w:b/>
          <w:sz w:val="24"/>
          <w:szCs w:val="24"/>
        </w:rPr>
        <w:t>3</w:t>
      </w:r>
    </w:p>
    <w:p w14:paraId="1334229C" w14:textId="77777777" w:rsidR="009F0489" w:rsidRPr="00A20137" w:rsidRDefault="009F0489" w:rsidP="00556AFF">
      <w:pPr>
        <w:jc w:val="both"/>
        <w:rPr>
          <w:rFonts w:asciiTheme="minorHAnsi" w:hAnsiTheme="minorHAnsi"/>
          <w:sz w:val="22"/>
          <w:szCs w:val="22"/>
        </w:rPr>
      </w:pPr>
    </w:p>
    <w:p w14:paraId="52206A07" w14:textId="77777777" w:rsidR="001775BA" w:rsidRPr="00E46ACD" w:rsidRDefault="001775BA" w:rsidP="00071FF4">
      <w:pPr>
        <w:pStyle w:val="Heading2"/>
        <w:jc w:val="both"/>
        <w:rPr>
          <w:rFonts w:asciiTheme="minorHAnsi" w:hAnsiTheme="minorHAnsi"/>
          <w:b/>
          <w:szCs w:val="24"/>
        </w:rPr>
      </w:pPr>
      <w:bookmarkStart w:id="2" w:name="_Toc112849191"/>
      <w:r w:rsidRPr="00165B5A">
        <w:rPr>
          <w:rFonts w:asciiTheme="minorHAnsi" w:hAnsiTheme="minorHAnsi"/>
          <w:b/>
          <w:szCs w:val="24"/>
        </w:rPr>
        <w:t>Executive Summary</w:t>
      </w:r>
      <w:bookmarkEnd w:id="2"/>
    </w:p>
    <w:p w14:paraId="40906097" w14:textId="77777777" w:rsidR="001775BA" w:rsidRPr="00B967CC" w:rsidRDefault="001775BA" w:rsidP="00071FF4">
      <w:pPr>
        <w:pStyle w:val="Title"/>
        <w:jc w:val="both"/>
        <w:rPr>
          <w:rFonts w:asciiTheme="minorHAnsi" w:hAnsiTheme="minorHAnsi"/>
          <w:b/>
          <w:sz w:val="22"/>
          <w:szCs w:val="22"/>
        </w:rPr>
      </w:pPr>
    </w:p>
    <w:p w14:paraId="7DD656B8" w14:textId="40B4DD15" w:rsidR="00C75341" w:rsidRDefault="00482D7F" w:rsidP="00071FF4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Virginia’s</w:t>
      </w:r>
      <w:r w:rsidRPr="00B83C22">
        <w:rPr>
          <w:rFonts w:asciiTheme="minorHAnsi" w:hAnsiTheme="minorHAnsi"/>
          <w:sz w:val="22"/>
          <w:szCs w:val="22"/>
        </w:rPr>
        <w:t xml:space="preserve"> </w:t>
      </w:r>
      <w:r w:rsidR="0039613A" w:rsidRPr="00B83C22">
        <w:rPr>
          <w:rFonts w:asciiTheme="minorHAnsi" w:hAnsiTheme="minorHAnsi"/>
          <w:sz w:val="22"/>
          <w:szCs w:val="22"/>
        </w:rPr>
        <w:t xml:space="preserve">calendar </w:t>
      </w:r>
      <w:r w:rsidR="003F30B9" w:rsidRPr="00B83C22">
        <w:rPr>
          <w:rFonts w:asciiTheme="minorHAnsi" w:hAnsiTheme="minorHAnsi"/>
          <w:sz w:val="22"/>
          <w:szCs w:val="22"/>
        </w:rPr>
        <w:t>year 202</w:t>
      </w:r>
      <w:r w:rsidR="000A6CAA">
        <w:rPr>
          <w:rFonts w:asciiTheme="minorHAnsi" w:hAnsiTheme="minorHAnsi"/>
          <w:sz w:val="22"/>
          <w:szCs w:val="22"/>
        </w:rPr>
        <w:t>3</w:t>
      </w:r>
      <w:r w:rsidR="00E35E07">
        <w:rPr>
          <w:rFonts w:asciiTheme="minorHAnsi" w:hAnsiTheme="minorHAnsi"/>
          <w:sz w:val="22"/>
          <w:szCs w:val="22"/>
        </w:rPr>
        <w:t xml:space="preserve"> (CY202</w:t>
      </w:r>
      <w:r w:rsidR="000A6CAA">
        <w:rPr>
          <w:rFonts w:asciiTheme="minorHAnsi" w:hAnsiTheme="minorHAnsi"/>
          <w:sz w:val="22"/>
          <w:szCs w:val="22"/>
        </w:rPr>
        <w:t>3</w:t>
      </w:r>
      <w:r w:rsidR="00E35E07">
        <w:rPr>
          <w:rFonts w:asciiTheme="minorHAnsi" w:hAnsiTheme="minorHAnsi"/>
          <w:sz w:val="22"/>
          <w:szCs w:val="22"/>
        </w:rPr>
        <w:t>)</w:t>
      </w:r>
      <w:r w:rsidR="008548E8" w:rsidRPr="00B83C22">
        <w:rPr>
          <w:rFonts w:asciiTheme="minorHAnsi" w:hAnsiTheme="minorHAnsi"/>
          <w:sz w:val="22"/>
          <w:szCs w:val="22"/>
        </w:rPr>
        <w:t xml:space="preserve"> Annual Recycling Rate </w:t>
      </w:r>
      <w:r w:rsidR="00F35175">
        <w:rPr>
          <w:rFonts w:asciiTheme="minorHAnsi" w:hAnsiTheme="minorHAnsi"/>
          <w:sz w:val="22"/>
          <w:szCs w:val="22"/>
        </w:rPr>
        <w:t xml:space="preserve">as </w:t>
      </w:r>
      <w:r w:rsidR="008548E8" w:rsidRPr="00B83C22">
        <w:rPr>
          <w:rFonts w:asciiTheme="minorHAnsi" w:hAnsiTheme="minorHAnsi"/>
          <w:sz w:val="22"/>
          <w:szCs w:val="22"/>
        </w:rPr>
        <w:t>report</w:t>
      </w:r>
      <w:r w:rsidR="00F35175">
        <w:rPr>
          <w:rFonts w:asciiTheme="minorHAnsi" w:hAnsiTheme="minorHAnsi"/>
          <w:sz w:val="22"/>
          <w:szCs w:val="22"/>
        </w:rPr>
        <w:t>ed</w:t>
      </w:r>
      <w:r w:rsidR="008548E8" w:rsidRPr="00B83C22">
        <w:rPr>
          <w:rFonts w:asciiTheme="minorHAnsi" w:hAnsiTheme="minorHAnsi"/>
          <w:sz w:val="22"/>
          <w:szCs w:val="22"/>
        </w:rPr>
        <w:t xml:space="preserve"> by</w:t>
      </w:r>
      <w:r w:rsidR="00B83C22" w:rsidRPr="00B83C22">
        <w:rPr>
          <w:rFonts w:asciiTheme="minorHAnsi" w:hAnsiTheme="minorHAnsi"/>
          <w:sz w:val="22"/>
          <w:szCs w:val="22"/>
        </w:rPr>
        <w:t xml:space="preserve"> </w:t>
      </w:r>
      <w:r w:rsidR="008548E8" w:rsidRPr="00B83C22">
        <w:rPr>
          <w:rFonts w:asciiTheme="minorHAnsi" w:hAnsiTheme="minorHAnsi"/>
          <w:sz w:val="22"/>
          <w:szCs w:val="22"/>
        </w:rPr>
        <w:t>Virginia Solid Waste Planning Units (SWPUs)</w:t>
      </w:r>
      <w:r w:rsidR="001928F6">
        <w:rPr>
          <w:rFonts w:asciiTheme="minorHAnsi" w:hAnsiTheme="minorHAnsi"/>
          <w:sz w:val="22"/>
          <w:szCs w:val="22"/>
        </w:rPr>
        <w:t xml:space="preserve"> </w:t>
      </w:r>
      <w:r w:rsidR="001928F6" w:rsidRPr="009E16C3">
        <w:rPr>
          <w:rFonts w:asciiTheme="minorHAnsi" w:hAnsiTheme="minorHAnsi"/>
          <w:sz w:val="22"/>
          <w:szCs w:val="22"/>
        </w:rPr>
        <w:t xml:space="preserve">with populations above </w:t>
      </w:r>
      <w:r w:rsidR="001928F6" w:rsidRPr="009E16C3">
        <w:rPr>
          <w:rFonts w:asciiTheme="minorHAnsi" w:hAnsiTheme="minorHAnsi" w:cs="Arial"/>
          <w:sz w:val="22"/>
          <w:szCs w:val="22"/>
        </w:rPr>
        <w:t>100,000</w:t>
      </w:r>
      <w:r w:rsidR="001928F6" w:rsidRPr="009E16C3">
        <w:rPr>
          <w:rFonts w:asciiTheme="minorHAnsi" w:hAnsiTheme="minorHAnsi" w:cs="Arial"/>
          <w:sz w:val="22"/>
          <w:szCs w:val="22"/>
          <w:vertAlign w:val="superscript"/>
        </w:rPr>
        <w:t>1</w:t>
      </w:r>
      <w:r w:rsidR="001928F6" w:rsidRPr="009E16C3">
        <w:rPr>
          <w:rFonts w:asciiTheme="minorHAnsi" w:hAnsiTheme="minorHAnsi" w:cs="Arial"/>
          <w:sz w:val="22"/>
          <w:szCs w:val="22"/>
        </w:rPr>
        <w:t xml:space="preserve"> </w:t>
      </w:r>
      <w:r w:rsidR="00036696">
        <w:rPr>
          <w:rFonts w:asciiTheme="minorHAnsi" w:hAnsiTheme="minorHAnsi" w:cs="Arial"/>
          <w:sz w:val="22"/>
          <w:szCs w:val="22"/>
        </w:rPr>
        <w:t xml:space="preserve">was </w:t>
      </w:r>
      <w:r w:rsidR="008548E8" w:rsidRPr="00B83C22">
        <w:rPr>
          <w:rFonts w:asciiTheme="minorHAnsi" w:hAnsiTheme="minorHAnsi"/>
          <w:sz w:val="22"/>
          <w:szCs w:val="22"/>
        </w:rPr>
        <w:t xml:space="preserve">calculated </w:t>
      </w:r>
      <w:r w:rsidR="00036696">
        <w:rPr>
          <w:rFonts w:asciiTheme="minorHAnsi" w:hAnsiTheme="minorHAnsi"/>
          <w:sz w:val="22"/>
          <w:szCs w:val="22"/>
        </w:rPr>
        <w:t>at</w:t>
      </w:r>
      <w:r w:rsidR="0039613A" w:rsidRPr="00B83C22">
        <w:rPr>
          <w:rFonts w:asciiTheme="minorHAnsi" w:hAnsiTheme="minorHAnsi"/>
          <w:sz w:val="22"/>
          <w:szCs w:val="22"/>
        </w:rPr>
        <w:t xml:space="preserve"> </w:t>
      </w:r>
      <w:r w:rsidR="000A6CAA">
        <w:rPr>
          <w:rFonts w:asciiTheme="minorHAnsi" w:hAnsiTheme="minorHAnsi"/>
          <w:sz w:val="22"/>
          <w:szCs w:val="22"/>
        </w:rPr>
        <w:t>42.5</w:t>
      </w:r>
      <w:r w:rsidR="008548E8" w:rsidRPr="00B83C22">
        <w:rPr>
          <w:rFonts w:asciiTheme="minorHAnsi" w:hAnsiTheme="minorHAnsi"/>
          <w:sz w:val="22"/>
          <w:szCs w:val="22"/>
        </w:rPr>
        <w:t xml:space="preserve">%. This calculation included credits for solid waste reused, non-municipal solid waste (MSW) recycled, recycling residues, and source reduction programs. </w:t>
      </w:r>
      <w:r w:rsidR="00C92BEC" w:rsidRPr="009E16C3">
        <w:rPr>
          <w:rFonts w:asciiTheme="minorHAnsi" w:hAnsiTheme="minorHAnsi"/>
          <w:sz w:val="22"/>
          <w:szCs w:val="22"/>
        </w:rPr>
        <w:t>This rate was based on the data submitted by the 1</w:t>
      </w:r>
      <w:r w:rsidR="00544F39">
        <w:rPr>
          <w:rFonts w:asciiTheme="minorHAnsi" w:hAnsiTheme="minorHAnsi"/>
          <w:sz w:val="22"/>
          <w:szCs w:val="22"/>
        </w:rPr>
        <w:t>9</w:t>
      </w:r>
      <w:r w:rsidR="00C92BEC" w:rsidRPr="009E16C3">
        <w:rPr>
          <w:rFonts w:asciiTheme="minorHAnsi" w:hAnsiTheme="minorHAnsi"/>
          <w:sz w:val="22"/>
          <w:szCs w:val="22"/>
        </w:rPr>
        <w:t xml:space="preserve"> S</w:t>
      </w:r>
      <w:r w:rsidR="00C92BEC">
        <w:rPr>
          <w:rFonts w:asciiTheme="minorHAnsi" w:hAnsiTheme="minorHAnsi"/>
          <w:sz w:val="22"/>
          <w:szCs w:val="22"/>
        </w:rPr>
        <w:t>WPUs required to report for 202</w:t>
      </w:r>
      <w:r w:rsidR="00880B5A">
        <w:rPr>
          <w:rFonts w:asciiTheme="minorHAnsi" w:hAnsiTheme="minorHAnsi"/>
          <w:sz w:val="22"/>
          <w:szCs w:val="22"/>
        </w:rPr>
        <w:t>3</w:t>
      </w:r>
      <w:r w:rsidR="00C92BEC" w:rsidRPr="009E16C3">
        <w:rPr>
          <w:rFonts w:asciiTheme="minorHAnsi" w:hAnsiTheme="minorHAnsi"/>
          <w:sz w:val="22"/>
          <w:szCs w:val="22"/>
        </w:rPr>
        <w:t>.</w:t>
      </w:r>
    </w:p>
    <w:p w14:paraId="22C9D731" w14:textId="77777777" w:rsidR="00EC6F9F" w:rsidRDefault="00EC6F9F" w:rsidP="00071FF4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34514081" w14:textId="134AE8A4" w:rsidR="00EC6F9F" w:rsidRPr="00EC6F9F" w:rsidRDefault="00EC6F9F" w:rsidP="00071FF4">
      <w:pPr>
        <w:pStyle w:val="Title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Based on information provided by the localities, the CY202</w:t>
      </w:r>
      <w:r w:rsidR="00880B5A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recycling rate</w:t>
      </w:r>
      <w:r w:rsidR="00966CCE">
        <w:rPr>
          <w:rFonts w:asciiTheme="minorHAnsi" w:hAnsiTheme="minorHAnsi" w:cs="Arial"/>
          <w:sz w:val="22"/>
          <w:szCs w:val="22"/>
        </w:rPr>
        <w:t xml:space="preserve"> slightly</w:t>
      </w:r>
      <w:r>
        <w:rPr>
          <w:rFonts w:asciiTheme="minorHAnsi" w:hAnsiTheme="minorHAnsi" w:cs="Arial"/>
          <w:sz w:val="22"/>
          <w:szCs w:val="22"/>
        </w:rPr>
        <w:t xml:space="preserve"> decreased due to </w:t>
      </w:r>
      <w:r w:rsidR="00544F39">
        <w:rPr>
          <w:rFonts w:asciiTheme="minorHAnsi" w:hAnsiTheme="minorHAnsi" w:cs="Arial"/>
          <w:sz w:val="22"/>
          <w:szCs w:val="22"/>
        </w:rPr>
        <w:t xml:space="preserve">continuing </w:t>
      </w:r>
      <w:r w:rsidRPr="003F21A9">
        <w:rPr>
          <w:rFonts w:asciiTheme="minorHAnsi" w:hAnsiTheme="minorHAnsi"/>
          <w:sz w:val="22"/>
          <w:szCs w:val="22"/>
        </w:rPr>
        <w:t>recycling challenges</w:t>
      </w:r>
      <w:r>
        <w:rPr>
          <w:rFonts w:asciiTheme="minorHAnsi" w:hAnsiTheme="minorHAnsi"/>
          <w:sz w:val="22"/>
          <w:szCs w:val="22"/>
        </w:rPr>
        <w:t xml:space="preserve">, lack of recycling markets in some </w:t>
      </w:r>
      <w:r w:rsidRPr="003F21A9">
        <w:rPr>
          <w:rFonts w:asciiTheme="minorHAnsi" w:hAnsiTheme="minorHAnsi"/>
          <w:sz w:val="22"/>
          <w:szCs w:val="22"/>
        </w:rPr>
        <w:t>regions</w:t>
      </w:r>
      <w:r w:rsidR="009D5F2A">
        <w:rPr>
          <w:rFonts w:asciiTheme="minorHAnsi" w:hAnsiTheme="minorHAnsi"/>
          <w:sz w:val="22"/>
          <w:szCs w:val="22"/>
        </w:rPr>
        <w:t>,</w:t>
      </w:r>
      <w:r w:rsidRPr="003F21A9">
        <w:rPr>
          <w:rFonts w:asciiTheme="minorHAnsi" w:hAnsiTheme="minorHAnsi"/>
          <w:sz w:val="22"/>
          <w:szCs w:val="22"/>
        </w:rPr>
        <w:t xml:space="preserve"> and </w:t>
      </w:r>
      <w:r w:rsidR="00880B5A">
        <w:rPr>
          <w:rFonts w:asciiTheme="minorHAnsi" w:hAnsiTheme="minorHAnsi"/>
          <w:sz w:val="22"/>
          <w:szCs w:val="22"/>
        </w:rPr>
        <w:t xml:space="preserve">SWPUs reporting </w:t>
      </w:r>
      <w:r w:rsidRPr="003F21A9">
        <w:rPr>
          <w:rFonts w:asciiTheme="minorHAnsi" w:hAnsiTheme="minorHAnsi"/>
          <w:sz w:val="22"/>
          <w:szCs w:val="22"/>
        </w:rPr>
        <w:t>difficulty in obtaining recycling information from private businesses.</w:t>
      </w:r>
    </w:p>
    <w:p w14:paraId="2C245634" w14:textId="77777777" w:rsidR="005619CA" w:rsidRPr="00845F72" w:rsidRDefault="003C720E" w:rsidP="00845F72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090BCB5B" w14:textId="77777777" w:rsidR="001775BA" w:rsidRPr="009E16C3" w:rsidRDefault="001775BA" w:rsidP="00071FF4">
      <w:pPr>
        <w:pStyle w:val="Heading2"/>
        <w:jc w:val="both"/>
        <w:rPr>
          <w:rFonts w:asciiTheme="minorHAnsi" w:hAnsiTheme="minorHAnsi"/>
          <w:b/>
        </w:rPr>
      </w:pPr>
      <w:bookmarkStart w:id="3" w:name="_Toc112849192"/>
      <w:r w:rsidRPr="009E16C3">
        <w:rPr>
          <w:rFonts w:asciiTheme="minorHAnsi" w:hAnsiTheme="minorHAnsi"/>
          <w:b/>
        </w:rPr>
        <w:t>Introduction</w:t>
      </w:r>
      <w:bookmarkEnd w:id="3"/>
    </w:p>
    <w:p w14:paraId="248519F5" w14:textId="77777777" w:rsidR="008548E8" w:rsidRPr="009E16C3" w:rsidRDefault="008548E8" w:rsidP="004D3E55">
      <w:pPr>
        <w:pStyle w:val="Title"/>
        <w:jc w:val="left"/>
        <w:rPr>
          <w:rFonts w:asciiTheme="minorHAnsi" w:hAnsiTheme="minorHAnsi"/>
          <w:sz w:val="22"/>
          <w:szCs w:val="22"/>
        </w:rPr>
      </w:pPr>
    </w:p>
    <w:p w14:paraId="214192D0" w14:textId="12D74024" w:rsidR="008548E8" w:rsidRPr="00A20137" w:rsidRDefault="008548E8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  <w:r w:rsidRPr="009E16C3">
        <w:rPr>
          <w:rFonts w:asciiTheme="minorHAnsi" w:hAnsiTheme="minorHAnsi"/>
          <w:sz w:val="22"/>
          <w:szCs w:val="22"/>
        </w:rPr>
        <w:t>The Virginia Department of Environmental Quality (DEQ) completed its review of the recycling rate data reported for calendar year 20</w:t>
      </w:r>
      <w:r w:rsidR="003F30B9">
        <w:rPr>
          <w:rFonts w:asciiTheme="minorHAnsi" w:hAnsiTheme="minorHAnsi"/>
          <w:sz w:val="22"/>
          <w:szCs w:val="22"/>
        </w:rPr>
        <w:t>2</w:t>
      </w:r>
      <w:r w:rsidR="00880B5A">
        <w:rPr>
          <w:rFonts w:asciiTheme="minorHAnsi" w:hAnsiTheme="minorHAnsi"/>
          <w:sz w:val="22"/>
          <w:szCs w:val="22"/>
        </w:rPr>
        <w:t>3</w:t>
      </w:r>
      <w:r w:rsidR="00B967CC" w:rsidRPr="009E16C3">
        <w:rPr>
          <w:rFonts w:asciiTheme="minorHAnsi" w:hAnsiTheme="minorHAnsi"/>
          <w:sz w:val="22"/>
          <w:szCs w:val="22"/>
        </w:rPr>
        <w:t xml:space="preserve">. </w:t>
      </w:r>
      <w:r w:rsidRPr="009E16C3">
        <w:rPr>
          <w:rFonts w:asciiTheme="minorHAnsi" w:hAnsiTheme="minorHAnsi"/>
          <w:sz w:val="22"/>
          <w:szCs w:val="22"/>
        </w:rPr>
        <w:t xml:space="preserve">DEQ reviewed </w:t>
      </w:r>
      <w:r w:rsidR="00880B5A">
        <w:rPr>
          <w:rFonts w:asciiTheme="minorHAnsi" w:hAnsiTheme="minorHAnsi"/>
          <w:sz w:val="22"/>
          <w:szCs w:val="22"/>
        </w:rPr>
        <w:t>42</w:t>
      </w:r>
      <w:r w:rsidR="00845F72">
        <w:rPr>
          <w:rFonts w:asciiTheme="minorHAnsi" w:hAnsiTheme="minorHAnsi"/>
          <w:sz w:val="22"/>
          <w:szCs w:val="22"/>
        </w:rPr>
        <w:t xml:space="preserve"> submitted reports. </w:t>
      </w:r>
      <w:r w:rsidR="007C165E">
        <w:rPr>
          <w:rFonts w:asciiTheme="minorHAnsi" w:hAnsiTheme="minorHAnsi"/>
          <w:sz w:val="22"/>
          <w:szCs w:val="22"/>
        </w:rPr>
        <w:t xml:space="preserve">Of the </w:t>
      </w:r>
      <w:r w:rsidR="00880B5A">
        <w:rPr>
          <w:rFonts w:asciiTheme="minorHAnsi" w:hAnsiTheme="minorHAnsi"/>
          <w:sz w:val="22"/>
          <w:szCs w:val="22"/>
        </w:rPr>
        <w:t>42</w:t>
      </w:r>
      <w:r w:rsidR="007C165E">
        <w:rPr>
          <w:rFonts w:asciiTheme="minorHAnsi" w:hAnsiTheme="minorHAnsi"/>
          <w:sz w:val="22"/>
          <w:szCs w:val="22"/>
        </w:rPr>
        <w:t xml:space="preserve"> reports, </w:t>
      </w:r>
      <w:r w:rsidR="00880B5A">
        <w:rPr>
          <w:rFonts w:asciiTheme="minorHAnsi" w:hAnsiTheme="minorHAnsi"/>
          <w:sz w:val="22"/>
          <w:szCs w:val="22"/>
        </w:rPr>
        <w:t>23</w:t>
      </w:r>
      <w:r w:rsidR="007C165E">
        <w:rPr>
          <w:rFonts w:asciiTheme="minorHAnsi" w:hAnsiTheme="minorHAnsi"/>
          <w:sz w:val="22"/>
          <w:szCs w:val="22"/>
        </w:rPr>
        <w:t xml:space="preserve"> were submitted by SWPUs not required to report during the 202</w:t>
      </w:r>
      <w:r w:rsidR="00880B5A">
        <w:rPr>
          <w:rFonts w:asciiTheme="minorHAnsi" w:hAnsiTheme="minorHAnsi"/>
          <w:sz w:val="22"/>
          <w:szCs w:val="22"/>
        </w:rPr>
        <w:t>3</w:t>
      </w:r>
      <w:r w:rsidR="007C165E">
        <w:rPr>
          <w:rFonts w:asciiTheme="minorHAnsi" w:hAnsiTheme="minorHAnsi"/>
          <w:sz w:val="22"/>
          <w:szCs w:val="22"/>
        </w:rPr>
        <w:t xml:space="preserve"> reporting cycle. </w:t>
      </w:r>
    </w:p>
    <w:p w14:paraId="6BAA01FD" w14:textId="77777777" w:rsidR="001775BA" w:rsidRDefault="001775BA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741B2B3C" w14:textId="23631A24" w:rsidR="007C0A3F" w:rsidRDefault="007C0A3F" w:rsidP="007C0A3F">
      <w:pPr>
        <w:pStyle w:val="Title"/>
        <w:jc w:val="both"/>
        <w:rPr>
          <w:rFonts w:asciiTheme="minorHAnsi" w:hAnsiTheme="minorHAnsi"/>
          <w:sz w:val="22"/>
          <w:szCs w:val="22"/>
        </w:rPr>
      </w:pPr>
      <w:r w:rsidRPr="00A20137">
        <w:rPr>
          <w:rFonts w:asciiTheme="minorHAnsi" w:hAnsiTheme="minorHAnsi"/>
          <w:sz w:val="22"/>
          <w:szCs w:val="22"/>
        </w:rPr>
        <w:t>Virginia’s annual recycling rate for 20</w:t>
      </w:r>
      <w:r>
        <w:rPr>
          <w:rFonts w:asciiTheme="minorHAnsi" w:hAnsiTheme="minorHAnsi"/>
          <w:sz w:val="22"/>
          <w:szCs w:val="22"/>
        </w:rPr>
        <w:t>2</w:t>
      </w:r>
      <w:r w:rsidR="00FD085B">
        <w:rPr>
          <w:rFonts w:asciiTheme="minorHAnsi" w:hAnsiTheme="minorHAnsi"/>
          <w:sz w:val="22"/>
          <w:szCs w:val="22"/>
        </w:rPr>
        <w:t>3</w:t>
      </w:r>
      <w:r w:rsidR="00B86745">
        <w:rPr>
          <w:rFonts w:asciiTheme="minorHAnsi" w:hAnsiTheme="minorHAnsi"/>
          <w:sz w:val="22"/>
          <w:szCs w:val="22"/>
        </w:rPr>
        <w:t>,</w:t>
      </w:r>
      <w:r w:rsidRPr="00A20137">
        <w:rPr>
          <w:rFonts w:asciiTheme="minorHAnsi" w:hAnsiTheme="minorHAnsi"/>
          <w:sz w:val="22"/>
          <w:szCs w:val="22"/>
        </w:rPr>
        <w:t xml:space="preserve"> as </w:t>
      </w:r>
      <w:r w:rsidR="00B86745">
        <w:rPr>
          <w:rFonts w:asciiTheme="minorHAnsi" w:hAnsiTheme="minorHAnsi"/>
          <w:sz w:val="22"/>
          <w:szCs w:val="22"/>
        </w:rPr>
        <w:t>shown</w:t>
      </w:r>
      <w:r w:rsidRPr="00A20137">
        <w:rPr>
          <w:rFonts w:asciiTheme="minorHAnsi" w:hAnsiTheme="minorHAnsi"/>
          <w:sz w:val="22"/>
          <w:szCs w:val="22"/>
        </w:rPr>
        <w:t xml:space="preserve"> on the graph below</w:t>
      </w:r>
      <w:r w:rsidR="00B86745">
        <w:rPr>
          <w:rFonts w:asciiTheme="minorHAnsi" w:hAnsiTheme="minorHAnsi"/>
          <w:sz w:val="22"/>
          <w:szCs w:val="22"/>
        </w:rPr>
        <w:t>,</w:t>
      </w:r>
      <w:r w:rsidRPr="00A20137">
        <w:rPr>
          <w:rFonts w:asciiTheme="minorHAnsi" w:hAnsiTheme="minorHAnsi"/>
          <w:sz w:val="22"/>
          <w:szCs w:val="22"/>
        </w:rPr>
        <w:t xml:space="preserve"> is based only on data from the reports</w:t>
      </w:r>
      <w:r w:rsidR="00B512B9">
        <w:rPr>
          <w:rFonts w:asciiTheme="minorHAnsi" w:hAnsiTheme="minorHAnsi"/>
          <w:sz w:val="22"/>
          <w:szCs w:val="22"/>
        </w:rPr>
        <w:t xml:space="preserve"> required to be </w:t>
      </w:r>
      <w:r w:rsidRPr="00A20137">
        <w:rPr>
          <w:rFonts w:asciiTheme="minorHAnsi" w:hAnsiTheme="minorHAnsi"/>
          <w:sz w:val="22"/>
          <w:szCs w:val="22"/>
        </w:rPr>
        <w:t>submitted by the 1</w:t>
      </w:r>
      <w:r w:rsidR="006127D8">
        <w:rPr>
          <w:rFonts w:asciiTheme="minorHAnsi" w:hAnsiTheme="minorHAnsi"/>
          <w:sz w:val="22"/>
          <w:szCs w:val="22"/>
        </w:rPr>
        <w:t>9</w:t>
      </w:r>
      <w:r w:rsidRPr="00A20137">
        <w:rPr>
          <w:rFonts w:asciiTheme="minorHAnsi" w:hAnsiTheme="minorHAnsi"/>
          <w:sz w:val="22"/>
          <w:szCs w:val="22"/>
        </w:rPr>
        <w:t xml:space="preserve"> SWPUs with populations above 100,000</w:t>
      </w:r>
      <w:r>
        <w:rPr>
          <w:rFonts w:asciiTheme="minorHAnsi" w:hAnsiTheme="minorHAnsi"/>
          <w:sz w:val="22"/>
          <w:szCs w:val="22"/>
        </w:rPr>
        <w:t>.</w:t>
      </w:r>
      <w:r w:rsidR="00482D7F" w:rsidRPr="00482D7F">
        <w:rPr>
          <w:rFonts w:asciiTheme="minorHAnsi" w:hAnsiTheme="minorHAnsi"/>
          <w:sz w:val="22"/>
          <w:szCs w:val="22"/>
        </w:rPr>
        <w:t xml:space="preserve"> </w:t>
      </w:r>
      <w:r w:rsidR="00482D7F" w:rsidRPr="009E16C3">
        <w:rPr>
          <w:rFonts w:asciiTheme="minorHAnsi" w:hAnsiTheme="minorHAnsi"/>
          <w:sz w:val="22"/>
          <w:szCs w:val="22"/>
        </w:rPr>
        <w:t>Th</w:t>
      </w:r>
      <w:r w:rsidR="00482D7F">
        <w:rPr>
          <w:rFonts w:asciiTheme="minorHAnsi" w:hAnsiTheme="minorHAnsi"/>
          <w:sz w:val="22"/>
          <w:szCs w:val="22"/>
        </w:rPr>
        <w:t>is</w:t>
      </w:r>
      <w:r w:rsidR="00482D7F" w:rsidRPr="009E16C3">
        <w:rPr>
          <w:rFonts w:asciiTheme="minorHAnsi" w:hAnsiTheme="minorHAnsi"/>
          <w:sz w:val="22"/>
          <w:szCs w:val="22"/>
        </w:rPr>
        <w:t xml:space="preserve"> data</w:t>
      </w:r>
      <w:r w:rsidR="00482D7F">
        <w:rPr>
          <w:rFonts w:asciiTheme="minorHAnsi" w:hAnsiTheme="minorHAnsi"/>
          <w:sz w:val="22"/>
          <w:szCs w:val="22"/>
        </w:rPr>
        <w:t xml:space="preserve"> represents recycling information </w:t>
      </w:r>
      <w:r w:rsidR="00482D7F" w:rsidRPr="0033221D">
        <w:rPr>
          <w:rFonts w:asciiTheme="minorHAnsi" w:hAnsiTheme="minorHAnsi"/>
          <w:sz w:val="22"/>
          <w:szCs w:val="22"/>
        </w:rPr>
        <w:t xml:space="preserve">from </w:t>
      </w:r>
      <w:r w:rsidR="00482D7F" w:rsidRPr="00493889">
        <w:rPr>
          <w:rFonts w:asciiTheme="minorHAnsi" w:hAnsiTheme="minorHAnsi"/>
          <w:sz w:val="22"/>
          <w:szCs w:val="22"/>
        </w:rPr>
        <w:t>126</w:t>
      </w:r>
      <w:r w:rsidR="00482D7F" w:rsidRPr="005E4CE7">
        <w:rPr>
          <w:rFonts w:asciiTheme="minorHAnsi" w:hAnsiTheme="minorHAnsi"/>
          <w:sz w:val="22"/>
          <w:szCs w:val="22"/>
        </w:rPr>
        <w:t xml:space="preserve"> Virginia</w:t>
      </w:r>
      <w:r w:rsidR="00482D7F" w:rsidRPr="001F0E4C">
        <w:rPr>
          <w:rFonts w:asciiTheme="minorHAnsi" w:hAnsiTheme="minorHAnsi"/>
          <w:sz w:val="22"/>
          <w:szCs w:val="22"/>
        </w:rPr>
        <w:t xml:space="preserve"> cities, counties</w:t>
      </w:r>
      <w:r w:rsidR="00482D7F">
        <w:rPr>
          <w:rFonts w:asciiTheme="minorHAnsi" w:hAnsiTheme="minorHAnsi"/>
          <w:sz w:val="22"/>
          <w:szCs w:val="22"/>
        </w:rPr>
        <w:t>,</w:t>
      </w:r>
      <w:r w:rsidR="00482D7F" w:rsidRPr="001F0E4C">
        <w:rPr>
          <w:rFonts w:asciiTheme="minorHAnsi" w:hAnsiTheme="minorHAnsi"/>
          <w:sz w:val="22"/>
          <w:szCs w:val="22"/>
        </w:rPr>
        <w:t xml:space="preserve"> and towns.</w:t>
      </w:r>
      <w:r w:rsidR="00482D7F" w:rsidRPr="001F0E4C">
        <w:rPr>
          <w:rStyle w:val="FootnoteReference"/>
          <w:rFonts w:asciiTheme="minorHAnsi" w:hAnsiTheme="minorHAnsi"/>
          <w:sz w:val="22"/>
          <w:szCs w:val="22"/>
        </w:rPr>
        <w:footnoteReference w:id="2"/>
      </w:r>
    </w:p>
    <w:p w14:paraId="526839B2" w14:textId="4A696A79" w:rsidR="006E669A" w:rsidRDefault="006248C0" w:rsidP="006248C0">
      <w:pPr>
        <w:pStyle w:val="Titl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17EE37B" wp14:editId="05E1D0DA">
            <wp:extent cx="6134100" cy="3882321"/>
            <wp:effectExtent l="0" t="0" r="0" b="4445"/>
            <wp:docPr id="720893215" name="Picture 1" descr="Graph showing the last five years (2019-2023) of reported tonnages for municipal solid waste generated, amount recycled, and calculated recycling r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93215" name="Picture 1" descr="Graph showing the last five years (2019-2023) of reported tonnages for municipal solid waste generated, amount recycled, and calculated recycling rat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65" cy="390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FCD33" w14:textId="6889654B" w:rsidR="003C1EF6" w:rsidRDefault="00526ECA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  <w:r w:rsidRPr="00735094">
        <w:rPr>
          <w:rFonts w:asciiTheme="minorHAnsi" w:hAnsiTheme="minorHAnsi"/>
          <w:sz w:val="22"/>
          <w:szCs w:val="22"/>
        </w:rPr>
        <w:lastRenderedPageBreak/>
        <w:t xml:space="preserve">Based on these reports, </w:t>
      </w:r>
      <w:r w:rsidR="003332AB" w:rsidRPr="00735094">
        <w:rPr>
          <w:rFonts w:asciiTheme="minorHAnsi" w:hAnsiTheme="minorHAnsi"/>
          <w:sz w:val="22"/>
          <w:szCs w:val="22"/>
        </w:rPr>
        <w:t>the</w:t>
      </w:r>
      <w:r w:rsidR="00FA5D76">
        <w:rPr>
          <w:rFonts w:asciiTheme="minorHAnsi" w:hAnsiTheme="minorHAnsi"/>
          <w:sz w:val="22"/>
          <w:szCs w:val="22"/>
        </w:rPr>
        <w:t xml:space="preserve"> calculated</w:t>
      </w:r>
      <w:r w:rsidR="003332AB" w:rsidRPr="00735094">
        <w:rPr>
          <w:rFonts w:asciiTheme="minorHAnsi" w:hAnsiTheme="minorHAnsi"/>
          <w:sz w:val="22"/>
          <w:szCs w:val="22"/>
        </w:rPr>
        <w:t xml:space="preserve"> state recycling rate is </w:t>
      </w:r>
      <w:r w:rsidR="006A67AF">
        <w:rPr>
          <w:rFonts w:asciiTheme="minorHAnsi" w:hAnsiTheme="minorHAnsi"/>
          <w:sz w:val="22"/>
          <w:szCs w:val="22"/>
        </w:rPr>
        <w:t>4</w:t>
      </w:r>
      <w:r w:rsidR="004519A9">
        <w:rPr>
          <w:rFonts w:asciiTheme="minorHAnsi" w:hAnsiTheme="minorHAnsi"/>
          <w:sz w:val="22"/>
          <w:szCs w:val="22"/>
        </w:rPr>
        <w:t>2.5</w:t>
      </w:r>
      <w:r w:rsidR="006A67AF">
        <w:rPr>
          <w:rFonts w:asciiTheme="minorHAnsi" w:hAnsiTheme="minorHAnsi"/>
          <w:sz w:val="22"/>
          <w:szCs w:val="22"/>
        </w:rPr>
        <w:t xml:space="preserve">%, a </w:t>
      </w:r>
      <w:r w:rsidR="00FA5D76">
        <w:rPr>
          <w:rFonts w:asciiTheme="minorHAnsi" w:hAnsiTheme="minorHAnsi"/>
          <w:sz w:val="22"/>
          <w:szCs w:val="22"/>
        </w:rPr>
        <w:t xml:space="preserve">slight </w:t>
      </w:r>
      <w:r w:rsidR="006A67AF">
        <w:rPr>
          <w:rFonts w:asciiTheme="minorHAnsi" w:hAnsiTheme="minorHAnsi"/>
          <w:sz w:val="22"/>
          <w:szCs w:val="22"/>
        </w:rPr>
        <w:t>de</w:t>
      </w:r>
      <w:r w:rsidR="001035C8" w:rsidRPr="00735094">
        <w:rPr>
          <w:rFonts w:asciiTheme="minorHAnsi" w:hAnsiTheme="minorHAnsi"/>
          <w:sz w:val="22"/>
          <w:szCs w:val="22"/>
        </w:rPr>
        <w:t>crease</w:t>
      </w:r>
      <w:r w:rsidR="005F066D" w:rsidRPr="00735094">
        <w:rPr>
          <w:rFonts w:asciiTheme="minorHAnsi" w:hAnsiTheme="minorHAnsi"/>
          <w:sz w:val="22"/>
          <w:szCs w:val="22"/>
        </w:rPr>
        <w:t xml:space="preserve"> from the CY20</w:t>
      </w:r>
      <w:r w:rsidR="006A67AF">
        <w:rPr>
          <w:rFonts w:asciiTheme="minorHAnsi" w:hAnsiTheme="minorHAnsi"/>
          <w:sz w:val="22"/>
          <w:szCs w:val="22"/>
        </w:rPr>
        <w:t>2</w:t>
      </w:r>
      <w:r w:rsidR="004519A9">
        <w:rPr>
          <w:rFonts w:asciiTheme="minorHAnsi" w:hAnsiTheme="minorHAnsi"/>
          <w:sz w:val="22"/>
          <w:szCs w:val="22"/>
        </w:rPr>
        <w:t>2</w:t>
      </w:r>
      <w:r w:rsidRPr="00735094">
        <w:rPr>
          <w:rFonts w:asciiTheme="minorHAnsi" w:hAnsiTheme="minorHAnsi"/>
          <w:sz w:val="22"/>
          <w:szCs w:val="22"/>
        </w:rPr>
        <w:t xml:space="preserve"> report. </w:t>
      </w:r>
      <w:r w:rsidR="00735094" w:rsidRPr="00735094">
        <w:rPr>
          <w:rFonts w:asciiTheme="minorHAnsi" w:hAnsiTheme="minorHAnsi"/>
          <w:sz w:val="22"/>
          <w:szCs w:val="22"/>
        </w:rPr>
        <w:t xml:space="preserve">The </w:t>
      </w:r>
      <w:r w:rsidR="006A67AF">
        <w:rPr>
          <w:rFonts w:asciiTheme="minorHAnsi" w:hAnsiTheme="minorHAnsi"/>
          <w:sz w:val="22"/>
          <w:szCs w:val="22"/>
        </w:rPr>
        <w:t>1</w:t>
      </w:r>
      <w:r w:rsidR="00D141E2">
        <w:rPr>
          <w:rFonts w:asciiTheme="minorHAnsi" w:hAnsiTheme="minorHAnsi"/>
          <w:sz w:val="22"/>
          <w:szCs w:val="22"/>
        </w:rPr>
        <w:t>9</w:t>
      </w:r>
      <w:r w:rsidR="003C1EF6" w:rsidRPr="00735094">
        <w:rPr>
          <w:rFonts w:asciiTheme="minorHAnsi" w:hAnsiTheme="minorHAnsi"/>
          <w:sz w:val="22"/>
          <w:szCs w:val="22"/>
        </w:rPr>
        <w:t xml:space="preserve"> SWPUs reported recycling </w:t>
      </w:r>
      <w:r w:rsidR="003463E8">
        <w:rPr>
          <w:rFonts w:asciiTheme="minorHAnsi" w:hAnsiTheme="minorHAnsi"/>
          <w:sz w:val="22"/>
          <w:szCs w:val="22"/>
        </w:rPr>
        <w:t>2,</w:t>
      </w:r>
      <w:r w:rsidR="00471C4B">
        <w:rPr>
          <w:rFonts w:asciiTheme="minorHAnsi" w:hAnsiTheme="minorHAnsi"/>
          <w:sz w:val="22"/>
          <w:szCs w:val="22"/>
        </w:rPr>
        <w:t>772</w:t>
      </w:r>
      <w:r w:rsidR="003463E8">
        <w:rPr>
          <w:rFonts w:asciiTheme="minorHAnsi" w:hAnsiTheme="minorHAnsi"/>
          <w:sz w:val="22"/>
          <w:szCs w:val="22"/>
        </w:rPr>
        <w:t>,</w:t>
      </w:r>
      <w:r w:rsidR="00471C4B">
        <w:rPr>
          <w:rFonts w:asciiTheme="minorHAnsi" w:hAnsiTheme="minorHAnsi"/>
          <w:sz w:val="22"/>
          <w:szCs w:val="22"/>
        </w:rPr>
        <w:t>05</w:t>
      </w:r>
      <w:r w:rsidR="009115AD">
        <w:rPr>
          <w:rFonts w:asciiTheme="minorHAnsi" w:hAnsiTheme="minorHAnsi"/>
          <w:sz w:val="22"/>
          <w:szCs w:val="22"/>
        </w:rPr>
        <w:t>8</w:t>
      </w:r>
      <w:r w:rsidR="006A67AF">
        <w:rPr>
          <w:rFonts w:asciiTheme="minorHAnsi" w:hAnsiTheme="minorHAnsi"/>
          <w:sz w:val="22"/>
          <w:szCs w:val="22"/>
        </w:rPr>
        <w:t xml:space="preserve"> </w:t>
      </w:r>
      <w:r w:rsidR="003C1EF6" w:rsidRPr="00735094">
        <w:rPr>
          <w:rFonts w:asciiTheme="minorHAnsi" w:hAnsiTheme="minorHAnsi"/>
          <w:sz w:val="22"/>
          <w:szCs w:val="22"/>
        </w:rPr>
        <w:t xml:space="preserve">tons of principal </w:t>
      </w:r>
      <w:r w:rsidR="00A12893" w:rsidRPr="00735094">
        <w:rPr>
          <w:rFonts w:asciiTheme="minorHAnsi" w:hAnsiTheme="minorHAnsi"/>
          <w:sz w:val="22"/>
          <w:szCs w:val="22"/>
        </w:rPr>
        <w:t xml:space="preserve">recyclable materials (PRMs), </w:t>
      </w:r>
      <w:r w:rsidR="00471C4B">
        <w:rPr>
          <w:rFonts w:asciiTheme="minorHAnsi" w:hAnsiTheme="minorHAnsi"/>
          <w:sz w:val="22"/>
          <w:szCs w:val="22"/>
        </w:rPr>
        <w:t>1,140,325</w:t>
      </w:r>
      <w:r w:rsidR="003C1EF6" w:rsidRPr="00735094">
        <w:rPr>
          <w:rFonts w:asciiTheme="minorHAnsi" w:hAnsiTheme="minorHAnsi"/>
          <w:sz w:val="22"/>
          <w:szCs w:val="22"/>
        </w:rPr>
        <w:t xml:space="preserve"> tons of credits (includes recycling residue, reused solid waste, and non-MSW recycled) and disposal of </w:t>
      </w:r>
      <w:r w:rsidR="00471C4B">
        <w:rPr>
          <w:rFonts w:asciiTheme="minorHAnsi" w:hAnsiTheme="minorHAnsi"/>
          <w:sz w:val="22"/>
          <w:szCs w:val="22"/>
        </w:rPr>
        <w:t>4,624,2</w:t>
      </w:r>
      <w:r w:rsidR="00821B3A">
        <w:rPr>
          <w:rFonts w:asciiTheme="minorHAnsi" w:hAnsiTheme="minorHAnsi"/>
          <w:sz w:val="22"/>
          <w:szCs w:val="22"/>
        </w:rPr>
        <w:t>40</w:t>
      </w:r>
      <w:r w:rsidR="003C1EF6" w:rsidRPr="00735094">
        <w:rPr>
          <w:rFonts w:asciiTheme="minorHAnsi" w:hAnsiTheme="minorHAnsi"/>
          <w:sz w:val="22"/>
          <w:szCs w:val="22"/>
        </w:rPr>
        <w:t xml:space="preserve"> tons of MSW.</w:t>
      </w:r>
    </w:p>
    <w:p w14:paraId="6AE0053A" w14:textId="77777777" w:rsidR="003C1EF6" w:rsidRDefault="003C1EF6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2F356AE5" w14:textId="77777777" w:rsidR="00A20182" w:rsidRDefault="008C2E8A" w:rsidP="008C2E8A">
      <w:pPr>
        <w:pStyle w:val="Heading2"/>
        <w:jc w:val="both"/>
        <w:rPr>
          <w:rFonts w:asciiTheme="minorHAnsi" w:hAnsiTheme="minorHAnsi"/>
          <w:b/>
        </w:rPr>
      </w:pPr>
      <w:bookmarkStart w:id="4" w:name="_Toc112849193"/>
      <w:r>
        <w:rPr>
          <w:rFonts w:asciiTheme="minorHAnsi" w:hAnsiTheme="minorHAnsi"/>
          <w:b/>
        </w:rPr>
        <w:t>Mandated Recycling Rates</w:t>
      </w:r>
      <w:bookmarkEnd w:id="4"/>
    </w:p>
    <w:p w14:paraId="2F52B187" w14:textId="77777777" w:rsidR="008C2E8A" w:rsidRPr="008C2E8A" w:rsidRDefault="008C2E8A" w:rsidP="008C2E8A"/>
    <w:p w14:paraId="127155D2" w14:textId="77777777" w:rsidR="00A20182" w:rsidRDefault="00D5019B" w:rsidP="00A55024">
      <w:pPr>
        <w:pStyle w:val="Title"/>
        <w:jc w:val="both"/>
        <w:rPr>
          <w:rFonts w:asciiTheme="minorHAnsi" w:hAnsiTheme="minorHAnsi"/>
          <w:sz w:val="22"/>
          <w:szCs w:val="22"/>
        </w:rPr>
      </w:pPr>
      <w:r w:rsidRPr="00AA520E">
        <w:rPr>
          <w:rFonts w:asciiTheme="minorHAnsi" w:hAnsiTheme="minorHAnsi"/>
          <w:sz w:val="22"/>
          <w:szCs w:val="22"/>
        </w:rPr>
        <w:t>Pursuant to Virginia Code §</w:t>
      </w:r>
      <w:r w:rsidR="00A20182" w:rsidRPr="00AA520E">
        <w:rPr>
          <w:rFonts w:asciiTheme="minorHAnsi" w:hAnsiTheme="minorHAnsi"/>
          <w:sz w:val="22"/>
          <w:szCs w:val="22"/>
        </w:rPr>
        <w:t xml:space="preserve">10.1-1411.D, each SWPU is required to achieve and maintain a minimum 25 percent annual recycling rate </w:t>
      </w:r>
      <w:r w:rsidR="00A20182" w:rsidRPr="008C2E8A">
        <w:rPr>
          <w:rFonts w:asciiTheme="minorHAnsi" w:hAnsiTheme="minorHAnsi"/>
          <w:i/>
          <w:sz w:val="22"/>
          <w:szCs w:val="22"/>
        </w:rPr>
        <w:t>unless</w:t>
      </w:r>
      <w:r w:rsidR="00A20182" w:rsidRPr="00AA520E">
        <w:rPr>
          <w:rFonts w:asciiTheme="minorHAnsi" w:hAnsiTheme="minorHAnsi"/>
          <w:sz w:val="22"/>
          <w:szCs w:val="22"/>
        </w:rPr>
        <w:t xml:space="preserve">: </w:t>
      </w:r>
    </w:p>
    <w:p w14:paraId="20F62199" w14:textId="77777777" w:rsidR="008C2E8A" w:rsidRPr="00AA520E" w:rsidRDefault="008C2E8A" w:rsidP="00A55024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1D73A8ED" w14:textId="77777777" w:rsidR="00A20182" w:rsidRPr="00AA520E" w:rsidRDefault="00A20182" w:rsidP="00A55024">
      <w:pPr>
        <w:pStyle w:val="Title"/>
        <w:numPr>
          <w:ilvl w:val="0"/>
          <w:numId w:val="3"/>
        </w:numPr>
        <w:tabs>
          <w:tab w:val="clear" w:pos="1800"/>
          <w:tab w:val="num" w:pos="990"/>
        </w:tabs>
        <w:ind w:left="990" w:firstLine="0"/>
        <w:jc w:val="both"/>
        <w:rPr>
          <w:rFonts w:asciiTheme="minorHAnsi" w:hAnsiTheme="minorHAnsi"/>
          <w:sz w:val="22"/>
          <w:szCs w:val="22"/>
        </w:rPr>
      </w:pPr>
      <w:r w:rsidRPr="00AA520E">
        <w:rPr>
          <w:rFonts w:asciiTheme="minorHAnsi" w:hAnsiTheme="minorHAnsi"/>
          <w:sz w:val="22"/>
          <w:szCs w:val="22"/>
        </w:rPr>
        <w:t xml:space="preserve">Its population density is less than 100 persons per square mile, </w:t>
      </w:r>
      <w:r w:rsidRPr="00AA520E">
        <w:rPr>
          <w:rFonts w:asciiTheme="minorHAnsi" w:hAnsiTheme="minorHAnsi"/>
          <w:i/>
          <w:sz w:val="22"/>
          <w:szCs w:val="22"/>
        </w:rPr>
        <w:t>or</w:t>
      </w:r>
    </w:p>
    <w:p w14:paraId="7924445E" w14:textId="77777777" w:rsidR="00A20182" w:rsidRPr="004B6186" w:rsidRDefault="00A20182" w:rsidP="00A55024">
      <w:pPr>
        <w:pStyle w:val="Title"/>
        <w:numPr>
          <w:ilvl w:val="0"/>
          <w:numId w:val="3"/>
        </w:numPr>
        <w:tabs>
          <w:tab w:val="clear" w:pos="1800"/>
          <w:tab w:val="left" w:pos="990"/>
        </w:tabs>
        <w:ind w:left="990" w:firstLine="0"/>
        <w:jc w:val="both"/>
        <w:rPr>
          <w:rFonts w:asciiTheme="minorHAnsi" w:hAnsiTheme="minorHAnsi"/>
          <w:sz w:val="22"/>
          <w:szCs w:val="22"/>
        </w:rPr>
      </w:pPr>
      <w:r w:rsidRPr="00AA520E">
        <w:rPr>
          <w:rFonts w:asciiTheme="minorHAnsi" w:hAnsiTheme="minorHAnsi"/>
          <w:sz w:val="22"/>
          <w:szCs w:val="22"/>
        </w:rPr>
        <w:t>Its civilian unemployment rate is 50</w:t>
      </w:r>
      <w:r w:rsidRPr="004B6186">
        <w:rPr>
          <w:rFonts w:asciiTheme="minorHAnsi" w:hAnsiTheme="minorHAnsi"/>
          <w:sz w:val="22"/>
          <w:szCs w:val="22"/>
        </w:rPr>
        <w:t xml:space="preserve"> percent or more above the state unemployment average.</w:t>
      </w:r>
    </w:p>
    <w:p w14:paraId="7F5FB3CB" w14:textId="77777777" w:rsidR="00A20182" w:rsidRDefault="00A20182" w:rsidP="00A55024">
      <w:pPr>
        <w:pStyle w:val="Title"/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15817772" w14:textId="14F32C5E" w:rsidR="00A20182" w:rsidRDefault="00A20182" w:rsidP="00A55024">
      <w:pPr>
        <w:pStyle w:val="Title"/>
        <w:jc w:val="both"/>
        <w:rPr>
          <w:rFonts w:asciiTheme="minorHAnsi" w:hAnsiTheme="minorHAnsi"/>
          <w:sz w:val="22"/>
          <w:szCs w:val="22"/>
        </w:rPr>
      </w:pPr>
      <w:r w:rsidRPr="00424F33">
        <w:rPr>
          <w:rFonts w:asciiTheme="minorHAnsi" w:hAnsiTheme="minorHAnsi"/>
          <w:sz w:val="22"/>
          <w:szCs w:val="22"/>
        </w:rPr>
        <w:t>SWPUs that meet t</w:t>
      </w:r>
      <w:r w:rsidR="00D5019B" w:rsidRPr="00424F33">
        <w:rPr>
          <w:rFonts w:asciiTheme="minorHAnsi" w:hAnsiTheme="minorHAnsi"/>
          <w:sz w:val="22"/>
          <w:szCs w:val="22"/>
        </w:rPr>
        <w:t>he</w:t>
      </w:r>
      <w:r w:rsidRPr="00424F33">
        <w:rPr>
          <w:rFonts w:asciiTheme="minorHAnsi" w:hAnsiTheme="minorHAnsi"/>
          <w:sz w:val="22"/>
          <w:szCs w:val="22"/>
        </w:rPr>
        <w:t xml:space="preserve"> criteria</w:t>
      </w:r>
      <w:r w:rsidR="00D5019B" w:rsidRPr="00424F33">
        <w:rPr>
          <w:rFonts w:asciiTheme="minorHAnsi" w:hAnsiTheme="minorHAnsi"/>
          <w:sz w:val="22"/>
          <w:szCs w:val="22"/>
        </w:rPr>
        <w:t xml:space="preserve"> above</w:t>
      </w:r>
      <w:r w:rsidRPr="00424F33">
        <w:rPr>
          <w:rFonts w:asciiTheme="minorHAnsi" w:hAnsiTheme="minorHAnsi"/>
          <w:sz w:val="22"/>
          <w:szCs w:val="22"/>
        </w:rPr>
        <w:t xml:space="preserve"> are required to achieve and maintain a minimum 15 percent recycling rate.</w:t>
      </w:r>
      <w:r w:rsidR="00F21441">
        <w:rPr>
          <w:rFonts w:asciiTheme="minorHAnsi" w:hAnsiTheme="minorHAnsi"/>
          <w:sz w:val="22"/>
          <w:szCs w:val="22"/>
        </w:rPr>
        <w:t xml:space="preserve"> All 1</w:t>
      </w:r>
      <w:r w:rsidR="00F633A3">
        <w:rPr>
          <w:rFonts w:asciiTheme="minorHAnsi" w:hAnsiTheme="minorHAnsi"/>
          <w:sz w:val="22"/>
          <w:szCs w:val="22"/>
        </w:rPr>
        <w:t>9</w:t>
      </w:r>
      <w:r w:rsidR="00F21441">
        <w:rPr>
          <w:rFonts w:asciiTheme="minorHAnsi" w:hAnsiTheme="minorHAnsi"/>
          <w:sz w:val="22"/>
          <w:szCs w:val="22"/>
        </w:rPr>
        <w:t xml:space="preserve"> SWPUs required to report, met or exceeded their mandated recycling rate.</w:t>
      </w:r>
    </w:p>
    <w:p w14:paraId="22D01E44" w14:textId="77777777" w:rsidR="004730E8" w:rsidRDefault="004730E8" w:rsidP="00071FF4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2525E5FB" w14:textId="77777777" w:rsidR="00AF7EF7" w:rsidRDefault="00AF7EF7" w:rsidP="00071FF4">
      <w:pPr>
        <w:pStyle w:val="Heading2"/>
        <w:jc w:val="both"/>
        <w:rPr>
          <w:rFonts w:asciiTheme="minorHAnsi" w:hAnsiTheme="minorHAnsi"/>
          <w:sz w:val="22"/>
          <w:szCs w:val="22"/>
        </w:rPr>
      </w:pPr>
      <w:bookmarkStart w:id="5" w:name="_Toc426102520"/>
      <w:bookmarkStart w:id="6" w:name="_Toc427155611"/>
      <w:bookmarkStart w:id="7" w:name="_Toc112849194"/>
      <w:r w:rsidRPr="00165B5A">
        <w:rPr>
          <w:rFonts w:asciiTheme="minorHAnsi" w:hAnsiTheme="minorHAnsi"/>
          <w:b/>
        </w:rPr>
        <w:t>Solid Waste Management Planning and Recycling Action Plans</w:t>
      </w:r>
      <w:bookmarkEnd w:id="5"/>
      <w:bookmarkEnd w:id="6"/>
      <w:bookmarkEnd w:id="7"/>
    </w:p>
    <w:p w14:paraId="39F48867" w14:textId="77777777" w:rsidR="00842911" w:rsidRPr="00842911" w:rsidRDefault="00842911" w:rsidP="00071FF4">
      <w:pPr>
        <w:jc w:val="both"/>
      </w:pPr>
    </w:p>
    <w:p w14:paraId="7521B66D" w14:textId="11718A8A" w:rsidR="004730E8" w:rsidRPr="00A55024" w:rsidRDefault="008C2E8A" w:rsidP="00A5502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8" w:name="_Toc426102521"/>
      <w:bookmarkStart w:id="9" w:name="_Toc427155612"/>
      <w:r w:rsidRPr="00A55024">
        <w:rPr>
          <w:rFonts w:asciiTheme="minorHAnsi" w:hAnsiTheme="minorHAnsi" w:cstheme="minorHAnsi"/>
          <w:sz w:val="22"/>
          <w:szCs w:val="22"/>
        </w:rPr>
        <w:t xml:space="preserve">The </w:t>
      </w:r>
      <w:r w:rsidR="00071FF4" w:rsidRPr="00A55024">
        <w:rPr>
          <w:rFonts w:asciiTheme="minorHAnsi" w:hAnsiTheme="minorHAnsi" w:cstheme="minorHAnsi"/>
          <w:sz w:val="22"/>
          <w:szCs w:val="22"/>
        </w:rPr>
        <w:t xml:space="preserve">Virginia Department of Environmental Quality (DEQ) </w:t>
      </w:r>
      <w:r w:rsidR="00AF7EF7" w:rsidRPr="00A55024">
        <w:rPr>
          <w:rFonts w:asciiTheme="minorHAnsi" w:hAnsiTheme="minorHAnsi" w:cstheme="minorHAnsi"/>
          <w:sz w:val="22"/>
          <w:szCs w:val="22"/>
        </w:rPr>
        <w:t xml:space="preserve">continues to review the required solid waste management plans and any updates submitted by the SWPUs for completeness, including locality or regional </w:t>
      </w:r>
      <w:r w:rsidR="00842911" w:rsidRPr="00A55024">
        <w:rPr>
          <w:rFonts w:asciiTheme="minorHAnsi" w:hAnsiTheme="minorHAnsi" w:cstheme="minorHAnsi"/>
          <w:sz w:val="22"/>
          <w:szCs w:val="22"/>
        </w:rPr>
        <w:t xml:space="preserve">recycling program information. </w:t>
      </w:r>
      <w:r w:rsidR="00AF7EF7" w:rsidRPr="00A55024">
        <w:rPr>
          <w:rFonts w:asciiTheme="minorHAnsi" w:hAnsiTheme="minorHAnsi" w:cstheme="minorHAnsi"/>
          <w:sz w:val="22"/>
          <w:szCs w:val="22"/>
        </w:rPr>
        <w:t>All SWPUs are required to maintain or exceed the mandated recycling ra</w:t>
      </w:r>
      <w:r w:rsidR="00842911" w:rsidRPr="00A55024">
        <w:rPr>
          <w:rFonts w:asciiTheme="minorHAnsi" w:hAnsiTheme="minorHAnsi" w:cstheme="minorHAnsi"/>
          <w:sz w:val="22"/>
          <w:szCs w:val="22"/>
        </w:rPr>
        <w:t xml:space="preserve">te for their jurisdiction(s). </w:t>
      </w:r>
      <w:r w:rsidR="00AF7EF7" w:rsidRPr="00A55024">
        <w:rPr>
          <w:rFonts w:asciiTheme="minorHAnsi" w:hAnsiTheme="minorHAnsi" w:cstheme="minorHAnsi"/>
          <w:sz w:val="22"/>
          <w:szCs w:val="22"/>
        </w:rPr>
        <w:t>If at any time the SWPU reports less than the required 15 or 25 percent recycling rate, DEQ will require that a Recycling Action Plan be developed and submitted as an amendment to the SWPU’s solid waste management pla</w:t>
      </w:r>
      <w:r w:rsidR="00842911" w:rsidRPr="00A55024">
        <w:rPr>
          <w:rFonts w:asciiTheme="minorHAnsi" w:hAnsiTheme="minorHAnsi" w:cstheme="minorHAnsi"/>
          <w:sz w:val="22"/>
          <w:szCs w:val="22"/>
        </w:rPr>
        <w:t xml:space="preserve">n. </w:t>
      </w:r>
      <w:r w:rsidR="00AF7EF7" w:rsidRPr="00A55024">
        <w:rPr>
          <w:rFonts w:asciiTheme="minorHAnsi" w:hAnsiTheme="minorHAnsi" w:cstheme="minorHAnsi"/>
          <w:sz w:val="22"/>
          <w:szCs w:val="22"/>
        </w:rPr>
        <w:t>Visit</w:t>
      </w:r>
      <w:r w:rsidR="00842911" w:rsidRPr="00A55024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842911" w:rsidRPr="00A55024">
          <w:rPr>
            <w:rStyle w:val="Hyperlink"/>
            <w:rFonts w:asciiTheme="minorHAnsi" w:hAnsiTheme="minorHAnsi" w:cstheme="minorHAnsi"/>
            <w:sz w:val="22"/>
            <w:szCs w:val="22"/>
          </w:rPr>
          <w:t>DEQ’s recycling webpage</w:t>
        </w:r>
      </w:hyperlink>
      <w:r w:rsidR="00842911" w:rsidRPr="00A55024">
        <w:rPr>
          <w:rFonts w:asciiTheme="minorHAnsi" w:hAnsiTheme="minorHAnsi" w:cstheme="minorHAnsi"/>
          <w:sz w:val="22"/>
          <w:szCs w:val="22"/>
        </w:rPr>
        <w:t xml:space="preserve"> for additional information.</w:t>
      </w:r>
      <w:bookmarkEnd w:id="8"/>
      <w:bookmarkEnd w:id="9"/>
    </w:p>
    <w:p w14:paraId="296059BA" w14:textId="77777777" w:rsidR="005B1EB6" w:rsidRDefault="006066E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2"/>
          <w:szCs w:val="22"/>
        </w:rPr>
        <w:br w:type="page"/>
      </w:r>
      <w:bookmarkStart w:id="10" w:name="_Toc426102518"/>
    </w:p>
    <w:p w14:paraId="705EFE39" w14:textId="4C278038" w:rsidR="003618B5" w:rsidRDefault="003618B5" w:rsidP="003618B5">
      <w:pPr>
        <w:pStyle w:val="Heading2"/>
        <w:jc w:val="both"/>
        <w:rPr>
          <w:rFonts w:asciiTheme="minorHAnsi" w:hAnsiTheme="minorHAnsi"/>
          <w:sz w:val="22"/>
          <w:szCs w:val="22"/>
        </w:rPr>
      </w:pPr>
      <w:bookmarkStart w:id="11" w:name="_Toc112849195"/>
      <w:r w:rsidRPr="003C73F3">
        <w:rPr>
          <w:rFonts w:asciiTheme="minorHAnsi" w:hAnsiTheme="minorHAnsi"/>
          <w:b/>
        </w:rPr>
        <w:lastRenderedPageBreak/>
        <w:t xml:space="preserve">State Recycling Rate Calculation for </w:t>
      </w:r>
      <w:r w:rsidR="00E376FF">
        <w:rPr>
          <w:rFonts w:asciiTheme="minorHAnsi" w:hAnsiTheme="minorHAnsi"/>
          <w:b/>
        </w:rPr>
        <w:t>CY</w:t>
      </w:r>
      <w:r w:rsidRPr="003C73F3">
        <w:rPr>
          <w:rFonts w:asciiTheme="minorHAnsi" w:hAnsiTheme="minorHAnsi"/>
          <w:b/>
        </w:rPr>
        <w:t>20</w:t>
      </w:r>
      <w:r w:rsidR="00A46E84">
        <w:rPr>
          <w:rFonts w:asciiTheme="minorHAnsi" w:hAnsiTheme="minorHAnsi"/>
          <w:b/>
        </w:rPr>
        <w:t>2</w:t>
      </w:r>
      <w:bookmarkEnd w:id="11"/>
      <w:r w:rsidR="00317907">
        <w:rPr>
          <w:rFonts w:asciiTheme="minorHAnsi" w:hAnsiTheme="minorHAnsi"/>
          <w:b/>
        </w:rPr>
        <w:t>3</w:t>
      </w:r>
    </w:p>
    <w:p w14:paraId="074BBFC1" w14:textId="77777777" w:rsidR="003618B5" w:rsidRPr="00842911" w:rsidRDefault="003618B5" w:rsidP="003618B5">
      <w:pPr>
        <w:jc w:val="both"/>
      </w:pPr>
    </w:p>
    <w:p w14:paraId="1AEE465E" w14:textId="5E7CAA0E" w:rsidR="00F95BA6" w:rsidRDefault="00142E1D" w:rsidP="004D3E55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86A40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</w:t>
      </w:r>
      <w:r w:rsidR="003618B5" w:rsidRPr="00A46E84">
        <w:rPr>
          <w:rFonts w:asciiTheme="minorHAnsi" w:hAnsiTheme="minorHAnsi"/>
          <w:sz w:val="22"/>
          <w:szCs w:val="22"/>
        </w:rPr>
        <w:t xml:space="preserve">recycling rate reports, </w:t>
      </w:r>
      <w:r w:rsidR="003618B5" w:rsidRPr="00115BBE">
        <w:rPr>
          <w:rFonts w:asciiTheme="minorHAnsi" w:hAnsiTheme="minorHAnsi"/>
          <w:sz w:val="22"/>
          <w:szCs w:val="22"/>
        </w:rPr>
        <w:t xml:space="preserve">representing </w:t>
      </w:r>
      <w:r w:rsidR="000474AE">
        <w:rPr>
          <w:rFonts w:asciiTheme="minorHAnsi" w:hAnsiTheme="minorHAnsi"/>
          <w:sz w:val="22"/>
          <w:szCs w:val="22"/>
        </w:rPr>
        <w:t>126</w:t>
      </w:r>
      <w:r w:rsidR="003618B5" w:rsidRPr="00115BBE">
        <w:rPr>
          <w:rFonts w:asciiTheme="minorHAnsi" w:hAnsiTheme="minorHAnsi"/>
          <w:sz w:val="22"/>
          <w:szCs w:val="22"/>
        </w:rPr>
        <w:t xml:space="preserve"> Virginia localities,</w:t>
      </w:r>
      <w:r w:rsidR="003618B5" w:rsidRPr="00A46E84">
        <w:rPr>
          <w:rFonts w:asciiTheme="minorHAnsi" w:hAnsiTheme="minorHAnsi"/>
          <w:sz w:val="22"/>
          <w:szCs w:val="22"/>
        </w:rPr>
        <w:t xml:space="preserve"> were received pursuant to the requirements of </w:t>
      </w:r>
      <w:r w:rsidR="003618B5" w:rsidRPr="00A46E84">
        <w:rPr>
          <w:rFonts w:asciiTheme="minorHAnsi" w:hAnsiTheme="minorHAnsi" w:cstheme="minorHAnsi"/>
          <w:sz w:val="22"/>
          <w:szCs w:val="22"/>
        </w:rPr>
        <w:t>§</w:t>
      </w:r>
      <w:r w:rsidR="003618B5" w:rsidRPr="00A46E84">
        <w:rPr>
          <w:rFonts w:asciiTheme="minorHAnsi" w:hAnsiTheme="minorHAnsi"/>
          <w:sz w:val="22"/>
          <w:szCs w:val="22"/>
        </w:rPr>
        <w:t xml:space="preserve">10.1-1411 of the Code of Virginia. </w:t>
      </w:r>
      <w:r w:rsidRPr="00495915">
        <w:rPr>
          <w:rFonts w:asciiTheme="minorHAnsi" w:hAnsiTheme="minorHAnsi"/>
          <w:sz w:val="22"/>
          <w:szCs w:val="22"/>
        </w:rPr>
        <w:t xml:space="preserve">The chart </w:t>
      </w:r>
      <w:r w:rsidR="00930894">
        <w:rPr>
          <w:rFonts w:asciiTheme="minorHAnsi" w:hAnsiTheme="minorHAnsi"/>
          <w:sz w:val="22"/>
          <w:szCs w:val="22"/>
        </w:rPr>
        <w:t xml:space="preserve">below </w:t>
      </w:r>
      <w:r w:rsidRPr="00495915">
        <w:rPr>
          <w:rFonts w:asciiTheme="minorHAnsi" w:hAnsiTheme="minorHAnsi"/>
          <w:sz w:val="22"/>
          <w:szCs w:val="22"/>
        </w:rPr>
        <w:t>represents data</w:t>
      </w:r>
      <w:r w:rsidRPr="00414BB5">
        <w:rPr>
          <w:rFonts w:asciiTheme="minorHAnsi" w:hAnsiTheme="minorHAnsi"/>
          <w:sz w:val="22"/>
          <w:szCs w:val="22"/>
        </w:rPr>
        <w:t xml:space="preserve"> only from the 1</w:t>
      </w:r>
      <w:r w:rsidR="00D86A40">
        <w:rPr>
          <w:rFonts w:asciiTheme="minorHAnsi" w:hAnsiTheme="minorHAnsi"/>
          <w:sz w:val="22"/>
          <w:szCs w:val="22"/>
        </w:rPr>
        <w:t>9</w:t>
      </w:r>
      <w:r w:rsidRPr="00414BB5">
        <w:rPr>
          <w:rFonts w:asciiTheme="minorHAnsi" w:hAnsiTheme="minorHAnsi"/>
          <w:sz w:val="22"/>
          <w:szCs w:val="22"/>
        </w:rPr>
        <w:t xml:space="preserve"> SWPUs required to report for CY 20</w:t>
      </w:r>
      <w:r>
        <w:rPr>
          <w:rFonts w:asciiTheme="minorHAnsi" w:hAnsiTheme="minorHAnsi"/>
          <w:sz w:val="22"/>
          <w:szCs w:val="22"/>
        </w:rPr>
        <w:t>2</w:t>
      </w:r>
      <w:r w:rsidR="00E40462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  <w:r w:rsidRPr="00A46408">
        <w:rPr>
          <w:rFonts w:asciiTheme="minorHAnsi" w:hAnsiTheme="minorHAnsi"/>
          <w:sz w:val="22"/>
          <w:szCs w:val="22"/>
        </w:rPr>
        <w:t>This represents a return rate of 100</w:t>
      </w:r>
      <w:r>
        <w:rPr>
          <w:rFonts w:asciiTheme="minorHAnsi" w:hAnsiTheme="minorHAnsi"/>
          <w:sz w:val="22"/>
          <w:szCs w:val="22"/>
        </w:rPr>
        <w:t xml:space="preserve"> percent of the required reports</w:t>
      </w:r>
      <w:r w:rsidRPr="00A46408">
        <w:rPr>
          <w:rFonts w:asciiTheme="minorHAnsi" w:hAnsiTheme="minorHAnsi"/>
          <w:sz w:val="22"/>
          <w:szCs w:val="22"/>
        </w:rPr>
        <w:t xml:space="preserve">.  Totals for </w:t>
      </w:r>
      <w:r>
        <w:rPr>
          <w:rFonts w:asciiTheme="minorHAnsi" w:hAnsiTheme="minorHAnsi"/>
          <w:sz w:val="22"/>
          <w:szCs w:val="22"/>
        </w:rPr>
        <w:t>these</w:t>
      </w:r>
      <w:r w:rsidRPr="00A46408">
        <w:rPr>
          <w:rFonts w:asciiTheme="minorHAnsi" w:hAnsiTheme="minorHAnsi"/>
          <w:sz w:val="22"/>
          <w:szCs w:val="22"/>
        </w:rPr>
        <w:t xml:space="preserve"> reports are presented below:</w:t>
      </w:r>
    </w:p>
    <w:p w14:paraId="09F5047F" w14:textId="45043049" w:rsidR="00B9739B" w:rsidRDefault="00B9739B" w:rsidP="00B9739B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2"/>
        </w:rPr>
      </w:pPr>
      <w:r w:rsidRPr="00B9739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CBD2C0C" wp14:editId="32EFA412">
            <wp:extent cx="5739600" cy="4762500"/>
            <wp:effectExtent l="0" t="0" r="0" b="0"/>
            <wp:docPr id="636197990" name="Picture 1" descr="CY2023 state recycling rate calculatio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97990" name="Picture 1" descr="CY2023 state recycling rate calculation tabl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1880" cy="477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6B37" w14:textId="77777777" w:rsidR="00EF486F" w:rsidRDefault="00EF486F" w:rsidP="004D3E55">
      <w:pPr>
        <w:pStyle w:val="Footer"/>
        <w:tabs>
          <w:tab w:val="clear" w:pos="4320"/>
          <w:tab w:val="clear" w:pos="8640"/>
        </w:tabs>
        <w:jc w:val="both"/>
        <w:rPr>
          <w:rFonts w:asciiTheme="minorHAnsi" w:hAnsiTheme="minorHAnsi"/>
          <w:sz w:val="22"/>
          <w:szCs w:val="22"/>
        </w:rPr>
      </w:pPr>
    </w:p>
    <w:p w14:paraId="189FA277" w14:textId="2D13E4A9" w:rsidR="00DC04FC" w:rsidRPr="007C3F71" w:rsidRDefault="00DC04FC" w:rsidP="00DC04FC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sz w:val="10"/>
          <w:szCs w:val="10"/>
        </w:rPr>
      </w:pPr>
    </w:p>
    <w:p w14:paraId="3F287656" w14:textId="77777777" w:rsidR="003618B5" w:rsidRDefault="003618B5" w:rsidP="004D3E55">
      <w:pPr>
        <w:pStyle w:val="Title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97E5E">
        <w:rPr>
          <w:rFonts w:asciiTheme="minorHAnsi" w:hAnsiTheme="minorHAnsi"/>
          <w:b/>
          <w:sz w:val="22"/>
          <w:szCs w:val="22"/>
          <w:u w:val="single"/>
        </w:rPr>
        <w:t xml:space="preserve">State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Final </w:t>
      </w:r>
      <w:r w:rsidRPr="00C97E5E">
        <w:rPr>
          <w:rFonts w:asciiTheme="minorHAnsi" w:hAnsiTheme="minorHAnsi"/>
          <w:b/>
          <w:sz w:val="22"/>
          <w:szCs w:val="22"/>
          <w:u w:val="single"/>
        </w:rPr>
        <w:t>Recycling Rate Calculation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E50A98C" w14:textId="77777777" w:rsidR="003618B5" w:rsidRDefault="003618B5" w:rsidP="004D3E55">
      <w:pPr>
        <w:pStyle w:val="Title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7850D57" w14:textId="77777777" w:rsidR="003618B5" w:rsidRPr="002D5EB8" w:rsidRDefault="003618B5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recycling rate is calculated using the following formula:</w:t>
      </w:r>
    </w:p>
    <w:p w14:paraId="565DA642" w14:textId="77777777" w:rsidR="003618B5" w:rsidRDefault="003618B5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61C02224" w14:textId="77777777" w:rsidR="003618B5" w:rsidRPr="00CD7C88" w:rsidRDefault="00000000" w:rsidP="004D3E55">
      <w:pPr>
        <w:pStyle w:val="Title"/>
        <w:jc w:val="both"/>
        <w:rPr>
          <w:rFonts w:asciiTheme="minorHAnsi" w:hAnsiTheme="minorHAnsi"/>
          <w:sz w:val="22"/>
          <w:szCs w:val="22"/>
          <w:oMath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PRM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Credits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PRM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Credits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+</m:t>
                  </m:r>
                  <m:r>
                    <m:rPr>
                      <m:nor/>
                    </m:rPr>
                    <w:rPr>
                      <w:rFonts w:ascii="Cambria Math" w:hAnsiTheme="minorHAnsi"/>
                      <w:sz w:val="22"/>
                      <w:szCs w:val="22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MSW Disposed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e>
          </m:d>
          <m:r>
            <m:rPr>
              <m:nor/>
            </m:rPr>
            <w:rPr>
              <w:rFonts w:ascii="Cambria Math" w:hAnsiTheme="minorHAnsi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 w:val="22"/>
              <w:szCs w:val="22"/>
            </w:rPr>
            <m:t>x 100 + Source Reduction Credit = Final Recycle Rate</m:t>
          </m:r>
        </m:oMath>
      </m:oMathPara>
    </w:p>
    <w:p w14:paraId="22EABC10" w14:textId="77777777" w:rsidR="003618B5" w:rsidRDefault="003618B5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223D6464" w14:textId="77777777" w:rsidR="003618B5" w:rsidRDefault="003618B5" w:rsidP="004D3E55">
      <w:pPr>
        <w:pStyle w:val="Titl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Using the PRMs, credits and MSW disposed tonnage totals above, the state recycling rate is calculated as:</w:t>
      </w:r>
    </w:p>
    <w:p w14:paraId="28411B1C" w14:textId="77777777" w:rsidR="003618B5" w:rsidRDefault="00FF4A65" w:rsidP="00FF4A65">
      <w:pPr>
        <w:pStyle w:val="Title"/>
        <w:tabs>
          <w:tab w:val="left" w:pos="112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4B9BF49" w14:textId="373D9311" w:rsidR="003618B5" w:rsidRPr="003D62EC" w:rsidRDefault="00000000" w:rsidP="004D3E55">
      <w:pPr>
        <w:pStyle w:val="Title"/>
        <w:jc w:val="both"/>
        <w:rPr>
          <w:rFonts w:asciiTheme="minorHAnsi" w:hAnsiTheme="minorHAnsi"/>
          <w:b/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2,772,058 + 1,140,325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/>
                      <w:sz w:val="22"/>
                      <w:szCs w:val="22"/>
                    </w:rPr>
                    <m:t>2,772,058 + 1,140,325 + 4,624,240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e>
          </m:d>
          <m:r>
            <m:rPr>
              <m:nor/>
            </m:rPr>
            <w:rPr>
              <w:rFonts w:ascii="Cambria Math" w:hAnsiTheme="minorHAnsi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 w:val="22"/>
              <w:szCs w:val="22"/>
            </w:rPr>
            <m:t xml:space="preserve">x </m:t>
          </m:r>
          <m:r>
            <m:rPr>
              <m:nor/>
            </m:rPr>
            <w:rPr>
              <w:rFonts w:ascii="Cambria Math" w:hAnsiTheme="minorHAnsi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 w:val="22"/>
              <w:szCs w:val="22"/>
            </w:rPr>
            <m:t>100</m:t>
          </m:r>
          <m:r>
            <m:rPr>
              <m:nor/>
            </m:rPr>
            <w:rPr>
              <w:rFonts w:ascii="Cambria Math" w:hAnsiTheme="minorHAnsi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 w:val="22"/>
              <w:szCs w:val="22"/>
            </w:rPr>
            <m:t>+</m:t>
          </m:r>
          <m:r>
            <m:rPr>
              <m:nor/>
            </m:rPr>
            <w:rPr>
              <w:rFonts w:ascii="Cambria Math" w:hAnsiTheme="minorHAnsi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Theme="minorHAnsi" w:hAnsiTheme="minorHAnsi"/>
              <w:sz w:val="22"/>
              <w:szCs w:val="22"/>
            </w:rPr>
            <m:t xml:space="preserve">1.26% = </m:t>
          </m:r>
          <m:r>
            <m:rPr>
              <m:nor/>
            </m:rPr>
            <w:rPr>
              <w:rFonts w:asciiTheme="minorHAnsi" w:hAnsiTheme="minorHAnsi"/>
              <w:b/>
              <w:sz w:val="22"/>
              <w:szCs w:val="22"/>
            </w:rPr>
            <m:t>42.5%</m:t>
          </m:r>
          <m:r>
            <m:rPr>
              <m:nor/>
            </m:rPr>
            <w:rPr>
              <w:rFonts w:ascii="Cambria Math" w:hAnsiTheme="minorHAnsi"/>
              <w:b/>
              <w:sz w:val="22"/>
              <w:szCs w:val="22"/>
            </w:rPr>
            <m:t>*</m:t>
          </m:r>
        </m:oMath>
      </m:oMathPara>
    </w:p>
    <w:p w14:paraId="44EC439D" w14:textId="77777777" w:rsidR="003D62EC" w:rsidRDefault="003D62EC" w:rsidP="004D3E55">
      <w:pPr>
        <w:pStyle w:val="Title"/>
        <w:jc w:val="both"/>
        <w:rPr>
          <w:rFonts w:asciiTheme="minorHAnsi" w:hAnsiTheme="minorHAnsi"/>
          <w:b/>
          <w:sz w:val="22"/>
          <w:szCs w:val="22"/>
        </w:rPr>
      </w:pPr>
    </w:p>
    <w:p w14:paraId="36EAADAF" w14:textId="77777777" w:rsidR="00797FB9" w:rsidRDefault="003D62EC" w:rsidP="00DC04FC">
      <w:pPr>
        <w:pStyle w:val="Title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</w:t>
      </w:r>
      <w:r w:rsidRPr="003D62EC">
        <w:rPr>
          <w:rFonts w:asciiTheme="minorHAnsi" w:hAnsiTheme="minorHAnsi"/>
          <w:sz w:val="22"/>
          <w:szCs w:val="22"/>
        </w:rPr>
        <w:t>The final state recycling rate has been adjusted so that the aggregate of all credits does not exceed five percentage points</w:t>
      </w:r>
      <w:r>
        <w:rPr>
          <w:rFonts w:asciiTheme="minorHAnsi" w:hAnsiTheme="minorHAnsi"/>
          <w:sz w:val="22"/>
          <w:szCs w:val="22"/>
        </w:rPr>
        <w:t xml:space="preserve"> of the base recycling rate.</w:t>
      </w:r>
      <w:r w:rsidR="00797FB9">
        <w:rPr>
          <w:rFonts w:asciiTheme="minorHAnsi" w:hAnsiTheme="minorHAnsi"/>
          <w:b/>
          <w:sz w:val="22"/>
          <w:szCs w:val="22"/>
        </w:rPr>
        <w:br w:type="page"/>
      </w:r>
    </w:p>
    <w:p w14:paraId="6415EFA2" w14:textId="5662F24B" w:rsidR="00EE470A" w:rsidRPr="00C07F9B" w:rsidRDefault="00EE470A" w:rsidP="00EE470A">
      <w:pPr>
        <w:pStyle w:val="Heading2"/>
        <w:jc w:val="both"/>
        <w:rPr>
          <w:rFonts w:asciiTheme="minorHAnsi" w:hAnsiTheme="minorHAnsi"/>
          <w:sz w:val="22"/>
          <w:szCs w:val="22"/>
        </w:rPr>
      </w:pPr>
      <w:bookmarkStart w:id="12" w:name="_Toc112849196"/>
      <w:r w:rsidRPr="00C07F9B">
        <w:rPr>
          <w:rFonts w:asciiTheme="minorHAnsi" w:hAnsiTheme="minorHAnsi"/>
          <w:b/>
        </w:rPr>
        <w:lastRenderedPageBreak/>
        <w:t>Calculated Recycling Rates for CY202</w:t>
      </w:r>
      <w:bookmarkEnd w:id="12"/>
      <w:r w:rsidR="00C07F9B" w:rsidRPr="00C07F9B">
        <w:rPr>
          <w:rFonts w:asciiTheme="minorHAnsi" w:hAnsiTheme="minorHAnsi"/>
          <w:b/>
        </w:rPr>
        <w:t>3</w:t>
      </w:r>
    </w:p>
    <w:p w14:paraId="38970A9F" w14:textId="77777777" w:rsidR="00797FB9" w:rsidRDefault="00797FB9" w:rsidP="003D62EC">
      <w:pPr>
        <w:pStyle w:val="Title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1980"/>
        <w:gridCol w:w="1980"/>
        <w:gridCol w:w="1980"/>
      </w:tblGrid>
      <w:tr w:rsidR="002D7EF9" w:rsidRPr="002D7EF9" w14:paraId="0B04E32D" w14:textId="77777777" w:rsidTr="21A7280B">
        <w:trPr>
          <w:trHeight w:val="1116"/>
        </w:trPr>
        <w:tc>
          <w:tcPr>
            <w:tcW w:w="2051" w:type="pct"/>
            <w:shd w:val="clear" w:color="auto" w:fill="DCE6F1"/>
            <w:vAlign w:val="center"/>
            <w:hideMark/>
          </w:tcPr>
          <w:p w14:paraId="0384C42C" w14:textId="77777777" w:rsidR="002D7EF9" w:rsidRPr="002D7EF9" w:rsidRDefault="002D7EF9" w:rsidP="002D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REPORTING ENTITY </w:t>
            </w: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(19 Solid Waste Planning Units required to report annually)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17666B9B" w14:textId="77777777" w:rsidR="002D7EF9" w:rsidRPr="002D7EF9" w:rsidRDefault="002D7EF9" w:rsidP="002D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2023 Recycling Rate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4F3AE5CF" w14:textId="77777777" w:rsidR="002D7EF9" w:rsidRPr="002D7EF9" w:rsidRDefault="002D7EF9" w:rsidP="002D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2023 Total Recycled Tons</w:t>
            </w: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(PRMs + Credits)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218F2180" w14:textId="77777777" w:rsidR="002D7EF9" w:rsidRPr="002D7EF9" w:rsidRDefault="002D7EF9" w:rsidP="002D7EF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2023 Total MSW Generation Tons</w:t>
            </w: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(PRMs + Credits + MSW disposed)</w:t>
            </w:r>
          </w:p>
        </w:tc>
      </w:tr>
      <w:tr w:rsidR="00FC38E0" w:rsidRPr="002D7EF9" w14:paraId="02E89D37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558BE740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Alexandria (City)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(City of Alexandria)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3335B0A" w14:textId="0C11C415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43871D7" w14:textId="1FB4FF34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104,773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4740B76" w14:textId="465FF9A0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179,688</w:t>
            </w:r>
          </w:p>
        </w:tc>
      </w:tr>
      <w:tr w:rsidR="00FC38E0" w:rsidRPr="002D7EF9" w14:paraId="6D668227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30E3F74F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Arlington County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(Arlington County)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493719C" w14:textId="52B4F62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77A4B56" w14:textId="5653EB85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148,978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9A8D7AA" w14:textId="66A63FD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286,501</w:t>
            </w:r>
          </w:p>
        </w:tc>
      </w:tr>
      <w:tr w:rsidR="00FC38E0" w:rsidRPr="002D7EF9" w14:paraId="36F53B6F" w14:textId="77777777" w:rsidTr="21A7280B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109BF381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Augusta-Staunton-Waynesboro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(Augusta County, Cities of Staunton and Waynesboro, Town of Craigsville)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9D94D8A" w14:textId="0400987C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0809162" w14:textId="13EC483D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39,919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F5625CE" w14:textId="7E6E591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165,439</w:t>
            </w:r>
          </w:p>
        </w:tc>
      </w:tr>
      <w:tr w:rsidR="00FC38E0" w:rsidRPr="002D7EF9" w14:paraId="6CBD5AEC" w14:textId="77777777" w:rsidTr="21A7280B">
        <w:trPr>
          <w:trHeight w:val="1770"/>
        </w:trPr>
        <w:tc>
          <w:tcPr>
            <w:tcW w:w="2051" w:type="pct"/>
            <w:shd w:val="clear" w:color="auto" w:fill="auto"/>
            <w:vAlign w:val="center"/>
            <w:hideMark/>
          </w:tcPr>
          <w:p w14:paraId="78F5E4DE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Central Virginia Waste Management Authority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(Charles City, Chesterfield, Goochland, Hanover, Henrico, New Kent, Powhatan and Prince George Counties; Cities of Richmond, Hopewell, Colonial Heights and Petersburg, Town of Ashland)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C5A06CC" w14:textId="028EDFA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58.1%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4C3742F" w14:textId="6CBD8270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688,026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94D1222" w14:textId="235CB14A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1,223,845</w:t>
            </w:r>
          </w:p>
        </w:tc>
      </w:tr>
      <w:tr w:rsidR="00FC38E0" w:rsidRPr="002D7EF9" w14:paraId="7F8C4020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3755EEE5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Fairfax County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(Fairfax County and Town of Clifton)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6BA950A" w14:textId="419597E3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43.9%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EF49645" w14:textId="09D641EE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527,913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835B5CD" w14:textId="1286DB2D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1,166,079</w:t>
            </w:r>
          </w:p>
        </w:tc>
      </w:tr>
      <w:tr w:rsidR="00FC38E0" w:rsidRPr="002D7EF9" w14:paraId="10298E6D" w14:textId="77777777" w:rsidTr="21A7280B">
        <w:trPr>
          <w:trHeight w:val="1104"/>
        </w:trPr>
        <w:tc>
          <w:tcPr>
            <w:tcW w:w="2051" w:type="pct"/>
            <w:shd w:val="clear" w:color="auto" w:fill="auto"/>
            <w:vAlign w:val="center"/>
            <w:hideMark/>
          </w:tcPr>
          <w:p w14:paraId="428516D8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Greater Rockingham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(Rockingham County, Towns of Bridgewater, Broadway, Dayton, Elkton, Grottoes, Mount Crawford and Timberville)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6CA22D5" w14:textId="587043D6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59.1%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3A6E800" w14:textId="7425DD78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129,193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51EF855" w14:textId="17E2943D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226,347</w:t>
            </w:r>
          </w:p>
        </w:tc>
      </w:tr>
      <w:tr w:rsidR="00FC38E0" w:rsidRPr="002D7EF9" w14:paraId="052730AD" w14:textId="77777777" w:rsidTr="21A7280B">
        <w:trPr>
          <w:trHeight w:val="1104"/>
        </w:trPr>
        <w:tc>
          <w:tcPr>
            <w:tcW w:w="2051" w:type="pct"/>
            <w:shd w:val="clear" w:color="auto" w:fill="auto"/>
            <w:vAlign w:val="center"/>
            <w:hideMark/>
          </w:tcPr>
          <w:p w14:paraId="2549B242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Loudoun County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(Loudoun County, Towns of Hamilton, Hillsboro, Leesburg, Lovettsville, Middleburg, Purcellville and Round Hill)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7484C78" w14:textId="251A0306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BAA5DCD" w14:textId="0BFBEED2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155,302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1DD62E1" w14:textId="01A8B30D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450,524</w:t>
            </w:r>
          </w:p>
        </w:tc>
      </w:tr>
      <w:tr w:rsidR="00FC38E0" w:rsidRPr="002D7EF9" w14:paraId="5461C2A8" w14:textId="77777777" w:rsidTr="21A7280B">
        <w:trPr>
          <w:trHeight w:val="1065"/>
        </w:trPr>
        <w:tc>
          <w:tcPr>
            <w:tcW w:w="2051" w:type="pct"/>
            <w:shd w:val="clear" w:color="auto" w:fill="auto"/>
            <w:vAlign w:val="center"/>
            <w:hideMark/>
          </w:tcPr>
          <w:p w14:paraId="4B8315A5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Montgomery Regional Solid Waste Authority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(Montgomery County, Towns of Blacksburg and Christiansburg)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1BAB390" w14:textId="0D1CBB0D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32.6%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637B88A" w14:textId="2438253A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27,800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3CE83D7" w14:textId="1D7889C8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85,213</w:t>
            </w:r>
          </w:p>
        </w:tc>
      </w:tr>
      <w:tr w:rsidR="00FC38E0" w:rsidRPr="002D7EF9" w14:paraId="4AD6F9B2" w14:textId="77777777" w:rsidTr="21A7280B">
        <w:trPr>
          <w:trHeight w:val="1380"/>
        </w:trPr>
        <w:tc>
          <w:tcPr>
            <w:tcW w:w="2051" w:type="pct"/>
            <w:shd w:val="clear" w:color="auto" w:fill="auto"/>
            <w:vAlign w:val="center"/>
            <w:hideMark/>
          </w:tcPr>
          <w:p w14:paraId="4575945A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Mount Rogers PDC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(Bland, Smyth, Washington and Wythe Counties, Towns of Abingdon, Chilhowie, Damascus, Glade Spring, Marion, Saltville, Rural Retreat and Wytheville)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E32DA21" w14:textId="0449FC53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16.4%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B17A4C5" w14:textId="2D53FF6A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19,186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E262D77" w14:textId="127AD896" w:rsidR="21A7280B" w:rsidRDefault="21A7280B" w:rsidP="21A7280B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21A7280B">
              <w:rPr>
                <w:rFonts w:ascii="Calibri" w:hAnsi="Calibri" w:cs="Calibri"/>
                <w:color w:val="000000" w:themeColor="text1"/>
              </w:rPr>
              <w:t>117,028</w:t>
            </w:r>
          </w:p>
        </w:tc>
      </w:tr>
      <w:tr w:rsidR="00FC38E0" w:rsidRPr="002D7EF9" w14:paraId="2013552C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3435FB21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Newport News (City)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(City of Newport News)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5EFF62F" w14:textId="2BE7DD3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1C430B5" w14:textId="1D4A0BE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252,721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E8D5C1B" w14:textId="63095C8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441,893</w:t>
            </w:r>
          </w:p>
        </w:tc>
      </w:tr>
      <w:tr w:rsidR="00FC38E0" w:rsidRPr="002D7EF9" w14:paraId="2ECEBC4A" w14:textId="77777777" w:rsidTr="21A7280B">
        <w:trPr>
          <w:trHeight w:val="2208"/>
        </w:trPr>
        <w:tc>
          <w:tcPr>
            <w:tcW w:w="2051" w:type="pct"/>
            <w:shd w:val="clear" w:color="auto" w:fill="auto"/>
            <w:vAlign w:val="center"/>
            <w:hideMark/>
          </w:tcPr>
          <w:p w14:paraId="20B738E7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Northern Shenandoah Valley Regional Commission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(Clarke, Frederick, Shenandoah, Warren and Page Counties, City of Winchester, Towns of Berryville, Boyce, Edinburg, Front Royal, Luray, Middletown, Mount Jackson, New Market, Shenandoah, Stanley, Strasburg, Stephens City, Toms Brook and Woodstock)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00EA712" w14:textId="33A0340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52.8%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D2C3D5F" w14:textId="16CA0DB2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157,483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53B4B90" w14:textId="1524FD02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310,059</w:t>
            </w:r>
          </w:p>
        </w:tc>
      </w:tr>
      <w:tr w:rsidR="00FC38E0" w:rsidRPr="002D7EF9" w14:paraId="320DB136" w14:textId="77777777" w:rsidTr="21A7280B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4C1A28B7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Prince William County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(Prince William County, Towns of Dumfries, Haymarket, Occoquan and Quantico)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298D969" w14:textId="0CE5906C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CD95E52" w14:textId="4AB776AB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230,325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A044D14" w14:textId="52DB5A98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541,374</w:t>
            </w:r>
          </w:p>
        </w:tc>
      </w:tr>
      <w:tr w:rsidR="00FC38E0" w:rsidRPr="002D7EF9" w14:paraId="5C709012" w14:textId="77777777" w:rsidTr="21A7280B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52544041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Rappahannock Regional Solid Waste Management Board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(Stafford County and City of Fredericksburg)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531DD13" w14:textId="6516C931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4FAE51C" w14:textId="1A013821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68,343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83460C1" w14:textId="2CA25E3E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223,367</w:t>
            </w:r>
          </w:p>
        </w:tc>
      </w:tr>
      <w:tr w:rsidR="00FC38E0" w:rsidRPr="002D7EF9" w14:paraId="56B87737" w14:textId="77777777" w:rsidTr="21A7280B">
        <w:trPr>
          <w:trHeight w:val="1104"/>
        </w:trPr>
        <w:tc>
          <w:tcPr>
            <w:tcW w:w="2051" w:type="pct"/>
            <w:shd w:val="clear" w:color="auto" w:fill="auto"/>
            <w:vAlign w:val="center"/>
            <w:hideMark/>
          </w:tcPr>
          <w:p w14:paraId="6553F913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Region 2000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(Nelson, Appomattox and Campbell Counties, City of Lynchburg, Towns of Altavista, Appomattox, Brookneal and Pamplin City)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1873560" w14:textId="12DA45D2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40.4%</w:t>
            </w:r>
            <w:r w:rsidR="00A96FBA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B179E29" w14:textId="491A5C3F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131,844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41B4F27" w14:textId="407A13A4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343,107</w:t>
            </w:r>
          </w:p>
        </w:tc>
      </w:tr>
      <w:tr w:rsidR="00FC38E0" w:rsidRPr="002D7EF9" w14:paraId="5C7AF4CA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7DC2501E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Roanoke (City)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(City of Roanoke)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288989E" w14:textId="70B27656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D53B9D7" w14:textId="1109D476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12,640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00D6225" w14:textId="4439032B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46,885</w:t>
            </w:r>
          </w:p>
        </w:tc>
      </w:tr>
      <w:tr w:rsidR="00FC38E0" w:rsidRPr="002D7EF9" w14:paraId="6FFCFDA6" w14:textId="77777777" w:rsidTr="21A7280B">
        <w:trPr>
          <w:trHeight w:val="1800"/>
        </w:trPr>
        <w:tc>
          <w:tcPr>
            <w:tcW w:w="2051" w:type="pct"/>
            <w:shd w:val="clear" w:color="auto" w:fill="auto"/>
            <w:vAlign w:val="center"/>
            <w:hideMark/>
          </w:tcPr>
          <w:p w14:paraId="740DD0EE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Southeastern Public Service Authority SWPU 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(Isle of Wight and Southampton Counties, Cities of Chesapeake, Franklin, Norfolk, Portsmouth, Suffolk and Virginia Beach, Towns of Boykins, Branchville, Capron, Courtland, Ivor, Newsoms, Smithfield and Windsor)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1153BB6" w14:textId="3470ACB4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6A09BB2" w14:textId="0E69DD9B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93,556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A81C8B1" w14:textId="2796BB3D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201,800</w:t>
            </w:r>
          </w:p>
        </w:tc>
      </w:tr>
      <w:tr w:rsidR="00FC38E0" w:rsidRPr="002D7EF9" w14:paraId="77BAF7D5" w14:textId="77777777" w:rsidTr="21A7280B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579BB0DB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Spotsylvania County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(Spotsylvania County)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ADC9C9A" w14:textId="14BEF1DC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25.8%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C7067A8" w14:textId="5603EF2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736,319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F457C37" w14:textId="06E20D3A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1,812,923</w:t>
            </w:r>
          </w:p>
        </w:tc>
      </w:tr>
      <w:tr w:rsidR="00FC38E0" w:rsidRPr="002D7EF9" w14:paraId="4F7CFC48" w14:textId="77777777" w:rsidTr="21A7280B">
        <w:trPr>
          <w:trHeight w:val="1104"/>
        </w:trPr>
        <w:tc>
          <w:tcPr>
            <w:tcW w:w="2051" w:type="pct"/>
            <w:shd w:val="clear" w:color="auto" w:fill="auto"/>
            <w:vAlign w:val="center"/>
            <w:hideMark/>
          </w:tcPr>
          <w:p w14:paraId="5AC2ACE0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Thomas Jefferson PDC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(Albemarle, Fluvanna and Greene Counties, City of Charlottesville, Towns of Columbia, Scottsville and Standardsville)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96EE902" w14:textId="1E7242E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EEDF78D" w14:textId="103E4C8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51,924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A3E9F94" w14:textId="5A51C224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143,069</w:t>
            </w:r>
          </w:p>
        </w:tc>
      </w:tr>
      <w:tr w:rsidR="00FC38E0" w:rsidRPr="002D7EF9" w14:paraId="37205036" w14:textId="77777777" w:rsidTr="21A7280B">
        <w:trPr>
          <w:trHeight w:val="1392"/>
        </w:trPr>
        <w:tc>
          <w:tcPr>
            <w:tcW w:w="2051" w:type="pct"/>
            <w:shd w:val="clear" w:color="auto" w:fill="auto"/>
            <w:vAlign w:val="center"/>
            <w:hideMark/>
          </w:tcPr>
          <w:p w14:paraId="08E73864" w14:textId="77777777" w:rsidR="00FC38E0" w:rsidRPr="002D7EF9" w:rsidRDefault="00FC38E0" w:rsidP="00FC38E0">
            <w:pPr>
              <w:rPr>
                <w:rFonts w:asciiTheme="minorHAnsi" w:hAnsiTheme="minorHAnsi" w:cstheme="minorHAnsi"/>
                <w:color w:val="000000"/>
              </w:rPr>
            </w:pPr>
            <w:r w:rsidRPr="002D7EF9">
              <w:rPr>
                <w:rFonts w:asciiTheme="minorHAnsi" w:hAnsiTheme="minorHAnsi" w:cstheme="minorHAnsi"/>
                <w:b/>
                <w:bCs/>
                <w:color w:val="000000"/>
              </w:rPr>
              <w:t>Virginia Peninsulas Public Service Authority SWPU</w:t>
            </w:r>
            <w:r w:rsidRPr="002D7EF9">
              <w:rPr>
                <w:rFonts w:asciiTheme="minorHAnsi" w:hAnsiTheme="minorHAnsi" w:cstheme="minorHAnsi"/>
                <w:color w:val="000000"/>
              </w:rPr>
              <w:br/>
              <w:t>(Essex, James City, King and Queen, Mathews, Middlesex and York Counties, Cities of Hampton, Poquoson and Williamsburg, Towns of Tappahannock, Urbanna and West Point)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96B0CD3" w14:textId="2BAC12D2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AD7D2D9" w14:textId="4AF8E67E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336,138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4C07A4B" w14:textId="67BB7A45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571,482</w:t>
            </w:r>
          </w:p>
        </w:tc>
      </w:tr>
      <w:tr w:rsidR="00FC38E0" w:rsidRPr="002D7EF9" w14:paraId="40250B53" w14:textId="77777777" w:rsidTr="21A7280B">
        <w:trPr>
          <w:trHeight w:val="465"/>
        </w:trPr>
        <w:tc>
          <w:tcPr>
            <w:tcW w:w="2051" w:type="pct"/>
            <w:shd w:val="clear" w:color="auto" w:fill="DCE6F1"/>
            <w:vAlign w:val="center"/>
            <w:hideMark/>
          </w:tcPr>
          <w:p w14:paraId="6DB1ED99" w14:textId="72F024C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7EF9">
              <w:rPr>
                <w:rFonts w:asciiTheme="minorHAnsi" w:hAnsiTheme="minorHAnsi" w:cstheme="minorHAnsi"/>
                <w:b/>
                <w:bCs/>
              </w:rPr>
              <w:t>State Totals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(Big 19 Only)*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5DF4F972" w14:textId="48312B39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42.5%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1A1275CA" w14:textId="31DC03B8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3,912,383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513D8506" w14:textId="474FBF37" w:rsidR="00FC38E0" w:rsidRPr="002D7EF9" w:rsidRDefault="00FC38E0" w:rsidP="00FC38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8,536,623</w:t>
            </w:r>
          </w:p>
        </w:tc>
      </w:tr>
    </w:tbl>
    <w:p w14:paraId="109CD8F4" w14:textId="2A2F609E" w:rsidR="00044C1F" w:rsidRDefault="00B4295E" w:rsidP="003D62EC">
      <w:pPr>
        <w:pStyle w:val="Title"/>
        <w:jc w:val="both"/>
        <w:rPr>
          <w:rFonts w:asciiTheme="minorHAnsi" w:hAnsiTheme="minorHAnsi"/>
          <w:bCs/>
          <w:sz w:val="20"/>
        </w:rPr>
      </w:pPr>
      <w:r w:rsidRPr="00CF4ADA">
        <w:rPr>
          <w:rFonts w:asciiTheme="minorHAnsi" w:hAnsiTheme="minorHAnsi"/>
          <w:bCs/>
          <w:sz w:val="20"/>
        </w:rPr>
        <w:t xml:space="preserve">*State </w:t>
      </w:r>
      <w:r w:rsidR="00CF4ADA" w:rsidRPr="00CF4ADA">
        <w:rPr>
          <w:rFonts w:asciiTheme="minorHAnsi" w:hAnsiTheme="minorHAnsi"/>
          <w:bCs/>
          <w:sz w:val="20"/>
        </w:rPr>
        <w:t xml:space="preserve">calculated </w:t>
      </w:r>
      <w:r w:rsidRPr="00CF4ADA">
        <w:rPr>
          <w:rFonts w:asciiTheme="minorHAnsi" w:hAnsiTheme="minorHAnsi"/>
          <w:bCs/>
          <w:sz w:val="20"/>
        </w:rPr>
        <w:t>recycling rate based on big 19 SWPUs required to report for CY20</w:t>
      </w:r>
      <w:r w:rsidR="003C1834">
        <w:rPr>
          <w:rFonts w:asciiTheme="minorHAnsi" w:hAnsiTheme="minorHAnsi"/>
          <w:bCs/>
          <w:sz w:val="20"/>
        </w:rPr>
        <w:t>23</w:t>
      </w:r>
    </w:p>
    <w:p w14:paraId="3AD1D3C5" w14:textId="7DE3B1AA" w:rsidR="003C1834" w:rsidRDefault="003C1834" w:rsidP="003D62EC">
      <w:pPr>
        <w:pStyle w:val="Title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**SWPU may submit a </w:t>
      </w:r>
      <w:r w:rsidR="00907C04">
        <w:rPr>
          <w:rFonts w:asciiTheme="minorHAnsi" w:hAnsiTheme="minorHAnsi"/>
          <w:bCs/>
          <w:sz w:val="20"/>
        </w:rPr>
        <w:t xml:space="preserve">revised recycling rate report for CY2023 </w:t>
      </w:r>
    </w:p>
    <w:p w14:paraId="4ACB6D67" w14:textId="0541284E" w:rsidR="007962E0" w:rsidRDefault="007962E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alculated recycling rates for cy2022 for 16 SWPUs reporting voluntarily"/>
        <w:tblDescription w:val="calculated recycling rates for cy2022 for 16 SWPUs reporting voluntarily"/>
      </w:tblPr>
      <w:tblGrid>
        <w:gridCol w:w="4130"/>
        <w:gridCol w:w="1980"/>
        <w:gridCol w:w="1980"/>
        <w:gridCol w:w="1980"/>
      </w:tblGrid>
      <w:tr w:rsidR="00252229" w:rsidRPr="00252229" w14:paraId="7356AD0D" w14:textId="77777777" w:rsidTr="3A212270">
        <w:trPr>
          <w:trHeight w:val="1116"/>
        </w:trPr>
        <w:tc>
          <w:tcPr>
            <w:tcW w:w="2051" w:type="pct"/>
            <w:shd w:val="clear" w:color="auto" w:fill="DCE6F1"/>
            <w:vAlign w:val="center"/>
            <w:hideMark/>
          </w:tcPr>
          <w:p w14:paraId="574D9EB5" w14:textId="77777777" w:rsidR="00252229" w:rsidRPr="00252229" w:rsidRDefault="00252229" w:rsidP="002522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REPORTING ENTITY </w:t>
            </w: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(23 SWPUs with populations 100,000 or less not required to report, but voluntarily reporting)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57CE6CB4" w14:textId="77777777" w:rsidR="00252229" w:rsidRPr="00252229" w:rsidRDefault="00252229" w:rsidP="002522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2023 Recycling Rate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252D2543" w14:textId="77777777" w:rsidR="00252229" w:rsidRPr="00252229" w:rsidRDefault="00252229" w:rsidP="002522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2023 Total Recycled Tons</w:t>
            </w: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(PRMs + Credits)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4FFB3615" w14:textId="77777777" w:rsidR="00252229" w:rsidRPr="00252229" w:rsidRDefault="00252229" w:rsidP="002522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2023 Total MSW Generation Tons</w:t>
            </w: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(PRMs + Credits + MSW disposed)</w:t>
            </w:r>
          </w:p>
        </w:tc>
      </w:tr>
      <w:tr w:rsidR="002E0541" w:rsidRPr="00252229" w14:paraId="196EDA0C" w14:textId="77777777" w:rsidTr="3A212270">
        <w:trPr>
          <w:trHeight w:val="1380"/>
        </w:trPr>
        <w:tc>
          <w:tcPr>
            <w:tcW w:w="2051" w:type="pct"/>
            <w:shd w:val="clear" w:color="auto" w:fill="auto"/>
            <w:vAlign w:val="center"/>
            <w:hideMark/>
          </w:tcPr>
          <w:p w14:paraId="5F39BB5D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Accomack County SWPU 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(Accomack County, Towns of Accomac, Belle Haven, Bloxom, Chincoteague, Hallwood, Keller, Melfa, Onancock, Onley, Painter, Parksley, Saxis, Tangier and Wachapreague)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4D5D180" w14:textId="1443A985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23.2%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9D2F8DC" w14:textId="41F5C9BD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8,080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DA1F634" w14:textId="49A41F3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38,154</w:t>
            </w:r>
          </w:p>
        </w:tc>
      </w:tr>
      <w:tr w:rsidR="002E0541" w:rsidRPr="00252229" w14:paraId="3454E5EE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4CAFB7D4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Amherst County SWPU 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(Amherst County, Towns of Amherst)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C2C2612" w14:textId="76113B10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7.3%</w:t>
            </w:r>
            <w:r w:rsidR="00A96FBA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4BD4327" w14:textId="66DE6F57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43,992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BC5F500" w14:textId="194DFF66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79,581</w:t>
            </w:r>
          </w:p>
        </w:tc>
      </w:tr>
      <w:tr w:rsidR="002E0541" w:rsidRPr="00252229" w14:paraId="50E12034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3805A8A3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Bedford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(Bedford County, Town of Bedford)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C235280" w14:textId="51BAE47D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220D7D0" w14:textId="69EC34D5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15,322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103FBD6" w14:textId="794A112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58,091</w:t>
            </w:r>
          </w:p>
        </w:tc>
      </w:tr>
      <w:tr w:rsidR="002E0541" w:rsidRPr="00252229" w14:paraId="1C64DD37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679D451A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Botetourt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(Botetourt County, Towns of Buchanan, Fincastle, Troutville)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770EAF6" w14:textId="02B3192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1F2A426" w14:textId="5DA704A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4,079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4903C44" w14:textId="499FFCD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23,159</w:t>
            </w:r>
          </w:p>
        </w:tc>
      </w:tr>
      <w:tr w:rsidR="002E0541" w:rsidRPr="00252229" w14:paraId="7D4BEA5C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648738A8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Caroline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(Caroline County, Towns of Bowling Green and Port Royal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2956F48" w14:textId="7F92D78D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43.8%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9DAE65D" w14:textId="032436B6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12,665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DC44305" w14:textId="64B4D65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22,409</w:t>
            </w:r>
          </w:p>
        </w:tc>
      </w:tr>
      <w:tr w:rsidR="002E0541" w:rsidRPr="00252229" w14:paraId="20A58C8B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646AB991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Carroll-Grayson-Galax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(Carroll and Grayson Counties, City of Galax, Towns of Fries, Hillsville, Independence, Troutdale)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D5DCA1D" w14:textId="184E760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28.9%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21F9D97" w14:textId="775023B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12,889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1ED88CA" w14:textId="1C0BEBB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44,525</w:t>
            </w:r>
          </w:p>
        </w:tc>
      </w:tr>
      <w:tr w:rsidR="002E0541" w:rsidRPr="00252229" w14:paraId="1C028F22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0A0D7E33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Danville (City)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(City of Danville)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2AF2BDD" w14:textId="723C362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532A61C" w14:textId="1BCBC8C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10,466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31B5E6F" w14:textId="34FD1FC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26,624</w:t>
            </w:r>
          </w:p>
        </w:tc>
      </w:tr>
      <w:tr w:rsidR="002E0541" w:rsidRPr="00252229" w14:paraId="47F88BA7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2939D7C8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Falls Church (City)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(City of Falls Church)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B17D1A0" w14:textId="154912E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53.0%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BD1A2EB" w14:textId="7A6DD7B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6,983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463E943" w14:textId="463CD6F7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12,069</w:t>
            </w:r>
          </w:p>
        </w:tc>
      </w:tr>
      <w:tr w:rsidR="002E0541" w:rsidRPr="00252229" w14:paraId="43A35C81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2512571E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Harrisonburg (City)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(City of Harrisonburg)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BA4DE62" w14:textId="1F3FC5A6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39.6%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EF43031" w14:textId="280B517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15,019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8E9926E" w14:textId="2AFBC9BD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39,967</w:t>
            </w:r>
          </w:p>
        </w:tc>
      </w:tr>
      <w:tr w:rsidR="002E0541" w:rsidRPr="00252229" w14:paraId="1CFF1BCD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6D2092D5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Manassas (City)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(City of Manassas)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5ADEAA5" w14:textId="2DCFE2E6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C0F79C2" w14:textId="1198910A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18,708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8BEDBB3" w14:textId="2DF2E03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43,805</w:t>
            </w:r>
          </w:p>
        </w:tc>
      </w:tr>
      <w:tr w:rsidR="002E0541" w:rsidRPr="00252229" w14:paraId="2CFC05DF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01DA3CAD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Salem (City)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(City of Salem)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C566AFA" w14:textId="21B441D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A52C028" w14:textId="1DF7504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6,933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3A28604" w14:textId="67E21D8C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24,448</w:t>
            </w:r>
          </w:p>
        </w:tc>
      </w:tr>
      <w:tr w:rsidR="002E0541" w:rsidRPr="00252229" w14:paraId="5505F37F" w14:textId="77777777" w:rsidTr="3A212270">
        <w:trPr>
          <w:trHeight w:val="1380"/>
        </w:trPr>
        <w:tc>
          <w:tcPr>
            <w:tcW w:w="2051" w:type="pct"/>
            <w:shd w:val="clear" w:color="auto" w:fill="auto"/>
            <w:vAlign w:val="center"/>
            <w:hideMark/>
          </w:tcPr>
          <w:p w14:paraId="5B79FB40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Cumberland Plateau Regional Waste Management Authority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(Buchanan, Dickenson and Russell Counties, Towns of Grundy, Clincho, Clintwood, Haysi, Cleveland, Honaker and Lebanon)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1A8ABC6" w14:textId="22DABFA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27.9%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ED2CFDA" w14:textId="7EEF7047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18,754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87CC107" w14:textId="7465327C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67,248</w:t>
            </w:r>
          </w:p>
        </w:tc>
      </w:tr>
      <w:tr w:rsidR="002E0541" w:rsidRPr="00252229" w14:paraId="3855A691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605B33B0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Fauquier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(Fauquier County, Towns of Remington, Plains, Warrenton)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5DADE00" w14:textId="0B98FCC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34.5%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8837187" w14:textId="3EF9617A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25,215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5A7257B" w14:textId="7EEFFB0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73,119</w:t>
            </w:r>
          </w:p>
        </w:tc>
      </w:tr>
      <w:tr w:rsidR="002E0541" w:rsidRPr="00252229" w14:paraId="0AFAFEBC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48E3DC12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Floyd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(Floyd County, Town of Floyd)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87E7EBF" w14:textId="4DAE0945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18.9%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7D147EB" w14:textId="16A6E43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2,949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2C0D6BE" w14:textId="19FC368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15,601</w:t>
            </w:r>
          </w:p>
        </w:tc>
      </w:tr>
      <w:tr w:rsidR="002E0541" w:rsidRPr="00252229" w14:paraId="0ABD5DFD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5A0B1F41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Franklin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(Franklin County, Towns of Boones Mill and Rocky Mount)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7BAD9DA" w14:textId="4BA96238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32.0%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64466D9" w14:textId="2DDE432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21,698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92A66FB" w14:textId="572AC818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67,708</w:t>
            </w:r>
          </w:p>
        </w:tc>
      </w:tr>
      <w:tr w:rsidR="002E0541" w:rsidRPr="00252229" w14:paraId="1476594F" w14:textId="77777777" w:rsidTr="3A212270">
        <w:trPr>
          <w:trHeight w:val="1104"/>
        </w:trPr>
        <w:tc>
          <w:tcPr>
            <w:tcW w:w="2051" w:type="pct"/>
            <w:shd w:val="clear" w:color="auto" w:fill="auto"/>
            <w:vAlign w:val="center"/>
            <w:hideMark/>
          </w:tcPr>
          <w:p w14:paraId="1DCB6C3C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New River Resource Authority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(Giles and Pulaski Counties, City of Radford, Towns of Dublin, Glen Lyn, Pearisburg, Pembroke, Pulaski, Rich Creek and Narrows)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003EB8D" w14:textId="202127CB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1704B13" w14:textId="31E947CE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24,866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BFD0359" w14:textId="57F26C48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81,602</w:t>
            </w:r>
          </w:p>
        </w:tc>
      </w:tr>
      <w:tr w:rsidR="002E0541" w:rsidRPr="00252229" w14:paraId="27B927EA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1B4CD55D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Orange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(Orange County, Towns of Orange and Gordonsville)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DA203F5" w14:textId="2C1D2899" w:rsidR="002E0541" w:rsidRPr="00252229" w:rsidRDefault="002E0541" w:rsidP="3A212270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3A212270">
              <w:rPr>
                <w:rFonts w:ascii="Calibri" w:hAnsi="Calibri" w:cs="Calibri"/>
                <w:color w:val="000000" w:themeColor="text1"/>
              </w:rPr>
              <w:t>24.9%</w:t>
            </w:r>
            <w:r w:rsidR="3A99871B" w:rsidRPr="3A212270">
              <w:rPr>
                <w:rFonts w:ascii="Calibri" w:hAnsi="Calibri" w:cs="Calibri"/>
                <w:color w:val="000000" w:themeColor="text1"/>
              </w:rPr>
              <w:t>**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B7ED087" w14:textId="1934E8A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B12B511" w14:textId="69DA7B2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38,161</w:t>
            </w:r>
          </w:p>
        </w:tc>
      </w:tr>
      <w:tr w:rsidR="002E0541" w:rsidRPr="00252229" w14:paraId="09EF2697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053D1494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Prince Edward/Cumberland Counties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(Cumberland County, Prince Edward County and Town of Farmville)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34B19B5" w14:textId="4643C47A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325E11D" w14:textId="02D8BA43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7,652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1F39DD65" w14:textId="5455297B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47,594</w:t>
            </w:r>
          </w:p>
        </w:tc>
      </w:tr>
      <w:tr w:rsidR="002E0541" w:rsidRPr="00252229" w14:paraId="4465438D" w14:textId="77777777" w:rsidTr="3A212270">
        <w:trPr>
          <w:trHeight w:val="816"/>
        </w:trPr>
        <w:tc>
          <w:tcPr>
            <w:tcW w:w="2051" w:type="pct"/>
            <w:shd w:val="clear" w:color="auto" w:fill="auto"/>
            <w:vAlign w:val="center"/>
            <w:hideMark/>
          </w:tcPr>
          <w:p w14:paraId="36A8197E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Scott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(Scott County, Towns of Clinchport, Duffield, Dungannon, Gate City, Nickelsville and Weber City)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9E6B7CF" w14:textId="48DFCD60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3267383" w14:textId="64595B66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2,345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52A5756" w14:textId="4DCFD60E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16,695</w:t>
            </w:r>
          </w:p>
        </w:tc>
      </w:tr>
      <w:tr w:rsidR="002E0541" w:rsidRPr="00252229" w14:paraId="3FF999D8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7BDD52BC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Herndon (Town)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(Town of Herndon)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4BBE051" w14:textId="5A8C27B5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6998486" w14:textId="14E7253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9,087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A7E07AF" w14:textId="15DCE0D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28,127</w:t>
            </w:r>
          </w:p>
        </w:tc>
      </w:tr>
      <w:tr w:rsidR="002E0541" w:rsidRPr="00252229" w14:paraId="3D7783D8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658FC211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Vienna (Town)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(Town of Vienna)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714F4C5" w14:textId="66FBC900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34.3%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59FF074D" w14:textId="128771B4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3,090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27C7F7BB" w14:textId="3856EF2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9,013</w:t>
            </w:r>
          </w:p>
        </w:tc>
      </w:tr>
      <w:tr w:rsidR="002E0541" w:rsidRPr="00252229" w14:paraId="091D6CAF" w14:textId="77777777" w:rsidTr="3A212270">
        <w:trPr>
          <w:trHeight w:val="552"/>
        </w:trPr>
        <w:tc>
          <w:tcPr>
            <w:tcW w:w="2051" w:type="pct"/>
            <w:shd w:val="clear" w:color="auto" w:fill="auto"/>
            <w:vAlign w:val="center"/>
            <w:hideMark/>
          </w:tcPr>
          <w:p w14:paraId="2D09D72D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Vinton (Town)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(Town of Vinton)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D90ADCA" w14:textId="4E019923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63.4%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6268136B" w14:textId="3812C8E0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6,434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4DBDE595" w14:textId="7901D041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10,154</w:t>
            </w:r>
          </w:p>
        </w:tc>
      </w:tr>
      <w:tr w:rsidR="002E0541" w:rsidRPr="00252229" w14:paraId="24F4D47B" w14:textId="77777777" w:rsidTr="3A212270">
        <w:trPr>
          <w:trHeight w:val="828"/>
        </w:trPr>
        <w:tc>
          <w:tcPr>
            <w:tcW w:w="2051" w:type="pct"/>
            <w:shd w:val="clear" w:color="auto" w:fill="auto"/>
            <w:vAlign w:val="center"/>
            <w:hideMark/>
          </w:tcPr>
          <w:p w14:paraId="48DF2A19" w14:textId="77777777" w:rsidR="002E0541" w:rsidRPr="00252229" w:rsidRDefault="002E0541" w:rsidP="002E0541">
            <w:pPr>
              <w:rPr>
                <w:rFonts w:asciiTheme="minorHAnsi" w:hAnsiTheme="minorHAnsi" w:cstheme="minorHAnsi"/>
                <w:color w:val="000000"/>
              </w:rPr>
            </w:pPr>
            <w:r w:rsidRPr="00252229">
              <w:rPr>
                <w:rFonts w:asciiTheme="minorHAnsi" w:hAnsiTheme="minorHAnsi" w:cstheme="minorHAnsi"/>
                <w:b/>
                <w:bCs/>
                <w:color w:val="000000"/>
              </w:rPr>
              <w:t>Wise County SWPU</w:t>
            </w:r>
            <w:r w:rsidRPr="00252229">
              <w:rPr>
                <w:rFonts w:asciiTheme="minorHAnsi" w:hAnsiTheme="minorHAnsi" w:cstheme="minorHAnsi"/>
                <w:color w:val="000000"/>
              </w:rPr>
              <w:br/>
              <w:t>(Wise County, City of Norton, Towns of Appalachia, Big Stone Gap, Coeburn, Pound, St. Paul and Wise)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45EE796" w14:textId="5CF48B9A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22.9%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7E72B8D" w14:textId="07F7CD57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11,542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3A7E93B2" w14:textId="6F65D282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50,505</w:t>
            </w:r>
          </w:p>
        </w:tc>
      </w:tr>
      <w:tr w:rsidR="002E0541" w:rsidRPr="00252229" w14:paraId="2BC946AE" w14:textId="77777777" w:rsidTr="3A212270">
        <w:trPr>
          <w:trHeight w:val="465"/>
        </w:trPr>
        <w:tc>
          <w:tcPr>
            <w:tcW w:w="2051" w:type="pct"/>
            <w:shd w:val="clear" w:color="auto" w:fill="DCE6F1"/>
            <w:vAlign w:val="center"/>
            <w:hideMark/>
          </w:tcPr>
          <w:p w14:paraId="5F882ABA" w14:textId="01C029C9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2229">
              <w:rPr>
                <w:rFonts w:asciiTheme="minorHAnsi" w:hAnsiTheme="minorHAnsi" w:cstheme="minorHAnsi"/>
                <w:b/>
                <w:bCs/>
              </w:rPr>
              <w:t>Voluntary 23 SWPU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252229">
              <w:rPr>
                <w:rFonts w:asciiTheme="minorHAnsi" w:hAnsiTheme="minorHAnsi" w:cstheme="minorHAnsi"/>
                <w:b/>
                <w:bCs/>
              </w:rPr>
              <w:t xml:space="preserve"> Total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05DC1CAE" w14:textId="19AEF8B5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31.5%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68450365" w14:textId="4315940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298,270</w:t>
            </w:r>
          </w:p>
        </w:tc>
        <w:tc>
          <w:tcPr>
            <w:tcW w:w="983" w:type="pct"/>
            <w:shd w:val="clear" w:color="auto" w:fill="DCE6F1"/>
            <w:vAlign w:val="center"/>
            <w:hideMark/>
          </w:tcPr>
          <w:p w14:paraId="3AA01EC5" w14:textId="35707B2F" w:rsidR="002E0541" w:rsidRPr="00252229" w:rsidRDefault="002E0541" w:rsidP="002E05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918,359</w:t>
            </w:r>
          </w:p>
        </w:tc>
      </w:tr>
      <w:tr w:rsidR="00252229" w:rsidRPr="00252229" w14:paraId="397C1D63" w14:textId="77777777" w:rsidTr="3A212270">
        <w:trPr>
          <w:trHeight w:val="465"/>
        </w:trPr>
        <w:tc>
          <w:tcPr>
            <w:tcW w:w="2051" w:type="pct"/>
            <w:shd w:val="clear" w:color="auto" w:fill="DCE6F1"/>
            <w:vAlign w:val="center"/>
          </w:tcPr>
          <w:p w14:paraId="1E899CDC" w14:textId="32873682" w:rsidR="00252229" w:rsidRPr="00252229" w:rsidRDefault="00252229" w:rsidP="002522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2229">
              <w:rPr>
                <w:rFonts w:asciiTheme="minorHAnsi" w:hAnsiTheme="minorHAnsi" w:cstheme="minorHAnsi"/>
                <w:b/>
                <w:bCs/>
              </w:rPr>
              <w:t>State Total (</w:t>
            </w:r>
            <w:r w:rsidR="005F666E">
              <w:rPr>
                <w:rFonts w:asciiTheme="minorHAnsi" w:hAnsiTheme="minorHAnsi" w:cstheme="minorHAnsi"/>
                <w:b/>
                <w:bCs/>
              </w:rPr>
              <w:t>I</w:t>
            </w:r>
            <w:r w:rsidRPr="00252229">
              <w:rPr>
                <w:rFonts w:asciiTheme="minorHAnsi" w:hAnsiTheme="minorHAnsi" w:cstheme="minorHAnsi"/>
                <w:b/>
                <w:bCs/>
              </w:rPr>
              <w:t xml:space="preserve">ncluding </w:t>
            </w:r>
            <w:r w:rsidR="005F666E">
              <w:rPr>
                <w:rFonts w:asciiTheme="minorHAnsi" w:hAnsiTheme="minorHAnsi" w:cstheme="minorHAnsi"/>
                <w:b/>
                <w:bCs/>
              </w:rPr>
              <w:t>V</w:t>
            </w:r>
            <w:r w:rsidRPr="00252229">
              <w:rPr>
                <w:rFonts w:asciiTheme="minorHAnsi" w:hAnsiTheme="minorHAnsi" w:cstheme="minorHAnsi"/>
                <w:b/>
                <w:bCs/>
              </w:rPr>
              <w:t xml:space="preserve">oluntary </w:t>
            </w:r>
            <w:r w:rsidR="005F666E">
              <w:rPr>
                <w:rFonts w:asciiTheme="minorHAnsi" w:hAnsiTheme="minorHAnsi" w:cstheme="minorHAnsi"/>
                <w:b/>
                <w:bCs/>
              </w:rPr>
              <w:t>R</w:t>
            </w:r>
            <w:r w:rsidRPr="00252229">
              <w:rPr>
                <w:rFonts w:asciiTheme="minorHAnsi" w:hAnsiTheme="minorHAnsi" w:cstheme="minorHAnsi"/>
                <w:b/>
                <w:bCs/>
              </w:rPr>
              <w:t>eports)</w:t>
            </w:r>
          </w:p>
        </w:tc>
        <w:tc>
          <w:tcPr>
            <w:tcW w:w="983" w:type="pct"/>
            <w:shd w:val="clear" w:color="auto" w:fill="DCE6F1"/>
            <w:vAlign w:val="center"/>
          </w:tcPr>
          <w:p w14:paraId="2053620A" w14:textId="00D1E66E" w:rsidR="00252229" w:rsidRPr="00252229" w:rsidRDefault="00BE788F" w:rsidP="002522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41.4%</w:t>
            </w:r>
          </w:p>
        </w:tc>
        <w:tc>
          <w:tcPr>
            <w:tcW w:w="983" w:type="pct"/>
            <w:shd w:val="clear" w:color="auto" w:fill="DCE6F1"/>
            <w:vAlign w:val="center"/>
          </w:tcPr>
          <w:p w14:paraId="39E4E35D" w14:textId="65F6BE85" w:rsidR="00252229" w:rsidRPr="00252229" w:rsidRDefault="00133649" w:rsidP="002522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4,210,65</w:t>
            </w:r>
            <w:r w:rsidR="0001289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983" w:type="pct"/>
            <w:shd w:val="clear" w:color="auto" w:fill="DCE6F1"/>
            <w:vAlign w:val="center"/>
          </w:tcPr>
          <w:p w14:paraId="1CF33670" w14:textId="52D9F618" w:rsidR="00252229" w:rsidRPr="00252229" w:rsidRDefault="00133649" w:rsidP="002522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9,454,98</w:t>
            </w:r>
            <w:r w:rsidR="0001289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17DFFFBB" w14:textId="77777777" w:rsidR="001A7021" w:rsidRDefault="001A7021" w:rsidP="001A7021">
      <w:pPr>
        <w:pStyle w:val="Title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**SWPU may submit a revised recycling rate report for CY2023 </w:t>
      </w:r>
    </w:p>
    <w:p w14:paraId="3D94D682" w14:textId="77777777" w:rsidR="001B60E8" w:rsidRDefault="001B60E8" w:rsidP="003D62EC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0F065959" w14:textId="77777777" w:rsidR="00CF4456" w:rsidRDefault="00CF4456" w:rsidP="003D62EC">
      <w:pPr>
        <w:pStyle w:val="Title"/>
        <w:jc w:val="both"/>
        <w:rPr>
          <w:rFonts w:asciiTheme="minorHAnsi" w:hAnsiTheme="minorHAnsi"/>
          <w:sz w:val="22"/>
          <w:szCs w:val="22"/>
        </w:rPr>
      </w:pPr>
    </w:p>
    <w:p w14:paraId="11F6208E" w14:textId="77777777" w:rsidR="004D3E55" w:rsidRPr="004B092E" w:rsidRDefault="00B203F1" w:rsidP="004B092E">
      <w:pPr>
        <w:rPr>
          <w:rFonts w:asciiTheme="minorHAnsi" w:hAnsiTheme="minorHAnsi"/>
          <w:b/>
          <w:sz w:val="22"/>
          <w:szCs w:val="22"/>
        </w:rPr>
      </w:pP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All data </w:t>
      </w:r>
      <w:r w:rsidR="00020C0D">
        <w:rPr>
          <w:rFonts w:asciiTheme="minorHAnsi" w:hAnsiTheme="minorHAnsi" w:cs="Arial"/>
          <w:color w:val="000000"/>
          <w:sz w:val="22"/>
          <w:szCs w:val="22"/>
        </w:rPr>
        <w:t xml:space="preserve">is 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>based on adjustments by DEQ for consistency with 9VAC-20-130-125, with a 5</w:t>
      </w:r>
      <w:r w:rsidR="00560EE4">
        <w:rPr>
          <w:rFonts w:asciiTheme="minorHAnsi" w:hAnsiTheme="minorHAnsi" w:cs="Arial"/>
          <w:color w:val="000000"/>
          <w:sz w:val="22"/>
          <w:szCs w:val="22"/>
        </w:rPr>
        <w:t xml:space="preserve"> percent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 maximum percentage allowed for credits to the base recycling rate calculated by a solid waste planning unit. A 2</w:t>
      </w:r>
      <w:r w:rsidR="00560EE4">
        <w:rPr>
          <w:rFonts w:asciiTheme="minorHAnsi" w:hAnsiTheme="minorHAnsi" w:cs="Arial"/>
          <w:color w:val="000000"/>
          <w:sz w:val="22"/>
          <w:szCs w:val="22"/>
        </w:rPr>
        <w:t xml:space="preserve"> percent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 source reduction credit has been added to the calculated recycling rates for those planning units with a documented source reduction program</w:t>
      </w:r>
      <w:r w:rsidR="00D35592">
        <w:rPr>
          <w:rFonts w:asciiTheme="minorHAnsi" w:hAnsiTheme="minorHAnsi" w:cs="Arial"/>
          <w:color w:val="000000"/>
          <w:sz w:val="22"/>
          <w:szCs w:val="22"/>
        </w:rPr>
        <w:t xml:space="preserve"> in their solid waste management plans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2A4BAD92" w14:textId="77777777" w:rsidR="004D3E55" w:rsidRDefault="004D3E55" w:rsidP="004D3E55">
      <w:pPr>
        <w:jc w:val="both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344E868B" w14:textId="77777777" w:rsidR="004D3E55" w:rsidRDefault="00B203F1" w:rsidP="004D3E5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252E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P</w:t>
      </w:r>
      <w:r w:rsidR="00D35592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rincipal Recyclable Materials (P</w:t>
      </w:r>
      <w:r w:rsidRPr="006252E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RMs</w:t>
      </w:r>
      <w:r w:rsidR="00D35592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)</w:t>
      </w:r>
      <w:r w:rsidRPr="006252E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:</w:t>
      </w:r>
      <w:r w:rsidR="00750FDD">
        <w:rPr>
          <w:rFonts w:asciiTheme="minorHAnsi" w:hAnsiTheme="minorHAnsi" w:cs="Arial"/>
          <w:color w:val="000000"/>
          <w:sz w:val="22"/>
          <w:szCs w:val="22"/>
        </w:rPr>
        <w:t xml:space="preserve"> P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>aper, metal, plastic, glass, commingled materials, yard waste, waste wood, textiles, waste tires, used oil, used oil filters, used antifreeze, inoperative automobiles, batteries, electronics and other.</w:t>
      </w:r>
    </w:p>
    <w:p w14:paraId="438C476E" w14:textId="77777777" w:rsidR="004D3E55" w:rsidRDefault="004D3E55" w:rsidP="004D3E5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9D24FE" w14:textId="77777777" w:rsidR="004D3E55" w:rsidRDefault="00B203F1" w:rsidP="004D3E5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252E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Credits:</w:t>
      </w:r>
      <w:r w:rsidR="00750FDD">
        <w:rPr>
          <w:rFonts w:asciiTheme="minorHAnsi" w:hAnsiTheme="minorHAnsi" w:cs="Arial"/>
          <w:color w:val="000000"/>
          <w:sz w:val="22"/>
          <w:szCs w:val="22"/>
        </w:rPr>
        <w:t xml:space="preserve"> R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>ecycling residues, solid waste reused</w:t>
      </w:r>
      <w:r w:rsidR="006C49DA">
        <w:rPr>
          <w:rFonts w:asciiTheme="minorHAnsi" w:hAnsiTheme="minorHAnsi" w:cs="Arial"/>
          <w:color w:val="000000"/>
          <w:sz w:val="22"/>
          <w:szCs w:val="22"/>
        </w:rPr>
        <w:t>,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 non-MSW recycled (includes construction and demoli</w:t>
      </w:r>
      <w:r w:rsidR="00750FDD">
        <w:rPr>
          <w:rFonts w:asciiTheme="minorHAnsi" w:hAnsiTheme="minorHAnsi" w:cs="Arial"/>
          <w:color w:val="000000"/>
          <w:sz w:val="22"/>
          <w:szCs w:val="22"/>
        </w:rPr>
        <w:t xml:space="preserve">tion material, ash and debris) 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>an</w:t>
      </w:r>
      <w:r w:rsidR="006C49DA">
        <w:rPr>
          <w:rFonts w:asciiTheme="minorHAnsi" w:hAnsiTheme="minorHAnsi" w:cs="Arial"/>
          <w:color w:val="000000"/>
          <w:sz w:val="22"/>
          <w:szCs w:val="22"/>
        </w:rPr>
        <w:t xml:space="preserve">d source reduction initiatives. 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>Source reduction initiatives must be documented as SWPU polic</w:t>
      </w:r>
      <w:r w:rsidR="004D3E55">
        <w:rPr>
          <w:rFonts w:asciiTheme="minorHAnsi" w:hAnsiTheme="minorHAnsi" w:cs="Arial"/>
          <w:color w:val="000000"/>
          <w:sz w:val="22"/>
          <w:szCs w:val="22"/>
        </w:rPr>
        <w:t>y and promoted across the SWPU.</w:t>
      </w:r>
    </w:p>
    <w:p w14:paraId="62A122E7" w14:textId="77777777" w:rsidR="004D3E55" w:rsidRDefault="004D3E55" w:rsidP="004D3E5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C4D0DB" w14:textId="77777777" w:rsidR="00C30221" w:rsidRDefault="00B203F1" w:rsidP="00312342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252EF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Municipal Solid Waste (MSW) disposed:</w:t>
      </w:r>
      <w:r w:rsidRPr="00726680">
        <w:rPr>
          <w:rFonts w:asciiTheme="minorHAnsi" w:hAnsiTheme="minorHAnsi" w:cs="Arial"/>
          <w:color w:val="000000"/>
          <w:sz w:val="22"/>
          <w:szCs w:val="22"/>
        </w:rPr>
        <w:t xml:space="preserve"> Municipal solid waste delivered to sanitary landfills or incinerators for disposal.</w:t>
      </w:r>
      <w:bookmarkStart w:id="13" w:name="_Toc426102522"/>
      <w:bookmarkStart w:id="14" w:name="_Toc427155613"/>
      <w:bookmarkEnd w:id="10"/>
    </w:p>
    <w:p w14:paraId="4B8D52B3" w14:textId="77777777" w:rsidR="0028210F" w:rsidRDefault="0028210F" w:rsidP="00312342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6F68C2" w14:textId="77777777" w:rsidR="00DB23E8" w:rsidRDefault="00DB23E8">
      <w:pPr>
        <w:rPr>
          <w:rFonts w:asciiTheme="minorHAnsi" w:hAnsiTheme="minorHAnsi"/>
          <w:b/>
          <w:sz w:val="24"/>
        </w:rPr>
      </w:pPr>
      <w:bookmarkStart w:id="15" w:name="_Toc112849197"/>
      <w:r>
        <w:rPr>
          <w:rFonts w:asciiTheme="minorHAnsi" w:hAnsiTheme="minorHAnsi"/>
          <w:b/>
        </w:rPr>
        <w:br w:type="page"/>
      </w:r>
    </w:p>
    <w:p w14:paraId="07AA8183" w14:textId="24D71F1F" w:rsidR="0028210F" w:rsidRPr="00CF497B" w:rsidRDefault="0028210F" w:rsidP="0028210F">
      <w:pPr>
        <w:pStyle w:val="Heading2"/>
        <w:jc w:val="both"/>
        <w:rPr>
          <w:rFonts w:asciiTheme="minorHAnsi" w:hAnsiTheme="minorHAnsi"/>
          <w:b/>
        </w:rPr>
      </w:pPr>
      <w:r w:rsidRPr="00CF497B">
        <w:rPr>
          <w:rFonts w:asciiTheme="minorHAnsi" w:hAnsiTheme="minorHAnsi"/>
          <w:b/>
        </w:rPr>
        <w:lastRenderedPageBreak/>
        <w:t>Solid Waste Planning Units Not Reporting for CY20</w:t>
      </w:r>
      <w:r w:rsidR="004D298C" w:rsidRPr="00CF497B">
        <w:rPr>
          <w:rFonts w:asciiTheme="minorHAnsi" w:hAnsiTheme="minorHAnsi"/>
          <w:b/>
        </w:rPr>
        <w:t>2</w:t>
      </w:r>
      <w:bookmarkEnd w:id="15"/>
      <w:r w:rsidR="00B153C3" w:rsidRPr="00CF497B">
        <w:rPr>
          <w:rFonts w:asciiTheme="minorHAnsi" w:hAnsiTheme="minorHAnsi"/>
          <w:b/>
        </w:rPr>
        <w:t>3</w:t>
      </w:r>
    </w:p>
    <w:p w14:paraId="333721F5" w14:textId="77777777" w:rsidR="0028210F" w:rsidRDefault="0028210F" w:rsidP="0028210F"/>
    <w:p w14:paraId="651E83A7" w14:textId="10EB4062" w:rsidR="0028210F" w:rsidRPr="000B4202" w:rsidRDefault="00EC5B98" w:rsidP="0028210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29</w:t>
      </w:r>
      <w:r w:rsidR="0028210F" w:rsidRPr="000B4202">
        <w:rPr>
          <w:rFonts w:asciiTheme="minorHAnsi" w:hAnsiTheme="minorHAnsi"/>
          <w:sz w:val="22"/>
          <w:szCs w:val="22"/>
        </w:rPr>
        <w:t xml:space="preserve"> SWPUs with populations of 100,000 or less and not required to report for CY202</w:t>
      </w:r>
      <w:r>
        <w:rPr>
          <w:rFonts w:asciiTheme="minorHAnsi" w:hAnsiTheme="minorHAnsi"/>
          <w:sz w:val="22"/>
          <w:szCs w:val="22"/>
        </w:rPr>
        <w:t>3</w:t>
      </w:r>
      <w:r w:rsidR="0028210F" w:rsidRPr="000B4202">
        <w:rPr>
          <w:rFonts w:asciiTheme="minorHAnsi" w:hAnsiTheme="minorHAnsi"/>
          <w:sz w:val="22"/>
          <w:szCs w:val="22"/>
        </w:rPr>
        <w:t>.</w:t>
      </w:r>
    </w:p>
    <w:p w14:paraId="5EAD7ABA" w14:textId="77777777" w:rsidR="0028210F" w:rsidRPr="00CF497B" w:rsidRDefault="0028210F" w:rsidP="0028210F">
      <w:pPr>
        <w:jc w:val="both"/>
        <w:rPr>
          <w:rFonts w:asciiTheme="minorHAnsi" w:hAnsiTheme="minorHAnsi"/>
          <w:b/>
          <w:snapToGrid w:val="0"/>
        </w:rPr>
      </w:pPr>
    </w:p>
    <w:p w14:paraId="404A2256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Alleghany Highlands SWPU</w:t>
      </w:r>
    </w:p>
    <w:p w14:paraId="7714253D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 xml:space="preserve">Amelia County SWPU </w:t>
      </w:r>
    </w:p>
    <w:p w14:paraId="354C5AC6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Bath County SWPU</w:t>
      </w:r>
    </w:p>
    <w:p w14:paraId="4D432D34" w14:textId="77777777" w:rsidR="000B4202" w:rsidRPr="00CF497B" w:rsidRDefault="000B420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Brunswick County</w:t>
      </w:r>
    </w:p>
    <w:p w14:paraId="252A047A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Buckingham County SWPU</w:t>
      </w:r>
    </w:p>
    <w:p w14:paraId="57FA74F7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City of Bristol SWPU</w:t>
      </w:r>
    </w:p>
    <w:p w14:paraId="60A25066" w14:textId="2DF8447F" w:rsidR="007E5F22" w:rsidRPr="00CF497B" w:rsidRDefault="007E5F2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City of Fairfax SWPU</w:t>
      </w:r>
    </w:p>
    <w:p w14:paraId="6C2E7A80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City of Manassas Park SWPU</w:t>
      </w:r>
    </w:p>
    <w:p w14:paraId="75144D88" w14:textId="014FEB8D" w:rsidR="007B154A" w:rsidRPr="00CF497B" w:rsidRDefault="007B154A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Craig County SWPU</w:t>
      </w:r>
    </w:p>
    <w:p w14:paraId="7F9EB4C7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Culpeper County SWPU</w:t>
      </w:r>
    </w:p>
    <w:p w14:paraId="7DF7E7B6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Gloucester County SWPU</w:t>
      </w:r>
    </w:p>
    <w:p w14:paraId="2A81390A" w14:textId="77777777" w:rsidR="000B4202" w:rsidRPr="00CF497B" w:rsidRDefault="000B420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Henry County-City of Martinsville SWPU</w:t>
      </w:r>
    </w:p>
    <w:p w14:paraId="3A75FB4A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Highland County SWPU</w:t>
      </w:r>
    </w:p>
    <w:p w14:paraId="5B362ABC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King George County SWPU</w:t>
      </w:r>
    </w:p>
    <w:p w14:paraId="48125ADE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Lee County SWPU</w:t>
      </w:r>
    </w:p>
    <w:p w14:paraId="4F850709" w14:textId="4E9A2186" w:rsidR="007E5F22" w:rsidRPr="00CF497B" w:rsidRDefault="007E5F2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Louisa County SWPU</w:t>
      </w:r>
    </w:p>
    <w:p w14:paraId="0334D80F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Lunenburg County SWPU</w:t>
      </w:r>
    </w:p>
    <w:p w14:paraId="1D517006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Madison County SW</w:t>
      </w:r>
      <w:r w:rsidR="000B4202" w:rsidRPr="00CF497B">
        <w:rPr>
          <w:rFonts w:asciiTheme="minorHAnsi" w:hAnsiTheme="minorHAnsi"/>
          <w:snapToGrid w:val="0"/>
          <w:sz w:val="22"/>
          <w:szCs w:val="22"/>
        </w:rPr>
        <w:t>PU</w:t>
      </w:r>
    </w:p>
    <w:p w14:paraId="58434EFA" w14:textId="77777777" w:rsidR="000B4202" w:rsidRPr="00CF497B" w:rsidRDefault="000B420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Northampton County SWPU</w:t>
      </w:r>
    </w:p>
    <w:p w14:paraId="2939B187" w14:textId="77777777" w:rsidR="00944534" w:rsidRPr="00CF497B" w:rsidRDefault="00944534" w:rsidP="00A54720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Northern Neck PDC SWPU</w:t>
      </w:r>
    </w:p>
    <w:p w14:paraId="255C4051" w14:textId="77777777" w:rsidR="0028210F" w:rsidRPr="00CF497B" w:rsidRDefault="0028210F" w:rsidP="00A54720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Nottoway County SWPU</w:t>
      </w:r>
    </w:p>
    <w:p w14:paraId="5605F24D" w14:textId="77777777" w:rsidR="000B4202" w:rsidRPr="00CF497B" w:rsidRDefault="000B4202" w:rsidP="000B4202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Patrick County SWPU</w:t>
      </w:r>
    </w:p>
    <w:p w14:paraId="3D2D5A2D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 xml:space="preserve">Pittsylvania County SWPU </w:t>
      </w:r>
    </w:p>
    <w:p w14:paraId="026B7526" w14:textId="77777777" w:rsidR="000B4202" w:rsidRPr="00CF497B" w:rsidRDefault="000B420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Rappahannock County SWPU</w:t>
      </w:r>
    </w:p>
    <w:p w14:paraId="6F79F21E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Roanoke County SWPU</w:t>
      </w:r>
    </w:p>
    <w:p w14:paraId="344A5566" w14:textId="77777777" w:rsidR="000B4202" w:rsidRPr="00CF497B" w:rsidRDefault="000B4202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Rockbridge-Buena Vista-Lexington SWPU</w:t>
      </w:r>
    </w:p>
    <w:p w14:paraId="795DD335" w14:textId="77777777" w:rsidR="0028210F" w:rsidRPr="00CF497B" w:rsidRDefault="0028210F" w:rsidP="0028210F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Southern Crater Region SWPU</w:t>
      </w:r>
    </w:p>
    <w:p w14:paraId="1F7C9A1B" w14:textId="77777777" w:rsidR="00944534" w:rsidRPr="00CF497B" w:rsidRDefault="00944534" w:rsidP="00A54720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Southside Regional P</w:t>
      </w:r>
      <w:r w:rsidR="000B4202" w:rsidRPr="00CF497B">
        <w:rPr>
          <w:rFonts w:asciiTheme="minorHAnsi" w:hAnsiTheme="minorHAnsi"/>
          <w:snapToGrid w:val="0"/>
          <w:sz w:val="22"/>
          <w:szCs w:val="22"/>
        </w:rPr>
        <w:t>ublic Service Authority</w:t>
      </w:r>
      <w:r w:rsidRPr="00CF497B">
        <w:rPr>
          <w:rFonts w:asciiTheme="minorHAnsi" w:hAnsiTheme="minorHAnsi"/>
          <w:snapToGrid w:val="0"/>
          <w:sz w:val="22"/>
          <w:szCs w:val="22"/>
        </w:rPr>
        <w:t xml:space="preserve"> SWPU</w:t>
      </w:r>
    </w:p>
    <w:p w14:paraId="0A30CF69" w14:textId="77777777" w:rsidR="000B4202" w:rsidRPr="00CF497B" w:rsidRDefault="000B4202" w:rsidP="00A54720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CF497B">
        <w:rPr>
          <w:rFonts w:asciiTheme="minorHAnsi" w:hAnsiTheme="minorHAnsi"/>
          <w:snapToGrid w:val="0"/>
          <w:sz w:val="22"/>
          <w:szCs w:val="22"/>
        </w:rPr>
        <w:t>Tazewell County SWPU</w:t>
      </w:r>
    </w:p>
    <w:p w14:paraId="4CA2AB8A" w14:textId="77777777" w:rsidR="0028210F" w:rsidRDefault="0028210F" w:rsidP="00312342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79B9CA2" w14:textId="77777777" w:rsidR="0028210F" w:rsidRDefault="0028210F" w:rsidP="00312342">
      <w:pPr>
        <w:jc w:val="both"/>
        <w:rPr>
          <w:rFonts w:asciiTheme="minorHAnsi" w:hAnsiTheme="minorHAnsi"/>
          <w:b/>
          <w:sz w:val="24"/>
        </w:rPr>
      </w:pPr>
    </w:p>
    <w:p w14:paraId="47D4C1FA" w14:textId="77777777" w:rsidR="0024108E" w:rsidRDefault="0024108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</w:rPr>
        <w:br w:type="page"/>
      </w:r>
    </w:p>
    <w:p w14:paraId="48226677" w14:textId="2C71023F" w:rsidR="001C01F6" w:rsidRDefault="00B42F06" w:rsidP="00245CD9">
      <w:pPr>
        <w:pStyle w:val="Heading2"/>
        <w:jc w:val="both"/>
        <w:rPr>
          <w:rFonts w:asciiTheme="minorHAnsi" w:hAnsiTheme="minorHAnsi"/>
          <w:b/>
        </w:rPr>
      </w:pPr>
      <w:bookmarkStart w:id="16" w:name="_Toc112849198"/>
      <w:r w:rsidRPr="00E31BFB">
        <w:rPr>
          <w:rFonts w:asciiTheme="minorHAnsi" w:hAnsiTheme="minorHAnsi"/>
          <w:b/>
        </w:rPr>
        <w:lastRenderedPageBreak/>
        <w:t xml:space="preserve">Recycling </w:t>
      </w:r>
      <w:r w:rsidR="00170F8A" w:rsidRPr="00E31BFB">
        <w:rPr>
          <w:rFonts w:asciiTheme="minorHAnsi" w:hAnsiTheme="minorHAnsi"/>
          <w:b/>
        </w:rPr>
        <w:t>Related</w:t>
      </w:r>
      <w:r w:rsidR="008E1151" w:rsidRPr="00E31BFB">
        <w:rPr>
          <w:rFonts w:asciiTheme="minorHAnsi" w:hAnsiTheme="minorHAnsi"/>
          <w:b/>
        </w:rPr>
        <w:t xml:space="preserve"> Report</w:t>
      </w:r>
      <w:r w:rsidR="00170F8A" w:rsidRPr="00E31BFB">
        <w:rPr>
          <w:rFonts w:asciiTheme="minorHAnsi" w:hAnsiTheme="minorHAnsi"/>
          <w:b/>
        </w:rPr>
        <w:t xml:space="preserve"> Information</w:t>
      </w:r>
      <w:bookmarkEnd w:id="16"/>
    </w:p>
    <w:bookmarkEnd w:id="13"/>
    <w:bookmarkEnd w:id="14"/>
    <w:p w14:paraId="2D4DFEEC" w14:textId="77777777" w:rsidR="008B5CAC" w:rsidRDefault="008B5CAC" w:rsidP="003F5607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58F04F90" w14:textId="77777777" w:rsidR="00AB70BA" w:rsidRPr="000B6859" w:rsidRDefault="00B17088" w:rsidP="004D3E55">
      <w:pPr>
        <w:tabs>
          <w:tab w:val="left" w:pos="18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541">
        <w:rPr>
          <w:rFonts w:asciiTheme="minorHAnsi" w:hAnsiTheme="minorHAnsi" w:cstheme="minorHAnsi"/>
          <w:b/>
          <w:sz w:val="22"/>
          <w:szCs w:val="22"/>
          <w:u w:val="single"/>
        </w:rPr>
        <w:t>Electronics Recycling</w:t>
      </w:r>
      <w:r w:rsidR="001C33C1" w:rsidRPr="00F27541">
        <w:rPr>
          <w:rFonts w:asciiTheme="minorHAnsi" w:hAnsiTheme="minorHAnsi" w:cstheme="minorHAnsi"/>
          <w:b/>
          <w:sz w:val="22"/>
          <w:szCs w:val="22"/>
        </w:rPr>
        <w:t>:</w:t>
      </w:r>
    </w:p>
    <w:p w14:paraId="16292966" w14:textId="3D81D1C9" w:rsidR="00AB70BA" w:rsidRPr="00AB70BA" w:rsidRDefault="00AB70BA" w:rsidP="004D3E55">
      <w:pPr>
        <w:tabs>
          <w:tab w:val="left" w:pos="18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6859">
        <w:rPr>
          <w:rFonts w:asciiTheme="minorHAnsi" w:hAnsiTheme="minorHAnsi" w:cstheme="minorHAnsi"/>
          <w:sz w:val="22"/>
          <w:szCs w:val="22"/>
        </w:rPr>
        <w:t>Although not included in the</w:t>
      </w:r>
      <w:r w:rsidRPr="00AB70BA">
        <w:rPr>
          <w:rFonts w:asciiTheme="minorHAnsi" w:hAnsiTheme="minorHAnsi" w:cstheme="minorHAnsi"/>
          <w:sz w:val="22"/>
          <w:szCs w:val="22"/>
        </w:rPr>
        <w:t xml:space="preserve"> </w:t>
      </w:r>
      <w:r w:rsidR="00C31139">
        <w:rPr>
          <w:rFonts w:asciiTheme="minorHAnsi" w:hAnsiTheme="minorHAnsi" w:cstheme="minorHAnsi"/>
          <w:sz w:val="22"/>
          <w:szCs w:val="22"/>
        </w:rPr>
        <w:t xml:space="preserve">state </w:t>
      </w:r>
      <w:r w:rsidRPr="00AB70BA">
        <w:rPr>
          <w:rFonts w:asciiTheme="minorHAnsi" w:hAnsiTheme="minorHAnsi" w:cstheme="minorHAnsi"/>
          <w:sz w:val="22"/>
          <w:szCs w:val="22"/>
        </w:rPr>
        <w:t xml:space="preserve">recycling rate report, computer manufacturers are required to report to DEQ </w:t>
      </w:r>
      <w:r w:rsidRPr="001C2A0E">
        <w:rPr>
          <w:rFonts w:asciiTheme="minorHAnsi" w:hAnsiTheme="minorHAnsi" w:cstheme="minorHAnsi"/>
          <w:sz w:val="22"/>
          <w:szCs w:val="22"/>
        </w:rPr>
        <w:t xml:space="preserve">the </w:t>
      </w:r>
      <w:r w:rsidRPr="00745909">
        <w:rPr>
          <w:rFonts w:asciiTheme="minorHAnsi" w:hAnsiTheme="minorHAnsi" w:cstheme="minorHAnsi"/>
          <w:sz w:val="22"/>
          <w:szCs w:val="22"/>
        </w:rPr>
        <w:t>amount of electronics recov</w:t>
      </w:r>
      <w:r w:rsidRPr="00D513A9">
        <w:rPr>
          <w:rFonts w:asciiTheme="minorHAnsi" w:hAnsiTheme="minorHAnsi" w:cstheme="minorHAnsi"/>
          <w:sz w:val="22"/>
          <w:szCs w:val="22"/>
        </w:rPr>
        <w:t xml:space="preserve">ered through their recycling </w:t>
      </w:r>
      <w:r w:rsidR="00745909" w:rsidRPr="00D513A9">
        <w:rPr>
          <w:rFonts w:asciiTheme="minorHAnsi" w:hAnsiTheme="minorHAnsi" w:cstheme="minorHAnsi"/>
          <w:sz w:val="22"/>
          <w:szCs w:val="22"/>
        </w:rPr>
        <w:t>networks. For calendar year 202</w:t>
      </w:r>
      <w:r w:rsidR="00CB5358">
        <w:rPr>
          <w:rFonts w:asciiTheme="minorHAnsi" w:hAnsiTheme="minorHAnsi" w:cstheme="minorHAnsi"/>
          <w:sz w:val="22"/>
          <w:szCs w:val="22"/>
        </w:rPr>
        <w:t>3</w:t>
      </w:r>
      <w:r w:rsidRPr="00D513A9">
        <w:rPr>
          <w:rFonts w:asciiTheme="minorHAnsi" w:hAnsiTheme="minorHAnsi" w:cstheme="minorHAnsi"/>
          <w:sz w:val="22"/>
          <w:szCs w:val="22"/>
        </w:rPr>
        <w:t xml:space="preserve">, they reported </w:t>
      </w:r>
      <w:r w:rsidR="002626CA">
        <w:rPr>
          <w:rFonts w:asciiTheme="minorHAnsi" w:hAnsiTheme="minorHAnsi" w:cstheme="minorHAnsi"/>
          <w:sz w:val="22"/>
          <w:szCs w:val="22"/>
        </w:rPr>
        <w:t>850,893</w:t>
      </w:r>
      <w:r w:rsidR="001C2A0E" w:rsidRPr="002626CA">
        <w:rPr>
          <w:rFonts w:asciiTheme="minorHAnsi" w:hAnsiTheme="minorHAnsi" w:cstheme="minorHAnsi"/>
          <w:sz w:val="22"/>
          <w:szCs w:val="22"/>
        </w:rPr>
        <w:t xml:space="preserve"> pounds (</w:t>
      </w:r>
      <w:r w:rsidR="002626CA">
        <w:rPr>
          <w:rFonts w:asciiTheme="minorHAnsi" w:hAnsiTheme="minorHAnsi" w:cstheme="minorHAnsi"/>
          <w:sz w:val="22"/>
          <w:szCs w:val="22"/>
        </w:rPr>
        <w:t>425</w:t>
      </w:r>
      <w:r w:rsidRPr="002626CA">
        <w:rPr>
          <w:rFonts w:asciiTheme="minorHAnsi" w:hAnsiTheme="minorHAnsi" w:cstheme="minorHAnsi"/>
          <w:sz w:val="22"/>
          <w:szCs w:val="22"/>
        </w:rPr>
        <w:t xml:space="preserve"> tons)</w:t>
      </w:r>
      <w:r w:rsidRPr="00D513A9">
        <w:rPr>
          <w:rFonts w:asciiTheme="minorHAnsi" w:hAnsiTheme="minorHAnsi" w:cstheme="minorHAnsi"/>
          <w:sz w:val="22"/>
          <w:szCs w:val="22"/>
        </w:rPr>
        <w:t xml:space="preserve"> of electronics</w:t>
      </w:r>
      <w:r>
        <w:rPr>
          <w:rFonts w:asciiTheme="minorHAnsi" w:hAnsiTheme="minorHAnsi" w:cstheme="minorHAnsi"/>
          <w:sz w:val="22"/>
          <w:szCs w:val="22"/>
        </w:rPr>
        <w:t xml:space="preserve"> recovered. For more information about this program, visit </w:t>
      </w:r>
      <w:hyperlink r:id="rId17" w:history="1">
        <w:r w:rsidRPr="00AB70BA">
          <w:rPr>
            <w:rStyle w:val="Hyperlink"/>
            <w:rFonts w:asciiTheme="minorHAnsi" w:hAnsiTheme="minorHAnsi" w:cstheme="minorHAnsi"/>
            <w:sz w:val="22"/>
            <w:szCs w:val="22"/>
          </w:rPr>
          <w:t>DEQ’s Electronics Recycling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webpage.</w:t>
      </w:r>
    </w:p>
    <w:p w14:paraId="4425D89D" w14:textId="77777777" w:rsidR="00DE522D" w:rsidRPr="00DE522D" w:rsidRDefault="00DE522D" w:rsidP="004D3E55">
      <w:pPr>
        <w:tabs>
          <w:tab w:val="left" w:pos="18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3DF77" w14:textId="77777777" w:rsidR="00D445E4" w:rsidRPr="004C7203" w:rsidRDefault="00370C4D" w:rsidP="004D3E55">
      <w:pPr>
        <w:jc w:val="both"/>
        <w:rPr>
          <w:b/>
        </w:rPr>
      </w:pPr>
      <w:r w:rsidRPr="004C7203">
        <w:rPr>
          <w:rFonts w:asciiTheme="minorHAnsi" w:hAnsiTheme="minorHAnsi" w:cstheme="minorHAnsi"/>
          <w:b/>
          <w:sz w:val="22"/>
          <w:szCs w:val="22"/>
          <w:u w:val="single"/>
        </w:rPr>
        <w:t>Private Sector R</w:t>
      </w:r>
      <w:r w:rsidR="00CE42A1" w:rsidRPr="004C7203">
        <w:rPr>
          <w:rFonts w:asciiTheme="minorHAnsi" w:hAnsiTheme="minorHAnsi" w:cstheme="minorHAnsi"/>
          <w:b/>
          <w:sz w:val="22"/>
          <w:szCs w:val="22"/>
          <w:u w:val="single"/>
        </w:rPr>
        <w:t>eporting</w:t>
      </w:r>
      <w:r w:rsidR="00CE42A1" w:rsidRPr="004C7203">
        <w:rPr>
          <w:rFonts w:asciiTheme="minorHAnsi" w:hAnsiTheme="minorHAnsi" w:cstheme="minorHAnsi"/>
          <w:b/>
          <w:sz w:val="22"/>
          <w:szCs w:val="22"/>
        </w:rPr>
        <w:t>:</w:t>
      </w:r>
    </w:p>
    <w:p w14:paraId="78D0CFAA" w14:textId="6D8D5FA6" w:rsidR="00D445E4" w:rsidRDefault="00D445E4" w:rsidP="004D3E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Walm</w:t>
      </w:r>
      <w:r w:rsidR="00451954">
        <w:rPr>
          <w:rFonts w:asciiTheme="minorHAnsi" w:hAnsiTheme="minorHAnsi" w:cstheme="minorHAnsi"/>
          <w:sz w:val="22"/>
          <w:szCs w:val="22"/>
        </w:rPr>
        <w:t>art,</w:t>
      </w:r>
      <w:r w:rsidR="00B83B22">
        <w:rPr>
          <w:rFonts w:asciiTheme="minorHAnsi" w:hAnsiTheme="minorHAnsi" w:cstheme="minorHAnsi"/>
          <w:sz w:val="22"/>
          <w:szCs w:val="22"/>
        </w:rPr>
        <w:t xml:space="preserve"> Sam’s Club, </w:t>
      </w:r>
      <w:r w:rsidR="00CE42A1" w:rsidRPr="007A2001">
        <w:rPr>
          <w:rFonts w:asciiTheme="minorHAnsi" w:hAnsiTheme="minorHAnsi" w:cstheme="minorHAnsi"/>
          <w:sz w:val="22"/>
          <w:szCs w:val="22"/>
        </w:rPr>
        <w:t>Target</w:t>
      </w:r>
      <w:r w:rsidR="00451954">
        <w:rPr>
          <w:rFonts w:asciiTheme="minorHAnsi" w:hAnsiTheme="minorHAnsi" w:cstheme="minorHAnsi"/>
          <w:sz w:val="22"/>
          <w:szCs w:val="22"/>
        </w:rPr>
        <w:t>, Best</w:t>
      </w:r>
      <w:r w:rsidR="00B83B22">
        <w:rPr>
          <w:rFonts w:asciiTheme="minorHAnsi" w:hAnsiTheme="minorHAnsi" w:cstheme="minorHAnsi"/>
          <w:sz w:val="22"/>
          <w:szCs w:val="22"/>
        </w:rPr>
        <w:t xml:space="preserve"> </w:t>
      </w:r>
      <w:r w:rsidR="00451954">
        <w:rPr>
          <w:rFonts w:asciiTheme="minorHAnsi" w:hAnsiTheme="minorHAnsi" w:cstheme="minorHAnsi"/>
          <w:sz w:val="22"/>
          <w:szCs w:val="22"/>
        </w:rPr>
        <w:t>Buy,</w:t>
      </w:r>
      <w:r w:rsidR="00CB5358">
        <w:rPr>
          <w:rFonts w:asciiTheme="minorHAnsi" w:hAnsiTheme="minorHAnsi" w:cstheme="minorHAnsi"/>
          <w:sz w:val="22"/>
          <w:szCs w:val="22"/>
        </w:rPr>
        <w:t xml:space="preserve"> Marshalls, TJ Maxx,</w:t>
      </w:r>
      <w:r w:rsidR="00451954">
        <w:rPr>
          <w:rFonts w:asciiTheme="minorHAnsi" w:hAnsiTheme="minorHAnsi" w:cstheme="minorHAnsi"/>
          <w:sz w:val="22"/>
          <w:szCs w:val="22"/>
        </w:rPr>
        <w:t xml:space="preserve"> </w:t>
      </w:r>
      <w:r w:rsidR="00B83B22">
        <w:rPr>
          <w:rFonts w:asciiTheme="minorHAnsi" w:hAnsiTheme="minorHAnsi" w:cstheme="minorHAnsi"/>
          <w:sz w:val="22"/>
          <w:szCs w:val="22"/>
        </w:rPr>
        <w:t>Weis Markets</w:t>
      </w:r>
      <w:r w:rsidR="00451954">
        <w:rPr>
          <w:rFonts w:asciiTheme="minorHAnsi" w:hAnsiTheme="minorHAnsi" w:cstheme="minorHAnsi"/>
          <w:sz w:val="22"/>
          <w:szCs w:val="22"/>
        </w:rPr>
        <w:t xml:space="preserve"> and Kohl’s</w:t>
      </w:r>
      <w:r w:rsidR="00CE42A1" w:rsidRPr="007A2001">
        <w:rPr>
          <w:rFonts w:asciiTheme="minorHAnsi" w:hAnsiTheme="minorHAnsi" w:cstheme="minorHAnsi"/>
          <w:sz w:val="22"/>
          <w:szCs w:val="22"/>
        </w:rPr>
        <w:t xml:space="preserve"> </w:t>
      </w:r>
      <w:r w:rsidR="00CE42A1" w:rsidRPr="00B83B22">
        <w:rPr>
          <w:rFonts w:asciiTheme="minorHAnsi" w:hAnsiTheme="minorHAnsi" w:cstheme="minorHAnsi"/>
          <w:sz w:val="22"/>
          <w:szCs w:val="22"/>
        </w:rPr>
        <w:t xml:space="preserve">provided </w:t>
      </w:r>
      <w:r w:rsidR="00A55498" w:rsidRPr="00B83B22">
        <w:rPr>
          <w:rFonts w:asciiTheme="minorHAnsi" w:hAnsiTheme="minorHAnsi" w:cstheme="minorHAnsi"/>
          <w:sz w:val="22"/>
          <w:szCs w:val="22"/>
        </w:rPr>
        <w:t>202</w:t>
      </w:r>
      <w:r w:rsidR="006F7125">
        <w:rPr>
          <w:rFonts w:asciiTheme="minorHAnsi" w:hAnsiTheme="minorHAnsi" w:cstheme="minorHAnsi"/>
          <w:sz w:val="22"/>
          <w:szCs w:val="22"/>
        </w:rPr>
        <w:t>3</w:t>
      </w:r>
      <w:r w:rsidRPr="00B83B22">
        <w:rPr>
          <w:rFonts w:asciiTheme="minorHAnsi" w:hAnsiTheme="minorHAnsi" w:cstheme="minorHAnsi"/>
          <w:sz w:val="22"/>
          <w:szCs w:val="22"/>
        </w:rPr>
        <w:t xml:space="preserve"> </w:t>
      </w:r>
      <w:r w:rsidR="00CE42A1" w:rsidRPr="00B83B22">
        <w:rPr>
          <w:rFonts w:asciiTheme="minorHAnsi" w:hAnsiTheme="minorHAnsi" w:cstheme="minorHAnsi"/>
          <w:sz w:val="22"/>
          <w:szCs w:val="22"/>
        </w:rPr>
        <w:t>recycling data fo</w:t>
      </w:r>
      <w:r w:rsidRPr="00B83B2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their Virginia stores to DEQ. </w:t>
      </w:r>
      <w:r w:rsidR="00CE42A1" w:rsidRPr="007A2001">
        <w:rPr>
          <w:rFonts w:asciiTheme="minorHAnsi" w:hAnsiTheme="minorHAnsi" w:cstheme="minorHAnsi"/>
          <w:sz w:val="22"/>
          <w:szCs w:val="22"/>
        </w:rPr>
        <w:t xml:space="preserve">This information was made available to all SWPUs on DEQ’s recycling webpage for inclusion in their recycling reporting. </w:t>
      </w:r>
      <w:r>
        <w:rPr>
          <w:rFonts w:asciiTheme="minorHAnsi" w:hAnsiTheme="minorHAnsi" w:cstheme="minorHAnsi"/>
          <w:sz w:val="22"/>
          <w:szCs w:val="22"/>
        </w:rPr>
        <w:t xml:space="preserve">Their reports can be found on the </w:t>
      </w:r>
      <w:hyperlink r:id="rId18" w:history="1">
        <w:r w:rsidR="00B83B22">
          <w:rPr>
            <w:rStyle w:val="Hyperlink"/>
            <w:rFonts w:asciiTheme="minorHAnsi" w:hAnsiTheme="minorHAnsi" w:cstheme="minorHAnsi"/>
            <w:sz w:val="22"/>
            <w:szCs w:val="22"/>
          </w:rPr>
          <w:t>DEQ Recycling Rate Report webpage</w:t>
        </w:r>
      </w:hyperlink>
      <w:r w:rsidR="004F5B0F">
        <w:rPr>
          <w:rFonts w:asciiTheme="minorHAnsi" w:hAnsiTheme="minorHAnsi" w:cstheme="minorHAnsi"/>
          <w:sz w:val="22"/>
          <w:szCs w:val="22"/>
        </w:rPr>
        <w:t>.</w:t>
      </w:r>
    </w:p>
    <w:sectPr w:rsidR="00D445E4" w:rsidSect="00AD64B9">
      <w:type w:val="continuous"/>
      <w:pgSz w:w="12240" w:h="15840" w:code="1"/>
      <w:pgMar w:top="1080" w:right="1080" w:bottom="108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1202" w14:textId="77777777" w:rsidR="008D6296" w:rsidRDefault="008D6296">
      <w:r>
        <w:separator/>
      </w:r>
    </w:p>
  </w:endnote>
  <w:endnote w:type="continuationSeparator" w:id="0">
    <w:p w14:paraId="1ACEBEDE" w14:textId="77777777" w:rsidR="008D6296" w:rsidRDefault="008D6296">
      <w:r>
        <w:continuationSeparator/>
      </w:r>
    </w:p>
  </w:endnote>
  <w:endnote w:type="continuationNotice" w:id="1">
    <w:p w14:paraId="3E6760B6" w14:textId="77777777" w:rsidR="008D6296" w:rsidRDefault="008D6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2724"/>
      <w:docPartObj>
        <w:docPartGallery w:val="Page Numbers (Bottom of Page)"/>
        <w:docPartUnique/>
      </w:docPartObj>
    </w:sdtPr>
    <w:sdtContent>
      <w:p w14:paraId="136B57DD" w14:textId="77777777" w:rsidR="001D10C9" w:rsidRDefault="001D1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67887" w14:textId="77777777" w:rsidR="001D10C9" w:rsidRDefault="001D10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1FF8" w14:textId="77777777" w:rsidR="008D6296" w:rsidRDefault="008D6296">
      <w:r>
        <w:separator/>
      </w:r>
    </w:p>
  </w:footnote>
  <w:footnote w:type="continuationSeparator" w:id="0">
    <w:p w14:paraId="1BA12971" w14:textId="77777777" w:rsidR="008D6296" w:rsidRDefault="008D6296">
      <w:r>
        <w:continuationSeparator/>
      </w:r>
    </w:p>
  </w:footnote>
  <w:footnote w:type="continuationNotice" w:id="1">
    <w:p w14:paraId="21E3F381" w14:textId="77777777" w:rsidR="008D6296" w:rsidRDefault="008D6296"/>
  </w:footnote>
  <w:footnote w:id="2">
    <w:p w14:paraId="79C38171" w14:textId="77777777" w:rsidR="00482D7F" w:rsidRPr="00A20137" w:rsidRDefault="00482D7F" w:rsidP="00482D7F">
      <w:pPr>
        <w:pStyle w:val="FootnoteText"/>
        <w:jc w:val="both"/>
        <w:rPr>
          <w:rFonts w:asciiTheme="minorHAnsi" w:hAnsiTheme="minorHAnsi"/>
          <w:i/>
        </w:rPr>
      </w:pPr>
      <w:r w:rsidRPr="00A20137">
        <w:rPr>
          <w:rStyle w:val="FootnoteReference"/>
          <w:rFonts w:asciiTheme="minorHAnsi" w:hAnsiTheme="minorHAnsi"/>
        </w:rPr>
        <w:footnoteRef/>
      </w:r>
      <w:r w:rsidRPr="00A20137">
        <w:rPr>
          <w:rFonts w:asciiTheme="minorHAnsi" w:hAnsiTheme="minorHAnsi"/>
        </w:rPr>
        <w:t xml:space="preserve"> </w:t>
      </w:r>
      <w:r w:rsidRPr="00A20137">
        <w:rPr>
          <w:rFonts w:asciiTheme="minorHAnsi" w:hAnsiTheme="minorHAnsi"/>
          <w:i/>
        </w:rPr>
        <w:t>Virginia Code §10.1-1411 was amended by legislation introduced during the 2012 Session of the Virginia General Assembly and requires annual recycling rate reporting by each SWPU or locality with a population of greater than 100,000 according to the most recent U.S. Census. Each SWPU or locality with a population of 100,000 or less according to the most recent U.S. Census must submit a recycling survey report once every four years.  Planning units in this latter category will next report in 20</w:t>
      </w:r>
      <w:r>
        <w:rPr>
          <w:rFonts w:asciiTheme="minorHAnsi" w:hAnsiTheme="minorHAnsi"/>
          <w:i/>
        </w:rPr>
        <w:t>25</w:t>
      </w:r>
      <w:r w:rsidRPr="00A20137">
        <w:rPr>
          <w:rFonts w:asciiTheme="minorHAnsi" w:hAnsiTheme="minorHAnsi"/>
          <w:i/>
        </w:rPr>
        <w:t xml:space="preserve"> for calendar year 20</w:t>
      </w:r>
      <w:r>
        <w:rPr>
          <w:rFonts w:asciiTheme="minorHAnsi" w:hAnsiTheme="minorHAnsi"/>
          <w:i/>
        </w:rPr>
        <w:t>24</w:t>
      </w:r>
      <w:r w:rsidRPr="00A20137">
        <w:rPr>
          <w:rFonts w:asciiTheme="minorHAnsi" w:hAnsiTheme="minorHAnsi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454C"/>
    <w:multiLevelType w:val="hybridMultilevel"/>
    <w:tmpl w:val="8B7A5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47992"/>
    <w:multiLevelType w:val="hybridMultilevel"/>
    <w:tmpl w:val="6098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1D8A"/>
    <w:multiLevelType w:val="hybridMultilevel"/>
    <w:tmpl w:val="B692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8F3"/>
    <w:multiLevelType w:val="hybridMultilevel"/>
    <w:tmpl w:val="CEB21620"/>
    <w:lvl w:ilvl="0" w:tplc="1E9CC1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576C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5662CA"/>
    <w:multiLevelType w:val="hybridMultilevel"/>
    <w:tmpl w:val="0B0076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4C0BF1"/>
    <w:multiLevelType w:val="hybridMultilevel"/>
    <w:tmpl w:val="B864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77C9B"/>
    <w:multiLevelType w:val="hybridMultilevel"/>
    <w:tmpl w:val="7CBEE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D079D0"/>
    <w:multiLevelType w:val="hybridMultilevel"/>
    <w:tmpl w:val="F782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56793"/>
    <w:multiLevelType w:val="hybridMultilevel"/>
    <w:tmpl w:val="A0AC64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163FD9"/>
    <w:multiLevelType w:val="hybridMultilevel"/>
    <w:tmpl w:val="5FEEA234"/>
    <w:lvl w:ilvl="0" w:tplc="1CB259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F22E9E"/>
    <w:multiLevelType w:val="hybridMultilevel"/>
    <w:tmpl w:val="25687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917462">
    <w:abstractNumId w:val="4"/>
  </w:num>
  <w:num w:numId="2" w16cid:durableId="1425808729">
    <w:abstractNumId w:val="3"/>
  </w:num>
  <w:num w:numId="3" w16cid:durableId="1507087468">
    <w:abstractNumId w:val="5"/>
  </w:num>
  <w:num w:numId="4" w16cid:durableId="127629577">
    <w:abstractNumId w:val="8"/>
  </w:num>
  <w:num w:numId="5" w16cid:durableId="312372557">
    <w:abstractNumId w:val="11"/>
  </w:num>
  <w:num w:numId="6" w16cid:durableId="1308125711">
    <w:abstractNumId w:val="9"/>
  </w:num>
  <w:num w:numId="7" w16cid:durableId="1296252451">
    <w:abstractNumId w:val="0"/>
  </w:num>
  <w:num w:numId="8" w16cid:durableId="1732924382">
    <w:abstractNumId w:val="7"/>
  </w:num>
  <w:num w:numId="9" w16cid:durableId="2134060096">
    <w:abstractNumId w:val="10"/>
  </w:num>
  <w:num w:numId="10" w16cid:durableId="538012736">
    <w:abstractNumId w:val="2"/>
  </w:num>
  <w:num w:numId="11" w16cid:durableId="1244604021">
    <w:abstractNumId w:val="1"/>
  </w:num>
  <w:num w:numId="12" w16cid:durableId="846947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7D"/>
    <w:rsid w:val="00003881"/>
    <w:rsid w:val="00003956"/>
    <w:rsid w:val="00005479"/>
    <w:rsid w:val="00011FA1"/>
    <w:rsid w:val="0001289F"/>
    <w:rsid w:val="00012ABB"/>
    <w:rsid w:val="00014FA5"/>
    <w:rsid w:val="00017881"/>
    <w:rsid w:val="00017F52"/>
    <w:rsid w:val="0002018F"/>
    <w:rsid w:val="00020C0D"/>
    <w:rsid w:val="0002259B"/>
    <w:rsid w:val="000241FC"/>
    <w:rsid w:val="000271CF"/>
    <w:rsid w:val="0002728D"/>
    <w:rsid w:val="00030206"/>
    <w:rsid w:val="0003360A"/>
    <w:rsid w:val="00033BA6"/>
    <w:rsid w:val="00034051"/>
    <w:rsid w:val="00034A2A"/>
    <w:rsid w:val="00034CC4"/>
    <w:rsid w:val="0003574E"/>
    <w:rsid w:val="000361D3"/>
    <w:rsid w:val="000364AF"/>
    <w:rsid w:val="00036696"/>
    <w:rsid w:val="000403D4"/>
    <w:rsid w:val="00040ADE"/>
    <w:rsid w:val="00042B92"/>
    <w:rsid w:val="00043C4F"/>
    <w:rsid w:val="00043FA5"/>
    <w:rsid w:val="00044C1F"/>
    <w:rsid w:val="000474AE"/>
    <w:rsid w:val="00047E48"/>
    <w:rsid w:val="000505C4"/>
    <w:rsid w:val="00051102"/>
    <w:rsid w:val="0005115A"/>
    <w:rsid w:val="00051AFB"/>
    <w:rsid w:val="0005462F"/>
    <w:rsid w:val="000551DB"/>
    <w:rsid w:val="0005628B"/>
    <w:rsid w:val="00056431"/>
    <w:rsid w:val="00056BD8"/>
    <w:rsid w:val="000616CD"/>
    <w:rsid w:val="000632C5"/>
    <w:rsid w:val="00064347"/>
    <w:rsid w:val="00066860"/>
    <w:rsid w:val="0007147A"/>
    <w:rsid w:val="00071FF4"/>
    <w:rsid w:val="00072058"/>
    <w:rsid w:val="000734D9"/>
    <w:rsid w:val="00073CC6"/>
    <w:rsid w:val="0007437D"/>
    <w:rsid w:val="000754AF"/>
    <w:rsid w:val="00075C86"/>
    <w:rsid w:val="00075C9B"/>
    <w:rsid w:val="0007621D"/>
    <w:rsid w:val="000765B0"/>
    <w:rsid w:val="000772FB"/>
    <w:rsid w:val="00077C6E"/>
    <w:rsid w:val="00080B46"/>
    <w:rsid w:val="0008344C"/>
    <w:rsid w:val="00085199"/>
    <w:rsid w:val="0008670D"/>
    <w:rsid w:val="0009045E"/>
    <w:rsid w:val="0009309D"/>
    <w:rsid w:val="0009411D"/>
    <w:rsid w:val="00095D38"/>
    <w:rsid w:val="000979FA"/>
    <w:rsid w:val="00097A86"/>
    <w:rsid w:val="00097D89"/>
    <w:rsid w:val="000A0526"/>
    <w:rsid w:val="000A1366"/>
    <w:rsid w:val="000A2E7A"/>
    <w:rsid w:val="000A2F87"/>
    <w:rsid w:val="000A340C"/>
    <w:rsid w:val="000A3CA3"/>
    <w:rsid w:val="000A573C"/>
    <w:rsid w:val="000A5EE9"/>
    <w:rsid w:val="000A6346"/>
    <w:rsid w:val="000A6CAA"/>
    <w:rsid w:val="000B4202"/>
    <w:rsid w:val="000B550B"/>
    <w:rsid w:val="000B6859"/>
    <w:rsid w:val="000B6C25"/>
    <w:rsid w:val="000C4BDF"/>
    <w:rsid w:val="000C5CAC"/>
    <w:rsid w:val="000C607A"/>
    <w:rsid w:val="000C6724"/>
    <w:rsid w:val="000C70B3"/>
    <w:rsid w:val="000C70F4"/>
    <w:rsid w:val="000D16C4"/>
    <w:rsid w:val="000D3330"/>
    <w:rsid w:val="000D4733"/>
    <w:rsid w:val="000D4A29"/>
    <w:rsid w:val="000D60FD"/>
    <w:rsid w:val="000D76C9"/>
    <w:rsid w:val="000E3586"/>
    <w:rsid w:val="000E37A7"/>
    <w:rsid w:val="000E3940"/>
    <w:rsid w:val="000E6173"/>
    <w:rsid w:val="000E752B"/>
    <w:rsid w:val="000E7AD0"/>
    <w:rsid w:val="000F00A3"/>
    <w:rsid w:val="000F0101"/>
    <w:rsid w:val="000F110D"/>
    <w:rsid w:val="000F1EE5"/>
    <w:rsid w:val="000F54C1"/>
    <w:rsid w:val="00101BD4"/>
    <w:rsid w:val="00102B89"/>
    <w:rsid w:val="0010303A"/>
    <w:rsid w:val="001035C8"/>
    <w:rsid w:val="001036A7"/>
    <w:rsid w:val="00105608"/>
    <w:rsid w:val="00107415"/>
    <w:rsid w:val="001135A1"/>
    <w:rsid w:val="001139B3"/>
    <w:rsid w:val="00114CD9"/>
    <w:rsid w:val="001155A8"/>
    <w:rsid w:val="00115BBE"/>
    <w:rsid w:val="00120B82"/>
    <w:rsid w:val="00121781"/>
    <w:rsid w:val="00125BBA"/>
    <w:rsid w:val="00130F95"/>
    <w:rsid w:val="00131075"/>
    <w:rsid w:val="0013229C"/>
    <w:rsid w:val="00133649"/>
    <w:rsid w:val="00135B54"/>
    <w:rsid w:val="001403E5"/>
    <w:rsid w:val="00140A44"/>
    <w:rsid w:val="001415BF"/>
    <w:rsid w:val="0014272D"/>
    <w:rsid w:val="00142AD0"/>
    <w:rsid w:val="00142E1D"/>
    <w:rsid w:val="00143BBF"/>
    <w:rsid w:val="00144BE2"/>
    <w:rsid w:val="00146262"/>
    <w:rsid w:val="00151077"/>
    <w:rsid w:val="00151EE3"/>
    <w:rsid w:val="00152796"/>
    <w:rsid w:val="00152CF0"/>
    <w:rsid w:val="001579A7"/>
    <w:rsid w:val="00161294"/>
    <w:rsid w:val="0016260F"/>
    <w:rsid w:val="00163FB0"/>
    <w:rsid w:val="0016492A"/>
    <w:rsid w:val="0016565D"/>
    <w:rsid w:val="00165B5A"/>
    <w:rsid w:val="00166CFB"/>
    <w:rsid w:val="00167DAB"/>
    <w:rsid w:val="00170F8A"/>
    <w:rsid w:val="00174F04"/>
    <w:rsid w:val="001775BA"/>
    <w:rsid w:val="00182209"/>
    <w:rsid w:val="0018234C"/>
    <w:rsid w:val="0018334F"/>
    <w:rsid w:val="0018408C"/>
    <w:rsid w:val="001878A0"/>
    <w:rsid w:val="00191A42"/>
    <w:rsid w:val="00192087"/>
    <w:rsid w:val="001928F6"/>
    <w:rsid w:val="00193094"/>
    <w:rsid w:val="0019457E"/>
    <w:rsid w:val="0019527C"/>
    <w:rsid w:val="00196FFD"/>
    <w:rsid w:val="001A2113"/>
    <w:rsid w:val="001A229A"/>
    <w:rsid w:val="001A345F"/>
    <w:rsid w:val="001A5F7A"/>
    <w:rsid w:val="001A7021"/>
    <w:rsid w:val="001B346D"/>
    <w:rsid w:val="001B37BF"/>
    <w:rsid w:val="001B60E8"/>
    <w:rsid w:val="001B776A"/>
    <w:rsid w:val="001C01F6"/>
    <w:rsid w:val="001C05E1"/>
    <w:rsid w:val="001C2A0E"/>
    <w:rsid w:val="001C33C1"/>
    <w:rsid w:val="001C36DE"/>
    <w:rsid w:val="001C3D9E"/>
    <w:rsid w:val="001C4385"/>
    <w:rsid w:val="001C5C1F"/>
    <w:rsid w:val="001D10C9"/>
    <w:rsid w:val="001D201D"/>
    <w:rsid w:val="001D2D7F"/>
    <w:rsid w:val="001D375C"/>
    <w:rsid w:val="001D4922"/>
    <w:rsid w:val="001D5596"/>
    <w:rsid w:val="001D5DAE"/>
    <w:rsid w:val="001D60EB"/>
    <w:rsid w:val="001D61BF"/>
    <w:rsid w:val="001D6649"/>
    <w:rsid w:val="001D7BA2"/>
    <w:rsid w:val="001E0D43"/>
    <w:rsid w:val="001E234E"/>
    <w:rsid w:val="001E245F"/>
    <w:rsid w:val="001E47B0"/>
    <w:rsid w:val="001E4A2C"/>
    <w:rsid w:val="001E629E"/>
    <w:rsid w:val="001E708E"/>
    <w:rsid w:val="001E7627"/>
    <w:rsid w:val="001E7721"/>
    <w:rsid w:val="001E7AAB"/>
    <w:rsid w:val="001F099F"/>
    <w:rsid w:val="001F0AB0"/>
    <w:rsid w:val="001F0E4C"/>
    <w:rsid w:val="001F1F8C"/>
    <w:rsid w:val="001F22AF"/>
    <w:rsid w:val="001F363F"/>
    <w:rsid w:val="001F4421"/>
    <w:rsid w:val="001F4B6F"/>
    <w:rsid w:val="001F5A37"/>
    <w:rsid w:val="001F6A8C"/>
    <w:rsid w:val="001F6B79"/>
    <w:rsid w:val="001F7812"/>
    <w:rsid w:val="001F79E1"/>
    <w:rsid w:val="002007F8"/>
    <w:rsid w:val="002033D2"/>
    <w:rsid w:val="002033D7"/>
    <w:rsid w:val="002038C2"/>
    <w:rsid w:val="002043F7"/>
    <w:rsid w:val="002078E4"/>
    <w:rsid w:val="002111D6"/>
    <w:rsid w:val="0021227C"/>
    <w:rsid w:val="00212ADD"/>
    <w:rsid w:val="00213411"/>
    <w:rsid w:val="00213C40"/>
    <w:rsid w:val="00213F0B"/>
    <w:rsid w:val="0021564A"/>
    <w:rsid w:val="002163B7"/>
    <w:rsid w:val="00222B90"/>
    <w:rsid w:val="00222CEA"/>
    <w:rsid w:val="00227861"/>
    <w:rsid w:val="00230B41"/>
    <w:rsid w:val="0023240C"/>
    <w:rsid w:val="00232AED"/>
    <w:rsid w:val="002331B4"/>
    <w:rsid w:val="00233B3E"/>
    <w:rsid w:val="0023412C"/>
    <w:rsid w:val="002341F7"/>
    <w:rsid w:val="00235DEA"/>
    <w:rsid w:val="00235E75"/>
    <w:rsid w:val="002362A1"/>
    <w:rsid w:val="00236928"/>
    <w:rsid w:val="00236ACE"/>
    <w:rsid w:val="0024108E"/>
    <w:rsid w:val="0024174F"/>
    <w:rsid w:val="00242842"/>
    <w:rsid w:val="00242F3F"/>
    <w:rsid w:val="002430DC"/>
    <w:rsid w:val="0024401B"/>
    <w:rsid w:val="00244217"/>
    <w:rsid w:val="00244D5A"/>
    <w:rsid w:val="0024525D"/>
    <w:rsid w:val="00245CD9"/>
    <w:rsid w:val="0024731A"/>
    <w:rsid w:val="002518F4"/>
    <w:rsid w:val="00252229"/>
    <w:rsid w:val="002562BE"/>
    <w:rsid w:val="0026051B"/>
    <w:rsid w:val="00260B4A"/>
    <w:rsid w:val="00262057"/>
    <w:rsid w:val="002626CA"/>
    <w:rsid w:val="0026286E"/>
    <w:rsid w:val="00264494"/>
    <w:rsid w:val="00264B9E"/>
    <w:rsid w:val="002657CE"/>
    <w:rsid w:val="00266BA4"/>
    <w:rsid w:val="00267586"/>
    <w:rsid w:val="002705F5"/>
    <w:rsid w:val="00274C03"/>
    <w:rsid w:val="00277380"/>
    <w:rsid w:val="00277D0E"/>
    <w:rsid w:val="00277DC6"/>
    <w:rsid w:val="00277E2D"/>
    <w:rsid w:val="0028210F"/>
    <w:rsid w:val="0028277B"/>
    <w:rsid w:val="00282F42"/>
    <w:rsid w:val="00284BD4"/>
    <w:rsid w:val="00285038"/>
    <w:rsid w:val="002901E4"/>
    <w:rsid w:val="0029137F"/>
    <w:rsid w:val="002918E1"/>
    <w:rsid w:val="0029211D"/>
    <w:rsid w:val="0029257C"/>
    <w:rsid w:val="00293C87"/>
    <w:rsid w:val="00294505"/>
    <w:rsid w:val="00294CDA"/>
    <w:rsid w:val="002966F5"/>
    <w:rsid w:val="00296FB3"/>
    <w:rsid w:val="002970E1"/>
    <w:rsid w:val="0029722E"/>
    <w:rsid w:val="002A07F0"/>
    <w:rsid w:val="002A294F"/>
    <w:rsid w:val="002A3FAF"/>
    <w:rsid w:val="002A4B72"/>
    <w:rsid w:val="002A5406"/>
    <w:rsid w:val="002A5D86"/>
    <w:rsid w:val="002A6678"/>
    <w:rsid w:val="002A7484"/>
    <w:rsid w:val="002A7742"/>
    <w:rsid w:val="002B1868"/>
    <w:rsid w:val="002B1919"/>
    <w:rsid w:val="002B25D2"/>
    <w:rsid w:val="002B2B3E"/>
    <w:rsid w:val="002B3327"/>
    <w:rsid w:val="002B5FD1"/>
    <w:rsid w:val="002B6B6E"/>
    <w:rsid w:val="002B780F"/>
    <w:rsid w:val="002C0378"/>
    <w:rsid w:val="002C19E3"/>
    <w:rsid w:val="002C32DE"/>
    <w:rsid w:val="002C33F1"/>
    <w:rsid w:val="002C41A8"/>
    <w:rsid w:val="002C7DEF"/>
    <w:rsid w:val="002D0994"/>
    <w:rsid w:val="002D0FAD"/>
    <w:rsid w:val="002D20EC"/>
    <w:rsid w:val="002D2830"/>
    <w:rsid w:val="002D2964"/>
    <w:rsid w:val="002D33CF"/>
    <w:rsid w:val="002D37D9"/>
    <w:rsid w:val="002D4298"/>
    <w:rsid w:val="002D447A"/>
    <w:rsid w:val="002D496C"/>
    <w:rsid w:val="002D5B85"/>
    <w:rsid w:val="002D5EB8"/>
    <w:rsid w:val="002D7A8E"/>
    <w:rsid w:val="002D7D58"/>
    <w:rsid w:val="002D7EF9"/>
    <w:rsid w:val="002E030E"/>
    <w:rsid w:val="002E0541"/>
    <w:rsid w:val="002E2FEC"/>
    <w:rsid w:val="002E5AA5"/>
    <w:rsid w:val="002F28D4"/>
    <w:rsid w:val="002F3B6F"/>
    <w:rsid w:val="002F44CF"/>
    <w:rsid w:val="002F4A30"/>
    <w:rsid w:val="002F5276"/>
    <w:rsid w:val="002F5B1D"/>
    <w:rsid w:val="002F708C"/>
    <w:rsid w:val="002F71E4"/>
    <w:rsid w:val="002F74A4"/>
    <w:rsid w:val="00302EEF"/>
    <w:rsid w:val="0030415E"/>
    <w:rsid w:val="0030529E"/>
    <w:rsid w:val="00305CA7"/>
    <w:rsid w:val="00307063"/>
    <w:rsid w:val="0031062E"/>
    <w:rsid w:val="00310A3F"/>
    <w:rsid w:val="003119D2"/>
    <w:rsid w:val="00312202"/>
    <w:rsid w:val="00312342"/>
    <w:rsid w:val="00314330"/>
    <w:rsid w:val="0031710A"/>
    <w:rsid w:val="003178D6"/>
    <w:rsid w:val="00317907"/>
    <w:rsid w:val="003211D3"/>
    <w:rsid w:val="003212D7"/>
    <w:rsid w:val="00321865"/>
    <w:rsid w:val="00321DB3"/>
    <w:rsid w:val="00322B0C"/>
    <w:rsid w:val="00323C06"/>
    <w:rsid w:val="00325A4F"/>
    <w:rsid w:val="003263A8"/>
    <w:rsid w:val="0032663E"/>
    <w:rsid w:val="003272DE"/>
    <w:rsid w:val="003275DA"/>
    <w:rsid w:val="0033135E"/>
    <w:rsid w:val="0033221D"/>
    <w:rsid w:val="003332AB"/>
    <w:rsid w:val="00335D5F"/>
    <w:rsid w:val="00342053"/>
    <w:rsid w:val="003440C5"/>
    <w:rsid w:val="003444FC"/>
    <w:rsid w:val="003460B3"/>
    <w:rsid w:val="003463E8"/>
    <w:rsid w:val="003505D3"/>
    <w:rsid w:val="00350C16"/>
    <w:rsid w:val="003513EA"/>
    <w:rsid w:val="00352B1D"/>
    <w:rsid w:val="0035320C"/>
    <w:rsid w:val="0035697F"/>
    <w:rsid w:val="003604F8"/>
    <w:rsid w:val="00360BCC"/>
    <w:rsid w:val="00360CCD"/>
    <w:rsid w:val="0036100C"/>
    <w:rsid w:val="00361265"/>
    <w:rsid w:val="003618B5"/>
    <w:rsid w:val="003620ED"/>
    <w:rsid w:val="00363F47"/>
    <w:rsid w:val="00364224"/>
    <w:rsid w:val="00364A34"/>
    <w:rsid w:val="00365ACD"/>
    <w:rsid w:val="003670C7"/>
    <w:rsid w:val="00367D01"/>
    <w:rsid w:val="0037081F"/>
    <w:rsid w:val="00370C4D"/>
    <w:rsid w:val="0037182A"/>
    <w:rsid w:val="003726E3"/>
    <w:rsid w:val="003731C4"/>
    <w:rsid w:val="00373293"/>
    <w:rsid w:val="00374678"/>
    <w:rsid w:val="00377696"/>
    <w:rsid w:val="00377F8E"/>
    <w:rsid w:val="0038016B"/>
    <w:rsid w:val="0038198E"/>
    <w:rsid w:val="0038231F"/>
    <w:rsid w:val="0038428C"/>
    <w:rsid w:val="003849B5"/>
    <w:rsid w:val="00385A96"/>
    <w:rsid w:val="003876CC"/>
    <w:rsid w:val="00391797"/>
    <w:rsid w:val="00393497"/>
    <w:rsid w:val="003956E3"/>
    <w:rsid w:val="0039613A"/>
    <w:rsid w:val="00396C82"/>
    <w:rsid w:val="003978F9"/>
    <w:rsid w:val="003A261D"/>
    <w:rsid w:val="003A29F2"/>
    <w:rsid w:val="003A2AA0"/>
    <w:rsid w:val="003A536D"/>
    <w:rsid w:val="003A7496"/>
    <w:rsid w:val="003A7B39"/>
    <w:rsid w:val="003B1E30"/>
    <w:rsid w:val="003B4482"/>
    <w:rsid w:val="003B7A73"/>
    <w:rsid w:val="003C1199"/>
    <w:rsid w:val="003C1834"/>
    <w:rsid w:val="003C1EF6"/>
    <w:rsid w:val="003C3210"/>
    <w:rsid w:val="003C3E4F"/>
    <w:rsid w:val="003C4894"/>
    <w:rsid w:val="003C561D"/>
    <w:rsid w:val="003C57AB"/>
    <w:rsid w:val="003C6353"/>
    <w:rsid w:val="003C6846"/>
    <w:rsid w:val="003C720E"/>
    <w:rsid w:val="003C73F3"/>
    <w:rsid w:val="003C766C"/>
    <w:rsid w:val="003D0B0C"/>
    <w:rsid w:val="003D13C8"/>
    <w:rsid w:val="003D4E23"/>
    <w:rsid w:val="003D6131"/>
    <w:rsid w:val="003D62EC"/>
    <w:rsid w:val="003D759B"/>
    <w:rsid w:val="003E05FB"/>
    <w:rsid w:val="003E1EF9"/>
    <w:rsid w:val="003E2C90"/>
    <w:rsid w:val="003E2DDD"/>
    <w:rsid w:val="003E717C"/>
    <w:rsid w:val="003F1504"/>
    <w:rsid w:val="003F21A9"/>
    <w:rsid w:val="003F2536"/>
    <w:rsid w:val="003F30B9"/>
    <w:rsid w:val="003F3370"/>
    <w:rsid w:val="003F427B"/>
    <w:rsid w:val="003F4304"/>
    <w:rsid w:val="003F5607"/>
    <w:rsid w:val="003F5E75"/>
    <w:rsid w:val="003F734B"/>
    <w:rsid w:val="00401009"/>
    <w:rsid w:val="00401CF4"/>
    <w:rsid w:val="00401EB9"/>
    <w:rsid w:val="004047BC"/>
    <w:rsid w:val="00406AB7"/>
    <w:rsid w:val="00407A0F"/>
    <w:rsid w:val="0041158D"/>
    <w:rsid w:val="00411B08"/>
    <w:rsid w:val="004133D8"/>
    <w:rsid w:val="00413EEF"/>
    <w:rsid w:val="00414BB5"/>
    <w:rsid w:val="0041522C"/>
    <w:rsid w:val="00417721"/>
    <w:rsid w:val="00420A09"/>
    <w:rsid w:val="00420C6B"/>
    <w:rsid w:val="00423AA6"/>
    <w:rsid w:val="00424114"/>
    <w:rsid w:val="00424339"/>
    <w:rsid w:val="00424F33"/>
    <w:rsid w:val="0042554C"/>
    <w:rsid w:val="00426C65"/>
    <w:rsid w:val="00426EC5"/>
    <w:rsid w:val="0042723A"/>
    <w:rsid w:val="00431A24"/>
    <w:rsid w:val="00431C93"/>
    <w:rsid w:val="00431ED8"/>
    <w:rsid w:val="00432538"/>
    <w:rsid w:val="00433C04"/>
    <w:rsid w:val="004345D3"/>
    <w:rsid w:val="00434B1D"/>
    <w:rsid w:val="00434D34"/>
    <w:rsid w:val="004350FC"/>
    <w:rsid w:val="004365AB"/>
    <w:rsid w:val="00437877"/>
    <w:rsid w:val="004406A2"/>
    <w:rsid w:val="00441397"/>
    <w:rsid w:val="00441DDE"/>
    <w:rsid w:val="0044249F"/>
    <w:rsid w:val="00444807"/>
    <w:rsid w:val="00444D08"/>
    <w:rsid w:val="004450AA"/>
    <w:rsid w:val="004454AB"/>
    <w:rsid w:val="00447F94"/>
    <w:rsid w:val="00450D8F"/>
    <w:rsid w:val="00451954"/>
    <w:rsid w:val="004519A9"/>
    <w:rsid w:val="00455978"/>
    <w:rsid w:val="00456AE1"/>
    <w:rsid w:val="00457A30"/>
    <w:rsid w:val="00460C2C"/>
    <w:rsid w:val="004620AC"/>
    <w:rsid w:val="00462AAE"/>
    <w:rsid w:val="004630B0"/>
    <w:rsid w:val="00464313"/>
    <w:rsid w:val="00464F8D"/>
    <w:rsid w:val="00466170"/>
    <w:rsid w:val="00466E6B"/>
    <w:rsid w:val="00471C4B"/>
    <w:rsid w:val="004730E8"/>
    <w:rsid w:val="004732F5"/>
    <w:rsid w:val="004741A2"/>
    <w:rsid w:val="004779AF"/>
    <w:rsid w:val="00481349"/>
    <w:rsid w:val="00482D7F"/>
    <w:rsid w:val="00483DA7"/>
    <w:rsid w:val="004856D7"/>
    <w:rsid w:val="00487423"/>
    <w:rsid w:val="0049027B"/>
    <w:rsid w:val="004912DB"/>
    <w:rsid w:val="004921A5"/>
    <w:rsid w:val="004927D2"/>
    <w:rsid w:val="004933F3"/>
    <w:rsid w:val="00493889"/>
    <w:rsid w:val="004943C9"/>
    <w:rsid w:val="00494412"/>
    <w:rsid w:val="00495765"/>
    <w:rsid w:val="00495915"/>
    <w:rsid w:val="004965D4"/>
    <w:rsid w:val="004A0EC6"/>
    <w:rsid w:val="004A27CE"/>
    <w:rsid w:val="004A324E"/>
    <w:rsid w:val="004A33F7"/>
    <w:rsid w:val="004A4F5F"/>
    <w:rsid w:val="004A589F"/>
    <w:rsid w:val="004B05E5"/>
    <w:rsid w:val="004B092E"/>
    <w:rsid w:val="004B0D43"/>
    <w:rsid w:val="004B1BDA"/>
    <w:rsid w:val="004B2FCA"/>
    <w:rsid w:val="004B3A81"/>
    <w:rsid w:val="004B6186"/>
    <w:rsid w:val="004B752E"/>
    <w:rsid w:val="004C1EAA"/>
    <w:rsid w:val="004C43E8"/>
    <w:rsid w:val="004C5051"/>
    <w:rsid w:val="004C53C6"/>
    <w:rsid w:val="004C59A5"/>
    <w:rsid w:val="004C5AE2"/>
    <w:rsid w:val="004C5C63"/>
    <w:rsid w:val="004C7203"/>
    <w:rsid w:val="004C75B7"/>
    <w:rsid w:val="004D01E4"/>
    <w:rsid w:val="004D298C"/>
    <w:rsid w:val="004D3E55"/>
    <w:rsid w:val="004D52C6"/>
    <w:rsid w:val="004E0D6D"/>
    <w:rsid w:val="004E20A5"/>
    <w:rsid w:val="004E2463"/>
    <w:rsid w:val="004E4487"/>
    <w:rsid w:val="004E6AAA"/>
    <w:rsid w:val="004F5B0F"/>
    <w:rsid w:val="004F5F52"/>
    <w:rsid w:val="004F6C67"/>
    <w:rsid w:val="004F76D3"/>
    <w:rsid w:val="00500C1E"/>
    <w:rsid w:val="0050305B"/>
    <w:rsid w:val="00504427"/>
    <w:rsid w:val="00504693"/>
    <w:rsid w:val="00504A2B"/>
    <w:rsid w:val="00504D90"/>
    <w:rsid w:val="00506046"/>
    <w:rsid w:val="00506A8C"/>
    <w:rsid w:val="005071C6"/>
    <w:rsid w:val="005077E6"/>
    <w:rsid w:val="00510E5F"/>
    <w:rsid w:val="0051192A"/>
    <w:rsid w:val="005123D6"/>
    <w:rsid w:val="0051277B"/>
    <w:rsid w:val="00512FDA"/>
    <w:rsid w:val="00513EC6"/>
    <w:rsid w:val="00513F55"/>
    <w:rsid w:val="005141B6"/>
    <w:rsid w:val="005158E9"/>
    <w:rsid w:val="00516330"/>
    <w:rsid w:val="005218F8"/>
    <w:rsid w:val="00522C15"/>
    <w:rsid w:val="00522C26"/>
    <w:rsid w:val="0052337E"/>
    <w:rsid w:val="005244EB"/>
    <w:rsid w:val="0052507B"/>
    <w:rsid w:val="005252DE"/>
    <w:rsid w:val="00525D4A"/>
    <w:rsid w:val="0052615D"/>
    <w:rsid w:val="00526C84"/>
    <w:rsid w:val="00526ECA"/>
    <w:rsid w:val="0052741D"/>
    <w:rsid w:val="00530237"/>
    <w:rsid w:val="0053486A"/>
    <w:rsid w:val="00534D70"/>
    <w:rsid w:val="00537BA7"/>
    <w:rsid w:val="00541383"/>
    <w:rsid w:val="0054472A"/>
    <w:rsid w:val="00544F39"/>
    <w:rsid w:val="0054599C"/>
    <w:rsid w:val="0054623C"/>
    <w:rsid w:val="0055021A"/>
    <w:rsid w:val="00550C8A"/>
    <w:rsid w:val="00551E93"/>
    <w:rsid w:val="00552066"/>
    <w:rsid w:val="005528E7"/>
    <w:rsid w:val="005532C8"/>
    <w:rsid w:val="00553B46"/>
    <w:rsid w:val="00556A76"/>
    <w:rsid w:val="00556AFF"/>
    <w:rsid w:val="00556DFE"/>
    <w:rsid w:val="00560E12"/>
    <w:rsid w:val="00560EE4"/>
    <w:rsid w:val="005619CA"/>
    <w:rsid w:val="0056387D"/>
    <w:rsid w:val="005644E9"/>
    <w:rsid w:val="00564EF0"/>
    <w:rsid w:val="0056506D"/>
    <w:rsid w:val="005661F8"/>
    <w:rsid w:val="00572D0C"/>
    <w:rsid w:val="0057414B"/>
    <w:rsid w:val="00581CC1"/>
    <w:rsid w:val="00583626"/>
    <w:rsid w:val="00583B20"/>
    <w:rsid w:val="00584315"/>
    <w:rsid w:val="005846BA"/>
    <w:rsid w:val="005865B8"/>
    <w:rsid w:val="005872A2"/>
    <w:rsid w:val="0059003E"/>
    <w:rsid w:val="005911E9"/>
    <w:rsid w:val="00594073"/>
    <w:rsid w:val="005950E9"/>
    <w:rsid w:val="005951A6"/>
    <w:rsid w:val="00597CC4"/>
    <w:rsid w:val="00597EEA"/>
    <w:rsid w:val="005A034C"/>
    <w:rsid w:val="005A3263"/>
    <w:rsid w:val="005A37BF"/>
    <w:rsid w:val="005A4024"/>
    <w:rsid w:val="005A4082"/>
    <w:rsid w:val="005A62D7"/>
    <w:rsid w:val="005A7F38"/>
    <w:rsid w:val="005B048E"/>
    <w:rsid w:val="005B1EA2"/>
    <w:rsid w:val="005B1EB6"/>
    <w:rsid w:val="005B2CD4"/>
    <w:rsid w:val="005B385E"/>
    <w:rsid w:val="005C11FA"/>
    <w:rsid w:val="005C3D77"/>
    <w:rsid w:val="005C5B42"/>
    <w:rsid w:val="005C73C2"/>
    <w:rsid w:val="005D125C"/>
    <w:rsid w:val="005D4E44"/>
    <w:rsid w:val="005D4E92"/>
    <w:rsid w:val="005D5855"/>
    <w:rsid w:val="005D7A15"/>
    <w:rsid w:val="005E1121"/>
    <w:rsid w:val="005E1F69"/>
    <w:rsid w:val="005E33C4"/>
    <w:rsid w:val="005E3FAC"/>
    <w:rsid w:val="005E4676"/>
    <w:rsid w:val="005E4781"/>
    <w:rsid w:val="005E4860"/>
    <w:rsid w:val="005E4CE7"/>
    <w:rsid w:val="005E4E39"/>
    <w:rsid w:val="005F066D"/>
    <w:rsid w:val="005F11D0"/>
    <w:rsid w:val="005F299C"/>
    <w:rsid w:val="005F4FE6"/>
    <w:rsid w:val="005F51A3"/>
    <w:rsid w:val="005F58B9"/>
    <w:rsid w:val="005F5965"/>
    <w:rsid w:val="005F666E"/>
    <w:rsid w:val="00601F6A"/>
    <w:rsid w:val="006021F9"/>
    <w:rsid w:val="00604224"/>
    <w:rsid w:val="0060568B"/>
    <w:rsid w:val="006066EE"/>
    <w:rsid w:val="00606FDB"/>
    <w:rsid w:val="0061049E"/>
    <w:rsid w:val="006127D8"/>
    <w:rsid w:val="00613EE2"/>
    <w:rsid w:val="00614006"/>
    <w:rsid w:val="00616613"/>
    <w:rsid w:val="00617064"/>
    <w:rsid w:val="0062012E"/>
    <w:rsid w:val="00621BBA"/>
    <w:rsid w:val="00623EEF"/>
    <w:rsid w:val="006245F7"/>
    <w:rsid w:val="006246F0"/>
    <w:rsid w:val="006248C0"/>
    <w:rsid w:val="006252EF"/>
    <w:rsid w:val="006305ED"/>
    <w:rsid w:val="00630C8E"/>
    <w:rsid w:val="00631285"/>
    <w:rsid w:val="00631715"/>
    <w:rsid w:val="00631B2E"/>
    <w:rsid w:val="00631E3F"/>
    <w:rsid w:val="0063661D"/>
    <w:rsid w:val="006366BB"/>
    <w:rsid w:val="00636CA0"/>
    <w:rsid w:val="006378CD"/>
    <w:rsid w:val="00641E84"/>
    <w:rsid w:val="00642D35"/>
    <w:rsid w:val="006434EA"/>
    <w:rsid w:val="00643EE3"/>
    <w:rsid w:val="00644E4C"/>
    <w:rsid w:val="0064589D"/>
    <w:rsid w:val="00645A88"/>
    <w:rsid w:val="00650095"/>
    <w:rsid w:val="006501D6"/>
    <w:rsid w:val="00651001"/>
    <w:rsid w:val="00651DA8"/>
    <w:rsid w:val="006538B2"/>
    <w:rsid w:val="00653E1B"/>
    <w:rsid w:val="00654E04"/>
    <w:rsid w:val="00655858"/>
    <w:rsid w:val="00662366"/>
    <w:rsid w:val="00663752"/>
    <w:rsid w:val="006641DD"/>
    <w:rsid w:val="00665A3F"/>
    <w:rsid w:val="00665E6B"/>
    <w:rsid w:val="006672FD"/>
    <w:rsid w:val="006702E3"/>
    <w:rsid w:val="00672FE6"/>
    <w:rsid w:val="006733E0"/>
    <w:rsid w:val="00673653"/>
    <w:rsid w:val="006737A6"/>
    <w:rsid w:val="00673955"/>
    <w:rsid w:val="00673CB4"/>
    <w:rsid w:val="00676D2A"/>
    <w:rsid w:val="0067786E"/>
    <w:rsid w:val="00682051"/>
    <w:rsid w:val="00683398"/>
    <w:rsid w:val="00684B5C"/>
    <w:rsid w:val="00690C43"/>
    <w:rsid w:val="00691110"/>
    <w:rsid w:val="00691167"/>
    <w:rsid w:val="006911DF"/>
    <w:rsid w:val="00691E76"/>
    <w:rsid w:val="006A338C"/>
    <w:rsid w:val="006A435C"/>
    <w:rsid w:val="006A67AF"/>
    <w:rsid w:val="006A79B7"/>
    <w:rsid w:val="006B1079"/>
    <w:rsid w:val="006B17D2"/>
    <w:rsid w:val="006B3F21"/>
    <w:rsid w:val="006B7C3D"/>
    <w:rsid w:val="006C0ABC"/>
    <w:rsid w:val="006C0C08"/>
    <w:rsid w:val="006C23A9"/>
    <w:rsid w:val="006C3F85"/>
    <w:rsid w:val="006C4219"/>
    <w:rsid w:val="006C4277"/>
    <w:rsid w:val="006C49DA"/>
    <w:rsid w:val="006C595C"/>
    <w:rsid w:val="006D0FC3"/>
    <w:rsid w:val="006D28E5"/>
    <w:rsid w:val="006D33DB"/>
    <w:rsid w:val="006D5DE2"/>
    <w:rsid w:val="006D5EEA"/>
    <w:rsid w:val="006E1A78"/>
    <w:rsid w:val="006E1AFB"/>
    <w:rsid w:val="006E2049"/>
    <w:rsid w:val="006E21EF"/>
    <w:rsid w:val="006E3144"/>
    <w:rsid w:val="006E3BA1"/>
    <w:rsid w:val="006E5157"/>
    <w:rsid w:val="006E51CC"/>
    <w:rsid w:val="006E669A"/>
    <w:rsid w:val="006E7FF1"/>
    <w:rsid w:val="006F0933"/>
    <w:rsid w:val="006F0C80"/>
    <w:rsid w:val="006F13BD"/>
    <w:rsid w:val="006F539D"/>
    <w:rsid w:val="006F7125"/>
    <w:rsid w:val="0070126B"/>
    <w:rsid w:val="00701CF1"/>
    <w:rsid w:val="00701D0D"/>
    <w:rsid w:val="007039C4"/>
    <w:rsid w:val="00703A14"/>
    <w:rsid w:val="0070430D"/>
    <w:rsid w:val="00705574"/>
    <w:rsid w:val="00705758"/>
    <w:rsid w:val="00705B75"/>
    <w:rsid w:val="00706BE7"/>
    <w:rsid w:val="007112F6"/>
    <w:rsid w:val="0071261F"/>
    <w:rsid w:val="00713671"/>
    <w:rsid w:val="007205F1"/>
    <w:rsid w:val="0072105F"/>
    <w:rsid w:val="007215EE"/>
    <w:rsid w:val="0072184A"/>
    <w:rsid w:val="00721C21"/>
    <w:rsid w:val="0072208B"/>
    <w:rsid w:val="007227D9"/>
    <w:rsid w:val="00722CFC"/>
    <w:rsid w:val="00723288"/>
    <w:rsid w:val="0072402F"/>
    <w:rsid w:val="0072423B"/>
    <w:rsid w:val="007258C2"/>
    <w:rsid w:val="00726596"/>
    <w:rsid w:val="00726680"/>
    <w:rsid w:val="007266A5"/>
    <w:rsid w:val="00730875"/>
    <w:rsid w:val="00731D94"/>
    <w:rsid w:val="00735094"/>
    <w:rsid w:val="0073581C"/>
    <w:rsid w:val="0073656C"/>
    <w:rsid w:val="00740FDA"/>
    <w:rsid w:val="00741580"/>
    <w:rsid w:val="00741BDF"/>
    <w:rsid w:val="007431B1"/>
    <w:rsid w:val="007446B4"/>
    <w:rsid w:val="007458BA"/>
    <w:rsid w:val="00745909"/>
    <w:rsid w:val="00746984"/>
    <w:rsid w:val="007503BC"/>
    <w:rsid w:val="0075085A"/>
    <w:rsid w:val="00750FDD"/>
    <w:rsid w:val="0075273C"/>
    <w:rsid w:val="00754794"/>
    <w:rsid w:val="00754CB3"/>
    <w:rsid w:val="007565A0"/>
    <w:rsid w:val="00757431"/>
    <w:rsid w:val="007600EA"/>
    <w:rsid w:val="00760388"/>
    <w:rsid w:val="00761925"/>
    <w:rsid w:val="00763723"/>
    <w:rsid w:val="007647E8"/>
    <w:rsid w:val="00765BE9"/>
    <w:rsid w:val="00766992"/>
    <w:rsid w:val="007671DC"/>
    <w:rsid w:val="00771EC2"/>
    <w:rsid w:val="00772A5D"/>
    <w:rsid w:val="007754F0"/>
    <w:rsid w:val="007768A3"/>
    <w:rsid w:val="00776D8B"/>
    <w:rsid w:val="0077712C"/>
    <w:rsid w:val="00777F44"/>
    <w:rsid w:val="007804B5"/>
    <w:rsid w:val="00781845"/>
    <w:rsid w:val="00785FC3"/>
    <w:rsid w:val="0078634F"/>
    <w:rsid w:val="00791B8A"/>
    <w:rsid w:val="00791F1C"/>
    <w:rsid w:val="007943F9"/>
    <w:rsid w:val="0079447F"/>
    <w:rsid w:val="00794F9B"/>
    <w:rsid w:val="00795C2F"/>
    <w:rsid w:val="007962E0"/>
    <w:rsid w:val="00797FB9"/>
    <w:rsid w:val="007A013F"/>
    <w:rsid w:val="007A0E8B"/>
    <w:rsid w:val="007A0FE0"/>
    <w:rsid w:val="007A183F"/>
    <w:rsid w:val="007A18D8"/>
    <w:rsid w:val="007A2001"/>
    <w:rsid w:val="007A230B"/>
    <w:rsid w:val="007A2F78"/>
    <w:rsid w:val="007A4292"/>
    <w:rsid w:val="007A4903"/>
    <w:rsid w:val="007A592E"/>
    <w:rsid w:val="007A7C7F"/>
    <w:rsid w:val="007B1044"/>
    <w:rsid w:val="007B154A"/>
    <w:rsid w:val="007B275C"/>
    <w:rsid w:val="007B32C0"/>
    <w:rsid w:val="007B3805"/>
    <w:rsid w:val="007B7AD9"/>
    <w:rsid w:val="007C0A3F"/>
    <w:rsid w:val="007C165E"/>
    <w:rsid w:val="007C1FE3"/>
    <w:rsid w:val="007C283D"/>
    <w:rsid w:val="007C3395"/>
    <w:rsid w:val="007C3F71"/>
    <w:rsid w:val="007C4302"/>
    <w:rsid w:val="007C5B16"/>
    <w:rsid w:val="007D049A"/>
    <w:rsid w:val="007D2EEF"/>
    <w:rsid w:val="007D5209"/>
    <w:rsid w:val="007E073D"/>
    <w:rsid w:val="007E13E9"/>
    <w:rsid w:val="007E1C0C"/>
    <w:rsid w:val="007E257B"/>
    <w:rsid w:val="007E2F14"/>
    <w:rsid w:val="007E45F5"/>
    <w:rsid w:val="007E5F22"/>
    <w:rsid w:val="007E5F87"/>
    <w:rsid w:val="007E6826"/>
    <w:rsid w:val="007F0E0D"/>
    <w:rsid w:val="007F1CE3"/>
    <w:rsid w:val="007F1D7E"/>
    <w:rsid w:val="007F33EB"/>
    <w:rsid w:val="007F48EE"/>
    <w:rsid w:val="007F5936"/>
    <w:rsid w:val="007F6438"/>
    <w:rsid w:val="007F6462"/>
    <w:rsid w:val="007F6CA8"/>
    <w:rsid w:val="00803636"/>
    <w:rsid w:val="00804B21"/>
    <w:rsid w:val="00805AF8"/>
    <w:rsid w:val="00806C30"/>
    <w:rsid w:val="0081061F"/>
    <w:rsid w:val="00812527"/>
    <w:rsid w:val="00812AD1"/>
    <w:rsid w:val="00812C94"/>
    <w:rsid w:val="008131BA"/>
    <w:rsid w:val="00814465"/>
    <w:rsid w:val="008148E9"/>
    <w:rsid w:val="00817645"/>
    <w:rsid w:val="00821B3A"/>
    <w:rsid w:val="00821E84"/>
    <w:rsid w:val="00822D00"/>
    <w:rsid w:val="00823587"/>
    <w:rsid w:val="00823D11"/>
    <w:rsid w:val="00826569"/>
    <w:rsid w:val="00827AEC"/>
    <w:rsid w:val="00827CA5"/>
    <w:rsid w:val="00827E47"/>
    <w:rsid w:val="00831E48"/>
    <w:rsid w:val="00832428"/>
    <w:rsid w:val="0083344E"/>
    <w:rsid w:val="00833D98"/>
    <w:rsid w:val="0083477F"/>
    <w:rsid w:val="008355E1"/>
    <w:rsid w:val="0083565E"/>
    <w:rsid w:val="008370B0"/>
    <w:rsid w:val="0084197B"/>
    <w:rsid w:val="00842911"/>
    <w:rsid w:val="00842C4A"/>
    <w:rsid w:val="00842CD3"/>
    <w:rsid w:val="00843739"/>
    <w:rsid w:val="00843A6A"/>
    <w:rsid w:val="00845F72"/>
    <w:rsid w:val="008509F5"/>
    <w:rsid w:val="008515A7"/>
    <w:rsid w:val="00851A2B"/>
    <w:rsid w:val="0085258D"/>
    <w:rsid w:val="00852C79"/>
    <w:rsid w:val="00854413"/>
    <w:rsid w:val="008548E8"/>
    <w:rsid w:val="00854FB7"/>
    <w:rsid w:val="00862551"/>
    <w:rsid w:val="00862D4D"/>
    <w:rsid w:val="00866CD5"/>
    <w:rsid w:val="00871596"/>
    <w:rsid w:val="00873179"/>
    <w:rsid w:val="008731E4"/>
    <w:rsid w:val="00873BFB"/>
    <w:rsid w:val="0087442D"/>
    <w:rsid w:val="00874C31"/>
    <w:rsid w:val="0087737C"/>
    <w:rsid w:val="00877E50"/>
    <w:rsid w:val="008805F4"/>
    <w:rsid w:val="00880B5A"/>
    <w:rsid w:val="0088194D"/>
    <w:rsid w:val="00883B5F"/>
    <w:rsid w:val="00885774"/>
    <w:rsid w:val="008865C8"/>
    <w:rsid w:val="0088671E"/>
    <w:rsid w:val="00886A38"/>
    <w:rsid w:val="008874CF"/>
    <w:rsid w:val="00887694"/>
    <w:rsid w:val="00890CF4"/>
    <w:rsid w:val="00890E40"/>
    <w:rsid w:val="00892B41"/>
    <w:rsid w:val="00892FCF"/>
    <w:rsid w:val="00894FDC"/>
    <w:rsid w:val="00895B91"/>
    <w:rsid w:val="00897EB3"/>
    <w:rsid w:val="00897F64"/>
    <w:rsid w:val="008A3C00"/>
    <w:rsid w:val="008A3FD1"/>
    <w:rsid w:val="008A4E65"/>
    <w:rsid w:val="008A5E68"/>
    <w:rsid w:val="008A5ED3"/>
    <w:rsid w:val="008B34C6"/>
    <w:rsid w:val="008B4204"/>
    <w:rsid w:val="008B42C7"/>
    <w:rsid w:val="008B5CAC"/>
    <w:rsid w:val="008B7B0D"/>
    <w:rsid w:val="008C0214"/>
    <w:rsid w:val="008C0838"/>
    <w:rsid w:val="008C2E8A"/>
    <w:rsid w:val="008C325B"/>
    <w:rsid w:val="008C5A03"/>
    <w:rsid w:val="008C5C2C"/>
    <w:rsid w:val="008C73FF"/>
    <w:rsid w:val="008D14D1"/>
    <w:rsid w:val="008D1D61"/>
    <w:rsid w:val="008D5133"/>
    <w:rsid w:val="008D6296"/>
    <w:rsid w:val="008E1151"/>
    <w:rsid w:val="008E1271"/>
    <w:rsid w:val="008E1560"/>
    <w:rsid w:val="008E2947"/>
    <w:rsid w:val="008E2B76"/>
    <w:rsid w:val="008E2F31"/>
    <w:rsid w:val="008E38F5"/>
    <w:rsid w:val="008E414C"/>
    <w:rsid w:val="008E4F1B"/>
    <w:rsid w:val="008E5EAF"/>
    <w:rsid w:val="008E6C2E"/>
    <w:rsid w:val="008E71A6"/>
    <w:rsid w:val="008E7F38"/>
    <w:rsid w:val="008F0992"/>
    <w:rsid w:val="008F0AFD"/>
    <w:rsid w:val="008F2A37"/>
    <w:rsid w:val="008F2CDD"/>
    <w:rsid w:val="008F2E26"/>
    <w:rsid w:val="008F5063"/>
    <w:rsid w:val="008F695F"/>
    <w:rsid w:val="008F6C72"/>
    <w:rsid w:val="008F6F4A"/>
    <w:rsid w:val="0090085B"/>
    <w:rsid w:val="00901FB3"/>
    <w:rsid w:val="00902A5A"/>
    <w:rsid w:val="0090337F"/>
    <w:rsid w:val="00907C04"/>
    <w:rsid w:val="00910A75"/>
    <w:rsid w:val="00911189"/>
    <w:rsid w:val="009115AD"/>
    <w:rsid w:val="00911A40"/>
    <w:rsid w:val="00912359"/>
    <w:rsid w:val="00913919"/>
    <w:rsid w:val="00913C68"/>
    <w:rsid w:val="00915631"/>
    <w:rsid w:val="0091652C"/>
    <w:rsid w:val="00916A4E"/>
    <w:rsid w:val="0091773A"/>
    <w:rsid w:val="00917C8D"/>
    <w:rsid w:val="00921038"/>
    <w:rsid w:val="00921EB8"/>
    <w:rsid w:val="00923871"/>
    <w:rsid w:val="00925CFF"/>
    <w:rsid w:val="00930894"/>
    <w:rsid w:val="00933974"/>
    <w:rsid w:val="00933CF0"/>
    <w:rsid w:val="00933FAC"/>
    <w:rsid w:val="00934A1F"/>
    <w:rsid w:val="00934E5E"/>
    <w:rsid w:val="00935113"/>
    <w:rsid w:val="00936935"/>
    <w:rsid w:val="00936AAE"/>
    <w:rsid w:val="00937F16"/>
    <w:rsid w:val="0094146E"/>
    <w:rsid w:val="00942122"/>
    <w:rsid w:val="00942C07"/>
    <w:rsid w:val="00943D66"/>
    <w:rsid w:val="009440B8"/>
    <w:rsid w:val="009442EF"/>
    <w:rsid w:val="00944534"/>
    <w:rsid w:val="009450A8"/>
    <w:rsid w:val="00947479"/>
    <w:rsid w:val="00950C4F"/>
    <w:rsid w:val="009525CC"/>
    <w:rsid w:val="00953C51"/>
    <w:rsid w:val="009544D1"/>
    <w:rsid w:val="0095452D"/>
    <w:rsid w:val="009551BA"/>
    <w:rsid w:val="00956413"/>
    <w:rsid w:val="009570FD"/>
    <w:rsid w:val="009603DA"/>
    <w:rsid w:val="00960522"/>
    <w:rsid w:val="00961A2A"/>
    <w:rsid w:val="00962EB8"/>
    <w:rsid w:val="009643E0"/>
    <w:rsid w:val="009667A8"/>
    <w:rsid w:val="00966CCE"/>
    <w:rsid w:val="0097043B"/>
    <w:rsid w:val="00970B20"/>
    <w:rsid w:val="009716B4"/>
    <w:rsid w:val="00975E74"/>
    <w:rsid w:val="00977EA4"/>
    <w:rsid w:val="00981F63"/>
    <w:rsid w:val="00985AAF"/>
    <w:rsid w:val="00987A40"/>
    <w:rsid w:val="009946E0"/>
    <w:rsid w:val="0099471A"/>
    <w:rsid w:val="009949CC"/>
    <w:rsid w:val="00994E54"/>
    <w:rsid w:val="00997AF1"/>
    <w:rsid w:val="009A0361"/>
    <w:rsid w:val="009A043C"/>
    <w:rsid w:val="009A09BA"/>
    <w:rsid w:val="009A3F1A"/>
    <w:rsid w:val="009A40D6"/>
    <w:rsid w:val="009A4127"/>
    <w:rsid w:val="009A4F50"/>
    <w:rsid w:val="009A594E"/>
    <w:rsid w:val="009A5CC0"/>
    <w:rsid w:val="009A7400"/>
    <w:rsid w:val="009A779E"/>
    <w:rsid w:val="009A7A2C"/>
    <w:rsid w:val="009B0470"/>
    <w:rsid w:val="009B06B0"/>
    <w:rsid w:val="009B1061"/>
    <w:rsid w:val="009B30DC"/>
    <w:rsid w:val="009B3195"/>
    <w:rsid w:val="009B37BA"/>
    <w:rsid w:val="009B3849"/>
    <w:rsid w:val="009B3C8E"/>
    <w:rsid w:val="009B51D7"/>
    <w:rsid w:val="009C192D"/>
    <w:rsid w:val="009C3338"/>
    <w:rsid w:val="009C4799"/>
    <w:rsid w:val="009C56D3"/>
    <w:rsid w:val="009C6248"/>
    <w:rsid w:val="009D002F"/>
    <w:rsid w:val="009D0A67"/>
    <w:rsid w:val="009D2318"/>
    <w:rsid w:val="009D2CA7"/>
    <w:rsid w:val="009D5CDC"/>
    <w:rsid w:val="009D5F08"/>
    <w:rsid w:val="009D5F2A"/>
    <w:rsid w:val="009D6BF0"/>
    <w:rsid w:val="009E16C3"/>
    <w:rsid w:val="009E33B7"/>
    <w:rsid w:val="009E3D29"/>
    <w:rsid w:val="009E43B3"/>
    <w:rsid w:val="009E5A3C"/>
    <w:rsid w:val="009E5DAD"/>
    <w:rsid w:val="009E7368"/>
    <w:rsid w:val="009F0489"/>
    <w:rsid w:val="009F067B"/>
    <w:rsid w:val="009F1060"/>
    <w:rsid w:val="009F1D88"/>
    <w:rsid w:val="009F57D8"/>
    <w:rsid w:val="009F5A2D"/>
    <w:rsid w:val="009F5F7B"/>
    <w:rsid w:val="00A01C89"/>
    <w:rsid w:val="00A01D40"/>
    <w:rsid w:val="00A01F4E"/>
    <w:rsid w:val="00A01F52"/>
    <w:rsid w:val="00A031D7"/>
    <w:rsid w:val="00A04233"/>
    <w:rsid w:val="00A04587"/>
    <w:rsid w:val="00A04651"/>
    <w:rsid w:val="00A04850"/>
    <w:rsid w:val="00A04EFE"/>
    <w:rsid w:val="00A061E1"/>
    <w:rsid w:val="00A074FB"/>
    <w:rsid w:val="00A106E6"/>
    <w:rsid w:val="00A108AE"/>
    <w:rsid w:val="00A1277A"/>
    <w:rsid w:val="00A12893"/>
    <w:rsid w:val="00A12B78"/>
    <w:rsid w:val="00A14244"/>
    <w:rsid w:val="00A14BA4"/>
    <w:rsid w:val="00A15FFD"/>
    <w:rsid w:val="00A16667"/>
    <w:rsid w:val="00A174E5"/>
    <w:rsid w:val="00A17574"/>
    <w:rsid w:val="00A1770A"/>
    <w:rsid w:val="00A20137"/>
    <w:rsid w:val="00A20182"/>
    <w:rsid w:val="00A20939"/>
    <w:rsid w:val="00A21AE8"/>
    <w:rsid w:val="00A24863"/>
    <w:rsid w:val="00A24A4B"/>
    <w:rsid w:val="00A251FE"/>
    <w:rsid w:val="00A25643"/>
    <w:rsid w:val="00A26086"/>
    <w:rsid w:val="00A260B1"/>
    <w:rsid w:val="00A268D1"/>
    <w:rsid w:val="00A27581"/>
    <w:rsid w:val="00A30D26"/>
    <w:rsid w:val="00A320DF"/>
    <w:rsid w:val="00A3322F"/>
    <w:rsid w:val="00A337ED"/>
    <w:rsid w:val="00A34D95"/>
    <w:rsid w:val="00A354EE"/>
    <w:rsid w:val="00A367DE"/>
    <w:rsid w:val="00A4006C"/>
    <w:rsid w:val="00A40CCA"/>
    <w:rsid w:val="00A42E20"/>
    <w:rsid w:val="00A44B89"/>
    <w:rsid w:val="00A46408"/>
    <w:rsid w:val="00A46E84"/>
    <w:rsid w:val="00A470D1"/>
    <w:rsid w:val="00A4783F"/>
    <w:rsid w:val="00A478E7"/>
    <w:rsid w:val="00A51802"/>
    <w:rsid w:val="00A5200F"/>
    <w:rsid w:val="00A529B8"/>
    <w:rsid w:val="00A53358"/>
    <w:rsid w:val="00A53A31"/>
    <w:rsid w:val="00A54720"/>
    <w:rsid w:val="00A55024"/>
    <w:rsid w:val="00A55498"/>
    <w:rsid w:val="00A554C5"/>
    <w:rsid w:val="00A56EA7"/>
    <w:rsid w:val="00A57792"/>
    <w:rsid w:val="00A601CB"/>
    <w:rsid w:val="00A609BC"/>
    <w:rsid w:val="00A63261"/>
    <w:rsid w:val="00A65B4A"/>
    <w:rsid w:val="00A660BA"/>
    <w:rsid w:val="00A6666D"/>
    <w:rsid w:val="00A673E1"/>
    <w:rsid w:val="00A70707"/>
    <w:rsid w:val="00A7081A"/>
    <w:rsid w:val="00A70A8C"/>
    <w:rsid w:val="00A7114B"/>
    <w:rsid w:val="00A72BAF"/>
    <w:rsid w:val="00A72F66"/>
    <w:rsid w:val="00A73BD0"/>
    <w:rsid w:val="00A749B0"/>
    <w:rsid w:val="00A75183"/>
    <w:rsid w:val="00A757CA"/>
    <w:rsid w:val="00A76142"/>
    <w:rsid w:val="00A77578"/>
    <w:rsid w:val="00A808B7"/>
    <w:rsid w:val="00A80A3D"/>
    <w:rsid w:val="00A81D7B"/>
    <w:rsid w:val="00A827B2"/>
    <w:rsid w:val="00A83AC6"/>
    <w:rsid w:val="00A842C2"/>
    <w:rsid w:val="00A84E32"/>
    <w:rsid w:val="00A8621A"/>
    <w:rsid w:val="00A87E8A"/>
    <w:rsid w:val="00A90E76"/>
    <w:rsid w:val="00A95CA8"/>
    <w:rsid w:val="00A96FBA"/>
    <w:rsid w:val="00AA0DDA"/>
    <w:rsid w:val="00AA34D7"/>
    <w:rsid w:val="00AA3930"/>
    <w:rsid w:val="00AA3B05"/>
    <w:rsid w:val="00AA520E"/>
    <w:rsid w:val="00AB0776"/>
    <w:rsid w:val="00AB4374"/>
    <w:rsid w:val="00AB515C"/>
    <w:rsid w:val="00AB5FEA"/>
    <w:rsid w:val="00AB6A29"/>
    <w:rsid w:val="00AB70BA"/>
    <w:rsid w:val="00AC0072"/>
    <w:rsid w:val="00AC026E"/>
    <w:rsid w:val="00AC0764"/>
    <w:rsid w:val="00AC3172"/>
    <w:rsid w:val="00AC513A"/>
    <w:rsid w:val="00AC73A4"/>
    <w:rsid w:val="00AD0AF8"/>
    <w:rsid w:val="00AD29EF"/>
    <w:rsid w:val="00AD3EFF"/>
    <w:rsid w:val="00AD453E"/>
    <w:rsid w:val="00AD4907"/>
    <w:rsid w:val="00AD5912"/>
    <w:rsid w:val="00AD64B9"/>
    <w:rsid w:val="00AD6D05"/>
    <w:rsid w:val="00AD6F6B"/>
    <w:rsid w:val="00AD7E9A"/>
    <w:rsid w:val="00AE022E"/>
    <w:rsid w:val="00AE1911"/>
    <w:rsid w:val="00AE2003"/>
    <w:rsid w:val="00AE2EAA"/>
    <w:rsid w:val="00AE324E"/>
    <w:rsid w:val="00AE37DA"/>
    <w:rsid w:val="00AE3FA9"/>
    <w:rsid w:val="00AE52AC"/>
    <w:rsid w:val="00AF1718"/>
    <w:rsid w:val="00AF2030"/>
    <w:rsid w:val="00AF2478"/>
    <w:rsid w:val="00AF40FC"/>
    <w:rsid w:val="00AF58E2"/>
    <w:rsid w:val="00AF7EF7"/>
    <w:rsid w:val="00AF7F87"/>
    <w:rsid w:val="00B01D12"/>
    <w:rsid w:val="00B03CD7"/>
    <w:rsid w:val="00B045F1"/>
    <w:rsid w:val="00B04AF5"/>
    <w:rsid w:val="00B05742"/>
    <w:rsid w:val="00B05B8A"/>
    <w:rsid w:val="00B067BD"/>
    <w:rsid w:val="00B076B6"/>
    <w:rsid w:val="00B11BEE"/>
    <w:rsid w:val="00B11BF2"/>
    <w:rsid w:val="00B14987"/>
    <w:rsid w:val="00B14DF9"/>
    <w:rsid w:val="00B153C3"/>
    <w:rsid w:val="00B15627"/>
    <w:rsid w:val="00B17088"/>
    <w:rsid w:val="00B203F1"/>
    <w:rsid w:val="00B20E8C"/>
    <w:rsid w:val="00B21377"/>
    <w:rsid w:val="00B21E15"/>
    <w:rsid w:val="00B23093"/>
    <w:rsid w:val="00B237F5"/>
    <w:rsid w:val="00B247B1"/>
    <w:rsid w:val="00B24B7B"/>
    <w:rsid w:val="00B2604D"/>
    <w:rsid w:val="00B2687A"/>
    <w:rsid w:val="00B26952"/>
    <w:rsid w:val="00B27D62"/>
    <w:rsid w:val="00B27E29"/>
    <w:rsid w:val="00B27F41"/>
    <w:rsid w:val="00B3050A"/>
    <w:rsid w:val="00B306C8"/>
    <w:rsid w:val="00B32EB7"/>
    <w:rsid w:val="00B33F5C"/>
    <w:rsid w:val="00B34078"/>
    <w:rsid w:val="00B3476E"/>
    <w:rsid w:val="00B4053F"/>
    <w:rsid w:val="00B4295E"/>
    <w:rsid w:val="00B42F06"/>
    <w:rsid w:val="00B43538"/>
    <w:rsid w:val="00B47168"/>
    <w:rsid w:val="00B47886"/>
    <w:rsid w:val="00B50956"/>
    <w:rsid w:val="00B512B9"/>
    <w:rsid w:val="00B518A1"/>
    <w:rsid w:val="00B51B8B"/>
    <w:rsid w:val="00B52252"/>
    <w:rsid w:val="00B5461B"/>
    <w:rsid w:val="00B5675C"/>
    <w:rsid w:val="00B57D51"/>
    <w:rsid w:val="00B6121B"/>
    <w:rsid w:val="00B6303E"/>
    <w:rsid w:val="00B640CC"/>
    <w:rsid w:val="00B64971"/>
    <w:rsid w:val="00B6731D"/>
    <w:rsid w:val="00B70711"/>
    <w:rsid w:val="00B710AC"/>
    <w:rsid w:val="00B73700"/>
    <w:rsid w:val="00B73D39"/>
    <w:rsid w:val="00B74AF3"/>
    <w:rsid w:val="00B74B6F"/>
    <w:rsid w:val="00B74E3E"/>
    <w:rsid w:val="00B77F2F"/>
    <w:rsid w:val="00B802DC"/>
    <w:rsid w:val="00B814AD"/>
    <w:rsid w:val="00B81914"/>
    <w:rsid w:val="00B82206"/>
    <w:rsid w:val="00B83B22"/>
    <w:rsid w:val="00B83C22"/>
    <w:rsid w:val="00B8505A"/>
    <w:rsid w:val="00B86745"/>
    <w:rsid w:val="00B92708"/>
    <w:rsid w:val="00B9391F"/>
    <w:rsid w:val="00B93AC5"/>
    <w:rsid w:val="00B94ACF"/>
    <w:rsid w:val="00B94D3B"/>
    <w:rsid w:val="00B94DF3"/>
    <w:rsid w:val="00B95ACC"/>
    <w:rsid w:val="00B95B14"/>
    <w:rsid w:val="00B95C0E"/>
    <w:rsid w:val="00B95CA7"/>
    <w:rsid w:val="00B962E2"/>
    <w:rsid w:val="00B9638F"/>
    <w:rsid w:val="00B967CC"/>
    <w:rsid w:val="00B9739B"/>
    <w:rsid w:val="00BA04F5"/>
    <w:rsid w:val="00BA1D6C"/>
    <w:rsid w:val="00BA2CE8"/>
    <w:rsid w:val="00BA34D2"/>
    <w:rsid w:val="00BA4879"/>
    <w:rsid w:val="00BA592F"/>
    <w:rsid w:val="00BA5960"/>
    <w:rsid w:val="00BA599B"/>
    <w:rsid w:val="00BA5D6F"/>
    <w:rsid w:val="00BA60E1"/>
    <w:rsid w:val="00BA667D"/>
    <w:rsid w:val="00BA6D27"/>
    <w:rsid w:val="00BA755D"/>
    <w:rsid w:val="00BB0CDD"/>
    <w:rsid w:val="00BB2478"/>
    <w:rsid w:val="00BB40CF"/>
    <w:rsid w:val="00BB432A"/>
    <w:rsid w:val="00BB4867"/>
    <w:rsid w:val="00BB4E9E"/>
    <w:rsid w:val="00BB6711"/>
    <w:rsid w:val="00BB6FE4"/>
    <w:rsid w:val="00BC0264"/>
    <w:rsid w:val="00BC20BD"/>
    <w:rsid w:val="00BC29CE"/>
    <w:rsid w:val="00BC4139"/>
    <w:rsid w:val="00BC577D"/>
    <w:rsid w:val="00BC58A7"/>
    <w:rsid w:val="00BD315F"/>
    <w:rsid w:val="00BD3B9B"/>
    <w:rsid w:val="00BD3D8E"/>
    <w:rsid w:val="00BD5305"/>
    <w:rsid w:val="00BE0D08"/>
    <w:rsid w:val="00BE176B"/>
    <w:rsid w:val="00BE2239"/>
    <w:rsid w:val="00BE3A33"/>
    <w:rsid w:val="00BE4E55"/>
    <w:rsid w:val="00BE788F"/>
    <w:rsid w:val="00BF0157"/>
    <w:rsid w:val="00BF0621"/>
    <w:rsid w:val="00BF0705"/>
    <w:rsid w:val="00BF07F3"/>
    <w:rsid w:val="00BF0BB7"/>
    <w:rsid w:val="00BF11E4"/>
    <w:rsid w:val="00BF150A"/>
    <w:rsid w:val="00BF5303"/>
    <w:rsid w:val="00BF599B"/>
    <w:rsid w:val="00BF5EFC"/>
    <w:rsid w:val="00BF7D43"/>
    <w:rsid w:val="00C00DC3"/>
    <w:rsid w:val="00C018BB"/>
    <w:rsid w:val="00C02A0C"/>
    <w:rsid w:val="00C02AE6"/>
    <w:rsid w:val="00C0349A"/>
    <w:rsid w:val="00C04E4E"/>
    <w:rsid w:val="00C053CA"/>
    <w:rsid w:val="00C059CD"/>
    <w:rsid w:val="00C05A21"/>
    <w:rsid w:val="00C05E2B"/>
    <w:rsid w:val="00C07338"/>
    <w:rsid w:val="00C07F9B"/>
    <w:rsid w:val="00C11D73"/>
    <w:rsid w:val="00C12130"/>
    <w:rsid w:val="00C126E7"/>
    <w:rsid w:val="00C142EA"/>
    <w:rsid w:val="00C16F45"/>
    <w:rsid w:val="00C17CAE"/>
    <w:rsid w:val="00C226A0"/>
    <w:rsid w:val="00C22FE4"/>
    <w:rsid w:val="00C231D4"/>
    <w:rsid w:val="00C232E8"/>
    <w:rsid w:val="00C26096"/>
    <w:rsid w:val="00C26D90"/>
    <w:rsid w:val="00C2775E"/>
    <w:rsid w:val="00C30221"/>
    <w:rsid w:val="00C30C99"/>
    <w:rsid w:val="00C31139"/>
    <w:rsid w:val="00C31B8C"/>
    <w:rsid w:val="00C32CD6"/>
    <w:rsid w:val="00C32F62"/>
    <w:rsid w:val="00C40AAA"/>
    <w:rsid w:val="00C442D9"/>
    <w:rsid w:val="00C4474A"/>
    <w:rsid w:val="00C45DB8"/>
    <w:rsid w:val="00C46116"/>
    <w:rsid w:val="00C46795"/>
    <w:rsid w:val="00C47BBC"/>
    <w:rsid w:val="00C502F3"/>
    <w:rsid w:val="00C50EED"/>
    <w:rsid w:val="00C51280"/>
    <w:rsid w:val="00C514B8"/>
    <w:rsid w:val="00C51CA3"/>
    <w:rsid w:val="00C52FCC"/>
    <w:rsid w:val="00C540F4"/>
    <w:rsid w:val="00C5606D"/>
    <w:rsid w:val="00C56FC4"/>
    <w:rsid w:val="00C571EF"/>
    <w:rsid w:val="00C573D6"/>
    <w:rsid w:val="00C57C93"/>
    <w:rsid w:val="00C61696"/>
    <w:rsid w:val="00C64F80"/>
    <w:rsid w:val="00C6528C"/>
    <w:rsid w:val="00C678C7"/>
    <w:rsid w:val="00C711A6"/>
    <w:rsid w:val="00C71305"/>
    <w:rsid w:val="00C7286E"/>
    <w:rsid w:val="00C72AE2"/>
    <w:rsid w:val="00C733BE"/>
    <w:rsid w:val="00C7353E"/>
    <w:rsid w:val="00C745E8"/>
    <w:rsid w:val="00C75341"/>
    <w:rsid w:val="00C76714"/>
    <w:rsid w:val="00C7677A"/>
    <w:rsid w:val="00C77370"/>
    <w:rsid w:val="00C830B6"/>
    <w:rsid w:val="00C92BEC"/>
    <w:rsid w:val="00C931D1"/>
    <w:rsid w:val="00C947A9"/>
    <w:rsid w:val="00C953D3"/>
    <w:rsid w:val="00C956B9"/>
    <w:rsid w:val="00C97E5E"/>
    <w:rsid w:val="00CA1F27"/>
    <w:rsid w:val="00CA24A6"/>
    <w:rsid w:val="00CA4105"/>
    <w:rsid w:val="00CA52ED"/>
    <w:rsid w:val="00CA64E5"/>
    <w:rsid w:val="00CB2022"/>
    <w:rsid w:val="00CB364A"/>
    <w:rsid w:val="00CB43E0"/>
    <w:rsid w:val="00CB5358"/>
    <w:rsid w:val="00CB6B6F"/>
    <w:rsid w:val="00CC0389"/>
    <w:rsid w:val="00CC305C"/>
    <w:rsid w:val="00CC3E98"/>
    <w:rsid w:val="00CC543B"/>
    <w:rsid w:val="00CC57B4"/>
    <w:rsid w:val="00CC595D"/>
    <w:rsid w:val="00CC659B"/>
    <w:rsid w:val="00CD103A"/>
    <w:rsid w:val="00CD2438"/>
    <w:rsid w:val="00CD3DA3"/>
    <w:rsid w:val="00CD4538"/>
    <w:rsid w:val="00CD472B"/>
    <w:rsid w:val="00CD5251"/>
    <w:rsid w:val="00CD6335"/>
    <w:rsid w:val="00CD66EF"/>
    <w:rsid w:val="00CD6E32"/>
    <w:rsid w:val="00CD7C88"/>
    <w:rsid w:val="00CE1B22"/>
    <w:rsid w:val="00CE3B47"/>
    <w:rsid w:val="00CE416B"/>
    <w:rsid w:val="00CE42A1"/>
    <w:rsid w:val="00CE42F9"/>
    <w:rsid w:val="00CE6F81"/>
    <w:rsid w:val="00CF0D2B"/>
    <w:rsid w:val="00CF1FB5"/>
    <w:rsid w:val="00CF31F8"/>
    <w:rsid w:val="00CF4456"/>
    <w:rsid w:val="00CF497B"/>
    <w:rsid w:val="00CF4ADA"/>
    <w:rsid w:val="00CF61AB"/>
    <w:rsid w:val="00CF6EC7"/>
    <w:rsid w:val="00CF7335"/>
    <w:rsid w:val="00D01281"/>
    <w:rsid w:val="00D029EE"/>
    <w:rsid w:val="00D05F7E"/>
    <w:rsid w:val="00D07D02"/>
    <w:rsid w:val="00D1054E"/>
    <w:rsid w:val="00D141E2"/>
    <w:rsid w:val="00D21729"/>
    <w:rsid w:val="00D2621C"/>
    <w:rsid w:val="00D27E02"/>
    <w:rsid w:val="00D31872"/>
    <w:rsid w:val="00D32FAB"/>
    <w:rsid w:val="00D330CF"/>
    <w:rsid w:val="00D34591"/>
    <w:rsid w:val="00D351FE"/>
    <w:rsid w:val="00D35592"/>
    <w:rsid w:val="00D363AB"/>
    <w:rsid w:val="00D36D1C"/>
    <w:rsid w:val="00D36FA5"/>
    <w:rsid w:val="00D37267"/>
    <w:rsid w:val="00D40166"/>
    <w:rsid w:val="00D41470"/>
    <w:rsid w:val="00D42BF9"/>
    <w:rsid w:val="00D445E4"/>
    <w:rsid w:val="00D45CFE"/>
    <w:rsid w:val="00D46902"/>
    <w:rsid w:val="00D470EC"/>
    <w:rsid w:val="00D472B3"/>
    <w:rsid w:val="00D5019B"/>
    <w:rsid w:val="00D5035A"/>
    <w:rsid w:val="00D513A9"/>
    <w:rsid w:val="00D51A7D"/>
    <w:rsid w:val="00D52751"/>
    <w:rsid w:val="00D5281C"/>
    <w:rsid w:val="00D52EE6"/>
    <w:rsid w:val="00D54BF0"/>
    <w:rsid w:val="00D56F61"/>
    <w:rsid w:val="00D61D1C"/>
    <w:rsid w:val="00D61DE8"/>
    <w:rsid w:val="00D63C92"/>
    <w:rsid w:val="00D642B8"/>
    <w:rsid w:val="00D67D40"/>
    <w:rsid w:val="00D72D28"/>
    <w:rsid w:val="00D74704"/>
    <w:rsid w:val="00D74ED7"/>
    <w:rsid w:val="00D75801"/>
    <w:rsid w:val="00D75DDA"/>
    <w:rsid w:val="00D766D0"/>
    <w:rsid w:val="00D773CA"/>
    <w:rsid w:val="00D801C2"/>
    <w:rsid w:val="00D81685"/>
    <w:rsid w:val="00D82B77"/>
    <w:rsid w:val="00D85DC0"/>
    <w:rsid w:val="00D86A40"/>
    <w:rsid w:val="00D90C3A"/>
    <w:rsid w:val="00D90E30"/>
    <w:rsid w:val="00D90EE8"/>
    <w:rsid w:val="00D91B47"/>
    <w:rsid w:val="00D93223"/>
    <w:rsid w:val="00D94721"/>
    <w:rsid w:val="00D9666A"/>
    <w:rsid w:val="00D96D57"/>
    <w:rsid w:val="00D97EB3"/>
    <w:rsid w:val="00DA1F50"/>
    <w:rsid w:val="00DA41F2"/>
    <w:rsid w:val="00DA4797"/>
    <w:rsid w:val="00DA5208"/>
    <w:rsid w:val="00DA75BB"/>
    <w:rsid w:val="00DB0B82"/>
    <w:rsid w:val="00DB19EA"/>
    <w:rsid w:val="00DB23E8"/>
    <w:rsid w:val="00DB283E"/>
    <w:rsid w:val="00DB2B12"/>
    <w:rsid w:val="00DB3707"/>
    <w:rsid w:val="00DB40D3"/>
    <w:rsid w:val="00DB4D01"/>
    <w:rsid w:val="00DB55EB"/>
    <w:rsid w:val="00DB56DB"/>
    <w:rsid w:val="00DB57D3"/>
    <w:rsid w:val="00DB5E83"/>
    <w:rsid w:val="00DB6674"/>
    <w:rsid w:val="00DC04FC"/>
    <w:rsid w:val="00DC0D34"/>
    <w:rsid w:val="00DC114B"/>
    <w:rsid w:val="00DC1CF4"/>
    <w:rsid w:val="00DC243F"/>
    <w:rsid w:val="00DC2BCB"/>
    <w:rsid w:val="00DC3717"/>
    <w:rsid w:val="00DC3A53"/>
    <w:rsid w:val="00DD23BF"/>
    <w:rsid w:val="00DD2E47"/>
    <w:rsid w:val="00DD4B6E"/>
    <w:rsid w:val="00DD5C7B"/>
    <w:rsid w:val="00DD6F09"/>
    <w:rsid w:val="00DD746A"/>
    <w:rsid w:val="00DD7C1E"/>
    <w:rsid w:val="00DD7FD7"/>
    <w:rsid w:val="00DE23A8"/>
    <w:rsid w:val="00DE4C65"/>
    <w:rsid w:val="00DE522D"/>
    <w:rsid w:val="00DE56D1"/>
    <w:rsid w:val="00DE6EF1"/>
    <w:rsid w:val="00DE7263"/>
    <w:rsid w:val="00DE748F"/>
    <w:rsid w:val="00DE7516"/>
    <w:rsid w:val="00DE784B"/>
    <w:rsid w:val="00DF0C46"/>
    <w:rsid w:val="00DF4F82"/>
    <w:rsid w:val="00DF71E1"/>
    <w:rsid w:val="00DF72DE"/>
    <w:rsid w:val="00E00DF9"/>
    <w:rsid w:val="00E0187B"/>
    <w:rsid w:val="00E028AB"/>
    <w:rsid w:val="00E03149"/>
    <w:rsid w:val="00E03CAF"/>
    <w:rsid w:val="00E06313"/>
    <w:rsid w:val="00E0667B"/>
    <w:rsid w:val="00E106BE"/>
    <w:rsid w:val="00E107D6"/>
    <w:rsid w:val="00E1136F"/>
    <w:rsid w:val="00E11B8A"/>
    <w:rsid w:val="00E121F6"/>
    <w:rsid w:val="00E152AB"/>
    <w:rsid w:val="00E1563E"/>
    <w:rsid w:val="00E156FC"/>
    <w:rsid w:val="00E16883"/>
    <w:rsid w:val="00E17B80"/>
    <w:rsid w:val="00E200A3"/>
    <w:rsid w:val="00E20D1B"/>
    <w:rsid w:val="00E21581"/>
    <w:rsid w:val="00E222D8"/>
    <w:rsid w:val="00E23619"/>
    <w:rsid w:val="00E30417"/>
    <w:rsid w:val="00E305FB"/>
    <w:rsid w:val="00E313DA"/>
    <w:rsid w:val="00E31BFB"/>
    <w:rsid w:val="00E34C8E"/>
    <w:rsid w:val="00E35E07"/>
    <w:rsid w:val="00E367A6"/>
    <w:rsid w:val="00E37135"/>
    <w:rsid w:val="00E37383"/>
    <w:rsid w:val="00E376FD"/>
    <w:rsid w:val="00E376FF"/>
    <w:rsid w:val="00E37E3A"/>
    <w:rsid w:val="00E40212"/>
    <w:rsid w:val="00E40462"/>
    <w:rsid w:val="00E42519"/>
    <w:rsid w:val="00E44388"/>
    <w:rsid w:val="00E44ADF"/>
    <w:rsid w:val="00E464BF"/>
    <w:rsid w:val="00E46ACD"/>
    <w:rsid w:val="00E508CE"/>
    <w:rsid w:val="00E50CF2"/>
    <w:rsid w:val="00E50D9D"/>
    <w:rsid w:val="00E51534"/>
    <w:rsid w:val="00E5392E"/>
    <w:rsid w:val="00E53B8C"/>
    <w:rsid w:val="00E54274"/>
    <w:rsid w:val="00E54C3F"/>
    <w:rsid w:val="00E567E8"/>
    <w:rsid w:val="00E56805"/>
    <w:rsid w:val="00E61760"/>
    <w:rsid w:val="00E617B5"/>
    <w:rsid w:val="00E6468C"/>
    <w:rsid w:val="00E64B11"/>
    <w:rsid w:val="00E64DFC"/>
    <w:rsid w:val="00E717B4"/>
    <w:rsid w:val="00E73231"/>
    <w:rsid w:val="00E73BAA"/>
    <w:rsid w:val="00E75BA3"/>
    <w:rsid w:val="00E75C2C"/>
    <w:rsid w:val="00E76158"/>
    <w:rsid w:val="00E774A9"/>
    <w:rsid w:val="00E77BCD"/>
    <w:rsid w:val="00E80B4F"/>
    <w:rsid w:val="00E80C50"/>
    <w:rsid w:val="00E81821"/>
    <w:rsid w:val="00E81F14"/>
    <w:rsid w:val="00E82C65"/>
    <w:rsid w:val="00E82F52"/>
    <w:rsid w:val="00E84019"/>
    <w:rsid w:val="00E85D5F"/>
    <w:rsid w:val="00E87B90"/>
    <w:rsid w:val="00E932FA"/>
    <w:rsid w:val="00E93DF0"/>
    <w:rsid w:val="00E97A95"/>
    <w:rsid w:val="00EA0C85"/>
    <w:rsid w:val="00EA132A"/>
    <w:rsid w:val="00EA1B23"/>
    <w:rsid w:val="00EA2857"/>
    <w:rsid w:val="00EA2FC1"/>
    <w:rsid w:val="00EA3F4C"/>
    <w:rsid w:val="00EA57C2"/>
    <w:rsid w:val="00EA5B2F"/>
    <w:rsid w:val="00EA5BD2"/>
    <w:rsid w:val="00EB3B53"/>
    <w:rsid w:val="00EB41FA"/>
    <w:rsid w:val="00EB6003"/>
    <w:rsid w:val="00EB6227"/>
    <w:rsid w:val="00EC0D00"/>
    <w:rsid w:val="00EC4552"/>
    <w:rsid w:val="00EC5951"/>
    <w:rsid w:val="00EC5B98"/>
    <w:rsid w:val="00EC6F9F"/>
    <w:rsid w:val="00EC77AA"/>
    <w:rsid w:val="00ED12E5"/>
    <w:rsid w:val="00ED1970"/>
    <w:rsid w:val="00ED1A4C"/>
    <w:rsid w:val="00ED2300"/>
    <w:rsid w:val="00ED3673"/>
    <w:rsid w:val="00ED3E6D"/>
    <w:rsid w:val="00ED77F1"/>
    <w:rsid w:val="00EE1370"/>
    <w:rsid w:val="00EE1718"/>
    <w:rsid w:val="00EE442B"/>
    <w:rsid w:val="00EE470A"/>
    <w:rsid w:val="00EE571C"/>
    <w:rsid w:val="00EE6558"/>
    <w:rsid w:val="00EF00E9"/>
    <w:rsid w:val="00EF020D"/>
    <w:rsid w:val="00EF146B"/>
    <w:rsid w:val="00EF3DFB"/>
    <w:rsid w:val="00EF486F"/>
    <w:rsid w:val="00EF54DE"/>
    <w:rsid w:val="00EF5AD7"/>
    <w:rsid w:val="00EF6CB9"/>
    <w:rsid w:val="00F00A84"/>
    <w:rsid w:val="00F013E8"/>
    <w:rsid w:val="00F02B6D"/>
    <w:rsid w:val="00F03734"/>
    <w:rsid w:val="00F03A13"/>
    <w:rsid w:val="00F048B5"/>
    <w:rsid w:val="00F050A6"/>
    <w:rsid w:val="00F05702"/>
    <w:rsid w:val="00F07A02"/>
    <w:rsid w:val="00F07D71"/>
    <w:rsid w:val="00F10329"/>
    <w:rsid w:val="00F17404"/>
    <w:rsid w:val="00F208E1"/>
    <w:rsid w:val="00F20E0B"/>
    <w:rsid w:val="00F21441"/>
    <w:rsid w:val="00F21969"/>
    <w:rsid w:val="00F237EA"/>
    <w:rsid w:val="00F24DD0"/>
    <w:rsid w:val="00F25D42"/>
    <w:rsid w:val="00F268B1"/>
    <w:rsid w:val="00F26993"/>
    <w:rsid w:val="00F26ECE"/>
    <w:rsid w:val="00F27541"/>
    <w:rsid w:val="00F30E3C"/>
    <w:rsid w:val="00F30E81"/>
    <w:rsid w:val="00F33ABB"/>
    <w:rsid w:val="00F3433B"/>
    <w:rsid w:val="00F35175"/>
    <w:rsid w:val="00F3588A"/>
    <w:rsid w:val="00F37F00"/>
    <w:rsid w:val="00F409C9"/>
    <w:rsid w:val="00F418AA"/>
    <w:rsid w:val="00F4228A"/>
    <w:rsid w:val="00F425CD"/>
    <w:rsid w:val="00F43F40"/>
    <w:rsid w:val="00F47AF1"/>
    <w:rsid w:val="00F50020"/>
    <w:rsid w:val="00F512EA"/>
    <w:rsid w:val="00F533C8"/>
    <w:rsid w:val="00F53A78"/>
    <w:rsid w:val="00F54560"/>
    <w:rsid w:val="00F548D1"/>
    <w:rsid w:val="00F56917"/>
    <w:rsid w:val="00F56E23"/>
    <w:rsid w:val="00F57478"/>
    <w:rsid w:val="00F606E1"/>
    <w:rsid w:val="00F618EA"/>
    <w:rsid w:val="00F62995"/>
    <w:rsid w:val="00F633A3"/>
    <w:rsid w:val="00F654BB"/>
    <w:rsid w:val="00F70525"/>
    <w:rsid w:val="00F707CF"/>
    <w:rsid w:val="00F72166"/>
    <w:rsid w:val="00F721E5"/>
    <w:rsid w:val="00F736A1"/>
    <w:rsid w:val="00F764B9"/>
    <w:rsid w:val="00F772E4"/>
    <w:rsid w:val="00F773E8"/>
    <w:rsid w:val="00F77557"/>
    <w:rsid w:val="00F80140"/>
    <w:rsid w:val="00F82F7C"/>
    <w:rsid w:val="00F85491"/>
    <w:rsid w:val="00F86F35"/>
    <w:rsid w:val="00F900A8"/>
    <w:rsid w:val="00F923FD"/>
    <w:rsid w:val="00F93C25"/>
    <w:rsid w:val="00F94602"/>
    <w:rsid w:val="00F95B21"/>
    <w:rsid w:val="00F95BA6"/>
    <w:rsid w:val="00F963DD"/>
    <w:rsid w:val="00FA05AD"/>
    <w:rsid w:val="00FA0F44"/>
    <w:rsid w:val="00FA4814"/>
    <w:rsid w:val="00FA489D"/>
    <w:rsid w:val="00FA5D76"/>
    <w:rsid w:val="00FA72D6"/>
    <w:rsid w:val="00FB09D7"/>
    <w:rsid w:val="00FB12D4"/>
    <w:rsid w:val="00FB1EDF"/>
    <w:rsid w:val="00FB3AD5"/>
    <w:rsid w:val="00FB4310"/>
    <w:rsid w:val="00FB4A44"/>
    <w:rsid w:val="00FB550C"/>
    <w:rsid w:val="00FB6A72"/>
    <w:rsid w:val="00FB72FB"/>
    <w:rsid w:val="00FB7D24"/>
    <w:rsid w:val="00FC066F"/>
    <w:rsid w:val="00FC1CBB"/>
    <w:rsid w:val="00FC235C"/>
    <w:rsid w:val="00FC38E0"/>
    <w:rsid w:val="00FC3C2F"/>
    <w:rsid w:val="00FC70F5"/>
    <w:rsid w:val="00FD00FD"/>
    <w:rsid w:val="00FD0123"/>
    <w:rsid w:val="00FD0425"/>
    <w:rsid w:val="00FD06D2"/>
    <w:rsid w:val="00FD085B"/>
    <w:rsid w:val="00FD087A"/>
    <w:rsid w:val="00FD12D6"/>
    <w:rsid w:val="00FD1A50"/>
    <w:rsid w:val="00FD1BF8"/>
    <w:rsid w:val="00FD2403"/>
    <w:rsid w:val="00FD2984"/>
    <w:rsid w:val="00FD2DDA"/>
    <w:rsid w:val="00FD747E"/>
    <w:rsid w:val="00FE2029"/>
    <w:rsid w:val="00FE2FBD"/>
    <w:rsid w:val="00FE7A4A"/>
    <w:rsid w:val="00FF0707"/>
    <w:rsid w:val="00FF0ADD"/>
    <w:rsid w:val="00FF11AD"/>
    <w:rsid w:val="00FF2B86"/>
    <w:rsid w:val="00FF4A65"/>
    <w:rsid w:val="00FF7BA0"/>
    <w:rsid w:val="21A7280B"/>
    <w:rsid w:val="3A212270"/>
    <w:rsid w:val="3A998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"/>
    </o:shapedefaults>
    <o:shapelayout v:ext="edit">
      <o:idmap v:ext="edit" data="2"/>
    </o:shapelayout>
  </w:shapeDefaults>
  <w:decimalSymbol w:val="."/>
  <w:listSeparator w:val=","/>
  <w14:docId w14:val="1F6AEF8A"/>
  <w15:docId w15:val="{C980536F-988E-4F43-9378-09B7854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2D8"/>
  </w:style>
  <w:style w:type="paragraph" w:styleId="Heading1">
    <w:name w:val="heading 1"/>
    <w:basedOn w:val="Normal"/>
    <w:next w:val="Normal"/>
    <w:qFormat/>
    <w:rsid w:val="00E222D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222D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222D8"/>
    <w:pPr>
      <w:keepNext/>
      <w:outlineLvl w:val="2"/>
    </w:pPr>
    <w:rPr>
      <w:rFonts w:ascii="Helv" w:hAnsi="Helv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E222D8"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E222D8"/>
    <w:rPr>
      <w:sz w:val="24"/>
    </w:rPr>
  </w:style>
  <w:style w:type="character" w:styleId="PageNumber">
    <w:name w:val="page number"/>
    <w:basedOn w:val="DefaultParagraphFont"/>
    <w:rsid w:val="00E222D8"/>
  </w:style>
  <w:style w:type="paragraph" w:styleId="Footer">
    <w:name w:val="footer"/>
    <w:basedOn w:val="Normal"/>
    <w:link w:val="FooterChar"/>
    <w:uiPriority w:val="99"/>
    <w:rsid w:val="00E222D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222D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E222D8"/>
  </w:style>
  <w:style w:type="character" w:styleId="FootnoteReference">
    <w:name w:val="footnote reference"/>
    <w:basedOn w:val="DefaultParagraphFont"/>
    <w:semiHidden/>
    <w:rsid w:val="00E222D8"/>
    <w:rPr>
      <w:vertAlign w:val="superscript"/>
    </w:rPr>
  </w:style>
  <w:style w:type="paragraph" w:styleId="DocumentMap">
    <w:name w:val="Document Map"/>
    <w:basedOn w:val="Normal"/>
    <w:semiHidden/>
    <w:rsid w:val="00E222D8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56387D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0D16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A2113"/>
    <w:rPr>
      <w:color w:val="0000FF"/>
      <w:u w:val="single"/>
    </w:rPr>
  </w:style>
  <w:style w:type="character" w:styleId="FollowedHyperlink">
    <w:name w:val="FollowedHyperlink"/>
    <w:basedOn w:val="DefaultParagraphFont"/>
    <w:rsid w:val="00363F4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29722E"/>
    <w:rPr>
      <w:sz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C52FCC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0838"/>
  </w:style>
  <w:style w:type="character" w:styleId="CommentReference">
    <w:name w:val="annotation reference"/>
    <w:basedOn w:val="DefaultParagraphFont"/>
    <w:rsid w:val="00387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6CC"/>
  </w:style>
  <w:style w:type="character" w:customStyle="1" w:styleId="CommentTextChar">
    <w:name w:val="Comment Text Char"/>
    <w:basedOn w:val="DefaultParagraphFont"/>
    <w:link w:val="CommentText"/>
    <w:rsid w:val="003876CC"/>
  </w:style>
  <w:style w:type="paragraph" w:styleId="CommentSubject">
    <w:name w:val="annotation subject"/>
    <w:basedOn w:val="CommentText"/>
    <w:next w:val="CommentText"/>
    <w:link w:val="CommentSubjectChar"/>
    <w:rsid w:val="00387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6CC"/>
    <w:rPr>
      <w:b/>
      <w:bCs/>
    </w:rPr>
  </w:style>
  <w:style w:type="paragraph" w:styleId="ListParagraph">
    <w:name w:val="List Paragraph"/>
    <w:basedOn w:val="Normal"/>
    <w:uiPriority w:val="34"/>
    <w:qFormat/>
    <w:rsid w:val="00401C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048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9F048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9F0489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rsid w:val="009F0489"/>
    <w:pPr>
      <w:spacing w:after="100"/>
    </w:pPr>
  </w:style>
  <w:style w:type="character" w:styleId="BookTitle">
    <w:name w:val="Book Title"/>
    <w:basedOn w:val="DefaultParagraphFont"/>
    <w:uiPriority w:val="33"/>
    <w:qFormat/>
    <w:rsid w:val="003211D3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894FDC"/>
  </w:style>
  <w:style w:type="paragraph" w:customStyle="1" w:styleId="indent1">
    <w:name w:val="indent1"/>
    <w:basedOn w:val="Normal"/>
    <w:rsid w:val="00293C87"/>
    <w:pPr>
      <w:spacing w:before="120" w:after="120" w:line="420" w:lineRule="auto"/>
      <w:ind w:firstLine="327"/>
      <w:jc w:val="both"/>
    </w:pPr>
    <w:rPr>
      <w:sz w:val="13"/>
      <w:szCs w:val="13"/>
    </w:rPr>
  </w:style>
  <w:style w:type="paragraph" w:styleId="NoSpacing">
    <w:name w:val="No Spacing"/>
    <w:link w:val="NoSpacingChar"/>
    <w:uiPriority w:val="1"/>
    <w:qFormat/>
    <w:rsid w:val="00A27581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27581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97E5E"/>
    <w:rPr>
      <w:color w:val="808080"/>
    </w:rPr>
  </w:style>
  <w:style w:type="paragraph" w:customStyle="1" w:styleId="Default">
    <w:name w:val="Default"/>
    <w:basedOn w:val="Normal"/>
    <w:rsid w:val="0070126B"/>
    <w:rPr>
      <w:rFonts w:ascii="helvetica neue" w:eastAsiaTheme="minorHAnsi" w:hAnsi="helvetica neue"/>
      <w:color w:val="000000"/>
      <w:sz w:val="22"/>
      <w:szCs w:val="22"/>
    </w:rPr>
  </w:style>
  <w:style w:type="paragraph" w:customStyle="1" w:styleId="BodyA">
    <w:name w:val="Body A"/>
    <w:basedOn w:val="Normal"/>
    <w:rsid w:val="0070126B"/>
    <w:rPr>
      <w:rFonts w:eastAsiaTheme="minorHAnsi"/>
      <w:color w:val="000000"/>
    </w:rPr>
  </w:style>
  <w:style w:type="character" w:customStyle="1" w:styleId="markv56ne313j">
    <w:name w:val="markv56ne313j"/>
    <w:basedOn w:val="DefaultParagraphFont"/>
    <w:rsid w:val="008B5CAC"/>
  </w:style>
  <w:style w:type="character" w:customStyle="1" w:styleId="markmia1jatt1">
    <w:name w:val="markmia1jatt1"/>
    <w:basedOn w:val="DefaultParagraphFont"/>
    <w:rsid w:val="008B5CAC"/>
  </w:style>
  <w:style w:type="character" w:customStyle="1" w:styleId="mark40ddb3k1c">
    <w:name w:val="mark40ddb3k1c"/>
    <w:basedOn w:val="DefaultParagraphFont"/>
    <w:rsid w:val="008B5CAC"/>
  </w:style>
  <w:style w:type="table" w:styleId="TableGrid">
    <w:name w:val="Table Grid"/>
    <w:basedOn w:val="TableNormal"/>
    <w:uiPriority w:val="39"/>
    <w:rsid w:val="00E818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sted11">
    <w:name w:val="contentpasted11"/>
    <w:basedOn w:val="Normal"/>
    <w:uiPriority w:val="99"/>
    <w:semiHidden/>
    <w:rsid w:val="007F48EE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7F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deq.virginia.gov/our-programs/land-waste/recycling/recycling-data/recycling-rate-repor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deq.virginia.gov/our-programs/land-waste/recycling/statewide-recycling-programs/computer-electronics-recycl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eq.virginia.gov/our-programs/land-waste/recyclin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F6FC6"/>
      </a:hlink>
      <a:folHlink>
        <a:srgbClr val="0F6F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937a0-8469-45d1-bb5c-5e30c268a0a4" xsi:nil="true"/>
    <lcf76f155ced4ddcb4097134ff3c332f xmlns="786805fa-7093-47cf-82ed-da43fde9e6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EC21778EDA74985D8572B3F9D18E7" ma:contentTypeVersion="12" ma:contentTypeDescription="Create a new document." ma:contentTypeScope="" ma:versionID="aa28b037d5fc7a2879802998e62c06f5">
  <xsd:schema xmlns:xsd="http://www.w3.org/2001/XMLSchema" xmlns:xs="http://www.w3.org/2001/XMLSchema" xmlns:p="http://schemas.microsoft.com/office/2006/metadata/properties" xmlns:ns2="786805fa-7093-47cf-82ed-da43fde9e627" xmlns:ns3="73c937a0-8469-45d1-bb5c-5e30c268a0a4" targetNamespace="http://schemas.microsoft.com/office/2006/metadata/properties" ma:root="true" ma:fieldsID="38cf56e4d89317db174cd3a93db4aba6" ns2:_="" ns3:_="">
    <xsd:import namespace="786805fa-7093-47cf-82ed-da43fde9e627"/>
    <xsd:import namespace="73c937a0-8469-45d1-bb5c-5e30c268a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05fa-7093-47cf-82ed-da43fde9e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37a0-8469-45d1-bb5c-5e30c268a0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98bbe8-b928-4137-a7db-acd90ae65252}" ma:internalName="TaxCatchAll" ma:showField="CatchAllData" ma:web="73c937a0-8469-45d1-bb5c-5e30c268a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7E899-1B32-4F91-AFEB-23DF8B5CD2C3}">
  <ds:schemaRefs>
    <ds:schemaRef ds:uri="http://schemas.microsoft.com/office/2006/metadata/properties"/>
    <ds:schemaRef ds:uri="http://schemas.microsoft.com/office/infopath/2007/PartnerControls"/>
    <ds:schemaRef ds:uri="73c937a0-8469-45d1-bb5c-5e30c268a0a4"/>
    <ds:schemaRef ds:uri="786805fa-7093-47cf-82ed-da43fde9e627"/>
  </ds:schemaRefs>
</ds:datastoreItem>
</file>

<file path=customXml/itemProps2.xml><?xml version="1.0" encoding="utf-8"?>
<ds:datastoreItem xmlns:ds="http://schemas.openxmlformats.org/officeDocument/2006/customXml" ds:itemID="{DB6D4B8D-4B72-469B-8080-32F572346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032DF-C17F-45AF-BB83-886479B90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05fa-7093-47cf-82ed-da43fde9e627"/>
    <ds:schemaRef ds:uri="73c937a0-8469-45d1-bb5c-5e30c268a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2896F-5D43-4628-8447-27688F715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ANNUAL RECYCLING SUMMARY REPORT</vt:lpstr>
    </vt:vector>
  </TitlesOfParts>
  <Manager>William K. Norris</Manager>
  <Company>Department of Environmental Quality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ANNUAL RECYCLING SUMMARY REPORT</dc:title>
  <dc:subject>CALENDAR YEAR 020</dc:subject>
  <dc:creator>NOVEMBER 2021</dc:creator>
  <cp:keywords>recycling, recycling rate, annual recycling rate report,calendar year 2003,recycling in virginia, statewide average recycling rate, principal recyclable materials, prms, supplemental recyclable materials, srms, waste disposed, data summary</cp:keywords>
  <cp:lastModifiedBy>Underwood, Jennifer (DEQ)</cp:lastModifiedBy>
  <cp:revision>2</cp:revision>
  <cp:lastPrinted>2024-02-13T18:55:00Z</cp:lastPrinted>
  <dcterms:created xsi:type="dcterms:W3CDTF">2024-11-07T18:27:00Z</dcterms:created>
  <dcterms:modified xsi:type="dcterms:W3CDTF">2024-11-07T18:27:00Z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0x010100BCEEC21778EDA74985D8572B3F9D18E7</vt:lpwstr>
  </property>
  <property fmtid="{D5CDD505-2E9C-101B-9397-08002B2CF9AE}" pid="3" name="Order">
    <vt:r8>127600</vt:r8>
  </property>
  <property fmtid="{D5CDD505-2E9C-101B-9397-08002B2CF9AE}" pid="4" name="MediaServiceImageTags">
    <vt:lpwstr/>
  </property>
</Properties>
</file>