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BA8428" w14:textId="6B334507" w:rsidR="00616BDC" w:rsidRDefault="0033129E" w:rsidP="00CA1C53">
      <w:pPr>
        <w:jc w:val="center"/>
      </w:pPr>
      <w:r>
        <w:rPr>
          <w:noProof/>
        </w:rPr>
        <w:drawing>
          <wp:inline distT="0" distB="0" distL="0" distR="0" wp14:anchorId="28EC028C" wp14:editId="0ACF8304">
            <wp:extent cx="3423283" cy="1400175"/>
            <wp:effectExtent l="0" t="0" r="6350" b="0"/>
            <wp:docPr id="818029920" name="Picture 818029920" descr="DEQ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029920" name="Picture 818029920" descr="DEQ Logo"/>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3427396" cy="1401857"/>
                    </a:xfrm>
                    <a:prstGeom prst="rect">
                      <a:avLst/>
                    </a:prstGeom>
                    <a:noFill/>
                    <a:ln>
                      <a:noFill/>
                    </a:ln>
                  </pic:spPr>
                </pic:pic>
              </a:graphicData>
            </a:graphic>
          </wp:inline>
        </w:drawing>
      </w:r>
    </w:p>
    <w:p w14:paraId="653E4EBA" w14:textId="77777777" w:rsidR="0033129E" w:rsidRDefault="0033129E" w:rsidP="00616BDC"/>
    <w:p w14:paraId="2C83E26A" w14:textId="77777777" w:rsidR="007C291C" w:rsidRDefault="007C291C" w:rsidP="00616BDC"/>
    <w:p w14:paraId="125E4B03" w14:textId="0D82768D" w:rsidR="0033129E" w:rsidRDefault="0033129E" w:rsidP="00616BDC"/>
    <w:p w14:paraId="708DA4AF" w14:textId="77777777" w:rsidR="007C291C" w:rsidRDefault="007C291C" w:rsidP="00616BDC"/>
    <w:p w14:paraId="71FEF3C2" w14:textId="5A0ECCAE" w:rsidR="00616BDC" w:rsidRPr="0074188C" w:rsidRDefault="00101B4D" w:rsidP="0074188C">
      <w:pPr>
        <w:pStyle w:val="Title"/>
        <w:rPr>
          <w:sz w:val="40"/>
          <w:szCs w:val="32"/>
        </w:rPr>
      </w:pPr>
      <w:r w:rsidRPr="0074188C">
        <w:rPr>
          <w:sz w:val="40"/>
          <w:szCs w:val="32"/>
        </w:rPr>
        <w:t xml:space="preserve">VIRGINIA’S </w:t>
      </w:r>
      <w:r w:rsidR="00B0686D" w:rsidRPr="00B0686D">
        <w:rPr>
          <w:sz w:val="40"/>
          <w:szCs w:val="32"/>
        </w:rPr>
        <w:t>2024 305(b)/303(d) Water Quality Assessment Integrated Report</w:t>
      </w:r>
    </w:p>
    <w:p w14:paraId="5300F2E3" w14:textId="729F50EB" w:rsidR="00FB1C36" w:rsidRDefault="00FB1C36" w:rsidP="0074188C">
      <w:pPr>
        <w:jc w:val="center"/>
      </w:pPr>
    </w:p>
    <w:p w14:paraId="2A10D5F3" w14:textId="623B42EE" w:rsidR="0074188C" w:rsidRDefault="0074188C" w:rsidP="0074188C">
      <w:pPr>
        <w:jc w:val="center"/>
      </w:pPr>
    </w:p>
    <w:p w14:paraId="28D8407B" w14:textId="4C334A52" w:rsidR="0074188C" w:rsidRDefault="0074188C" w:rsidP="0074188C">
      <w:pPr>
        <w:jc w:val="center"/>
      </w:pPr>
    </w:p>
    <w:p w14:paraId="1C26FD99" w14:textId="77777777" w:rsidR="009622EF" w:rsidRDefault="009622EF" w:rsidP="0074188C">
      <w:pPr>
        <w:jc w:val="center"/>
      </w:pPr>
    </w:p>
    <w:p w14:paraId="114704BA" w14:textId="3F61ED2B" w:rsidR="0074188C" w:rsidRDefault="0074188C" w:rsidP="0074188C">
      <w:pPr>
        <w:jc w:val="center"/>
      </w:pPr>
    </w:p>
    <w:p w14:paraId="24F3A806" w14:textId="341DE2A9" w:rsidR="0033129E" w:rsidRDefault="0033129E" w:rsidP="1BB3584A">
      <w:pPr>
        <w:jc w:val="center"/>
      </w:pPr>
    </w:p>
    <w:p w14:paraId="3695C87E" w14:textId="77777777" w:rsidR="0033129E" w:rsidRDefault="0033129E" w:rsidP="0074188C">
      <w:pPr>
        <w:jc w:val="center"/>
      </w:pPr>
    </w:p>
    <w:p w14:paraId="5084B42D" w14:textId="77777777" w:rsidR="0033129E" w:rsidRDefault="0033129E" w:rsidP="0074188C">
      <w:pPr>
        <w:jc w:val="center"/>
      </w:pPr>
    </w:p>
    <w:p w14:paraId="58757C7C" w14:textId="77777777" w:rsidR="0033129E" w:rsidRDefault="0033129E" w:rsidP="0074188C">
      <w:pPr>
        <w:jc w:val="center"/>
      </w:pPr>
    </w:p>
    <w:p w14:paraId="57B4C5BC" w14:textId="77777777" w:rsidR="0033129E" w:rsidRDefault="0033129E" w:rsidP="0074188C">
      <w:pPr>
        <w:jc w:val="center"/>
      </w:pPr>
    </w:p>
    <w:p w14:paraId="5F9E4FF8" w14:textId="77777777" w:rsidR="0033129E" w:rsidRDefault="0033129E" w:rsidP="0074188C">
      <w:pPr>
        <w:jc w:val="center"/>
      </w:pPr>
    </w:p>
    <w:p w14:paraId="5FE7E290" w14:textId="6022B05E" w:rsidR="00FB1C36" w:rsidRDefault="00FB1C36" w:rsidP="0074188C">
      <w:pPr>
        <w:jc w:val="center"/>
      </w:pPr>
      <w:r>
        <w:t>Submitted in accordance with Sections 303(d)</w:t>
      </w:r>
      <w:r w:rsidR="002E7208">
        <w:t xml:space="preserve"> and</w:t>
      </w:r>
      <w:r>
        <w:t xml:space="preserve"> 305(b)</w:t>
      </w:r>
      <w:r w:rsidR="002E7208">
        <w:t xml:space="preserve"> </w:t>
      </w:r>
      <w:r w:rsidR="00912B12">
        <w:t>of the Clean Water Act</w:t>
      </w:r>
      <w:r w:rsidR="002E7208">
        <w:t xml:space="preserve">, and the Virginia Water </w:t>
      </w:r>
      <w:r w:rsidR="0074188C">
        <w:t>Quality</w:t>
      </w:r>
      <w:r w:rsidR="002E7208">
        <w:t xml:space="preserve"> Monitoring, Information, and Restoration Act</w:t>
      </w:r>
    </w:p>
    <w:p w14:paraId="50819C1D" w14:textId="77777777" w:rsidR="0033129E" w:rsidRDefault="0033129E" w:rsidP="0074188C">
      <w:pPr>
        <w:jc w:val="center"/>
      </w:pPr>
    </w:p>
    <w:p w14:paraId="0BDF78C5" w14:textId="4229C9E1" w:rsidR="0033129E" w:rsidRDefault="004D6BCA" w:rsidP="0074188C">
      <w:pPr>
        <w:jc w:val="center"/>
      </w:pPr>
      <w:r w:rsidRPr="002609CB">
        <w:t>March</w:t>
      </w:r>
      <w:r w:rsidR="005F15F1" w:rsidRPr="002609CB">
        <w:t xml:space="preserve"> </w:t>
      </w:r>
      <w:r w:rsidR="0033129E" w:rsidRPr="002609CB">
        <w:t>202</w:t>
      </w:r>
      <w:r w:rsidR="002609CB">
        <w:t>5</w:t>
      </w:r>
    </w:p>
    <w:p w14:paraId="3BA188B8" w14:textId="77777777" w:rsidR="00616BDC" w:rsidRDefault="00616BDC" w:rsidP="00616BDC"/>
    <w:p w14:paraId="04DAA696" w14:textId="3DC96B56" w:rsidR="00616BDC" w:rsidRDefault="00616BDC" w:rsidP="00616BDC"/>
    <w:p w14:paraId="44AE189A" w14:textId="34BB9A90" w:rsidR="00616BDC" w:rsidRDefault="00616BDC" w:rsidP="00616BDC"/>
    <w:p w14:paraId="2B94E1C0" w14:textId="77777777" w:rsidR="00616BDC" w:rsidRDefault="00616BDC" w:rsidP="00616BDC"/>
    <w:p w14:paraId="24BBE29C" w14:textId="77777777" w:rsidR="00616BDC" w:rsidRDefault="00616BDC" w:rsidP="00616BDC"/>
    <w:p w14:paraId="030799FB" w14:textId="0869B7E3" w:rsidR="00616BDC" w:rsidRDefault="00616BDC" w:rsidP="00616BDC"/>
    <w:p w14:paraId="5BF0618B" w14:textId="77777777" w:rsidR="00616BDC" w:rsidRDefault="00616BDC" w:rsidP="00616BDC"/>
    <w:p w14:paraId="7D8B8803" w14:textId="4521A725" w:rsidR="00616BDC" w:rsidRDefault="00616BDC" w:rsidP="00616BDC"/>
    <w:p w14:paraId="7C9DD702" w14:textId="3B996538" w:rsidR="00616BDC" w:rsidRDefault="00616BDC" w:rsidP="00616BDC"/>
    <w:p w14:paraId="2D5850DA" w14:textId="38401676" w:rsidR="00616BDC" w:rsidRDefault="00616BDC" w:rsidP="00616BDC"/>
    <w:p w14:paraId="385ABBD9" w14:textId="616F054F" w:rsidR="00616BDC" w:rsidRDefault="00616BDC" w:rsidP="00616BDC"/>
    <w:p w14:paraId="7809A3D5" w14:textId="6FC830CF" w:rsidR="00616BDC" w:rsidRDefault="00616BDC" w:rsidP="00616BDC"/>
    <w:p w14:paraId="4E7C3162" w14:textId="77777777" w:rsidR="00AA59B9" w:rsidRDefault="00AA59B9" w:rsidP="00616BDC"/>
    <w:p w14:paraId="38A380AA" w14:textId="77777777" w:rsidR="00006608" w:rsidRDefault="00006608" w:rsidP="00616BDC">
      <w:pPr>
        <w:sectPr w:rsidR="00006608" w:rsidSect="009079C4">
          <w:footerReference w:type="default" r:id="rId12"/>
          <w:pgSz w:w="12240" w:h="15840" w:code="1"/>
          <w:pgMar w:top="1440" w:right="1440" w:bottom="720" w:left="1440" w:header="864" w:footer="720" w:gutter="0"/>
          <w:pgNumType w:start="1"/>
          <w:cols w:space="720"/>
          <w:titlePg/>
          <w:docGrid w:linePitch="360"/>
        </w:sectPr>
      </w:pPr>
    </w:p>
    <w:p w14:paraId="64420753" w14:textId="77777777" w:rsidR="00373649" w:rsidRPr="00616BDC" w:rsidRDefault="00373649" w:rsidP="00616BDC"/>
    <w:p w14:paraId="76198B2C" w14:textId="77777777" w:rsidR="00B703F2" w:rsidRDefault="00B703F2" w:rsidP="00B703F2">
      <w:pPr>
        <w:pStyle w:val="Heading1"/>
        <w:numPr>
          <w:ilvl w:val="0"/>
          <w:numId w:val="0"/>
        </w:numPr>
      </w:pPr>
      <w:bookmarkStart w:id="0" w:name="_Toc191900413"/>
      <w:bookmarkStart w:id="1" w:name="_Toc155771936"/>
      <w:bookmarkStart w:id="2" w:name="_Toc155772434"/>
      <w:r>
        <w:lastRenderedPageBreak/>
        <w:t>Executive Summary</w:t>
      </w:r>
      <w:bookmarkEnd w:id="0"/>
    </w:p>
    <w:p w14:paraId="4CFD0E58" w14:textId="04F3B102" w:rsidR="00B703F2" w:rsidRPr="00714792" w:rsidRDefault="00B703F2" w:rsidP="00B703F2">
      <w:pPr>
        <w:widowControl/>
        <w:textAlignment w:val="baseline"/>
        <w:rPr>
          <w:rFonts w:ascii="Segoe UI" w:hAnsi="Segoe UI" w:cs="Segoe UI"/>
          <w:snapToGrid/>
          <w:sz w:val="18"/>
          <w:szCs w:val="18"/>
        </w:rPr>
      </w:pPr>
      <w:r w:rsidRPr="00714792">
        <w:rPr>
          <w:rFonts w:ascii="Calibri" w:hAnsi="Calibri" w:cs="Calibri"/>
          <w:snapToGrid/>
          <w:szCs w:val="24"/>
        </w:rPr>
        <w:t>The 2024 Integrated Report (IR) provides the results of Virginia’s water quality assessments for monitoring data collected in the six-year period between Jan. 1, 2017, through Dec. 31, 2022. It describes the extensive efforts to monitor, assess, and improve water quality in Virginia.</w:t>
      </w:r>
    </w:p>
    <w:p w14:paraId="231C2D72" w14:textId="77777777" w:rsidR="00B703F2" w:rsidRPr="001A685E" w:rsidRDefault="00B703F2" w:rsidP="00B703F2">
      <w:pPr>
        <w:widowControl/>
        <w:textAlignment w:val="baseline"/>
        <w:rPr>
          <w:rFonts w:cstheme="minorHAnsi"/>
          <w:snapToGrid/>
          <w:szCs w:val="24"/>
        </w:rPr>
      </w:pPr>
    </w:p>
    <w:p w14:paraId="0B084256" w14:textId="5286D484" w:rsidR="00B703F2" w:rsidRPr="00714792" w:rsidRDefault="00B703F2" w:rsidP="00B703F2">
      <w:pPr>
        <w:widowControl/>
        <w:textAlignment w:val="baseline"/>
        <w:rPr>
          <w:rFonts w:ascii="Segoe UI" w:hAnsi="Segoe UI" w:cs="Segoe UI"/>
          <w:snapToGrid/>
          <w:sz w:val="18"/>
          <w:szCs w:val="18"/>
        </w:rPr>
      </w:pPr>
      <w:r w:rsidRPr="00714792">
        <w:rPr>
          <w:rFonts w:ascii="Calibri" w:hAnsi="Calibri" w:cs="Calibri"/>
          <w:snapToGrid/>
          <w:szCs w:val="24"/>
        </w:rPr>
        <w:t>Virginia’s IR is prepared every two years.</w:t>
      </w:r>
      <w:r w:rsidR="007C291C">
        <w:rPr>
          <w:rFonts w:ascii="Calibri" w:hAnsi="Calibri" w:cs="Calibri"/>
          <w:snapToGrid/>
          <w:szCs w:val="24"/>
        </w:rPr>
        <w:t xml:space="preserve"> </w:t>
      </w:r>
      <w:r w:rsidRPr="00714792">
        <w:rPr>
          <w:rFonts w:ascii="Calibri" w:hAnsi="Calibri" w:cs="Calibri"/>
          <w:snapToGrid/>
          <w:szCs w:val="24"/>
        </w:rPr>
        <w:t>The 2024 IR includes:</w:t>
      </w:r>
    </w:p>
    <w:p w14:paraId="56E5A180" w14:textId="1993A1AC" w:rsidR="00B703F2" w:rsidRPr="00714792" w:rsidRDefault="00B703F2" w:rsidP="00B703F2">
      <w:pPr>
        <w:pStyle w:val="ListParagraph"/>
        <w:widowControl/>
        <w:numPr>
          <w:ilvl w:val="0"/>
          <w:numId w:val="66"/>
        </w:numPr>
        <w:textAlignment w:val="baseline"/>
        <w:rPr>
          <w:rFonts w:ascii="Calibri" w:hAnsi="Calibri" w:cs="Calibri"/>
          <w:snapToGrid/>
          <w:szCs w:val="24"/>
        </w:rPr>
      </w:pPr>
      <w:r w:rsidRPr="4A6BCCFF">
        <w:rPr>
          <w:rFonts w:ascii="Calibri" w:hAnsi="Calibri" w:cs="Calibri"/>
          <w:snapToGrid/>
        </w:rPr>
        <w:t>A summary of water quality monitoring and assessment results in Virginia.</w:t>
      </w:r>
    </w:p>
    <w:p w14:paraId="4271978C" w14:textId="4FAE1588" w:rsidR="00B703F2" w:rsidRPr="00714792" w:rsidRDefault="00B703F2" w:rsidP="00B703F2">
      <w:pPr>
        <w:pStyle w:val="ListParagraph"/>
        <w:widowControl/>
        <w:numPr>
          <w:ilvl w:val="0"/>
          <w:numId w:val="66"/>
        </w:numPr>
        <w:textAlignment w:val="baseline"/>
        <w:rPr>
          <w:rFonts w:ascii="Calibri" w:hAnsi="Calibri" w:cs="Calibri"/>
          <w:snapToGrid/>
          <w:szCs w:val="24"/>
        </w:rPr>
      </w:pPr>
      <w:r w:rsidRPr="6FCDCC6C">
        <w:rPr>
          <w:rFonts w:ascii="Calibri" w:hAnsi="Calibri" w:cs="Calibri"/>
          <w:snapToGrid/>
        </w:rPr>
        <w:t>Information on the new Virginia Data Explorer which</w:t>
      </w:r>
      <w:r w:rsidRPr="4A6BCCFF" w:rsidDel="00714792">
        <w:rPr>
          <w:rFonts w:ascii="Calibri" w:hAnsi="Calibri" w:cs="Calibri"/>
        </w:rPr>
        <w:t xml:space="preserve"> </w:t>
      </w:r>
      <w:r w:rsidRPr="6FCDCC6C">
        <w:rPr>
          <w:rFonts w:ascii="Calibri" w:hAnsi="Calibri" w:cs="Calibri"/>
          <w:snapToGrid/>
        </w:rPr>
        <w:t>provides an efficient way to review and incorporate volunteer and non-Agency monitoring data.</w:t>
      </w:r>
    </w:p>
    <w:p w14:paraId="1ACFACDB" w14:textId="647CD846" w:rsidR="00B703F2" w:rsidRPr="00714792" w:rsidRDefault="00B703F2" w:rsidP="00B703F2">
      <w:pPr>
        <w:pStyle w:val="ListParagraph"/>
        <w:widowControl/>
        <w:numPr>
          <w:ilvl w:val="0"/>
          <w:numId w:val="66"/>
        </w:numPr>
        <w:textAlignment w:val="baseline"/>
        <w:rPr>
          <w:rFonts w:ascii="Calibri" w:hAnsi="Calibri" w:cs="Calibri"/>
          <w:snapToGrid/>
          <w:szCs w:val="24"/>
        </w:rPr>
      </w:pPr>
      <w:r w:rsidRPr="4A6BCCFF">
        <w:rPr>
          <w:rFonts w:ascii="Calibri" w:hAnsi="Calibri" w:cs="Calibri"/>
          <w:snapToGrid/>
        </w:rPr>
        <w:t>An overview of probabilistic monitoring programs in Virginia.</w:t>
      </w:r>
    </w:p>
    <w:p w14:paraId="2C26FC9D" w14:textId="2481D56A" w:rsidR="00B703F2" w:rsidRPr="00714792" w:rsidRDefault="00B703F2" w:rsidP="00B703F2">
      <w:pPr>
        <w:pStyle w:val="ListParagraph"/>
        <w:widowControl/>
        <w:numPr>
          <w:ilvl w:val="0"/>
          <w:numId w:val="66"/>
        </w:numPr>
        <w:textAlignment w:val="baseline"/>
        <w:rPr>
          <w:rFonts w:ascii="Calibri" w:hAnsi="Calibri" w:cs="Calibri"/>
          <w:snapToGrid/>
          <w:szCs w:val="24"/>
        </w:rPr>
      </w:pPr>
      <w:r w:rsidRPr="4A6BCCFF">
        <w:rPr>
          <w:rFonts w:ascii="Calibri" w:hAnsi="Calibri" w:cs="Calibri"/>
          <w:snapToGrid/>
        </w:rPr>
        <w:t>An updated Chesapeake Bay Assessment.</w:t>
      </w:r>
    </w:p>
    <w:p w14:paraId="6EB5EF92" w14:textId="77777777" w:rsidR="00B703F2" w:rsidRPr="00FF1512" w:rsidRDefault="00B703F2" w:rsidP="00B703F2">
      <w:pPr>
        <w:pStyle w:val="ListParagraph"/>
        <w:widowControl/>
        <w:numPr>
          <w:ilvl w:val="0"/>
          <w:numId w:val="66"/>
        </w:numPr>
        <w:textAlignment w:val="baseline"/>
        <w:rPr>
          <w:rFonts w:ascii="Times New Roman" w:hAnsi="Times New Roman"/>
          <w:snapToGrid/>
          <w:szCs w:val="24"/>
        </w:rPr>
      </w:pPr>
      <w:r w:rsidRPr="4A6BCCFF">
        <w:rPr>
          <w:rFonts w:ascii="Calibri" w:hAnsi="Calibri" w:cs="Calibri"/>
          <w:snapToGrid/>
        </w:rPr>
        <w:t>A 20-year trend analysis of 15 water quality parameters.</w:t>
      </w:r>
    </w:p>
    <w:p w14:paraId="54B49A64" w14:textId="77777777" w:rsidR="00B703F2" w:rsidRPr="001A685E" w:rsidRDefault="00B703F2" w:rsidP="00B703F2">
      <w:pPr>
        <w:widowControl/>
        <w:ind w:left="1080"/>
        <w:textAlignment w:val="baseline"/>
        <w:rPr>
          <w:rFonts w:cstheme="minorHAnsi"/>
          <w:snapToGrid/>
          <w:szCs w:val="24"/>
        </w:rPr>
      </w:pPr>
    </w:p>
    <w:p w14:paraId="2F93CCF7" w14:textId="23E51123" w:rsidR="00B703F2" w:rsidRPr="00FF1512" w:rsidRDefault="00B703F2" w:rsidP="00B703F2">
      <w:pPr>
        <w:pStyle w:val="Heading4"/>
        <w:rPr>
          <w:rFonts w:ascii="Segoe UI" w:hAnsi="Segoe UI" w:cs="Segoe UI"/>
          <w:snapToGrid/>
          <w:sz w:val="18"/>
          <w:szCs w:val="18"/>
        </w:rPr>
      </w:pPr>
      <w:r w:rsidRPr="002454FD">
        <w:rPr>
          <w:snapToGrid/>
        </w:rPr>
        <w:t>Monitoring Water Quality in Virginia</w:t>
      </w:r>
    </w:p>
    <w:p w14:paraId="542AE304" w14:textId="167B72AE" w:rsidR="00B703F2" w:rsidRPr="001A685E" w:rsidRDefault="00B703F2" w:rsidP="00B703F2">
      <w:pPr>
        <w:widowControl/>
        <w:textAlignment w:val="baseline"/>
        <w:rPr>
          <w:rFonts w:cstheme="minorHAnsi"/>
          <w:snapToGrid/>
          <w:sz w:val="18"/>
          <w:szCs w:val="18"/>
        </w:rPr>
      </w:pPr>
      <w:r w:rsidRPr="001A685E">
        <w:rPr>
          <w:rFonts w:cstheme="minorHAnsi"/>
          <w:snapToGrid/>
          <w:szCs w:val="24"/>
        </w:rPr>
        <w:t xml:space="preserve">DEQ’s Water Quality Monitoring Program consists of an integrated network of subprograms. Comprehensive geographic coverage of Virginia surface waters is accomplished primarily by the Ambient Watershed Monitoring Network, DEQ’s </w:t>
      </w:r>
      <w:proofErr w:type="gramStart"/>
      <w:r w:rsidRPr="001A685E">
        <w:rPr>
          <w:rFonts w:cstheme="minorHAnsi"/>
          <w:snapToGrid/>
          <w:szCs w:val="24"/>
        </w:rPr>
        <w:t>Chesapeake Bay</w:t>
      </w:r>
      <w:proofErr w:type="gramEnd"/>
      <w:r w:rsidRPr="001A685E">
        <w:rPr>
          <w:rFonts w:cstheme="minorHAnsi"/>
          <w:snapToGrid/>
          <w:szCs w:val="24"/>
        </w:rPr>
        <w:t xml:space="preserve"> Monitoring Program, and by two Probabilistic Monitoring Networks that encompass all free-flowing and estuarine waters. These are complemented by the agency’s Trend Monitoring Network, Lakes Monitoring Program, Biological Monitoring Program, Targeted Fish Tissue and Sediment Monitoring Program, and a Volunteer Monitoring Program.</w:t>
      </w:r>
      <w:r w:rsidR="00E65237">
        <w:rPr>
          <w:rFonts w:cstheme="minorHAnsi"/>
          <w:snapToGrid/>
          <w:szCs w:val="24"/>
        </w:rPr>
        <w:t xml:space="preserve"> </w:t>
      </w:r>
    </w:p>
    <w:p w14:paraId="0C53EEA4" w14:textId="77777777" w:rsidR="00B703F2" w:rsidRPr="00F94391" w:rsidRDefault="00B703F2" w:rsidP="00B703F2">
      <w:pPr>
        <w:widowControl/>
        <w:textAlignment w:val="baseline"/>
        <w:rPr>
          <w:rFonts w:cstheme="minorHAnsi"/>
          <w:snapToGrid/>
          <w:szCs w:val="24"/>
        </w:rPr>
      </w:pPr>
    </w:p>
    <w:p w14:paraId="0AF6C96C" w14:textId="56E9735C" w:rsidR="00B703F2" w:rsidRPr="002454FD" w:rsidRDefault="00B703F2" w:rsidP="00B703F2">
      <w:pPr>
        <w:widowControl/>
        <w:textAlignment w:val="baseline"/>
        <w:rPr>
          <w:rFonts w:ascii="Segoe UI" w:hAnsi="Segoe UI" w:cs="Segoe UI"/>
          <w:snapToGrid/>
          <w:sz w:val="18"/>
          <w:szCs w:val="18"/>
        </w:rPr>
      </w:pPr>
      <w:r w:rsidRPr="001A685E">
        <w:rPr>
          <w:rFonts w:cstheme="minorHAnsi"/>
          <w:snapToGrid/>
          <w:szCs w:val="24"/>
        </w:rPr>
        <w:t>Between January 2017 and December 2023, DEQ staff collected multiple samples at 3,421 water quality monitoring stations. Over 100,000 observations of temperature, dissolved oxygen, pH</w:t>
      </w:r>
      <w:r>
        <w:rPr>
          <w:rFonts w:cstheme="minorHAnsi"/>
          <w:snapToGrid/>
          <w:szCs w:val="24"/>
        </w:rPr>
        <w:t>,</w:t>
      </w:r>
      <w:r w:rsidRPr="001A685E">
        <w:rPr>
          <w:rFonts w:cstheme="minorHAnsi"/>
          <w:snapToGrid/>
          <w:szCs w:val="24"/>
        </w:rPr>
        <w:t xml:space="preserve"> and salinity were used to make aquatic life use support determinations. Approximately 55,000 bacteria samples were used to make recreation use support determinations in freshwater and estuarine environments. Thousands of ammonia, nitrate and chloride samples were</w:t>
      </w:r>
      <w:r w:rsidRPr="002454FD">
        <w:rPr>
          <w:rFonts w:ascii="Calibri" w:hAnsi="Calibri" w:cs="Calibri"/>
          <w:snapToGrid/>
          <w:szCs w:val="24"/>
        </w:rPr>
        <w:t xml:space="preserve"> assessed to determine support of </w:t>
      </w:r>
      <w:proofErr w:type="gramStart"/>
      <w:r w:rsidRPr="002454FD">
        <w:rPr>
          <w:rFonts w:ascii="Calibri" w:hAnsi="Calibri" w:cs="Calibri"/>
          <w:snapToGrid/>
          <w:szCs w:val="24"/>
        </w:rPr>
        <w:t>the wildlife</w:t>
      </w:r>
      <w:proofErr w:type="gramEnd"/>
      <w:r w:rsidRPr="002454FD">
        <w:rPr>
          <w:rFonts w:ascii="Calibri" w:hAnsi="Calibri" w:cs="Calibri"/>
          <w:snapToGrid/>
          <w:szCs w:val="24"/>
        </w:rPr>
        <w:t xml:space="preserve"> and</w:t>
      </w:r>
      <w:r>
        <w:rPr>
          <w:rFonts w:ascii="Calibri" w:hAnsi="Calibri" w:cs="Calibri"/>
          <w:snapToGrid/>
          <w:szCs w:val="24"/>
        </w:rPr>
        <w:t>/or the</w:t>
      </w:r>
      <w:r w:rsidRPr="002454FD">
        <w:rPr>
          <w:rFonts w:ascii="Calibri" w:hAnsi="Calibri" w:cs="Calibri"/>
          <w:snapToGrid/>
          <w:szCs w:val="24"/>
        </w:rPr>
        <w:t xml:space="preserve"> public water supply uses. The assessment of fish consumption and </w:t>
      </w:r>
      <w:proofErr w:type="spellStart"/>
      <w:r w:rsidRPr="002454FD">
        <w:rPr>
          <w:rFonts w:ascii="Calibri" w:hAnsi="Calibri" w:cs="Calibri"/>
          <w:snapToGrid/>
          <w:szCs w:val="24"/>
        </w:rPr>
        <w:t>shellfishing</w:t>
      </w:r>
      <w:proofErr w:type="spellEnd"/>
      <w:r w:rsidRPr="002454FD">
        <w:rPr>
          <w:rFonts w:ascii="Calibri" w:hAnsi="Calibri" w:cs="Calibri"/>
          <w:snapToGrid/>
          <w:szCs w:val="24"/>
        </w:rPr>
        <w:t xml:space="preserve"> designated uses are largely made using advisory information issued by </w:t>
      </w:r>
      <w:r w:rsidR="00C902B0">
        <w:rPr>
          <w:rFonts w:ascii="Calibri" w:hAnsi="Calibri" w:cs="Calibri"/>
          <w:snapToGrid/>
          <w:szCs w:val="24"/>
        </w:rPr>
        <w:t>the Virginia Department of Health</w:t>
      </w:r>
      <w:r w:rsidRPr="002454FD">
        <w:rPr>
          <w:rFonts w:ascii="Calibri" w:hAnsi="Calibri" w:cs="Calibri"/>
          <w:snapToGrid/>
          <w:szCs w:val="24"/>
        </w:rPr>
        <w:t>.</w:t>
      </w:r>
    </w:p>
    <w:p w14:paraId="3899DE6B" w14:textId="77777777" w:rsidR="00B703F2" w:rsidRPr="00F94391" w:rsidRDefault="00B703F2" w:rsidP="00B703F2">
      <w:pPr>
        <w:widowControl/>
        <w:textAlignment w:val="baseline"/>
        <w:rPr>
          <w:rFonts w:cstheme="minorHAnsi"/>
          <w:snapToGrid/>
          <w:szCs w:val="24"/>
        </w:rPr>
      </w:pPr>
    </w:p>
    <w:p w14:paraId="01F692D4" w14:textId="77777777" w:rsidR="00B703F2" w:rsidRPr="002454FD" w:rsidRDefault="00B703F2" w:rsidP="00B703F2">
      <w:pPr>
        <w:pStyle w:val="Heading4"/>
        <w:rPr>
          <w:rFonts w:ascii="Segoe UI" w:hAnsi="Segoe UI" w:cs="Segoe UI"/>
          <w:snapToGrid/>
          <w:sz w:val="18"/>
          <w:szCs w:val="18"/>
        </w:rPr>
      </w:pPr>
      <w:r w:rsidRPr="002454FD">
        <w:rPr>
          <w:snapToGrid/>
        </w:rPr>
        <w:t>Volunteer and Non-Agency Monitoring Data </w:t>
      </w:r>
    </w:p>
    <w:p w14:paraId="6B6B8E54" w14:textId="48DB013E" w:rsidR="00B703F2" w:rsidRPr="002454FD" w:rsidRDefault="00B703F2" w:rsidP="00B703F2">
      <w:pPr>
        <w:widowControl/>
        <w:textAlignment w:val="baseline"/>
        <w:rPr>
          <w:rFonts w:ascii="Segoe UI" w:hAnsi="Segoe UI" w:cs="Segoe UI"/>
          <w:snapToGrid/>
          <w:sz w:val="18"/>
          <w:szCs w:val="18"/>
        </w:rPr>
      </w:pPr>
      <w:r w:rsidRPr="002454FD">
        <w:rPr>
          <w:rFonts w:ascii="Calibri" w:hAnsi="Calibri" w:cs="Calibri"/>
          <w:snapToGrid/>
          <w:szCs w:val="24"/>
        </w:rPr>
        <w:t>New for the 2024 IR cycle, the Virginia Data Explorer, developed in collaboration with the Chesapeake Monitoring Cooperative and the Virginia Institute of Marine Science, is an online data management tool that is now the primary method for submitting water quality data collected by outside monitoring groups to DEQ for use in the IR.</w:t>
      </w:r>
    </w:p>
    <w:p w14:paraId="18401904" w14:textId="77777777" w:rsidR="00B703F2" w:rsidRPr="00F94391" w:rsidRDefault="00B703F2" w:rsidP="00B703F2">
      <w:pPr>
        <w:widowControl/>
        <w:textAlignment w:val="baseline"/>
        <w:rPr>
          <w:rFonts w:cstheme="minorHAnsi"/>
          <w:snapToGrid/>
          <w:szCs w:val="24"/>
        </w:rPr>
      </w:pPr>
    </w:p>
    <w:p w14:paraId="6E0C799B" w14:textId="25CF2616" w:rsidR="00B703F2" w:rsidRPr="002454FD" w:rsidRDefault="00B703F2" w:rsidP="00B703F2">
      <w:pPr>
        <w:widowControl/>
        <w:textAlignment w:val="baseline"/>
        <w:rPr>
          <w:rFonts w:ascii="Segoe UI" w:hAnsi="Segoe UI" w:cs="Segoe UI"/>
          <w:snapToGrid/>
          <w:sz w:val="18"/>
          <w:szCs w:val="18"/>
        </w:rPr>
      </w:pPr>
      <w:r w:rsidRPr="002454FD">
        <w:rPr>
          <w:rFonts w:ascii="Calibri" w:hAnsi="Calibri" w:cs="Calibri"/>
          <w:snapToGrid/>
          <w:szCs w:val="24"/>
        </w:rPr>
        <w:t xml:space="preserve">Nearly 100 </w:t>
      </w:r>
      <w:proofErr w:type="gramStart"/>
      <w:r w:rsidRPr="002454FD">
        <w:rPr>
          <w:rFonts w:ascii="Calibri" w:hAnsi="Calibri" w:cs="Calibri"/>
          <w:snapToGrid/>
          <w:szCs w:val="24"/>
        </w:rPr>
        <w:t>volunteer</w:t>
      </w:r>
      <w:proofErr w:type="gramEnd"/>
      <w:r w:rsidRPr="002454FD">
        <w:rPr>
          <w:rFonts w:ascii="Calibri" w:hAnsi="Calibri" w:cs="Calibri"/>
          <w:snapToGrid/>
          <w:szCs w:val="24"/>
        </w:rPr>
        <w:t xml:space="preserve"> and other non-agency monitoring organizations submitted data for the 2024 IR. DEQ accepts water quality data to be reviewed and evaluated for assessment purposes on a continual basis. However, to be used for the 2024 IR, data had to have been submitted by March 6, 2023. DEQ held an evening webinar for outside monitoring groups to provide an overview of the VDE on February 7, 2023. Data solicitation notices will be issued for subsequent </w:t>
      </w:r>
      <w:r w:rsidRPr="002454FD">
        <w:rPr>
          <w:rFonts w:ascii="Calibri" w:hAnsi="Calibri" w:cs="Calibri"/>
          <w:snapToGrid/>
          <w:szCs w:val="24"/>
        </w:rPr>
        <w:lastRenderedPageBreak/>
        <w:t>IR cycles at the beginning of the assessment process, which typically falls early in odd-numbered years.</w:t>
      </w:r>
    </w:p>
    <w:p w14:paraId="6FA21043" w14:textId="77777777" w:rsidR="00B703F2" w:rsidRPr="00F94391" w:rsidRDefault="00B703F2" w:rsidP="00B703F2">
      <w:pPr>
        <w:widowControl/>
        <w:textAlignment w:val="baseline"/>
        <w:rPr>
          <w:rFonts w:cstheme="minorHAnsi"/>
          <w:snapToGrid/>
          <w:szCs w:val="24"/>
        </w:rPr>
      </w:pPr>
    </w:p>
    <w:p w14:paraId="3756DC57" w14:textId="77777777" w:rsidR="00B703F2" w:rsidRPr="00FF1512" w:rsidRDefault="00B703F2" w:rsidP="00B703F2">
      <w:pPr>
        <w:pStyle w:val="Heading4"/>
        <w:rPr>
          <w:rFonts w:ascii="Segoe UI" w:hAnsi="Segoe UI" w:cs="Segoe UI"/>
          <w:snapToGrid/>
          <w:sz w:val="18"/>
          <w:szCs w:val="18"/>
        </w:rPr>
      </w:pPr>
      <w:r w:rsidRPr="002454FD">
        <w:rPr>
          <w:snapToGrid/>
        </w:rPr>
        <w:t>Statewide Assessment Results </w:t>
      </w:r>
    </w:p>
    <w:p w14:paraId="1A4FD524" w14:textId="5B6C11AE" w:rsidR="00B703F2" w:rsidRPr="002454FD" w:rsidRDefault="00F739E9" w:rsidP="00B703F2">
      <w:pPr>
        <w:widowControl/>
        <w:textAlignment w:val="baseline"/>
        <w:rPr>
          <w:rFonts w:ascii="Segoe UI" w:hAnsi="Segoe UI" w:cs="Segoe UI"/>
          <w:snapToGrid/>
          <w:sz w:val="18"/>
          <w:szCs w:val="18"/>
        </w:rPr>
      </w:pPr>
      <w:r>
        <w:rPr>
          <w:rFonts w:cstheme="minorHAnsi"/>
          <w:noProof/>
          <w14:ligatures w14:val="standardContextual"/>
        </w:rPr>
        <mc:AlternateContent>
          <mc:Choice Requires="wps">
            <w:drawing>
              <wp:anchor distT="0" distB="0" distL="114300" distR="114300" simplePos="0" relativeHeight="251658263" behindDoc="0" locked="0" layoutInCell="1" allowOverlap="1" wp14:anchorId="7C139699" wp14:editId="6BA02FB4">
                <wp:simplePos x="0" y="0"/>
                <wp:positionH relativeFrom="column">
                  <wp:posOffset>3190875</wp:posOffset>
                </wp:positionH>
                <wp:positionV relativeFrom="paragraph">
                  <wp:posOffset>829945</wp:posOffset>
                </wp:positionV>
                <wp:extent cx="2457450" cy="2333625"/>
                <wp:effectExtent l="19050" t="19050" r="19050" b="28575"/>
                <wp:wrapSquare wrapText="bothSides"/>
                <wp:docPr id="716781603"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57450" cy="2333625"/>
                        </a:xfrm>
                        <a:prstGeom prst="rect">
                          <a:avLst/>
                        </a:prstGeom>
                        <a:solidFill>
                          <a:srgbClr val="0067A4">
                            <a:alpha val="6000"/>
                          </a:srgbClr>
                        </a:solidFill>
                        <a:ln w="28575">
                          <a:solidFill>
                            <a:srgbClr val="0067A4"/>
                          </a:solidFill>
                        </a:ln>
                        <a:effectLst>
                          <a:softEdge rad="12700"/>
                        </a:effectLst>
                      </wps:spPr>
                      <wps:txbx>
                        <w:txbxContent>
                          <w:p w14:paraId="25E517A0" w14:textId="77777777" w:rsidR="00F53B1E" w:rsidRPr="00422616" w:rsidRDefault="00F53B1E" w:rsidP="00F53B1E">
                            <w:pPr>
                              <w:rPr>
                                <w:i/>
                              </w:rPr>
                            </w:pPr>
                            <w:r w:rsidRPr="00422616">
                              <w:rPr>
                                <w:i/>
                              </w:rPr>
                              <w:t xml:space="preserve">A </w:t>
                            </w:r>
                            <w:r w:rsidRPr="00422616">
                              <w:rPr>
                                <w:b/>
                                <w:i/>
                              </w:rPr>
                              <w:t>waterbody segment</w:t>
                            </w:r>
                            <w:r w:rsidRPr="00422616">
                              <w:rPr>
                                <w:i/>
                              </w:rPr>
                              <w:t xml:space="preserve"> or </w:t>
                            </w:r>
                            <w:r w:rsidRPr="00422616">
                              <w:rPr>
                                <w:b/>
                                <w:i/>
                              </w:rPr>
                              <w:t xml:space="preserve">assessment unit </w:t>
                            </w:r>
                            <w:r w:rsidRPr="00422616">
                              <w:rPr>
                                <w:i/>
                              </w:rPr>
                              <w:t xml:space="preserve">is a geographically defined portion of an estuary, river, stream, or reservoir that is assigned designated uses. Where data is sufficient, water quality monitoring data collected within or proximal to the defined waterbody area is evaluated against established numeric or narrative water quality thresholds, or criteria, to determine if the uses are met. </w:t>
                            </w:r>
                          </w:p>
                          <w:p w14:paraId="60C81C01" w14:textId="77777777" w:rsidR="00F739E9" w:rsidRPr="00535EA5" w:rsidRDefault="00F739E9" w:rsidP="00F739E9">
                            <w:pPr>
                              <w:rPr>
                                <w:color w:val="000000" w:themeColor="text1"/>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139699" id="_x0000_t202" coordsize="21600,21600" o:spt="202" path="m,l,21600r21600,l21600,xe">
                <v:stroke joinstyle="miter"/>
                <v:path gradientshapeok="t" o:connecttype="rect"/>
              </v:shapetype>
              <v:shape id="Text Box 1" o:spid="_x0000_s1026" type="#_x0000_t202" alt="&quot;&quot;" style="position:absolute;margin-left:251.25pt;margin-top:65.35pt;width:193.5pt;height:183.7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" fillcolor="#0067a4" strokecolor="#0067a4" strokeweight="2.25pt">
                <v:fill opacity="3855f"/>
                <v:textbox>
                  <w:txbxContent>
                    <w:p w14:paraId="25E517A0" w14:textId="77777777" w:rsidR="00F53B1E" w:rsidRPr="00422616" w:rsidRDefault="00F53B1E" w:rsidP="00F53B1E">
                      <w:pPr>
                        <w:rPr>
                          <w:i/>
                        </w:rPr>
                      </w:pPr>
                      <w:r w:rsidRPr="00422616">
                        <w:rPr>
                          <w:i/>
                        </w:rPr>
                        <w:t xml:space="preserve">A </w:t>
                      </w:r>
                      <w:r w:rsidRPr="00422616">
                        <w:rPr>
                          <w:b/>
                          <w:i/>
                        </w:rPr>
                        <w:t>waterbody segment</w:t>
                      </w:r>
                      <w:r w:rsidRPr="00422616">
                        <w:rPr>
                          <w:i/>
                        </w:rPr>
                        <w:t xml:space="preserve"> or </w:t>
                      </w:r>
                      <w:r w:rsidRPr="00422616">
                        <w:rPr>
                          <w:b/>
                          <w:i/>
                        </w:rPr>
                        <w:t xml:space="preserve">assessment unit </w:t>
                      </w:r>
                      <w:r w:rsidRPr="00422616">
                        <w:rPr>
                          <w:i/>
                        </w:rPr>
                        <w:t xml:space="preserve">is a geographically defined portion of an estuary, river, stream, or reservoir that is assigned designated uses. Where data is sufficient, water quality monitoring data collected within or proximal to the defined waterbody area is evaluated against established numeric or narrative water quality thresholds, or criteria, to determine if the uses are met. </w:t>
                      </w:r>
                    </w:p>
                    <w:p w14:paraId="60C81C01" w14:textId="77777777" w:rsidR="00F739E9" w:rsidRPr="00535EA5" w:rsidRDefault="00F739E9" w:rsidP="00F739E9">
                      <w:pPr>
                        <w:rPr>
                          <w:color w:val="000000" w:themeColor="text1"/>
                          <w:szCs w:val="18"/>
                        </w:rPr>
                      </w:pPr>
                    </w:p>
                  </w:txbxContent>
                </v:textbox>
                <w10:wrap type="square"/>
              </v:shape>
            </w:pict>
          </mc:Fallback>
        </mc:AlternateContent>
      </w:r>
      <w:r w:rsidR="00B703F2" w:rsidRPr="66898EE2">
        <w:rPr>
          <w:rFonts w:ascii="Calibri" w:hAnsi="Calibri" w:cs="Calibri"/>
          <w:snapToGrid/>
        </w:rPr>
        <w:t xml:space="preserve">A primary objective of the IR is to determine whether Virginia’s waters support the six designated uses mandated by Virginia’s Water Quality Standards: fish consumption, </w:t>
      </w:r>
      <w:proofErr w:type="spellStart"/>
      <w:r w:rsidR="00B703F2" w:rsidRPr="66898EE2">
        <w:rPr>
          <w:rFonts w:ascii="Calibri" w:hAnsi="Calibri" w:cs="Calibri"/>
          <w:snapToGrid/>
        </w:rPr>
        <w:t>shellfishing</w:t>
      </w:r>
      <w:proofErr w:type="spellEnd"/>
      <w:r w:rsidR="00B703F2" w:rsidRPr="66898EE2">
        <w:rPr>
          <w:rFonts w:ascii="Calibri" w:hAnsi="Calibri" w:cs="Calibri"/>
          <w:snapToGrid/>
        </w:rPr>
        <w:t xml:space="preserve">, recreation, public water supply, wildlife, and aquatic life-- which includes several </w:t>
      </w:r>
      <w:r w:rsidR="009E6817" w:rsidRPr="00A414AC">
        <w:rPr>
          <w:szCs w:val="24"/>
        </w:rPr>
        <w:t>Chesapeake Bay specific designated uses</w:t>
      </w:r>
      <w:r w:rsidR="00B703F2" w:rsidRPr="66898EE2">
        <w:rPr>
          <w:rFonts w:ascii="Calibri" w:hAnsi="Calibri" w:cs="Calibri"/>
          <w:snapToGrid/>
        </w:rPr>
        <w:t>. A diverse water monitoring dataset, collected by DEQ and others, is reviewed and evaluated through the IR process. If data show that a</w:t>
      </w:r>
      <w:r w:rsidR="00B703F2" w:rsidRPr="66898EE2" w:rsidDel="00A36F81">
        <w:rPr>
          <w:rFonts w:ascii="Calibri" w:hAnsi="Calibri" w:cs="Calibri"/>
          <w:snapToGrid/>
        </w:rPr>
        <w:t xml:space="preserve"> </w:t>
      </w:r>
      <w:proofErr w:type="gramStart"/>
      <w:r w:rsidR="00B703F2" w:rsidRPr="66898EE2">
        <w:rPr>
          <w:rFonts w:ascii="Calibri" w:hAnsi="Calibri" w:cs="Calibri"/>
          <w:snapToGrid/>
        </w:rPr>
        <w:t>waterbody</w:t>
      </w:r>
      <w:proofErr w:type="gramEnd"/>
      <w:r w:rsidR="00B703F2" w:rsidRPr="66898EE2">
        <w:rPr>
          <w:rFonts w:ascii="Calibri" w:hAnsi="Calibri" w:cs="Calibri"/>
          <w:snapToGrid/>
        </w:rPr>
        <w:t xml:space="preserve"> segment exceeds the pollutant level allowed by water quality criteria or does not meet a specified threshold, it will not support one or more of its designated uses. Such waters are considered “impaired” and placed on the List of Impaired Waters (Appendix 1a). New for the 2024 IR is the first assessment of benthic chlorophyll-a data to make recreation use attainment determinations in portions of the Mainstem, North Fork, and South Fork of the Shenandoah River.</w:t>
      </w:r>
    </w:p>
    <w:p w14:paraId="03B09043" w14:textId="77777777" w:rsidR="00B703F2" w:rsidRPr="00CA11BD" w:rsidRDefault="00B703F2" w:rsidP="00B703F2">
      <w:pPr>
        <w:widowControl/>
        <w:textAlignment w:val="baseline"/>
        <w:rPr>
          <w:rFonts w:cstheme="minorHAnsi"/>
          <w:snapToGrid/>
          <w:szCs w:val="24"/>
        </w:rPr>
      </w:pPr>
    </w:p>
    <w:p w14:paraId="279B0713" w14:textId="39311CC1" w:rsidR="00B703F2" w:rsidRPr="000E4CE4" w:rsidRDefault="00B703F2" w:rsidP="00B703F2">
      <w:pPr>
        <w:widowControl/>
        <w:textAlignment w:val="baseline"/>
        <w:rPr>
          <w:rFonts w:ascii="Segoe UI" w:hAnsi="Segoe UI" w:cs="Segoe UI"/>
          <w:snapToGrid/>
          <w:sz w:val="20"/>
        </w:rPr>
      </w:pPr>
      <w:r w:rsidRPr="000E4CE4">
        <w:rPr>
          <w:rFonts w:ascii="Calibri" w:hAnsi="Calibri" w:cs="Calibri"/>
          <w:snapToGrid/>
          <w:sz w:val="20"/>
        </w:rPr>
        <w:t>Assessment results by waterbody type.</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Overview of Assessment Results"/>
      </w:tblPr>
      <w:tblGrid>
        <w:gridCol w:w="3060"/>
        <w:gridCol w:w="1980"/>
        <w:gridCol w:w="1980"/>
        <w:gridCol w:w="2340"/>
      </w:tblGrid>
      <w:tr w:rsidR="00B703F2" w:rsidRPr="002454FD" w14:paraId="68E0F219" w14:textId="77777777">
        <w:trPr>
          <w:trHeight w:val="360"/>
        </w:trPr>
        <w:tc>
          <w:tcPr>
            <w:tcW w:w="3060" w:type="dxa"/>
            <w:tcBorders>
              <w:top w:val="single" w:sz="12" w:space="0" w:color="auto"/>
              <w:left w:val="nil"/>
              <w:bottom w:val="single" w:sz="6" w:space="0" w:color="auto"/>
              <w:right w:val="nil"/>
            </w:tcBorders>
            <w:shd w:val="clear" w:color="auto" w:fill="auto"/>
            <w:vAlign w:val="center"/>
            <w:hideMark/>
          </w:tcPr>
          <w:p w14:paraId="016B283E" w14:textId="77777777" w:rsidR="00B703F2" w:rsidRPr="002454FD" w:rsidRDefault="00B703F2">
            <w:pPr>
              <w:widowControl/>
              <w:jc w:val="center"/>
              <w:textAlignment w:val="baseline"/>
              <w:rPr>
                <w:rFonts w:ascii="Times New Roman" w:hAnsi="Times New Roman"/>
                <w:i/>
                <w:iCs/>
                <w:snapToGrid/>
                <w:szCs w:val="24"/>
              </w:rPr>
            </w:pPr>
            <w:r w:rsidRPr="002454FD">
              <w:rPr>
                <w:rFonts w:ascii="Calibri" w:hAnsi="Calibri" w:cs="Calibri"/>
                <w:i/>
                <w:iCs/>
                <w:snapToGrid/>
                <w:color w:val="000000"/>
                <w:sz w:val="22"/>
                <w:szCs w:val="22"/>
              </w:rPr>
              <w:t> </w:t>
            </w:r>
          </w:p>
        </w:tc>
        <w:tc>
          <w:tcPr>
            <w:tcW w:w="1980" w:type="dxa"/>
            <w:tcBorders>
              <w:top w:val="single" w:sz="12" w:space="0" w:color="auto"/>
              <w:left w:val="nil"/>
              <w:bottom w:val="single" w:sz="6" w:space="0" w:color="auto"/>
              <w:right w:val="nil"/>
            </w:tcBorders>
            <w:shd w:val="clear" w:color="auto" w:fill="auto"/>
            <w:vAlign w:val="center"/>
            <w:hideMark/>
          </w:tcPr>
          <w:p w14:paraId="06F378D1" w14:textId="77777777" w:rsidR="00B703F2" w:rsidRPr="002454FD" w:rsidRDefault="00B703F2">
            <w:pPr>
              <w:widowControl/>
              <w:jc w:val="center"/>
              <w:textAlignment w:val="baseline"/>
              <w:rPr>
                <w:rFonts w:ascii="Times New Roman" w:hAnsi="Times New Roman"/>
                <w:i/>
                <w:iCs/>
                <w:snapToGrid/>
                <w:szCs w:val="24"/>
              </w:rPr>
            </w:pPr>
            <w:r w:rsidRPr="002454FD">
              <w:rPr>
                <w:rFonts w:ascii="Calibri" w:hAnsi="Calibri" w:cs="Calibri"/>
                <w:b/>
                <w:bCs/>
                <w:snapToGrid/>
                <w:color w:val="000000"/>
                <w:sz w:val="22"/>
                <w:szCs w:val="22"/>
              </w:rPr>
              <w:t>Rivers (Miles)</w:t>
            </w:r>
            <w:r w:rsidRPr="002454FD">
              <w:rPr>
                <w:rFonts w:ascii="Calibri" w:hAnsi="Calibri" w:cs="Calibri"/>
                <w:i/>
                <w:iCs/>
                <w:snapToGrid/>
                <w:color w:val="000000"/>
                <w:sz w:val="22"/>
                <w:szCs w:val="22"/>
              </w:rPr>
              <w:t> </w:t>
            </w:r>
          </w:p>
        </w:tc>
        <w:tc>
          <w:tcPr>
            <w:tcW w:w="1980" w:type="dxa"/>
            <w:tcBorders>
              <w:top w:val="single" w:sz="12" w:space="0" w:color="auto"/>
              <w:left w:val="nil"/>
              <w:bottom w:val="single" w:sz="6" w:space="0" w:color="auto"/>
              <w:right w:val="nil"/>
            </w:tcBorders>
            <w:shd w:val="clear" w:color="auto" w:fill="auto"/>
            <w:vAlign w:val="center"/>
            <w:hideMark/>
          </w:tcPr>
          <w:p w14:paraId="456E966F" w14:textId="77777777" w:rsidR="00B703F2" w:rsidRPr="002454FD" w:rsidRDefault="00B703F2">
            <w:pPr>
              <w:widowControl/>
              <w:jc w:val="center"/>
              <w:textAlignment w:val="baseline"/>
              <w:rPr>
                <w:rFonts w:ascii="Times New Roman" w:hAnsi="Times New Roman"/>
                <w:i/>
                <w:iCs/>
                <w:snapToGrid/>
                <w:szCs w:val="24"/>
              </w:rPr>
            </w:pPr>
            <w:r w:rsidRPr="002454FD">
              <w:rPr>
                <w:rFonts w:ascii="Calibri" w:hAnsi="Calibri" w:cs="Calibri"/>
                <w:b/>
                <w:bCs/>
                <w:snapToGrid/>
                <w:color w:val="000000"/>
                <w:sz w:val="22"/>
                <w:szCs w:val="22"/>
              </w:rPr>
              <w:t>Lakes (Acres)</w:t>
            </w:r>
            <w:r w:rsidRPr="002454FD">
              <w:rPr>
                <w:rFonts w:ascii="Calibri" w:hAnsi="Calibri" w:cs="Calibri"/>
                <w:i/>
                <w:iCs/>
                <w:snapToGrid/>
                <w:color w:val="000000"/>
                <w:sz w:val="22"/>
                <w:szCs w:val="22"/>
              </w:rPr>
              <w:t> </w:t>
            </w:r>
          </w:p>
        </w:tc>
        <w:tc>
          <w:tcPr>
            <w:tcW w:w="2340" w:type="dxa"/>
            <w:tcBorders>
              <w:top w:val="single" w:sz="12" w:space="0" w:color="auto"/>
              <w:left w:val="nil"/>
              <w:bottom w:val="single" w:sz="6" w:space="0" w:color="auto"/>
              <w:right w:val="nil"/>
            </w:tcBorders>
            <w:shd w:val="clear" w:color="auto" w:fill="auto"/>
            <w:vAlign w:val="center"/>
            <w:hideMark/>
          </w:tcPr>
          <w:p w14:paraId="3E8E019E" w14:textId="77777777" w:rsidR="00B703F2" w:rsidRPr="002454FD" w:rsidRDefault="00B703F2">
            <w:pPr>
              <w:widowControl/>
              <w:jc w:val="center"/>
              <w:textAlignment w:val="baseline"/>
              <w:rPr>
                <w:rFonts w:ascii="Times New Roman" w:hAnsi="Times New Roman"/>
                <w:i/>
                <w:iCs/>
                <w:snapToGrid/>
                <w:szCs w:val="24"/>
              </w:rPr>
            </w:pPr>
            <w:r w:rsidRPr="002454FD">
              <w:rPr>
                <w:rFonts w:ascii="Calibri" w:hAnsi="Calibri" w:cs="Calibri"/>
                <w:b/>
                <w:bCs/>
                <w:snapToGrid/>
                <w:color w:val="000000"/>
                <w:sz w:val="22"/>
                <w:szCs w:val="22"/>
              </w:rPr>
              <w:t>Estuaries (Miles</w:t>
            </w:r>
            <w:r w:rsidRPr="002454FD">
              <w:rPr>
                <w:rFonts w:ascii="Calibri" w:hAnsi="Calibri" w:cs="Calibri"/>
                <w:b/>
                <w:bCs/>
                <w:snapToGrid/>
                <w:color w:val="000000"/>
                <w:sz w:val="17"/>
                <w:szCs w:val="17"/>
                <w:vertAlign w:val="superscript"/>
              </w:rPr>
              <w:t>2</w:t>
            </w:r>
            <w:r w:rsidRPr="002454FD">
              <w:rPr>
                <w:rFonts w:ascii="Calibri" w:hAnsi="Calibri" w:cs="Calibri"/>
                <w:b/>
                <w:bCs/>
                <w:snapToGrid/>
                <w:color w:val="000000"/>
                <w:sz w:val="22"/>
                <w:szCs w:val="22"/>
              </w:rPr>
              <w:t>)</w:t>
            </w:r>
            <w:r w:rsidRPr="002454FD">
              <w:rPr>
                <w:rFonts w:ascii="Calibri" w:hAnsi="Calibri" w:cs="Calibri"/>
                <w:i/>
                <w:iCs/>
                <w:snapToGrid/>
                <w:color w:val="000000"/>
                <w:sz w:val="22"/>
                <w:szCs w:val="22"/>
              </w:rPr>
              <w:t> </w:t>
            </w:r>
          </w:p>
        </w:tc>
      </w:tr>
      <w:tr w:rsidR="00B703F2" w:rsidRPr="002454FD" w14:paraId="0D88672C" w14:textId="77777777">
        <w:trPr>
          <w:trHeight w:val="360"/>
        </w:trPr>
        <w:tc>
          <w:tcPr>
            <w:tcW w:w="3060" w:type="dxa"/>
            <w:tcBorders>
              <w:top w:val="single" w:sz="6" w:space="0" w:color="auto"/>
              <w:left w:val="nil"/>
              <w:bottom w:val="nil"/>
              <w:right w:val="nil"/>
            </w:tcBorders>
            <w:shd w:val="clear" w:color="auto" w:fill="auto"/>
            <w:vAlign w:val="center"/>
            <w:hideMark/>
          </w:tcPr>
          <w:p w14:paraId="18B491E9" w14:textId="1478F20F" w:rsidR="00B703F2" w:rsidRPr="002454FD" w:rsidRDefault="00B703F2">
            <w:pPr>
              <w:widowControl/>
              <w:jc w:val="center"/>
              <w:textAlignment w:val="baseline"/>
              <w:rPr>
                <w:rFonts w:ascii="Times New Roman" w:hAnsi="Times New Roman"/>
                <w:i/>
                <w:iCs/>
                <w:snapToGrid/>
                <w:szCs w:val="24"/>
              </w:rPr>
            </w:pPr>
            <w:r w:rsidRPr="002454FD">
              <w:rPr>
                <w:rFonts w:ascii="Calibri" w:hAnsi="Calibri" w:cs="Calibri"/>
                <w:b/>
                <w:bCs/>
                <w:snapToGrid/>
                <w:color w:val="000000"/>
                <w:sz w:val="22"/>
                <w:szCs w:val="22"/>
              </w:rPr>
              <w:t>Non-Impaired</w:t>
            </w:r>
          </w:p>
        </w:tc>
        <w:tc>
          <w:tcPr>
            <w:tcW w:w="1980" w:type="dxa"/>
            <w:tcBorders>
              <w:top w:val="single" w:sz="6" w:space="0" w:color="auto"/>
              <w:left w:val="nil"/>
              <w:bottom w:val="nil"/>
              <w:right w:val="nil"/>
            </w:tcBorders>
            <w:shd w:val="clear" w:color="auto" w:fill="auto"/>
            <w:vAlign w:val="center"/>
            <w:hideMark/>
          </w:tcPr>
          <w:p w14:paraId="624E4F8A" w14:textId="06A93FF0" w:rsidR="00B703F2" w:rsidRPr="002454FD" w:rsidRDefault="00B703F2">
            <w:pPr>
              <w:widowControl/>
              <w:jc w:val="center"/>
              <w:textAlignment w:val="baseline"/>
              <w:rPr>
                <w:rFonts w:ascii="Times New Roman" w:hAnsi="Times New Roman"/>
                <w:snapToGrid/>
              </w:rPr>
            </w:pPr>
            <w:r w:rsidRPr="002454FD">
              <w:rPr>
                <w:rFonts w:ascii="Calibri" w:hAnsi="Calibri" w:cs="Calibri"/>
                <w:snapToGrid/>
                <w:color w:val="000000"/>
                <w:sz w:val="22"/>
                <w:szCs w:val="22"/>
              </w:rPr>
              <w:t>3,</w:t>
            </w:r>
            <w:r w:rsidR="1D5281B2" w:rsidRPr="002454FD">
              <w:rPr>
                <w:rFonts w:ascii="Calibri" w:hAnsi="Calibri" w:cs="Calibri"/>
                <w:snapToGrid/>
                <w:color w:val="000000"/>
                <w:sz w:val="22"/>
                <w:szCs w:val="22"/>
              </w:rPr>
              <w:t>516</w:t>
            </w:r>
            <w:r w:rsidRPr="002454FD">
              <w:rPr>
                <w:rFonts w:ascii="Calibri" w:hAnsi="Calibri" w:cs="Calibri"/>
                <w:snapToGrid/>
                <w:color w:val="000000"/>
                <w:sz w:val="22"/>
                <w:szCs w:val="22"/>
              </w:rPr>
              <w:t xml:space="preserve"> (4%) </w:t>
            </w:r>
          </w:p>
        </w:tc>
        <w:tc>
          <w:tcPr>
            <w:tcW w:w="1980" w:type="dxa"/>
            <w:tcBorders>
              <w:top w:val="single" w:sz="6" w:space="0" w:color="auto"/>
              <w:left w:val="nil"/>
              <w:bottom w:val="nil"/>
              <w:right w:val="nil"/>
            </w:tcBorders>
            <w:shd w:val="clear" w:color="auto" w:fill="auto"/>
            <w:vAlign w:val="center"/>
            <w:hideMark/>
          </w:tcPr>
          <w:p w14:paraId="714E4E4D"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13,338 (11%) </w:t>
            </w:r>
          </w:p>
        </w:tc>
        <w:tc>
          <w:tcPr>
            <w:tcW w:w="2340" w:type="dxa"/>
            <w:tcBorders>
              <w:top w:val="single" w:sz="6" w:space="0" w:color="auto"/>
              <w:left w:val="nil"/>
              <w:bottom w:val="nil"/>
              <w:right w:val="nil"/>
            </w:tcBorders>
            <w:shd w:val="clear" w:color="auto" w:fill="auto"/>
            <w:vAlign w:val="center"/>
            <w:hideMark/>
          </w:tcPr>
          <w:p w14:paraId="641ED2C3" w14:textId="581B94A5" w:rsidR="00B703F2" w:rsidRPr="002454FD" w:rsidRDefault="00B703F2">
            <w:pPr>
              <w:widowControl/>
              <w:jc w:val="center"/>
              <w:textAlignment w:val="baseline"/>
              <w:rPr>
                <w:rFonts w:ascii="Times New Roman" w:hAnsi="Times New Roman"/>
                <w:snapToGrid/>
              </w:rPr>
            </w:pPr>
            <w:r w:rsidRPr="002454FD">
              <w:rPr>
                <w:rFonts w:ascii="Calibri" w:hAnsi="Calibri" w:cs="Calibri"/>
                <w:snapToGrid/>
                <w:color w:val="000000"/>
                <w:sz w:val="22"/>
                <w:szCs w:val="22"/>
              </w:rPr>
              <w:t>30</w:t>
            </w:r>
            <w:r w:rsidR="0182CBB7" w:rsidRPr="002454FD">
              <w:rPr>
                <w:rFonts w:ascii="Calibri" w:hAnsi="Calibri" w:cs="Calibri"/>
                <w:snapToGrid/>
                <w:color w:val="000000"/>
                <w:sz w:val="22"/>
                <w:szCs w:val="22"/>
              </w:rPr>
              <w:t>6</w:t>
            </w:r>
            <w:r w:rsidRPr="002454FD">
              <w:rPr>
                <w:rFonts w:ascii="Calibri" w:hAnsi="Calibri" w:cs="Calibri"/>
                <w:snapToGrid/>
                <w:color w:val="000000"/>
                <w:sz w:val="22"/>
                <w:szCs w:val="22"/>
              </w:rPr>
              <w:t xml:space="preserve"> (11%) </w:t>
            </w:r>
          </w:p>
        </w:tc>
      </w:tr>
      <w:tr w:rsidR="00B703F2" w:rsidRPr="002454FD" w14:paraId="4CDA2111" w14:textId="77777777">
        <w:trPr>
          <w:trHeight w:val="360"/>
        </w:trPr>
        <w:tc>
          <w:tcPr>
            <w:tcW w:w="3060" w:type="dxa"/>
            <w:tcBorders>
              <w:top w:val="nil"/>
              <w:left w:val="nil"/>
              <w:bottom w:val="nil"/>
              <w:right w:val="nil"/>
            </w:tcBorders>
            <w:shd w:val="clear" w:color="auto" w:fill="auto"/>
            <w:vAlign w:val="center"/>
            <w:hideMark/>
          </w:tcPr>
          <w:p w14:paraId="44EABEC7" w14:textId="7EEAD91A" w:rsidR="00B703F2" w:rsidRPr="002454FD" w:rsidRDefault="00B703F2">
            <w:pPr>
              <w:widowControl/>
              <w:jc w:val="center"/>
              <w:textAlignment w:val="baseline"/>
              <w:rPr>
                <w:rFonts w:ascii="Times New Roman" w:hAnsi="Times New Roman"/>
                <w:i/>
                <w:iCs/>
                <w:snapToGrid/>
                <w:szCs w:val="24"/>
              </w:rPr>
            </w:pPr>
            <w:r w:rsidRPr="002454FD">
              <w:rPr>
                <w:rFonts w:ascii="Calibri" w:hAnsi="Calibri" w:cs="Calibri"/>
                <w:b/>
                <w:bCs/>
                <w:snapToGrid/>
                <w:color w:val="000000"/>
                <w:sz w:val="22"/>
                <w:szCs w:val="22"/>
              </w:rPr>
              <w:t>Impaired</w:t>
            </w:r>
          </w:p>
        </w:tc>
        <w:tc>
          <w:tcPr>
            <w:tcW w:w="1980" w:type="dxa"/>
            <w:tcBorders>
              <w:top w:val="nil"/>
              <w:left w:val="nil"/>
              <w:bottom w:val="nil"/>
              <w:right w:val="nil"/>
            </w:tcBorders>
            <w:shd w:val="clear" w:color="auto" w:fill="auto"/>
            <w:vAlign w:val="center"/>
            <w:hideMark/>
          </w:tcPr>
          <w:p w14:paraId="7CA5B02E" w14:textId="6A5AE1B0" w:rsidR="00B703F2" w:rsidRPr="002454FD" w:rsidRDefault="00B703F2">
            <w:pPr>
              <w:widowControl/>
              <w:jc w:val="center"/>
              <w:textAlignment w:val="baseline"/>
              <w:rPr>
                <w:rFonts w:ascii="Times New Roman" w:hAnsi="Times New Roman"/>
                <w:snapToGrid/>
              </w:rPr>
            </w:pPr>
            <w:r w:rsidRPr="002454FD">
              <w:rPr>
                <w:rFonts w:ascii="Calibri" w:hAnsi="Calibri" w:cs="Calibri"/>
                <w:snapToGrid/>
                <w:color w:val="000000"/>
                <w:sz w:val="22"/>
                <w:szCs w:val="22"/>
              </w:rPr>
              <w:t>16,</w:t>
            </w:r>
            <w:r w:rsidR="5CB5E106" w:rsidRPr="002454FD">
              <w:rPr>
                <w:rFonts w:ascii="Calibri" w:hAnsi="Calibri" w:cs="Calibri"/>
                <w:snapToGrid/>
                <w:color w:val="000000"/>
                <w:sz w:val="22"/>
                <w:szCs w:val="22"/>
              </w:rPr>
              <w:t>312</w:t>
            </w:r>
            <w:r w:rsidRPr="002454FD">
              <w:rPr>
                <w:rFonts w:ascii="Calibri" w:hAnsi="Calibri" w:cs="Calibri"/>
                <w:snapToGrid/>
                <w:color w:val="000000"/>
                <w:sz w:val="22"/>
                <w:szCs w:val="22"/>
              </w:rPr>
              <w:t xml:space="preserve"> (16%) </w:t>
            </w:r>
          </w:p>
        </w:tc>
        <w:tc>
          <w:tcPr>
            <w:tcW w:w="1980" w:type="dxa"/>
            <w:tcBorders>
              <w:top w:val="nil"/>
              <w:left w:val="nil"/>
              <w:bottom w:val="nil"/>
              <w:right w:val="nil"/>
            </w:tcBorders>
            <w:shd w:val="clear" w:color="auto" w:fill="auto"/>
            <w:vAlign w:val="center"/>
            <w:hideMark/>
          </w:tcPr>
          <w:p w14:paraId="7B64D762" w14:textId="14A85134" w:rsidR="00B703F2" w:rsidRPr="002454FD" w:rsidRDefault="00B703F2">
            <w:pPr>
              <w:widowControl/>
              <w:jc w:val="center"/>
              <w:textAlignment w:val="baseline"/>
              <w:rPr>
                <w:rFonts w:ascii="Calibri" w:hAnsi="Calibri" w:cs="Calibri"/>
                <w:snapToGrid/>
                <w:color w:val="000000" w:themeColor="text1"/>
                <w:sz w:val="22"/>
                <w:szCs w:val="22"/>
              </w:rPr>
            </w:pPr>
            <w:r w:rsidRPr="002454FD">
              <w:rPr>
                <w:rFonts w:ascii="Calibri" w:hAnsi="Calibri" w:cs="Calibri"/>
                <w:snapToGrid/>
                <w:color w:val="000000"/>
                <w:sz w:val="22"/>
                <w:szCs w:val="22"/>
              </w:rPr>
              <w:t>10</w:t>
            </w:r>
            <w:r w:rsidR="40915396" w:rsidRPr="002454FD">
              <w:rPr>
                <w:rFonts w:ascii="Calibri" w:hAnsi="Calibri" w:cs="Calibri"/>
                <w:snapToGrid/>
                <w:color w:val="000000"/>
                <w:sz w:val="22"/>
                <w:szCs w:val="22"/>
              </w:rPr>
              <w:t>2</w:t>
            </w:r>
            <w:r w:rsidRPr="002454FD">
              <w:rPr>
                <w:rFonts w:ascii="Calibri" w:hAnsi="Calibri" w:cs="Calibri"/>
                <w:snapToGrid/>
                <w:color w:val="000000"/>
                <w:sz w:val="22"/>
                <w:szCs w:val="22"/>
              </w:rPr>
              <w:t>,</w:t>
            </w:r>
            <w:r w:rsidR="11CA077D" w:rsidRPr="002454FD">
              <w:rPr>
                <w:rFonts w:ascii="Calibri" w:hAnsi="Calibri" w:cs="Calibri"/>
                <w:snapToGrid/>
                <w:color w:val="000000"/>
                <w:sz w:val="22"/>
                <w:szCs w:val="22"/>
              </w:rPr>
              <w:t>091</w:t>
            </w:r>
            <w:r w:rsidRPr="002454FD">
              <w:rPr>
                <w:rFonts w:ascii="Calibri" w:hAnsi="Calibri" w:cs="Calibri"/>
                <w:snapToGrid/>
                <w:color w:val="000000"/>
                <w:sz w:val="22"/>
                <w:szCs w:val="22"/>
              </w:rPr>
              <w:t xml:space="preserve"> (8</w:t>
            </w:r>
            <w:r w:rsidR="6E4823A8" w:rsidRPr="002454FD">
              <w:rPr>
                <w:rFonts w:ascii="Calibri" w:hAnsi="Calibri" w:cs="Calibri"/>
                <w:snapToGrid/>
                <w:color w:val="000000"/>
                <w:sz w:val="22"/>
                <w:szCs w:val="22"/>
              </w:rPr>
              <w:t>7</w:t>
            </w:r>
            <w:r w:rsidRPr="002454FD">
              <w:rPr>
                <w:rFonts w:ascii="Calibri" w:hAnsi="Calibri" w:cs="Calibri"/>
                <w:snapToGrid/>
                <w:color w:val="000000"/>
                <w:sz w:val="22"/>
                <w:szCs w:val="22"/>
              </w:rPr>
              <w:t>%) </w:t>
            </w:r>
          </w:p>
        </w:tc>
        <w:tc>
          <w:tcPr>
            <w:tcW w:w="2340" w:type="dxa"/>
            <w:tcBorders>
              <w:top w:val="nil"/>
              <w:left w:val="nil"/>
              <w:bottom w:val="nil"/>
              <w:right w:val="nil"/>
            </w:tcBorders>
            <w:shd w:val="clear" w:color="auto" w:fill="auto"/>
            <w:vAlign w:val="center"/>
            <w:hideMark/>
          </w:tcPr>
          <w:p w14:paraId="66A7C269" w14:textId="043064A2" w:rsidR="00B703F2" w:rsidRPr="002454FD" w:rsidRDefault="00B703F2">
            <w:pPr>
              <w:widowControl/>
              <w:jc w:val="center"/>
              <w:textAlignment w:val="baseline"/>
              <w:rPr>
                <w:rFonts w:ascii="Times New Roman" w:hAnsi="Times New Roman"/>
                <w:snapToGrid/>
              </w:rPr>
            </w:pPr>
            <w:r w:rsidRPr="002454FD">
              <w:rPr>
                <w:rFonts w:ascii="Calibri" w:hAnsi="Calibri" w:cs="Calibri"/>
                <w:snapToGrid/>
                <w:color w:val="000000"/>
                <w:sz w:val="22"/>
                <w:szCs w:val="22"/>
              </w:rPr>
              <w:t>2,14</w:t>
            </w:r>
            <w:r w:rsidR="3AFB7475" w:rsidRPr="002454FD">
              <w:rPr>
                <w:rFonts w:ascii="Calibri" w:hAnsi="Calibri" w:cs="Calibri"/>
                <w:snapToGrid/>
                <w:color w:val="000000"/>
                <w:sz w:val="22"/>
                <w:szCs w:val="22"/>
              </w:rPr>
              <w:t>3</w:t>
            </w:r>
            <w:r w:rsidRPr="002454FD">
              <w:rPr>
                <w:rFonts w:ascii="Calibri" w:hAnsi="Calibri" w:cs="Calibri"/>
                <w:snapToGrid/>
                <w:color w:val="000000"/>
                <w:sz w:val="22"/>
                <w:szCs w:val="22"/>
              </w:rPr>
              <w:t xml:space="preserve"> (75%) </w:t>
            </w:r>
          </w:p>
        </w:tc>
      </w:tr>
      <w:tr w:rsidR="00B703F2" w:rsidRPr="002454FD" w14:paraId="7B5567F7" w14:textId="77777777">
        <w:trPr>
          <w:trHeight w:val="360"/>
        </w:trPr>
        <w:tc>
          <w:tcPr>
            <w:tcW w:w="3060" w:type="dxa"/>
            <w:tcBorders>
              <w:top w:val="nil"/>
              <w:left w:val="nil"/>
              <w:bottom w:val="single" w:sz="6" w:space="0" w:color="auto"/>
              <w:right w:val="nil"/>
            </w:tcBorders>
            <w:shd w:val="clear" w:color="auto" w:fill="auto"/>
            <w:vAlign w:val="center"/>
            <w:hideMark/>
          </w:tcPr>
          <w:p w14:paraId="67336ABB" w14:textId="1297A85E" w:rsidR="00B703F2" w:rsidRPr="002454FD" w:rsidRDefault="00B703F2">
            <w:pPr>
              <w:widowControl/>
              <w:jc w:val="center"/>
              <w:textAlignment w:val="baseline"/>
              <w:rPr>
                <w:rFonts w:ascii="Times New Roman" w:hAnsi="Times New Roman"/>
                <w:i/>
                <w:iCs/>
                <w:snapToGrid/>
                <w:szCs w:val="24"/>
              </w:rPr>
            </w:pPr>
            <w:r w:rsidRPr="002454FD">
              <w:rPr>
                <w:rFonts w:ascii="Calibri" w:hAnsi="Calibri" w:cs="Calibri"/>
                <w:b/>
                <w:bCs/>
                <w:snapToGrid/>
                <w:color w:val="000000"/>
                <w:sz w:val="22"/>
                <w:szCs w:val="22"/>
              </w:rPr>
              <w:t>Not Assessed</w:t>
            </w:r>
          </w:p>
        </w:tc>
        <w:tc>
          <w:tcPr>
            <w:tcW w:w="1980" w:type="dxa"/>
            <w:tcBorders>
              <w:top w:val="nil"/>
              <w:left w:val="nil"/>
              <w:bottom w:val="single" w:sz="6" w:space="0" w:color="auto"/>
              <w:right w:val="nil"/>
            </w:tcBorders>
            <w:shd w:val="clear" w:color="auto" w:fill="auto"/>
            <w:vAlign w:val="center"/>
            <w:hideMark/>
          </w:tcPr>
          <w:p w14:paraId="3A9274CE" w14:textId="0957487B" w:rsidR="00B703F2" w:rsidRPr="002454FD" w:rsidRDefault="00B703F2">
            <w:pPr>
              <w:widowControl/>
              <w:jc w:val="center"/>
              <w:textAlignment w:val="baseline"/>
              <w:rPr>
                <w:rFonts w:ascii="Times New Roman" w:hAnsi="Times New Roman"/>
                <w:snapToGrid/>
              </w:rPr>
            </w:pPr>
            <w:r w:rsidRPr="002454FD">
              <w:rPr>
                <w:rFonts w:ascii="Calibri" w:hAnsi="Calibri" w:cs="Calibri"/>
                <w:snapToGrid/>
                <w:color w:val="000000"/>
                <w:sz w:val="22"/>
                <w:szCs w:val="22"/>
              </w:rPr>
              <w:t>81,</w:t>
            </w:r>
            <w:r w:rsidR="322C66AA" w:rsidRPr="002454FD">
              <w:rPr>
                <w:rFonts w:ascii="Calibri" w:hAnsi="Calibri" w:cs="Calibri"/>
                <w:snapToGrid/>
                <w:color w:val="000000"/>
                <w:sz w:val="22"/>
                <w:szCs w:val="22"/>
              </w:rPr>
              <w:t>148</w:t>
            </w:r>
            <w:r w:rsidRPr="002454FD">
              <w:rPr>
                <w:rFonts w:ascii="Calibri" w:hAnsi="Calibri" w:cs="Calibri"/>
                <w:snapToGrid/>
                <w:color w:val="000000"/>
                <w:sz w:val="22"/>
                <w:szCs w:val="22"/>
              </w:rPr>
              <w:t xml:space="preserve"> (80%) </w:t>
            </w:r>
          </w:p>
        </w:tc>
        <w:tc>
          <w:tcPr>
            <w:tcW w:w="1980" w:type="dxa"/>
            <w:tcBorders>
              <w:top w:val="nil"/>
              <w:left w:val="nil"/>
              <w:bottom w:val="single" w:sz="6" w:space="0" w:color="auto"/>
              <w:right w:val="nil"/>
            </w:tcBorders>
            <w:shd w:val="clear" w:color="auto" w:fill="auto"/>
            <w:vAlign w:val="center"/>
            <w:hideMark/>
          </w:tcPr>
          <w:p w14:paraId="1F97D9C1" w14:textId="443B060F" w:rsidR="00B703F2" w:rsidRPr="002454FD" w:rsidRDefault="1084E97A">
            <w:pPr>
              <w:widowControl/>
              <w:jc w:val="center"/>
              <w:textAlignment w:val="baseline"/>
              <w:rPr>
                <w:rFonts w:ascii="Calibri" w:hAnsi="Calibri" w:cs="Calibri"/>
                <w:snapToGrid/>
                <w:color w:val="000000" w:themeColor="text1"/>
                <w:sz w:val="22"/>
                <w:szCs w:val="22"/>
              </w:rPr>
            </w:pPr>
            <w:r w:rsidRPr="002454FD">
              <w:rPr>
                <w:rFonts w:ascii="Calibri" w:hAnsi="Calibri" w:cs="Calibri"/>
                <w:snapToGrid/>
                <w:color w:val="000000"/>
                <w:sz w:val="22"/>
                <w:szCs w:val="22"/>
              </w:rPr>
              <w:t>2</w:t>
            </w:r>
            <w:r w:rsidR="00B703F2" w:rsidRPr="002454FD">
              <w:rPr>
                <w:rFonts w:ascii="Calibri" w:hAnsi="Calibri" w:cs="Calibri"/>
                <w:snapToGrid/>
                <w:color w:val="000000"/>
                <w:sz w:val="22"/>
                <w:szCs w:val="22"/>
              </w:rPr>
              <w:t>,</w:t>
            </w:r>
            <w:r w:rsidR="4C412F2F" w:rsidRPr="002454FD">
              <w:rPr>
                <w:rFonts w:ascii="Calibri" w:hAnsi="Calibri" w:cs="Calibri"/>
                <w:snapToGrid/>
                <w:color w:val="000000"/>
                <w:sz w:val="22"/>
                <w:szCs w:val="22"/>
              </w:rPr>
              <w:t>440</w:t>
            </w:r>
            <w:r w:rsidR="00B703F2" w:rsidRPr="002454FD">
              <w:rPr>
                <w:rFonts w:ascii="Calibri" w:hAnsi="Calibri" w:cs="Calibri"/>
                <w:snapToGrid/>
                <w:color w:val="000000"/>
                <w:sz w:val="22"/>
                <w:szCs w:val="22"/>
              </w:rPr>
              <w:t xml:space="preserve"> (</w:t>
            </w:r>
            <w:r w:rsidR="38761596" w:rsidRPr="002454FD">
              <w:rPr>
                <w:rFonts w:ascii="Calibri" w:hAnsi="Calibri" w:cs="Calibri"/>
                <w:snapToGrid/>
                <w:color w:val="000000"/>
                <w:sz w:val="22"/>
                <w:szCs w:val="22"/>
              </w:rPr>
              <w:t>2</w:t>
            </w:r>
            <w:r w:rsidR="00B703F2" w:rsidRPr="002454FD">
              <w:rPr>
                <w:rFonts w:ascii="Calibri" w:hAnsi="Calibri" w:cs="Calibri"/>
                <w:snapToGrid/>
                <w:color w:val="000000"/>
                <w:sz w:val="22"/>
                <w:szCs w:val="22"/>
              </w:rPr>
              <w:t>%) </w:t>
            </w:r>
          </w:p>
        </w:tc>
        <w:tc>
          <w:tcPr>
            <w:tcW w:w="2340" w:type="dxa"/>
            <w:tcBorders>
              <w:top w:val="nil"/>
              <w:left w:val="nil"/>
              <w:bottom w:val="single" w:sz="6" w:space="0" w:color="auto"/>
              <w:right w:val="nil"/>
            </w:tcBorders>
            <w:shd w:val="clear" w:color="auto" w:fill="auto"/>
            <w:vAlign w:val="center"/>
            <w:hideMark/>
          </w:tcPr>
          <w:p w14:paraId="1F898F91"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393 (14%) </w:t>
            </w:r>
          </w:p>
        </w:tc>
      </w:tr>
      <w:tr w:rsidR="00B703F2" w:rsidRPr="002454FD" w14:paraId="6DE7A2CC" w14:textId="77777777">
        <w:trPr>
          <w:trHeight w:val="360"/>
        </w:trPr>
        <w:tc>
          <w:tcPr>
            <w:tcW w:w="3060" w:type="dxa"/>
            <w:tcBorders>
              <w:top w:val="single" w:sz="6" w:space="0" w:color="auto"/>
              <w:left w:val="nil"/>
              <w:bottom w:val="single" w:sz="12" w:space="0" w:color="auto"/>
              <w:right w:val="nil"/>
            </w:tcBorders>
            <w:shd w:val="clear" w:color="auto" w:fill="auto"/>
            <w:vAlign w:val="center"/>
            <w:hideMark/>
          </w:tcPr>
          <w:p w14:paraId="16827B13" w14:textId="77777777" w:rsidR="00B703F2" w:rsidRPr="002454FD" w:rsidRDefault="00B703F2">
            <w:pPr>
              <w:widowControl/>
              <w:jc w:val="center"/>
              <w:textAlignment w:val="baseline"/>
              <w:rPr>
                <w:rFonts w:ascii="Times New Roman" w:hAnsi="Times New Roman"/>
                <w:i/>
                <w:iCs/>
                <w:snapToGrid/>
                <w:szCs w:val="24"/>
              </w:rPr>
            </w:pPr>
            <w:r w:rsidRPr="002454FD">
              <w:rPr>
                <w:rFonts w:ascii="Calibri" w:hAnsi="Calibri" w:cs="Calibri"/>
                <w:b/>
                <w:bCs/>
                <w:snapToGrid/>
                <w:color w:val="000000"/>
                <w:sz w:val="22"/>
                <w:szCs w:val="22"/>
              </w:rPr>
              <w:t>Total</w:t>
            </w:r>
            <w:r w:rsidRPr="002454FD">
              <w:rPr>
                <w:rFonts w:ascii="Calibri" w:hAnsi="Calibri" w:cs="Calibri"/>
                <w:i/>
                <w:iCs/>
                <w:snapToGrid/>
                <w:color w:val="000000"/>
                <w:sz w:val="22"/>
                <w:szCs w:val="22"/>
              </w:rPr>
              <w:t> </w:t>
            </w:r>
          </w:p>
        </w:tc>
        <w:tc>
          <w:tcPr>
            <w:tcW w:w="1980" w:type="dxa"/>
            <w:tcBorders>
              <w:top w:val="single" w:sz="6" w:space="0" w:color="auto"/>
              <w:left w:val="nil"/>
              <w:bottom w:val="single" w:sz="12" w:space="0" w:color="auto"/>
              <w:right w:val="nil"/>
            </w:tcBorders>
            <w:shd w:val="clear" w:color="auto" w:fill="auto"/>
            <w:vAlign w:val="center"/>
            <w:hideMark/>
          </w:tcPr>
          <w:p w14:paraId="26B8439F"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100,975 </w:t>
            </w:r>
          </w:p>
        </w:tc>
        <w:tc>
          <w:tcPr>
            <w:tcW w:w="1980" w:type="dxa"/>
            <w:tcBorders>
              <w:top w:val="single" w:sz="6" w:space="0" w:color="auto"/>
              <w:left w:val="nil"/>
              <w:bottom w:val="single" w:sz="12" w:space="0" w:color="auto"/>
              <w:right w:val="nil"/>
            </w:tcBorders>
            <w:shd w:val="clear" w:color="auto" w:fill="auto"/>
            <w:vAlign w:val="center"/>
            <w:hideMark/>
          </w:tcPr>
          <w:p w14:paraId="0606FBB0" w14:textId="2327F569" w:rsidR="00B703F2" w:rsidRPr="002454FD" w:rsidRDefault="00B703F2">
            <w:pPr>
              <w:widowControl/>
              <w:jc w:val="center"/>
              <w:textAlignment w:val="baseline"/>
              <w:rPr>
                <w:rFonts w:ascii="Times New Roman" w:hAnsi="Times New Roman"/>
                <w:snapToGrid/>
              </w:rPr>
            </w:pPr>
            <w:r w:rsidRPr="002454FD">
              <w:rPr>
                <w:rFonts w:ascii="Calibri" w:hAnsi="Calibri" w:cs="Calibri"/>
                <w:snapToGrid/>
                <w:color w:val="000000"/>
                <w:sz w:val="22"/>
                <w:szCs w:val="22"/>
              </w:rPr>
              <w:t>117,</w:t>
            </w:r>
            <w:r w:rsidR="60739669" w:rsidRPr="002454FD">
              <w:rPr>
                <w:rFonts w:ascii="Calibri" w:hAnsi="Calibri" w:cs="Calibri"/>
                <w:snapToGrid/>
                <w:color w:val="000000"/>
                <w:sz w:val="22"/>
                <w:szCs w:val="22"/>
              </w:rPr>
              <w:t>869</w:t>
            </w:r>
            <w:r w:rsidRPr="002454FD">
              <w:rPr>
                <w:rFonts w:ascii="Calibri" w:hAnsi="Calibri" w:cs="Calibri"/>
                <w:snapToGrid/>
                <w:color w:val="000000"/>
                <w:sz w:val="22"/>
                <w:szCs w:val="22"/>
              </w:rPr>
              <w:t> </w:t>
            </w:r>
          </w:p>
        </w:tc>
        <w:tc>
          <w:tcPr>
            <w:tcW w:w="2340" w:type="dxa"/>
            <w:tcBorders>
              <w:top w:val="single" w:sz="6" w:space="0" w:color="auto"/>
              <w:left w:val="nil"/>
              <w:bottom w:val="single" w:sz="12" w:space="0" w:color="auto"/>
              <w:right w:val="nil"/>
            </w:tcBorders>
            <w:shd w:val="clear" w:color="auto" w:fill="auto"/>
            <w:vAlign w:val="center"/>
            <w:hideMark/>
          </w:tcPr>
          <w:p w14:paraId="54F24902"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2,84</w:t>
            </w:r>
            <w:r>
              <w:rPr>
                <w:rFonts w:ascii="Calibri" w:hAnsi="Calibri" w:cs="Calibri"/>
                <w:snapToGrid/>
                <w:color w:val="000000"/>
                <w:sz w:val="22"/>
                <w:szCs w:val="22"/>
              </w:rPr>
              <w:t>2</w:t>
            </w:r>
            <w:r w:rsidRPr="002454FD">
              <w:rPr>
                <w:rFonts w:ascii="Calibri" w:hAnsi="Calibri" w:cs="Calibri"/>
                <w:snapToGrid/>
                <w:color w:val="000000"/>
                <w:sz w:val="22"/>
                <w:szCs w:val="22"/>
              </w:rPr>
              <w:t> </w:t>
            </w:r>
          </w:p>
        </w:tc>
      </w:tr>
    </w:tbl>
    <w:p w14:paraId="6A5D5A7A" w14:textId="77777777" w:rsidR="00B703F2" w:rsidRPr="002454FD" w:rsidRDefault="00B703F2" w:rsidP="00B703F2">
      <w:pPr>
        <w:widowControl/>
        <w:textAlignment w:val="baseline"/>
        <w:rPr>
          <w:rFonts w:cstheme="minorHAnsi"/>
          <w:snapToGrid/>
          <w:szCs w:val="24"/>
        </w:rPr>
      </w:pPr>
    </w:p>
    <w:p w14:paraId="1A64E997" w14:textId="250FB280" w:rsidR="00B703F2" w:rsidRPr="00437F1A" w:rsidRDefault="00B703F2" w:rsidP="00B703F2">
      <w:pPr>
        <w:widowControl/>
        <w:textAlignment w:val="baseline"/>
        <w:rPr>
          <w:rFonts w:ascii="Calibri" w:hAnsi="Calibri" w:cs="Calibri"/>
        </w:rPr>
      </w:pPr>
      <w:r w:rsidRPr="00495953">
        <w:rPr>
          <w:rFonts w:eastAsiaTheme="minorEastAsia" w:cstheme="minorBidi"/>
          <w:szCs w:val="24"/>
        </w:rPr>
        <w:t xml:space="preserve">The overall summary of assessment results between </w:t>
      </w:r>
      <w:proofErr w:type="gramStart"/>
      <w:r w:rsidRPr="00495953">
        <w:rPr>
          <w:rFonts w:eastAsiaTheme="minorEastAsia" w:cstheme="minorBidi"/>
          <w:szCs w:val="24"/>
        </w:rPr>
        <w:t>the 2022</w:t>
      </w:r>
      <w:proofErr w:type="gramEnd"/>
      <w:r w:rsidRPr="00495953">
        <w:rPr>
          <w:rFonts w:eastAsiaTheme="minorEastAsia" w:cstheme="minorBidi"/>
          <w:szCs w:val="24"/>
        </w:rPr>
        <w:t xml:space="preserve"> and 2024 IR cycles are relatively unchanged. The table below presents a statewide summary comparison between assessment cycles. Note that lakes had an increase of approximately 500 acres of water classified as non-impaired this cycle, representing roughly a 1% change. Additionally, as presented in </w:t>
      </w:r>
      <w:r w:rsidR="00BF7191">
        <w:rPr>
          <w:rFonts w:eastAsiaTheme="minorEastAsia" w:cstheme="minorBidi"/>
          <w:szCs w:val="24"/>
        </w:rPr>
        <w:t>the second</w:t>
      </w:r>
      <w:r>
        <w:rPr>
          <w:rFonts w:eastAsiaTheme="minorEastAsia" w:cstheme="minorBidi"/>
          <w:szCs w:val="24"/>
        </w:rPr>
        <w:t xml:space="preserve"> table below</w:t>
      </w:r>
      <w:r w:rsidRPr="00495953">
        <w:rPr>
          <w:rFonts w:eastAsiaTheme="minorEastAsia" w:cstheme="minorBidi"/>
          <w:szCs w:val="24"/>
        </w:rPr>
        <w:t xml:space="preserve">, bacteria, toxins in fish tissue, and low dissolved oxygen remain the leading causes of impairment in Virginia waters. </w:t>
      </w:r>
    </w:p>
    <w:p w14:paraId="2C621595" w14:textId="77777777" w:rsidR="00B703F2" w:rsidRPr="00CA11BD" w:rsidRDefault="00B703F2" w:rsidP="00B703F2">
      <w:pPr>
        <w:widowControl/>
        <w:textAlignment w:val="baseline"/>
        <w:rPr>
          <w:rFonts w:cstheme="minorHAnsi"/>
          <w:snapToGrid/>
          <w:szCs w:val="24"/>
        </w:rPr>
      </w:pPr>
    </w:p>
    <w:p w14:paraId="49E2B2CB" w14:textId="5F22E39B" w:rsidR="00B703F2" w:rsidRPr="000E4CE4" w:rsidRDefault="00B703F2" w:rsidP="00B703F2">
      <w:pPr>
        <w:widowControl/>
        <w:textAlignment w:val="baseline"/>
        <w:rPr>
          <w:rFonts w:ascii="Segoe UI" w:hAnsi="Segoe UI" w:cs="Segoe UI"/>
          <w:snapToGrid/>
          <w:sz w:val="20"/>
        </w:rPr>
      </w:pPr>
      <w:r w:rsidRPr="000E4CE4">
        <w:rPr>
          <w:rFonts w:ascii="Calibri" w:hAnsi="Calibri" w:cs="Calibri"/>
          <w:snapToGrid/>
          <w:sz w:val="20"/>
        </w:rPr>
        <w:t>Comparison of the 2022 and 2024 IR assessment results.</w:t>
      </w:r>
    </w:p>
    <w:tbl>
      <w:tblPr>
        <w:tblW w:w="9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03"/>
        <w:gridCol w:w="1157"/>
        <w:gridCol w:w="1246"/>
        <w:gridCol w:w="1231"/>
        <w:gridCol w:w="1246"/>
        <w:gridCol w:w="1231"/>
        <w:gridCol w:w="1246"/>
      </w:tblGrid>
      <w:tr w:rsidR="00B703F2" w:rsidRPr="002454FD" w14:paraId="22B16BC7" w14:textId="77777777" w:rsidTr="571FDD09">
        <w:trPr>
          <w:trHeight w:val="270"/>
        </w:trPr>
        <w:tc>
          <w:tcPr>
            <w:tcW w:w="2003" w:type="dxa"/>
            <w:tcBorders>
              <w:top w:val="single" w:sz="12" w:space="0" w:color="auto"/>
              <w:left w:val="nil"/>
              <w:bottom w:val="nil"/>
              <w:right w:val="nil"/>
            </w:tcBorders>
            <w:shd w:val="clear" w:color="auto" w:fill="FFFFFF" w:themeFill="background1"/>
            <w:vAlign w:val="center"/>
            <w:hideMark/>
          </w:tcPr>
          <w:p w14:paraId="18F20265" w14:textId="77777777" w:rsidR="00B703F2" w:rsidRPr="002454FD" w:rsidRDefault="00B703F2">
            <w:pPr>
              <w:widowControl/>
              <w:textAlignment w:val="baseline"/>
              <w:rPr>
                <w:rFonts w:ascii="Times New Roman" w:hAnsi="Times New Roman"/>
                <w:snapToGrid/>
                <w:szCs w:val="24"/>
              </w:rPr>
            </w:pPr>
            <w:r w:rsidRPr="002454FD">
              <w:rPr>
                <w:rFonts w:ascii="Calibri" w:hAnsi="Calibri" w:cs="Calibri"/>
                <w:snapToGrid/>
                <w:sz w:val="22"/>
                <w:szCs w:val="22"/>
              </w:rPr>
              <w:t> </w:t>
            </w:r>
          </w:p>
        </w:tc>
        <w:tc>
          <w:tcPr>
            <w:tcW w:w="2403" w:type="dxa"/>
            <w:gridSpan w:val="2"/>
            <w:tcBorders>
              <w:top w:val="single" w:sz="12" w:space="0" w:color="auto"/>
              <w:left w:val="nil"/>
              <w:bottom w:val="nil"/>
              <w:right w:val="nil"/>
            </w:tcBorders>
            <w:shd w:val="clear" w:color="auto" w:fill="FFFFFF" w:themeFill="background1"/>
            <w:vAlign w:val="center"/>
            <w:hideMark/>
          </w:tcPr>
          <w:p w14:paraId="17529EB5"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color w:val="000000"/>
                <w:sz w:val="22"/>
                <w:szCs w:val="22"/>
              </w:rPr>
              <w:t>Rivers (Miles)</w:t>
            </w:r>
            <w:r w:rsidRPr="002454FD">
              <w:rPr>
                <w:rFonts w:ascii="Calibri" w:hAnsi="Calibri" w:cs="Calibri"/>
                <w:snapToGrid/>
                <w:color w:val="000000"/>
                <w:sz w:val="22"/>
                <w:szCs w:val="22"/>
              </w:rPr>
              <w:t> </w:t>
            </w:r>
          </w:p>
        </w:tc>
        <w:tc>
          <w:tcPr>
            <w:tcW w:w="2477" w:type="dxa"/>
            <w:gridSpan w:val="2"/>
            <w:tcBorders>
              <w:top w:val="single" w:sz="12" w:space="0" w:color="auto"/>
              <w:left w:val="nil"/>
              <w:bottom w:val="nil"/>
              <w:right w:val="nil"/>
            </w:tcBorders>
            <w:shd w:val="clear" w:color="auto" w:fill="FFFFFF" w:themeFill="background1"/>
            <w:vAlign w:val="center"/>
            <w:hideMark/>
          </w:tcPr>
          <w:p w14:paraId="579F3A34"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color w:val="000000"/>
                <w:sz w:val="22"/>
                <w:szCs w:val="22"/>
              </w:rPr>
              <w:t>Lakes (Acres)</w:t>
            </w:r>
            <w:r w:rsidRPr="002454FD">
              <w:rPr>
                <w:rFonts w:ascii="Calibri" w:hAnsi="Calibri" w:cs="Calibri"/>
                <w:snapToGrid/>
                <w:color w:val="000000"/>
                <w:sz w:val="22"/>
                <w:szCs w:val="22"/>
              </w:rPr>
              <w:t> </w:t>
            </w:r>
          </w:p>
        </w:tc>
        <w:tc>
          <w:tcPr>
            <w:tcW w:w="2477" w:type="dxa"/>
            <w:gridSpan w:val="2"/>
            <w:tcBorders>
              <w:top w:val="single" w:sz="12" w:space="0" w:color="auto"/>
              <w:left w:val="nil"/>
              <w:bottom w:val="nil"/>
              <w:right w:val="nil"/>
            </w:tcBorders>
            <w:shd w:val="clear" w:color="auto" w:fill="FFFFFF" w:themeFill="background1"/>
            <w:vAlign w:val="center"/>
            <w:hideMark/>
          </w:tcPr>
          <w:p w14:paraId="1288BC6D"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color w:val="000000"/>
                <w:sz w:val="22"/>
                <w:szCs w:val="22"/>
              </w:rPr>
              <w:t>Estuaries (Miles</w:t>
            </w:r>
            <w:r w:rsidRPr="002454FD">
              <w:rPr>
                <w:rFonts w:ascii="Calibri" w:hAnsi="Calibri" w:cs="Calibri"/>
                <w:b/>
                <w:bCs/>
                <w:snapToGrid/>
                <w:color w:val="000000"/>
                <w:sz w:val="17"/>
                <w:szCs w:val="17"/>
                <w:vertAlign w:val="superscript"/>
              </w:rPr>
              <w:t>2</w:t>
            </w:r>
            <w:r w:rsidRPr="002454FD">
              <w:rPr>
                <w:rFonts w:ascii="Calibri" w:hAnsi="Calibri" w:cs="Calibri"/>
                <w:b/>
                <w:bCs/>
                <w:snapToGrid/>
                <w:color w:val="000000"/>
                <w:sz w:val="22"/>
                <w:szCs w:val="22"/>
              </w:rPr>
              <w:t>)</w:t>
            </w:r>
            <w:r w:rsidRPr="002454FD">
              <w:rPr>
                <w:rFonts w:ascii="Calibri" w:hAnsi="Calibri" w:cs="Calibri"/>
                <w:snapToGrid/>
                <w:color w:val="000000"/>
                <w:sz w:val="22"/>
                <w:szCs w:val="22"/>
              </w:rPr>
              <w:t> </w:t>
            </w:r>
          </w:p>
        </w:tc>
      </w:tr>
      <w:tr w:rsidR="00B703F2" w:rsidRPr="002454FD" w14:paraId="1C80EA86" w14:textId="77777777" w:rsidTr="571FDD09">
        <w:trPr>
          <w:trHeight w:val="270"/>
        </w:trPr>
        <w:tc>
          <w:tcPr>
            <w:tcW w:w="2003" w:type="dxa"/>
            <w:tcBorders>
              <w:top w:val="nil"/>
              <w:left w:val="nil"/>
              <w:bottom w:val="single" w:sz="6" w:space="0" w:color="auto"/>
              <w:right w:val="nil"/>
            </w:tcBorders>
            <w:shd w:val="clear" w:color="auto" w:fill="FFFFFF" w:themeFill="background1"/>
            <w:vAlign w:val="center"/>
            <w:hideMark/>
          </w:tcPr>
          <w:p w14:paraId="0B808464" w14:textId="588299C2" w:rsidR="00B703F2" w:rsidRPr="002454FD" w:rsidRDefault="00B703F2">
            <w:pPr>
              <w:widowControl/>
              <w:jc w:val="center"/>
              <w:textAlignment w:val="baseline"/>
              <w:rPr>
                <w:rFonts w:ascii="Times New Roman" w:hAnsi="Times New Roman"/>
                <w:snapToGrid/>
                <w:szCs w:val="24"/>
              </w:rPr>
            </w:pPr>
          </w:p>
        </w:tc>
        <w:tc>
          <w:tcPr>
            <w:tcW w:w="1157" w:type="dxa"/>
            <w:tcBorders>
              <w:top w:val="nil"/>
              <w:left w:val="nil"/>
              <w:bottom w:val="single" w:sz="6" w:space="0" w:color="auto"/>
              <w:right w:val="nil"/>
            </w:tcBorders>
            <w:shd w:val="clear" w:color="auto" w:fill="FFFFFF" w:themeFill="background1"/>
            <w:vAlign w:val="center"/>
            <w:hideMark/>
          </w:tcPr>
          <w:p w14:paraId="5C63B4A9"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color w:val="000000"/>
                <w:sz w:val="22"/>
                <w:szCs w:val="22"/>
              </w:rPr>
              <w:t>2022</w:t>
            </w:r>
            <w:r w:rsidRPr="002454FD">
              <w:rPr>
                <w:rFonts w:ascii="Calibri" w:hAnsi="Calibri" w:cs="Calibri"/>
                <w:snapToGrid/>
                <w:color w:val="000000"/>
                <w:sz w:val="22"/>
                <w:szCs w:val="22"/>
              </w:rPr>
              <w:t> </w:t>
            </w:r>
          </w:p>
        </w:tc>
        <w:tc>
          <w:tcPr>
            <w:tcW w:w="1246" w:type="dxa"/>
            <w:tcBorders>
              <w:top w:val="nil"/>
              <w:left w:val="nil"/>
              <w:bottom w:val="single" w:sz="6" w:space="0" w:color="auto"/>
              <w:right w:val="nil"/>
            </w:tcBorders>
            <w:shd w:val="clear" w:color="auto" w:fill="FFFFFF" w:themeFill="background1"/>
            <w:vAlign w:val="center"/>
            <w:hideMark/>
          </w:tcPr>
          <w:p w14:paraId="7816AA68"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color w:val="000000"/>
                <w:sz w:val="22"/>
                <w:szCs w:val="22"/>
              </w:rPr>
              <w:t>2024</w:t>
            </w:r>
            <w:r w:rsidRPr="002454FD">
              <w:rPr>
                <w:rFonts w:ascii="Calibri" w:hAnsi="Calibri" w:cs="Calibri"/>
                <w:snapToGrid/>
                <w:color w:val="000000"/>
                <w:sz w:val="22"/>
                <w:szCs w:val="22"/>
              </w:rPr>
              <w:t> </w:t>
            </w:r>
          </w:p>
        </w:tc>
        <w:tc>
          <w:tcPr>
            <w:tcW w:w="1231" w:type="dxa"/>
            <w:tcBorders>
              <w:top w:val="nil"/>
              <w:left w:val="nil"/>
              <w:bottom w:val="single" w:sz="6" w:space="0" w:color="auto"/>
              <w:right w:val="nil"/>
            </w:tcBorders>
            <w:shd w:val="clear" w:color="auto" w:fill="FFFFFF" w:themeFill="background1"/>
            <w:vAlign w:val="center"/>
            <w:hideMark/>
          </w:tcPr>
          <w:p w14:paraId="18945105"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color w:val="000000"/>
                <w:sz w:val="22"/>
                <w:szCs w:val="22"/>
              </w:rPr>
              <w:t>2022</w:t>
            </w:r>
            <w:r w:rsidRPr="002454FD">
              <w:rPr>
                <w:rFonts w:ascii="Calibri" w:hAnsi="Calibri" w:cs="Calibri"/>
                <w:snapToGrid/>
                <w:color w:val="000000"/>
                <w:sz w:val="22"/>
                <w:szCs w:val="22"/>
              </w:rPr>
              <w:t> </w:t>
            </w:r>
          </w:p>
        </w:tc>
        <w:tc>
          <w:tcPr>
            <w:tcW w:w="1246" w:type="dxa"/>
            <w:tcBorders>
              <w:top w:val="nil"/>
              <w:left w:val="nil"/>
              <w:bottom w:val="single" w:sz="6" w:space="0" w:color="auto"/>
              <w:right w:val="nil"/>
            </w:tcBorders>
            <w:shd w:val="clear" w:color="auto" w:fill="FFFFFF" w:themeFill="background1"/>
            <w:vAlign w:val="center"/>
            <w:hideMark/>
          </w:tcPr>
          <w:p w14:paraId="0CF4DC66"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color w:val="000000"/>
                <w:sz w:val="22"/>
                <w:szCs w:val="22"/>
              </w:rPr>
              <w:t>2024</w:t>
            </w:r>
            <w:r w:rsidRPr="002454FD">
              <w:rPr>
                <w:rFonts w:ascii="Calibri" w:hAnsi="Calibri" w:cs="Calibri"/>
                <w:snapToGrid/>
                <w:color w:val="000000"/>
                <w:sz w:val="22"/>
                <w:szCs w:val="22"/>
              </w:rPr>
              <w:t> </w:t>
            </w:r>
          </w:p>
        </w:tc>
        <w:tc>
          <w:tcPr>
            <w:tcW w:w="1231" w:type="dxa"/>
            <w:tcBorders>
              <w:top w:val="nil"/>
              <w:left w:val="nil"/>
              <w:bottom w:val="single" w:sz="6" w:space="0" w:color="auto"/>
              <w:right w:val="nil"/>
            </w:tcBorders>
            <w:shd w:val="clear" w:color="auto" w:fill="FFFFFF" w:themeFill="background1"/>
            <w:vAlign w:val="center"/>
            <w:hideMark/>
          </w:tcPr>
          <w:p w14:paraId="28B7F5A5"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color w:val="000000"/>
                <w:sz w:val="22"/>
                <w:szCs w:val="22"/>
              </w:rPr>
              <w:t>2022</w:t>
            </w:r>
            <w:r w:rsidRPr="002454FD">
              <w:rPr>
                <w:rFonts w:ascii="Calibri" w:hAnsi="Calibri" w:cs="Calibri"/>
                <w:snapToGrid/>
                <w:color w:val="000000"/>
                <w:sz w:val="22"/>
                <w:szCs w:val="22"/>
              </w:rPr>
              <w:t> </w:t>
            </w:r>
          </w:p>
        </w:tc>
        <w:tc>
          <w:tcPr>
            <w:tcW w:w="1246" w:type="dxa"/>
            <w:tcBorders>
              <w:top w:val="nil"/>
              <w:left w:val="nil"/>
              <w:bottom w:val="single" w:sz="6" w:space="0" w:color="auto"/>
              <w:right w:val="nil"/>
            </w:tcBorders>
            <w:shd w:val="clear" w:color="auto" w:fill="FFFFFF" w:themeFill="background1"/>
            <w:vAlign w:val="center"/>
            <w:hideMark/>
          </w:tcPr>
          <w:p w14:paraId="34578472"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color w:val="000000"/>
                <w:sz w:val="22"/>
                <w:szCs w:val="22"/>
              </w:rPr>
              <w:t>2024</w:t>
            </w:r>
            <w:r w:rsidRPr="002454FD">
              <w:rPr>
                <w:rFonts w:ascii="Calibri" w:hAnsi="Calibri" w:cs="Calibri"/>
                <w:snapToGrid/>
                <w:color w:val="000000"/>
                <w:sz w:val="22"/>
                <w:szCs w:val="22"/>
              </w:rPr>
              <w:t> </w:t>
            </w:r>
          </w:p>
        </w:tc>
      </w:tr>
      <w:tr w:rsidR="00B703F2" w:rsidRPr="002454FD" w14:paraId="3D457210" w14:textId="77777777" w:rsidTr="571FDD09">
        <w:trPr>
          <w:trHeight w:val="360"/>
        </w:trPr>
        <w:tc>
          <w:tcPr>
            <w:tcW w:w="2003" w:type="dxa"/>
            <w:tcBorders>
              <w:top w:val="single" w:sz="6" w:space="0" w:color="auto"/>
              <w:left w:val="nil"/>
              <w:bottom w:val="nil"/>
              <w:right w:val="nil"/>
            </w:tcBorders>
            <w:shd w:val="clear" w:color="auto" w:fill="FFFFFF" w:themeFill="background1"/>
            <w:vAlign w:val="center"/>
            <w:hideMark/>
          </w:tcPr>
          <w:p w14:paraId="18B1D9BE"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 xml:space="preserve">Non-Impaired </w:t>
            </w:r>
          </w:p>
        </w:tc>
        <w:tc>
          <w:tcPr>
            <w:tcW w:w="1157" w:type="dxa"/>
            <w:tcBorders>
              <w:top w:val="single" w:sz="6" w:space="0" w:color="auto"/>
              <w:left w:val="nil"/>
              <w:bottom w:val="nil"/>
              <w:right w:val="nil"/>
            </w:tcBorders>
            <w:shd w:val="clear" w:color="auto" w:fill="FFFFFF" w:themeFill="background1"/>
            <w:vAlign w:val="center"/>
            <w:hideMark/>
          </w:tcPr>
          <w:p w14:paraId="79FB174D"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4% </w:t>
            </w:r>
          </w:p>
        </w:tc>
        <w:tc>
          <w:tcPr>
            <w:tcW w:w="1246" w:type="dxa"/>
            <w:tcBorders>
              <w:top w:val="single" w:sz="6" w:space="0" w:color="auto"/>
              <w:left w:val="nil"/>
              <w:bottom w:val="nil"/>
              <w:right w:val="nil"/>
            </w:tcBorders>
            <w:shd w:val="clear" w:color="auto" w:fill="FFFFFF" w:themeFill="background1"/>
            <w:vAlign w:val="center"/>
            <w:hideMark/>
          </w:tcPr>
          <w:p w14:paraId="30B9D78A"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4% </w:t>
            </w:r>
          </w:p>
        </w:tc>
        <w:tc>
          <w:tcPr>
            <w:tcW w:w="1231" w:type="dxa"/>
            <w:tcBorders>
              <w:top w:val="single" w:sz="6" w:space="0" w:color="auto"/>
              <w:left w:val="nil"/>
              <w:bottom w:val="nil"/>
              <w:right w:val="nil"/>
            </w:tcBorders>
            <w:shd w:val="clear" w:color="auto" w:fill="FFFFFF" w:themeFill="background1"/>
            <w:vAlign w:val="center"/>
            <w:hideMark/>
          </w:tcPr>
          <w:p w14:paraId="648E98A1"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10% </w:t>
            </w:r>
          </w:p>
        </w:tc>
        <w:tc>
          <w:tcPr>
            <w:tcW w:w="1246" w:type="dxa"/>
            <w:tcBorders>
              <w:top w:val="single" w:sz="6" w:space="0" w:color="auto"/>
              <w:left w:val="nil"/>
              <w:bottom w:val="nil"/>
              <w:right w:val="nil"/>
            </w:tcBorders>
            <w:shd w:val="clear" w:color="auto" w:fill="FFFFFF" w:themeFill="background1"/>
            <w:vAlign w:val="center"/>
            <w:hideMark/>
          </w:tcPr>
          <w:p w14:paraId="4D824DFA"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11% </w:t>
            </w:r>
          </w:p>
        </w:tc>
        <w:tc>
          <w:tcPr>
            <w:tcW w:w="1231" w:type="dxa"/>
            <w:tcBorders>
              <w:top w:val="single" w:sz="6" w:space="0" w:color="auto"/>
              <w:left w:val="nil"/>
              <w:bottom w:val="nil"/>
              <w:right w:val="nil"/>
            </w:tcBorders>
            <w:shd w:val="clear" w:color="auto" w:fill="FFFFFF" w:themeFill="background1"/>
            <w:vAlign w:val="center"/>
            <w:hideMark/>
          </w:tcPr>
          <w:p w14:paraId="1AF64278"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11% </w:t>
            </w:r>
          </w:p>
        </w:tc>
        <w:tc>
          <w:tcPr>
            <w:tcW w:w="1246" w:type="dxa"/>
            <w:tcBorders>
              <w:top w:val="single" w:sz="6" w:space="0" w:color="auto"/>
              <w:left w:val="nil"/>
              <w:bottom w:val="nil"/>
              <w:right w:val="nil"/>
            </w:tcBorders>
            <w:shd w:val="clear" w:color="auto" w:fill="FFFFFF" w:themeFill="background1"/>
            <w:vAlign w:val="center"/>
            <w:hideMark/>
          </w:tcPr>
          <w:p w14:paraId="7460B67B"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11% </w:t>
            </w:r>
          </w:p>
        </w:tc>
      </w:tr>
      <w:tr w:rsidR="00B703F2" w:rsidRPr="002454FD" w14:paraId="5D51D8E4" w14:textId="77777777" w:rsidTr="571FDD09">
        <w:trPr>
          <w:trHeight w:val="360"/>
        </w:trPr>
        <w:tc>
          <w:tcPr>
            <w:tcW w:w="2003" w:type="dxa"/>
            <w:tcBorders>
              <w:top w:val="nil"/>
              <w:left w:val="nil"/>
              <w:bottom w:val="single" w:sz="12" w:space="0" w:color="auto"/>
              <w:right w:val="nil"/>
            </w:tcBorders>
            <w:shd w:val="clear" w:color="auto" w:fill="FFFFFF" w:themeFill="background1"/>
            <w:vAlign w:val="center"/>
            <w:hideMark/>
          </w:tcPr>
          <w:p w14:paraId="2C35A083"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 xml:space="preserve">Impaired </w:t>
            </w:r>
          </w:p>
        </w:tc>
        <w:tc>
          <w:tcPr>
            <w:tcW w:w="1157" w:type="dxa"/>
            <w:tcBorders>
              <w:top w:val="nil"/>
              <w:left w:val="nil"/>
              <w:bottom w:val="single" w:sz="12" w:space="0" w:color="auto"/>
              <w:right w:val="nil"/>
            </w:tcBorders>
            <w:shd w:val="clear" w:color="auto" w:fill="FFFFFF" w:themeFill="background1"/>
            <w:vAlign w:val="center"/>
            <w:hideMark/>
          </w:tcPr>
          <w:p w14:paraId="205B8D1F"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16% </w:t>
            </w:r>
          </w:p>
        </w:tc>
        <w:tc>
          <w:tcPr>
            <w:tcW w:w="1246" w:type="dxa"/>
            <w:tcBorders>
              <w:top w:val="nil"/>
              <w:left w:val="nil"/>
              <w:bottom w:val="single" w:sz="12" w:space="0" w:color="auto"/>
              <w:right w:val="nil"/>
            </w:tcBorders>
            <w:shd w:val="clear" w:color="auto" w:fill="FFFFFF" w:themeFill="background1"/>
            <w:vAlign w:val="center"/>
            <w:hideMark/>
          </w:tcPr>
          <w:p w14:paraId="73419555"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16% </w:t>
            </w:r>
          </w:p>
        </w:tc>
        <w:tc>
          <w:tcPr>
            <w:tcW w:w="1231" w:type="dxa"/>
            <w:tcBorders>
              <w:top w:val="nil"/>
              <w:left w:val="nil"/>
              <w:bottom w:val="single" w:sz="12" w:space="0" w:color="auto"/>
              <w:right w:val="nil"/>
            </w:tcBorders>
            <w:shd w:val="clear" w:color="auto" w:fill="FFFFFF" w:themeFill="background1"/>
            <w:vAlign w:val="center"/>
            <w:hideMark/>
          </w:tcPr>
          <w:p w14:paraId="360ACB20"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86% </w:t>
            </w:r>
          </w:p>
        </w:tc>
        <w:tc>
          <w:tcPr>
            <w:tcW w:w="1246" w:type="dxa"/>
            <w:tcBorders>
              <w:top w:val="nil"/>
              <w:left w:val="nil"/>
              <w:bottom w:val="single" w:sz="12" w:space="0" w:color="auto"/>
              <w:right w:val="nil"/>
            </w:tcBorders>
            <w:shd w:val="clear" w:color="auto" w:fill="FFFFFF" w:themeFill="background1"/>
            <w:vAlign w:val="center"/>
            <w:hideMark/>
          </w:tcPr>
          <w:p w14:paraId="571F5E2B" w14:textId="533323DF" w:rsidR="00B703F2" w:rsidRPr="002454FD" w:rsidRDefault="00B703F2">
            <w:pPr>
              <w:widowControl/>
              <w:jc w:val="center"/>
              <w:textAlignment w:val="baseline"/>
              <w:rPr>
                <w:rFonts w:ascii="Times New Roman" w:hAnsi="Times New Roman"/>
                <w:snapToGrid/>
              </w:rPr>
            </w:pPr>
            <w:r w:rsidRPr="002454FD">
              <w:rPr>
                <w:rFonts w:ascii="Calibri" w:hAnsi="Calibri" w:cs="Calibri"/>
                <w:snapToGrid/>
                <w:color w:val="000000"/>
                <w:sz w:val="22"/>
                <w:szCs w:val="22"/>
              </w:rPr>
              <w:t>8</w:t>
            </w:r>
            <w:r w:rsidR="573B82CF" w:rsidRPr="002454FD">
              <w:rPr>
                <w:rFonts w:ascii="Calibri" w:hAnsi="Calibri" w:cs="Calibri"/>
                <w:snapToGrid/>
                <w:color w:val="000000"/>
                <w:sz w:val="22"/>
                <w:szCs w:val="22"/>
              </w:rPr>
              <w:t>7</w:t>
            </w:r>
            <w:r w:rsidRPr="002454FD">
              <w:rPr>
                <w:rFonts w:ascii="Calibri" w:hAnsi="Calibri" w:cs="Calibri"/>
                <w:snapToGrid/>
                <w:color w:val="000000"/>
                <w:sz w:val="22"/>
                <w:szCs w:val="22"/>
              </w:rPr>
              <w:t>% </w:t>
            </w:r>
          </w:p>
        </w:tc>
        <w:tc>
          <w:tcPr>
            <w:tcW w:w="1231" w:type="dxa"/>
            <w:tcBorders>
              <w:top w:val="nil"/>
              <w:left w:val="nil"/>
              <w:bottom w:val="single" w:sz="12" w:space="0" w:color="auto"/>
              <w:right w:val="nil"/>
            </w:tcBorders>
            <w:shd w:val="clear" w:color="auto" w:fill="FFFFFF" w:themeFill="background1"/>
            <w:vAlign w:val="center"/>
            <w:hideMark/>
          </w:tcPr>
          <w:p w14:paraId="696C85C3"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75% </w:t>
            </w:r>
          </w:p>
        </w:tc>
        <w:tc>
          <w:tcPr>
            <w:tcW w:w="1246" w:type="dxa"/>
            <w:tcBorders>
              <w:top w:val="nil"/>
              <w:left w:val="nil"/>
              <w:bottom w:val="single" w:sz="12" w:space="0" w:color="auto"/>
              <w:right w:val="nil"/>
            </w:tcBorders>
            <w:shd w:val="clear" w:color="auto" w:fill="FFFFFF" w:themeFill="background1"/>
            <w:vAlign w:val="center"/>
            <w:hideMark/>
          </w:tcPr>
          <w:p w14:paraId="03548A7F"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snapToGrid/>
                <w:color w:val="000000"/>
                <w:sz w:val="22"/>
                <w:szCs w:val="22"/>
              </w:rPr>
              <w:t>75% </w:t>
            </w:r>
          </w:p>
        </w:tc>
      </w:tr>
    </w:tbl>
    <w:p w14:paraId="27FA89DC" w14:textId="783817E4" w:rsidR="00B703F2" w:rsidRPr="002454FD" w:rsidRDefault="00B703F2" w:rsidP="00B703F2">
      <w:pPr>
        <w:widowControl/>
        <w:textAlignment w:val="baseline"/>
        <w:rPr>
          <w:rFonts w:cstheme="minorHAnsi"/>
          <w:snapToGrid/>
          <w:szCs w:val="24"/>
        </w:rPr>
      </w:pPr>
    </w:p>
    <w:p w14:paraId="51877E09" w14:textId="17BBB5A5" w:rsidR="00B703F2" w:rsidRPr="000E4CE4" w:rsidRDefault="00B703F2" w:rsidP="00B703F2">
      <w:pPr>
        <w:widowControl/>
        <w:textAlignment w:val="baseline"/>
        <w:rPr>
          <w:rFonts w:ascii="Segoe UI" w:hAnsi="Segoe UI" w:cs="Segoe UI"/>
          <w:snapToGrid/>
          <w:sz w:val="20"/>
        </w:rPr>
      </w:pPr>
      <w:r w:rsidRPr="000E4CE4">
        <w:rPr>
          <w:rFonts w:ascii="Calibri" w:hAnsi="Calibri" w:cs="Calibri"/>
          <w:snapToGrid/>
          <w:sz w:val="20"/>
        </w:rPr>
        <w:lastRenderedPageBreak/>
        <w:t xml:space="preserve">Leading causes of </w:t>
      </w:r>
      <w:r w:rsidR="00791DF1" w:rsidRPr="000E4CE4">
        <w:rPr>
          <w:rFonts w:ascii="Calibri" w:hAnsi="Calibri" w:cs="Calibri"/>
          <w:snapToGrid/>
          <w:sz w:val="20"/>
        </w:rPr>
        <w:t>impairment</w:t>
      </w:r>
      <w:r w:rsidRPr="000E4CE4">
        <w:rPr>
          <w:rFonts w:ascii="Calibri" w:hAnsi="Calibri" w:cs="Calibri"/>
          <w:snapToGrid/>
          <w:sz w:val="20"/>
        </w:rPr>
        <w:t xml:space="preserve"> by water body type.</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4.2-6 Leading causes of impairments by water body type."/>
      </w:tblPr>
      <w:tblGrid>
        <w:gridCol w:w="2415"/>
        <w:gridCol w:w="2235"/>
        <w:gridCol w:w="2325"/>
        <w:gridCol w:w="2325"/>
      </w:tblGrid>
      <w:tr w:rsidR="00B703F2" w:rsidRPr="002454FD" w14:paraId="12517C69" w14:textId="77777777">
        <w:trPr>
          <w:trHeight w:val="360"/>
        </w:trPr>
        <w:tc>
          <w:tcPr>
            <w:tcW w:w="2415" w:type="dxa"/>
            <w:tcBorders>
              <w:top w:val="single" w:sz="12" w:space="0" w:color="auto"/>
              <w:left w:val="nil"/>
              <w:bottom w:val="single" w:sz="6" w:space="0" w:color="auto"/>
              <w:right w:val="nil"/>
            </w:tcBorders>
            <w:shd w:val="clear" w:color="auto" w:fill="auto"/>
            <w:hideMark/>
          </w:tcPr>
          <w:p w14:paraId="55FAF330" w14:textId="77777777" w:rsidR="00B703F2" w:rsidRPr="002454FD" w:rsidRDefault="00B703F2">
            <w:pPr>
              <w:widowControl/>
              <w:textAlignment w:val="baseline"/>
              <w:rPr>
                <w:rFonts w:ascii="Times New Roman" w:hAnsi="Times New Roman"/>
                <w:snapToGrid/>
                <w:szCs w:val="24"/>
              </w:rPr>
            </w:pPr>
            <w:r w:rsidRPr="002454FD">
              <w:rPr>
                <w:rFonts w:ascii="Calibri" w:hAnsi="Calibri" w:cs="Calibri"/>
                <w:snapToGrid/>
                <w:sz w:val="22"/>
                <w:szCs w:val="22"/>
              </w:rPr>
              <w:t> </w:t>
            </w:r>
          </w:p>
        </w:tc>
        <w:tc>
          <w:tcPr>
            <w:tcW w:w="2235" w:type="dxa"/>
            <w:tcBorders>
              <w:top w:val="single" w:sz="12" w:space="0" w:color="auto"/>
              <w:left w:val="nil"/>
              <w:bottom w:val="single" w:sz="6" w:space="0" w:color="auto"/>
              <w:right w:val="nil"/>
            </w:tcBorders>
            <w:shd w:val="clear" w:color="auto" w:fill="auto"/>
            <w:vAlign w:val="center"/>
            <w:hideMark/>
          </w:tcPr>
          <w:p w14:paraId="17506310"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sz w:val="22"/>
                <w:szCs w:val="22"/>
              </w:rPr>
              <w:t>River (Miles)</w:t>
            </w:r>
            <w:r w:rsidRPr="002454FD">
              <w:rPr>
                <w:rFonts w:ascii="Calibri" w:hAnsi="Calibri" w:cs="Calibri"/>
                <w:snapToGrid/>
                <w:sz w:val="22"/>
                <w:szCs w:val="22"/>
              </w:rPr>
              <w:t> </w:t>
            </w:r>
          </w:p>
        </w:tc>
        <w:tc>
          <w:tcPr>
            <w:tcW w:w="2325" w:type="dxa"/>
            <w:tcBorders>
              <w:top w:val="single" w:sz="12" w:space="0" w:color="auto"/>
              <w:left w:val="nil"/>
              <w:bottom w:val="single" w:sz="6" w:space="0" w:color="auto"/>
              <w:right w:val="nil"/>
            </w:tcBorders>
            <w:shd w:val="clear" w:color="auto" w:fill="auto"/>
            <w:vAlign w:val="center"/>
            <w:hideMark/>
          </w:tcPr>
          <w:p w14:paraId="01F52280"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sz w:val="22"/>
                <w:szCs w:val="22"/>
              </w:rPr>
              <w:t>Lakes (Acres)</w:t>
            </w:r>
            <w:r w:rsidRPr="002454FD">
              <w:rPr>
                <w:rFonts w:ascii="Calibri" w:hAnsi="Calibri" w:cs="Calibri"/>
                <w:snapToGrid/>
                <w:sz w:val="22"/>
                <w:szCs w:val="22"/>
              </w:rPr>
              <w:t> </w:t>
            </w:r>
          </w:p>
        </w:tc>
        <w:tc>
          <w:tcPr>
            <w:tcW w:w="2325" w:type="dxa"/>
            <w:tcBorders>
              <w:top w:val="single" w:sz="12" w:space="0" w:color="auto"/>
              <w:left w:val="nil"/>
              <w:bottom w:val="single" w:sz="6" w:space="0" w:color="auto"/>
              <w:right w:val="nil"/>
            </w:tcBorders>
            <w:shd w:val="clear" w:color="auto" w:fill="auto"/>
            <w:vAlign w:val="center"/>
            <w:hideMark/>
          </w:tcPr>
          <w:p w14:paraId="34393921" w14:textId="77777777" w:rsidR="00B703F2" w:rsidRPr="002454FD" w:rsidRDefault="00B703F2">
            <w:pPr>
              <w:widowControl/>
              <w:jc w:val="center"/>
              <w:textAlignment w:val="baseline"/>
              <w:rPr>
                <w:rFonts w:ascii="Times New Roman" w:hAnsi="Times New Roman"/>
                <w:snapToGrid/>
                <w:szCs w:val="24"/>
              </w:rPr>
            </w:pPr>
            <w:r w:rsidRPr="002454FD">
              <w:rPr>
                <w:rFonts w:ascii="Calibri" w:hAnsi="Calibri" w:cs="Calibri"/>
                <w:b/>
                <w:bCs/>
                <w:snapToGrid/>
                <w:sz w:val="22"/>
                <w:szCs w:val="22"/>
              </w:rPr>
              <w:t>Estuaries (Miles</w:t>
            </w:r>
            <w:r w:rsidRPr="002454FD">
              <w:rPr>
                <w:rFonts w:ascii="Calibri" w:hAnsi="Calibri" w:cs="Calibri"/>
                <w:b/>
                <w:bCs/>
                <w:snapToGrid/>
                <w:sz w:val="17"/>
                <w:szCs w:val="17"/>
                <w:vertAlign w:val="superscript"/>
              </w:rPr>
              <w:t>2</w:t>
            </w:r>
            <w:r w:rsidRPr="002454FD">
              <w:rPr>
                <w:rFonts w:ascii="Calibri" w:hAnsi="Calibri" w:cs="Calibri"/>
                <w:b/>
                <w:bCs/>
                <w:snapToGrid/>
                <w:sz w:val="22"/>
                <w:szCs w:val="22"/>
              </w:rPr>
              <w:t>)</w:t>
            </w:r>
            <w:r w:rsidRPr="002454FD">
              <w:rPr>
                <w:rFonts w:ascii="Calibri" w:hAnsi="Calibri" w:cs="Calibri"/>
                <w:snapToGrid/>
                <w:sz w:val="22"/>
                <w:szCs w:val="22"/>
              </w:rPr>
              <w:t> </w:t>
            </w:r>
          </w:p>
        </w:tc>
      </w:tr>
      <w:tr w:rsidR="00B703F2" w:rsidRPr="002454FD" w14:paraId="54D4C425" w14:textId="77777777">
        <w:trPr>
          <w:trHeight w:val="360"/>
        </w:trPr>
        <w:tc>
          <w:tcPr>
            <w:tcW w:w="2415" w:type="dxa"/>
            <w:tcBorders>
              <w:top w:val="nil"/>
              <w:left w:val="nil"/>
              <w:bottom w:val="nil"/>
              <w:right w:val="nil"/>
            </w:tcBorders>
            <w:shd w:val="clear" w:color="auto" w:fill="auto"/>
            <w:vAlign w:val="center"/>
            <w:hideMark/>
          </w:tcPr>
          <w:p w14:paraId="5B1E9552" w14:textId="77777777" w:rsidR="00B703F2" w:rsidRPr="002454FD" w:rsidRDefault="00B703F2">
            <w:pPr>
              <w:widowControl/>
              <w:jc w:val="right"/>
              <w:textAlignment w:val="baseline"/>
              <w:rPr>
                <w:rFonts w:ascii="Times New Roman" w:hAnsi="Times New Roman"/>
                <w:snapToGrid/>
                <w:szCs w:val="24"/>
              </w:rPr>
            </w:pPr>
            <w:r w:rsidRPr="002454FD">
              <w:rPr>
                <w:rFonts w:ascii="Calibri" w:hAnsi="Calibri" w:cs="Calibri"/>
                <w:snapToGrid/>
                <w:sz w:val="22"/>
                <w:szCs w:val="22"/>
              </w:rPr>
              <w:t>Bacteria </w:t>
            </w:r>
          </w:p>
        </w:tc>
        <w:tc>
          <w:tcPr>
            <w:tcW w:w="2235" w:type="dxa"/>
            <w:tcBorders>
              <w:top w:val="nil"/>
              <w:left w:val="nil"/>
              <w:bottom w:val="nil"/>
              <w:right w:val="nil"/>
            </w:tcBorders>
            <w:shd w:val="clear" w:color="auto" w:fill="auto"/>
            <w:vAlign w:val="center"/>
            <w:hideMark/>
          </w:tcPr>
          <w:p w14:paraId="3F534813" w14:textId="4582935A" w:rsidR="00B703F2" w:rsidRPr="002454FD" w:rsidRDefault="00B703F2">
            <w:pPr>
              <w:widowControl/>
              <w:jc w:val="center"/>
              <w:textAlignment w:val="baseline"/>
              <w:rPr>
                <w:rFonts w:ascii="Calibri" w:hAnsi="Calibri" w:cs="Calibri"/>
                <w:snapToGrid/>
                <w:sz w:val="22"/>
                <w:szCs w:val="22"/>
              </w:rPr>
            </w:pPr>
            <w:r w:rsidRPr="002454FD">
              <w:rPr>
                <w:rFonts w:ascii="Calibri" w:hAnsi="Calibri" w:cs="Calibri"/>
                <w:snapToGrid/>
                <w:sz w:val="22"/>
                <w:szCs w:val="22"/>
              </w:rPr>
              <w:t>12,</w:t>
            </w:r>
            <w:r w:rsidR="3FC874CC" w:rsidRPr="002454FD">
              <w:rPr>
                <w:rFonts w:ascii="Calibri" w:hAnsi="Calibri" w:cs="Calibri"/>
                <w:snapToGrid/>
                <w:sz w:val="22"/>
                <w:szCs w:val="22"/>
              </w:rPr>
              <w:t>213</w:t>
            </w:r>
          </w:p>
        </w:tc>
        <w:tc>
          <w:tcPr>
            <w:tcW w:w="2325" w:type="dxa"/>
            <w:tcBorders>
              <w:top w:val="nil"/>
              <w:left w:val="nil"/>
              <w:bottom w:val="nil"/>
              <w:right w:val="nil"/>
            </w:tcBorders>
            <w:shd w:val="clear" w:color="auto" w:fill="auto"/>
            <w:vAlign w:val="center"/>
            <w:hideMark/>
          </w:tcPr>
          <w:p w14:paraId="7900E035" w14:textId="19E04CFC" w:rsidR="00B703F2" w:rsidRPr="002454FD" w:rsidRDefault="00B703F2">
            <w:pPr>
              <w:widowControl/>
              <w:jc w:val="center"/>
              <w:textAlignment w:val="baseline"/>
              <w:rPr>
                <w:rFonts w:ascii="Calibri" w:hAnsi="Calibri" w:cs="Calibri"/>
                <w:snapToGrid/>
                <w:sz w:val="22"/>
                <w:szCs w:val="22"/>
              </w:rPr>
            </w:pPr>
            <w:r w:rsidRPr="002454FD">
              <w:rPr>
                <w:rFonts w:ascii="Calibri" w:hAnsi="Calibri" w:cs="Calibri"/>
                <w:snapToGrid/>
                <w:sz w:val="22"/>
                <w:szCs w:val="22"/>
              </w:rPr>
              <w:t>4,</w:t>
            </w:r>
            <w:r w:rsidR="50F9A312" w:rsidRPr="002454FD">
              <w:rPr>
                <w:rFonts w:ascii="Calibri" w:hAnsi="Calibri" w:cs="Calibri"/>
                <w:snapToGrid/>
                <w:sz w:val="22"/>
                <w:szCs w:val="22"/>
              </w:rPr>
              <w:t>293</w:t>
            </w:r>
          </w:p>
        </w:tc>
        <w:tc>
          <w:tcPr>
            <w:tcW w:w="2325" w:type="dxa"/>
            <w:tcBorders>
              <w:top w:val="nil"/>
              <w:left w:val="nil"/>
              <w:bottom w:val="nil"/>
              <w:right w:val="nil"/>
            </w:tcBorders>
            <w:shd w:val="clear" w:color="auto" w:fill="auto"/>
            <w:vAlign w:val="center"/>
            <w:hideMark/>
          </w:tcPr>
          <w:p w14:paraId="31A65341" w14:textId="38A28422" w:rsidR="00B703F2" w:rsidRPr="002454FD" w:rsidRDefault="00B703F2">
            <w:pPr>
              <w:widowControl/>
              <w:jc w:val="center"/>
              <w:textAlignment w:val="baseline"/>
              <w:rPr>
                <w:rFonts w:ascii="Times New Roman" w:hAnsi="Times New Roman"/>
                <w:snapToGrid/>
              </w:rPr>
            </w:pPr>
            <w:r w:rsidRPr="002454FD">
              <w:rPr>
                <w:rFonts w:ascii="Calibri" w:hAnsi="Calibri" w:cs="Calibri"/>
                <w:snapToGrid/>
                <w:sz w:val="22"/>
                <w:szCs w:val="22"/>
              </w:rPr>
              <w:t>1</w:t>
            </w:r>
            <w:r w:rsidR="146BDAFE" w:rsidRPr="002454FD">
              <w:rPr>
                <w:rFonts w:ascii="Calibri" w:hAnsi="Calibri" w:cs="Calibri"/>
                <w:snapToGrid/>
                <w:sz w:val="22"/>
                <w:szCs w:val="22"/>
              </w:rPr>
              <w:t>7</w:t>
            </w:r>
            <w:r w:rsidRPr="002454FD">
              <w:rPr>
                <w:rFonts w:ascii="Calibri" w:hAnsi="Calibri" w:cs="Calibri"/>
                <w:snapToGrid/>
                <w:sz w:val="22"/>
                <w:szCs w:val="22"/>
              </w:rPr>
              <w:t>4</w:t>
            </w:r>
          </w:p>
        </w:tc>
      </w:tr>
      <w:tr w:rsidR="00B703F2" w:rsidRPr="002454FD" w14:paraId="091A8F70" w14:textId="77777777">
        <w:trPr>
          <w:trHeight w:val="360"/>
        </w:trPr>
        <w:tc>
          <w:tcPr>
            <w:tcW w:w="2415" w:type="dxa"/>
            <w:tcBorders>
              <w:top w:val="nil"/>
              <w:left w:val="nil"/>
              <w:bottom w:val="nil"/>
              <w:right w:val="nil"/>
            </w:tcBorders>
            <w:shd w:val="clear" w:color="auto" w:fill="auto"/>
            <w:vAlign w:val="center"/>
            <w:hideMark/>
          </w:tcPr>
          <w:p w14:paraId="0175AFFD" w14:textId="77777777" w:rsidR="00B703F2" w:rsidRPr="002454FD" w:rsidRDefault="00B703F2">
            <w:pPr>
              <w:widowControl/>
              <w:jc w:val="right"/>
              <w:textAlignment w:val="baseline"/>
              <w:rPr>
                <w:rFonts w:ascii="Times New Roman" w:hAnsi="Times New Roman"/>
                <w:snapToGrid/>
                <w:szCs w:val="24"/>
              </w:rPr>
            </w:pPr>
            <w:r w:rsidRPr="002454FD">
              <w:rPr>
                <w:rFonts w:ascii="Calibri" w:hAnsi="Calibri" w:cs="Calibri"/>
                <w:snapToGrid/>
                <w:sz w:val="22"/>
                <w:szCs w:val="22"/>
              </w:rPr>
              <w:t>Toxics in Fish Tissue </w:t>
            </w:r>
          </w:p>
        </w:tc>
        <w:tc>
          <w:tcPr>
            <w:tcW w:w="2235" w:type="dxa"/>
            <w:tcBorders>
              <w:top w:val="nil"/>
              <w:left w:val="nil"/>
              <w:bottom w:val="nil"/>
              <w:right w:val="nil"/>
            </w:tcBorders>
            <w:shd w:val="clear" w:color="auto" w:fill="auto"/>
            <w:vAlign w:val="center"/>
            <w:hideMark/>
          </w:tcPr>
          <w:p w14:paraId="1AED29A5" w14:textId="6C283B51" w:rsidR="00B703F2" w:rsidRPr="002454FD" w:rsidRDefault="00B703F2">
            <w:pPr>
              <w:widowControl/>
              <w:jc w:val="center"/>
              <w:textAlignment w:val="baseline"/>
              <w:rPr>
                <w:rFonts w:ascii="Calibri" w:hAnsi="Calibri" w:cs="Calibri"/>
                <w:snapToGrid/>
                <w:sz w:val="22"/>
                <w:szCs w:val="22"/>
              </w:rPr>
            </w:pPr>
            <w:r w:rsidRPr="002454FD">
              <w:rPr>
                <w:rFonts w:ascii="Calibri" w:hAnsi="Calibri" w:cs="Calibri"/>
                <w:snapToGrid/>
                <w:sz w:val="22"/>
                <w:szCs w:val="22"/>
              </w:rPr>
              <w:t>3,7</w:t>
            </w:r>
            <w:r w:rsidR="69CE0487" w:rsidRPr="002454FD">
              <w:rPr>
                <w:rFonts w:ascii="Calibri" w:hAnsi="Calibri" w:cs="Calibri"/>
                <w:snapToGrid/>
                <w:sz w:val="22"/>
                <w:szCs w:val="22"/>
              </w:rPr>
              <w:t>24</w:t>
            </w:r>
          </w:p>
        </w:tc>
        <w:tc>
          <w:tcPr>
            <w:tcW w:w="2325" w:type="dxa"/>
            <w:tcBorders>
              <w:top w:val="nil"/>
              <w:left w:val="nil"/>
              <w:bottom w:val="nil"/>
              <w:right w:val="nil"/>
            </w:tcBorders>
            <w:shd w:val="clear" w:color="auto" w:fill="auto"/>
            <w:vAlign w:val="center"/>
            <w:hideMark/>
          </w:tcPr>
          <w:p w14:paraId="17636348" w14:textId="601DB965" w:rsidR="00B703F2" w:rsidRPr="002454FD" w:rsidRDefault="00B703F2">
            <w:pPr>
              <w:widowControl/>
              <w:jc w:val="center"/>
              <w:textAlignment w:val="baseline"/>
              <w:rPr>
                <w:rFonts w:ascii="Calibri" w:hAnsi="Calibri" w:cs="Calibri"/>
                <w:snapToGrid/>
                <w:sz w:val="22"/>
                <w:szCs w:val="22"/>
              </w:rPr>
            </w:pPr>
            <w:r w:rsidRPr="002454FD">
              <w:rPr>
                <w:rFonts w:ascii="Calibri" w:hAnsi="Calibri" w:cs="Calibri"/>
                <w:snapToGrid/>
                <w:sz w:val="22"/>
                <w:szCs w:val="22"/>
              </w:rPr>
              <w:t>8</w:t>
            </w:r>
            <w:r w:rsidR="201ECCE2" w:rsidRPr="002454FD">
              <w:rPr>
                <w:rFonts w:ascii="Calibri" w:hAnsi="Calibri" w:cs="Calibri"/>
                <w:snapToGrid/>
                <w:sz w:val="22"/>
                <w:szCs w:val="22"/>
              </w:rPr>
              <w:t>8</w:t>
            </w:r>
            <w:r w:rsidRPr="002454FD">
              <w:rPr>
                <w:rFonts w:ascii="Calibri" w:hAnsi="Calibri" w:cs="Calibri"/>
                <w:snapToGrid/>
                <w:sz w:val="22"/>
                <w:szCs w:val="22"/>
              </w:rPr>
              <w:t>,</w:t>
            </w:r>
            <w:r w:rsidR="05DFE796" w:rsidRPr="002454FD">
              <w:rPr>
                <w:rFonts w:ascii="Calibri" w:hAnsi="Calibri" w:cs="Calibri"/>
                <w:snapToGrid/>
                <w:sz w:val="22"/>
                <w:szCs w:val="22"/>
              </w:rPr>
              <w:t>765</w:t>
            </w:r>
          </w:p>
        </w:tc>
        <w:tc>
          <w:tcPr>
            <w:tcW w:w="2325" w:type="dxa"/>
            <w:tcBorders>
              <w:top w:val="nil"/>
              <w:left w:val="nil"/>
              <w:bottom w:val="nil"/>
              <w:right w:val="nil"/>
            </w:tcBorders>
            <w:shd w:val="clear" w:color="auto" w:fill="auto"/>
            <w:vAlign w:val="center"/>
            <w:hideMark/>
          </w:tcPr>
          <w:p w14:paraId="5AE472F2" w14:textId="77777777" w:rsidR="00B703F2" w:rsidRPr="002454FD" w:rsidRDefault="00B703F2">
            <w:pPr>
              <w:widowControl/>
              <w:jc w:val="center"/>
              <w:textAlignment w:val="baseline"/>
              <w:rPr>
                <w:rFonts w:ascii="Times New Roman" w:hAnsi="Times New Roman"/>
                <w:snapToGrid/>
              </w:rPr>
            </w:pPr>
            <w:r w:rsidRPr="002454FD">
              <w:rPr>
                <w:rFonts w:ascii="Calibri" w:hAnsi="Calibri" w:cs="Calibri"/>
                <w:snapToGrid/>
                <w:sz w:val="22"/>
                <w:szCs w:val="22"/>
              </w:rPr>
              <w:t>2,058</w:t>
            </w:r>
          </w:p>
        </w:tc>
      </w:tr>
      <w:tr w:rsidR="00B703F2" w:rsidRPr="002454FD" w14:paraId="066CBCE9" w14:textId="77777777" w:rsidTr="571FDD09">
        <w:trPr>
          <w:trHeight w:val="360"/>
        </w:trPr>
        <w:tc>
          <w:tcPr>
            <w:tcW w:w="2415" w:type="dxa"/>
            <w:tcBorders>
              <w:top w:val="nil"/>
              <w:left w:val="nil"/>
              <w:bottom w:val="single" w:sz="12" w:space="0" w:color="000000" w:themeColor="text1"/>
              <w:right w:val="nil"/>
            </w:tcBorders>
            <w:shd w:val="clear" w:color="auto" w:fill="auto"/>
            <w:vAlign w:val="center"/>
            <w:hideMark/>
          </w:tcPr>
          <w:p w14:paraId="5AFD6B7E" w14:textId="77777777" w:rsidR="00B703F2" w:rsidRPr="002454FD" w:rsidRDefault="00B703F2">
            <w:pPr>
              <w:widowControl/>
              <w:jc w:val="right"/>
              <w:textAlignment w:val="baseline"/>
              <w:rPr>
                <w:rFonts w:ascii="Times New Roman" w:hAnsi="Times New Roman"/>
                <w:snapToGrid/>
                <w:szCs w:val="24"/>
              </w:rPr>
            </w:pPr>
            <w:r w:rsidRPr="002454FD">
              <w:rPr>
                <w:rFonts w:ascii="Calibri" w:hAnsi="Calibri" w:cs="Calibri"/>
                <w:snapToGrid/>
                <w:sz w:val="22"/>
                <w:szCs w:val="22"/>
              </w:rPr>
              <w:t>Dissolved Oxygen </w:t>
            </w:r>
          </w:p>
        </w:tc>
        <w:tc>
          <w:tcPr>
            <w:tcW w:w="2235" w:type="dxa"/>
            <w:tcBorders>
              <w:top w:val="nil"/>
              <w:left w:val="nil"/>
              <w:bottom w:val="single" w:sz="12" w:space="0" w:color="000000" w:themeColor="text1"/>
              <w:right w:val="nil"/>
            </w:tcBorders>
            <w:shd w:val="clear" w:color="auto" w:fill="auto"/>
            <w:vAlign w:val="center"/>
            <w:hideMark/>
          </w:tcPr>
          <w:p w14:paraId="47119644" w14:textId="2AEF6A19" w:rsidR="00B703F2" w:rsidRPr="002454FD" w:rsidRDefault="00B703F2">
            <w:pPr>
              <w:widowControl/>
              <w:jc w:val="center"/>
              <w:textAlignment w:val="baseline"/>
              <w:rPr>
                <w:rFonts w:ascii="Calibri" w:hAnsi="Calibri" w:cs="Calibri"/>
                <w:snapToGrid/>
                <w:sz w:val="22"/>
                <w:szCs w:val="22"/>
              </w:rPr>
            </w:pPr>
            <w:r w:rsidRPr="002454FD">
              <w:rPr>
                <w:rFonts w:ascii="Calibri" w:hAnsi="Calibri" w:cs="Calibri"/>
                <w:snapToGrid/>
                <w:sz w:val="22"/>
                <w:szCs w:val="22"/>
              </w:rPr>
              <w:t>70</w:t>
            </w:r>
            <w:r w:rsidR="633CD193" w:rsidRPr="002454FD">
              <w:rPr>
                <w:rFonts w:ascii="Calibri" w:hAnsi="Calibri" w:cs="Calibri"/>
                <w:snapToGrid/>
                <w:sz w:val="22"/>
                <w:szCs w:val="22"/>
              </w:rPr>
              <w:t>6</w:t>
            </w:r>
          </w:p>
        </w:tc>
        <w:tc>
          <w:tcPr>
            <w:tcW w:w="2325" w:type="dxa"/>
            <w:tcBorders>
              <w:top w:val="nil"/>
              <w:left w:val="nil"/>
              <w:bottom w:val="single" w:sz="12" w:space="0" w:color="000000" w:themeColor="text1"/>
              <w:right w:val="nil"/>
            </w:tcBorders>
            <w:shd w:val="clear" w:color="auto" w:fill="auto"/>
            <w:vAlign w:val="center"/>
            <w:hideMark/>
          </w:tcPr>
          <w:p w14:paraId="08BE9236" w14:textId="191ECAF7" w:rsidR="00B703F2" w:rsidRPr="002454FD" w:rsidRDefault="00B703F2">
            <w:pPr>
              <w:widowControl/>
              <w:jc w:val="center"/>
              <w:textAlignment w:val="baseline"/>
              <w:rPr>
                <w:rFonts w:ascii="Calibri" w:hAnsi="Calibri" w:cs="Calibri"/>
                <w:snapToGrid/>
                <w:sz w:val="22"/>
                <w:szCs w:val="22"/>
              </w:rPr>
            </w:pPr>
            <w:r w:rsidRPr="002454FD">
              <w:rPr>
                <w:rFonts w:ascii="Calibri" w:hAnsi="Calibri" w:cs="Calibri"/>
                <w:snapToGrid/>
                <w:sz w:val="22"/>
                <w:szCs w:val="22"/>
              </w:rPr>
              <w:t>47,</w:t>
            </w:r>
            <w:r w:rsidR="1EDF4E4B" w:rsidRPr="002454FD">
              <w:rPr>
                <w:rFonts w:ascii="Calibri" w:hAnsi="Calibri" w:cs="Calibri"/>
                <w:snapToGrid/>
                <w:sz w:val="22"/>
                <w:szCs w:val="22"/>
              </w:rPr>
              <w:t>366</w:t>
            </w:r>
          </w:p>
        </w:tc>
        <w:tc>
          <w:tcPr>
            <w:tcW w:w="2325" w:type="dxa"/>
            <w:tcBorders>
              <w:top w:val="nil"/>
              <w:left w:val="nil"/>
              <w:bottom w:val="single" w:sz="12" w:space="0" w:color="000000" w:themeColor="text1"/>
              <w:right w:val="nil"/>
            </w:tcBorders>
            <w:shd w:val="clear" w:color="auto" w:fill="auto"/>
            <w:vAlign w:val="center"/>
            <w:hideMark/>
          </w:tcPr>
          <w:p w14:paraId="11FBDD7D" w14:textId="56593B6A" w:rsidR="00B703F2" w:rsidRPr="002454FD" w:rsidRDefault="00B703F2">
            <w:pPr>
              <w:widowControl/>
              <w:jc w:val="center"/>
              <w:textAlignment w:val="baseline"/>
              <w:rPr>
                <w:rFonts w:ascii="Calibri" w:hAnsi="Calibri" w:cs="Calibri"/>
                <w:snapToGrid/>
                <w:sz w:val="22"/>
                <w:szCs w:val="22"/>
              </w:rPr>
            </w:pPr>
            <w:r w:rsidRPr="002454FD">
              <w:rPr>
                <w:rFonts w:ascii="Calibri" w:hAnsi="Calibri" w:cs="Calibri"/>
                <w:snapToGrid/>
                <w:sz w:val="22"/>
                <w:szCs w:val="22"/>
              </w:rPr>
              <w:t>1,</w:t>
            </w:r>
            <w:r w:rsidR="74A71338" w:rsidRPr="002454FD">
              <w:rPr>
                <w:rFonts w:ascii="Calibri" w:hAnsi="Calibri" w:cs="Calibri"/>
                <w:snapToGrid/>
                <w:sz w:val="22"/>
                <w:szCs w:val="22"/>
              </w:rPr>
              <w:t>375</w:t>
            </w:r>
          </w:p>
        </w:tc>
      </w:tr>
    </w:tbl>
    <w:p w14:paraId="1497E87A" w14:textId="77777777" w:rsidR="00B703F2" w:rsidRPr="00CA11BD" w:rsidRDefault="00B703F2" w:rsidP="00B703F2">
      <w:pPr>
        <w:widowControl/>
        <w:textAlignment w:val="baseline"/>
        <w:rPr>
          <w:rFonts w:cstheme="minorHAnsi"/>
          <w:snapToGrid/>
          <w:szCs w:val="24"/>
        </w:rPr>
      </w:pPr>
    </w:p>
    <w:p w14:paraId="22BE3BC8" w14:textId="2B109341" w:rsidR="00B703F2" w:rsidRPr="002454FD" w:rsidRDefault="00B703F2" w:rsidP="00B703F2">
      <w:pPr>
        <w:widowControl/>
        <w:textAlignment w:val="baseline"/>
        <w:rPr>
          <w:rFonts w:ascii="Segoe UI" w:hAnsi="Segoe UI" w:cs="Segoe UI"/>
          <w:snapToGrid/>
          <w:sz w:val="18"/>
          <w:szCs w:val="18"/>
        </w:rPr>
      </w:pPr>
      <w:r w:rsidRPr="2E55077B">
        <w:rPr>
          <w:rFonts w:ascii="Calibri" w:hAnsi="Calibri" w:cs="Calibri"/>
          <w:snapToGrid/>
        </w:rPr>
        <w:t xml:space="preserve">After a waterbody is classified as impaired, state statute directs DEQ to develop and implement a plan to achieve fully supporting status for the water by addressing the </w:t>
      </w:r>
      <w:proofErr w:type="gramStart"/>
      <w:r w:rsidRPr="2E55077B">
        <w:rPr>
          <w:rFonts w:ascii="Calibri" w:hAnsi="Calibri" w:cs="Calibri"/>
          <w:snapToGrid/>
        </w:rPr>
        <w:t>pollutant</w:t>
      </w:r>
      <w:proofErr w:type="gramEnd"/>
      <w:r w:rsidRPr="2E55077B">
        <w:rPr>
          <w:rFonts w:ascii="Calibri" w:hAnsi="Calibri" w:cs="Calibri"/>
          <w:snapToGrid/>
        </w:rPr>
        <w:t xml:space="preserve"> or pollutants causing the impairment. DEQ may initiate a watershed study, such as a Total Maximum Daily Load (TMDL). TMDLs are implemented in applicable discharge permits and by addressing nonpoint pollutant sources. In Virginia, an Implementation Plan (IP), also known as a clean-up plan, is often used to guide implementation of nonpoint source controls. Waters are removed from the impaired list by providing new data or information to the U.S. Environmental Protection Agency (EPA) that shows attainment of </w:t>
      </w:r>
      <w:r w:rsidRPr="21D2BF35">
        <w:rPr>
          <w:rFonts w:ascii="Calibri" w:hAnsi="Calibri" w:cs="Calibri"/>
        </w:rPr>
        <w:t xml:space="preserve">all applicable </w:t>
      </w:r>
      <w:r w:rsidRPr="2E55077B">
        <w:rPr>
          <w:rFonts w:ascii="Calibri" w:hAnsi="Calibri" w:cs="Calibri"/>
          <w:snapToGrid/>
        </w:rPr>
        <w:t>water quality criteria</w:t>
      </w:r>
      <w:r w:rsidRPr="21D2BF35">
        <w:rPr>
          <w:rFonts w:ascii="Calibri" w:hAnsi="Calibri" w:cs="Calibri"/>
        </w:rPr>
        <w:t xml:space="preserve"> for the waterbody segment</w:t>
      </w:r>
      <w:r w:rsidRPr="2E55077B">
        <w:rPr>
          <w:rFonts w:ascii="Calibri" w:hAnsi="Calibri" w:cs="Calibri"/>
          <w:snapToGrid/>
        </w:rPr>
        <w:t>. In the 2024 IR, DEQ proposes</w:t>
      </w:r>
      <w:r w:rsidRPr="2E55077B" w:rsidDel="002454FD">
        <w:rPr>
          <w:rFonts w:ascii="Calibri" w:hAnsi="Calibri" w:cs="Calibri"/>
          <w:snapToGrid/>
        </w:rPr>
        <w:t xml:space="preserve"> </w:t>
      </w:r>
      <w:r w:rsidRPr="21D2BF35">
        <w:rPr>
          <w:rFonts w:ascii="Calibri" w:hAnsi="Calibri" w:cs="Calibri"/>
        </w:rPr>
        <w:t xml:space="preserve">fully or partially delisting </w:t>
      </w:r>
      <w:r w:rsidR="4A0AB30D" w:rsidRPr="21D2BF35">
        <w:rPr>
          <w:rFonts w:ascii="Calibri" w:hAnsi="Calibri" w:cs="Calibri"/>
        </w:rPr>
        <w:t>7</w:t>
      </w:r>
      <w:r w:rsidR="4B0770EC" w:rsidRPr="21D2BF35">
        <w:rPr>
          <w:rFonts w:ascii="Calibri" w:hAnsi="Calibri" w:cs="Calibri"/>
        </w:rPr>
        <w:t>35</w:t>
      </w:r>
      <w:r w:rsidRPr="21D2BF35">
        <w:rPr>
          <w:rFonts w:ascii="Calibri" w:hAnsi="Calibri" w:cs="Calibri"/>
        </w:rPr>
        <w:t xml:space="preserve"> </w:t>
      </w:r>
      <w:r w:rsidRPr="367F01ED">
        <w:rPr>
          <w:rFonts w:ascii="Calibri" w:hAnsi="Calibri" w:cs="Calibri"/>
        </w:rPr>
        <w:t>water segments</w:t>
      </w:r>
      <w:r w:rsidRPr="2E55077B">
        <w:rPr>
          <w:rFonts w:ascii="Calibri" w:hAnsi="Calibri" w:cs="Calibri"/>
          <w:snapToGrid/>
        </w:rPr>
        <w:t xml:space="preserve"> from the Impaired Waters List. </w:t>
      </w:r>
      <w:r w:rsidRPr="21D2BF35">
        <w:rPr>
          <w:rFonts w:ascii="Calibri" w:hAnsi="Calibri" w:cs="Calibri"/>
        </w:rPr>
        <w:t xml:space="preserve">Of these, 38 are considered full delists, where all assessed uses for the given segment are </w:t>
      </w:r>
      <w:proofErr w:type="gramStart"/>
      <w:r w:rsidRPr="21D2BF35">
        <w:rPr>
          <w:rFonts w:ascii="Calibri" w:hAnsi="Calibri" w:cs="Calibri"/>
        </w:rPr>
        <w:t>attaining</w:t>
      </w:r>
      <w:proofErr w:type="gramEnd"/>
      <w:r w:rsidRPr="21D2BF35">
        <w:rPr>
          <w:rFonts w:ascii="Calibri" w:hAnsi="Calibri" w:cs="Calibri"/>
        </w:rPr>
        <w:t xml:space="preserve">, and </w:t>
      </w:r>
      <w:r w:rsidR="4A0AB30D" w:rsidRPr="21D2BF35">
        <w:rPr>
          <w:rFonts w:ascii="Calibri" w:hAnsi="Calibri" w:cs="Calibri"/>
        </w:rPr>
        <w:t>6</w:t>
      </w:r>
      <w:r w:rsidR="20CA4905" w:rsidRPr="21D2BF35">
        <w:rPr>
          <w:rFonts w:ascii="Calibri" w:hAnsi="Calibri" w:cs="Calibri"/>
        </w:rPr>
        <w:t>97</w:t>
      </w:r>
      <w:r w:rsidRPr="21D2BF35">
        <w:rPr>
          <w:rFonts w:ascii="Calibri" w:hAnsi="Calibri" w:cs="Calibri"/>
        </w:rPr>
        <w:t xml:space="preserve"> are considered partial delists, where one or more parameters meet criteria, but others remain a cause of impairment. </w:t>
      </w:r>
      <w:r w:rsidRPr="2E55077B">
        <w:rPr>
          <w:rFonts w:ascii="Calibri" w:hAnsi="Calibri" w:cs="Calibri"/>
          <w:snapToGrid/>
        </w:rPr>
        <w:t>To date, the agency has completed 1,044 watershed studies and nearly 100 clean-up plans across the state.</w:t>
      </w:r>
    </w:p>
    <w:p w14:paraId="7708289E" w14:textId="77777777" w:rsidR="00B703F2" w:rsidRPr="00CA11BD" w:rsidRDefault="00B703F2" w:rsidP="00B703F2">
      <w:pPr>
        <w:widowControl/>
        <w:textAlignment w:val="baseline"/>
        <w:rPr>
          <w:rFonts w:cstheme="minorHAnsi"/>
          <w:snapToGrid/>
          <w:szCs w:val="24"/>
        </w:rPr>
      </w:pPr>
    </w:p>
    <w:p w14:paraId="0F0B21C0" w14:textId="77777777" w:rsidR="00B703F2" w:rsidRPr="00FF1512" w:rsidRDefault="00B703F2" w:rsidP="00B703F2">
      <w:pPr>
        <w:pStyle w:val="Heading4"/>
        <w:rPr>
          <w:rFonts w:ascii="Segoe UI" w:hAnsi="Segoe UI" w:cs="Segoe UI"/>
          <w:snapToGrid/>
          <w:sz w:val="18"/>
          <w:szCs w:val="18"/>
        </w:rPr>
      </w:pPr>
      <w:r w:rsidRPr="002454FD">
        <w:rPr>
          <w:snapToGrid/>
        </w:rPr>
        <w:t>Probabilistic Monitoring Programs </w:t>
      </w:r>
    </w:p>
    <w:p w14:paraId="391A690A" w14:textId="77777777" w:rsidR="00B703F2" w:rsidRPr="002454FD" w:rsidRDefault="00B703F2" w:rsidP="00B703F2">
      <w:pPr>
        <w:widowControl/>
        <w:textAlignment w:val="baseline"/>
        <w:rPr>
          <w:rFonts w:ascii="Segoe UI" w:hAnsi="Segoe UI" w:cs="Segoe UI"/>
          <w:snapToGrid/>
          <w:sz w:val="18"/>
          <w:szCs w:val="18"/>
        </w:rPr>
      </w:pPr>
      <w:r w:rsidRPr="21D2BF35">
        <w:rPr>
          <w:rFonts w:ascii="Calibri" w:hAnsi="Calibri" w:cs="Calibri"/>
          <w:snapToGrid/>
        </w:rPr>
        <w:t xml:space="preserve">Virginia’s freshwater and estuarine probabilistic monitoring programs provide an important complement to DEQ’s ambient monitoring station network. Probabilistic data from randomly selected stations provide an unbiased regional or statewide characterization of water resources with a known degree of statistical confidence. The freshwater probabilistic study design includes smaller-order streams in addition to large-order waters and is one of the few programs that </w:t>
      </w:r>
      <w:proofErr w:type="gramStart"/>
      <w:r w:rsidRPr="21D2BF35">
        <w:rPr>
          <w:rFonts w:ascii="Calibri" w:hAnsi="Calibri" w:cs="Calibri"/>
          <w:snapToGrid/>
        </w:rPr>
        <w:t>gathers</w:t>
      </w:r>
      <w:proofErr w:type="gramEnd"/>
      <w:r w:rsidRPr="21D2BF35">
        <w:rPr>
          <w:rFonts w:ascii="Calibri" w:hAnsi="Calibri" w:cs="Calibri"/>
          <w:snapToGrid/>
        </w:rPr>
        <w:t xml:space="preserve"> data from smaller streams. Probabilistic data has many applications, some include: </w:t>
      </w:r>
    </w:p>
    <w:p w14:paraId="453C7781" w14:textId="77777777" w:rsidR="00B703F2" w:rsidRPr="002454FD" w:rsidRDefault="00B703F2" w:rsidP="00B703F2">
      <w:pPr>
        <w:widowControl/>
        <w:numPr>
          <w:ilvl w:val="0"/>
          <w:numId w:val="67"/>
        </w:numPr>
        <w:ind w:left="1080" w:firstLine="0"/>
        <w:textAlignment w:val="baseline"/>
        <w:rPr>
          <w:rFonts w:ascii="Calibri" w:hAnsi="Calibri" w:cs="Calibri"/>
          <w:snapToGrid/>
          <w:szCs w:val="24"/>
        </w:rPr>
      </w:pPr>
      <w:r w:rsidRPr="002454FD">
        <w:rPr>
          <w:rFonts w:ascii="Calibri" w:hAnsi="Calibri" w:cs="Calibri"/>
          <w:snapToGrid/>
          <w:szCs w:val="24"/>
        </w:rPr>
        <w:t>Enabling broad regional assessments of overall ambient conditions. </w:t>
      </w:r>
    </w:p>
    <w:p w14:paraId="3BC165A8" w14:textId="77777777" w:rsidR="00B703F2" w:rsidRPr="002454FD" w:rsidRDefault="00B703F2" w:rsidP="00B703F2">
      <w:pPr>
        <w:widowControl/>
        <w:numPr>
          <w:ilvl w:val="0"/>
          <w:numId w:val="67"/>
        </w:numPr>
        <w:ind w:left="1080" w:firstLine="0"/>
        <w:textAlignment w:val="baseline"/>
        <w:rPr>
          <w:rFonts w:ascii="Calibri" w:hAnsi="Calibri" w:cs="Calibri"/>
          <w:snapToGrid/>
          <w:szCs w:val="24"/>
        </w:rPr>
      </w:pPr>
      <w:r w:rsidRPr="002454FD">
        <w:rPr>
          <w:rFonts w:ascii="Calibri" w:hAnsi="Calibri" w:cs="Calibri"/>
          <w:snapToGrid/>
          <w:szCs w:val="24"/>
        </w:rPr>
        <w:t>Establishing baseline water quality conditions. </w:t>
      </w:r>
    </w:p>
    <w:p w14:paraId="0565B70D" w14:textId="77777777" w:rsidR="00B703F2" w:rsidRPr="002454FD" w:rsidRDefault="00B703F2" w:rsidP="00B703F2">
      <w:pPr>
        <w:widowControl/>
        <w:numPr>
          <w:ilvl w:val="0"/>
          <w:numId w:val="67"/>
        </w:numPr>
        <w:ind w:left="1080" w:firstLine="0"/>
        <w:textAlignment w:val="baseline"/>
        <w:rPr>
          <w:rFonts w:ascii="Calibri" w:hAnsi="Calibri" w:cs="Calibri"/>
          <w:snapToGrid/>
          <w:szCs w:val="24"/>
        </w:rPr>
      </w:pPr>
      <w:r w:rsidRPr="002454FD">
        <w:rPr>
          <w:rFonts w:ascii="Calibri" w:hAnsi="Calibri" w:cs="Calibri"/>
          <w:snapToGrid/>
          <w:szCs w:val="24"/>
        </w:rPr>
        <w:t>Answering questions about statewide and regional water quality conditions. For example, “what are the primary water quality problems in VA?”, “how widespread are these problems?”, and “what pollutants cause the greatest environmental stress to VA’s waters?” </w:t>
      </w:r>
    </w:p>
    <w:p w14:paraId="2A2C191C" w14:textId="77777777" w:rsidR="00B703F2" w:rsidRPr="002454FD" w:rsidRDefault="00B703F2" w:rsidP="00B703F2">
      <w:pPr>
        <w:widowControl/>
        <w:numPr>
          <w:ilvl w:val="0"/>
          <w:numId w:val="67"/>
        </w:numPr>
        <w:ind w:left="1080" w:firstLine="0"/>
        <w:textAlignment w:val="baseline"/>
        <w:rPr>
          <w:rFonts w:ascii="Calibri" w:hAnsi="Calibri" w:cs="Calibri"/>
          <w:snapToGrid/>
          <w:szCs w:val="24"/>
        </w:rPr>
      </w:pPr>
      <w:r w:rsidRPr="002454FD">
        <w:rPr>
          <w:rFonts w:ascii="Calibri" w:hAnsi="Calibri" w:cs="Calibri"/>
          <w:snapToGrid/>
          <w:szCs w:val="24"/>
        </w:rPr>
        <w:t>Meeting requirements under section 305(b) of the CWA to make water quality condition estimates and “submit…a report which shall include a description of water quality of all navigable water…” </w:t>
      </w:r>
    </w:p>
    <w:p w14:paraId="78CC012A" w14:textId="77777777" w:rsidR="00B703F2" w:rsidRDefault="00B703F2" w:rsidP="00B703F2">
      <w:pPr>
        <w:widowControl/>
        <w:textAlignment w:val="baseline"/>
        <w:rPr>
          <w:rFonts w:ascii="Calibri" w:hAnsi="Calibri" w:cs="Calibri"/>
          <w:snapToGrid/>
        </w:rPr>
      </w:pPr>
    </w:p>
    <w:p w14:paraId="455598BA" w14:textId="77777777" w:rsidR="00B703F2" w:rsidRPr="002454FD" w:rsidRDefault="00B703F2" w:rsidP="00B703F2">
      <w:pPr>
        <w:widowControl/>
        <w:textAlignment w:val="baseline"/>
        <w:rPr>
          <w:rFonts w:ascii="Segoe UI" w:hAnsi="Segoe UI" w:cs="Segoe UI"/>
          <w:snapToGrid/>
          <w:sz w:val="18"/>
          <w:szCs w:val="18"/>
        </w:rPr>
      </w:pPr>
      <w:r w:rsidRPr="002454FD">
        <w:rPr>
          <w:rFonts w:ascii="Calibri" w:hAnsi="Calibri" w:cs="Calibri"/>
          <w:snapToGrid/>
          <w:szCs w:val="24"/>
        </w:rPr>
        <w:t>The figure below shows monitoring stations that were visited during 2017-2022 as part of the probabilistic study design. </w:t>
      </w:r>
    </w:p>
    <w:p w14:paraId="7FD0E3C5" w14:textId="77777777" w:rsidR="00B703F2" w:rsidRPr="002454FD" w:rsidRDefault="00B703F2" w:rsidP="00B703F2">
      <w:pPr>
        <w:widowControl/>
        <w:textAlignment w:val="baseline"/>
        <w:rPr>
          <w:rFonts w:ascii="Segoe UI" w:hAnsi="Segoe UI" w:cs="Segoe UI"/>
          <w:snapToGrid/>
          <w:sz w:val="18"/>
          <w:szCs w:val="18"/>
        </w:rPr>
      </w:pPr>
    </w:p>
    <w:p w14:paraId="0BBEF25B" w14:textId="1734499E" w:rsidR="00B703F2" w:rsidRDefault="00B703F2" w:rsidP="00B703F2">
      <w:pPr>
        <w:widowControl/>
        <w:textAlignment w:val="baseline"/>
        <w:rPr>
          <w:rFonts w:ascii="Calibri" w:hAnsi="Calibri" w:cs="Calibri"/>
          <w:snapToGrid/>
          <w:szCs w:val="24"/>
        </w:rPr>
      </w:pPr>
      <w:r w:rsidRPr="002454FD">
        <w:rPr>
          <w:rFonts w:ascii="Segoe UI" w:hAnsi="Segoe UI" w:cs="Segoe UI"/>
          <w:noProof/>
          <w:snapToGrid/>
          <w:sz w:val="18"/>
          <w:szCs w:val="18"/>
        </w:rPr>
        <w:lastRenderedPageBreak/>
        <w:drawing>
          <wp:inline distT="0" distB="0" distL="0" distR="0" wp14:anchorId="733FDA19" wp14:editId="1C01A5BA">
            <wp:extent cx="5943600" cy="2828290"/>
            <wp:effectExtent l="0" t="0" r="0" b="0"/>
            <wp:docPr id="1265480154" name="Picture 9" descr="Diagram&#10;&#10;Freshwater and Estuarine Probabilistic monitoring stations evaluated in the 2024 Integrated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80154" name="Picture 9" descr="Diagram&#10;&#10;Freshwater and Estuarine Probabilistic monitoring stations evaluated in the 2024 Integrated Report. "/>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943600" cy="2828290"/>
                    </a:xfrm>
                    <a:prstGeom prst="rect">
                      <a:avLst/>
                    </a:prstGeom>
                    <a:noFill/>
                    <a:ln>
                      <a:noFill/>
                    </a:ln>
                  </pic:spPr>
                </pic:pic>
              </a:graphicData>
            </a:graphic>
          </wp:inline>
        </w:drawing>
      </w:r>
    </w:p>
    <w:p w14:paraId="2ABF2433" w14:textId="77777777" w:rsidR="00044299" w:rsidRPr="002454FD" w:rsidRDefault="00044299" w:rsidP="00B703F2">
      <w:pPr>
        <w:widowControl/>
        <w:textAlignment w:val="baseline"/>
        <w:rPr>
          <w:rFonts w:ascii="Segoe UI" w:hAnsi="Segoe UI" w:cs="Segoe UI"/>
          <w:snapToGrid/>
          <w:sz w:val="18"/>
          <w:szCs w:val="18"/>
        </w:rPr>
      </w:pPr>
    </w:p>
    <w:p w14:paraId="37645537" w14:textId="01DC754C" w:rsidR="00B703F2" w:rsidRPr="00EA6C66" w:rsidRDefault="00B703F2" w:rsidP="00B703F2">
      <w:pPr>
        <w:widowControl/>
        <w:textAlignment w:val="baseline"/>
        <w:rPr>
          <w:rFonts w:ascii="Segoe UI" w:hAnsi="Segoe UI" w:cs="Segoe UI"/>
          <w:snapToGrid/>
          <w:sz w:val="22"/>
          <w:szCs w:val="22"/>
        </w:rPr>
      </w:pPr>
      <w:r w:rsidRPr="00EA6C66">
        <w:rPr>
          <w:rFonts w:ascii="Calibri" w:hAnsi="Calibri" w:cs="Calibri"/>
          <w:snapToGrid/>
          <w:sz w:val="22"/>
          <w:szCs w:val="22"/>
        </w:rPr>
        <w:t>Freshwater and Estuarine Probabilistic monitoring stations evaluated in the 2024 Integrated Report.</w:t>
      </w:r>
    </w:p>
    <w:p w14:paraId="1F25F5C0" w14:textId="77777777" w:rsidR="00B703F2" w:rsidRPr="00D32D89" w:rsidRDefault="00B703F2" w:rsidP="00B703F2">
      <w:pPr>
        <w:widowControl/>
        <w:textAlignment w:val="baseline"/>
        <w:rPr>
          <w:rFonts w:cstheme="minorHAnsi"/>
          <w:snapToGrid/>
          <w:szCs w:val="24"/>
        </w:rPr>
      </w:pPr>
    </w:p>
    <w:p w14:paraId="0E518744" w14:textId="25518943" w:rsidR="00B703F2" w:rsidRPr="00315F9A" w:rsidRDefault="00B703F2" w:rsidP="00B703F2">
      <w:pPr>
        <w:pStyle w:val="Heading4"/>
        <w:rPr>
          <w:rFonts w:ascii="Segoe UI" w:hAnsi="Segoe UI" w:cs="Segoe UI"/>
          <w:snapToGrid/>
          <w:sz w:val="18"/>
          <w:szCs w:val="18"/>
        </w:rPr>
      </w:pPr>
      <w:r w:rsidRPr="002454FD">
        <w:rPr>
          <w:snapToGrid/>
        </w:rPr>
        <w:t>Chesapeake Bay Assessment Results</w:t>
      </w:r>
    </w:p>
    <w:p w14:paraId="68BEFE3D" w14:textId="0B7C611B" w:rsidR="00B703F2" w:rsidRPr="00047A74" w:rsidRDefault="00B703F2" w:rsidP="00B703F2">
      <w:pPr>
        <w:widowControl/>
        <w:textAlignment w:val="baseline"/>
        <w:rPr>
          <w:rFonts w:ascii="Calibri" w:hAnsi="Calibri" w:cs="Calibri"/>
          <w:snapToGrid/>
        </w:rPr>
      </w:pPr>
      <w:r w:rsidRPr="4A6BCCFF">
        <w:rPr>
          <w:rFonts w:ascii="Calibri" w:hAnsi="Calibri" w:cs="Calibri"/>
          <w:snapToGrid/>
        </w:rPr>
        <w:t xml:space="preserve">For the 2024 IR, DEQ and its partners have performed </w:t>
      </w:r>
      <w:proofErr w:type="gramStart"/>
      <w:r w:rsidRPr="4A6BCCFF">
        <w:rPr>
          <w:rFonts w:ascii="Calibri" w:hAnsi="Calibri" w:cs="Calibri"/>
          <w:snapToGrid/>
        </w:rPr>
        <w:t>the</w:t>
      </w:r>
      <w:proofErr w:type="gramEnd"/>
      <w:r w:rsidRPr="4A6BCCFF">
        <w:rPr>
          <w:rFonts w:ascii="Calibri" w:hAnsi="Calibri" w:cs="Calibri"/>
          <w:snapToGrid/>
        </w:rPr>
        <w:t xml:space="preserve"> assessment of monitoring data collected in Virginia’s Chesapeake Bay waters.</w:t>
      </w:r>
      <w:r w:rsidR="00044299">
        <w:rPr>
          <w:rFonts w:ascii="Calibri" w:hAnsi="Calibri" w:cs="Calibri"/>
          <w:snapToGrid/>
        </w:rPr>
        <w:t xml:space="preserve"> </w:t>
      </w:r>
      <w:r w:rsidRPr="4A6BCCFF">
        <w:rPr>
          <w:rFonts w:ascii="Calibri" w:hAnsi="Calibri" w:cs="Calibri"/>
          <w:snapToGrid/>
        </w:rPr>
        <w:t>Updated for the 2024 cycle is the assessment of dissolved oxygen (DO), which aligns with processes used in past IRs, but now includes rounding</w:t>
      </w:r>
      <w:r w:rsidRPr="2E55077B">
        <w:rPr>
          <w:rFonts w:ascii="Calibri" w:hAnsi="Calibri" w:cs="Calibri"/>
        </w:rPr>
        <w:t xml:space="preserve"> to significant digits</w:t>
      </w:r>
      <w:r w:rsidRPr="4A6BCCFF">
        <w:rPr>
          <w:rFonts w:ascii="Calibri" w:hAnsi="Calibri" w:cs="Calibri"/>
          <w:snapToGrid/>
        </w:rPr>
        <w:t xml:space="preserve"> </w:t>
      </w:r>
      <w:r w:rsidRPr="2E55077B">
        <w:rPr>
          <w:rFonts w:ascii="Calibri" w:hAnsi="Calibri" w:cs="Calibri"/>
        </w:rPr>
        <w:t>consistent with the Virginia Administrative Code and DEQ’s Assessment Guidance</w:t>
      </w:r>
      <w:r w:rsidRPr="4A6BCCFF">
        <w:rPr>
          <w:rFonts w:ascii="Calibri" w:hAnsi="Calibri" w:cs="Calibri"/>
          <w:snapToGrid/>
        </w:rPr>
        <w:t xml:space="preserve">. The figure below </w:t>
      </w:r>
      <w:r w:rsidRPr="2E55077B">
        <w:rPr>
          <w:rFonts w:ascii="Calibri" w:hAnsi="Calibri" w:cs="Calibri"/>
        </w:rPr>
        <w:t xml:space="preserve">provides a summary of the areas of the Bay and how the Bay specific criteria assessment results are reported by category. Category 4D applies to waters that meet </w:t>
      </w:r>
      <w:r>
        <w:rPr>
          <w:rFonts w:ascii="Calibri" w:hAnsi="Calibri" w:cs="Calibri"/>
        </w:rPr>
        <w:t>the</w:t>
      </w:r>
      <w:r w:rsidRPr="2E55077B" w:rsidDel="00803BEE">
        <w:rPr>
          <w:rFonts w:ascii="Calibri" w:hAnsi="Calibri" w:cs="Calibri"/>
        </w:rPr>
        <w:t xml:space="preserve"> </w:t>
      </w:r>
      <w:r w:rsidRPr="2E55077B">
        <w:rPr>
          <w:rFonts w:ascii="Calibri" w:hAnsi="Calibri" w:cs="Calibri"/>
        </w:rPr>
        <w:t>DO criteria</w:t>
      </w:r>
      <w:r>
        <w:rPr>
          <w:rFonts w:ascii="Calibri" w:hAnsi="Calibri" w:cs="Calibri"/>
        </w:rPr>
        <w:t xml:space="preserve"> which were assessed in the 2024 IR</w:t>
      </w:r>
      <w:r w:rsidRPr="2E55077B">
        <w:rPr>
          <w:rFonts w:ascii="Calibri" w:hAnsi="Calibri" w:cs="Calibri"/>
        </w:rPr>
        <w:t>, but which are required to meet all applicable DO criteria before they can be assessed as fully supporting</w:t>
      </w:r>
      <w:r>
        <w:rPr>
          <w:rFonts w:ascii="Calibri" w:hAnsi="Calibri" w:cs="Calibri"/>
        </w:rPr>
        <w:t xml:space="preserve"> (i.e., Category 2)</w:t>
      </w:r>
      <w:r w:rsidRPr="2E55077B">
        <w:rPr>
          <w:rFonts w:ascii="Calibri" w:hAnsi="Calibri" w:cs="Calibri"/>
        </w:rPr>
        <w:t>.</w:t>
      </w:r>
      <w:r>
        <w:rPr>
          <w:rFonts w:ascii="Calibri" w:hAnsi="Calibri" w:cs="Calibri"/>
        </w:rPr>
        <w:t xml:space="preserve"> Note that</w:t>
      </w:r>
      <w:r w:rsidRPr="00E40354">
        <w:t xml:space="preserve"> </w:t>
      </w:r>
      <w:r>
        <w:rPr>
          <w:rFonts w:ascii="Calibri" w:hAnsi="Calibri" w:cs="Calibri"/>
        </w:rPr>
        <w:t>t</w:t>
      </w:r>
      <w:r w:rsidRPr="00E40354">
        <w:rPr>
          <w:rFonts w:ascii="Calibri" w:hAnsi="Calibri" w:cs="Calibri"/>
        </w:rPr>
        <w:t xml:space="preserve">here are 11 DO criteria for </w:t>
      </w:r>
      <w:r>
        <w:rPr>
          <w:rFonts w:ascii="Calibri" w:hAnsi="Calibri" w:cs="Calibri"/>
        </w:rPr>
        <w:t>Chesapeake Bay waters, depending on the designated use(s)</w:t>
      </w:r>
      <w:r w:rsidRPr="00E40354">
        <w:rPr>
          <w:rFonts w:ascii="Calibri" w:hAnsi="Calibri" w:cs="Calibri"/>
        </w:rPr>
        <w:t xml:space="preserve">, of which three are currently assessed. </w:t>
      </w:r>
      <w:r w:rsidRPr="2E55077B">
        <w:rPr>
          <w:rFonts w:ascii="Calibri" w:hAnsi="Calibri" w:cs="Calibri"/>
        </w:rPr>
        <w:t>Additionally, only segments that have fully met their respective SAV acreage goals are assessed as fully supporting</w:t>
      </w:r>
      <w:r>
        <w:rPr>
          <w:rFonts w:ascii="Calibri" w:hAnsi="Calibri" w:cs="Calibri"/>
        </w:rPr>
        <w:t>.</w:t>
      </w:r>
      <w:r w:rsidDel="00EE0B06">
        <w:rPr>
          <w:rFonts w:ascii="Calibri" w:hAnsi="Calibri" w:cs="Calibri"/>
        </w:rPr>
        <w:t xml:space="preserve"> </w:t>
      </w:r>
      <w:r w:rsidRPr="2E55077B">
        <w:rPr>
          <w:rFonts w:ascii="Calibri" w:hAnsi="Calibri" w:cs="Calibri"/>
        </w:rPr>
        <w:t xml:space="preserve">Most Bay segments have partially met their SAV goals and </w:t>
      </w:r>
      <w:proofErr w:type="gramStart"/>
      <w:r w:rsidRPr="2E55077B">
        <w:rPr>
          <w:rFonts w:ascii="Calibri" w:hAnsi="Calibri" w:cs="Calibri"/>
        </w:rPr>
        <w:t>contribute</w:t>
      </w:r>
      <w:proofErr w:type="gramEnd"/>
      <w:r w:rsidRPr="2E55077B">
        <w:rPr>
          <w:rFonts w:ascii="Calibri" w:hAnsi="Calibri" w:cs="Calibri"/>
        </w:rPr>
        <w:t xml:space="preserve"> to the total SAV acreage goal but are still assessed as not supporting.</w:t>
      </w:r>
      <w:r>
        <w:rPr>
          <w:rFonts w:ascii="Calibri" w:hAnsi="Calibri" w:cs="Calibri"/>
        </w:rPr>
        <w:t xml:space="preserve"> Category 4A applies to waters that are</w:t>
      </w:r>
      <w:r w:rsidRPr="00BC7B18">
        <w:rPr>
          <w:rFonts w:ascii="Calibri" w:hAnsi="Calibri" w:cs="Calibri"/>
        </w:rPr>
        <w:t xml:space="preserve"> impaired or threatened for one or more designated uses</w:t>
      </w:r>
      <w:r>
        <w:rPr>
          <w:rFonts w:ascii="Calibri" w:hAnsi="Calibri" w:cs="Calibri"/>
        </w:rPr>
        <w:t>. Both Category 4A and 4D waters are covered by the EPA Chesapeake Bay TMDL.</w:t>
      </w:r>
    </w:p>
    <w:p w14:paraId="3ACEE2B6" w14:textId="77777777" w:rsidR="005B2952" w:rsidRDefault="005B2952" w:rsidP="00B703F2">
      <w:pPr>
        <w:widowControl/>
        <w:textAlignment w:val="baseline"/>
        <w:rPr>
          <w:rFonts w:ascii="Calibri" w:hAnsi="Calibri" w:cs="Calibri"/>
          <w:snapToGrid/>
        </w:rPr>
      </w:pPr>
    </w:p>
    <w:p w14:paraId="283B762F" w14:textId="77777777" w:rsidR="005B2952" w:rsidRDefault="005B2952" w:rsidP="00B703F2">
      <w:pPr>
        <w:widowControl/>
        <w:textAlignment w:val="baseline"/>
        <w:rPr>
          <w:rFonts w:ascii="Calibri" w:hAnsi="Calibri" w:cs="Calibri"/>
          <w:snapToGrid/>
        </w:rPr>
      </w:pPr>
    </w:p>
    <w:p w14:paraId="6E98D041" w14:textId="440B8464" w:rsidR="00B703F2" w:rsidRPr="002454FD" w:rsidRDefault="00B703F2" w:rsidP="00B703F2">
      <w:pPr>
        <w:widowControl/>
        <w:textAlignment w:val="baseline"/>
        <w:rPr>
          <w:rFonts w:ascii="Segoe UI" w:hAnsi="Segoe UI" w:cs="Segoe UI"/>
          <w:snapToGrid/>
          <w:sz w:val="18"/>
          <w:szCs w:val="18"/>
        </w:rPr>
      </w:pPr>
      <w:r>
        <w:rPr>
          <w:noProof/>
        </w:rPr>
        <w:lastRenderedPageBreak/>
        <w:drawing>
          <wp:inline distT="0" distB="0" distL="0" distR="0" wp14:anchorId="2FE0FA34" wp14:editId="1FAD956F">
            <wp:extent cx="4341075" cy="3638550"/>
            <wp:effectExtent l="0" t="0" r="2540" b="0"/>
            <wp:docPr id="70516266" name="Picture 70516266" descr="Chart, bar chart&#10;&#10;Chesapeake Bay Criteria Assessmen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16266" name="Picture 70516266" descr="Chart, bar chart&#10;&#10;Chesapeake Bay Criteria Assessment Results"/>
                    <pic:cNvPicPr/>
                  </pic:nvPicPr>
                  <pic:blipFill>
                    <a:blip r:embed="rId14" cstate="email">
                      <a:extLst>
                        <a:ext uri="{28A0092B-C50C-407E-A947-70E740481C1C}">
                          <a14:useLocalDpi xmlns:a14="http://schemas.microsoft.com/office/drawing/2010/main"/>
                        </a:ext>
                      </a:extLst>
                    </a:blip>
                    <a:stretch>
                      <a:fillRect/>
                    </a:stretch>
                  </pic:blipFill>
                  <pic:spPr>
                    <a:xfrm>
                      <a:off x="0" y="0"/>
                      <a:ext cx="4344946" cy="3641795"/>
                    </a:xfrm>
                    <a:prstGeom prst="rect">
                      <a:avLst/>
                    </a:prstGeom>
                  </pic:spPr>
                </pic:pic>
              </a:graphicData>
            </a:graphic>
          </wp:inline>
        </w:drawing>
      </w:r>
      <w:r>
        <w:rPr>
          <w:rFonts w:ascii="Calibri" w:hAnsi="Calibri" w:cs="Calibri"/>
          <w:snapToGrid/>
          <w:sz w:val="20"/>
        </w:rPr>
        <w:br/>
      </w:r>
      <w:r w:rsidRPr="00601F5E">
        <w:rPr>
          <w:rFonts w:ascii="Calibri" w:hAnsi="Calibri" w:cs="Calibri"/>
          <w:snapToGrid/>
          <w:sz w:val="22"/>
          <w:szCs w:val="22"/>
        </w:rPr>
        <w:t>Chesapeake Bay Criteria Assessment Results.</w:t>
      </w:r>
    </w:p>
    <w:p w14:paraId="777A456C" w14:textId="77777777" w:rsidR="00B703F2" w:rsidRDefault="00B703F2" w:rsidP="00B703F2">
      <w:pPr>
        <w:widowControl/>
        <w:textAlignment w:val="baseline"/>
        <w:rPr>
          <w:rFonts w:ascii="Calibri" w:hAnsi="Calibri" w:cs="Calibri"/>
          <w:snapToGrid/>
          <w:szCs w:val="24"/>
          <w:u w:val="single"/>
        </w:rPr>
      </w:pPr>
    </w:p>
    <w:p w14:paraId="28C62B29" w14:textId="713EEBAB" w:rsidR="00B703F2" w:rsidRPr="00CA11BD" w:rsidRDefault="00B703F2" w:rsidP="00B703F2">
      <w:pPr>
        <w:widowControl/>
        <w:textAlignment w:val="baseline"/>
        <w:rPr>
          <w:rFonts w:cstheme="minorHAnsi"/>
          <w:snapToGrid/>
          <w:szCs w:val="24"/>
        </w:rPr>
      </w:pPr>
      <w:r w:rsidRPr="002454FD">
        <w:rPr>
          <w:rFonts w:ascii="Calibri" w:hAnsi="Calibri" w:cs="Calibri"/>
          <w:snapToGrid/>
          <w:szCs w:val="24"/>
          <w:u w:val="single"/>
        </w:rPr>
        <w:t>Dissolved Oxygen</w:t>
      </w:r>
      <w:r w:rsidRPr="002454FD">
        <w:rPr>
          <w:rFonts w:ascii="Calibri" w:hAnsi="Calibri" w:cs="Calibri"/>
          <w:snapToGrid/>
          <w:szCs w:val="24"/>
        </w:rPr>
        <w:t xml:space="preserve">: The 2024 dissolved oxygen assessment shows attainment of the assessed Open Water criteria is achieved in the lower Rappahannock River, the James River, as well as in the mainstem Bay (to include Mobjack Bay and Pocomoke Sound). These improvements do not result in waterbody segments being removed from the Impaired Waters List as not all applicable DO criteria are currently assessed, and all criteria must be met before removing </w:t>
      </w:r>
      <w:proofErr w:type="gramStart"/>
      <w:r w:rsidRPr="002454FD">
        <w:rPr>
          <w:rFonts w:ascii="Calibri" w:hAnsi="Calibri" w:cs="Calibri"/>
          <w:snapToGrid/>
          <w:szCs w:val="24"/>
        </w:rPr>
        <w:t>waters</w:t>
      </w:r>
      <w:proofErr w:type="gramEnd"/>
      <w:r w:rsidRPr="002454FD">
        <w:rPr>
          <w:rFonts w:ascii="Calibri" w:hAnsi="Calibri" w:cs="Calibri"/>
          <w:snapToGrid/>
          <w:szCs w:val="24"/>
        </w:rPr>
        <w:t xml:space="preserve"> from the impaired list. The upper Pamunkey River and Elizabeth River are two segments where the assessed Open Water criteria were </w:t>
      </w:r>
      <w:proofErr w:type="gramStart"/>
      <w:r w:rsidRPr="002454FD">
        <w:rPr>
          <w:rFonts w:ascii="Calibri" w:hAnsi="Calibri" w:cs="Calibri"/>
          <w:snapToGrid/>
          <w:szCs w:val="24"/>
        </w:rPr>
        <w:t>meeting</w:t>
      </w:r>
      <w:proofErr w:type="gramEnd"/>
      <w:r w:rsidRPr="002454FD">
        <w:rPr>
          <w:rFonts w:ascii="Calibri" w:hAnsi="Calibri" w:cs="Calibri"/>
          <w:snapToGrid/>
          <w:szCs w:val="24"/>
        </w:rPr>
        <w:t xml:space="preserve"> last cycle and are not this cycle. Attainment of the assessed </w:t>
      </w:r>
      <w:proofErr w:type="gramStart"/>
      <w:r w:rsidRPr="002454FD">
        <w:rPr>
          <w:rFonts w:ascii="Calibri" w:hAnsi="Calibri" w:cs="Calibri"/>
          <w:snapToGrid/>
          <w:szCs w:val="24"/>
        </w:rPr>
        <w:t>Deep Water</w:t>
      </w:r>
      <w:proofErr w:type="gramEnd"/>
      <w:r w:rsidRPr="002454FD">
        <w:rPr>
          <w:rFonts w:ascii="Calibri" w:hAnsi="Calibri" w:cs="Calibri"/>
          <w:snapToGrid/>
          <w:szCs w:val="24"/>
        </w:rPr>
        <w:t xml:space="preserve"> criteria is achieved in the mainstem Bay</w:t>
      </w:r>
      <w:r>
        <w:rPr>
          <w:rFonts w:ascii="Calibri" w:hAnsi="Calibri" w:cs="Calibri"/>
          <w:snapToGrid/>
          <w:szCs w:val="24"/>
        </w:rPr>
        <w:t>.</w:t>
      </w:r>
      <w:r w:rsidRPr="002454FD" w:rsidDel="003C63D4">
        <w:rPr>
          <w:rFonts w:ascii="Calibri" w:hAnsi="Calibri" w:cs="Calibri"/>
          <w:snapToGrid/>
          <w:szCs w:val="24"/>
        </w:rPr>
        <w:t xml:space="preserve"> </w:t>
      </w:r>
      <w:r>
        <w:rPr>
          <w:rFonts w:ascii="Calibri" w:hAnsi="Calibri" w:cs="Calibri"/>
          <w:snapToGrid/>
          <w:szCs w:val="24"/>
        </w:rPr>
        <w:t>However,</w:t>
      </w:r>
      <w:r w:rsidRPr="002454FD">
        <w:rPr>
          <w:rFonts w:ascii="Calibri" w:hAnsi="Calibri" w:cs="Calibri"/>
          <w:snapToGrid/>
          <w:szCs w:val="24"/>
        </w:rPr>
        <w:t xml:space="preserve"> in the Rappahannock, York and Southern Branch of the Elizabeth River segments</w:t>
      </w:r>
      <w:r>
        <w:rPr>
          <w:rFonts w:ascii="Calibri" w:hAnsi="Calibri" w:cs="Calibri"/>
          <w:snapToGrid/>
          <w:szCs w:val="24"/>
        </w:rPr>
        <w:t xml:space="preserve"> the </w:t>
      </w:r>
      <w:proofErr w:type="gramStart"/>
      <w:r>
        <w:rPr>
          <w:rFonts w:ascii="Calibri" w:hAnsi="Calibri" w:cs="Calibri"/>
          <w:snapToGrid/>
          <w:szCs w:val="24"/>
        </w:rPr>
        <w:t>Deep Water</w:t>
      </w:r>
      <w:proofErr w:type="gramEnd"/>
      <w:r>
        <w:rPr>
          <w:rFonts w:ascii="Calibri" w:hAnsi="Calibri" w:cs="Calibri"/>
          <w:snapToGrid/>
          <w:szCs w:val="24"/>
        </w:rPr>
        <w:t xml:space="preserve"> criteria are not achieved</w:t>
      </w:r>
      <w:r w:rsidRPr="002454FD">
        <w:rPr>
          <w:rFonts w:ascii="Calibri" w:hAnsi="Calibri" w:cs="Calibri"/>
          <w:snapToGrid/>
          <w:szCs w:val="24"/>
        </w:rPr>
        <w:t>.</w:t>
      </w:r>
      <w:r w:rsidRPr="002454FD">
        <w:rPr>
          <w:rFonts w:ascii="Calibri" w:hAnsi="Calibri" w:cs="Calibri"/>
          <w:snapToGrid/>
          <w:sz w:val="22"/>
          <w:szCs w:val="22"/>
        </w:rPr>
        <w:t xml:space="preserve"> </w:t>
      </w:r>
      <w:r w:rsidRPr="002454FD">
        <w:rPr>
          <w:rFonts w:ascii="Calibri" w:hAnsi="Calibri" w:cs="Calibri"/>
          <w:snapToGrid/>
          <w:szCs w:val="24"/>
        </w:rPr>
        <w:t xml:space="preserve">The Deep Channel </w:t>
      </w:r>
      <w:r w:rsidR="00E96432" w:rsidRPr="00E96432">
        <w:rPr>
          <w:rFonts w:ascii="Calibri" w:hAnsi="Calibri" w:cs="Calibri"/>
          <w:snapToGrid/>
          <w:szCs w:val="24"/>
        </w:rPr>
        <w:t>Chesapeake Bay specific designated use</w:t>
      </w:r>
      <w:r w:rsidRPr="002454FD">
        <w:rPr>
          <w:rFonts w:ascii="Calibri" w:hAnsi="Calibri" w:cs="Calibri"/>
          <w:snapToGrid/>
          <w:szCs w:val="24"/>
        </w:rPr>
        <w:t xml:space="preserve"> is </w:t>
      </w:r>
      <w:proofErr w:type="gramStart"/>
      <w:r w:rsidRPr="002454FD">
        <w:rPr>
          <w:rFonts w:ascii="Calibri" w:hAnsi="Calibri" w:cs="Calibri"/>
          <w:snapToGrid/>
          <w:szCs w:val="24"/>
        </w:rPr>
        <w:t>attaining</w:t>
      </w:r>
      <w:proofErr w:type="gramEnd"/>
      <w:r w:rsidRPr="002454FD">
        <w:rPr>
          <w:rFonts w:ascii="Calibri" w:hAnsi="Calibri" w:cs="Calibri"/>
          <w:snapToGrid/>
          <w:szCs w:val="24"/>
        </w:rPr>
        <w:t xml:space="preserve"> in all Virginia waters </w:t>
      </w:r>
      <w:proofErr w:type="gramStart"/>
      <w:r w:rsidRPr="002454FD">
        <w:rPr>
          <w:rFonts w:ascii="Calibri" w:hAnsi="Calibri" w:cs="Calibri"/>
          <w:snapToGrid/>
          <w:szCs w:val="24"/>
        </w:rPr>
        <w:t>where it is assessed this cycle</w:t>
      </w:r>
      <w:proofErr w:type="gramEnd"/>
      <w:r w:rsidRPr="002454FD">
        <w:rPr>
          <w:rFonts w:ascii="Calibri" w:hAnsi="Calibri" w:cs="Calibri"/>
          <w:snapToGrid/>
          <w:szCs w:val="24"/>
        </w:rPr>
        <w:t>. </w:t>
      </w:r>
      <w:r>
        <w:rPr>
          <w:rFonts w:ascii="Calibri" w:hAnsi="Calibri" w:cs="Calibri"/>
          <w:snapToGrid/>
          <w:szCs w:val="24"/>
        </w:rPr>
        <w:br/>
      </w:r>
    </w:p>
    <w:p w14:paraId="55727F29" w14:textId="77777777" w:rsidR="00B703F2" w:rsidRPr="002454FD" w:rsidRDefault="00B703F2" w:rsidP="00B703F2">
      <w:pPr>
        <w:widowControl/>
        <w:textAlignment w:val="baseline"/>
        <w:rPr>
          <w:rFonts w:ascii="Segoe UI" w:hAnsi="Segoe UI" w:cs="Segoe UI"/>
          <w:snapToGrid/>
          <w:sz w:val="18"/>
          <w:szCs w:val="18"/>
        </w:rPr>
      </w:pPr>
      <w:r w:rsidRPr="002454FD">
        <w:rPr>
          <w:rFonts w:ascii="Calibri" w:hAnsi="Calibri" w:cs="Calibri"/>
          <w:snapToGrid/>
          <w:szCs w:val="24"/>
          <w:u w:val="single"/>
        </w:rPr>
        <w:t>Submerged Aquatic Vegetation</w:t>
      </w:r>
      <w:r w:rsidRPr="002454FD">
        <w:rPr>
          <w:rFonts w:ascii="Calibri" w:hAnsi="Calibri" w:cs="Calibri"/>
          <w:snapToGrid/>
          <w:szCs w:val="24"/>
        </w:rPr>
        <w:t>: Increases to SAV and water clarity acreage goals in the water quality standards regulation were made in several estuarine portions of the Rappahannock River and the James River since the 2022 IR cycle. This resulted in an increase of approximately 4,680 acres, or 6% percent, for these SAV coverage goals. Approximately 48% of the total statewide SAV acre goal was attained during the 2024 IR cycle. The acreage goal increases incorporated into the regulations are partially reflected in the change from previous assessment cycles where it was reported that nearly 60% of the total statewide SAV goal was being attained. </w:t>
      </w:r>
    </w:p>
    <w:p w14:paraId="24853BBC" w14:textId="77777777" w:rsidR="00B703F2" w:rsidRPr="00CA11BD" w:rsidRDefault="00B703F2" w:rsidP="00B703F2">
      <w:pPr>
        <w:widowControl/>
        <w:textAlignment w:val="baseline"/>
        <w:rPr>
          <w:rFonts w:cstheme="minorHAnsi"/>
          <w:snapToGrid/>
          <w:szCs w:val="24"/>
        </w:rPr>
      </w:pPr>
    </w:p>
    <w:p w14:paraId="26516E18" w14:textId="77777777" w:rsidR="00B703F2" w:rsidRPr="002454FD" w:rsidRDefault="00B703F2" w:rsidP="00B703F2">
      <w:pPr>
        <w:widowControl/>
        <w:textAlignment w:val="baseline"/>
        <w:rPr>
          <w:rFonts w:ascii="Segoe UI" w:hAnsi="Segoe UI" w:cs="Segoe UI"/>
          <w:snapToGrid/>
          <w:sz w:val="18"/>
          <w:szCs w:val="18"/>
        </w:rPr>
      </w:pPr>
      <w:r w:rsidRPr="002454FD">
        <w:rPr>
          <w:rFonts w:ascii="Calibri" w:hAnsi="Calibri" w:cs="Calibri"/>
          <w:snapToGrid/>
          <w:szCs w:val="24"/>
          <w:u w:val="single"/>
        </w:rPr>
        <w:t>James River Chlorophyll-a</w:t>
      </w:r>
      <w:r w:rsidRPr="002454FD">
        <w:rPr>
          <w:rFonts w:ascii="Calibri" w:hAnsi="Calibri" w:cs="Calibri"/>
          <w:b/>
          <w:bCs/>
          <w:snapToGrid/>
          <w:szCs w:val="24"/>
        </w:rPr>
        <w:t xml:space="preserve">: </w:t>
      </w:r>
      <w:r w:rsidRPr="002454FD">
        <w:rPr>
          <w:rFonts w:ascii="Calibri" w:hAnsi="Calibri" w:cs="Calibri"/>
          <w:snapToGrid/>
          <w:szCs w:val="24"/>
        </w:rPr>
        <w:t xml:space="preserve">The lower portion of the James River Tidal Fresh segment failed to meet both the seasonal mean and short-duration chlorophyll criteria in both the Spring and </w:t>
      </w:r>
      <w:r w:rsidRPr="002454FD">
        <w:rPr>
          <w:rFonts w:ascii="Calibri" w:hAnsi="Calibri" w:cs="Calibri"/>
          <w:snapToGrid/>
          <w:szCs w:val="24"/>
        </w:rPr>
        <w:lastRenderedPageBreak/>
        <w:t>Summer months. The upper portion of the James River Tidal Fresh segment failed to meet the chlorophyll criteria during the summer months. </w:t>
      </w:r>
    </w:p>
    <w:p w14:paraId="1CF95D8C" w14:textId="77777777" w:rsidR="00B703F2" w:rsidRPr="00CA11BD" w:rsidRDefault="00B703F2" w:rsidP="00B703F2">
      <w:pPr>
        <w:widowControl/>
        <w:textAlignment w:val="baseline"/>
        <w:rPr>
          <w:rFonts w:cstheme="minorHAnsi"/>
          <w:snapToGrid/>
          <w:szCs w:val="24"/>
        </w:rPr>
      </w:pPr>
    </w:p>
    <w:p w14:paraId="25867AA2" w14:textId="77777777" w:rsidR="00B703F2" w:rsidRPr="002454FD" w:rsidRDefault="00B703F2" w:rsidP="00B703F2">
      <w:pPr>
        <w:widowControl/>
        <w:textAlignment w:val="baseline"/>
        <w:rPr>
          <w:rFonts w:ascii="Segoe UI" w:hAnsi="Segoe UI" w:cs="Segoe UI"/>
          <w:snapToGrid/>
          <w:sz w:val="18"/>
          <w:szCs w:val="18"/>
        </w:rPr>
      </w:pPr>
      <w:r w:rsidRPr="002454FD">
        <w:rPr>
          <w:rFonts w:ascii="Calibri" w:hAnsi="Calibri" w:cs="Calibri"/>
          <w:snapToGrid/>
          <w:szCs w:val="24"/>
          <w:u w:val="single"/>
        </w:rPr>
        <w:t>Estuarine Bioassessments</w:t>
      </w:r>
      <w:r w:rsidRPr="002454FD">
        <w:rPr>
          <w:rFonts w:ascii="Calibri" w:hAnsi="Calibri" w:cs="Calibri"/>
          <w:snapToGrid/>
          <w:szCs w:val="24"/>
        </w:rPr>
        <w:t xml:space="preserve">: The most recent estuarine benthic assessment results show full attainment in the lower Chesapeake Bay mainstem. It is anticipated that progress in Bay aquatic life </w:t>
      </w:r>
      <w:proofErr w:type="gramStart"/>
      <w:r w:rsidRPr="002454FD">
        <w:rPr>
          <w:rFonts w:ascii="Calibri" w:hAnsi="Calibri" w:cs="Calibri"/>
          <w:snapToGrid/>
          <w:szCs w:val="24"/>
        </w:rPr>
        <w:t>use attainment</w:t>
      </w:r>
      <w:proofErr w:type="gramEnd"/>
      <w:r w:rsidRPr="002454FD">
        <w:rPr>
          <w:rFonts w:ascii="Calibri" w:hAnsi="Calibri" w:cs="Calibri"/>
          <w:snapToGrid/>
          <w:szCs w:val="24"/>
        </w:rPr>
        <w:t xml:space="preserve"> will continue to improve as implementation activities under the Chesapeake Bay Total Maximum Daily Load (TMDL) and Virginia’s Watershed Implementation Plans continue. </w:t>
      </w:r>
    </w:p>
    <w:p w14:paraId="331B6A3A" w14:textId="77777777" w:rsidR="00B703F2" w:rsidRPr="00CA11BD" w:rsidRDefault="00B703F2" w:rsidP="00B703F2">
      <w:pPr>
        <w:widowControl/>
        <w:textAlignment w:val="baseline"/>
        <w:rPr>
          <w:rFonts w:cstheme="minorHAnsi"/>
          <w:snapToGrid/>
          <w:szCs w:val="24"/>
        </w:rPr>
      </w:pPr>
    </w:p>
    <w:p w14:paraId="3DC6F096" w14:textId="3DA60FC3" w:rsidR="00B703F2" w:rsidRPr="00315F9A" w:rsidRDefault="00B703F2" w:rsidP="00B703F2">
      <w:pPr>
        <w:pStyle w:val="Heading4"/>
        <w:rPr>
          <w:rFonts w:ascii="Segoe UI" w:hAnsi="Segoe UI" w:cs="Segoe UI"/>
          <w:snapToGrid/>
          <w:sz w:val="18"/>
          <w:szCs w:val="18"/>
        </w:rPr>
      </w:pPr>
      <w:r w:rsidRPr="002454FD">
        <w:rPr>
          <w:snapToGrid/>
        </w:rPr>
        <w:t>Trends</w:t>
      </w:r>
    </w:p>
    <w:p w14:paraId="14088934" w14:textId="26B77314" w:rsidR="00B703F2" w:rsidRPr="002454FD" w:rsidRDefault="00B703F2" w:rsidP="00B703F2">
      <w:pPr>
        <w:widowControl/>
        <w:textAlignment w:val="baseline"/>
        <w:rPr>
          <w:rFonts w:ascii="Segoe UI" w:hAnsi="Segoe UI" w:cs="Segoe UI"/>
          <w:snapToGrid/>
          <w:sz w:val="18"/>
          <w:szCs w:val="18"/>
        </w:rPr>
      </w:pPr>
      <w:r w:rsidRPr="002454FD">
        <w:rPr>
          <w:rFonts w:ascii="Calibri" w:hAnsi="Calibri" w:cs="Calibri"/>
          <w:snapToGrid/>
          <w:szCs w:val="24"/>
        </w:rPr>
        <w:t>DEQ operates a fixed-station network of over 400 stations across the Commonwealth where data has been collected since the late 1960s. Using this rich dataset, changes in water quality are quantified to show an improving or degrading trend. Section 4.7 of the 2024 IR includes a trend analysis performed over the 20-year period from 2003-2022. In most cases, the 15 chemical and physical water quality characteristics evaluated for this analysis provide a relatively complete description of overall water quality.</w:t>
      </w:r>
      <w:r>
        <w:rPr>
          <w:rFonts w:ascii="Calibri" w:hAnsi="Calibri" w:cs="Calibri"/>
          <w:snapToGrid/>
          <w:szCs w:val="24"/>
        </w:rPr>
        <w:t xml:space="preserve"> </w:t>
      </w:r>
      <w:r w:rsidRPr="00AD3B35">
        <w:rPr>
          <w:rFonts w:cstheme="minorHAnsi"/>
        </w:rPr>
        <w:t>It should be noted that the goal of trend analysis is to detect changes in concentrations or values of key water quality parameters and not to determine whether the measured values are particularly high or low.</w:t>
      </w:r>
      <w:r w:rsidRPr="002454FD">
        <w:rPr>
          <w:rFonts w:ascii="Calibri" w:hAnsi="Calibri" w:cs="Calibri"/>
          <w:snapToGrid/>
          <w:szCs w:val="24"/>
        </w:rPr>
        <w:t xml:space="preserve"> The two maps below show trends in Nitrogen and Phosphorous concentrations across the state. The major river basins are shown by color with monitoring stations represented as either an improving trend (blue downward triangle), degrading trend (yellow triangle) or no significant trend (small gray triangle).</w:t>
      </w:r>
    </w:p>
    <w:p w14:paraId="26845A25" w14:textId="66C69E01" w:rsidR="00B703F2" w:rsidRDefault="00B703F2" w:rsidP="00B703F2">
      <w:pPr>
        <w:widowControl/>
        <w:textAlignment w:val="baseline"/>
        <w:rPr>
          <w:rFonts w:ascii="Calibri" w:hAnsi="Calibri" w:cs="Calibri"/>
          <w:snapToGrid/>
          <w:szCs w:val="24"/>
        </w:rPr>
      </w:pPr>
    </w:p>
    <w:p w14:paraId="3E831781" w14:textId="630BAE86" w:rsidR="00B703F2" w:rsidRPr="002454FD" w:rsidRDefault="00B703F2" w:rsidP="00B703F2">
      <w:pPr>
        <w:widowControl/>
        <w:textAlignment w:val="baseline"/>
        <w:rPr>
          <w:rFonts w:ascii="Segoe UI" w:hAnsi="Segoe UI" w:cs="Segoe UI"/>
          <w:snapToGrid/>
          <w:sz w:val="18"/>
          <w:szCs w:val="18"/>
        </w:rPr>
      </w:pPr>
      <w:r w:rsidRPr="002454FD">
        <w:rPr>
          <w:rFonts w:ascii="Segoe UI" w:hAnsi="Segoe UI" w:cs="Segoe UI"/>
          <w:noProof/>
          <w:snapToGrid/>
          <w:sz w:val="18"/>
          <w:szCs w:val="18"/>
        </w:rPr>
        <w:drawing>
          <wp:inline distT="0" distB="0" distL="0" distR="0" wp14:anchorId="37454078" wp14:editId="0B1846F3">
            <wp:extent cx="5725795" cy="3693400"/>
            <wp:effectExtent l="19050" t="19050" r="27305" b="21590"/>
            <wp:docPr id="1815085555" name="Picture 6" descr="Map of Virginia Statewide total nitrogen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p of Virginia Statewide total nitrogen trends."/>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754336" cy="3711810"/>
                    </a:xfrm>
                    <a:prstGeom prst="rect">
                      <a:avLst/>
                    </a:prstGeom>
                    <a:noFill/>
                    <a:ln>
                      <a:solidFill>
                        <a:schemeClr val="tx1"/>
                      </a:solidFill>
                    </a:ln>
                  </pic:spPr>
                </pic:pic>
              </a:graphicData>
            </a:graphic>
          </wp:inline>
        </w:drawing>
      </w:r>
    </w:p>
    <w:p w14:paraId="46299671" w14:textId="52333347" w:rsidR="00B703F2" w:rsidRPr="00601F5E" w:rsidRDefault="00B703F2" w:rsidP="00B703F2">
      <w:pPr>
        <w:widowControl/>
        <w:textAlignment w:val="baseline"/>
        <w:rPr>
          <w:rFonts w:ascii="Segoe UI" w:hAnsi="Segoe UI" w:cs="Segoe UI"/>
          <w:snapToGrid/>
          <w:sz w:val="22"/>
          <w:szCs w:val="22"/>
        </w:rPr>
      </w:pPr>
      <w:r w:rsidRPr="00601F5E">
        <w:rPr>
          <w:rFonts w:ascii="Calibri" w:hAnsi="Calibri" w:cs="Calibri"/>
          <w:snapToGrid/>
          <w:sz w:val="22"/>
          <w:szCs w:val="22"/>
        </w:rPr>
        <w:t>Statewide total nitrogen trends.</w:t>
      </w:r>
    </w:p>
    <w:p w14:paraId="1329E09E" w14:textId="5D829583" w:rsidR="00B703F2" w:rsidRPr="002454FD" w:rsidRDefault="00B703F2" w:rsidP="00B703F2">
      <w:pPr>
        <w:widowControl/>
        <w:textAlignment w:val="baseline"/>
        <w:rPr>
          <w:rFonts w:ascii="Segoe UI" w:hAnsi="Segoe UI" w:cs="Segoe UI"/>
          <w:snapToGrid/>
          <w:sz w:val="18"/>
          <w:szCs w:val="18"/>
        </w:rPr>
      </w:pPr>
    </w:p>
    <w:p w14:paraId="489ACE96" w14:textId="11431A84" w:rsidR="00B703F2" w:rsidRPr="002454FD" w:rsidRDefault="00B703F2" w:rsidP="00B703F2">
      <w:pPr>
        <w:widowControl/>
        <w:textAlignment w:val="baseline"/>
        <w:rPr>
          <w:rFonts w:ascii="Segoe UI" w:hAnsi="Segoe UI" w:cs="Segoe UI"/>
          <w:snapToGrid/>
          <w:sz w:val="18"/>
          <w:szCs w:val="18"/>
        </w:rPr>
      </w:pPr>
      <w:r w:rsidRPr="002454FD">
        <w:rPr>
          <w:rFonts w:ascii="Segoe UI" w:hAnsi="Segoe UI" w:cs="Segoe UI"/>
          <w:noProof/>
          <w:snapToGrid/>
          <w:sz w:val="18"/>
          <w:szCs w:val="18"/>
        </w:rPr>
        <w:drawing>
          <wp:inline distT="0" distB="0" distL="0" distR="0" wp14:anchorId="4E9F5438" wp14:editId="52F4CF94">
            <wp:extent cx="5725795" cy="3726180"/>
            <wp:effectExtent l="0" t="0" r="8255" b="7620"/>
            <wp:docPr id="948697269" name="Picture 4" descr="Map&#10;&#10;Statewide total phosphorus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97269" name="Picture 4" descr="Map&#10;&#10;Statewide total phosphorus trends"/>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725795" cy="3726180"/>
                    </a:xfrm>
                    <a:prstGeom prst="rect">
                      <a:avLst/>
                    </a:prstGeom>
                    <a:noFill/>
                    <a:ln>
                      <a:noFill/>
                    </a:ln>
                  </pic:spPr>
                </pic:pic>
              </a:graphicData>
            </a:graphic>
          </wp:inline>
        </w:drawing>
      </w:r>
    </w:p>
    <w:p w14:paraId="34AC5DF9" w14:textId="77777777" w:rsidR="00044299" w:rsidRDefault="00B703F2" w:rsidP="00B703F2">
      <w:pPr>
        <w:widowControl/>
        <w:textAlignment w:val="baseline"/>
        <w:rPr>
          <w:rFonts w:ascii="Calibri" w:hAnsi="Calibri" w:cs="Calibri"/>
          <w:snapToGrid/>
          <w:sz w:val="22"/>
          <w:szCs w:val="22"/>
        </w:rPr>
      </w:pPr>
      <w:r w:rsidRPr="00601F5E">
        <w:rPr>
          <w:rFonts w:ascii="Calibri" w:hAnsi="Calibri" w:cs="Calibri"/>
          <w:snapToGrid/>
          <w:sz w:val="22"/>
          <w:szCs w:val="22"/>
        </w:rPr>
        <w:t>Statewide total phosphorus trends.</w:t>
      </w:r>
    </w:p>
    <w:p w14:paraId="3C53A5CB" w14:textId="539DECB4" w:rsidR="00791DF1" w:rsidRDefault="00791DF1" w:rsidP="00B703F2">
      <w:pPr>
        <w:widowControl/>
        <w:textAlignment w:val="baseline"/>
        <w:rPr>
          <w:rFonts w:ascii="Calibri" w:hAnsi="Calibri" w:cs="Calibri"/>
          <w:snapToGrid/>
          <w:sz w:val="22"/>
          <w:szCs w:val="22"/>
        </w:rPr>
      </w:pPr>
    </w:p>
    <w:p w14:paraId="1BE534B7" w14:textId="77777777" w:rsidR="00791DF1" w:rsidRDefault="00791DF1">
      <w:pPr>
        <w:widowControl/>
        <w:spacing w:after="160" w:line="259" w:lineRule="auto"/>
        <w:rPr>
          <w:rFonts w:ascii="Calibri" w:hAnsi="Calibri" w:cs="Calibri"/>
          <w:snapToGrid/>
          <w:sz w:val="22"/>
          <w:szCs w:val="22"/>
        </w:rPr>
      </w:pPr>
      <w:r>
        <w:rPr>
          <w:rFonts w:ascii="Calibri" w:hAnsi="Calibri" w:cs="Calibri"/>
          <w:snapToGrid/>
          <w:sz w:val="22"/>
          <w:szCs w:val="22"/>
        </w:rPr>
        <w:br w:type="page"/>
      </w:r>
    </w:p>
    <w:p w14:paraId="75F42B61" w14:textId="68E17458" w:rsidR="00B703F2" w:rsidRPr="00CB0F08" w:rsidRDefault="00B703F2" w:rsidP="00B703F2">
      <w:pPr>
        <w:widowControl/>
        <w:textAlignment w:val="baseline"/>
        <w:rPr>
          <w:rFonts w:cstheme="minorHAnsi"/>
          <w:snapToGrid/>
          <w:sz w:val="22"/>
          <w:szCs w:val="22"/>
        </w:rPr>
      </w:pPr>
    </w:p>
    <w:p w14:paraId="0F42EF0C" w14:textId="1CD71CBF" w:rsidR="00616BDC" w:rsidRDefault="003B0292" w:rsidP="00373649">
      <w:pPr>
        <w:pStyle w:val="Heading1"/>
        <w:numPr>
          <w:ilvl w:val="0"/>
          <w:numId w:val="0"/>
        </w:numPr>
        <w:jc w:val="center"/>
      </w:pPr>
      <w:bookmarkStart w:id="3" w:name="_Toc191900414"/>
      <w:r w:rsidRPr="005A50F8">
        <w:t>Table of Contents</w:t>
      </w:r>
      <w:bookmarkEnd w:id="1"/>
      <w:bookmarkEnd w:id="2"/>
      <w:bookmarkEnd w:id="3"/>
    </w:p>
    <w:p w14:paraId="2BCD15D1" w14:textId="77777777" w:rsidR="00FD1C92" w:rsidRPr="00FD1C92" w:rsidRDefault="00FD1C92" w:rsidP="00FD1C92"/>
    <w:p w14:paraId="5DA4C8CD" w14:textId="21E345AE" w:rsidR="003011DE" w:rsidRPr="0011379A" w:rsidRDefault="00FD1C92" w:rsidP="0011379A">
      <w:pPr>
        <w:pStyle w:val="TOC1"/>
        <w:rPr>
          <w:rFonts w:asciiTheme="minorHAnsi" w:eastAsiaTheme="minorEastAsia" w:hAnsiTheme="minorHAnsi" w:cstheme="minorBidi"/>
          <w:snapToGrid/>
          <w:kern w:val="2"/>
          <w14:ligatures w14:val="standardContextual"/>
        </w:rPr>
      </w:pPr>
      <w:r w:rsidRPr="00784E59">
        <w:rPr>
          <w:rFonts w:asciiTheme="minorHAnsi" w:hAnsiTheme="minorHAnsi" w:cstheme="minorHAnsi"/>
        </w:rPr>
        <w:fldChar w:fldCharType="begin"/>
      </w:r>
      <w:r w:rsidRPr="00784E59">
        <w:rPr>
          <w:rFonts w:asciiTheme="minorHAnsi" w:hAnsiTheme="minorHAnsi" w:cstheme="minorHAnsi"/>
        </w:rPr>
        <w:instrText xml:space="preserve"> TOC \o "1-2" \h \z \u </w:instrText>
      </w:r>
      <w:r w:rsidRPr="00784E59">
        <w:rPr>
          <w:rFonts w:asciiTheme="minorHAnsi" w:hAnsiTheme="minorHAnsi" w:cstheme="minorHAnsi"/>
        </w:rPr>
        <w:fldChar w:fldCharType="separate"/>
      </w:r>
      <w:hyperlink w:anchor="_Toc191900413" w:history="1">
        <w:r w:rsidR="003011DE" w:rsidRPr="0011379A">
          <w:rPr>
            <w:rStyle w:val="Hyperlink"/>
          </w:rPr>
          <w:t>Executive Summary</w:t>
        </w:r>
        <w:r w:rsidR="003011DE" w:rsidRPr="0011379A">
          <w:rPr>
            <w:webHidden/>
          </w:rPr>
          <w:tab/>
        </w:r>
        <w:r w:rsidR="003011DE" w:rsidRPr="0011379A">
          <w:rPr>
            <w:webHidden/>
          </w:rPr>
          <w:fldChar w:fldCharType="begin"/>
        </w:r>
        <w:r w:rsidR="003011DE" w:rsidRPr="0011379A">
          <w:rPr>
            <w:webHidden/>
          </w:rPr>
          <w:instrText xml:space="preserve"> PAGEREF _Toc191900413 \h </w:instrText>
        </w:r>
        <w:r w:rsidR="003011DE" w:rsidRPr="0011379A">
          <w:rPr>
            <w:webHidden/>
          </w:rPr>
        </w:r>
        <w:r w:rsidR="003011DE" w:rsidRPr="0011379A">
          <w:rPr>
            <w:webHidden/>
          </w:rPr>
          <w:fldChar w:fldCharType="separate"/>
        </w:r>
        <w:r w:rsidR="0011379A" w:rsidRPr="0011379A">
          <w:rPr>
            <w:webHidden/>
          </w:rPr>
          <w:t>1</w:t>
        </w:r>
        <w:r w:rsidR="003011DE" w:rsidRPr="0011379A">
          <w:rPr>
            <w:webHidden/>
          </w:rPr>
          <w:fldChar w:fldCharType="end"/>
        </w:r>
      </w:hyperlink>
    </w:p>
    <w:p w14:paraId="15B85510" w14:textId="2BD2DD10"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14" w:history="1">
        <w:r w:rsidRPr="0011379A">
          <w:rPr>
            <w:rStyle w:val="Hyperlink"/>
          </w:rPr>
          <w:t>Table of Contents</w:t>
        </w:r>
        <w:r w:rsidRPr="0011379A">
          <w:rPr>
            <w:webHidden/>
          </w:rPr>
          <w:tab/>
        </w:r>
        <w:r w:rsidRPr="0011379A">
          <w:rPr>
            <w:webHidden/>
          </w:rPr>
          <w:fldChar w:fldCharType="begin"/>
        </w:r>
        <w:r w:rsidRPr="0011379A">
          <w:rPr>
            <w:webHidden/>
          </w:rPr>
          <w:instrText xml:space="preserve"> PAGEREF _Toc191900414 \h </w:instrText>
        </w:r>
        <w:r w:rsidRPr="0011379A">
          <w:rPr>
            <w:webHidden/>
          </w:rPr>
        </w:r>
        <w:r w:rsidRPr="0011379A">
          <w:rPr>
            <w:webHidden/>
          </w:rPr>
          <w:fldChar w:fldCharType="separate"/>
        </w:r>
        <w:r w:rsidR="0011379A" w:rsidRPr="0011379A">
          <w:rPr>
            <w:webHidden/>
          </w:rPr>
          <w:t>8</w:t>
        </w:r>
        <w:r w:rsidRPr="0011379A">
          <w:rPr>
            <w:webHidden/>
          </w:rPr>
          <w:fldChar w:fldCharType="end"/>
        </w:r>
      </w:hyperlink>
    </w:p>
    <w:p w14:paraId="5BA41290" w14:textId="25D5BCCD"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15" w:history="1">
        <w:r w:rsidRPr="0011379A">
          <w:rPr>
            <w:rStyle w:val="Hyperlink"/>
          </w:rPr>
          <w:t>List of Figures</w:t>
        </w:r>
        <w:r w:rsidRPr="0011379A">
          <w:rPr>
            <w:webHidden/>
          </w:rPr>
          <w:tab/>
        </w:r>
        <w:r w:rsidRPr="0011379A">
          <w:rPr>
            <w:webHidden/>
          </w:rPr>
          <w:fldChar w:fldCharType="begin"/>
        </w:r>
        <w:r w:rsidRPr="0011379A">
          <w:rPr>
            <w:webHidden/>
          </w:rPr>
          <w:instrText xml:space="preserve"> PAGEREF _Toc191900415 \h </w:instrText>
        </w:r>
        <w:r w:rsidRPr="0011379A">
          <w:rPr>
            <w:webHidden/>
          </w:rPr>
        </w:r>
        <w:r w:rsidRPr="0011379A">
          <w:rPr>
            <w:webHidden/>
          </w:rPr>
          <w:fldChar w:fldCharType="separate"/>
        </w:r>
        <w:r w:rsidR="0011379A" w:rsidRPr="0011379A">
          <w:rPr>
            <w:webHidden/>
          </w:rPr>
          <w:t>9</w:t>
        </w:r>
        <w:r w:rsidRPr="0011379A">
          <w:rPr>
            <w:webHidden/>
          </w:rPr>
          <w:fldChar w:fldCharType="end"/>
        </w:r>
      </w:hyperlink>
    </w:p>
    <w:p w14:paraId="406910A7" w14:textId="66207106"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16" w:history="1">
        <w:r w:rsidRPr="0011379A">
          <w:rPr>
            <w:rStyle w:val="Hyperlink"/>
          </w:rPr>
          <w:t>List of Tables</w:t>
        </w:r>
        <w:r w:rsidRPr="0011379A">
          <w:rPr>
            <w:webHidden/>
          </w:rPr>
          <w:tab/>
        </w:r>
        <w:r w:rsidRPr="0011379A">
          <w:rPr>
            <w:webHidden/>
          </w:rPr>
          <w:fldChar w:fldCharType="begin"/>
        </w:r>
        <w:r w:rsidRPr="0011379A">
          <w:rPr>
            <w:webHidden/>
          </w:rPr>
          <w:instrText xml:space="preserve"> PAGEREF _Toc191900416 \h </w:instrText>
        </w:r>
        <w:r w:rsidRPr="0011379A">
          <w:rPr>
            <w:webHidden/>
          </w:rPr>
        </w:r>
        <w:r w:rsidRPr="0011379A">
          <w:rPr>
            <w:webHidden/>
          </w:rPr>
          <w:fldChar w:fldCharType="separate"/>
        </w:r>
        <w:r w:rsidR="0011379A" w:rsidRPr="0011379A">
          <w:rPr>
            <w:webHidden/>
          </w:rPr>
          <w:t>12</w:t>
        </w:r>
        <w:r w:rsidRPr="0011379A">
          <w:rPr>
            <w:webHidden/>
          </w:rPr>
          <w:fldChar w:fldCharType="end"/>
        </w:r>
      </w:hyperlink>
    </w:p>
    <w:p w14:paraId="19B0B78E" w14:textId="13122B44"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17" w:history="1">
        <w:r w:rsidRPr="0011379A">
          <w:rPr>
            <w:rStyle w:val="Hyperlink"/>
          </w:rPr>
          <w:t>List of Acronyms</w:t>
        </w:r>
        <w:r w:rsidRPr="0011379A">
          <w:rPr>
            <w:webHidden/>
          </w:rPr>
          <w:tab/>
        </w:r>
        <w:r w:rsidRPr="0011379A">
          <w:rPr>
            <w:webHidden/>
          </w:rPr>
          <w:fldChar w:fldCharType="begin"/>
        </w:r>
        <w:r w:rsidRPr="0011379A">
          <w:rPr>
            <w:webHidden/>
          </w:rPr>
          <w:instrText xml:space="preserve"> PAGEREF _Toc191900417 \h </w:instrText>
        </w:r>
        <w:r w:rsidRPr="0011379A">
          <w:rPr>
            <w:webHidden/>
          </w:rPr>
        </w:r>
        <w:r w:rsidRPr="0011379A">
          <w:rPr>
            <w:webHidden/>
          </w:rPr>
          <w:fldChar w:fldCharType="separate"/>
        </w:r>
        <w:r w:rsidR="0011379A" w:rsidRPr="0011379A">
          <w:rPr>
            <w:webHidden/>
          </w:rPr>
          <w:t>15</w:t>
        </w:r>
        <w:r w:rsidRPr="0011379A">
          <w:rPr>
            <w:webHidden/>
          </w:rPr>
          <w:fldChar w:fldCharType="end"/>
        </w:r>
      </w:hyperlink>
    </w:p>
    <w:p w14:paraId="2B7E70BE" w14:textId="6B27FEB9"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18" w:history="1">
        <w:r w:rsidRPr="0011379A">
          <w:rPr>
            <w:rStyle w:val="Hyperlink"/>
          </w:rPr>
          <w:t>List of Weblinks</w:t>
        </w:r>
        <w:r w:rsidRPr="0011379A">
          <w:rPr>
            <w:webHidden/>
          </w:rPr>
          <w:tab/>
        </w:r>
        <w:r w:rsidRPr="0011379A">
          <w:rPr>
            <w:webHidden/>
          </w:rPr>
          <w:fldChar w:fldCharType="begin"/>
        </w:r>
        <w:r w:rsidRPr="0011379A">
          <w:rPr>
            <w:webHidden/>
          </w:rPr>
          <w:instrText xml:space="preserve"> PAGEREF _Toc191900418 \h </w:instrText>
        </w:r>
        <w:r w:rsidRPr="0011379A">
          <w:rPr>
            <w:webHidden/>
          </w:rPr>
        </w:r>
        <w:r w:rsidRPr="0011379A">
          <w:rPr>
            <w:webHidden/>
          </w:rPr>
          <w:fldChar w:fldCharType="separate"/>
        </w:r>
        <w:r w:rsidR="0011379A" w:rsidRPr="0011379A">
          <w:rPr>
            <w:webHidden/>
          </w:rPr>
          <w:t>17</w:t>
        </w:r>
        <w:r w:rsidRPr="0011379A">
          <w:rPr>
            <w:webHidden/>
          </w:rPr>
          <w:fldChar w:fldCharType="end"/>
        </w:r>
      </w:hyperlink>
    </w:p>
    <w:p w14:paraId="2CB7FEAB" w14:textId="651773E4"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19" w:history="1">
        <w:r w:rsidRPr="0011379A">
          <w:rPr>
            <w:rStyle w:val="Hyperlink"/>
          </w:rPr>
          <w:t>Acknowledgements</w:t>
        </w:r>
        <w:r w:rsidRPr="0011379A">
          <w:rPr>
            <w:webHidden/>
          </w:rPr>
          <w:tab/>
        </w:r>
        <w:r w:rsidRPr="0011379A">
          <w:rPr>
            <w:webHidden/>
          </w:rPr>
          <w:fldChar w:fldCharType="begin"/>
        </w:r>
        <w:r w:rsidRPr="0011379A">
          <w:rPr>
            <w:webHidden/>
          </w:rPr>
          <w:instrText xml:space="preserve"> PAGEREF _Toc191900419 \h </w:instrText>
        </w:r>
        <w:r w:rsidRPr="0011379A">
          <w:rPr>
            <w:webHidden/>
          </w:rPr>
        </w:r>
        <w:r w:rsidRPr="0011379A">
          <w:rPr>
            <w:webHidden/>
          </w:rPr>
          <w:fldChar w:fldCharType="separate"/>
        </w:r>
        <w:r w:rsidR="0011379A" w:rsidRPr="0011379A">
          <w:rPr>
            <w:webHidden/>
          </w:rPr>
          <w:t>22</w:t>
        </w:r>
        <w:r w:rsidRPr="0011379A">
          <w:rPr>
            <w:webHidden/>
          </w:rPr>
          <w:fldChar w:fldCharType="end"/>
        </w:r>
      </w:hyperlink>
    </w:p>
    <w:p w14:paraId="29B1B133" w14:textId="696F58B0"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20" w:history="1">
        <w:r w:rsidRPr="0011379A">
          <w:rPr>
            <w:rStyle w:val="Hyperlink"/>
          </w:rPr>
          <w:t>CHAPTER 1.</w:t>
        </w:r>
        <w:r w:rsidRPr="0011379A">
          <w:rPr>
            <w:rFonts w:asciiTheme="minorHAnsi" w:eastAsiaTheme="minorEastAsia" w:hAnsiTheme="minorHAnsi" w:cstheme="minorBidi"/>
            <w:snapToGrid/>
            <w:kern w:val="2"/>
            <w14:ligatures w14:val="standardContextual"/>
          </w:rPr>
          <w:t xml:space="preserve"> </w:t>
        </w:r>
        <w:r w:rsidRPr="0011379A">
          <w:rPr>
            <w:rStyle w:val="Hyperlink"/>
          </w:rPr>
          <w:t>INTRODUCTION</w:t>
        </w:r>
        <w:r w:rsidRPr="0011379A">
          <w:rPr>
            <w:webHidden/>
          </w:rPr>
          <w:tab/>
        </w:r>
        <w:r w:rsidRPr="0011379A">
          <w:rPr>
            <w:webHidden/>
          </w:rPr>
          <w:fldChar w:fldCharType="begin"/>
        </w:r>
        <w:r w:rsidRPr="0011379A">
          <w:rPr>
            <w:webHidden/>
          </w:rPr>
          <w:instrText xml:space="preserve"> PAGEREF _Toc191900420 \h </w:instrText>
        </w:r>
        <w:r w:rsidRPr="0011379A">
          <w:rPr>
            <w:webHidden/>
          </w:rPr>
        </w:r>
        <w:r w:rsidRPr="0011379A">
          <w:rPr>
            <w:webHidden/>
          </w:rPr>
          <w:fldChar w:fldCharType="separate"/>
        </w:r>
        <w:r w:rsidR="0011379A" w:rsidRPr="0011379A">
          <w:rPr>
            <w:webHidden/>
          </w:rPr>
          <w:t>24</w:t>
        </w:r>
        <w:r w:rsidRPr="0011379A">
          <w:rPr>
            <w:webHidden/>
          </w:rPr>
          <w:fldChar w:fldCharType="end"/>
        </w:r>
      </w:hyperlink>
    </w:p>
    <w:p w14:paraId="20E7CB85" w14:textId="1E03C7A9"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21" w:history="1">
        <w:r w:rsidRPr="0011379A">
          <w:rPr>
            <w:rStyle w:val="Hyperlink"/>
            <w:b w:val="0"/>
            <w:bCs w:val="0"/>
            <w:noProof/>
          </w:rPr>
          <w:t>1.2</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Objectives and Federal Requirements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_Toc191900421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24</w:t>
        </w:r>
        <w:r w:rsidRPr="0011379A">
          <w:rPr>
            <w:b w:val="0"/>
            <w:bCs w:val="0"/>
            <w:noProof/>
            <w:webHidden/>
          </w:rPr>
          <w:fldChar w:fldCharType="end"/>
        </w:r>
      </w:hyperlink>
    </w:p>
    <w:p w14:paraId="7777668F" w14:textId="64CDB0C1"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22" w:history="1">
        <w:r w:rsidRPr="0011379A">
          <w:rPr>
            <w:rStyle w:val="Hyperlink"/>
            <w:b w:val="0"/>
            <w:bCs w:val="0"/>
            <w:noProof/>
          </w:rPr>
          <w:t>1.3</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Assessment Scheme</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_Toc191900422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26</w:t>
        </w:r>
        <w:r w:rsidRPr="0011379A">
          <w:rPr>
            <w:b w:val="0"/>
            <w:bCs w:val="0"/>
            <w:noProof/>
            <w:webHidden/>
          </w:rPr>
          <w:fldChar w:fldCharType="end"/>
        </w:r>
      </w:hyperlink>
    </w:p>
    <w:p w14:paraId="3AA67376" w14:textId="2B0A2963"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23" w:history="1">
        <w:r w:rsidRPr="0011379A">
          <w:rPr>
            <w:rStyle w:val="Hyperlink"/>
            <w:b w:val="0"/>
            <w:bCs w:val="0"/>
            <w:noProof/>
          </w:rPr>
          <w:t>1.4</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Data Used to Determine Water Quality</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_Toc191900423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29</w:t>
        </w:r>
        <w:r w:rsidRPr="0011379A">
          <w:rPr>
            <w:b w:val="0"/>
            <w:bCs w:val="0"/>
            <w:noProof/>
            <w:webHidden/>
          </w:rPr>
          <w:fldChar w:fldCharType="end"/>
        </w:r>
      </w:hyperlink>
    </w:p>
    <w:p w14:paraId="1EA844EB" w14:textId="5225C359"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24" w:history="1">
        <w:r w:rsidRPr="0011379A">
          <w:rPr>
            <w:rStyle w:val="Hyperlink"/>
          </w:rPr>
          <w:t>CHAPTER 2.</w:t>
        </w:r>
        <w:r w:rsidRPr="0011379A">
          <w:rPr>
            <w:rFonts w:asciiTheme="minorHAnsi" w:eastAsiaTheme="minorEastAsia" w:hAnsiTheme="minorHAnsi" w:cstheme="minorBidi"/>
            <w:snapToGrid/>
            <w:kern w:val="2"/>
            <w14:ligatures w14:val="standardContextual"/>
          </w:rPr>
          <w:t xml:space="preserve">  </w:t>
        </w:r>
        <w:r w:rsidRPr="0011379A">
          <w:rPr>
            <w:rStyle w:val="Hyperlink"/>
          </w:rPr>
          <w:t>STATE BACKGROUND INFORMATION</w:t>
        </w:r>
        <w:r w:rsidRPr="0011379A">
          <w:rPr>
            <w:webHidden/>
          </w:rPr>
          <w:tab/>
        </w:r>
        <w:r w:rsidRPr="0011379A">
          <w:rPr>
            <w:webHidden/>
          </w:rPr>
          <w:fldChar w:fldCharType="begin"/>
        </w:r>
        <w:r w:rsidRPr="0011379A">
          <w:rPr>
            <w:webHidden/>
          </w:rPr>
          <w:instrText xml:space="preserve"> PAGEREF _Toc191900424 \h </w:instrText>
        </w:r>
        <w:r w:rsidRPr="0011379A">
          <w:rPr>
            <w:webHidden/>
          </w:rPr>
        </w:r>
        <w:r w:rsidRPr="0011379A">
          <w:rPr>
            <w:webHidden/>
          </w:rPr>
          <w:fldChar w:fldCharType="separate"/>
        </w:r>
        <w:r w:rsidR="0011379A" w:rsidRPr="0011379A">
          <w:rPr>
            <w:webHidden/>
          </w:rPr>
          <w:t>30</w:t>
        </w:r>
        <w:r w:rsidRPr="0011379A">
          <w:rPr>
            <w:webHidden/>
          </w:rPr>
          <w:fldChar w:fldCharType="end"/>
        </w:r>
      </w:hyperlink>
    </w:p>
    <w:p w14:paraId="3868B70D" w14:textId="7608D3AD"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25" w:history="1">
        <w:r w:rsidRPr="0011379A">
          <w:rPr>
            <w:rStyle w:val="Hyperlink"/>
            <w:b w:val="0"/>
            <w:bCs w:val="0"/>
            <w:noProof/>
          </w:rPr>
          <w:t>2.1</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Population</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_Toc191900425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30</w:t>
        </w:r>
        <w:r w:rsidRPr="0011379A">
          <w:rPr>
            <w:b w:val="0"/>
            <w:bCs w:val="0"/>
            <w:noProof/>
            <w:webHidden/>
          </w:rPr>
          <w:fldChar w:fldCharType="end"/>
        </w:r>
      </w:hyperlink>
    </w:p>
    <w:p w14:paraId="244332BC" w14:textId="4C64A155"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26" w:history="1">
        <w:r w:rsidRPr="0011379A">
          <w:rPr>
            <w:rStyle w:val="Hyperlink"/>
            <w:b w:val="0"/>
            <w:bCs w:val="0"/>
            <w:noProof/>
          </w:rPr>
          <w:t>2.2</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Geography and Geology</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_Toc191900426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30</w:t>
        </w:r>
        <w:r w:rsidRPr="0011379A">
          <w:rPr>
            <w:b w:val="0"/>
            <w:bCs w:val="0"/>
            <w:noProof/>
            <w:webHidden/>
          </w:rPr>
          <w:fldChar w:fldCharType="end"/>
        </w:r>
      </w:hyperlink>
    </w:p>
    <w:p w14:paraId="40FE14F0" w14:textId="11141C8E"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27" w:history="1">
        <w:r w:rsidRPr="0011379A">
          <w:rPr>
            <w:rStyle w:val="Hyperlink"/>
            <w:b w:val="0"/>
            <w:bCs w:val="0"/>
            <w:noProof/>
          </w:rPr>
          <w:t>2.3</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Water Resources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_Toc191900427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31</w:t>
        </w:r>
        <w:r w:rsidRPr="0011379A">
          <w:rPr>
            <w:b w:val="0"/>
            <w:bCs w:val="0"/>
            <w:noProof/>
            <w:webHidden/>
          </w:rPr>
          <w:fldChar w:fldCharType="end"/>
        </w:r>
      </w:hyperlink>
    </w:p>
    <w:p w14:paraId="6E760F54" w14:textId="3659CF31"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28" w:history="1">
        <w:r w:rsidRPr="0011379A">
          <w:rPr>
            <w:rStyle w:val="Hyperlink"/>
            <w:b w:val="0"/>
            <w:bCs w:val="0"/>
            <w:noProof/>
          </w:rPr>
          <w:t>2.4</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Land Use</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_Toc191900428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32</w:t>
        </w:r>
        <w:r w:rsidRPr="0011379A">
          <w:rPr>
            <w:b w:val="0"/>
            <w:bCs w:val="0"/>
            <w:noProof/>
            <w:webHidden/>
          </w:rPr>
          <w:fldChar w:fldCharType="end"/>
        </w:r>
      </w:hyperlink>
    </w:p>
    <w:p w14:paraId="4237090B" w14:textId="0BE27258"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29" w:history="1">
        <w:r w:rsidRPr="0011379A">
          <w:rPr>
            <w:rStyle w:val="Hyperlink"/>
            <w:rFonts w:cstheme="minorHAnsi"/>
          </w:rPr>
          <w:t>CHAPTER 3.</w:t>
        </w:r>
        <w:r w:rsidRPr="0011379A">
          <w:rPr>
            <w:rFonts w:asciiTheme="minorHAnsi" w:eastAsiaTheme="minorEastAsia" w:hAnsiTheme="minorHAnsi" w:cstheme="minorBidi"/>
            <w:snapToGrid/>
            <w:kern w:val="2"/>
            <w14:ligatures w14:val="standardContextual"/>
          </w:rPr>
          <w:t xml:space="preserve">  </w:t>
        </w:r>
        <w:r w:rsidRPr="0011379A">
          <w:rPr>
            <w:rStyle w:val="Hyperlink"/>
            <w:rFonts w:cstheme="minorHAnsi"/>
          </w:rPr>
          <w:t>SURFACE WATER MONITORING PROGRAMS</w:t>
        </w:r>
        <w:r w:rsidRPr="0011379A">
          <w:rPr>
            <w:webHidden/>
          </w:rPr>
          <w:tab/>
        </w:r>
        <w:r w:rsidRPr="0011379A">
          <w:rPr>
            <w:webHidden/>
          </w:rPr>
          <w:fldChar w:fldCharType="begin"/>
        </w:r>
        <w:r w:rsidRPr="0011379A">
          <w:rPr>
            <w:webHidden/>
          </w:rPr>
          <w:instrText xml:space="preserve"> PAGEREF _Toc191900429 \h </w:instrText>
        </w:r>
        <w:r w:rsidRPr="0011379A">
          <w:rPr>
            <w:webHidden/>
          </w:rPr>
        </w:r>
        <w:r w:rsidRPr="0011379A">
          <w:rPr>
            <w:webHidden/>
          </w:rPr>
          <w:fldChar w:fldCharType="separate"/>
        </w:r>
        <w:r w:rsidR="0011379A" w:rsidRPr="0011379A">
          <w:rPr>
            <w:webHidden/>
          </w:rPr>
          <w:t>33</w:t>
        </w:r>
        <w:r w:rsidRPr="0011379A">
          <w:rPr>
            <w:webHidden/>
          </w:rPr>
          <w:fldChar w:fldCharType="end"/>
        </w:r>
      </w:hyperlink>
    </w:p>
    <w:p w14:paraId="5462CAD4" w14:textId="3C6A9A3D"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30" w:history="1">
        <w:r w:rsidRPr="0011379A">
          <w:rPr>
            <w:rStyle w:val="Hyperlink"/>
            <w:b w:val="0"/>
            <w:bCs w:val="0"/>
            <w:noProof/>
          </w:rPr>
          <w:t>3.1</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Overview of Water Quality Assessment and Monitoring Programs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_Toc191900430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33</w:t>
        </w:r>
        <w:r w:rsidRPr="0011379A">
          <w:rPr>
            <w:b w:val="0"/>
            <w:bCs w:val="0"/>
            <w:noProof/>
            <w:webHidden/>
          </w:rPr>
          <w:fldChar w:fldCharType="end"/>
        </w:r>
      </w:hyperlink>
    </w:p>
    <w:p w14:paraId="6D0C0D11" w14:textId="2316F06E"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31" w:history="1">
        <w:r w:rsidRPr="0011379A">
          <w:rPr>
            <w:rStyle w:val="Hyperlink"/>
            <w:rFonts w:eastAsia="Calibri"/>
            <w:b w:val="0"/>
            <w:bCs w:val="0"/>
            <w:noProof/>
          </w:rPr>
          <w:t>3.2</w:t>
        </w:r>
        <w:r w:rsidRPr="0011379A">
          <w:rPr>
            <w:rFonts w:eastAsiaTheme="minorEastAsia" w:cstheme="minorBidi"/>
            <w:b w:val="0"/>
            <w:bCs w:val="0"/>
            <w:noProof/>
            <w:snapToGrid/>
            <w:kern w:val="2"/>
            <w:sz w:val="24"/>
            <w:szCs w:val="24"/>
            <w14:ligatures w14:val="standardContextual"/>
          </w:rPr>
          <w:tab/>
        </w:r>
        <w:r w:rsidRPr="0011379A">
          <w:rPr>
            <w:rStyle w:val="Hyperlink"/>
            <w:rFonts w:eastAsia="Calibri"/>
            <w:b w:val="0"/>
            <w:bCs w:val="0"/>
            <w:noProof/>
          </w:rPr>
          <w:t>Chesapeake Bay Monitoring Programs in Virginia</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_Toc191900431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34</w:t>
        </w:r>
        <w:r w:rsidRPr="0011379A">
          <w:rPr>
            <w:b w:val="0"/>
            <w:bCs w:val="0"/>
            <w:noProof/>
            <w:webHidden/>
          </w:rPr>
          <w:fldChar w:fldCharType="end"/>
        </w:r>
      </w:hyperlink>
    </w:p>
    <w:p w14:paraId="025E2E28" w14:textId="0CE659B7"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32" w:history="1">
        <w:r w:rsidRPr="0011379A">
          <w:rPr>
            <w:rStyle w:val="Hyperlink"/>
            <w:rFonts w:eastAsia="Calibri"/>
            <w:b w:val="0"/>
            <w:bCs w:val="0"/>
            <w:noProof/>
          </w:rPr>
          <w:t>3.3</w:t>
        </w:r>
        <w:r w:rsidRPr="0011379A">
          <w:rPr>
            <w:rFonts w:eastAsiaTheme="minorEastAsia" w:cstheme="minorBidi"/>
            <w:b w:val="0"/>
            <w:bCs w:val="0"/>
            <w:noProof/>
            <w:snapToGrid/>
            <w:kern w:val="2"/>
            <w:sz w:val="24"/>
            <w:szCs w:val="24"/>
            <w14:ligatures w14:val="standardContextual"/>
          </w:rPr>
          <w:tab/>
        </w:r>
        <w:r w:rsidRPr="0011379A">
          <w:rPr>
            <w:rStyle w:val="Hyperlink"/>
            <w:rFonts w:eastAsia="Calibri"/>
            <w:b w:val="0"/>
            <w:bCs w:val="0"/>
            <w:noProof/>
          </w:rPr>
          <w:t>BEACH Monitoring Program – Virginia Department of Health</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_Toc191900432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37</w:t>
        </w:r>
        <w:r w:rsidRPr="0011379A">
          <w:rPr>
            <w:b w:val="0"/>
            <w:bCs w:val="0"/>
            <w:noProof/>
            <w:webHidden/>
          </w:rPr>
          <w:fldChar w:fldCharType="end"/>
        </w:r>
      </w:hyperlink>
    </w:p>
    <w:p w14:paraId="721D5413" w14:textId="402A72D6"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33" w:history="1">
        <w:r w:rsidRPr="0011379A">
          <w:rPr>
            <w:rStyle w:val="Hyperlink"/>
            <w:rFonts w:eastAsia="Calibri"/>
            <w:b w:val="0"/>
            <w:bCs w:val="0"/>
            <w:noProof/>
          </w:rPr>
          <w:t>3.4</w:t>
        </w:r>
        <w:r w:rsidRPr="0011379A">
          <w:rPr>
            <w:rFonts w:eastAsiaTheme="minorEastAsia" w:cstheme="minorBidi"/>
            <w:b w:val="0"/>
            <w:bCs w:val="0"/>
            <w:noProof/>
            <w:snapToGrid/>
            <w:kern w:val="2"/>
            <w:sz w:val="24"/>
            <w:szCs w:val="24"/>
            <w14:ligatures w14:val="standardContextual"/>
          </w:rPr>
          <w:tab/>
        </w:r>
        <w:r w:rsidRPr="0011379A">
          <w:rPr>
            <w:rStyle w:val="Hyperlink"/>
            <w:rFonts w:eastAsia="Calibri"/>
            <w:b w:val="0"/>
            <w:bCs w:val="0"/>
            <w:noProof/>
          </w:rPr>
          <w:t>Citizen and Outside-Agency Water Quality Monitoring Programs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_Toc191900433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41</w:t>
        </w:r>
        <w:r w:rsidRPr="0011379A">
          <w:rPr>
            <w:b w:val="0"/>
            <w:bCs w:val="0"/>
            <w:noProof/>
            <w:webHidden/>
          </w:rPr>
          <w:fldChar w:fldCharType="end"/>
        </w:r>
      </w:hyperlink>
    </w:p>
    <w:p w14:paraId="6A2F48CD" w14:textId="24D64445"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34" w:history="1">
        <w:r w:rsidRPr="0011379A">
          <w:rPr>
            <w:rStyle w:val="Hyperlink"/>
          </w:rPr>
          <w:t>CHAPTER 4.</w:t>
        </w:r>
        <w:r w:rsidRPr="0011379A">
          <w:rPr>
            <w:rFonts w:asciiTheme="minorHAnsi" w:eastAsiaTheme="minorEastAsia" w:hAnsiTheme="minorHAnsi" w:cstheme="minorBidi"/>
            <w:snapToGrid/>
            <w:kern w:val="2"/>
            <w14:ligatures w14:val="standardContextual"/>
          </w:rPr>
          <w:t xml:space="preserve"> </w:t>
        </w:r>
        <w:r w:rsidRPr="0011379A">
          <w:rPr>
            <w:rStyle w:val="Hyperlink"/>
          </w:rPr>
          <w:t>SURFACE WATER QUALITY ASSESSMENT</w:t>
        </w:r>
        <w:r w:rsidRPr="0011379A">
          <w:rPr>
            <w:webHidden/>
          </w:rPr>
          <w:tab/>
        </w:r>
        <w:r w:rsidRPr="0011379A">
          <w:rPr>
            <w:webHidden/>
          </w:rPr>
          <w:fldChar w:fldCharType="begin"/>
        </w:r>
        <w:r w:rsidRPr="0011379A">
          <w:rPr>
            <w:webHidden/>
          </w:rPr>
          <w:instrText xml:space="preserve"> PAGEREF _Toc191900434 \h </w:instrText>
        </w:r>
        <w:r w:rsidRPr="0011379A">
          <w:rPr>
            <w:webHidden/>
          </w:rPr>
        </w:r>
        <w:r w:rsidRPr="0011379A">
          <w:rPr>
            <w:webHidden/>
          </w:rPr>
          <w:fldChar w:fldCharType="separate"/>
        </w:r>
        <w:r w:rsidR="0011379A" w:rsidRPr="0011379A">
          <w:rPr>
            <w:webHidden/>
          </w:rPr>
          <w:t>49</w:t>
        </w:r>
        <w:r w:rsidRPr="0011379A">
          <w:rPr>
            <w:webHidden/>
          </w:rPr>
          <w:fldChar w:fldCharType="end"/>
        </w:r>
      </w:hyperlink>
    </w:p>
    <w:p w14:paraId="3308C09B" w14:textId="5493EB27"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35" w:history="1">
        <w:r w:rsidRPr="0011379A">
          <w:rPr>
            <w:rStyle w:val="Hyperlink"/>
            <w:b w:val="0"/>
            <w:bCs w:val="0"/>
            <w:noProof/>
          </w:rPr>
          <w:t>4.1</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Assessment Methodology</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_Toc191900435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49</w:t>
        </w:r>
        <w:r w:rsidRPr="0011379A">
          <w:rPr>
            <w:b w:val="0"/>
            <w:bCs w:val="0"/>
            <w:noProof/>
            <w:webHidden/>
          </w:rPr>
          <w:fldChar w:fldCharType="end"/>
        </w:r>
      </w:hyperlink>
    </w:p>
    <w:p w14:paraId="71D1D5DE" w14:textId="0ADABD0C"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36" w:history="1">
        <w:r w:rsidRPr="0011379A">
          <w:rPr>
            <w:rStyle w:val="Hyperlink"/>
            <w:b w:val="0"/>
            <w:bCs w:val="0"/>
            <w:noProof/>
          </w:rPr>
          <w:t>4.2</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Statewide Water Quality Assessment Results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_Toc191900436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55</w:t>
        </w:r>
        <w:r w:rsidRPr="0011379A">
          <w:rPr>
            <w:b w:val="0"/>
            <w:bCs w:val="0"/>
            <w:noProof/>
            <w:webHidden/>
          </w:rPr>
          <w:fldChar w:fldCharType="end"/>
        </w:r>
      </w:hyperlink>
    </w:p>
    <w:p w14:paraId="1A06A481" w14:textId="166B6EEF"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37" w:history="1">
        <w:r w:rsidRPr="0011379A">
          <w:rPr>
            <w:rStyle w:val="Hyperlink"/>
            <w:b w:val="0"/>
            <w:bCs w:val="0"/>
            <w:noProof/>
          </w:rPr>
          <w:t>4.3</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Individual River Basin Assessment Results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_Toc191900437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70</w:t>
        </w:r>
        <w:r w:rsidRPr="0011379A">
          <w:rPr>
            <w:b w:val="0"/>
            <w:bCs w:val="0"/>
            <w:noProof/>
            <w:webHidden/>
          </w:rPr>
          <w:fldChar w:fldCharType="end"/>
        </w:r>
      </w:hyperlink>
    </w:p>
    <w:p w14:paraId="0BE1B046" w14:textId="15444C0C"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38" w:history="1">
        <w:r w:rsidRPr="0011379A">
          <w:rPr>
            <w:rStyle w:val="Hyperlink"/>
            <w:b w:val="0"/>
            <w:bCs w:val="0"/>
            <w:noProof/>
          </w:rPr>
          <w:t>4.4</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Freshwater Probabilistic Monitoring</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_Toc191900438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102</w:t>
        </w:r>
        <w:r w:rsidRPr="0011379A">
          <w:rPr>
            <w:b w:val="0"/>
            <w:bCs w:val="0"/>
            <w:noProof/>
            <w:webHidden/>
          </w:rPr>
          <w:fldChar w:fldCharType="end"/>
        </w:r>
      </w:hyperlink>
    </w:p>
    <w:p w14:paraId="6C3424E0" w14:textId="36766265"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39" w:history="1">
        <w:r w:rsidRPr="0011379A">
          <w:rPr>
            <w:rStyle w:val="Hyperlink"/>
            <w:b w:val="0"/>
            <w:bCs w:val="0"/>
            <w:noProof/>
          </w:rPr>
          <w:t>4.5</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Estuarine Probabilistic Monitoring</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_Toc191900439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136</w:t>
        </w:r>
        <w:r w:rsidRPr="0011379A">
          <w:rPr>
            <w:b w:val="0"/>
            <w:bCs w:val="0"/>
            <w:noProof/>
            <w:webHidden/>
          </w:rPr>
          <w:fldChar w:fldCharType="end"/>
        </w:r>
      </w:hyperlink>
    </w:p>
    <w:p w14:paraId="27778F1A" w14:textId="1551A468"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40" w:history="1">
        <w:r w:rsidRPr="0011379A">
          <w:rPr>
            <w:rStyle w:val="Hyperlink"/>
            <w:b w:val="0"/>
            <w:bCs w:val="0"/>
            <w:noProof/>
          </w:rPr>
          <w:t>4.6</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Chesapeake Bay Assessment</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_Toc191900440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157</w:t>
        </w:r>
        <w:r w:rsidRPr="0011379A">
          <w:rPr>
            <w:b w:val="0"/>
            <w:bCs w:val="0"/>
            <w:noProof/>
            <w:webHidden/>
          </w:rPr>
          <w:fldChar w:fldCharType="end"/>
        </w:r>
      </w:hyperlink>
    </w:p>
    <w:p w14:paraId="30B99750" w14:textId="718F7934"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41" w:history="1">
        <w:r w:rsidRPr="0011379A">
          <w:rPr>
            <w:rStyle w:val="Hyperlink"/>
            <w:b w:val="0"/>
            <w:bCs w:val="0"/>
            <w:noProof/>
          </w:rPr>
          <w:t>4.7</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Statewide Trends Analysis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_Toc191900441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184</w:t>
        </w:r>
        <w:r w:rsidRPr="0011379A">
          <w:rPr>
            <w:b w:val="0"/>
            <w:bCs w:val="0"/>
            <w:noProof/>
            <w:webHidden/>
          </w:rPr>
          <w:fldChar w:fldCharType="end"/>
        </w:r>
      </w:hyperlink>
    </w:p>
    <w:p w14:paraId="5AEE9ABF" w14:textId="2EFC7F11"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42" w:history="1">
        <w:r w:rsidRPr="0011379A">
          <w:rPr>
            <w:rStyle w:val="Hyperlink"/>
          </w:rPr>
          <w:t>CHAPTER 5.</w:t>
        </w:r>
        <w:r w:rsidRPr="0011379A">
          <w:rPr>
            <w:rFonts w:asciiTheme="minorHAnsi" w:eastAsiaTheme="minorEastAsia" w:hAnsiTheme="minorHAnsi" w:cstheme="minorBidi"/>
            <w:snapToGrid/>
            <w:kern w:val="2"/>
            <w14:ligatures w14:val="standardContextual"/>
          </w:rPr>
          <w:t xml:space="preserve"> </w:t>
        </w:r>
        <w:r w:rsidRPr="0011379A">
          <w:rPr>
            <w:rStyle w:val="Hyperlink"/>
          </w:rPr>
          <w:t>GROUNDWATER PROTECTION PROGRAMS</w:t>
        </w:r>
        <w:r w:rsidRPr="0011379A">
          <w:rPr>
            <w:webHidden/>
          </w:rPr>
          <w:tab/>
        </w:r>
        <w:r w:rsidRPr="0011379A">
          <w:rPr>
            <w:webHidden/>
          </w:rPr>
          <w:fldChar w:fldCharType="begin"/>
        </w:r>
        <w:r w:rsidRPr="0011379A">
          <w:rPr>
            <w:webHidden/>
          </w:rPr>
          <w:instrText xml:space="preserve"> PAGEREF _Toc191900442 \h </w:instrText>
        </w:r>
        <w:r w:rsidRPr="0011379A">
          <w:rPr>
            <w:webHidden/>
          </w:rPr>
        </w:r>
        <w:r w:rsidRPr="0011379A">
          <w:rPr>
            <w:webHidden/>
          </w:rPr>
          <w:fldChar w:fldCharType="separate"/>
        </w:r>
        <w:r w:rsidR="0011379A" w:rsidRPr="0011379A">
          <w:rPr>
            <w:webHidden/>
          </w:rPr>
          <w:t>222</w:t>
        </w:r>
        <w:r w:rsidRPr="0011379A">
          <w:rPr>
            <w:webHidden/>
          </w:rPr>
          <w:fldChar w:fldCharType="end"/>
        </w:r>
      </w:hyperlink>
    </w:p>
    <w:p w14:paraId="0EB3848E" w14:textId="6EA42024"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43" w:history="1">
        <w:r w:rsidRPr="0011379A">
          <w:rPr>
            <w:rStyle w:val="Hyperlink"/>
            <w:b w:val="0"/>
            <w:bCs w:val="0"/>
            <w:noProof/>
          </w:rPr>
          <w:t>5.1</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Programs and Resources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_Toc191900443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222</w:t>
        </w:r>
        <w:r w:rsidRPr="0011379A">
          <w:rPr>
            <w:b w:val="0"/>
            <w:bCs w:val="0"/>
            <w:noProof/>
            <w:webHidden/>
          </w:rPr>
          <w:fldChar w:fldCharType="end"/>
        </w:r>
      </w:hyperlink>
    </w:p>
    <w:p w14:paraId="17F0F608" w14:textId="19C6BED3"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44" w:history="1">
        <w:r w:rsidRPr="0011379A">
          <w:rPr>
            <w:rStyle w:val="Hyperlink"/>
            <w:b w:val="0"/>
            <w:bCs w:val="0"/>
            <w:noProof/>
          </w:rPr>
          <w:t>5.2</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Current Activities and Developments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_Toc191900444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223</w:t>
        </w:r>
        <w:r w:rsidRPr="0011379A">
          <w:rPr>
            <w:b w:val="0"/>
            <w:bCs w:val="0"/>
            <w:noProof/>
            <w:webHidden/>
          </w:rPr>
          <w:fldChar w:fldCharType="end"/>
        </w:r>
      </w:hyperlink>
    </w:p>
    <w:p w14:paraId="121B5E76" w14:textId="12F35DB9"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45" w:history="1">
        <w:r w:rsidRPr="0011379A">
          <w:rPr>
            <w:rStyle w:val="Hyperlink"/>
          </w:rPr>
          <w:t>CHAPTER 6.</w:t>
        </w:r>
        <w:r w:rsidRPr="0011379A">
          <w:rPr>
            <w:rFonts w:asciiTheme="minorHAnsi" w:eastAsiaTheme="minorEastAsia" w:hAnsiTheme="minorHAnsi" w:cstheme="minorBidi"/>
            <w:snapToGrid/>
            <w:kern w:val="2"/>
            <w14:ligatures w14:val="standardContextual"/>
          </w:rPr>
          <w:t xml:space="preserve"> </w:t>
        </w:r>
        <w:r w:rsidRPr="0011379A">
          <w:rPr>
            <w:rStyle w:val="Hyperlink"/>
          </w:rPr>
          <w:t>WATER QUALITY PROGRAMS</w:t>
        </w:r>
        <w:r w:rsidRPr="0011379A">
          <w:rPr>
            <w:webHidden/>
          </w:rPr>
          <w:tab/>
        </w:r>
        <w:r w:rsidRPr="0011379A">
          <w:rPr>
            <w:webHidden/>
          </w:rPr>
          <w:fldChar w:fldCharType="begin"/>
        </w:r>
        <w:r w:rsidRPr="0011379A">
          <w:rPr>
            <w:webHidden/>
          </w:rPr>
          <w:instrText xml:space="preserve"> PAGEREF _Toc191900445 \h </w:instrText>
        </w:r>
        <w:r w:rsidRPr="0011379A">
          <w:rPr>
            <w:webHidden/>
          </w:rPr>
        </w:r>
        <w:r w:rsidRPr="0011379A">
          <w:rPr>
            <w:webHidden/>
          </w:rPr>
          <w:fldChar w:fldCharType="separate"/>
        </w:r>
        <w:r w:rsidR="0011379A" w:rsidRPr="0011379A">
          <w:rPr>
            <w:webHidden/>
          </w:rPr>
          <w:t>225</w:t>
        </w:r>
        <w:r w:rsidRPr="0011379A">
          <w:rPr>
            <w:webHidden/>
          </w:rPr>
          <w:fldChar w:fldCharType="end"/>
        </w:r>
      </w:hyperlink>
    </w:p>
    <w:p w14:paraId="3F038845" w14:textId="06C5E47C"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46" w:history="1">
        <w:r w:rsidRPr="0011379A">
          <w:rPr>
            <w:rStyle w:val="Hyperlink"/>
            <w:b w:val="0"/>
            <w:bCs w:val="0"/>
            <w:noProof/>
          </w:rPr>
          <w:t>6.1</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Water Pollution Control Programs (TMDLs and VPDES)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_Toc191900446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225</w:t>
        </w:r>
        <w:r w:rsidRPr="0011379A">
          <w:rPr>
            <w:b w:val="0"/>
            <w:bCs w:val="0"/>
            <w:noProof/>
            <w:webHidden/>
          </w:rPr>
          <w:fldChar w:fldCharType="end"/>
        </w:r>
      </w:hyperlink>
    </w:p>
    <w:p w14:paraId="058F89C6" w14:textId="76297211"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47" w:history="1">
        <w:r w:rsidRPr="0011379A">
          <w:rPr>
            <w:rStyle w:val="Hyperlink"/>
            <w:b w:val="0"/>
            <w:bCs w:val="0"/>
            <w:noProof/>
          </w:rPr>
          <w:t>6.2</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303(d) Program Vision</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_Toc191900447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244</w:t>
        </w:r>
        <w:r w:rsidRPr="0011379A">
          <w:rPr>
            <w:b w:val="0"/>
            <w:bCs w:val="0"/>
            <w:noProof/>
            <w:webHidden/>
          </w:rPr>
          <w:fldChar w:fldCharType="end"/>
        </w:r>
      </w:hyperlink>
    </w:p>
    <w:p w14:paraId="6EA52813" w14:textId="52DD8983"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48" w:history="1">
        <w:r w:rsidRPr="0011379A">
          <w:rPr>
            <w:rStyle w:val="Hyperlink"/>
            <w:b w:val="0"/>
            <w:bCs w:val="0"/>
            <w:noProof/>
          </w:rPr>
          <w:t>6.3</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Nonpoint Source (NPS) Assessment and Implementation</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_Toc191900448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251</w:t>
        </w:r>
        <w:r w:rsidRPr="0011379A">
          <w:rPr>
            <w:b w:val="0"/>
            <w:bCs w:val="0"/>
            <w:noProof/>
            <w:webHidden/>
          </w:rPr>
          <w:fldChar w:fldCharType="end"/>
        </w:r>
      </w:hyperlink>
    </w:p>
    <w:p w14:paraId="50FF551E" w14:textId="415DE00E"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49" w:history="1">
        <w:r w:rsidRPr="0011379A">
          <w:rPr>
            <w:rStyle w:val="Hyperlink"/>
            <w:b w:val="0"/>
            <w:bCs w:val="0"/>
            <w:noProof/>
          </w:rPr>
          <w:t>6.4</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Pollution Prevention and Environmental Management Systems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_Toc191900449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259</w:t>
        </w:r>
        <w:r w:rsidRPr="0011379A">
          <w:rPr>
            <w:b w:val="0"/>
            <w:bCs w:val="0"/>
            <w:noProof/>
            <w:webHidden/>
          </w:rPr>
          <w:fldChar w:fldCharType="end"/>
        </w:r>
      </w:hyperlink>
    </w:p>
    <w:p w14:paraId="6E712F3F" w14:textId="79A24A48"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50" w:history="1">
        <w:r w:rsidRPr="0011379A">
          <w:rPr>
            <w:rStyle w:val="Hyperlink"/>
            <w:b w:val="0"/>
            <w:bCs w:val="0"/>
            <w:noProof/>
          </w:rPr>
          <w:t>6.5</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Cost/Benefit Associated with the Clean Water State Revolving Loan</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_Toc191900450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260</w:t>
        </w:r>
        <w:r w:rsidRPr="0011379A">
          <w:rPr>
            <w:b w:val="0"/>
            <w:bCs w:val="0"/>
            <w:noProof/>
            <w:webHidden/>
          </w:rPr>
          <w:fldChar w:fldCharType="end"/>
        </w:r>
      </w:hyperlink>
    </w:p>
    <w:p w14:paraId="072E6B71" w14:textId="6527DFC7"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51" w:history="1">
        <w:r w:rsidRPr="0011379A">
          <w:rPr>
            <w:rStyle w:val="Hyperlink"/>
            <w:b w:val="0"/>
            <w:bCs w:val="0"/>
            <w:noProof/>
          </w:rPr>
          <w:t>6.6</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shd w:val="clear" w:color="auto" w:fill="FFFFFF"/>
          </w:rPr>
          <w:t>Public Health and Aquatic Life Concerns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_Toc191900451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263</w:t>
        </w:r>
        <w:r w:rsidRPr="0011379A">
          <w:rPr>
            <w:b w:val="0"/>
            <w:bCs w:val="0"/>
            <w:noProof/>
            <w:webHidden/>
          </w:rPr>
          <w:fldChar w:fldCharType="end"/>
        </w:r>
      </w:hyperlink>
    </w:p>
    <w:p w14:paraId="1ADC82BA" w14:textId="675B6A57"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52" w:history="1">
        <w:r w:rsidRPr="0011379A">
          <w:rPr>
            <w:rStyle w:val="Hyperlink"/>
            <w:b w:val="0"/>
            <w:bCs w:val="0"/>
            <w:noProof/>
          </w:rPr>
          <w:t>6.7</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Coastal Resources Management Program</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_Toc191900452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271</w:t>
        </w:r>
        <w:r w:rsidRPr="0011379A">
          <w:rPr>
            <w:b w:val="0"/>
            <w:bCs w:val="0"/>
            <w:noProof/>
            <w:webHidden/>
          </w:rPr>
          <w:fldChar w:fldCharType="end"/>
        </w:r>
      </w:hyperlink>
    </w:p>
    <w:p w14:paraId="188FE7A6" w14:textId="4561E4E4"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53" w:history="1">
        <w:r w:rsidRPr="0011379A">
          <w:rPr>
            <w:rStyle w:val="Hyperlink"/>
            <w:b w:val="0"/>
            <w:bCs w:val="0"/>
            <w:noProof/>
          </w:rPr>
          <w:t>6.8</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Chesapeake Bay Program Initiatives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_Toc191900453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289</w:t>
        </w:r>
        <w:r w:rsidRPr="0011379A">
          <w:rPr>
            <w:b w:val="0"/>
            <w:bCs w:val="0"/>
            <w:noProof/>
            <w:webHidden/>
          </w:rPr>
          <w:fldChar w:fldCharType="end"/>
        </w:r>
      </w:hyperlink>
    </w:p>
    <w:p w14:paraId="63B6891E" w14:textId="69C0BD26"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54" w:history="1">
        <w:r w:rsidRPr="0011379A">
          <w:rPr>
            <w:rStyle w:val="Hyperlink"/>
            <w:b w:val="0"/>
            <w:bCs w:val="0"/>
            <w:noProof/>
          </w:rPr>
          <w:t>6.9</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Wetlands Program Initiatives</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_Toc191900454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293</w:t>
        </w:r>
        <w:r w:rsidRPr="0011379A">
          <w:rPr>
            <w:b w:val="0"/>
            <w:bCs w:val="0"/>
            <w:noProof/>
            <w:webHidden/>
          </w:rPr>
          <w:fldChar w:fldCharType="end"/>
        </w:r>
      </w:hyperlink>
    </w:p>
    <w:p w14:paraId="6CB73E7B" w14:textId="7ECC5DF9" w:rsidR="003011DE" w:rsidRPr="0011379A" w:rsidRDefault="003011DE">
      <w:pPr>
        <w:pStyle w:val="TOC2"/>
        <w:rPr>
          <w:rFonts w:eastAsiaTheme="minorEastAsia" w:cstheme="minorBidi"/>
          <w:b w:val="0"/>
          <w:bCs w:val="0"/>
          <w:noProof/>
          <w:snapToGrid/>
          <w:kern w:val="2"/>
          <w:sz w:val="24"/>
          <w:szCs w:val="24"/>
          <w14:ligatures w14:val="standardContextual"/>
        </w:rPr>
      </w:pPr>
      <w:hyperlink w:anchor="_Toc191900455" w:history="1">
        <w:r w:rsidRPr="0011379A">
          <w:rPr>
            <w:rStyle w:val="Hyperlink"/>
            <w:b w:val="0"/>
            <w:bCs w:val="0"/>
            <w:noProof/>
          </w:rPr>
          <w:t>6.10</w:t>
        </w:r>
        <w:r w:rsidRPr="0011379A">
          <w:rPr>
            <w:rFonts w:eastAsiaTheme="minorEastAsia" w:cstheme="minorBidi"/>
            <w:b w:val="0"/>
            <w:bCs w:val="0"/>
            <w:noProof/>
            <w:snapToGrid/>
            <w:kern w:val="2"/>
            <w:sz w:val="24"/>
            <w:szCs w:val="24"/>
            <w14:ligatures w14:val="standardContextual"/>
          </w:rPr>
          <w:tab/>
        </w:r>
        <w:r w:rsidRPr="0011379A">
          <w:rPr>
            <w:rStyle w:val="Hyperlink"/>
            <w:b w:val="0"/>
            <w:bCs w:val="0"/>
            <w:noProof/>
          </w:rPr>
          <w:t>Regional Water Quality Initiatives: 2017 - 2022</w:t>
        </w:r>
        <w:r w:rsidRPr="0011379A">
          <w:rPr>
            <w:b w:val="0"/>
            <w:bCs w:val="0"/>
            <w:noProof/>
            <w:webHidden/>
          </w:rPr>
          <w:tab/>
        </w:r>
        <w:r w:rsidRPr="0011379A">
          <w:rPr>
            <w:b w:val="0"/>
            <w:bCs w:val="0"/>
            <w:noProof/>
            <w:webHidden/>
          </w:rPr>
          <w:fldChar w:fldCharType="begin"/>
        </w:r>
        <w:r w:rsidRPr="0011379A">
          <w:rPr>
            <w:b w:val="0"/>
            <w:bCs w:val="0"/>
            <w:noProof/>
            <w:webHidden/>
          </w:rPr>
          <w:instrText xml:space="preserve"> PAGEREF _Toc191900455 \h </w:instrText>
        </w:r>
        <w:r w:rsidRPr="0011379A">
          <w:rPr>
            <w:b w:val="0"/>
            <w:bCs w:val="0"/>
            <w:noProof/>
            <w:webHidden/>
          </w:rPr>
        </w:r>
        <w:r w:rsidRPr="0011379A">
          <w:rPr>
            <w:b w:val="0"/>
            <w:bCs w:val="0"/>
            <w:noProof/>
            <w:webHidden/>
          </w:rPr>
          <w:fldChar w:fldCharType="separate"/>
        </w:r>
        <w:r w:rsidR="0011379A" w:rsidRPr="0011379A">
          <w:rPr>
            <w:b w:val="0"/>
            <w:bCs w:val="0"/>
            <w:noProof/>
            <w:webHidden/>
          </w:rPr>
          <w:t>297</w:t>
        </w:r>
        <w:r w:rsidRPr="0011379A">
          <w:rPr>
            <w:b w:val="0"/>
            <w:bCs w:val="0"/>
            <w:noProof/>
            <w:webHidden/>
          </w:rPr>
          <w:fldChar w:fldCharType="end"/>
        </w:r>
      </w:hyperlink>
    </w:p>
    <w:p w14:paraId="4CE4D4D1" w14:textId="42ADC4CD" w:rsidR="003011DE" w:rsidRPr="0011379A" w:rsidRDefault="003011DE" w:rsidP="0011379A">
      <w:pPr>
        <w:pStyle w:val="TOC1"/>
        <w:rPr>
          <w:rFonts w:asciiTheme="minorHAnsi" w:eastAsiaTheme="minorEastAsia" w:hAnsiTheme="minorHAnsi" w:cstheme="minorBidi"/>
          <w:snapToGrid/>
          <w:kern w:val="2"/>
          <w14:ligatures w14:val="standardContextual"/>
        </w:rPr>
      </w:pPr>
      <w:hyperlink w:anchor="_Toc191900456" w:history="1">
        <w:r w:rsidRPr="0011379A">
          <w:rPr>
            <w:rStyle w:val="Hyperlink"/>
          </w:rPr>
          <w:t>References</w:t>
        </w:r>
        <w:r w:rsidRPr="0011379A">
          <w:rPr>
            <w:webHidden/>
          </w:rPr>
          <w:tab/>
        </w:r>
        <w:r w:rsidRPr="0011379A">
          <w:rPr>
            <w:webHidden/>
          </w:rPr>
          <w:fldChar w:fldCharType="begin"/>
        </w:r>
        <w:r w:rsidRPr="0011379A">
          <w:rPr>
            <w:webHidden/>
          </w:rPr>
          <w:instrText xml:space="preserve"> PAGEREF _Toc191900456 \h </w:instrText>
        </w:r>
        <w:r w:rsidRPr="0011379A">
          <w:rPr>
            <w:webHidden/>
          </w:rPr>
        </w:r>
        <w:r w:rsidRPr="0011379A">
          <w:rPr>
            <w:webHidden/>
          </w:rPr>
          <w:fldChar w:fldCharType="separate"/>
        </w:r>
        <w:r w:rsidR="0011379A" w:rsidRPr="0011379A">
          <w:rPr>
            <w:webHidden/>
          </w:rPr>
          <w:t>314</w:t>
        </w:r>
        <w:r w:rsidRPr="0011379A">
          <w:rPr>
            <w:webHidden/>
          </w:rPr>
          <w:fldChar w:fldCharType="end"/>
        </w:r>
      </w:hyperlink>
    </w:p>
    <w:p w14:paraId="4109373C" w14:textId="01C53191" w:rsidR="00106601" w:rsidRPr="007C3807" w:rsidRDefault="00FD1C92" w:rsidP="00F55734">
      <w:pPr>
        <w:pStyle w:val="TOC1"/>
      </w:pPr>
      <w:r w:rsidRPr="00784E59">
        <w:fldChar w:fldCharType="end"/>
      </w:r>
    </w:p>
    <w:p w14:paraId="7CA46667" w14:textId="2CBCF75E" w:rsidR="00D90C05" w:rsidRPr="00382B4B" w:rsidRDefault="001F724C" w:rsidP="00373649">
      <w:pPr>
        <w:pStyle w:val="Heading1"/>
        <w:numPr>
          <w:ilvl w:val="0"/>
          <w:numId w:val="0"/>
        </w:numPr>
        <w:jc w:val="center"/>
      </w:pPr>
      <w:bookmarkStart w:id="4" w:name="_Toc155771937"/>
      <w:bookmarkStart w:id="5" w:name="_Toc191900415"/>
      <w:r>
        <w:lastRenderedPageBreak/>
        <w:t>List</w:t>
      </w:r>
      <w:r w:rsidR="003B0292" w:rsidRPr="00382B4B">
        <w:t xml:space="preserve"> of Figures</w:t>
      </w:r>
      <w:bookmarkEnd w:id="4"/>
      <w:bookmarkEnd w:id="5"/>
    </w:p>
    <w:p w14:paraId="76B4131A" w14:textId="2F134392" w:rsidR="001A0EA5" w:rsidRDefault="00980571">
      <w:pPr>
        <w:pStyle w:val="TableofFigures"/>
        <w:tabs>
          <w:tab w:val="right" w:leader="dot" w:pos="9350"/>
        </w:tabs>
        <w:rPr>
          <w:rFonts w:eastAsiaTheme="minorEastAsia" w:cstheme="minorBidi"/>
          <w:noProof/>
          <w:snapToGrid/>
          <w:kern w:val="2"/>
          <w:sz w:val="22"/>
          <w:szCs w:val="22"/>
          <w14:ligatures w14:val="standardContextual"/>
        </w:rPr>
      </w:pPr>
      <w:r>
        <w:fldChar w:fldCharType="begin"/>
      </w:r>
      <w:r>
        <w:instrText xml:space="preserve"> TOC \c "Figure" </w:instrText>
      </w:r>
      <w:r>
        <w:fldChar w:fldCharType="separate"/>
      </w:r>
      <w:r w:rsidR="001A0EA5">
        <w:rPr>
          <w:noProof/>
        </w:rPr>
        <w:t>Figure 1.2</w:t>
      </w:r>
      <w:r w:rsidR="001A0EA5">
        <w:rPr>
          <w:noProof/>
        </w:rPr>
        <w:noBreakHyphen/>
        <w:t>1. Graphical representation of the continuous planning process.</w:t>
      </w:r>
      <w:r w:rsidR="001A0EA5">
        <w:rPr>
          <w:noProof/>
        </w:rPr>
        <w:tab/>
      </w:r>
      <w:r w:rsidR="001A0EA5">
        <w:rPr>
          <w:noProof/>
        </w:rPr>
        <w:fldChar w:fldCharType="begin"/>
      </w:r>
      <w:r w:rsidR="001A0EA5">
        <w:rPr>
          <w:noProof/>
        </w:rPr>
        <w:instrText xml:space="preserve"> PAGEREF _Toc164175045 \h </w:instrText>
      </w:r>
      <w:r w:rsidR="001A0EA5">
        <w:rPr>
          <w:noProof/>
        </w:rPr>
      </w:r>
      <w:r w:rsidR="001A0EA5">
        <w:rPr>
          <w:noProof/>
        </w:rPr>
        <w:fldChar w:fldCharType="separate"/>
      </w:r>
      <w:r w:rsidR="005B4275">
        <w:rPr>
          <w:noProof/>
        </w:rPr>
        <w:t>25</w:t>
      </w:r>
      <w:r w:rsidR="001A0EA5">
        <w:rPr>
          <w:noProof/>
        </w:rPr>
        <w:fldChar w:fldCharType="end"/>
      </w:r>
    </w:p>
    <w:p w14:paraId="754DB9B0" w14:textId="4627A2A4"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2.2</w:t>
      </w:r>
      <w:r>
        <w:rPr>
          <w:noProof/>
        </w:rPr>
        <w:noBreakHyphen/>
        <w:t>1. Map of Virginia’s five physiographic regions.</w:t>
      </w:r>
      <w:r>
        <w:rPr>
          <w:noProof/>
        </w:rPr>
        <w:tab/>
      </w:r>
      <w:r>
        <w:rPr>
          <w:noProof/>
        </w:rPr>
        <w:fldChar w:fldCharType="begin"/>
      </w:r>
      <w:r>
        <w:rPr>
          <w:noProof/>
        </w:rPr>
        <w:instrText xml:space="preserve"> PAGEREF _Toc164175046 \h </w:instrText>
      </w:r>
      <w:r>
        <w:rPr>
          <w:noProof/>
        </w:rPr>
      </w:r>
      <w:r>
        <w:rPr>
          <w:noProof/>
        </w:rPr>
        <w:fldChar w:fldCharType="separate"/>
      </w:r>
      <w:r w:rsidR="005B4275">
        <w:rPr>
          <w:noProof/>
        </w:rPr>
        <w:t>30</w:t>
      </w:r>
      <w:r>
        <w:rPr>
          <w:noProof/>
        </w:rPr>
        <w:fldChar w:fldCharType="end"/>
      </w:r>
    </w:p>
    <w:p w14:paraId="41D98ED9" w14:textId="3A0937A6"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3.4</w:t>
      </w:r>
      <w:r>
        <w:rPr>
          <w:noProof/>
        </w:rPr>
        <w:noBreakHyphen/>
        <w:t xml:space="preserve">1. </w:t>
      </w:r>
      <w:r w:rsidRPr="00DA45A8">
        <w:rPr>
          <w:rFonts w:eastAsia="Calibri" w:cstheme="minorHAnsi"/>
          <w:noProof/>
          <w:snapToGrid/>
          <w:color w:val="000000"/>
        </w:rPr>
        <w:t>Citizen and outside-agency monitoring sites</w:t>
      </w:r>
      <w:r>
        <w:rPr>
          <w:noProof/>
        </w:rPr>
        <w:tab/>
      </w:r>
      <w:r>
        <w:rPr>
          <w:noProof/>
        </w:rPr>
        <w:fldChar w:fldCharType="begin"/>
      </w:r>
      <w:r>
        <w:rPr>
          <w:noProof/>
        </w:rPr>
        <w:instrText xml:space="preserve"> PAGEREF _Toc164175047 \h </w:instrText>
      </w:r>
      <w:r>
        <w:rPr>
          <w:noProof/>
        </w:rPr>
      </w:r>
      <w:r>
        <w:rPr>
          <w:noProof/>
        </w:rPr>
        <w:fldChar w:fldCharType="separate"/>
      </w:r>
      <w:r w:rsidR="005B4275">
        <w:rPr>
          <w:noProof/>
        </w:rPr>
        <w:t>42</w:t>
      </w:r>
      <w:r>
        <w:rPr>
          <w:noProof/>
        </w:rPr>
        <w:fldChar w:fldCharType="end"/>
      </w:r>
    </w:p>
    <w:p w14:paraId="5249E2B0" w14:textId="79681C0A"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4.2</w:t>
      </w:r>
      <w:r>
        <w:rPr>
          <w:noProof/>
        </w:rPr>
        <w:noBreakHyphen/>
        <w:t>1. Designated use summary for rivers (81,030 miles were not assessed).</w:t>
      </w:r>
      <w:r>
        <w:rPr>
          <w:noProof/>
        </w:rPr>
        <w:tab/>
      </w:r>
      <w:r>
        <w:rPr>
          <w:noProof/>
        </w:rPr>
        <w:fldChar w:fldCharType="begin"/>
      </w:r>
      <w:r>
        <w:rPr>
          <w:noProof/>
        </w:rPr>
        <w:instrText xml:space="preserve"> PAGEREF _Toc164175048 \h </w:instrText>
      </w:r>
      <w:r>
        <w:rPr>
          <w:noProof/>
        </w:rPr>
      </w:r>
      <w:r>
        <w:rPr>
          <w:noProof/>
        </w:rPr>
        <w:fldChar w:fldCharType="separate"/>
      </w:r>
      <w:r w:rsidR="005B4275">
        <w:rPr>
          <w:noProof/>
        </w:rPr>
        <w:t>60</w:t>
      </w:r>
      <w:r>
        <w:rPr>
          <w:noProof/>
        </w:rPr>
        <w:fldChar w:fldCharType="end"/>
      </w:r>
    </w:p>
    <w:p w14:paraId="778A5B31" w14:textId="2B41B0A5"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4.2</w:t>
      </w:r>
      <w:r>
        <w:rPr>
          <w:noProof/>
        </w:rPr>
        <w:noBreakHyphen/>
        <w:t xml:space="preserve">2. </w:t>
      </w:r>
      <w:r w:rsidRPr="00DA45A8">
        <w:rPr>
          <w:rFonts w:cstheme="minorHAnsi"/>
          <w:noProof/>
        </w:rPr>
        <w:t>Designated use summary for lakes</w:t>
      </w:r>
      <w:r w:rsidRPr="00DA45A8">
        <w:rPr>
          <w:rFonts w:cstheme="minorHAnsi"/>
          <w:noProof/>
          <w:vertAlign w:val="superscript"/>
        </w:rPr>
        <w:t xml:space="preserve"> </w:t>
      </w:r>
      <w:r w:rsidRPr="00DA45A8">
        <w:rPr>
          <w:rFonts w:cstheme="minorHAnsi"/>
          <w:noProof/>
        </w:rPr>
        <w:t>(3,730 acres not assessed).</w:t>
      </w:r>
      <w:r>
        <w:rPr>
          <w:noProof/>
        </w:rPr>
        <w:tab/>
      </w:r>
      <w:r>
        <w:rPr>
          <w:noProof/>
        </w:rPr>
        <w:fldChar w:fldCharType="begin"/>
      </w:r>
      <w:r>
        <w:rPr>
          <w:noProof/>
        </w:rPr>
        <w:instrText xml:space="preserve"> PAGEREF _Toc164175049 \h </w:instrText>
      </w:r>
      <w:r>
        <w:rPr>
          <w:noProof/>
        </w:rPr>
      </w:r>
      <w:r>
        <w:rPr>
          <w:noProof/>
        </w:rPr>
        <w:fldChar w:fldCharType="separate"/>
      </w:r>
      <w:r w:rsidR="005B4275">
        <w:rPr>
          <w:noProof/>
        </w:rPr>
        <w:t>60</w:t>
      </w:r>
      <w:r>
        <w:rPr>
          <w:noProof/>
        </w:rPr>
        <w:fldChar w:fldCharType="end"/>
      </w:r>
    </w:p>
    <w:p w14:paraId="11D95E2A" w14:textId="4D636CA7"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sidRPr="00DA45A8">
        <w:rPr>
          <w:rFonts w:cstheme="minorHAnsi"/>
          <w:noProof/>
        </w:rPr>
        <w:t>Figure 4.2</w:t>
      </w:r>
      <w:r w:rsidRPr="00DA45A8">
        <w:rPr>
          <w:rFonts w:cstheme="minorHAnsi"/>
          <w:noProof/>
        </w:rPr>
        <w:noBreakHyphen/>
        <w:t>3. Designated use summary for estuaries</w:t>
      </w:r>
      <w:r w:rsidRPr="00DA45A8">
        <w:rPr>
          <w:rFonts w:cstheme="minorHAnsi"/>
          <w:noProof/>
          <w:vertAlign w:val="superscript"/>
        </w:rPr>
        <w:t xml:space="preserve"> </w:t>
      </w:r>
      <w:r w:rsidRPr="00DA45A8">
        <w:rPr>
          <w:rFonts w:cstheme="minorHAnsi"/>
          <w:noProof/>
        </w:rPr>
        <w:t>(393 miles</w:t>
      </w:r>
      <w:r w:rsidRPr="00DA45A8">
        <w:rPr>
          <w:rFonts w:cstheme="minorHAnsi"/>
          <w:noProof/>
          <w:vertAlign w:val="superscript"/>
        </w:rPr>
        <w:t>2</w:t>
      </w:r>
      <w:r w:rsidRPr="00DA45A8">
        <w:rPr>
          <w:rFonts w:cstheme="minorHAnsi"/>
          <w:noProof/>
        </w:rPr>
        <w:t xml:space="preserve"> not assessed).</w:t>
      </w:r>
      <w:r>
        <w:rPr>
          <w:noProof/>
        </w:rPr>
        <w:tab/>
      </w:r>
      <w:r>
        <w:rPr>
          <w:noProof/>
        </w:rPr>
        <w:fldChar w:fldCharType="begin"/>
      </w:r>
      <w:r>
        <w:rPr>
          <w:noProof/>
        </w:rPr>
        <w:instrText xml:space="preserve"> PAGEREF _Toc164175050 \h </w:instrText>
      </w:r>
      <w:r>
        <w:rPr>
          <w:noProof/>
        </w:rPr>
      </w:r>
      <w:r>
        <w:rPr>
          <w:noProof/>
        </w:rPr>
        <w:fldChar w:fldCharType="separate"/>
      </w:r>
      <w:r w:rsidR="005B4275">
        <w:rPr>
          <w:noProof/>
        </w:rPr>
        <w:t>61</w:t>
      </w:r>
      <w:r>
        <w:rPr>
          <w:noProof/>
        </w:rPr>
        <w:fldChar w:fldCharType="end"/>
      </w:r>
    </w:p>
    <w:p w14:paraId="5AFE325F" w14:textId="54C91A94"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4.2</w:t>
      </w:r>
      <w:r>
        <w:rPr>
          <w:noProof/>
        </w:rPr>
        <w:noBreakHyphen/>
        <w:t>4. Chesapeake Bay-specific designated use summary</w:t>
      </w:r>
      <w:r>
        <w:rPr>
          <w:noProof/>
        </w:rPr>
        <w:tab/>
      </w:r>
      <w:r>
        <w:rPr>
          <w:noProof/>
        </w:rPr>
        <w:fldChar w:fldCharType="begin"/>
      </w:r>
      <w:r>
        <w:rPr>
          <w:noProof/>
        </w:rPr>
        <w:instrText xml:space="preserve"> PAGEREF _Toc164175051 \h </w:instrText>
      </w:r>
      <w:r>
        <w:rPr>
          <w:noProof/>
        </w:rPr>
      </w:r>
      <w:r>
        <w:rPr>
          <w:noProof/>
        </w:rPr>
        <w:fldChar w:fldCharType="separate"/>
      </w:r>
      <w:r w:rsidR="005B4275">
        <w:rPr>
          <w:noProof/>
        </w:rPr>
        <w:t>61</w:t>
      </w:r>
      <w:r>
        <w:rPr>
          <w:noProof/>
        </w:rPr>
        <w:fldChar w:fldCharType="end"/>
      </w:r>
    </w:p>
    <w:p w14:paraId="64DF3A6E" w14:textId="1C382760"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4.2</w:t>
      </w:r>
      <w:r>
        <w:rPr>
          <w:noProof/>
        </w:rPr>
        <w:noBreakHyphen/>
        <w:t>5. Summary of parameters causing impairments in Virginia’s rivers and streams.</w:t>
      </w:r>
      <w:r>
        <w:rPr>
          <w:noProof/>
        </w:rPr>
        <w:tab/>
      </w:r>
      <w:r>
        <w:rPr>
          <w:noProof/>
        </w:rPr>
        <w:fldChar w:fldCharType="begin"/>
      </w:r>
      <w:r>
        <w:rPr>
          <w:noProof/>
        </w:rPr>
        <w:instrText xml:space="preserve"> PAGEREF _Toc164175052 \h </w:instrText>
      </w:r>
      <w:r>
        <w:rPr>
          <w:noProof/>
        </w:rPr>
      </w:r>
      <w:r>
        <w:rPr>
          <w:noProof/>
        </w:rPr>
        <w:fldChar w:fldCharType="separate"/>
      </w:r>
      <w:r w:rsidR="005B4275">
        <w:rPr>
          <w:noProof/>
        </w:rPr>
        <w:t>63</w:t>
      </w:r>
      <w:r>
        <w:rPr>
          <w:noProof/>
        </w:rPr>
        <w:fldChar w:fldCharType="end"/>
      </w:r>
    </w:p>
    <w:p w14:paraId="62D17895" w14:textId="3338BBC7"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4.2</w:t>
      </w:r>
      <w:r>
        <w:rPr>
          <w:noProof/>
        </w:rPr>
        <w:noBreakHyphen/>
        <w:t>6. Summary of impaired lake acres by parameter</w:t>
      </w:r>
      <w:r>
        <w:rPr>
          <w:noProof/>
        </w:rPr>
        <w:tab/>
      </w:r>
      <w:r>
        <w:rPr>
          <w:noProof/>
        </w:rPr>
        <w:fldChar w:fldCharType="begin"/>
      </w:r>
      <w:r>
        <w:rPr>
          <w:noProof/>
        </w:rPr>
        <w:instrText xml:space="preserve"> PAGEREF _Toc164175053 \h </w:instrText>
      </w:r>
      <w:r>
        <w:rPr>
          <w:noProof/>
        </w:rPr>
      </w:r>
      <w:r>
        <w:rPr>
          <w:noProof/>
        </w:rPr>
        <w:fldChar w:fldCharType="separate"/>
      </w:r>
      <w:r w:rsidR="005B4275">
        <w:rPr>
          <w:noProof/>
        </w:rPr>
        <w:t>64</w:t>
      </w:r>
      <w:r>
        <w:rPr>
          <w:noProof/>
        </w:rPr>
        <w:fldChar w:fldCharType="end"/>
      </w:r>
    </w:p>
    <w:p w14:paraId="190BD82E" w14:textId="6A951CF9"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4.2</w:t>
      </w:r>
      <w:r>
        <w:rPr>
          <w:noProof/>
        </w:rPr>
        <w:noBreakHyphen/>
        <w:t>7. Summary of impaired estuarine square miles by parameter</w:t>
      </w:r>
      <w:r>
        <w:rPr>
          <w:noProof/>
        </w:rPr>
        <w:tab/>
      </w:r>
      <w:r>
        <w:rPr>
          <w:noProof/>
        </w:rPr>
        <w:fldChar w:fldCharType="begin"/>
      </w:r>
      <w:r>
        <w:rPr>
          <w:noProof/>
        </w:rPr>
        <w:instrText xml:space="preserve"> PAGEREF _Toc164175054 \h </w:instrText>
      </w:r>
      <w:r>
        <w:rPr>
          <w:noProof/>
        </w:rPr>
      </w:r>
      <w:r>
        <w:rPr>
          <w:noProof/>
        </w:rPr>
        <w:fldChar w:fldCharType="separate"/>
      </w:r>
      <w:r w:rsidR="005B4275">
        <w:rPr>
          <w:noProof/>
        </w:rPr>
        <w:t>65</w:t>
      </w:r>
      <w:r>
        <w:rPr>
          <w:noProof/>
        </w:rPr>
        <w:fldChar w:fldCharType="end"/>
      </w:r>
    </w:p>
    <w:p w14:paraId="76710D56" w14:textId="1C31BAE6"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4.2</w:t>
      </w:r>
      <w:r>
        <w:rPr>
          <w:noProof/>
        </w:rPr>
        <w:noBreakHyphen/>
        <w:t>8. Summary of waters with fish consumption impairments</w:t>
      </w:r>
      <w:r>
        <w:rPr>
          <w:noProof/>
        </w:rPr>
        <w:tab/>
      </w:r>
      <w:r>
        <w:rPr>
          <w:noProof/>
        </w:rPr>
        <w:fldChar w:fldCharType="begin"/>
      </w:r>
      <w:r>
        <w:rPr>
          <w:noProof/>
        </w:rPr>
        <w:instrText xml:space="preserve"> PAGEREF _Toc164175055 \h </w:instrText>
      </w:r>
      <w:r>
        <w:rPr>
          <w:noProof/>
        </w:rPr>
      </w:r>
      <w:r>
        <w:rPr>
          <w:noProof/>
        </w:rPr>
        <w:fldChar w:fldCharType="separate"/>
      </w:r>
      <w:r w:rsidR="005B4275">
        <w:rPr>
          <w:noProof/>
        </w:rPr>
        <w:t>66</w:t>
      </w:r>
      <w:r>
        <w:rPr>
          <w:noProof/>
        </w:rPr>
        <w:fldChar w:fldCharType="end"/>
      </w:r>
    </w:p>
    <w:p w14:paraId="6A199805" w14:textId="1BD5A33C"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4.2</w:t>
      </w:r>
      <w:r>
        <w:rPr>
          <w:noProof/>
        </w:rPr>
        <w:noBreakHyphen/>
        <w:t>9. Map of delisted Assessment Units for the 2024 Integrated Report</w:t>
      </w:r>
      <w:r>
        <w:rPr>
          <w:noProof/>
        </w:rPr>
        <w:tab/>
      </w:r>
      <w:r>
        <w:rPr>
          <w:noProof/>
        </w:rPr>
        <w:fldChar w:fldCharType="begin"/>
      </w:r>
      <w:r>
        <w:rPr>
          <w:noProof/>
        </w:rPr>
        <w:instrText xml:space="preserve"> PAGEREF _Toc164175056 \h </w:instrText>
      </w:r>
      <w:r>
        <w:rPr>
          <w:noProof/>
        </w:rPr>
      </w:r>
      <w:r>
        <w:rPr>
          <w:noProof/>
        </w:rPr>
        <w:fldChar w:fldCharType="separate"/>
      </w:r>
      <w:r w:rsidR="005B4275">
        <w:rPr>
          <w:noProof/>
        </w:rPr>
        <w:t>69</w:t>
      </w:r>
      <w:r>
        <w:rPr>
          <w:noProof/>
        </w:rPr>
        <w:fldChar w:fldCharType="end"/>
      </w:r>
    </w:p>
    <w:p w14:paraId="72E9FAB7" w14:textId="5D973CFA"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1. Map of major river basin in Virginia</w:t>
      </w:r>
      <w:r>
        <w:rPr>
          <w:noProof/>
        </w:rPr>
        <w:tab/>
      </w:r>
      <w:r>
        <w:rPr>
          <w:noProof/>
        </w:rPr>
        <w:fldChar w:fldCharType="begin"/>
      </w:r>
      <w:r>
        <w:rPr>
          <w:noProof/>
        </w:rPr>
        <w:instrText xml:space="preserve"> PAGEREF _Toc164175057 \h </w:instrText>
      </w:r>
      <w:r>
        <w:rPr>
          <w:noProof/>
        </w:rPr>
      </w:r>
      <w:r>
        <w:rPr>
          <w:noProof/>
        </w:rPr>
        <w:fldChar w:fldCharType="separate"/>
      </w:r>
      <w:r w:rsidR="005B4275">
        <w:rPr>
          <w:noProof/>
        </w:rPr>
        <w:t>70</w:t>
      </w:r>
      <w:r>
        <w:rPr>
          <w:noProof/>
        </w:rPr>
        <w:fldChar w:fldCharType="end"/>
      </w:r>
    </w:p>
    <w:p w14:paraId="154424D6" w14:textId="5D00BDED"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 xml:space="preserve">2. </w:t>
      </w:r>
      <w:r w:rsidRPr="00DA45A8">
        <w:rPr>
          <w:rFonts w:cstheme="minorHAnsi"/>
          <w:noProof/>
        </w:rPr>
        <w:t xml:space="preserve">Designated use summary for rivers in the </w:t>
      </w:r>
      <w:r>
        <w:rPr>
          <w:noProof/>
        </w:rPr>
        <w:t>Potomac-Shenandoah River</w:t>
      </w:r>
      <w:r>
        <w:rPr>
          <w:noProof/>
        </w:rPr>
        <w:tab/>
      </w:r>
      <w:r>
        <w:rPr>
          <w:noProof/>
        </w:rPr>
        <w:fldChar w:fldCharType="begin"/>
      </w:r>
      <w:r>
        <w:rPr>
          <w:noProof/>
        </w:rPr>
        <w:instrText xml:space="preserve"> PAGEREF _Toc164175058 \h </w:instrText>
      </w:r>
      <w:r>
        <w:rPr>
          <w:noProof/>
        </w:rPr>
      </w:r>
      <w:r>
        <w:rPr>
          <w:noProof/>
        </w:rPr>
        <w:fldChar w:fldCharType="separate"/>
      </w:r>
      <w:r w:rsidR="005B4275">
        <w:rPr>
          <w:noProof/>
        </w:rPr>
        <w:t>72</w:t>
      </w:r>
      <w:r>
        <w:rPr>
          <w:noProof/>
        </w:rPr>
        <w:fldChar w:fldCharType="end"/>
      </w:r>
    </w:p>
    <w:p w14:paraId="7245DE03" w14:textId="3E3230E9"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 xml:space="preserve">3. </w:t>
      </w:r>
      <w:r w:rsidRPr="00DA45A8">
        <w:rPr>
          <w:rFonts w:cstheme="minorHAnsi"/>
          <w:noProof/>
        </w:rPr>
        <w:t xml:space="preserve">Designated use summary for lakes in the </w:t>
      </w:r>
      <w:r>
        <w:rPr>
          <w:noProof/>
        </w:rPr>
        <w:t>Potomac-Shenandoah River</w:t>
      </w:r>
      <w:r>
        <w:rPr>
          <w:noProof/>
        </w:rPr>
        <w:tab/>
      </w:r>
      <w:r>
        <w:rPr>
          <w:noProof/>
        </w:rPr>
        <w:fldChar w:fldCharType="begin"/>
      </w:r>
      <w:r>
        <w:rPr>
          <w:noProof/>
        </w:rPr>
        <w:instrText xml:space="preserve"> PAGEREF _Toc164175059 \h </w:instrText>
      </w:r>
      <w:r>
        <w:rPr>
          <w:noProof/>
        </w:rPr>
      </w:r>
      <w:r>
        <w:rPr>
          <w:noProof/>
        </w:rPr>
        <w:fldChar w:fldCharType="separate"/>
      </w:r>
      <w:r w:rsidR="005B4275">
        <w:rPr>
          <w:noProof/>
        </w:rPr>
        <w:t>72</w:t>
      </w:r>
      <w:r>
        <w:rPr>
          <w:noProof/>
        </w:rPr>
        <w:fldChar w:fldCharType="end"/>
      </w:r>
    </w:p>
    <w:p w14:paraId="7D6302BC" w14:textId="45AE5314"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4. Designated use summary for estuaries in the Potomac-Shenandoah River</w:t>
      </w:r>
      <w:r>
        <w:rPr>
          <w:noProof/>
        </w:rPr>
        <w:tab/>
      </w:r>
      <w:r>
        <w:rPr>
          <w:noProof/>
        </w:rPr>
        <w:fldChar w:fldCharType="begin"/>
      </w:r>
      <w:r>
        <w:rPr>
          <w:noProof/>
        </w:rPr>
        <w:instrText xml:space="preserve"> PAGEREF _Toc164175060 \h </w:instrText>
      </w:r>
      <w:r>
        <w:rPr>
          <w:noProof/>
        </w:rPr>
      </w:r>
      <w:r>
        <w:rPr>
          <w:noProof/>
        </w:rPr>
        <w:fldChar w:fldCharType="separate"/>
      </w:r>
      <w:r w:rsidR="005B4275">
        <w:rPr>
          <w:noProof/>
        </w:rPr>
        <w:t>73</w:t>
      </w:r>
      <w:r>
        <w:rPr>
          <w:noProof/>
        </w:rPr>
        <w:fldChar w:fldCharType="end"/>
      </w:r>
    </w:p>
    <w:p w14:paraId="5A6CEAFE" w14:textId="2156F029"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sidRPr="00DA45A8">
        <w:rPr>
          <w:rFonts w:cstheme="minorHAnsi"/>
          <w:noProof/>
        </w:rPr>
        <w:t>Figure 4.3</w:t>
      </w:r>
      <w:r w:rsidRPr="00DA45A8">
        <w:rPr>
          <w:rFonts w:cstheme="minorHAnsi"/>
          <w:noProof/>
        </w:rPr>
        <w:noBreakHyphen/>
        <w:t xml:space="preserve">5. </w:t>
      </w:r>
      <w:r>
        <w:rPr>
          <w:noProof/>
        </w:rPr>
        <w:t>Bay-specific designated use summary</w:t>
      </w:r>
      <w:r w:rsidRPr="00DA45A8">
        <w:rPr>
          <w:rFonts w:cstheme="minorHAnsi"/>
          <w:noProof/>
        </w:rPr>
        <w:t xml:space="preserve"> for the Potomac-Shenandoah River</w:t>
      </w:r>
      <w:r>
        <w:rPr>
          <w:noProof/>
        </w:rPr>
        <w:tab/>
      </w:r>
      <w:r>
        <w:rPr>
          <w:noProof/>
        </w:rPr>
        <w:fldChar w:fldCharType="begin"/>
      </w:r>
      <w:r>
        <w:rPr>
          <w:noProof/>
        </w:rPr>
        <w:instrText xml:space="preserve"> PAGEREF _Toc164175061 \h </w:instrText>
      </w:r>
      <w:r>
        <w:rPr>
          <w:noProof/>
        </w:rPr>
      </w:r>
      <w:r>
        <w:rPr>
          <w:noProof/>
        </w:rPr>
        <w:fldChar w:fldCharType="separate"/>
      </w:r>
      <w:r w:rsidR="005B4275">
        <w:rPr>
          <w:noProof/>
        </w:rPr>
        <w:t>73</w:t>
      </w:r>
      <w:r>
        <w:rPr>
          <w:noProof/>
        </w:rPr>
        <w:fldChar w:fldCharType="end"/>
      </w:r>
    </w:p>
    <w:p w14:paraId="1F80067D" w14:textId="2EC59904"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6. Designated use summary for rivers in the James River</w:t>
      </w:r>
      <w:r>
        <w:rPr>
          <w:noProof/>
        </w:rPr>
        <w:tab/>
      </w:r>
      <w:r>
        <w:rPr>
          <w:noProof/>
        </w:rPr>
        <w:fldChar w:fldCharType="begin"/>
      </w:r>
      <w:r>
        <w:rPr>
          <w:noProof/>
        </w:rPr>
        <w:instrText xml:space="preserve"> PAGEREF _Toc164175062 \h </w:instrText>
      </w:r>
      <w:r>
        <w:rPr>
          <w:noProof/>
        </w:rPr>
      </w:r>
      <w:r>
        <w:rPr>
          <w:noProof/>
        </w:rPr>
        <w:fldChar w:fldCharType="separate"/>
      </w:r>
      <w:r w:rsidR="005B4275">
        <w:rPr>
          <w:noProof/>
        </w:rPr>
        <w:t>76</w:t>
      </w:r>
      <w:r>
        <w:rPr>
          <w:noProof/>
        </w:rPr>
        <w:fldChar w:fldCharType="end"/>
      </w:r>
    </w:p>
    <w:p w14:paraId="0D85B8B0" w14:textId="2B6CCD5E"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7. Designated use summary for lakes in the James River</w:t>
      </w:r>
      <w:r>
        <w:rPr>
          <w:noProof/>
        </w:rPr>
        <w:tab/>
      </w:r>
      <w:r>
        <w:rPr>
          <w:noProof/>
        </w:rPr>
        <w:fldChar w:fldCharType="begin"/>
      </w:r>
      <w:r>
        <w:rPr>
          <w:noProof/>
        </w:rPr>
        <w:instrText xml:space="preserve"> PAGEREF _Toc164175063 \h </w:instrText>
      </w:r>
      <w:r>
        <w:rPr>
          <w:noProof/>
        </w:rPr>
      </w:r>
      <w:r>
        <w:rPr>
          <w:noProof/>
        </w:rPr>
        <w:fldChar w:fldCharType="separate"/>
      </w:r>
      <w:r w:rsidR="005B4275">
        <w:rPr>
          <w:noProof/>
        </w:rPr>
        <w:t>76</w:t>
      </w:r>
      <w:r>
        <w:rPr>
          <w:noProof/>
        </w:rPr>
        <w:fldChar w:fldCharType="end"/>
      </w:r>
    </w:p>
    <w:p w14:paraId="5E0AF228" w14:textId="4DB7F792"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8. Designated use summary for estuaries in the James River</w:t>
      </w:r>
      <w:r>
        <w:rPr>
          <w:noProof/>
        </w:rPr>
        <w:tab/>
      </w:r>
      <w:r>
        <w:rPr>
          <w:noProof/>
        </w:rPr>
        <w:fldChar w:fldCharType="begin"/>
      </w:r>
      <w:r>
        <w:rPr>
          <w:noProof/>
        </w:rPr>
        <w:instrText xml:space="preserve"> PAGEREF _Toc164175064 \h </w:instrText>
      </w:r>
      <w:r>
        <w:rPr>
          <w:noProof/>
        </w:rPr>
      </w:r>
      <w:r>
        <w:rPr>
          <w:noProof/>
        </w:rPr>
        <w:fldChar w:fldCharType="separate"/>
      </w:r>
      <w:r w:rsidR="005B4275">
        <w:rPr>
          <w:noProof/>
        </w:rPr>
        <w:t>77</w:t>
      </w:r>
      <w:r>
        <w:rPr>
          <w:noProof/>
        </w:rPr>
        <w:fldChar w:fldCharType="end"/>
      </w:r>
    </w:p>
    <w:p w14:paraId="64F8C78A" w14:textId="3F30FF08"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9. Chesapeake Bay-specific designated use summary</w:t>
      </w:r>
      <w:r w:rsidRPr="00DA45A8">
        <w:rPr>
          <w:rFonts w:cstheme="minorHAnsi"/>
          <w:noProof/>
        </w:rPr>
        <w:t xml:space="preserve"> for </w:t>
      </w:r>
      <w:r>
        <w:rPr>
          <w:noProof/>
        </w:rPr>
        <w:t>the James River</w:t>
      </w:r>
      <w:r>
        <w:rPr>
          <w:noProof/>
        </w:rPr>
        <w:tab/>
      </w:r>
      <w:r>
        <w:rPr>
          <w:noProof/>
        </w:rPr>
        <w:fldChar w:fldCharType="begin"/>
      </w:r>
      <w:r>
        <w:rPr>
          <w:noProof/>
        </w:rPr>
        <w:instrText xml:space="preserve"> PAGEREF _Toc164175065 \h </w:instrText>
      </w:r>
      <w:r>
        <w:rPr>
          <w:noProof/>
        </w:rPr>
      </w:r>
      <w:r>
        <w:rPr>
          <w:noProof/>
        </w:rPr>
        <w:fldChar w:fldCharType="separate"/>
      </w:r>
      <w:r w:rsidR="005B4275">
        <w:rPr>
          <w:noProof/>
        </w:rPr>
        <w:t>77</w:t>
      </w:r>
      <w:r>
        <w:rPr>
          <w:noProof/>
        </w:rPr>
        <w:fldChar w:fldCharType="end"/>
      </w:r>
    </w:p>
    <w:p w14:paraId="370BDF43" w14:textId="0D1AE2D7"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10. Designated use summary for rivers in the Rappahannock River</w:t>
      </w:r>
      <w:r>
        <w:rPr>
          <w:noProof/>
        </w:rPr>
        <w:tab/>
      </w:r>
      <w:r>
        <w:rPr>
          <w:noProof/>
        </w:rPr>
        <w:fldChar w:fldCharType="begin"/>
      </w:r>
      <w:r>
        <w:rPr>
          <w:noProof/>
        </w:rPr>
        <w:instrText xml:space="preserve"> PAGEREF _Toc164175066 \h </w:instrText>
      </w:r>
      <w:r>
        <w:rPr>
          <w:noProof/>
        </w:rPr>
      </w:r>
      <w:r>
        <w:rPr>
          <w:noProof/>
        </w:rPr>
        <w:fldChar w:fldCharType="separate"/>
      </w:r>
      <w:r w:rsidR="005B4275">
        <w:rPr>
          <w:noProof/>
        </w:rPr>
        <w:t>79</w:t>
      </w:r>
      <w:r>
        <w:rPr>
          <w:noProof/>
        </w:rPr>
        <w:fldChar w:fldCharType="end"/>
      </w:r>
    </w:p>
    <w:p w14:paraId="5D80D6EB" w14:textId="697C5212"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11. Designated use summary for lakes in the Rappahannock River</w:t>
      </w:r>
      <w:r>
        <w:rPr>
          <w:noProof/>
        </w:rPr>
        <w:tab/>
      </w:r>
      <w:r>
        <w:rPr>
          <w:noProof/>
        </w:rPr>
        <w:fldChar w:fldCharType="begin"/>
      </w:r>
      <w:r>
        <w:rPr>
          <w:noProof/>
        </w:rPr>
        <w:instrText xml:space="preserve"> PAGEREF _Toc164175067 \h </w:instrText>
      </w:r>
      <w:r>
        <w:rPr>
          <w:noProof/>
        </w:rPr>
      </w:r>
      <w:r>
        <w:rPr>
          <w:noProof/>
        </w:rPr>
        <w:fldChar w:fldCharType="separate"/>
      </w:r>
      <w:r w:rsidR="005B4275">
        <w:rPr>
          <w:noProof/>
        </w:rPr>
        <w:t>80</w:t>
      </w:r>
      <w:r>
        <w:rPr>
          <w:noProof/>
        </w:rPr>
        <w:fldChar w:fldCharType="end"/>
      </w:r>
    </w:p>
    <w:p w14:paraId="32C1DD73" w14:textId="0A72B919"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12. Designated use summary for estuaries in the Rappahannock River</w:t>
      </w:r>
      <w:r>
        <w:rPr>
          <w:noProof/>
        </w:rPr>
        <w:tab/>
      </w:r>
      <w:r>
        <w:rPr>
          <w:noProof/>
        </w:rPr>
        <w:fldChar w:fldCharType="begin"/>
      </w:r>
      <w:r>
        <w:rPr>
          <w:noProof/>
        </w:rPr>
        <w:instrText xml:space="preserve"> PAGEREF _Toc164175068 \h </w:instrText>
      </w:r>
      <w:r>
        <w:rPr>
          <w:noProof/>
        </w:rPr>
      </w:r>
      <w:r>
        <w:rPr>
          <w:noProof/>
        </w:rPr>
        <w:fldChar w:fldCharType="separate"/>
      </w:r>
      <w:r w:rsidR="005B4275">
        <w:rPr>
          <w:noProof/>
        </w:rPr>
        <w:t>80</w:t>
      </w:r>
      <w:r>
        <w:rPr>
          <w:noProof/>
        </w:rPr>
        <w:fldChar w:fldCharType="end"/>
      </w:r>
    </w:p>
    <w:p w14:paraId="525943B7" w14:textId="51EBC560"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13. Chesapeake Bay-specific designated use summary</w:t>
      </w:r>
      <w:r w:rsidRPr="00DA45A8">
        <w:rPr>
          <w:rFonts w:cstheme="minorHAnsi"/>
          <w:noProof/>
        </w:rPr>
        <w:t xml:space="preserve"> for </w:t>
      </w:r>
      <w:r>
        <w:rPr>
          <w:noProof/>
        </w:rPr>
        <w:t>the Rappahannock River</w:t>
      </w:r>
      <w:r>
        <w:rPr>
          <w:noProof/>
        </w:rPr>
        <w:tab/>
      </w:r>
      <w:r>
        <w:rPr>
          <w:noProof/>
        </w:rPr>
        <w:fldChar w:fldCharType="begin"/>
      </w:r>
      <w:r>
        <w:rPr>
          <w:noProof/>
        </w:rPr>
        <w:instrText xml:space="preserve"> PAGEREF _Toc164175069 \h </w:instrText>
      </w:r>
      <w:r>
        <w:rPr>
          <w:noProof/>
        </w:rPr>
      </w:r>
      <w:r>
        <w:rPr>
          <w:noProof/>
        </w:rPr>
        <w:fldChar w:fldCharType="separate"/>
      </w:r>
      <w:r w:rsidR="005B4275">
        <w:rPr>
          <w:noProof/>
        </w:rPr>
        <w:t>81</w:t>
      </w:r>
      <w:r>
        <w:rPr>
          <w:noProof/>
        </w:rPr>
        <w:fldChar w:fldCharType="end"/>
      </w:r>
    </w:p>
    <w:p w14:paraId="4587B380" w14:textId="5CD43388"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14. Designated use summary for rivers in the Roanoke River</w:t>
      </w:r>
      <w:r>
        <w:rPr>
          <w:noProof/>
        </w:rPr>
        <w:tab/>
      </w:r>
      <w:r>
        <w:rPr>
          <w:noProof/>
        </w:rPr>
        <w:fldChar w:fldCharType="begin"/>
      </w:r>
      <w:r>
        <w:rPr>
          <w:noProof/>
        </w:rPr>
        <w:instrText xml:space="preserve"> PAGEREF _Toc164175070 \h </w:instrText>
      </w:r>
      <w:r>
        <w:rPr>
          <w:noProof/>
        </w:rPr>
      </w:r>
      <w:r>
        <w:rPr>
          <w:noProof/>
        </w:rPr>
        <w:fldChar w:fldCharType="separate"/>
      </w:r>
      <w:r w:rsidR="005B4275">
        <w:rPr>
          <w:noProof/>
        </w:rPr>
        <w:t>83</w:t>
      </w:r>
      <w:r>
        <w:rPr>
          <w:noProof/>
        </w:rPr>
        <w:fldChar w:fldCharType="end"/>
      </w:r>
    </w:p>
    <w:p w14:paraId="01FDFE2F" w14:textId="7E10FDD9"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15. Designated use summary for lakes in the Roanoke River</w:t>
      </w:r>
      <w:r>
        <w:rPr>
          <w:noProof/>
        </w:rPr>
        <w:tab/>
      </w:r>
      <w:r>
        <w:rPr>
          <w:noProof/>
        </w:rPr>
        <w:fldChar w:fldCharType="begin"/>
      </w:r>
      <w:r>
        <w:rPr>
          <w:noProof/>
        </w:rPr>
        <w:instrText xml:space="preserve"> PAGEREF _Toc164175071 \h </w:instrText>
      </w:r>
      <w:r>
        <w:rPr>
          <w:noProof/>
        </w:rPr>
      </w:r>
      <w:r>
        <w:rPr>
          <w:noProof/>
        </w:rPr>
        <w:fldChar w:fldCharType="separate"/>
      </w:r>
      <w:r w:rsidR="005B4275">
        <w:rPr>
          <w:noProof/>
        </w:rPr>
        <w:t>84</w:t>
      </w:r>
      <w:r>
        <w:rPr>
          <w:noProof/>
        </w:rPr>
        <w:fldChar w:fldCharType="end"/>
      </w:r>
    </w:p>
    <w:p w14:paraId="080D0BE6" w14:textId="05D11CE2"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16. Designated use summary for rivers in the Chowan River-Dismal Swamp</w:t>
      </w:r>
      <w:r>
        <w:rPr>
          <w:noProof/>
        </w:rPr>
        <w:tab/>
      </w:r>
      <w:r>
        <w:rPr>
          <w:noProof/>
        </w:rPr>
        <w:fldChar w:fldCharType="begin"/>
      </w:r>
      <w:r>
        <w:rPr>
          <w:noProof/>
        </w:rPr>
        <w:instrText xml:space="preserve"> PAGEREF _Toc164175072 \h </w:instrText>
      </w:r>
      <w:r>
        <w:rPr>
          <w:noProof/>
        </w:rPr>
      </w:r>
      <w:r>
        <w:rPr>
          <w:noProof/>
        </w:rPr>
        <w:fldChar w:fldCharType="separate"/>
      </w:r>
      <w:r w:rsidR="005B4275">
        <w:rPr>
          <w:noProof/>
        </w:rPr>
        <w:t>86</w:t>
      </w:r>
      <w:r>
        <w:rPr>
          <w:noProof/>
        </w:rPr>
        <w:fldChar w:fldCharType="end"/>
      </w:r>
    </w:p>
    <w:p w14:paraId="778E1A38" w14:textId="39E7BA07"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17. Designated use summary for lakes in the Chowan River-Dismal Swamp</w:t>
      </w:r>
      <w:r>
        <w:rPr>
          <w:noProof/>
        </w:rPr>
        <w:tab/>
      </w:r>
      <w:r>
        <w:rPr>
          <w:noProof/>
        </w:rPr>
        <w:fldChar w:fldCharType="begin"/>
      </w:r>
      <w:r>
        <w:rPr>
          <w:noProof/>
        </w:rPr>
        <w:instrText xml:space="preserve"> PAGEREF _Toc164175073 \h </w:instrText>
      </w:r>
      <w:r>
        <w:rPr>
          <w:noProof/>
        </w:rPr>
      </w:r>
      <w:r>
        <w:rPr>
          <w:noProof/>
        </w:rPr>
        <w:fldChar w:fldCharType="separate"/>
      </w:r>
      <w:r w:rsidR="005B4275">
        <w:rPr>
          <w:noProof/>
        </w:rPr>
        <w:t>86</w:t>
      </w:r>
      <w:r>
        <w:rPr>
          <w:noProof/>
        </w:rPr>
        <w:fldChar w:fldCharType="end"/>
      </w:r>
    </w:p>
    <w:p w14:paraId="2190D8DD" w14:textId="4E3EF3EA"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18. Designated use summary for estuaries in the Chowan River-Dismal Swamp</w:t>
      </w:r>
      <w:r>
        <w:rPr>
          <w:noProof/>
        </w:rPr>
        <w:tab/>
      </w:r>
      <w:r>
        <w:rPr>
          <w:noProof/>
        </w:rPr>
        <w:fldChar w:fldCharType="begin"/>
      </w:r>
      <w:r>
        <w:rPr>
          <w:noProof/>
        </w:rPr>
        <w:instrText xml:space="preserve"> PAGEREF _Toc164175074 \h </w:instrText>
      </w:r>
      <w:r>
        <w:rPr>
          <w:noProof/>
        </w:rPr>
      </w:r>
      <w:r>
        <w:rPr>
          <w:noProof/>
        </w:rPr>
        <w:fldChar w:fldCharType="separate"/>
      </w:r>
      <w:r w:rsidR="005B4275">
        <w:rPr>
          <w:noProof/>
        </w:rPr>
        <w:t>87</w:t>
      </w:r>
      <w:r>
        <w:rPr>
          <w:noProof/>
        </w:rPr>
        <w:fldChar w:fldCharType="end"/>
      </w:r>
    </w:p>
    <w:p w14:paraId="4CDC4AA9" w14:textId="4ED19BBE"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19. Designated use summary for rivers in the Tennessee-Big Sandy River</w:t>
      </w:r>
      <w:r>
        <w:rPr>
          <w:noProof/>
        </w:rPr>
        <w:tab/>
      </w:r>
      <w:r>
        <w:rPr>
          <w:noProof/>
        </w:rPr>
        <w:fldChar w:fldCharType="begin"/>
      </w:r>
      <w:r>
        <w:rPr>
          <w:noProof/>
        </w:rPr>
        <w:instrText xml:space="preserve"> PAGEREF _Toc164175075 \h </w:instrText>
      </w:r>
      <w:r>
        <w:rPr>
          <w:noProof/>
        </w:rPr>
      </w:r>
      <w:r>
        <w:rPr>
          <w:noProof/>
        </w:rPr>
        <w:fldChar w:fldCharType="separate"/>
      </w:r>
      <w:r w:rsidR="005B4275">
        <w:rPr>
          <w:noProof/>
        </w:rPr>
        <w:t>89</w:t>
      </w:r>
      <w:r>
        <w:rPr>
          <w:noProof/>
        </w:rPr>
        <w:fldChar w:fldCharType="end"/>
      </w:r>
    </w:p>
    <w:p w14:paraId="3A290DF6" w14:textId="657D8901"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20. Designated use summary for lakes in the Tennessee-Big Sandy River</w:t>
      </w:r>
      <w:r>
        <w:rPr>
          <w:noProof/>
        </w:rPr>
        <w:tab/>
      </w:r>
      <w:r>
        <w:rPr>
          <w:noProof/>
        </w:rPr>
        <w:fldChar w:fldCharType="begin"/>
      </w:r>
      <w:r>
        <w:rPr>
          <w:noProof/>
        </w:rPr>
        <w:instrText xml:space="preserve"> PAGEREF _Toc164175076 \h </w:instrText>
      </w:r>
      <w:r>
        <w:rPr>
          <w:noProof/>
        </w:rPr>
      </w:r>
      <w:r>
        <w:rPr>
          <w:noProof/>
        </w:rPr>
        <w:fldChar w:fldCharType="separate"/>
      </w:r>
      <w:r w:rsidR="005B4275">
        <w:rPr>
          <w:noProof/>
        </w:rPr>
        <w:t>90</w:t>
      </w:r>
      <w:r>
        <w:rPr>
          <w:noProof/>
        </w:rPr>
        <w:fldChar w:fldCharType="end"/>
      </w:r>
    </w:p>
    <w:p w14:paraId="540964AB" w14:textId="723B2548"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21. Designated use summary for rivers in the Chesapeake Bay/Atlantic Ocean</w:t>
      </w:r>
      <w:r>
        <w:rPr>
          <w:noProof/>
        </w:rPr>
        <w:tab/>
      </w:r>
      <w:r>
        <w:rPr>
          <w:noProof/>
        </w:rPr>
        <w:fldChar w:fldCharType="begin"/>
      </w:r>
      <w:r>
        <w:rPr>
          <w:noProof/>
        </w:rPr>
        <w:instrText xml:space="preserve"> PAGEREF _Toc164175077 \h </w:instrText>
      </w:r>
      <w:r>
        <w:rPr>
          <w:noProof/>
        </w:rPr>
      </w:r>
      <w:r>
        <w:rPr>
          <w:noProof/>
        </w:rPr>
        <w:fldChar w:fldCharType="separate"/>
      </w:r>
      <w:r w:rsidR="005B4275">
        <w:rPr>
          <w:noProof/>
        </w:rPr>
        <w:t>92</w:t>
      </w:r>
      <w:r>
        <w:rPr>
          <w:noProof/>
        </w:rPr>
        <w:fldChar w:fldCharType="end"/>
      </w:r>
    </w:p>
    <w:p w14:paraId="0767C6D9" w14:textId="7122C2AA"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22. Designated use summary for lakes in the Chesapeake Bay/Atlantic Ocean</w:t>
      </w:r>
      <w:r>
        <w:rPr>
          <w:noProof/>
        </w:rPr>
        <w:tab/>
      </w:r>
      <w:r>
        <w:rPr>
          <w:noProof/>
        </w:rPr>
        <w:fldChar w:fldCharType="begin"/>
      </w:r>
      <w:r>
        <w:rPr>
          <w:noProof/>
        </w:rPr>
        <w:instrText xml:space="preserve"> PAGEREF _Toc164175078 \h </w:instrText>
      </w:r>
      <w:r>
        <w:rPr>
          <w:noProof/>
        </w:rPr>
      </w:r>
      <w:r>
        <w:rPr>
          <w:noProof/>
        </w:rPr>
        <w:fldChar w:fldCharType="separate"/>
      </w:r>
      <w:r w:rsidR="005B4275">
        <w:rPr>
          <w:noProof/>
        </w:rPr>
        <w:t>93</w:t>
      </w:r>
      <w:r>
        <w:rPr>
          <w:noProof/>
        </w:rPr>
        <w:fldChar w:fldCharType="end"/>
      </w:r>
    </w:p>
    <w:p w14:paraId="33441453" w14:textId="694CDA0C"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23. Designated use summary for estuaries in the Chesapeake Bay/Atlantic Ocean</w:t>
      </w:r>
      <w:r>
        <w:rPr>
          <w:noProof/>
        </w:rPr>
        <w:tab/>
      </w:r>
      <w:r>
        <w:rPr>
          <w:noProof/>
        </w:rPr>
        <w:fldChar w:fldCharType="begin"/>
      </w:r>
      <w:r>
        <w:rPr>
          <w:noProof/>
        </w:rPr>
        <w:instrText xml:space="preserve"> PAGEREF _Toc164175079 \h </w:instrText>
      </w:r>
      <w:r>
        <w:rPr>
          <w:noProof/>
        </w:rPr>
      </w:r>
      <w:r>
        <w:rPr>
          <w:noProof/>
        </w:rPr>
        <w:fldChar w:fldCharType="separate"/>
      </w:r>
      <w:r w:rsidR="005B4275">
        <w:rPr>
          <w:noProof/>
        </w:rPr>
        <w:t>93</w:t>
      </w:r>
      <w:r>
        <w:rPr>
          <w:noProof/>
        </w:rPr>
        <w:fldChar w:fldCharType="end"/>
      </w:r>
    </w:p>
    <w:p w14:paraId="55CC9569" w14:textId="2E28791F"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24. Bay-specific designated use summary</w:t>
      </w:r>
      <w:r w:rsidRPr="00DA45A8">
        <w:rPr>
          <w:rFonts w:cstheme="minorHAnsi"/>
          <w:noProof/>
        </w:rPr>
        <w:t xml:space="preserve"> for </w:t>
      </w:r>
      <w:r>
        <w:rPr>
          <w:noProof/>
        </w:rPr>
        <w:t>the Chesapeake Bay/Atlantic Ocean</w:t>
      </w:r>
      <w:r>
        <w:rPr>
          <w:noProof/>
        </w:rPr>
        <w:tab/>
      </w:r>
      <w:r>
        <w:rPr>
          <w:noProof/>
        </w:rPr>
        <w:fldChar w:fldCharType="begin"/>
      </w:r>
      <w:r>
        <w:rPr>
          <w:noProof/>
        </w:rPr>
        <w:instrText xml:space="preserve"> PAGEREF _Toc164175080 \h </w:instrText>
      </w:r>
      <w:r>
        <w:rPr>
          <w:noProof/>
        </w:rPr>
      </w:r>
      <w:r>
        <w:rPr>
          <w:noProof/>
        </w:rPr>
        <w:fldChar w:fldCharType="separate"/>
      </w:r>
      <w:r w:rsidR="005B4275">
        <w:rPr>
          <w:noProof/>
        </w:rPr>
        <w:t>94</w:t>
      </w:r>
      <w:r>
        <w:rPr>
          <w:noProof/>
        </w:rPr>
        <w:fldChar w:fldCharType="end"/>
      </w:r>
    </w:p>
    <w:p w14:paraId="248CAE25" w14:textId="6C625DA5"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25. Designated use summary for rivers in the York River</w:t>
      </w:r>
      <w:r>
        <w:rPr>
          <w:noProof/>
        </w:rPr>
        <w:tab/>
      </w:r>
      <w:r>
        <w:rPr>
          <w:noProof/>
        </w:rPr>
        <w:fldChar w:fldCharType="begin"/>
      </w:r>
      <w:r>
        <w:rPr>
          <w:noProof/>
        </w:rPr>
        <w:instrText xml:space="preserve"> PAGEREF _Toc164175081 \h </w:instrText>
      </w:r>
      <w:r>
        <w:rPr>
          <w:noProof/>
        </w:rPr>
      </w:r>
      <w:r>
        <w:rPr>
          <w:noProof/>
        </w:rPr>
        <w:fldChar w:fldCharType="separate"/>
      </w:r>
      <w:r w:rsidR="005B4275">
        <w:rPr>
          <w:noProof/>
        </w:rPr>
        <w:t>96</w:t>
      </w:r>
      <w:r>
        <w:rPr>
          <w:noProof/>
        </w:rPr>
        <w:fldChar w:fldCharType="end"/>
      </w:r>
    </w:p>
    <w:p w14:paraId="4401827B" w14:textId="2A612A1F"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26. Designated use summary for lakes in the York River</w:t>
      </w:r>
      <w:r>
        <w:rPr>
          <w:noProof/>
        </w:rPr>
        <w:tab/>
      </w:r>
      <w:r>
        <w:rPr>
          <w:noProof/>
        </w:rPr>
        <w:fldChar w:fldCharType="begin"/>
      </w:r>
      <w:r>
        <w:rPr>
          <w:noProof/>
        </w:rPr>
        <w:instrText xml:space="preserve"> PAGEREF _Toc164175082 \h </w:instrText>
      </w:r>
      <w:r>
        <w:rPr>
          <w:noProof/>
        </w:rPr>
      </w:r>
      <w:r>
        <w:rPr>
          <w:noProof/>
        </w:rPr>
        <w:fldChar w:fldCharType="separate"/>
      </w:r>
      <w:r w:rsidR="005B4275">
        <w:rPr>
          <w:noProof/>
        </w:rPr>
        <w:t>97</w:t>
      </w:r>
      <w:r>
        <w:rPr>
          <w:noProof/>
        </w:rPr>
        <w:fldChar w:fldCharType="end"/>
      </w:r>
    </w:p>
    <w:p w14:paraId="08F775A3" w14:textId="5EBA94D6"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27. Designated use summary for estuaries in the York River</w:t>
      </w:r>
      <w:r>
        <w:rPr>
          <w:noProof/>
        </w:rPr>
        <w:tab/>
      </w:r>
      <w:r>
        <w:rPr>
          <w:noProof/>
        </w:rPr>
        <w:fldChar w:fldCharType="begin"/>
      </w:r>
      <w:r>
        <w:rPr>
          <w:noProof/>
        </w:rPr>
        <w:instrText xml:space="preserve"> PAGEREF _Toc164175083 \h </w:instrText>
      </w:r>
      <w:r>
        <w:rPr>
          <w:noProof/>
        </w:rPr>
      </w:r>
      <w:r>
        <w:rPr>
          <w:noProof/>
        </w:rPr>
        <w:fldChar w:fldCharType="separate"/>
      </w:r>
      <w:r w:rsidR="005B4275">
        <w:rPr>
          <w:noProof/>
        </w:rPr>
        <w:t>97</w:t>
      </w:r>
      <w:r>
        <w:rPr>
          <w:noProof/>
        </w:rPr>
        <w:fldChar w:fldCharType="end"/>
      </w:r>
    </w:p>
    <w:p w14:paraId="1868B699" w14:textId="320FEDAE"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28. Chesapeake Bay-specific designated use summary</w:t>
      </w:r>
      <w:r w:rsidRPr="00DA45A8">
        <w:rPr>
          <w:rFonts w:cstheme="minorHAnsi"/>
          <w:noProof/>
        </w:rPr>
        <w:t xml:space="preserve"> for </w:t>
      </w:r>
      <w:r>
        <w:rPr>
          <w:noProof/>
        </w:rPr>
        <w:t>the York River</w:t>
      </w:r>
      <w:r>
        <w:rPr>
          <w:noProof/>
        </w:rPr>
        <w:tab/>
      </w:r>
      <w:r>
        <w:rPr>
          <w:noProof/>
        </w:rPr>
        <w:fldChar w:fldCharType="begin"/>
      </w:r>
      <w:r>
        <w:rPr>
          <w:noProof/>
        </w:rPr>
        <w:instrText xml:space="preserve"> PAGEREF _Toc164175084 \h </w:instrText>
      </w:r>
      <w:r>
        <w:rPr>
          <w:noProof/>
        </w:rPr>
      </w:r>
      <w:r>
        <w:rPr>
          <w:noProof/>
        </w:rPr>
        <w:fldChar w:fldCharType="separate"/>
      </w:r>
      <w:r w:rsidR="005B4275">
        <w:rPr>
          <w:noProof/>
        </w:rPr>
        <w:t>98</w:t>
      </w:r>
      <w:r>
        <w:rPr>
          <w:noProof/>
        </w:rPr>
        <w:fldChar w:fldCharType="end"/>
      </w:r>
    </w:p>
    <w:p w14:paraId="0431D0E5" w14:textId="216B02F3"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29. Designated use summary for rivers in the New River</w:t>
      </w:r>
      <w:r>
        <w:rPr>
          <w:noProof/>
        </w:rPr>
        <w:tab/>
      </w:r>
      <w:r>
        <w:rPr>
          <w:noProof/>
        </w:rPr>
        <w:fldChar w:fldCharType="begin"/>
      </w:r>
      <w:r>
        <w:rPr>
          <w:noProof/>
        </w:rPr>
        <w:instrText xml:space="preserve"> PAGEREF _Toc164175085 \h </w:instrText>
      </w:r>
      <w:r>
        <w:rPr>
          <w:noProof/>
        </w:rPr>
      </w:r>
      <w:r>
        <w:rPr>
          <w:noProof/>
        </w:rPr>
        <w:fldChar w:fldCharType="separate"/>
      </w:r>
      <w:r w:rsidR="005B4275">
        <w:rPr>
          <w:noProof/>
        </w:rPr>
        <w:t>100</w:t>
      </w:r>
      <w:r>
        <w:rPr>
          <w:noProof/>
        </w:rPr>
        <w:fldChar w:fldCharType="end"/>
      </w:r>
    </w:p>
    <w:p w14:paraId="06279558" w14:textId="060C67E7"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4.3</w:t>
      </w:r>
      <w:r>
        <w:rPr>
          <w:noProof/>
        </w:rPr>
        <w:noBreakHyphen/>
        <w:t>30. Designated use summary for lakes in the New River</w:t>
      </w:r>
      <w:r>
        <w:rPr>
          <w:noProof/>
        </w:rPr>
        <w:tab/>
      </w:r>
      <w:r>
        <w:rPr>
          <w:noProof/>
        </w:rPr>
        <w:fldChar w:fldCharType="begin"/>
      </w:r>
      <w:r>
        <w:rPr>
          <w:noProof/>
        </w:rPr>
        <w:instrText xml:space="preserve"> PAGEREF _Toc164175086 \h </w:instrText>
      </w:r>
      <w:r>
        <w:rPr>
          <w:noProof/>
        </w:rPr>
      </w:r>
      <w:r>
        <w:rPr>
          <w:noProof/>
        </w:rPr>
        <w:fldChar w:fldCharType="separate"/>
      </w:r>
      <w:r w:rsidR="005B4275">
        <w:rPr>
          <w:noProof/>
        </w:rPr>
        <w:t>101</w:t>
      </w:r>
      <w:r>
        <w:rPr>
          <w:noProof/>
        </w:rPr>
        <w:fldChar w:fldCharType="end"/>
      </w:r>
    </w:p>
    <w:p w14:paraId="379914A1" w14:textId="444DA704"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1. Percentage of stream miles with water quality parameters exceeding criteria</w:t>
      </w:r>
      <w:r>
        <w:rPr>
          <w:noProof/>
        </w:rPr>
        <w:tab/>
      </w:r>
      <w:r>
        <w:rPr>
          <w:noProof/>
        </w:rPr>
        <w:fldChar w:fldCharType="begin"/>
      </w:r>
      <w:r>
        <w:rPr>
          <w:noProof/>
        </w:rPr>
        <w:instrText xml:space="preserve"> PAGEREF _Toc164175087 \h </w:instrText>
      </w:r>
      <w:r>
        <w:rPr>
          <w:noProof/>
        </w:rPr>
      </w:r>
      <w:r>
        <w:rPr>
          <w:noProof/>
        </w:rPr>
        <w:fldChar w:fldCharType="separate"/>
      </w:r>
      <w:r w:rsidR="005B4275">
        <w:rPr>
          <w:noProof/>
        </w:rPr>
        <w:t>103</w:t>
      </w:r>
      <w:r>
        <w:rPr>
          <w:noProof/>
        </w:rPr>
        <w:fldChar w:fldCharType="end"/>
      </w:r>
    </w:p>
    <w:p w14:paraId="06B93F28" w14:textId="7BEE3950"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lastRenderedPageBreak/>
        <w:t>Figure 4.4</w:t>
      </w:r>
      <w:r>
        <w:rPr>
          <w:noProof/>
        </w:rPr>
        <w:noBreakHyphen/>
        <w:t xml:space="preserve">2. </w:t>
      </w:r>
      <w:r w:rsidRPr="00DA45A8">
        <w:rPr>
          <w:noProof/>
          <w:snapToGrid/>
        </w:rPr>
        <w:t>Virginia probabilistic monitoring locations from 2017 - 2022 (n = 240).</w:t>
      </w:r>
      <w:r>
        <w:rPr>
          <w:noProof/>
        </w:rPr>
        <w:tab/>
      </w:r>
      <w:r>
        <w:rPr>
          <w:noProof/>
        </w:rPr>
        <w:fldChar w:fldCharType="begin"/>
      </w:r>
      <w:r>
        <w:rPr>
          <w:noProof/>
        </w:rPr>
        <w:instrText xml:space="preserve"> PAGEREF _Toc164175088 \h </w:instrText>
      </w:r>
      <w:r>
        <w:rPr>
          <w:noProof/>
        </w:rPr>
      </w:r>
      <w:r>
        <w:rPr>
          <w:noProof/>
        </w:rPr>
        <w:fldChar w:fldCharType="separate"/>
      </w:r>
      <w:r w:rsidR="005B4275">
        <w:rPr>
          <w:noProof/>
        </w:rPr>
        <w:t>105</w:t>
      </w:r>
      <w:r>
        <w:rPr>
          <w:noProof/>
        </w:rPr>
        <w:fldChar w:fldCharType="end"/>
      </w:r>
    </w:p>
    <w:p w14:paraId="0BB88CC5" w14:textId="5BC7C43F"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3. </w:t>
      </w:r>
      <w:r w:rsidRPr="00DA45A8">
        <w:rPr>
          <w:noProof/>
          <w:snapToGrid/>
        </w:rPr>
        <w:t>Virginia probabilistic monitoring locations with Virginia major river basins</w:t>
      </w:r>
      <w:r>
        <w:rPr>
          <w:noProof/>
        </w:rPr>
        <w:tab/>
      </w:r>
      <w:r>
        <w:rPr>
          <w:noProof/>
        </w:rPr>
        <w:fldChar w:fldCharType="begin"/>
      </w:r>
      <w:r>
        <w:rPr>
          <w:noProof/>
        </w:rPr>
        <w:instrText xml:space="preserve"> PAGEREF _Toc164175089 \h </w:instrText>
      </w:r>
      <w:r>
        <w:rPr>
          <w:noProof/>
        </w:rPr>
      </w:r>
      <w:r>
        <w:rPr>
          <w:noProof/>
        </w:rPr>
        <w:fldChar w:fldCharType="separate"/>
      </w:r>
      <w:r w:rsidR="005B4275">
        <w:rPr>
          <w:noProof/>
        </w:rPr>
        <w:t>105</w:t>
      </w:r>
      <w:r>
        <w:rPr>
          <w:noProof/>
        </w:rPr>
        <w:fldChar w:fldCharType="end"/>
      </w:r>
    </w:p>
    <w:p w14:paraId="41FD0DA0" w14:textId="086E7B62"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4. </w:t>
      </w:r>
      <w:r w:rsidRPr="00DA45A8">
        <w:rPr>
          <w:noProof/>
          <w:snapToGrid/>
        </w:rPr>
        <w:t>Virginia probabilistic monitoring locations with US Level III Ecoregions</w:t>
      </w:r>
      <w:r>
        <w:rPr>
          <w:noProof/>
        </w:rPr>
        <w:tab/>
      </w:r>
      <w:r>
        <w:rPr>
          <w:noProof/>
        </w:rPr>
        <w:fldChar w:fldCharType="begin"/>
      </w:r>
      <w:r>
        <w:rPr>
          <w:noProof/>
        </w:rPr>
        <w:instrText xml:space="preserve"> PAGEREF _Toc164175090 \h </w:instrText>
      </w:r>
      <w:r>
        <w:rPr>
          <w:noProof/>
        </w:rPr>
      </w:r>
      <w:r>
        <w:rPr>
          <w:noProof/>
        </w:rPr>
        <w:fldChar w:fldCharType="separate"/>
      </w:r>
      <w:r w:rsidR="005B4275">
        <w:rPr>
          <w:noProof/>
        </w:rPr>
        <w:t>106</w:t>
      </w:r>
      <w:r>
        <w:rPr>
          <w:noProof/>
        </w:rPr>
        <w:fldChar w:fldCharType="end"/>
      </w:r>
    </w:p>
    <w:p w14:paraId="24008579" w14:textId="7BB4FEBE"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5. </w:t>
      </w:r>
      <w:r w:rsidRPr="00DA45A8">
        <w:rPr>
          <w:noProof/>
          <w:snapToGrid/>
        </w:rPr>
        <w:t>Virginia probabilistic monitoring wadeable locations</w:t>
      </w:r>
      <w:r>
        <w:rPr>
          <w:noProof/>
        </w:rPr>
        <w:tab/>
      </w:r>
      <w:r>
        <w:rPr>
          <w:noProof/>
        </w:rPr>
        <w:fldChar w:fldCharType="begin"/>
      </w:r>
      <w:r>
        <w:rPr>
          <w:noProof/>
        </w:rPr>
        <w:instrText xml:space="preserve"> PAGEREF _Toc164175091 \h </w:instrText>
      </w:r>
      <w:r>
        <w:rPr>
          <w:noProof/>
        </w:rPr>
      </w:r>
      <w:r>
        <w:rPr>
          <w:noProof/>
        </w:rPr>
        <w:fldChar w:fldCharType="separate"/>
      </w:r>
      <w:r w:rsidR="005B4275">
        <w:rPr>
          <w:noProof/>
        </w:rPr>
        <w:t>107</w:t>
      </w:r>
      <w:r>
        <w:rPr>
          <w:noProof/>
        </w:rPr>
        <w:fldChar w:fldCharType="end"/>
      </w:r>
    </w:p>
    <w:p w14:paraId="430D3E56" w14:textId="61458244"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6. </w:t>
      </w:r>
      <w:r w:rsidRPr="00DA45A8">
        <w:rPr>
          <w:noProof/>
          <w:snapToGrid/>
        </w:rPr>
        <w:t>Virginia probabilistic monitoring wadeable and boatable sites</w:t>
      </w:r>
      <w:r>
        <w:rPr>
          <w:noProof/>
        </w:rPr>
        <w:tab/>
      </w:r>
      <w:r>
        <w:rPr>
          <w:noProof/>
        </w:rPr>
        <w:fldChar w:fldCharType="begin"/>
      </w:r>
      <w:r>
        <w:rPr>
          <w:noProof/>
        </w:rPr>
        <w:instrText xml:space="preserve"> PAGEREF _Toc164175092 \h </w:instrText>
      </w:r>
      <w:r>
        <w:rPr>
          <w:noProof/>
        </w:rPr>
      </w:r>
      <w:r>
        <w:rPr>
          <w:noProof/>
        </w:rPr>
        <w:fldChar w:fldCharType="separate"/>
      </w:r>
      <w:r w:rsidR="005B4275">
        <w:rPr>
          <w:noProof/>
        </w:rPr>
        <w:t>107</w:t>
      </w:r>
      <w:r>
        <w:rPr>
          <w:noProof/>
        </w:rPr>
        <w:fldChar w:fldCharType="end"/>
      </w:r>
    </w:p>
    <w:p w14:paraId="6E1D38BD" w14:textId="1126C505"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7. </w:t>
      </w:r>
      <w:r w:rsidRPr="00DA45A8">
        <w:rPr>
          <w:rFonts w:cstheme="minorHAnsi"/>
          <w:noProof/>
          <w:snapToGrid/>
        </w:rPr>
        <w:t>Biological stream condition index based on VSCI/VCPMI Scores</w:t>
      </w:r>
      <w:r>
        <w:rPr>
          <w:noProof/>
        </w:rPr>
        <w:tab/>
      </w:r>
      <w:r>
        <w:rPr>
          <w:noProof/>
        </w:rPr>
        <w:fldChar w:fldCharType="begin"/>
      </w:r>
      <w:r>
        <w:rPr>
          <w:noProof/>
        </w:rPr>
        <w:instrText xml:space="preserve"> PAGEREF _Toc164175093 \h </w:instrText>
      </w:r>
      <w:r>
        <w:rPr>
          <w:noProof/>
        </w:rPr>
      </w:r>
      <w:r>
        <w:rPr>
          <w:noProof/>
        </w:rPr>
        <w:fldChar w:fldCharType="separate"/>
      </w:r>
      <w:r w:rsidR="005B4275">
        <w:rPr>
          <w:noProof/>
        </w:rPr>
        <w:t>113</w:t>
      </w:r>
      <w:r>
        <w:rPr>
          <w:noProof/>
        </w:rPr>
        <w:fldChar w:fldCharType="end"/>
      </w:r>
    </w:p>
    <w:p w14:paraId="7216A025" w14:textId="7EFFEDA6"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8. VSCI/VCPMI status by stream size category</w:t>
      </w:r>
      <w:r>
        <w:rPr>
          <w:noProof/>
        </w:rPr>
        <w:tab/>
      </w:r>
      <w:r>
        <w:rPr>
          <w:noProof/>
        </w:rPr>
        <w:fldChar w:fldCharType="begin"/>
      </w:r>
      <w:r>
        <w:rPr>
          <w:noProof/>
        </w:rPr>
        <w:instrText xml:space="preserve"> PAGEREF _Toc164175094 \h </w:instrText>
      </w:r>
      <w:r>
        <w:rPr>
          <w:noProof/>
        </w:rPr>
      </w:r>
      <w:r>
        <w:rPr>
          <w:noProof/>
        </w:rPr>
        <w:fldChar w:fldCharType="separate"/>
      </w:r>
      <w:r w:rsidR="005B4275">
        <w:rPr>
          <w:noProof/>
        </w:rPr>
        <w:t>114</w:t>
      </w:r>
      <w:r>
        <w:rPr>
          <w:noProof/>
        </w:rPr>
        <w:fldChar w:fldCharType="end"/>
      </w:r>
    </w:p>
    <w:p w14:paraId="690AA473" w14:textId="127FE863"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9. VSCI/VCPMI status by US Level III Ecoregions</w:t>
      </w:r>
      <w:r>
        <w:rPr>
          <w:noProof/>
        </w:rPr>
        <w:tab/>
      </w:r>
      <w:r>
        <w:rPr>
          <w:noProof/>
        </w:rPr>
        <w:fldChar w:fldCharType="begin"/>
      </w:r>
      <w:r>
        <w:rPr>
          <w:noProof/>
        </w:rPr>
        <w:instrText xml:space="preserve"> PAGEREF _Toc164175095 \h </w:instrText>
      </w:r>
      <w:r>
        <w:rPr>
          <w:noProof/>
        </w:rPr>
      </w:r>
      <w:r>
        <w:rPr>
          <w:noProof/>
        </w:rPr>
        <w:fldChar w:fldCharType="separate"/>
      </w:r>
      <w:r w:rsidR="005B4275">
        <w:rPr>
          <w:noProof/>
        </w:rPr>
        <w:t>115</w:t>
      </w:r>
      <w:r>
        <w:rPr>
          <w:noProof/>
        </w:rPr>
        <w:fldChar w:fldCharType="end"/>
      </w:r>
    </w:p>
    <w:p w14:paraId="5853B71A" w14:textId="1AB324FD"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10. VSCI status by major Virginia basins</w:t>
      </w:r>
      <w:r>
        <w:rPr>
          <w:noProof/>
        </w:rPr>
        <w:tab/>
      </w:r>
      <w:r>
        <w:rPr>
          <w:noProof/>
        </w:rPr>
        <w:fldChar w:fldCharType="begin"/>
      </w:r>
      <w:r>
        <w:rPr>
          <w:noProof/>
        </w:rPr>
        <w:instrText xml:space="preserve"> PAGEREF _Toc164175096 \h </w:instrText>
      </w:r>
      <w:r>
        <w:rPr>
          <w:noProof/>
        </w:rPr>
      </w:r>
      <w:r>
        <w:rPr>
          <w:noProof/>
        </w:rPr>
        <w:fldChar w:fldCharType="separate"/>
      </w:r>
      <w:r w:rsidR="005B4275">
        <w:rPr>
          <w:noProof/>
        </w:rPr>
        <w:t>116</w:t>
      </w:r>
      <w:r>
        <w:rPr>
          <w:noProof/>
        </w:rPr>
        <w:fldChar w:fldCharType="end"/>
      </w:r>
    </w:p>
    <w:p w14:paraId="1EA44CCB" w14:textId="14E54AAE"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11. </w:t>
      </w:r>
      <w:r w:rsidRPr="00DA45A8">
        <w:rPr>
          <w:rFonts w:cstheme="minorHAnsi"/>
          <w:noProof/>
          <w:snapToGrid/>
        </w:rPr>
        <w:t>VSCI/VCPMI status by basin</w:t>
      </w:r>
      <w:r>
        <w:rPr>
          <w:noProof/>
        </w:rPr>
        <w:tab/>
      </w:r>
      <w:r>
        <w:rPr>
          <w:noProof/>
        </w:rPr>
        <w:fldChar w:fldCharType="begin"/>
      </w:r>
      <w:r>
        <w:rPr>
          <w:noProof/>
        </w:rPr>
        <w:instrText xml:space="preserve"> PAGEREF _Toc164175097 \h </w:instrText>
      </w:r>
      <w:r>
        <w:rPr>
          <w:noProof/>
        </w:rPr>
      </w:r>
      <w:r>
        <w:rPr>
          <w:noProof/>
        </w:rPr>
        <w:fldChar w:fldCharType="separate"/>
      </w:r>
      <w:r w:rsidR="005B4275">
        <w:rPr>
          <w:noProof/>
        </w:rPr>
        <w:t>118</w:t>
      </w:r>
      <w:r>
        <w:rPr>
          <w:noProof/>
        </w:rPr>
        <w:fldChar w:fldCharType="end"/>
      </w:r>
    </w:p>
    <w:p w14:paraId="2022D440" w14:textId="23692A26"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12. </w:t>
      </w:r>
      <w:r w:rsidRPr="00DA45A8">
        <w:rPr>
          <w:rFonts w:cstheme="minorHAnsi"/>
          <w:noProof/>
          <w:snapToGrid/>
        </w:rPr>
        <w:t>Estimate of habitat condition in Virginia streams and rivers</w:t>
      </w:r>
      <w:r>
        <w:rPr>
          <w:noProof/>
        </w:rPr>
        <w:tab/>
      </w:r>
      <w:r>
        <w:rPr>
          <w:noProof/>
        </w:rPr>
        <w:fldChar w:fldCharType="begin"/>
      </w:r>
      <w:r>
        <w:rPr>
          <w:noProof/>
        </w:rPr>
        <w:instrText xml:space="preserve"> PAGEREF _Toc164175098 \h </w:instrText>
      </w:r>
      <w:r>
        <w:rPr>
          <w:noProof/>
        </w:rPr>
      </w:r>
      <w:r>
        <w:rPr>
          <w:noProof/>
        </w:rPr>
        <w:fldChar w:fldCharType="separate"/>
      </w:r>
      <w:r w:rsidR="005B4275">
        <w:rPr>
          <w:noProof/>
        </w:rPr>
        <w:t>121</w:t>
      </w:r>
      <w:r>
        <w:rPr>
          <w:noProof/>
        </w:rPr>
        <w:fldChar w:fldCharType="end"/>
      </w:r>
    </w:p>
    <w:p w14:paraId="7335602E" w14:textId="76970173"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13. </w:t>
      </w:r>
      <w:r w:rsidRPr="00DA45A8">
        <w:rPr>
          <w:rFonts w:cstheme="minorHAnsi"/>
          <w:noProof/>
          <w:snapToGrid/>
        </w:rPr>
        <w:t>Percent of stream miles with suboptimal habitat disturbance</w:t>
      </w:r>
      <w:r>
        <w:rPr>
          <w:noProof/>
        </w:rPr>
        <w:tab/>
      </w:r>
      <w:r>
        <w:rPr>
          <w:noProof/>
        </w:rPr>
        <w:fldChar w:fldCharType="begin"/>
      </w:r>
      <w:r>
        <w:rPr>
          <w:noProof/>
        </w:rPr>
        <w:instrText xml:space="preserve"> PAGEREF _Toc164175099 \h </w:instrText>
      </w:r>
      <w:r>
        <w:rPr>
          <w:noProof/>
        </w:rPr>
      </w:r>
      <w:r>
        <w:rPr>
          <w:noProof/>
        </w:rPr>
        <w:fldChar w:fldCharType="separate"/>
      </w:r>
      <w:r w:rsidR="005B4275">
        <w:rPr>
          <w:noProof/>
        </w:rPr>
        <w:t>122</w:t>
      </w:r>
      <w:r>
        <w:rPr>
          <w:noProof/>
        </w:rPr>
        <w:fldChar w:fldCharType="end"/>
      </w:r>
    </w:p>
    <w:p w14:paraId="61B7C91C" w14:textId="48E94AC1"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14. Estimate of Virginia streambed sedimentation conditions streams and rivers</w:t>
      </w:r>
      <w:r>
        <w:rPr>
          <w:noProof/>
        </w:rPr>
        <w:tab/>
      </w:r>
      <w:r>
        <w:rPr>
          <w:noProof/>
        </w:rPr>
        <w:fldChar w:fldCharType="begin"/>
      </w:r>
      <w:r>
        <w:rPr>
          <w:noProof/>
        </w:rPr>
        <w:instrText xml:space="preserve"> PAGEREF _Toc164175100 \h </w:instrText>
      </w:r>
      <w:r>
        <w:rPr>
          <w:noProof/>
        </w:rPr>
      </w:r>
      <w:r>
        <w:rPr>
          <w:noProof/>
        </w:rPr>
        <w:fldChar w:fldCharType="separate"/>
      </w:r>
      <w:r w:rsidR="005B4275">
        <w:rPr>
          <w:noProof/>
        </w:rPr>
        <w:t>123</w:t>
      </w:r>
      <w:r>
        <w:rPr>
          <w:noProof/>
        </w:rPr>
        <w:fldChar w:fldCharType="end"/>
      </w:r>
    </w:p>
    <w:p w14:paraId="62AB0F83" w14:textId="60180E67"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15. Percent of stream miles with suboptimal streambed sedimentation</w:t>
      </w:r>
      <w:r>
        <w:rPr>
          <w:noProof/>
        </w:rPr>
        <w:tab/>
      </w:r>
      <w:r>
        <w:rPr>
          <w:noProof/>
        </w:rPr>
        <w:fldChar w:fldCharType="begin"/>
      </w:r>
      <w:r>
        <w:rPr>
          <w:noProof/>
        </w:rPr>
        <w:instrText xml:space="preserve"> PAGEREF _Toc164175101 \h </w:instrText>
      </w:r>
      <w:r>
        <w:rPr>
          <w:noProof/>
        </w:rPr>
      </w:r>
      <w:r>
        <w:rPr>
          <w:noProof/>
        </w:rPr>
        <w:fldChar w:fldCharType="separate"/>
      </w:r>
      <w:r w:rsidR="005B4275">
        <w:rPr>
          <w:noProof/>
        </w:rPr>
        <w:t>124</w:t>
      </w:r>
      <w:r>
        <w:rPr>
          <w:noProof/>
        </w:rPr>
        <w:fldChar w:fldCharType="end"/>
      </w:r>
    </w:p>
    <w:p w14:paraId="577EF459" w14:textId="503B03D4"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16. </w:t>
      </w:r>
      <w:r w:rsidRPr="00DA45A8">
        <w:rPr>
          <w:rFonts w:cstheme="minorHAnsi"/>
          <w:noProof/>
          <w:snapToGrid/>
        </w:rPr>
        <w:t>Estimate of total phosphorus condition in Virginia streams and rivers</w:t>
      </w:r>
      <w:r>
        <w:rPr>
          <w:noProof/>
        </w:rPr>
        <w:tab/>
      </w:r>
      <w:r>
        <w:rPr>
          <w:noProof/>
        </w:rPr>
        <w:fldChar w:fldCharType="begin"/>
      </w:r>
      <w:r>
        <w:rPr>
          <w:noProof/>
        </w:rPr>
        <w:instrText xml:space="preserve"> PAGEREF _Toc164175102 \h </w:instrText>
      </w:r>
      <w:r>
        <w:rPr>
          <w:noProof/>
        </w:rPr>
      </w:r>
      <w:r>
        <w:rPr>
          <w:noProof/>
        </w:rPr>
        <w:fldChar w:fldCharType="separate"/>
      </w:r>
      <w:r w:rsidR="005B4275">
        <w:rPr>
          <w:noProof/>
        </w:rPr>
        <w:t>125</w:t>
      </w:r>
      <w:r>
        <w:rPr>
          <w:noProof/>
        </w:rPr>
        <w:fldChar w:fldCharType="end"/>
      </w:r>
    </w:p>
    <w:p w14:paraId="3C70D96B" w14:textId="64A01888"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17. </w:t>
      </w:r>
      <w:r w:rsidRPr="00DA45A8">
        <w:rPr>
          <w:rFonts w:cstheme="minorHAnsi"/>
          <w:noProof/>
          <w:snapToGrid/>
        </w:rPr>
        <w:t>Estimate of total nitrogen condition in Virginia streams and rivers</w:t>
      </w:r>
      <w:r>
        <w:rPr>
          <w:noProof/>
        </w:rPr>
        <w:tab/>
      </w:r>
      <w:r>
        <w:rPr>
          <w:noProof/>
        </w:rPr>
        <w:fldChar w:fldCharType="begin"/>
      </w:r>
      <w:r>
        <w:rPr>
          <w:noProof/>
        </w:rPr>
        <w:instrText xml:space="preserve"> PAGEREF _Toc164175103 \h </w:instrText>
      </w:r>
      <w:r>
        <w:rPr>
          <w:noProof/>
        </w:rPr>
      </w:r>
      <w:r>
        <w:rPr>
          <w:noProof/>
        </w:rPr>
        <w:fldChar w:fldCharType="separate"/>
      </w:r>
      <w:r w:rsidR="005B4275">
        <w:rPr>
          <w:noProof/>
        </w:rPr>
        <w:t>125</w:t>
      </w:r>
      <w:r>
        <w:rPr>
          <w:noProof/>
        </w:rPr>
        <w:fldChar w:fldCharType="end"/>
      </w:r>
    </w:p>
    <w:p w14:paraId="5051A49A" w14:textId="053DC80D"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18. </w:t>
      </w:r>
      <w:r w:rsidRPr="00DA45A8">
        <w:rPr>
          <w:rFonts w:cstheme="minorHAnsi"/>
          <w:noProof/>
          <w:snapToGrid/>
        </w:rPr>
        <w:t>Percent of stream miles with suboptimal total phosphorus</w:t>
      </w:r>
      <w:r>
        <w:rPr>
          <w:noProof/>
        </w:rPr>
        <w:tab/>
      </w:r>
      <w:r>
        <w:rPr>
          <w:noProof/>
        </w:rPr>
        <w:fldChar w:fldCharType="begin"/>
      </w:r>
      <w:r>
        <w:rPr>
          <w:noProof/>
        </w:rPr>
        <w:instrText xml:space="preserve"> PAGEREF _Toc164175104 \h </w:instrText>
      </w:r>
      <w:r>
        <w:rPr>
          <w:noProof/>
        </w:rPr>
      </w:r>
      <w:r>
        <w:rPr>
          <w:noProof/>
        </w:rPr>
        <w:fldChar w:fldCharType="separate"/>
      </w:r>
      <w:r w:rsidR="005B4275">
        <w:rPr>
          <w:noProof/>
        </w:rPr>
        <w:t>126</w:t>
      </w:r>
      <w:r>
        <w:rPr>
          <w:noProof/>
        </w:rPr>
        <w:fldChar w:fldCharType="end"/>
      </w:r>
    </w:p>
    <w:p w14:paraId="672493C4" w14:textId="0D20D89E"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19. </w:t>
      </w:r>
      <w:r w:rsidRPr="00DA45A8">
        <w:rPr>
          <w:rFonts w:cstheme="minorHAnsi"/>
          <w:noProof/>
          <w:snapToGrid/>
        </w:rPr>
        <w:t>Percent of stream miles with suboptimal total nitrogen</w:t>
      </w:r>
      <w:r>
        <w:rPr>
          <w:noProof/>
        </w:rPr>
        <w:tab/>
      </w:r>
      <w:r>
        <w:rPr>
          <w:noProof/>
        </w:rPr>
        <w:fldChar w:fldCharType="begin"/>
      </w:r>
      <w:r>
        <w:rPr>
          <w:noProof/>
        </w:rPr>
        <w:instrText xml:space="preserve"> PAGEREF _Toc164175105 \h </w:instrText>
      </w:r>
      <w:r>
        <w:rPr>
          <w:noProof/>
        </w:rPr>
      </w:r>
      <w:r>
        <w:rPr>
          <w:noProof/>
        </w:rPr>
        <w:fldChar w:fldCharType="separate"/>
      </w:r>
      <w:r w:rsidR="005B4275">
        <w:rPr>
          <w:noProof/>
        </w:rPr>
        <w:t>127</w:t>
      </w:r>
      <w:r>
        <w:rPr>
          <w:noProof/>
        </w:rPr>
        <w:fldChar w:fldCharType="end"/>
      </w:r>
    </w:p>
    <w:p w14:paraId="0145AEA8" w14:textId="15A18722"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20. </w:t>
      </w:r>
      <w:r w:rsidRPr="00DA45A8">
        <w:rPr>
          <w:rFonts w:cstheme="minorHAnsi"/>
          <w:noProof/>
          <w:snapToGrid/>
        </w:rPr>
        <w:t>Estimate of ionic strength condition as measured by TDS</w:t>
      </w:r>
      <w:r>
        <w:rPr>
          <w:noProof/>
        </w:rPr>
        <w:tab/>
      </w:r>
      <w:r>
        <w:rPr>
          <w:noProof/>
        </w:rPr>
        <w:fldChar w:fldCharType="begin"/>
      </w:r>
      <w:r>
        <w:rPr>
          <w:noProof/>
        </w:rPr>
        <w:instrText xml:space="preserve"> PAGEREF _Toc164175106 \h </w:instrText>
      </w:r>
      <w:r>
        <w:rPr>
          <w:noProof/>
        </w:rPr>
      </w:r>
      <w:r>
        <w:rPr>
          <w:noProof/>
        </w:rPr>
        <w:fldChar w:fldCharType="separate"/>
      </w:r>
      <w:r w:rsidR="005B4275">
        <w:rPr>
          <w:noProof/>
        </w:rPr>
        <w:t>128</w:t>
      </w:r>
      <w:r>
        <w:rPr>
          <w:noProof/>
        </w:rPr>
        <w:fldChar w:fldCharType="end"/>
      </w:r>
    </w:p>
    <w:p w14:paraId="694A1E72" w14:textId="0CD2B734"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21. </w:t>
      </w:r>
      <w:r w:rsidRPr="00DA45A8">
        <w:rPr>
          <w:rFonts w:cstheme="minorHAnsi"/>
          <w:noProof/>
          <w:snapToGrid/>
        </w:rPr>
        <w:t>Percent of stream miles with suboptimal ionic strength as measured by TDS</w:t>
      </w:r>
      <w:r>
        <w:rPr>
          <w:noProof/>
        </w:rPr>
        <w:tab/>
      </w:r>
      <w:r>
        <w:rPr>
          <w:noProof/>
        </w:rPr>
        <w:fldChar w:fldCharType="begin"/>
      </w:r>
      <w:r>
        <w:rPr>
          <w:noProof/>
        </w:rPr>
        <w:instrText xml:space="preserve"> PAGEREF _Toc164175107 \h </w:instrText>
      </w:r>
      <w:r>
        <w:rPr>
          <w:noProof/>
        </w:rPr>
      </w:r>
      <w:r>
        <w:rPr>
          <w:noProof/>
        </w:rPr>
        <w:fldChar w:fldCharType="separate"/>
      </w:r>
      <w:r w:rsidR="005B4275">
        <w:rPr>
          <w:noProof/>
        </w:rPr>
        <w:t>129</w:t>
      </w:r>
      <w:r>
        <w:rPr>
          <w:noProof/>
        </w:rPr>
        <w:fldChar w:fldCharType="end"/>
      </w:r>
    </w:p>
    <w:p w14:paraId="5B7EFD31" w14:textId="2AAD3BB7"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22. </w:t>
      </w:r>
      <w:r w:rsidRPr="00DA45A8">
        <w:rPr>
          <w:rFonts w:cstheme="minorHAnsi"/>
          <w:noProof/>
          <w:snapToGrid/>
        </w:rPr>
        <w:t>Estimate of CCU Metals Index in Virginia streams and rivers</w:t>
      </w:r>
      <w:r>
        <w:rPr>
          <w:noProof/>
        </w:rPr>
        <w:tab/>
      </w:r>
      <w:r>
        <w:rPr>
          <w:noProof/>
        </w:rPr>
        <w:fldChar w:fldCharType="begin"/>
      </w:r>
      <w:r>
        <w:rPr>
          <w:noProof/>
        </w:rPr>
        <w:instrText xml:space="preserve"> PAGEREF _Toc164175108 \h </w:instrText>
      </w:r>
      <w:r>
        <w:rPr>
          <w:noProof/>
        </w:rPr>
      </w:r>
      <w:r>
        <w:rPr>
          <w:noProof/>
        </w:rPr>
        <w:fldChar w:fldCharType="separate"/>
      </w:r>
      <w:r w:rsidR="005B4275">
        <w:rPr>
          <w:noProof/>
        </w:rPr>
        <w:t>130</w:t>
      </w:r>
      <w:r>
        <w:rPr>
          <w:noProof/>
        </w:rPr>
        <w:fldChar w:fldCharType="end"/>
      </w:r>
    </w:p>
    <w:p w14:paraId="31C416D2" w14:textId="5BBFBE58"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23. </w:t>
      </w:r>
      <w:r w:rsidRPr="00DA45A8">
        <w:rPr>
          <w:rFonts w:cstheme="minorHAnsi"/>
          <w:noProof/>
          <w:snapToGrid/>
        </w:rPr>
        <w:t>Percent of stream miles with suboptimal cumulative dissolved metals</w:t>
      </w:r>
      <w:r>
        <w:rPr>
          <w:noProof/>
        </w:rPr>
        <w:tab/>
      </w:r>
      <w:r>
        <w:rPr>
          <w:noProof/>
        </w:rPr>
        <w:fldChar w:fldCharType="begin"/>
      </w:r>
      <w:r>
        <w:rPr>
          <w:noProof/>
        </w:rPr>
        <w:instrText xml:space="preserve"> PAGEREF _Toc164175109 \h </w:instrText>
      </w:r>
      <w:r>
        <w:rPr>
          <w:noProof/>
        </w:rPr>
      </w:r>
      <w:r>
        <w:rPr>
          <w:noProof/>
        </w:rPr>
        <w:fldChar w:fldCharType="separate"/>
      </w:r>
      <w:r w:rsidR="005B4275">
        <w:rPr>
          <w:noProof/>
        </w:rPr>
        <w:t>131</w:t>
      </w:r>
      <w:r>
        <w:rPr>
          <w:noProof/>
        </w:rPr>
        <w:fldChar w:fldCharType="end"/>
      </w:r>
    </w:p>
    <w:p w14:paraId="4AAC3DD8" w14:textId="2C8CC114"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24. </w:t>
      </w:r>
      <w:r w:rsidRPr="00DA45A8">
        <w:rPr>
          <w:rFonts w:cstheme="minorHAnsi"/>
          <w:noProof/>
          <w:snapToGrid/>
        </w:rPr>
        <w:t>Basin rank by parameters without water quality standards and VSCI/VCPMI</w:t>
      </w:r>
      <w:r>
        <w:rPr>
          <w:noProof/>
        </w:rPr>
        <w:tab/>
      </w:r>
      <w:r>
        <w:rPr>
          <w:noProof/>
        </w:rPr>
        <w:fldChar w:fldCharType="begin"/>
      </w:r>
      <w:r>
        <w:rPr>
          <w:noProof/>
        </w:rPr>
        <w:instrText xml:space="preserve"> PAGEREF _Toc164175110 \h </w:instrText>
      </w:r>
      <w:r>
        <w:rPr>
          <w:noProof/>
        </w:rPr>
      </w:r>
      <w:r>
        <w:rPr>
          <w:noProof/>
        </w:rPr>
        <w:fldChar w:fldCharType="separate"/>
      </w:r>
      <w:r w:rsidR="005B4275">
        <w:rPr>
          <w:noProof/>
        </w:rPr>
        <w:t>132</w:t>
      </w:r>
      <w:r>
        <w:rPr>
          <w:noProof/>
        </w:rPr>
        <w:fldChar w:fldCharType="end"/>
      </w:r>
    </w:p>
    <w:p w14:paraId="4CCD7337" w14:textId="2C37906F"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 xml:space="preserve">25. </w:t>
      </w:r>
      <w:r w:rsidRPr="00DA45A8">
        <w:rPr>
          <w:rFonts w:cstheme="minorHAnsi"/>
          <w:noProof/>
          <w:snapToGrid/>
        </w:rPr>
        <w:t>Relative Risk for major benthic macroinvertebrate stressors</w:t>
      </w:r>
      <w:r>
        <w:rPr>
          <w:noProof/>
        </w:rPr>
        <w:tab/>
      </w:r>
      <w:r>
        <w:rPr>
          <w:noProof/>
        </w:rPr>
        <w:fldChar w:fldCharType="begin"/>
      </w:r>
      <w:r>
        <w:rPr>
          <w:noProof/>
        </w:rPr>
        <w:instrText xml:space="preserve"> PAGEREF _Toc164175111 \h </w:instrText>
      </w:r>
      <w:r>
        <w:rPr>
          <w:noProof/>
        </w:rPr>
      </w:r>
      <w:r>
        <w:rPr>
          <w:noProof/>
        </w:rPr>
        <w:fldChar w:fldCharType="separate"/>
      </w:r>
      <w:r w:rsidR="005B4275">
        <w:rPr>
          <w:noProof/>
        </w:rPr>
        <w:t>133</w:t>
      </w:r>
      <w:r>
        <w:rPr>
          <w:noProof/>
        </w:rPr>
        <w:fldChar w:fldCharType="end"/>
      </w:r>
    </w:p>
    <w:p w14:paraId="00C9E677" w14:textId="7EA06147"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26.</w:t>
      </w:r>
      <w:r w:rsidRPr="00DA45A8">
        <w:rPr>
          <w:rFonts w:cstheme="minorHAnsi"/>
          <w:noProof/>
          <w:snapToGrid/>
        </w:rPr>
        <w:t xml:space="preserve"> Stressor extent for major benthic macroinvertebrate stressors</w:t>
      </w:r>
      <w:r>
        <w:rPr>
          <w:noProof/>
        </w:rPr>
        <w:tab/>
      </w:r>
      <w:r>
        <w:rPr>
          <w:noProof/>
        </w:rPr>
        <w:fldChar w:fldCharType="begin"/>
      </w:r>
      <w:r>
        <w:rPr>
          <w:noProof/>
        </w:rPr>
        <w:instrText xml:space="preserve"> PAGEREF _Toc164175112 \h </w:instrText>
      </w:r>
      <w:r>
        <w:rPr>
          <w:noProof/>
        </w:rPr>
      </w:r>
      <w:r>
        <w:rPr>
          <w:noProof/>
        </w:rPr>
        <w:fldChar w:fldCharType="separate"/>
      </w:r>
      <w:r w:rsidR="005B4275">
        <w:rPr>
          <w:noProof/>
        </w:rPr>
        <w:t>134</w:t>
      </w:r>
      <w:r>
        <w:rPr>
          <w:noProof/>
        </w:rPr>
        <w:fldChar w:fldCharType="end"/>
      </w:r>
    </w:p>
    <w:p w14:paraId="5C9B22C5" w14:textId="24AA493C"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4.4</w:t>
      </w:r>
      <w:r>
        <w:rPr>
          <w:noProof/>
        </w:rPr>
        <w:noBreakHyphen/>
        <w:t>27. Stressor extent for major benthic macroinvertebrate stressors</w:t>
      </w:r>
      <w:r>
        <w:rPr>
          <w:noProof/>
        </w:rPr>
        <w:tab/>
      </w:r>
      <w:r>
        <w:rPr>
          <w:noProof/>
        </w:rPr>
        <w:fldChar w:fldCharType="begin"/>
      </w:r>
      <w:r>
        <w:rPr>
          <w:noProof/>
        </w:rPr>
        <w:instrText xml:space="preserve"> PAGEREF _Toc164175113 \h </w:instrText>
      </w:r>
      <w:r>
        <w:rPr>
          <w:noProof/>
        </w:rPr>
      </w:r>
      <w:r>
        <w:rPr>
          <w:noProof/>
        </w:rPr>
        <w:fldChar w:fldCharType="separate"/>
      </w:r>
      <w:r w:rsidR="005B4275">
        <w:rPr>
          <w:noProof/>
        </w:rPr>
        <w:t>135</w:t>
      </w:r>
      <w:r>
        <w:rPr>
          <w:noProof/>
        </w:rPr>
        <w:fldChar w:fldCharType="end"/>
      </w:r>
    </w:p>
    <w:p w14:paraId="4691BA9B" w14:textId="2574AEF8"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4.5</w:t>
      </w:r>
      <w:r>
        <w:rPr>
          <w:noProof/>
        </w:rPr>
        <w:noBreakHyphen/>
        <w:t>1. Map of DEQ Estuarine Probabilistic Monitoring sites for the 2024 IR</w:t>
      </w:r>
      <w:r>
        <w:rPr>
          <w:noProof/>
        </w:rPr>
        <w:tab/>
      </w:r>
      <w:r>
        <w:rPr>
          <w:noProof/>
        </w:rPr>
        <w:fldChar w:fldCharType="begin"/>
      </w:r>
      <w:r>
        <w:rPr>
          <w:noProof/>
        </w:rPr>
        <w:instrText xml:space="preserve"> PAGEREF _Toc164175114 \h </w:instrText>
      </w:r>
      <w:r>
        <w:rPr>
          <w:noProof/>
        </w:rPr>
      </w:r>
      <w:r>
        <w:rPr>
          <w:noProof/>
        </w:rPr>
        <w:fldChar w:fldCharType="separate"/>
      </w:r>
      <w:r w:rsidR="005B4275">
        <w:rPr>
          <w:noProof/>
        </w:rPr>
        <w:t>137</w:t>
      </w:r>
      <w:r>
        <w:rPr>
          <w:noProof/>
        </w:rPr>
        <w:fldChar w:fldCharType="end"/>
      </w:r>
    </w:p>
    <w:p w14:paraId="5FB0A5D9" w14:textId="47A3FA36"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sidRPr="00DA45A8">
        <w:rPr>
          <w:rFonts w:cstheme="minorHAnsi"/>
          <w:noProof/>
        </w:rPr>
        <w:t>Figure 4.6</w:t>
      </w:r>
      <w:r w:rsidRPr="00DA45A8">
        <w:rPr>
          <w:rFonts w:cstheme="minorHAnsi"/>
          <w:noProof/>
        </w:rPr>
        <w:noBreakHyphen/>
        <w:t>1. Chesapeake Bay dissolved oxygen and water clarity assessment segmentation.</w:t>
      </w:r>
      <w:r>
        <w:rPr>
          <w:noProof/>
        </w:rPr>
        <w:tab/>
      </w:r>
      <w:r>
        <w:rPr>
          <w:noProof/>
        </w:rPr>
        <w:fldChar w:fldCharType="begin"/>
      </w:r>
      <w:r>
        <w:rPr>
          <w:noProof/>
        </w:rPr>
        <w:instrText xml:space="preserve"> PAGEREF _Toc164175115 \h </w:instrText>
      </w:r>
      <w:r>
        <w:rPr>
          <w:noProof/>
        </w:rPr>
      </w:r>
      <w:r>
        <w:rPr>
          <w:noProof/>
        </w:rPr>
        <w:fldChar w:fldCharType="separate"/>
      </w:r>
      <w:r w:rsidR="005B4275">
        <w:rPr>
          <w:noProof/>
        </w:rPr>
        <w:t>167</w:t>
      </w:r>
      <w:r>
        <w:rPr>
          <w:noProof/>
        </w:rPr>
        <w:fldChar w:fldCharType="end"/>
      </w:r>
    </w:p>
    <w:p w14:paraId="16D751FF" w14:textId="64388102"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4.6</w:t>
      </w:r>
      <w:r>
        <w:rPr>
          <w:noProof/>
        </w:rPr>
        <w:noBreakHyphen/>
        <w:t>2. Impairment status of the bay aquatic life use</w:t>
      </w:r>
      <w:r>
        <w:rPr>
          <w:noProof/>
        </w:rPr>
        <w:tab/>
      </w:r>
      <w:r>
        <w:rPr>
          <w:noProof/>
        </w:rPr>
        <w:fldChar w:fldCharType="begin"/>
      </w:r>
      <w:r>
        <w:rPr>
          <w:noProof/>
        </w:rPr>
        <w:instrText xml:space="preserve"> PAGEREF _Toc164175116 \h </w:instrText>
      </w:r>
      <w:r>
        <w:rPr>
          <w:noProof/>
        </w:rPr>
      </w:r>
      <w:r>
        <w:rPr>
          <w:noProof/>
        </w:rPr>
        <w:fldChar w:fldCharType="separate"/>
      </w:r>
      <w:r w:rsidR="005B4275">
        <w:rPr>
          <w:noProof/>
        </w:rPr>
        <w:t>169</w:t>
      </w:r>
      <w:r>
        <w:rPr>
          <w:noProof/>
        </w:rPr>
        <w:fldChar w:fldCharType="end"/>
      </w:r>
    </w:p>
    <w:p w14:paraId="5D716725" w14:textId="0C637E1B"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4.6</w:t>
      </w:r>
      <w:r>
        <w:rPr>
          <w:noProof/>
        </w:rPr>
        <w:noBreakHyphen/>
        <w:t>3. Attainment of the Migratory Fish Spawning and Nursery designated use</w:t>
      </w:r>
      <w:r>
        <w:rPr>
          <w:noProof/>
        </w:rPr>
        <w:tab/>
      </w:r>
      <w:r>
        <w:rPr>
          <w:noProof/>
        </w:rPr>
        <w:fldChar w:fldCharType="begin"/>
      </w:r>
      <w:r>
        <w:rPr>
          <w:noProof/>
        </w:rPr>
        <w:instrText xml:space="preserve"> PAGEREF _Toc164175117 \h </w:instrText>
      </w:r>
      <w:r>
        <w:rPr>
          <w:noProof/>
        </w:rPr>
      </w:r>
      <w:r>
        <w:rPr>
          <w:noProof/>
        </w:rPr>
        <w:fldChar w:fldCharType="separate"/>
      </w:r>
      <w:r w:rsidR="005B4275">
        <w:rPr>
          <w:noProof/>
        </w:rPr>
        <w:t>171</w:t>
      </w:r>
      <w:r>
        <w:rPr>
          <w:noProof/>
        </w:rPr>
        <w:fldChar w:fldCharType="end"/>
      </w:r>
    </w:p>
    <w:p w14:paraId="628EE988" w14:textId="1CF5CFD5"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4.6</w:t>
      </w:r>
      <w:r>
        <w:rPr>
          <w:noProof/>
        </w:rPr>
        <w:noBreakHyphen/>
        <w:t>4. Attainment of the Open-Water designated use (dissolved oxygen criteria).</w:t>
      </w:r>
      <w:r>
        <w:rPr>
          <w:noProof/>
        </w:rPr>
        <w:tab/>
      </w:r>
      <w:r>
        <w:rPr>
          <w:noProof/>
        </w:rPr>
        <w:fldChar w:fldCharType="begin"/>
      </w:r>
      <w:r>
        <w:rPr>
          <w:noProof/>
        </w:rPr>
        <w:instrText xml:space="preserve"> PAGEREF _Toc164175118 \h </w:instrText>
      </w:r>
      <w:r>
        <w:rPr>
          <w:noProof/>
        </w:rPr>
      </w:r>
      <w:r>
        <w:rPr>
          <w:noProof/>
        </w:rPr>
        <w:fldChar w:fldCharType="separate"/>
      </w:r>
      <w:r w:rsidR="005B4275">
        <w:rPr>
          <w:noProof/>
        </w:rPr>
        <w:t>173</w:t>
      </w:r>
      <w:r>
        <w:rPr>
          <w:noProof/>
        </w:rPr>
        <w:fldChar w:fldCharType="end"/>
      </w:r>
    </w:p>
    <w:p w14:paraId="1FA1E03F" w14:textId="42C9034C"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4.6</w:t>
      </w:r>
      <w:r>
        <w:rPr>
          <w:noProof/>
        </w:rPr>
        <w:noBreakHyphen/>
        <w:t>5. Attainment of the Open-Water designated use (chlorophyll criteria)</w:t>
      </w:r>
      <w:r>
        <w:rPr>
          <w:noProof/>
        </w:rPr>
        <w:tab/>
      </w:r>
      <w:r>
        <w:rPr>
          <w:noProof/>
        </w:rPr>
        <w:fldChar w:fldCharType="begin"/>
      </w:r>
      <w:r>
        <w:rPr>
          <w:noProof/>
        </w:rPr>
        <w:instrText xml:space="preserve"> PAGEREF _Toc164175119 \h </w:instrText>
      </w:r>
      <w:r>
        <w:rPr>
          <w:noProof/>
        </w:rPr>
      </w:r>
      <w:r>
        <w:rPr>
          <w:noProof/>
        </w:rPr>
        <w:fldChar w:fldCharType="separate"/>
      </w:r>
      <w:r w:rsidR="005B4275">
        <w:rPr>
          <w:noProof/>
        </w:rPr>
        <w:t>174</w:t>
      </w:r>
      <w:r>
        <w:rPr>
          <w:noProof/>
        </w:rPr>
        <w:fldChar w:fldCharType="end"/>
      </w:r>
    </w:p>
    <w:p w14:paraId="2024A290" w14:textId="216EC128"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4.6</w:t>
      </w:r>
      <w:r>
        <w:rPr>
          <w:noProof/>
        </w:rPr>
        <w:noBreakHyphen/>
        <w:t>6. Attainment of the Deep-Water and Deep-Channel designated use</w:t>
      </w:r>
      <w:r>
        <w:rPr>
          <w:noProof/>
        </w:rPr>
        <w:tab/>
      </w:r>
      <w:r>
        <w:rPr>
          <w:noProof/>
        </w:rPr>
        <w:fldChar w:fldCharType="begin"/>
      </w:r>
      <w:r>
        <w:rPr>
          <w:noProof/>
        </w:rPr>
        <w:instrText xml:space="preserve"> PAGEREF _Toc164175120 \h </w:instrText>
      </w:r>
      <w:r>
        <w:rPr>
          <w:noProof/>
        </w:rPr>
      </w:r>
      <w:r>
        <w:rPr>
          <w:noProof/>
        </w:rPr>
        <w:fldChar w:fldCharType="separate"/>
      </w:r>
      <w:r w:rsidR="005B4275">
        <w:rPr>
          <w:noProof/>
        </w:rPr>
        <w:t>176</w:t>
      </w:r>
      <w:r>
        <w:rPr>
          <w:noProof/>
        </w:rPr>
        <w:fldChar w:fldCharType="end"/>
      </w:r>
    </w:p>
    <w:p w14:paraId="387D2157" w14:textId="3D513365"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4.6</w:t>
      </w:r>
      <w:r>
        <w:rPr>
          <w:noProof/>
        </w:rPr>
        <w:noBreakHyphen/>
        <w:t>7. Attainment of the Shallow-Water SAV designated use</w:t>
      </w:r>
      <w:r>
        <w:rPr>
          <w:noProof/>
        </w:rPr>
        <w:tab/>
      </w:r>
      <w:r>
        <w:rPr>
          <w:noProof/>
        </w:rPr>
        <w:fldChar w:fldCharType="begin"/>
      </w:r>
      <w:r>
        <w:rPr>
          <w:noProof/>
        </w:rPr>
        <w:instrText xml:space="preserve"> PAGEREF _Toc164175121 \h </w:instrText>
      </w:r>
      <w:r>
        <w:rPr>
          <w:noProof/>
        </w:rPr>
      </w:r>
      <w:r>
        <w:rPr>
          <w:noProof/>
        </w:rPr>
        <w:fldChar w:fldCharType="separate"/>
      </w:r>
      <w:r w:rsidR="005B4275">
        <w:rPr>
          <w:noProof/>
        </w:rPr>
        <w:t>178</w:t>
      </w:r>
      <w:r>
        <w:rPr>
          <w:noProof/>
        </w:rPr>
        <w:fldChar w:fldCharType="end"/>
      </w:r>
    </w:p>
    <w:p w14:paraId="3374D4D5" w14:textId="407D85AE"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4.6</w:t>
      </w:r>
      <w:r>
        <w:rPr>
          <w:noProof/>
        </w:rPr>
        <w:noBreakHyphen/>
        <w:t>8. Estuarine Benthic Biological Assessment.</w:t>
      </w:r>
      <w:r>
        <w:rPr>
          <w:noProof/>
        </w:rPr>
        <w:tab/>
      </w:r>
      <w:r>
        <w:rPr>
          <w:noProof/>
        </w:rPr>
        <w:fldChar w:fldCharType="begin"/>
      </w:r>
      <w:r>
        <w:rPr>
          <w:noProof/>
        </w:rPr>
        <w:instrText xml:space="preserve"> PAGEREF _Toc164175122 \h </w:instrText>
      </w:r>
      <w:r>
        <w:rPr>
          <w:noProof/>
        </w:rPr>
      </w:r>
      <w:r>
        <w:rPr>
          <w:noProof/>
        </w:rPr>
        <w:fldChar w:fldCharType="separate"/>
      </w:r>
      <w:r w:rsidR="005B4275">
        <w:rPr>
          <w:noProof/>
        </w:rPr>
        <w:t>180</w:t>
      </w:r>
      <w:r>
        <w:rPr>
          <w:noProof/>
        </w:rPr>
        <w:fldChar w:fldCharType="end"/>
      </w:r>
    </w:p>
    <w:p w14:paraId="2415BB22" w14:textId="4A0DB426"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4.6</w:t>
      </w:r>
      <w:r>
        <w:rPr>
          <w:noProof/>
        </w:rPr>
        <w:noBreakHyphen/>
        <w:t>9. Assessment categories for Bay aquatic life sub-uses</w:t>
      </w:r>
      <w:r>
        <w:rPr>
          <w:noProof/>
        </w:rPr>
        <w:tab/>
      </w:r>
      <w:r>
        <w:rPr>
          <w:noProof/>
        </w:rPr>
        <w:fldChar w:fldCharType="begin"/>
      </w:r>
      <w:r>
        <w:rPr>
          <w:noProof/>
        </w:rPr>
        <w:instrText xml:space="preserve"> PAGEREF _Toc164175123 \h </w:instrText>
      </w:r>
      <w:r>
        <w:rPr>
          <w:noProof/>
        </w:rPr>
      </w:r>
      <w:r>
        <w:rPr>
          <w:noProof/>
        </w:rPr>
        <w:fldChar w:fldCharType="separate"/>
      </w:r>
      <w:r w:rsidR="005B4275">
        <w:rPr>
          <w:noProof/>
        </w:rPr>
        <w:t>183</w:t>
      </w:r>
      <w:r>
        <w:rPr>
          <w:noProof/>
        </w:rPr>
        <w:fldChar w:fldCharType="end"/>
      </w:r>
    </w:p>
    <w:p w14:paraId="70B8D354" w14:textId="431B7CBB"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 xml:space="preserve">1. </w:t>
      </w:r>
      <w:r w:rsidRPr="00DA45A8">
        <w:rPr>
          <w:rFonts w:cstheme="minorHAnsi"/>
          <w:noProof/>
        </w:rPr>
        <w:t>Water quality monitoring stations presented by major river basin</w:t>
      </w:r>
      <w:r>
        <w:rPr>
          <w:noProof/>
        </w:rPr>
        <w:tab/>
      </w:r>
      <w:r>
        <w:rPr>
          <w:noProof/>
        </w:rPr>
        <w:fldChar w:fldCharType="begin"/>
      </w:r>
      <w:r>
        <w:rPr>
          <w:noProof/>
        </w:rPr>
        <w:instrText xml:space="preserve"> PAGEREF _Toc164175124 \h </w:instrText>
      </w:r>
      <w:r>
        <w:rPr>
          <w:noProof/>
        </w:rPr>
      </w:r>
      <w:r>
        <w:rPr>
          <w:noProof/>
        </w:rPr>
        <w:fldChar w:fldCharType="separate"/>
      </w:r>
      <w:r w:rsidR="005B4275">
        <w:rPr>
          <w:noProof/>
        </w:rPr>
        <w:t>186</w:t>
      </w:r>
      <w:r>
        <w:rPr>
          <w:noProof/>
        </w:rPr>
        <w:fldChar w:fldCharType="end"/>
      </w:r>
    </w:p>
    <w:p w14:paraId="7D901E65" w14:textId="0857E6F4"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 xml:space="preserve">2. </w:t>
      </w:r>
      <w:r w:rsidRPr="00DA45A8">
        <w:rPr>
          <w:rFonts w:cstheme="minorHAnsi"/>
          <w:noProof/>
        </w:rPr>
        <w:t>Statewide total nitrogen trends.</w:t>
      </w:r>
      <w:r>
        <w:rPr>
          <w:noProof/>
        </w:rPr>
        <w:tab/>
      </w:r>
      <w:r>
        <w:rPr>
          <w:noProof/>
        </w:rPr>
        <w:fldChar w:fldCharType="begin"/>
      </w:r>
      <w:r>
        <w:rPr>
          <w:noProof/>
        </w:rPr>
        <w:instrText xml:space="preserve"> PAGEREF _Toc164175125 \h </w:instrText>
      </w:r>
      <w:r>
        <w:rPr>
          <w:noProof/>
        </w:rPr>
      </w:r>
      <w:r>
        <w:rPr>
          <w:noProof/>
        </w:rPr>
        <w:fldChar w:fldCharType="separate"/>
      </w:r>
      <w:r w:rsidR="005B4275">
        <w:rPr>
          <w:noProof/>
        </w:rPr>
        <w:t>192</w:t>
      </w:r>
      <w:r>
        <w:rPr>
          <w:noProof/>
        </w:rPr>
        <w:fldChar w:fldCharType="end"/>
      </w:r>
    </w:p>
    <w:p w14:paraId="1CEB03A7" w14:textId="5579763F"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 xml:space="preserve">3. </w:t>
      </w:r>
      <w:r w:rsidRPr="00DA45A8">
        <w:rPr>
          <w:rFonts w:cstheme="minorHAnsi"/>
          <w:noProof/>
        </w:rPr>
        <w:t xml:space="preserve">Statewide Chlorophyll </w:t>
      </w:r>
      <w:r w:rsidRPr="00DA45A8">
        <w:rPr>
          <w:rFonts w:cstheme="minorHAnsi"/>
          <w:i/>
          <w:noProof/>
        </w:rPr>
        <w:t>a</w:t>
      </w:r>
      <w:r w:rsidRPr="00DA45A8">
        <w:rPr>
          <w:rFonts w:cstheme="minorHAnsi"/>
          <w:noProof/>
        </w:rPr>
        <w:t xml:space="preserve"> trends.</w:t>
      </w:r>
      <w:r>
        <w:rPr>
          <w:noProof/>
        </w:rPr>
        <w:tab/>
      </w:r>
      <w:r>
        <w:rPr>
          <w:noProof/>
        </w:rPr>
        <w:fldChar w:fldCharType="begin"/>
      </w:r>
      <w:r>
        <w:rPr>
          <w:noProof/>
        </w:rPr>
        <w:instrText xml:space="preserve"> PAGEREF _Toc164175126 \h </w:instrText>
      </w:r>
      <w:r>
        <w:rPr>
          <w:noProof/>
        </w:rPr>
      </w:r>
      <w:r>
        <w:rPr>
          <w:noProof/>
        </w:rPr>
        <w:fldChar w:fldCharType="separate"/>
      </w:r>
      <w:r w:rsidR="005B4275">
        <w:rPr>
          <w:noProof/>
        </w:rPr>
        <w:t>195</w:t>
      </w:r>
      <w:r>
        <w:rPr>
          <w:noProof/>
        </w:rPr>
        <w:fldChar w:fldCharType="end"/>
      </w:r>
    </w:p>
    <w:p w14:paraId="7EF7D3FD" w14:textId="1396BACC"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 xml:space="preserve">4. </w:t>
      </w:r>
      <w:r w:rsidRPr="00DA45A8">
        <w:rPr>
          <w:rFonts w:cstheme="minorHAnsi"/>
          <w:noProof/>
        </w:rPr>
        <w:t>Statewide total volatile suspended solids trends.</w:t>
      </w:r>
      <w:r>
        <w:rPr>
          <w:noProof/>
        </w:rPr>
        <w:tab/>
      </w:r>
      <w:r>
        <w:rPr>
          <w:noProof/>
        </w:rPr>
        <w:fldChar w:fldCharType="begin"/>
      </w:r>
      <w:r>
        <w:rPr>
          <w:noProof/>
        </w:rPr>
        <w:instrText xml:space="preserve"> PAGEREF _Toc164175127 \h </w:instrText>
      </w:r>
      <w:r>
        <w:rPr>
          <w:noProof/>
        </w:rPr>
      </w:r>
      <w:r>
        <w:rPr>
          <w:noProof/>
        </w:rPr>
        <w:fldChar w:fldCharType="separate"/>
      </w:r>
      <w:r w:rsidR="005B4275">
        <w:rPr>
          <w:noProof/>
        </w:rPr>
        <w:t>196</w:t>
      </w:r>
      <w:r>
        <w:rPr>
          <w:noProof/>
        </w:rPr>
        <w:fldChar w:fldCharType="end"/>
      </w:r>
    </w:p>
    <w:p w14:paraId="048C8534" w14:textId="565B94CC"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 xml:space="preserve">5. </w:t>
      </w:r>
      <w:r w:rsidRPr="00DA45A8">
        <w:rPr>
          <w:rFonts w:cstheme="minorHAnsi"/>
          <w:noProof/>
        </w:rPr>
        <w:t>Statewide total suspended solids trends.</w:t>
      </w:r>
      <w:r>
        <w:rPr>
          <w:noProof/>
        </w:rPr>
        <w:tab/>
      </w:r>
      <w:r>
        <w:rPr>
          <w:noProof/>
        </w:rPr>
        <w:fldChar w:fldCharType="begin"/>
      </w:r>
      <w:r>
        <w:rPr>
          <w:noProof/>
        </w:rPr>
        <w:instrText xml:space="preserve"> PAGEREF _Toc164175128 \h </w:instrText>
      </w:r>
      <w:r>
        <w:rPr>
          <w:noProof/>
        </w:rPr>
      </w:r>
      <w:r>
        <w:rPr>
          <w:noProof/>
        </w:rPr>
        <w:fldChar w:fldCharType="separate"/>
      </w:r>
      <w:r w:rsidR="005B4275">
        <w:rPr>
          <w:noProof/>
        </w:rPr>
        <w:t>199</w:t>
      </w:r>
      <w:r>
        <w:rPr>
          <w:noProof/>
        </w:rPr>
        <w:fldChar w:fldCharType="end"/>
      </w:r>
    </w:p>
    <w:p w14:paraId="1DDECBC6" w14:textId="463D1E53"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 xml:space="preserve">6. </w:t>
      </w:r>
      <w:r w:rsidRPr="00DA45A8">
        <w:rPr>
          <w:rFonts w:cstheme="minorHAnsi"/>
          <w:noProof/>
        </w:rPr>
        <w:t>Statewide total fixed suspended solids trends.</w:t>
      </w:r>
      <w:r>
        <w:rPr>
          <w:noProof/>
        </w:rPr>
        <w:tab/>
      </w:r>
      <w:r>
        <w:rPr>
          <w:noProof/>
        </w:rPr>
        <w:fldChar w:fldCharType="begin"/>
      </w:r>
      <w:r>
        <w:rPr>
          <w:noProof/>
        </w:rPr>
        <w:instrText xml:space="preserve"> PAGEREF _Toc164175129 \h </w:instrText>
      </w:r>
      <w:r>
        <w:rPr>
          <w:noProof/>
        </w:rPr>
      </w:r>
      <w:r>
        <w:rPr>
          <w:noProof/>
        </w:rPr>
        <w:fldChar w:fldCharType="separate"/>
      </w:r>
      <w:r w:rsidR="005B4275">
        <w:rPr>
          <w:noProof/>
        </w:rPr>
        <w:t>200</w:t>
      </w:r>
      <w:r>
        <w:rPr>
          <w:noProof/>
        </w:rPr>
        <w:fldChar w:fldCharType="end"/>
      </w:r>
    </w:p>
    <w:p w14:paraId="073C2108" w14:textId="590ACF96"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7.</w:t>
      </w:r>
      <w:r w:rsidRPr="00DA45A8">
        <w:rPr>
          <w:rFonts w:cstheme="minorHAnsi"/>
          <w:b/>
          <w:noProof/>
        </w:rPr>
        <w:t xml:space="preserve"> </w:t>
      </w:r>
      <w:r w:rsidRPr="00DA45A8">
        <w:rPr>
          <w:rFonts w:cstheme="minorHAnsi"/>
          <w:bCs/>
          <w:noProof/>
        </w:rPr>
        <w:t>Statewide surface water temperature trends.</w:t>
      </w:r>
      <w:r>
        <w:rPr>
          <w:noProof/>
        </w:rPr>
        <w:tab/>
      </w:r>
      <w:r>
        <w:rPr>
          <w:noProof/>
        </w:rPr>
        <w:fldChar w:fldCharType="begin"/>
      </w:r>
      <w:r>
        <w:rPr>
          <w:noProof/>
        </w:rPr>
        <w:instrText xml:space="preserve"> PAGEREF _Toc164175130 \h </w:instrText>
      </w:r>
      <w:r>
        <w:rPr>
          <w:noProof/>
        </w:rPr>
      </w:r>
      <w:r>
        <w:rPr>
          <w:noProof/>
        </w:rPr>
        <w:fldChar w:fldCharType="separate"/>
      </w:r>
      <w:r w:rsidR="005B4275">
        <w:rPr>
          <w:noProof/>
        </w:rPr>
        <w:t>202</w:t>
      </w:r>
      <w:r>
        <w:rPr>
          <w:noProof/>
        </w:rPr>
        <w:fldChar w:fldCharType="end"/>
      </w:r>
    </w:p>
    <w:p w14:paraId="28CBE8EE" w14:textId="0B6311CB"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 xml:space="preserve">8. </w:t>
      </w:r>
      <w:r w:rsidRPr="00DA45A8">
        <w:rPr>
          <w:rFonts w:cstheme="minorHAnsi"/>
          <w:bCs/>
          <w:noProof/>
        </w:rPr>
        <w:t xml:space="preserve">Statewide </w:t>
      </w:r>
      <w:r w:rsidRPr="00DA45A8">
        <w:rPr>
          <w:rFonts w:cstheme="minorHAnsi"/>
          <w:bCs/>
          <w:i/>
          <w:noProof/>
        </w:rPr>
        <w:t>Escherichia coli</w:t>
      </w:r>
      <w:r w:rsidRPr="00DA45A8">
        <w:rPr>
          <w:rFonts w:cstheme="minorHAnsi"/>
          <w:bCs/>
          <w:noProof/>
        </w:rPr>
        <w:t xml:space="preserve"> trends.</w:t>
      </w:r>
      <w:r>
        <w:rPr>
          <w:noProof/>
        </w:rPr>
        <w:tab/>
      </w:r>
      <w:r>
        <w:rPr>
          <w:noProof/>
        </w:rPr>
        <w:fldChar w:fldCharType="begin"/>
      </w:r>
      <w:r>
        <w:rPr>
          <w:noProof/>
        </w:rPr>
        <w:instrText xml:space="preserve"> PAGEREF _Toc164175131 \h </w:instrText>
      </w:r>
      <w:r>
        <w:rPr>
          <w:noProof/>
        </w:rPr>
      </w:r>
      <w:r>
        <w:rPr>
          <w:noProof/>
        </w:rPr>
        <w:fldChar w:fldCharType="separate"/>
      </w:r>
      <w:r w:rsidR="005B4275">
        <w:rPr>
          <w:noProof/>
        </w:rPr>
        <w:t>206</w:t>
      </w:r>
      <w:r>
        <w:rPr>
          <w:noProof/>
        </w:rPr>
        <w:fldChar w:fldCharType="end"/>
      </w:r>
    </w:p>
    <w:p w14:paraId="31B3AEB4" w14:textId="26CE146E"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lastRenderedPageBreak/>
        <w:t>Figure 4.7</w:t>
      </w:r>
      <w:r>
        <w:rPr>
          <w:noProof/>
        </w:rPr>
        <w:noBreakHyphen/>
        <w:t xml:space="preserve">9. </w:t>
      </w:r>
      <w:r w:rsidRPr="00DA45A8">
        <w:rPr>
          <w:rFonts w:cstheme="minorHAnsi"/>
          <w:noProof/>
        </w:rPr>
        <w:t>Statewide Enterococci trends.</w:t>
      </w:r>
      <w:r>
        <w:rPr>
          <w:noProof/>
        </w:rPr>
        <w:tab/>
      </w:r>
      <w:r>
        <w:rPr>
          <w:noProof/>
        </w:rPr>
        <w:fldChar w:fldCharType="begin"/>
      </w:r>
      <w:r>
        <w:rPr>
          <w:noProof/>
        </w:rPr>
        <w:instrText xml:space="preserve"> PAGEREF _Toc164175132 \h </w:instrText>
      </w:r>
      <w:r>
        <w:rPr>
          <w:noProof/>
        </w:rPr>
      </w:r>
      <w:r>
        <w:rPr>
          <w:noProof/>
        </w:rPr>
        <w:fldChar w:fldCharType="separate"/>
      </w:r>
      <w:r w:rsidR="005B4275">
        <w:rPr>
          <w:noProof/>
        </w:rPr>
        <w:t>207</w:t>
      </w:r>
      <w:r>
        <w:rPr>
          <w:noProof/>
        </w:rPr>
        <w:fldChar w:fldCharType="end"/>
      </w:r>
    </w:p>
    <w:p w14:paraId="55420ABA" w14:textId="52FB5915"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 xml:space="preserve">10. </w:t>
      </w:r>
      <w:r w:rsidRPr="00DA45A8">
        <w:rPr>
          <w:rFonts w:cstheme="minorHAnsi"/>
          <w:noProof/>
        </w:rPr>
        <w:t>Statewide fecal coliform trends</w:t>
      </w:r>
      <w:r>
        <w:rPr>
          <w:noProof/>
        </w:rPr>
        <w:tab/>
      </w:r>
      <w:r>
        <w:rPr>
          <w:noProof/>
        </w:rPr>
        <w:fldChar w:fldCharType="begin"/>
      </w:r>
      <w:r>
        <w:rPr>
          <w:noProof/>
        </w:rPr>
        <w:instrText xml:space="preserve"> PAGEREF _Toc164175133 \h </w:instrText>
      </w:r>
      <w:r>
        <w:rPr>
          <w:noProof/>
        </w:rPr>
      </w:r>
      <w:r>
        <w:rPr>
          <w:noProof/>
        </w:rPr>
        <w:fldChar w:fldCharType="separate"/>
      </w:r>
      <w:r w:rsidR="005B4275">
        <w:rPr>
          <w:noProof/>
        </w:rPr>
        <w:t>208</w:t>
      </w:r>
      <w:r>
        <w:rPr>
          <w:noProof/>
        </w:rPr>
        <w:fldChar w:fldCharType="end"/>
      </w:r>
    </w:p>
    <w:p w14:paraId="61A26B84" w14:textId="6F7D09C3"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 xml:space="preserve">11. </w:t>
      </w:r>
      <w:r w:rsidRPr="00DA45A8">
        <w:rPr>
          <w:rFonts w:cstheme="minorHAnsi"/>
          <w:noProof/>
        </w:rPr>
        <w:t>Statewide total phosphorus trends.</w:t>
      </w:r>
      <w:r>
        <w:rPr>
          <w:noProof/>
        </w:rPr>
        <w:tab/>
      </w:r>
      <w:r>
        <w:rPr>
          <w:noProof/>
        </w:rPr>
        <w:fldChar w:fldCharType="begin"/>
      </w:r>
      <w:r>
        <w:rPr>
          <w:noProof/>
        </w:rPr>
        <w:instrText xml:space="preserve"> PAGEREF _Toc164175134 \h </w:instrText>
      </w:r>
      <w:r>
        <w:rPr>
          <w:noProof/>
        </w:rPr>
      </w:r>
      <w:r>
        <w:rPr>
          <w:noProof/>
        </w:rPr>
        <w:fldChar w:fldCharType="separate"/>
      </w:r>
      <w:r w:rsidR="005B4275">
        <w:rPr>
          <w:noProof/>
        </w:rPr>
        <w:t>210</w:t>
      </w:r>
      <w:r>
        <w:rPr>
          <w:noProof/>
        </w:rPr>
        <w:fldChar w:fldCharType="end"/>
      </w:r>
    </w:p>
    <w:p w14:paraId="2F03A103" w14:textId="4C47CDC7"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12. Statewide trends in specific conductance.</w:t>
      </w:r>
      <w:r>
        <w:rPr>
          <w:noProof/>
        </w:rPr>
        <w:tab/>
      </w:r>
      <w:r>
        <w:rPr>
          <w:noProof/>
        </w:rPr>
        <w:fldChar w:fldCharType="begin"/>
      </w:r>
      <w:r>
        <w:rPr>
          <w:noProof/>
        </w:rPr>
        <w:instrText xml:space="preserve"> PAGEREF _Toc164175135 \h </w:instrText>
      </w:r>
      <w:r>
        <w:rPr>
          <w:noProof/>
        </w:rPr>
      </w:r>
      <w:r>
        <w:rPr>
          <w:noProof/>
        </w:rPr>
        <w:fldChar w:fldCharType="separate"/>
      </w:r>
      <w:r w:rsidR="005B4275">
        <w:rPr>
          <w:noProof/>
        </w:rPr>
        <w:t>213</w:t>
      </w:r>
      <w:r>
        <w:rPr>
          <w:noProof/>
        </w:rPr>
        <w:fldChar w:fldCharType="end"/>
      </w:r>
    </w:p>
    <w:p w14:paraId="3944C5CF" w14:textId="2BA4DA90"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 xml:space="preserve">13. </w:t>
      </w:r>
      <w:r w:rsidRPr="00DA45A8">
        <w:rPr>
          <w:rFonts w:cstheme="minorHAnsi"/>
          <w:noProof/>
        </w:rPr>
        <w:t>Statewide trends in Secchi depth.</w:t>
      </w:r>
      <w:r>
        <w:rPr>
          <w:noProof/>
        </w:rPr>
        <w:tab/>
      </w:r>
      <w:r>
        <w:rPr>
          <w:noProof/>
        </w:rPr>
        <w:fldChar w:fldCharType="begin"/>
      </w:r>
      <w:r>
        <w:rPr>
          <w:noProof/>
        </w:rPr>
        <w:instrText xml:space="preserve"> PAGEREF _Toc164175136 \h </w:instrText>
      </w:r>
      <w:r>
        <w:rPr>
          <w:noProof/>
        </w:rPr>
      </w:r>
      <w:r>
        <w:rPr>
          <w:noProof/>
        </w:rPr>
        <w:fldChar w:fldCharType="separate"/>
      </w:r>
      <w:r w:rsidR="005B4275">
        <w:rPr>
          <w:noProof/>
        </w:rPr>
        <w:t>215</w:t>
      </w:r>
      <w:r>
        <w:rPr>
          <w:noProof/>
        </w:rPr>
        <w:fldChar w:fldCharType="end"/>
      </w:r>
    </w:p>
    <w:p w14:paraId="1E656840" w14:textId="32720808"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14.</w:t>
      </w:r>
      <w:r w:rsidRPr="00DA45A8">
        <w:rPr>
          <w:rFonts w:cstheme="minorHAnsi"/>
          <w:noProof/>
        </w:rPr>
        <w:t xml:space="preserve"> Statewide trends in turbidity.</w:t>
      </w:r>
      <w:r>
        <w:rPr>
          <w:noProof/>
        </w:rPr>
        <w:tab/>
      </w:r>
      <w:r>
        <w:rPr>
          <w:noProof/>
        </w:rPr>
        <w:fldChar w:fldCharType="begin"/>
      </w:r>
      <w:r>
        <w:rPr>
          <w:noProof/>
        </w:rPr>
        <w:instrText xml:space="preserve"> PAGEREF _Toc164175137 \h </w:instrText>
      </w:r>
      <w:r>
        <w:rPr>
          <w:noProof/>
        </w:rPr>
      </w:r>
      <w:r>
        <w:rPr>
          <w:noProof/>
        </w:rPr>
        <w:fldChar w:fldCharType="separate"/>
      </w:r>
      <w:r w:rsidR="005B4275">
        <w:rPr>
          <w:noProof/>
        </w:rPr>
        <w:t>217</w:t>
      </w:r>
      <w:r>
        <w:rPr>
          <w:noProof/>
        </w:rPr>
        <w:fldChar w:fldCharType="end"/>
      </w:r>
    </w:p>
    <w:p w14:paraId="335D0EC1" w14:textId="45853733"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4.7</w:t>
      </w:r>
      <w:r>
        <w:rPr>
          <w:noProof/>
        </w:rPr>
        <w:noBreakHyphen/>
        <w:t xml:space="preserve">15. </w:t>
      </w:r>
      <w:r w:rsidRPr="00DA45A8">
        <w:rPr>
          <w:rFonts w:cstheme="minorHAnsi"/>
          <w:noProof/>
        </w:rPr>
        <w:t>Virginia resident population from 2003-2022</w:t>
      </w:r>
      <w:r>
        <w:rPr>
          <w:noProof/>
        </w:rPr>
        <w:tab/>
      </w:r>
      <w:r>
        <w:rPr>
          <w:noProof/>
        </w:rPr>
        <w:fldChar w:fldCharType="begin"/>
      </w:r>
      <w:r>
        <w:rPr>
          <w:noProof/>
        </w:rPr>
        <w:instrText xml:space="preserve"> PAGEREF _Toc164175138 \h </w:instrText>
      </w:r>
      <w:r>
        <w:rPr>
          <w:noProof/>
        </w:rPr>
      </w:r>
      <w:r>
        <w:rPr>
          <w:noProof/>
        </w:rPr>
        <w:fldChar w:fldCharType="separate"/>
      </w:r>
      <w:r w:rsidR="005B4275">
        <w:rPr>
          <w:noProof/>
        </w:rPr>
        <w:t>220</w:t>
      </w:r>
      <w:r>
        <w:rPr>
          <w:noProof/>
        </w:rPr>
        <w:fldChar w:fldCharType="end"/>
      </w:r>
    </w:p>
    <w:p w14:paraId="140BE219" w14:textId="767385CC"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6.1</w:t>
      </w:r>
      <w:r>
        <w:rPr>
          <w:noProof/>
        </w:rPr>
        <w:noBreakHyphen/>
        <w:t>1. TMDL equations by pollutant</w:t>
      </w:r>
      <w:r>
        <w:rPr>
          <w:noProof/>
        </w:rPr>
        <w:tab/>
      </w:r>
      <w:r>
        <w:rPr>
          <w:noProof/>
        </w:rPr>
        <w:fldChar w:fldCharType="begin"/>
      </w:r>
      <w:r>
        <w:rPr>
          <w:noProof/>
        </w:rPr>
        <w:instrText xml:space="preserve"> PAGEREF _Toc164175139 \h </w:instrText>
      </w:r>
      <w:r>
        <w:rPr>
          <w:noProof/>
        </w:rPr>
      </w:r>
      <w:r>
        <w:rPr>
          <w:noProof/>
        </w:rPr>
        <w:fldChar w:fldCharType="separate"/>
      </w:r>
      <w:r w:rsidR="005B4275">
        <w:rPr>
          <w:noProof/>
        </w:rPr>
        <w:t>227</w:t>
      </w:r>
      <w:r>
        <w:rPr>
          <w:noProof/>
        </w:rPr>
        <w:fldChar w:fldCharType="end"/>
      </w:r>
    </w:p>
    <w:p w14:paraId="26EDA6B6" w14:textId="75B9CE9A"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6.1</w:t>
      </w:r>
      <w:r>
        <w:rPr>
          <w:noProof/>
        </w:rPr>
        <w:noBreakHyphen/>
        <w:t>2. Statewide map of TMDL priority waters</w:t>
      </w:r>
      <w:r>
        <w:rPr>
          <w:noProof/>
        </w:rPr>
        <w:tab/>
      </w:r>
      <w:r>
        <w:rPr>
          <w:noProof/>
        </w:rPr>
        <w:fldChar w:fldCharType="begin"/>
      </w:r>
      <w:r>
        <w:rPr>
          <w:noProof/>
        </w:rPr>
        <w:instrText xml:space="preserve"> PAGEREF _Toc164175140 \h </w:instrText>
      </w:r>
      <w:r>
        <w:rPr>
          <w:noProof/>
        </w:rPr>
      </w:r>
      <w:r>
        <w:rPr>
          <w:noProof/>
        </w:rPr>
        <w:fldChar w:fldCharType="separate"/>
      </w:r>
      <w:r w:rsidR="005B4275">
        <w:rPr>
          <w:noProof/>
        </w:rPr>
        <w:t>233</w:t>
      </w:r>
      <w:r>
        <w:rPr>
          <w:noProof/>
        </w:rPr>
        <w:fldChar w:fldCharType="end"/>
      </w:r>
    </w:p>
    <w:p w14:paraId="06214E7D" w14:textId="1D19486B"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6.3</w:t>
      </w:r>
      <w:r>
        <w:rPr>
          <w:noProof/>
        </w:rPr>
        <w:noBreakHyphen/>
        <w:t>1. TMDL Implementation Plan Development in Virginia</w:t>
      </w:r>
      <w:r>
        <w:rPr>
          <w:noProof/>
        </w:rPr>
        <w:tab/>
      </w:r>
      <w:r>
        <w:rPr>
          <w:noProof/>
        </w:rPr>
        <w:fldChar w:fldCharType="begin"/>
      </w:r>
      <w:r>
        <w:rPr>
          <w:noProof/>
        </w:rPr>
        <w:instrText xml:space="preserve"> PAGEREF _Toc164175141 \h </w:instrText>
      </w:r>
      <w:r>
        <w:rPr>
          <w:noProof/>
        </w:rPr>
      </w:r>
      <w:r>
        <w:rPr>
          <w:noProof/>
        </w:rPr>
        <w:fldChar w:fldCharType="separate"/>
      </w:r>
      <w:r w:rsidR="005B4275">
        <w:rPr>
          <w:noProof/>
        </w:rPr>
        <w:t>253</w:t>
      </w:r>
      <w:r>
        <w:rPr>
          <w:noProof/>
        </w:rPr>
        <w:fldChar w:fldCharType="end"/>
      </w:r>
    </w:p>
    <w:p w14:paraId="46CCD7FE" w14:textId="74E3EB73"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6.3</w:t>
      </w:r>
      <w:r>
        <w:rPr>
          <w:noProof/>
        </w:rPr>
        <w:noBreakHyphen/>
        <w:t>2. TMDL implementation watersheds active as of June 30, 2022.</w:t>
      </w:r>
      <w:r>
        <w:rPr>
          <w:noProof/>
        </w:rPr>
        <w:tab/>
      </w:r>
      <w:r>
        <w:rPr>
          <w:noProof/>
        </w:rPr>
        <w:fldChar w:fldCharType="begin"/>
      </w:r>
      <w:r>
        <w:rPr>
          <w:noProof/>
        </w:rPr>
        <w:instrText xml:space="preserve"> PAGEREF _Toc164175142 \h </w:instrText>
      </w:r>
      <w:r>
        <w:rPr>
          <w:noProof/>
        </w:rPr>
      </w:r>
      <w:r>
        <w:rPr>
          <w:noProof/>
        </w:rPr>
        <w:fldChar w:fldCharType="separate"/>
      </w:r>
      <w:r w:rsidR="005B4275">
        <w:rPr>
          <w:noProof/>
        </w:rPr>
        <w:t>257</w:t>
      </w:r>
      <w:r>
        <w:rPr>
          <w:noProof/>
        </w:rPr>
        <w:fldChar w:fldCharType="end"/>
      </w:r>
    </w:p>
    <w:p w14:paraId="3B870929" w14:textId="4E07131C"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6.6</w:t>
      </w:r>
      <w:r>
        <w:rPr>
          <w:noProof/>
        </w:rPr>
        <w:noBreakHyphen/>
        <w:t>1. Map of current fish consumption advisories</w:t>
      </w:r>
      <w:r>
        <w:rPr>
          <w:noProof/>
        </w:rPr>
        <w:tab/>
      </w:r>
      <w:r>
        <w:rPr>
          <w:noProof/>
        </w:rPr>
        <w:fldChar w:fldCharType="begin"/>
      </w:r>
      <w:r>
        <w:rPr>
          <w:noProof/>
        </w:rPr>
        <w:instrText xml:space="preserve"> PAGEREF _Toc164175143 \h </w:instrText>
      </w:r>
      <w:r>
        <w:rPr>
          <w:noProof/>
        </w:rPr>
      </w:r>
      <w:r>
        <w:rPr>
          <w:noProof/>
        </w:rPr>
        <w:fldChar w:fldCharType="separate"/>
      </w:r>
      <w:r w:rsidR="005B4275">
        <w:rPr>
          <w:noProof/>
        </w:rPr>
        <w:t>265</w:t>
      </w:r>
      <w:r>
        <w:rPr>
          <w:noProof/>
        </w:rPr>
        <w:fldChar w:fldCharType="end"/>
      </w:r>
    </w:p>
    <w:p w14:paraId="46773439" w14:textId="20BE35B9"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6.7</w:t>
      </w:r>
      <w:r>
        <w:rPr>
          <w:noProof/>
        </w:rPr>
        <w:noBreakHyphen/>
        <w:t>1. Map of Virginia’s Coastal Zone</w:t>
      </w:r>
      <w:r>
        <w:rPr>
          <w:noProof/>
        </w:rPr>
        <w:tab/>
      </w:r>
      <w:r>
        <w:rPr>
          <w:noProof/>
        </w:rPr>
        <w:fldChar w:fldCharType="begin"/>
      </w:r>
      <w:r>
        <w:rPr>
          <w:noProof/>
        </w:rPr>
        <w:instrText xml:space="preserve"> PAGEREF _Toc164175144 \h </w:instrText>
      </w:r>
      <w:r>
        <w:rPr>
          <w:noProof/>
        </w:rPr>
      </w:r>
      <w:r>
        <w:rPr>
          <w:noProof/>
        </w:rPr>
        <w:fldChar w:fldCharType="separate"/>
      </w:r>
      <w:r w:rsidR="005B4275">
        <w:rPr>
          <w:noProof/>
        </w:rPr>
        <w:t>272</w:t>
      </w:r>
      <w:r>
        <w:rPr>
          <w:noProof/>
        </w:rPr>
        <w:fldChar w:fldCharType="end"/>
      </w:r>
    </w:p>
    <w:p w14:paraId="661B4FBD" w14:textId="27D53E8D"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6.7</w:t>
      </w:r>
      <w:r>
        <w:rPr>
          <w:noProof/>
        </w:rPr>
        <w:noBreakHyphen/>
        <w:t>2. Virginia CZM Program Funding (1986-2023).</w:t>
      </w:r>
      <w:r>
        <w:rPr>
          <w:noProof/>
        </w:rPr>
        <w:tab/>
      </w:r>
      <w:r>
        <w:rPr>
          <w:noProof/>
        </w:rPr>
        <w:fldChar w:fldCharType="begin"/>
      </w:r>
      <w:r>
        <w:rPr>
          <w:noProof/>
        </w:rPr>
        <w:instrText xml:space="preserve"> PAGEREF _Toc164175145 \h </w:instrText>
      </w:r>
      <w:r>
        <w:rPr>
          <w:noProof/>
        </w:rPr>
      </w:r>
      <w:r>
        <w:rPr>
          <w:noProof/>
        </w:rPr>
        <w:fldChar w:fldCharType="separate"/>
      </w:r>
      <w:r w:rsidR="005B4275">
        <w:rPr>
          <w:noProof/>
        </w:rPr>
        <w:t>274</w:t>
      </w:r>
      <w:r>
        <w:rPr>
          <w:noProof/>
        </w:rPr>
        <w:fldChar w:fldCharType="end"/>
      </w:r>
    </w:p>
    <w:p w14:paraId="40CEE81E" w14:textId="7398F123"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6.7</w:t>
      </w:r>
      <w:r>
        <w:rPr>
          <w:noProof/>
        </w:rPr>
        <w:noBreakHyphen/>
        <w:t>3. Coastal VEVA Screenshot.</w:t>
      </w:r>
      <w:r>
        <w:rPr>
          <w:noProof/>
        </w:rPr>
        <w:tab/>
      </w:r>
      <w:r>
        <w:rPr>
          <w:noProof/>
        </w:rPr>
        <w:fldChar w:fldCharType="begin"/>
      </w:r>
      <w:r>
        <w:rPr>
          <w:noProof/>
        </w:rPr>
        <w:instrText xml:space="preserve"> PAGEREF _Toc164175146 \h </w:instrText>
      </w:r>
      <w:r>
        <w:rPr>
          <w:noProof/>
        </w:rPr>
      </w:r>
      <w:r>
        <w:rPr>
          <w:noProof/>
        </w:rPr>
        <w:fldChar w:fldCharType="separate"/>
      </w:r>
      <w:r w:rsidR="005B4275">
        <w:rPr>
          <w:noProof/>
        </w:rPr>
        <w:t>277</w:t>
      </w:r>
      <w:r>
        <w:rPr>
          <w:noProof/>
        </w:rPr>
        <w:fldChar w:fldCharType="end"/>
      </w:r>
    </w:p>
    <w:p w14:paraId="5CAB944C" w14:textId="1E6651D1" w:rsidR="001A0EA5" w:rsidRDefault="001A0EA5">
      <w:pPr>
        <w:pStyle w:val="TableofFigures"/>
        <w:tabs>
          <w:tab w:val="right" w:leader="dot" w:pos="9350"/>
        </w:tabs>
        <w:rPr>
          <w:rFonts w:eastAsiaTheme="minorEastAsia" w:cstheme="minorBidi"/>
          <w:noProof/>
          <w:snapToGrid/>
          <w:kern w:val="2"/>
          <w:sz w:val="22"/>
          <w:szCs w:val="22"/>
          <w14:ligatures w14:val="standardContextual"/>
        </w:rPr>
      </w:pPr>
      <w:r>
        <w:rPr>
          <w:noProof/>
        </w:rPr>
        <w:t>Figure 6.10</w:t>
      </w:r>
      <w:r>
        <w:rPr>
          <w:noProof/>
        </w:rPr>
        <w:noBreakHyphen/>
        <w:t xml:space="preserve">1 </w:t>
      </w:r>
      <w:r w:rsidRPr="00DA45A8">
        <w:rPr>
          <w:bCs/>
          <w:noProof/>
        </w:rPr>
        <w:t>Map of DEQ Regional Office Boundaries</w:t>
      </w:r>
      <w:r>
        <w:rPr>
          <w:noProof/>
        </w:rPr>
        <w:tab/>
      </w:r>
      <w:r>
        <w:rPr>
          <w:noProof/>
        </w:rPr>
        <w:fldChar w:fldCharType="begin"/>
      </w:r>
      <w:r>
        <w:rPr>
          <w:noProof/>
        </w:rPr>
        <w:instrText xml:space="preserve"> PAGEREF _Toc164175147 \h </w:instrText>
      </w:r>
      <w:r>
        <w:rPr>
          <w:noProof/>
        </w:rPr>
      </w:r>
      <w:r>
        <w:rPr>
          <w:noProof/>
        </w:rPr>
        <w:fldChar w:fldCharType="separate"/>
      </w:r>
      <w:r w:rsidR="005B4275">
        <w:rPr>
          <w:noProof/>
        </w:rPr>
        <w:t>297</w:t>
      </w:r>
      <w:r>
        <w:rPr>
          <w:noProof/>
        </w:rPr>
        <w:fldChar w:fldCharType="end"/>
      </w:r>
    </w:p>
    <w:p w14:paraId="32C8BC2E" w14:textId="3D6519CD" w:rsidR="003B0292" w:rsidRDefault="00980571" w:rsidP="00D90C05">
      <w:r>
        <w:fldChar w:fldCharType="end"/>
      </w:r>
    </w:p>
    <w:p w14:paraId="3379D0F6" w14:textId="2BFAA934" w:rsidR="00791DF1" w:rsidRDefault="00791DF1">
      <w:pPr>
        <w:widowControl/>
        <w:spacing w:after="160" w:line="259" w:lineRule="auto"/>
      </w:pPr>
      <w:r>
        <w:br w:type="page"/>
      </w:r>
    </w:p>
    <w:p w14:paraId="4B94EC18" w14:textId="41665539" w:rsidR="00E338E1" w:rsidRPr="00373649" w:rsidRDefault="001F724C" w:rsidP="00373649">
      <w:pPr>
        <w:pStyle w:val="Heading1"/>
        <w:numPr>
          <w:ilvl w:val="0"/>
          <w:numId w:val="0"/>
        </w:numPr>
        <w:jc w:val="center"/>
      </w:pPr>
      <w:bookmarkStart w:id="6" w:name="_Toc155771938"/>
      <w:bookmarkStart w:id="7" w:name="_Toc191900416"/>
      <w:r>
        <w:lastRenderedPageBreak/>
        <w:t>List</w:t>
      </w:r>
      <w:r w:rsidR="00E338E1" w:rsidRPr="00E338E1">
        <w:t xml:space="preserve"> of Tables</w:t>
      </w:r>
      <w:bookmarkEnd w:id="6"/>
      <w:bookmarkEnd w:id="7"/>
    </w:p>
    <w:p w14:paraId="46BC0E0E" w14:textId="5088D8C6" w:rsidR="00070ED7" w:rsidRDefault="00C12A08">
      <w:pPr>
        <w:pStyle w:val="TableofFigures"/>
        <w:tabs>
          <w:tab w:val="right" w:leader="dot" w:pos="9350"/>
        </w:tabs>
        <w:rPr>
          <w:rFonts w:eastAsiaTheme="minorEastAsia" w:cstheme="minorBidi"/>
          <w:noProof/>
          <w:snapToGrid/>
          <w:kern w:val="2"/>
          <w:sz w:val="22"/>
          <w:szCs w:val="22"/>
          <w14:ligatures w14:val="standardContextual"/>
        </w:rPr>
      </w:pPr>
      <w:r>
        <w:fldChar w:fldCharType="begin"/>
      </w:r>
      <w:r>
        <w:instrText xml:space="preserve"> TOC \c "Table" </w:instrText>
      </w:r>
      <w:r>
        <w:fldChar w:fldCharType="separate"/>
      </w:r>
      <w:r w:rsidR="00070ED7">
        <w:rPr>
          <w:noProof/>
        </w:rPr>
        <w:t>Table 2.3</w:t>
      </w:r>
      <w:r w:rsidR="00070ED7">
        <w:rPr>
          <w:noProof/>
        </w:rPr>
        <w:noBreakHyphen/>
        <w:t>1. Vegetated wetland coverage for Virginia</w:t>
      </w:r>
      <w:r w:rsidR="00070ED7">
        <w:rPr>
          <w:noProof/>
        </w:rPr>
        <w:tab/>
      </w:r>
      <w:r w:rsidR="00070ED7">
        <w:rPr>
          <w:noProof/>
        </w:rPr>
        <w:fldChar w:fldCharType="begin"/>
      </w:r>
      <w:r w:rsidR="00070ED7">
        <w:rPr>
          <w:noProof/>
        </w:rPr>
        <w:instrText xml:space="preserve"> PAGEREF _Toc164175148 \h </w:instrText>
      </w:r>
      <w:r w:rsidR="00070ED7">
        <w:rPr>
          <w:noProof/>
        </w:rPr>
      </w:r>
      <w:r w:rsidR="00070ED7">
        <w:rPr>
          <w:noProof/>
        </w:rPr>
        <w:fldChar w:fldCharType="separate"/>
      </w:r>
      <w:r w:rsidR="00391843">
        <w:rPr>
          <w:noProof/>
        </w:rPr>
        <w:t>31</w:t>
      </w:r>
      <w:r w:rsidR="00070ED7">
        <w:rPr>
          <w:noProof/>
        </w:rPr>
        <w:fldChar w:fldCharType="end"/>
      </w:r>
    </w:p>
    <w:p w14:paraId="3774021B" w14:textId="35A30777"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2.4</w:t>
      </w:r>
      <w:r>
        <w:rPr>
          <w:noProof/>
        </w:rPr>
        <w:noBreakHyphen/>
        <w:t>1. Virginia statewide land cover summary</w:t>
      </w:r>
      <w:r>
        <w:rPr>
          <w:noProof/>
        </w:rPr>
        <w:tab/>
      </w:r>
      <w:r>
        <w:rPr>
          <w:noProof/>
        </w:rPr>
        <w:fldChar w:fldCharType="begin"/>
      </w:r>
      <w:r>
        <w:rPr>
          <w:noProof/>
        </w:rPr>
        <w:instrText xml:space="preserve"> PAGEREF _Toc164175149 \h </w:instrText>
      </w:r>
      <w:r>
        <w:rPr>
          <w:noProof/>
        </w:rPr>
      </w:r>
      <w:r>
        <w:rPr>
          <w:noProof/>
        </w:rPr>
        <w:fldChar w:fldCharType="separate"/>
      </w:r>
      <w:r w:rsidR="00391843">
        <w:rPr>
          <w:noProof/>
        </w:rPr>
        <w:t>32</w:t>
      </w:r>
      <w:r>
        <w:rPr>
          <w:noProof/>
        </w:rPr>
        <w:fldChar w:fldCharType="end"/>
      </w:r>
    </w:p>
    <w:p w14:paraId="7881A989" w14:textId="33524D9F"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sidRPr="000C3878">
        <w:rPr>
          <w:noProof/>
          <w:snapToGrid/>
        </w:rPr>
        <w:t>Table 3.1</w:t>
      </w:r>
      <w:r w:rsidRPr="000C3878">
        <w:rPr>
          <w:noProof/>
          <w:snapToGrid/>
        </w:rPr>
        <w:noBreakHyphen/>
        <w:t>1. Common Physical/Chemical parameters used for water quality assessment</w:t>
      </w:r>
      <w:r>
        <w:rPr>
          <w:noProof/>
        </w:rPr>
        <w:tab/>
      </w:r>
      <w:r>
        <w:rPr>
          <w:noProof/>
        </w:rPr>
        <w:fldChar w:fldCharType="begin"/>
      </w:r>
      <w:r>
        <w:rPr>
          <w:noProof/>
        </w:rPr>
        <w:instrText xml:space="preserve"> PAGEREF _Toc164175150 \h </w:instrText>
      </w:r>
      <w:r>
        <w:rPr>
          <w:noProof/>
        </w:rPr>
      </w:r>
      <w:r>
        <w:rPr>
          <w:noProof/>
        </w:rPr>
        <w:fldChar w:fldCharType="separate"/>
      </w:r>
      <w:r w:rsidR="00391843">
        <w:rPr>
          <w:noProof/>
        </w:rPr>
        <w:t>34</w:t>
      </w:r>
      <w:r>
        <w:rPr>
          <w:noProof/>
        </w:rPr>
        <w:fldChar w:fldCharType="end"/>
      </w:r>
    </w:p>
    <w:p w14:paraId="2151E3E8" w14:textId="6757B940"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3.3</w:t>
      </w:r>
      <w:r>
        <w:rPr>
          <w:noProof/>
        </w:rPr>
        <w:noBreakHyphen/>
        <w:t>1. Location of BEACH Program sampling stations.</w:t>
      </w:r>
      <w:r>
        <w:rPr>
          <w:noProof/>
        </w:rPr>
        <w:tab/>
      </w:r>
      <w:r>
        <w:rPr>
          <w:noProof/>
        </w:rPr>
        <w:fldChar w:fldCharType="begin"/>
      </w:r>
      <w:r>
        <w:rPr>
          <w:noProof/>
        </w:rPr>
        <w:instrText xml:space="preserve"> PAGEREF _Toc164175151 \h </w:instrText>
      </w:r>
      <w:r>
        <w:rPr>
          <w:noProof/>
        </w:rPr>
      </w:r>
      <w:r>
        <w:rPr>
          <w:noProof/>
        </w:rPr>
        <w:fldChar w:fldCharType="separate"/>
      </w:r>
      <w:r w:rsidR="00391843">
        <w:rPr>
          <w:noProof/>
        </w:rPr>
        <w:t>38</w:t>
      </w:r>
      <w:r>
        <w:rPr>
          <w:noProof/>
        </w:rPr>
        <w:fldChar w:fldCharType="end"/>
      </w:r>
    </w:p>
    <w:p w14:paraId="5DA10DED" w14:textId="36E28179"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3.4</w:t>
      </w:r>
      <w:r>
        <w:rPr>
          <w:noProof/>
        </w:rPr>
        <w:noBreakHyphen/>
        <w:t xml:space="preserve">1. </w:t>
      </w:r>
      <w:r w:rsidRPr="000C3878">
        <w:rPr>
          <w:rFonts w:cstheme="minorHAnsi"/>
          <w:noProof/>
          <w:snapToGrid/>
          <w:color w:val="000000"/>
        </w:rPr>
        <w:t>Quality assurance and quality control criteria for citizen and outside-agency data.</w:t>
      </w:r>
      <w:r>
        <w:rPr>
          <w:noProof/>
        </w:rPr>
        <w:tab/>
      </w:r>
      <w:r>
        <w:rPr>
          <w:noProof/>
        </w:rPr>
        <w:fldChar w:fldCharType="begin"/>
      </w:r>
      <w:r>
        <w:rPr>
          <w:noProof/>
        </w:rPr>
        <w:instrText xml:space="preserve"> PAGEREF _Toc164175152 \h </w:instrText>
      </w:r>
      <w:r>
        <w:rPr>
          <w:noProof/>
        </w:rPr>
      </w:r>
      <w:r>
        <w:rPr>
          <w:noProof/>
        </w:rPr>
        <w:fldChar w:fldCharType="separate"/>
      </w:r>
      <w:r w:rsidR="00391843">
        <w:rPr>
          <w:noProof/>
        </w:rPr>
        <w:t>44</w:t>
      </w:r>
      <w:r>
        <w:rPr>
          <w:noProof/>
        </w:rPr>
        <w:fldChar w:fldCharType="end"/>
      </w:r>
    </w:p>
    <w:p w14:paraId="06A0245A" w14:textId="20218C01"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3.4</w:t>
      </w:r>
      <w:r>
        <w:rPr>
          <w:noProof/>
        </w:rPr>
        <w:noBreakHyphen/>
        <w:t>2.</w:t>
      </w:r>
      <w:r w:rsidRPr="000C3878">
        <w:rPr>
          <w:rFonts w:cstheme="minorHAnsi"/>
          <w:noProof/>
          <w:snapToGrid/>
          <w:color w:val="000000"/>
        </w:rPr>
        <w:t xml:space="preserve"> Summary of data submissions by citizen organizations and outside agencies</w:t>
      </w:r>
      <w:r>
        <w:rPr>
          <w:noProof/>
        </w:rPr>
        <w:tab/>
      </w:r>
      <w:r>
        <w:rPr>
          <w:noProof/>
        </w:rPr>
        <w:fldChar w:fldCharType="begin"/>
      </w:r>
      <w:r>
        <w:rPr>
          <w:noProof/>
        </w:rPr>
        <w:instrText xml:space="preserve"> PAGEREF _Toc164175153 \h </w:instrText>
      </w:r>
      <w:r>
        <w:rPr>
          <w:noProof/>
        </w:rPr>
      </w:r>
      <w:r>
        <w:rPr>
          <w:noProof/>
        </w:rPr>
        <w:fldChar w:fldCharType="separate"/>
      </w:r>
      <w:r w:rsidR="00391843">
        <w:rPr>
          <w:noProof/>
        </w:rPr>
        <w:t>46</w:t>
      </w:r>
      <w:r>
        <w:rPr>
          <w:noProof/>
        </w:rPr>
        <w:fldChar w:fldCharType="end"/>
      </w:r>
    </w:p>
    <w:p w14:paraId="489F4FB6" w14:textId="4ED41052"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3.4</w:t>
      </w:r>
      <w:r>
        <w:rPr>
          <w:noProof/>
        </w:rPr>
        <w:noBreakHyphen/>
        <w:t xml:space="preserve">3. </w:t>
      </w:r>
      <w:r w:rsidRPr="000C3878">
        <w:rPr>
          <w:rFonts w:cstheme="minorHAnsi"/>
          <w:noProof/>
          <w:snapToGrid/>
          <w:color w:val="000000"/>
        </w:rPr>
        <w:t>List of 78 groups that submitted data for the 2024 report cycle</w:t>
      </w:r>
      <w:r>
        <w:rPr>
          <w:noProof/>
        </w:rPr>
        <w:tab/>
      </w:r>
      <w:r>
        <w:rPr>
          <w:noProof/>
        </w:rPr>
        <w:fldChar w:fldCharType="begin"/>
      </w:r>
      <w:r>
        <w:rPr>
          <w:noProof/>
        </w:rPr>
        <w:instrText xml:space="preserve"> PAGEREF _Toc164175154 \h </w:instrText>
      </w:r>
      <w:r>
        <w:rPr>
          <w:noProof/>
        </w:rPr>
      </w:r>
      <w:r>
        <w:rPr>
          <w:noProof/>
        </w:rPr>
        <w:fldChar w:fldCharType="separate"/>
      </w:r>
      <w:r w:rsidR="00391843">
        <w:rPr>
          <w:noProof/>
        </w:rPr>
        <w:t>47</w:t>
      </w:r>
      <w:r>
        <w:rPr>
          <w:noProof/>
        </w:rPr>
        <w:fldChar w:fldCharType="end"/>
      </w:r>
    </w:p>
    <w:p w14:paraId="22C1C9BE" w14:textId="15475C74"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3.4</w:t>
      </w:r>
      <w:r>
        <w:rPr>
          <w:noProof/>
        </w:rPr>
        <w:noBreakHyphen/>
        <w:t xml:space="preserve">4. </w:t>
      </w:r>
      <w:r w:rsidRPr="000C3878">
        <w:rPr>
          <w:rFonts w:cstheme="minorHAnsi"/>
          <w:noProof/>
          <w:snapToGrid/>
          <w:color w:val="000000"/>
        </w:rPr>
        <w:t>Outside agency organizations that submitted data for the 2024 report cycle</w:t>
      </w:r>
      <w:r>
        <w:rPr>
          <w:noProof/>
        </w:rPr>
        <w:tab/>
      </w:r>
      <w:r>
        <w:rPr>
          <w:noProof/>
        </w:rPr>
        <w:fldChar w:fldCharType="begin"/>
      </w:r>
      <w:r>
        <w:rPr>
          <w:noProof/>
        </w:rPr>
        <w:instrText xml:space="preserve"> PAGEREF _Toc164175155 \h </w:instrText>
      </w:r>
      <w:r>
        <w:rPr>
          <w:noProof/>
        </w:rPr>
      </w:r>
      <w:r>
        <w:rPr>
          <w:noProof/>
        </w:rPr>
        <w:fldChar w:fldCharType="separate"/>
      </w:r>
      <w:r w:rsidR="00391843">
        <w:rPr>
          <w:noProof/>
        </w:rPr>
        <w:t>48</w:t>
      </w:r>
      <w:r>
        <w:rPr>
          <w:noProof/>
        </w:rPr>
        <w:fldChar w:fldCharType="end"/>
      </w:r>
    </w:p>
    <w:p w14:paraId="7F654294" w14:textId="74F252C2"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4.2</w:t>
      </w:r>
      <w:r>
        <w:rPr>
          <w:noProof/>
        </w:rPr>
        <w:noBreakHyphen/>
        <w:t>1. Designated use descriptions and indicators.</w:t>
      </w:r>
      <w:r>
        <w:rPr>
          <w:noProof/>
        </w:rPr>
        <w:tab/>
      </w:r>
      <w:r>
        <w:rPr>
          <w:noProof/>
        </w:rPr>
        <w:fldChar w:fldCharType="begin"/>
      </w:r>
      <w:r>
        <w:rPr>
          <w:noProof/>
        </w:rPr>
        <w:instrText xml:space="preserve"> PAGEREF _Toc164175156 \h </w:instrText>
      </w:r>
      <w:r>
        <w:rPr>
          <w:noProof/>
        </w:rPr>
      </w:r>
      <w:r>
        <w:rPr>
          <w:noProof/>
        </w:rPr>
        <w:fldChar w:fldCharType="separate"/>
      </w:r>
      <w:r w:rsidR="00391843">
        <w:rPr>
          <w:noProof/>
        </w:rPr>
        <w:t>55</w:t>
      </w:r>
      <w:r>
        <w:rPr>
          <w:noProof/>
        </w:rPr>
        <w:fldChar w:fldCharType="end"/>
      </w:r>
    </w:p>
    <w:p w14:paraId="6AB82FAF" w14:textId="1AA3821B"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4.2</w:t>
      </w:r>
      <w:r>
        <w:rPr>
          <w:noProof/>
        </w:rPr>
        <w:noBreakHyphen/>
        <w:t>2. Summary of all water bodies assessed</w:t>
      </w:r>
      <w:r>
        <w:rPr>
          <w:noProof/>
        </w:rPr>
        <w:tab/>
      </w:r>
      <w:r>
        <w:rPr>
          <w:noProof/>
        </w:rPr>
        <w:fldChar w:fldCharType="begin"/>
      </w:r>
      <w:r>
        <w:rPr>
          <w:noProof/>
        </w:rPr>
        <w:instrText xml:space="preserve"> PAGEREF _Toc164175157 \h </w:instrText>
      </w:r>
      <w:r>
        <w:rPr>
          <w:noProof/>
        </w:rPr>
      </w:r>
      <w:r>
        <w:rPr>
          <w:noProof/>
        </w:rPr>
        <w:fldChar w:fldCharType="separate"/>
      </w:r>
      <w:r w:rsidR="00391843">
        <w:rPr>
          <w:noProof/>
        </w:rPr>
        <w:t>56</w:t>
      </w:r>
      <w:r>
        <w:rPr>
          <w:noProof/>
        </w:rPr>
        <w:fldChar w:fldCharType="end"/>
      </w:r>
    </w:p>
    <w:p w14:paraId="370A3999" w14:textId="0BD3D7D7"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4.2</w:t>
      </w:r>
      <w:r>
        <w:rPr>
          <w:noProof/>
        </w:rPr>
        <w:noBreakHyphen/>
        <w:t>3. Assessment results for Rivers by category</w:t>
      </w:r>
      <w:r>
        <w:rPr>
          <w:noProof/>
        </w:rPr>
        <w:tab/>
      </w:r>
      <w:r>
        <w:rPr>
          <w:noProof/>
        </w:rPr>
        <w:fldChar w:fldCharType="begin"/>
      </w:r>
      <w:r>
        <w:rPr>
          <w:noProof/>
        </w:rPr>
        <w:instrText xml:space="preserve"> PAGEREF _Toc164175158 \h </w:instrText>
      </w:r>
      <w:r>
        <w:rPr>
          <w:noProof/>
        </w:rPr>
      </w:r>
      <w:r>
        <w:rPr>
          <w:noProof/>
        </w:rPr>
        <w:fldChar w:fldCharType="separate"/>
      </w:r>
      <w:r w:rsidR="00391843">
        <w:rPr>
          <w:noProof/>
        </w:rPr>
        <w:t>57</w:t>
      </w:r>
      <w:r>
        <w:rPr>
          <w:noProof/>
        </w:rPr>
        <w:fldChar w:fldCharType="end"/>
      </w:r>
    </w:p>
    <w:p w14:paraId="1E506113" w14:textId="406A9103"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4.2</w:t>
      </w:r>
      <w:r>
        <w:rPr>
          <w:noProof/>
        </w:rPr>
        <w:noBreakHyphen/>
        <w:t>4. Assessment results for Lakes/Reservoirs by category</w:t>
      </w:r>
      <w:r>
        <w:rPr>
          <w:noProof/>
        </w:rPr>
        <w:tab/>
      </w:r>
      <w:r>
        <w:rPr>
          <w:noProof/>
        </w:rPr>
        <w:fldChar w:fldCharType="begin"/>
      </w:r>
      <w:r>
        <w:rPr>
          <w:noProof/>
        </w:rPr>
        <w:instrText xml:space="preserve"> PAGEREF _Toc164175159 \h </w:instrText>
      </w:r>
      <w:r>
        <w:rPr>
          <w:noProof/>
        </w:rPr>
      </w:r>
      <w:r>
        <w:rPr>
          <w:noProof/>
        </w:rPr>
        <w:fldChar w:fldCharType="separate"/>
      </w:r>
      <w:r w:rsidR="00391843">
        <w:rPr>
          <w:noProof/>
        </w:rPr>
        <w:t>58</w:t>
      </w:r>
      <w:r>
        <w:rPr>
          <w:noProof/>
        </w:rPr>
        <w:fldChar w:fldCharType="end"/>
      </w:r>
    </w:p>
    <w:p w14:paraId="0CA8DC1D" w14:textId="588D0B0E"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4.2</w:t>
      </w:r>
      <w:r>
        <w:rPr>
          <w:noProof/>
        </w:rPr>
        <w:noBreakHyphen/>
        <w:t>5. Assessment results for Estuarine Waters by category</w:t>
      </w:r>
      <w:r>
        <w:rPr>
          <w:noProof/>
        </w:rPr>
        <w:tab/>
      </w:r>
      <w:r>
        <w:rPr>
          <w:noProof/>
        </w:rPr>
        <w:fldChar w:fldCharType="begin"/>
      </w:r>
      <w:r>
        <w:rPr>
          <w:noProof/>
        </w:rPr>
        <w:instrText xml:space="preserve"> PAGEREF _Toc164175160 \h </w:instrText>
      </w:r>
      <w:r>
        <w:rPr>
          <w:noProof/>
        </w:rPr>
      </w:r>
      <w:r>
        <w:rPr>
          <w:noProof/>
        </w:rPr>
        <w:fldChar w:fldCharType="separate"/>
      </w:r>
      <w:r w:rsidR="00391843">
        <w:rPr>
          <w:noProof/>
        </w:rPr>
        <w:t>59</w:t>
      </w:r>
      <w:r>
        <w:rPr>
          <w:noProof/>
        </w:rPr>
        <w:fldChar w:fldCharType="end"/>
      </w:r>
    </w:p>
    <w:p w14:paraId="4510FF94" w14:textId="040DC6C8"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sidRPr="000C3878">
        <w:rPr>
          <w:rFonts w:cstheme="minorHAnsi"/>
          <w:noProof/>
        </w:rPr>
        <w:t>Table 4.2</w:t>
      </w:r>
      <w:r w:rsidRPr="000C3878">
        <w:rPr>
          <w:rFonts w:cstheme="minorHAnsi"/>
          <w:noProof/>
        </w:rPr>
        <w:noBreakHyphen/>
        <w:t>6. Comparison of the 2022 and 2024 IR assessment results</w:t>
      </w:r>
      <w:r>
        <w:rPr>
          <w:noProof/>
        </w:rPr>
        <w:tab/>
      </w:r>
      <w:r>
        <w:rPr>
          <w:noProof/>
        </w:rPr>
        <w:fldChar w:fldCharType="begin"/>
      </w:r>
      <w:r>
        <w:rPr>
          <w:noProof/>
        </w:rPr>
        <w:instrText xml:space="preserve"> PAGEREF _Toc164175161 \h </w:instrText>
      </w:r>
      <w:r>
        <w:rPr>
          <w:noProof/>
        </w:rPr>
      </w:r>
      <w:r>
        <w:rPr>
          <w:noProof/>
        </w:rPr>
        <w:fldChar w:fldCharType="separate"/>
      </w:r>
      <w:r w:rsidR="00391843">
        <w:rPr>
          <w:noProof/>
        </w:rPr>
        <w:t>62</w:t>
      </w:r>
      <w:r>
        <w:rPr>
          <w:noProof/>
        </w:rPr>
        <w:fldChar w:fldCharType="end"/>
      </w:r>
    </w:p>
    <w:p w14:paraId="3829AFB3" w14:textId="64ED66F1"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sidRPr="000C3878">
        <w:rPr>
          <w:rFonts w:cstheme="minorHAnsi"/>
          <w:noProof/>
        </w:rPr>
        <w:t>Table 4.2</w:t>
      </w:r>
      <w:r w:rsidRPr="000C3878">
        <w:rPr>
          <w:rFonts w:cstheme="minorHAnsi"/>
          <w:noProof/>
        </w:rPr>
        <w:noBreakHyphen/>
        <w:t>7. Leading causes of impairments by water body type.</w:t>
      </w:r>
      <w:r>
        <w:rPr>
          <w:noProof/>
        </w:rPr>
        <w:tab/>
      </w:r>
      <w:r>
        <w:rPr>
          <w:noProof/>
        </w:rPr>
        <w:fldChar w:fldCharType="begin"/>
      </w:r>
      <w:r>
        <w:rPr>
          <w:noProof/>
        </w:rPr>
        <w:instrText xml:space="preserve"> PAGEREF _Toc164175162 \h </w:instrText>
      </w:r>
      <w:r>
        <w:rPr>
          <w:noProof/>
        </w:rPr>
      </w:r>
      <w:r>
        <w:rPr>
          <w:noProof/>
        </w:rPr>
        <w:fldChar w:fldCharType="separate"/>
      </w:r>
      <w:r w:rsidR="00391843">
        <w:rPr>
          <w:noProof/>
        </w:rPr>
        <w:t>62</w:t>
      </w:r>
      <w:r>
        <w:rPr>
          <w:noProof/>
        </w:rPr>
        <w:fldChar w:fldCharType="end"/>
      </w:r>
    </w:p>
    <w:p w14:paraId="32464530" w14:textId="6002DF50"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4.2</w:t>
      </w:r>
      <w:r>
        <w:rPr>
          <w:noProof/>
        </w:rPr>
        <w:noBreakHyphen/>
        <w:t>8. Most probable stressors identified in TMDLs to address impaired benthic</w:t>
      </w:r>
      <w:r>
        <w:rPr>
          <w:noProof/>
        </w:rPr>
        <w:tab/>
      </w:r>
      <w:r>
        <w:rPr>
          <w:noProof/>
        </w:rPr>
        <w:fldChar w:fldCharType="begin"/>
      </w:r>
      <w:r>
        <w:rPr>
          <w:noProof/>
        </w:rPr>
        <w:instrText xml:space="preserve"> PAGEREF _Toc164175163 \h </w:instrText>
      </w:r>
      <w:r>
        <w:rPr>
          <w:noProof/>
        </w:rPr>
      </w:r>
      <w:r>
        <w:rPr>
          <w:noProof/>
        </w:rPr>
        <w:fldChar w:fldCharType="separate"/>
      </w:r>
      <w:r w:rsidR="00391843">
        <w:rPr>
          <w:noProof/>
        </w:rPr>
        <w:t>67</w:t>
      </w:r>
      <w:r>
        <w:rPr>
          <w:noProof/>
        </w:rPr>
        <w:fldChar w:fldCharType="end"/>
      </w:r>
    </w:p>
    <w:p w14:paraId="4CD91023" w14:textId="08B74F3D"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4.2</w:t>
      </w:r>
      <w:r>
        <w:rPr>
          <w:noProof/>
        </w:rPr>
        <w:noBreakHyphen/>
        <w:t>9. Suspected sources of designated use impairment</w:t>
      </w:r>
      <w:r>
        <w:rPr>
          <w:noProof/>
        </w:rPr>
        <w:tab/>
      </w:r>
      <w:r>
        <w:rPr>
          <w:noProof/>
        </w:rPr>
        <w:fldChar w:fldCharType="begin"/>
      </w:r>
      <w:r>
        <w:rPr>
          <w:noProof/>
        </w:rPr>
        <w:instrText xml:space="preserve"> PAGEREF _Toc164175164 \h </w:instrText>
      </w:r>
      <w:r>
        <w:rPr>
          <w:noProof/>
        </w:rPr>
      </w:r>
      <w:r>
        <w:rPr>
          <w:noProof/>
        </w:rPr>
        <w:fldChar w:fldCharType="separate"/>
      </w:r>
      <w:r w:rsidR="00391843">
        <w:rPr>
          <w:noProof/>
        </w:rPr>
        <w:t>67</w:t>
      </w:r>
      <w:r>
        <w:rPr>
          <w:noProof/>
        </w:rPr>
        <w:fldChar w:fldCharType="end"/>
      </w:r>
    </w:p>
    <w:p w14:paraId="3E4CF66B" w14:textId="4DB46718"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1. Significant causes of use impairment in the Potomac-Shenandoah River</w:t>
      </w:r>
      <w:r>
        <w:rPr>
          <w:noProof/>
        </w:rPr>
        <w:tab/>
      </w:r>
      <w:r>
        <w:rPr>
          <w:noProof/>
        </w:rPr>
        <w:fldChar w:fldCharType="begin"/>
      </w:r>
      <w:r>
        <w:rPr>
          <w:noProof/>
        </w:rPr>
        <w:instrText xml:space="preserve"> PAGEREF _Toc164175165 \h </w:instrText>
      </w:r>
      <w:r>
        <w:rPr>
          <w:noProof/>
        </w:rPr>
      </w:r>
      <w:r>
        <w:rPr>
          <w:noProof/>
        </w:rPr>
        <w:fldChar w:fldCharType="separate"/>
      </w:r>
      <w:r w:rsidR="00391843">
        <w:rPr>
          <w:noProof/>
        </w:rPr>
        <w:t>74</w:t>
      </w:r>
      <w:r>
        <w:rPr>
          <w:noProof/>
        </w:rPr>
        <w:fldChar w:fldCharType="end"/>
      </w:r>
    </w:p>
    <w:p w14:paraId="29962956" w14:textId="6D91FECA"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2. Suspected sources of use impairment in the Potomac-Shenandoah River</w:t>
      </w:r>
      <w:r>
        <w:rPr>
          <w:noProof/>
        </w:rPr>
        <w:tab/>
      </w:r>
      <w:r>
        <w:rPr>
          <w:noProof/>
        </w:rPr>
        <w:fldChar w:fldCharType="begin"/>
      </w:r>
      <w:r>
        <w:rPr>
          <w:noProof/>
        </w:rPr>
        <w:instrText xml:space="preserve"> PAGEREF _Toc164175166 \h </w:instrText>
      </w:r>
      <w:r>
        <w:rPr>
          <w:noProof/>
        </w:rPr>
      </w:r>
      <w:r>
        <w:rPr>
          <w:noProof/>
        </w:rPr>
        <w:fldChar w:fldCharType="separate"/>
      </w:r>
      <w:r w:rsidR="00391843">
        <w:rPr>
          <w:noProof/>
        </w:rPr>
        <w:t>74</w:t>
      </w:r>
      <w:r>
        <w:rPr>
          <w:noProof/>
        </w:rPr>
        <w:fldChar w:fldCharType="end"/>
      </w:r>
    </w:p>
    <w:p w14:paraId="00BC8025" w14:textId="373D16E1"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3. Significant causes of use impairment in the James River basin</w:t>
      </w:r>
      <w:r>
        <w:rPr>
          <w:noProof/>
        </w:rPr>
        <w:tab/>
      </w:r>
      <w:r>
        <w:rPr>
          <w:noProof/>
        </w:rPr>
        <w:fldChar w:fldCharType="begin"/>
      </w:r>
      <w:r>
        <w:rPr>
          <w:noProof/>
        </w:rPr>
        <w:instrText xml:space="preserve"> PAGEREF _Toc164175167 \h </w:instrText>
      </w:r>
      <w:r>
        <w:rPr>
          <w:noProof/>
        </w:rPr>
      </w:r>
      <w:r>
        <w:rPr>
          <w:noProof/>
        </w:rPr>
        <w:fldChar w:fldCharType="separate"/>
      </w:r>
      <w:r w:rsidR="00391843">
        <w:rPr>
          <w:noProof/>
        </w:rPr>
        <w:t>78</w:t>
      </w:r>
      <w:r>
        <w:rPr>
          <w:noProof/>
        </w:rPr>
        <w:fldChar w:fldCharType="end"/>
      </w:r>
    </w:p>
    <w:p w14:paraId="5A8CABE2" w14:textId="45D95D2C"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4. Suspected sources of designated use impairment in the James River</w:t>
      </w:r>
      <w:r>
        <w:rPr>
          <w:noProof/>
        </w:rPr>
        <w:tab/>
      </w:r>
      <w:r>
        <w:rPr>
          <w:noProof/>
        </w:rPr>
        <w:fldChar w:fldCharType="begin"/>
      </w:r>
      <w:r>
        <w:rPr>
          <w:noProof/>
        </w:rPr>
        <w:instrText xml:space="preserve"> PAGEREF _Toc164175168 \h </w:instrText>
      </w:r>
      <w:r>
        <w:rPr>
          <w:noProof/>
        </w:rPr>
      </w:r>
      <w:r>
        <w:rPr>
          <w:noProof/>
        </w:rPr>
        <w:fldChar w:fldCharType="separate"/>
      </w:r>
      <w:r w:rsidR="00391843">
        <w:rPr>
          <w:noProof/>
        </w:rPr>
        <w:t>78</w:t>
      </w:r>
      <w:r>
        <w:rPr>
          <w:noProof/>
        </w:rPr>
        <w:fldChar w:fldCharType="end"/>
      </w:r>
    </w:p>
    <w:p w14:paraId="61AAEFE4" w14:textId="07C8A8AA"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5. Significant causes of designated use impairment in the Rappahannock River</w:t>
      </w:r>
      <w:r>
        <w:rPr>
          <w:noProof/>
        </w:rPr>
        <w:tab/>
      </w:r>
      <w:r>
        <w:rPr>
          <w:noProof/>
        </w:rPr>
        <w:fldChar w:fldCharType="begin"/>
      </w:r>
      <w:r>
        <w:rPr>
          <w:noProof/>
        </w:rPr>
        <w:instrText xml:space="preserve"> PAGEREF _Toc164175169 \h </w:instrText>
      </w:r>
      <w:r>
        <w:rPr>
          <w:noProof/>
        </w:rPr>
      </w:r>
      <w:r>
        <w:rPr>
          <w:noProof/>
        </w:rPr>
        <w:fldChar w:fldCharType="separate"/>
      </w:r>
      <w:r w:rsidR="00391843">
        <w:rPr>
          <w:noProof/>
        </w:rPr>
        <w:t>81</w:t>
      </w:r>
      <w:r>
        <w:rPr>
          <w:noProof/>
        </w:rPr>
        <w:fldChar w:fldCharType="end"/>
      </w:r>
    </w:p>
    <w:p w14:paraId="75C1ED9E" w14:textId="3CA8DFC9"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6. Suspected sources of designated use impairment in the Rappahannock River</w:t>
      </w:r>
      <w:r>
        <w:rPr>
          <w:noProof/>
        </w:rPr>
        <w:tab/>
      </w:r>
      <w:r>
        <w:rPr>
          <w:noProof/>
        </w:rPr>
        <w:fldChar w:fldCharType="begin"/>
      </w:r>
      <w:r>
        <w:rPr>
          <w:noProof/>
        </w:rPr>
        <w:instrText xml:space="preserve"> PAGEREF _Toc164175170 \h </w:instrText>
      </w:r>
      <w:r>
        <w:rPr>
          <w:noProof/>
        </w:rPr>
      </w:r>
      <w:r>
        <w:rPr>
          <w:noProof/>
        </w:rPr>
        <w:fldChar w:fldCharType="separate"/>
      </w:r>
      <w:r w:rsidR="00391843">
        <w:rPr>
          <w:noProof/>
        </w:rPr>
        <w:t>82</w:t>
      </w:r>
      <w:r>
        <w:rPr>
          <w:noProof/>
        </w:rPr>
        <w:fldChar w:fldCharType="end"/>
      </w:r>
    </w:p>
    <w:p w14:paraId="2BC5C6E7" w14:textId="09948FEF"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7. Significant causes of designated use impairment in the Roanoke River</w:t>
      </w:r>
      <w:r>
        <w:rPr>
          <w:noProof/>
        </w:rPr>
        <w:tab/>
      </w:r>
      <w:r>
        <w:rPr>
          <w:noProof/>
        </w:rPr>
        <w:fldChar w:fldCharType="begin"/>
      </w:r>
      <w:r>
        <w:rPr>
          <w:noProof/>
        </w:rPr>
        <w:instrText xml:space="preserve"> PAGEREF _Toc164175171 \h </w:instrText>
      </w:r>
      <w:r>
        <w:rPr>
          <w:noProof/>
        </w:rPr>
      </w:r>
      <w:r>
        <w:rPr>
          <w:noProof/>
        </w:rPr>
        <w:fldChar w:fldCharType="separate"/>
      </w:r>
      <w:r w:rsidR="00391843">
        <w:rPr>
          <w:noProof/>
        </w:rPr>
        <w:t>84</w:t>
      </w:r>
      <w:r>
        <w:rPr>
          <w:noProof/>
        </w:rPr>
        <w:fldChar w:fldCharType="end"/>
      </w:r>
    </w:p>
    <w:p w14:paraId="5D6C532C" w14:textId="1254047C"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8. Suspected sources of designated use impairment in the Roanoke River</w:t>
      </w:r>
      <w:r>
        <w:rPr>
          <w:noProof/>
        </w:rPr>
        <w:tab/>
      </w:r>
      <w:r>
        <w:rPr>
          <w:noProof/>
        </w:rPr>
        <w:fldChar w:fldCharType="begin"/>
      </w:r>
      <w:r>
        <w:rPr>
          <w:noProof/>
        </w:rPr>
        <w:instrText xml:space="preserve"> PAGEREF _Toc164175172 \h </w:instrText>
      </w:r>
      <w:r>
        <w:rPr>
          <w:noProof/>
        </w:rPr>
      </w:r>
      <w:r>
        <w:rPr>
          <w:noProof/>
        </w:rPr>
        <w:fldChar w:fldCharType="separate"/>
      </w:r>
      <w:r w:rsidR="00391843">
        <w:rPr>
          <w:noProof/>
        </w:rPr>
        <w:t>84</w:t>
      </w:r>
      <w:r>
        <w:rPr>
          <w:noProof/>
        </w:rPr>
        <w:fldChar w:fldCharType="end"/>
      </w:r>
    </w:p>
    <w:p w14:paraId="1FBFB539" w14:textId="03DF3269"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9. Significant causes of use impairment in the Chowan River-Dismal Swamp</w:t>
      </w:r>
      <w:r>
        <w:rPr>
          <w:noProof/>
        </w:rPr>
        <w:tab/>
      </w:r>
      <w:r>
        <w:rPr>
          <w:noProof/>
        </w:rPr>
        <w:fldChar w:fldCharType="begin"/>
      </w:r>
      <w:r>
        <w:rPr>
          <w:noProof/>
        </w:rPr>
        <w:instrText xml:space="preserve"> PAGEREF _Toc164175173 \h </w:instrText>
      </w:r>
      <w:r>
        <w:rPr>
          <w:noProof/>
        </w:rPr>
      </w:r>
      <w:r>
        <w:rPr>
          <w:noProof/>
        </w:rPr>
        <w:fldChar w:fldCharType="separate"/>
      </w:r>
      <w:r w:rsidR="00391843">
        <w:rPr>
          <w:noProof/>
        </w:rPr>
        <w:t>87</w:t>
      </w:r>
      <w:r>
        <w:rPr>
          <w:noProof/>
        </w:rPr>
        <w:fldChar w:fldCharType="end"/>
      </w:r>
    </w:p>
    <w:p w14:paraId="18981750" w14:textId="4FB8FC4D"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10. Suspected sources of use impairment in the Chowan River-Dismal Swamp</w:t>
      </w:r>
      <w:r>
        <w:rPr>
          <w:noProof/>
        </w:rPr>
        <w:tab/>
      </w:r>
      <w:r>
        <w:rPr>
          <w:noProof/>
        </w:rPr>
        <w:fldChar w:fldCharType="begin"/>
      </w:r>
      <w:r>
        <w:rPr>
          <w:noProof/>
        </w:rPr>
        <w:instrText xml:space="preserve"> PAGEREF _Toc164175174 \h </w:instrText>
      </w:r>
      <w:r>
        <w:rPr>
          <w:noProof/>
        </w:rPr>
      </w:r>
      <w:r>
        <w:rPr>
          <w:noProof/>
        </w:rPr>
        <w:fldChar w:fldCharType="separate"/>
      </w:r>
      <w:r w:rsidR="00391843">
        <w:rPr>
          <w:noProof/>
        </w:rPr>
        <w:t>88</w:t>
      </w:r>
      <w:r>
        <w:rPr>
          <w:noProof/>
        </w:rPr>
        <w:fldChar w:fldCharType="end"/>
      </w:r>
    </w:p>
    <w:p w14:paraId="1DC3161B" w14:textId="3FC772F3"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11. Significant causes of use impairment in the Tennessee-Big Sandy River</w:t>
      </w:r>
      <w:r>
        <w:rPr>
          <w:noProof/>
        </w:rPr>
        <w:tab/>
      </w:r>
      <w:r>
        <w:rPr>
          <w:noProof/>
        </w:rPr>
        <w:fldChar w:fldCharType="begin"/>
      </w:r>
      <w:r>
        <w:rPr>
          <w:noProof/>
        </w:rPr>
        <w:instrText xml:space="preserve"> PAGEREF _Toc164175175 \h </w:instrText>
      </w:r>
      <w:r>
        <w:rPr>
          <w:noProof/>
        </w:rPr>
      </w:r>
      <w:r>
        <w:rPr>
          <w:noProof/>
        </w:rPr>
        <w:fldChar w:fldCharType="separate"/>
      </w:r>
      <w:r w:rsidR="00391843">
        <w:rPr>
          <w:noProof/>
        </w:rPr>
        <w:t>90</w:t>
      </w:r>
      <w:r>
        <w:rPr>
          <w:noProof/>
        </w:rPr>
        <w:fldChar w:fldCharType="end"/>
      </w:r>
    </w:p>
    <w:p w14:paraId="6033CC91" w14:textId="2E38D668"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12. Suspected sources of use impairment in the Tennessee-Big Sandy River</w:t>
      </w:r>
      <w:r>
        <w:rPr>
          <w:noProof/>
        </w:rPr>
        <w:tab/>
      </w:r>
      <w:r>
        <w:rPr>
          <w:noProof/>
        </w:rPr>
        <w:fldChar w:fldCharType="begin"/>
      </w:r>
      <w:r>
        <w:rPr>
          <w:noProof/>
        </w:rPr>
        <w:instrText xml:space="preserve"> PAGEREF _Toc164175176 \h </w:instrText>
      </w:r>
      <w:r>
        <w:rPr>
          <w:noProof/>
        </w:rPr>
      </w:r>
      <w:r>
        <w:rPr>
          <w:noProof/>
        </w:rPr>
        <w:fldChar w:fldCharType="separate"/>
      </w:r>
      <w:r w:rsidR="00391843">
        <w:rPr>
          <w:noProof/>
        </w:rPr>
        <w:t>90</w:t>
      </w:r>
      <w:r>
        <w:rPr>
          <w:noProof/>
        </w:rPr>
        <w:fldChar w:fldCharType="end"/>
      </w:r>
    </w:p>
    <w:p w14:paraId="3E3BD0CF" w14:textId="150A3B89"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13. Significant causes of use impairment in the Chesapeake Bay/Atlantic Ocean</w:t>
      </w:r>
      <w:r>
        <w:rPr>
          <w:noProof/>
        </w:rPr>
        <w:tab/>
      </w:r>
      <w:r>
        <w:rPr>
          <w:noProof/>
        </w:rPr>
        <w:fldChar w:fldCharType="begin"/>
      </w:r>
      <w:r>
        <w:rPr>
          <w:noProof/>
        </w:rPr>
        <w:instrText xml:space="preserve"> PAGEREF _Toc164175177 \h </w:instrText>
      </w:r>
      <w:r>
        <w:rPr>
          <w:noProof/>
        </w:rPr>
      </w:r>
      <w:r>
        <w:rPr>
          <w:noProof/>
        </w:rPr>
        <w:fldChar w:fldCharType="separate"/>
      </w:r>
      <w:r w:rsidR="00391843">
        <w:rPr>
          <w:noProof/>
        </w:rPr>
        <w:t>94</w:t>
      </w:r>
      <w:r>
        <w:rPr>
          <w:noProof/>
        </w:rPr>
        <w:fldChar w:fldCharType="end"/>
      </w:r>
    </w:p>
    <w:p w14:paraId="17C671E3" w14:textId="7D6ADA14"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14. Suspected sources of use impairment in the Chesapeake Bay/Atlantic Ocean</w:t>
      </w:r>
      <w:r>
        <w:rPr>
          <w:noProof/>
        </w:rPr>
        <w:tab/>
      </w:r>
      <w:r>
        <w:rPr>
          <w:noProof/>
        </w:rPr>
        <w:fldChar w:fldCharType="begin"/>
      </w:r>
      <w:r>
        <w:rPr>
          <w:noProof/>
        </w:rPr>
        <w:instrText xml:space="preserve"> PAGEREF _Toc164175178 \h </w:instrText>
      </w:r>
      <w:r>
        <w:rPr>
          <w:noProof/>
        </w:rPr>
      </w:r>
      <w:r>
        <w:rPr>
          <w:noProof/>
        </w:rPr>
        <w:fldChar w:fldCharType="separate"/>
      </w:r>
      <w:r w:rsidR="00391843">
        <w:rPr>
          <w:noProof/>
        </w:rPr>
        <w:t>95</w:t>
      </w:r>
      <w:r>
        <w:rPr>
          <w:noProof/>
        </w:rPr>
        <w:fldChar w:fldCharType="end"/>
      </w:r>
    </w:p>
    <w:p w14:paraId="330BDF64" w14:textId="53462767"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15. Significant causes of designated use impairment in the York River basin</w:t>
      </w:r>
      <w:r>
        <w:rPr>
          <w:noProof/>
        </w:rPr>
        <w:tab/>
      </w:r>
      <w:r>
        <w:rPr>
          <w:noProof/>
        </w:rPr>
        <w:fldChar w:fldCharType="begin"/>
      </w:r>
      <w:r>
        <w:rPr>
          <w:noProof/>
        </w:rPr>
        <w:instrText xml:space="preserve"> PAGEREF _Toc164175179 \h </w:instrText>
      </w:r>
      <w:r>
        <w:rPr>
          <w:noProof/>
        </w:rPr>
      </w:r>
      <w:r>
        <w:rPr>
          <w:noProof/>
        </w:rPr>
        <w:fldChar w:fldCharType="separate"/>
      </w:r>
      <w:r w:rsidR="00391843">
        <w:rPr>
          <w:noProof/>
        </w:rPr>
        <w:t>98</w:t>
      </w:r>
      <w:r>
        <w:rPr>
          <w:noProof/>
        </w:rPr>
        <w:fldChar w:fldCharType="end"/>
      </w:r>
    </w:p>
    <w:p w14:paraId="6985D592" w14:textId="704BD487"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16. Suspected sources of designated use impairment in the York River</w:t>
      </w:r>
      <w:r>
        <w:rPr>
          <w:noProof/>
        </w:rPr>
        <w:tab/>
      </w:r>
      <w:r>
        <w:rPr>
          <w:noProof/>
        </w:rPr>
        <w:fldChar w:fldCharType="begin"/>
      </w:r>
      <w:r>
        <w:rPr>
          <w:noProof/>
        </w:rPr>
        <w:instrText xml:space="preserve"> PAGEREF _Toc164175180 \h </w:instrText>
      </w:r>
      <w:r>
        <w:rPr>
          <w:noProof/>
        </w:rPr>
      </w:r>
      <w:r>
        <w:rPr>
          <w:noProof/>
        </w:rPr>
        <w:fldChar w:fldCharType="separate"/>
      </w:r>
      <w:r w:rsidR="00391843">
        <w:rPr>
          <w:noProof/>
        </w:rPr>
        <w:t>99</w:t>
      </w:r>
      <w:r>
        <w:rPr>
          <w:noProof/>
        </w:rPr>
        <w:fldChar w:fldCharType="end"/>
      </w:r>
    </w:p>
    <w:p w14:paraId="4E5F1E80" w14:textId="38E0FB15"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17. Significant causes of designated use impairment in the New River</w:t>
      </w:r>
      <w:r>
        <w:rPr>
          <w:noProof/>
        </w:rPr>
        <w:tab/>
      </w:r>
      <w:r>
        <w:rPr>
          <w:noProof/>
        </w:rPr>
        <w:fldChar w:fldCharType="begin"/>
      </w:r>
      <w:r>
        <w:rPr>
          <w:noProof/>
        </w:rPr>
        <w:instrText xml:space="preserve"> PAGEREF _Toc164175181 \h </w:instrText>
      </w:r>
      <w:r>
        <w:rPr>
          <w:noProof/>
        </w:rPr>
      </w:r>
      <w:r>
        <w:rPr>
          <w:noProof/>
        </w:rPr>
        <w:fldChar w:fldCharType="separate"/>
      </w:r>
      <w:r w:rsidR="00391843">
        <w:rPr>
          <w:noProof/>
        </w:rPr>
        <w:t>101</w:t>
      </w:r>
      <w:r>
        <w:rPr>
          <w:noProof/>
        </w:rPr>
        <w:fldChar w:fldCharType="end"/>
      </w:r>
    </w:p>
    <w:p w14:paraId="3221F3E3" w14:textId="58631041"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4.3</w:t>
      </w:r>
      <w:r>
        <w:rPr>
          <w:noProof/>
        </w:rPr>
        <w:noBreakHyphen/>
        <w:t>18. Suspected sources of designated use impairment in the New River</w:t>
      </w:r>
      <w:r>
        <w:rPr>
          <w:noProof/>
        </w:rPr>
        <w:tab/>
      </w:r>
      <w:r>
        <w:rPr>
          <w:noProof/>
        </w:rPr>
        <w:fldChar w:fldCharType="begin"/>
      </w:r>
      <w:r>
        <w:rPr>
          <w:noProof/>
        </w:rPr>
        <w:instrText xml:space="preserve"> PAGEREF _Toc164175182 \h </w:instrText>
      </w:r>
      <w:r>
        <w:rPr>
          <w:noProof/>
        </w:rPr>
      </w:r>
      <w:r>
        <w:rPr>
          <w:noProof/>
        </w:rPr>
        <w:fldChar w:fldCharType="separate"/>
      </w:r>
      <w:r w:rsidR="00391843">
        <w:rPr>
          <w:noProof/>
        </w:rPr>
        <w:t>102</w:t>
      </w:r>
      <w:r>
        <w:rPr>
          <w:noProof/>
        </w:rPr>
        <w:fldChar w:fldCharType="end"/>
      </w:r>
    </w:p>
    <w:p w14:paraId="5B9607B5" w14:textId="4676F1C0"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4.4</w:t>
      </w:r>
      <w:r>
        <w:rPr>
          <w:noProof/>
        </w:rPr>
        <w:noBreakHyphen/>
        <w:t xml:space="preserve">1. </w:t>
      </w:r>
      <w:r w:rsidRPr="000C3878">
        <w:rPr>
          <w:noProof/>
          <w:snapToGrid/>
        </w:rPr>
        <w:t>Dissolved oxygen results</w:t>
      </w:r>
      <w:r>
        <w:rPr>
          <w:noProof/>
        </w:rPr>
        <w:tab/>
      </w:r>
      <w:r>
        <w:rPr>
          <w:noProof/>
        </w:rPr>
        <w:fldChar w:fldCharType="begin"/>
      </w:r>
      <w:r>
        <w:rPr>
          <w:noProof/>
        </w:rPr>
        <w:instrText xml:space="preserve"> PAGEREF _Toc164175183 \h </w:instrText>
      </w:r>
      <w:r>
        <w:rPr>
          <w:noProof/>
        </w:rPr>
      </w:r>
      <w:r>
        <w:rPr>
          <w:noProof/>
        </w:rPr>
        <w:fldChar w:fldCharType="separate"/>
      </w:r>
      <w:r w:rsidR="00391843">
        <w:rPr>
          <w:noProof/>
        </w:rPr>
        <w:t>108</w:t>
      </w:r>
      <w:r>
        <w:rPr>
          <w:noProof/>
        </w:rPr>
        <w:fldChar w:fldCharType="end"/>
      </w:r>
    </w:p>
    <w:p w14:paraId="25B28618" w14:textId="19FB6538"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4.4</w:t>
      </w:r>
      <w:r>
        <w:rPr>
          <w:noProof/>
        </w:rPr>
        <w:noBreakHyphen/>
        <w:t xml:space="preserve">2. </w:t>
      </w:r>
      <w:r w:rsidRPr="000C3878">
        <w:rPr>
          <w:rFonts w:cstheme="minorHAnsi"/>
          <w:noProof/>
          <w:snapToGrid/>
        </w:rPr>
        <w:t>pH results</w:t>
      </w:r>
      <w:r>
        <w:rPr>
          <w:noProof/>
        </w:rPr>
        <w:tab/>
      </w:r>
      <w:r>
        <w:rPr>
          <w:noProof/>
        </w:rPr>
        <w:fldChar w:fldCharType="begin"/>
      </w:r>
      <w:r>
        <w:rPr>
          <w:noProof/>
        </w:rPr>
        <w:instrText xml:space="preserve"> PAGEREF _Toc164175184 \h </w:instrText>
      </w:r>
      <w:r>
        <w:rPr>
          <w:noProof/>
        </w:rPr>
      </w:r>
      <w:r>
        <w:rPr>
          <w:noProof/>
        </w:rPr>
        <w:fldChar w:fldCharType="separate"/>
      </w:r>
      <w:r w:rsidR="00391843">
        <w:rPr>
          <w:noProof/>
        </w:rPr>
        <w:t>109</w:t>
      </w:r>
      <w:r>
        <w:rPr>
          <w:noProof/>
        </w:rPr>
        <w:fldChar w:fldCharType="end"/>
      </w:r>
    </w:p>
    <w:p w14:paraId="4CCF0A4E" w14:textId="6FA8A125"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4.4</w:t>
      </w:r>
      <w:r>
        <w:rPr>
          <w:noProof/>
        </w:rPr>
        <w:noBreakHyphen/>
        <w:t>3. Temperature results</w:t>
      </w:r>
      <w:r>
        <w:rPr>
          <w:noProof/>
        </w:rPr>
        <w:tab/>
      </w:r>
      <w:r>
        <w:rPr>
          <w:noProof/>
        </w:rPr>
        <w:fldChar w:fldCharType="begin"/>
      </w:r>
      <w:r>
        <w:rPr>
          <w:noProof/>
        </w:rPr>
        <w:instrText xml:space="preserve"> PAGEREF _Toc164175185 \h </w:instrText>
      </w:r>
      <w:r>
        <w:rPr>
          <w:noProof/>
        </w:rPr>
      </w:r>
      <w:r>
        <w:rPr>
          <w:noProof/>
        </w:rPr>
        <w:fldChar w:fldCharType="separate"/>
      </w:r>
      <w:r w:rsidR="00391843">
        <w:rPr>
          <w:noProof/>
        </w:rPr>
        <w:t>110</w:t>
      </w:r>
      <w:r>
        <w:rPr>
          <w:noProof/>
        </w:rPr>
        <w:fldChar w:fldCharType="end"/>
      </w:r>
    </w:p>
    <w:p w14:paraId="3DCB2608" w14:textId="7AE9F222"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4.4</w:t>
      </w:r>
      <w:r>
        <w:rPr>
          <w:noProof/>
        </w:rPr>
        <w:noBreakHyphen/>
        <w:t>4. Dissolved metals results</w:t>
      </w:r>
      <w:r>
        <w:rPr>
          <w:noProof/>
        </w:rPr>
        <w:tab/>
      </w:r>
      <w:r>
        <w:rPr>
          <w:noProof/>
        </w:rPr>
        <w:fldChar w:fldCharType="begin"/>
      </w:r>
      <w:r>
        <w:rPr>
          <w:noProof/>
        </w:rPr>
        <w:instrText xml:space="preserve"> PAGEREF _Toc164175186 \h </w:instrText>
      </w:r>
      <w:r>
        <w:rPr>
          <w:noProof/>
        </w:rPr>
      </w:r>
      <w:r>
        <w:rPr>
          <w:noProof/>
        </w:rPr>
        <w:fldChar w:fldCharType="separate"/>
      </w:r>
      <w:r w:rsidR="00391843">
        <w:rPr>
          <w:noProof/>
        </w:rPr>
        <w:t>111</w:t>
      </w:r>
      <w:r>
        <w:rPr>
          <w:noProof/>
        </w:rPr>
        <w:fldChar w:fldCharType="end"/>
      </w:r>
    </w:p>
    <w:p w14:paraId="357ED6A0" w14:textId="66EE7B4B"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4.4</w:t>
      </w:r>
      <w:r>
        <w:rPr>
          <w:noProof/>
        </w:rPr>
        <w:noBreakHyphen/>
        <w:t>5. Thresholds of condition classes for biological indicators.</w:t>
      </w:r>
      <w:r>
        <w:rPr>
          <w:noProof/>
        </w:rPr>
        <w:tab/>
      </w:r>
      <w:r>
        <w:rPr>
          <w:noProof/>
        </w:rPr>
        <w:fldChar w:fldCharType="begin"/>
      </w:r>
      <w:r>
        <w:rPr>
          <w:noProof/>
        </w:rPr>
        <w:instrText xml:space="preserve"> PAGEREF _Toc164175187 \h </w:instrText>
      </w:r>
      <w:r>
        <w:rPr>
          <w:noProof/>
        </w:rPr>
      </w:r>
      <w:r>
        <w:rPr>
          <w:noProof/>
        </w:rPr>
        <w:fldChar w:fldCharType="separate"/>
      </w:r>
      <w:r w:rsidR="00391843">
        <w:rPr>
          <w:noProof/>
        </w:rPr>
        <w:t>113</w:t>
      </w:r>
      <w:r>
        <w:rPr>
          <w:noProof/>
        </w:rPr>
        <w:fldChar w:fldCharType="end"/>
      </w:r>
    </w:p>
    <w:p w14:paraId="5DFC8A2C" w14:textId="327DCFA8"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4.4</w:t>
      </w:r>
      <w:r>
        <w:rPr>
          <w:noProof/>
        </w:rPr>
        <w:noBreakHyphen/>
        <w:t>6. VSCI/VCPMI Scores</w:t>
      </w:r>
      <w:r>
        <w:rPr>
          <w:noProof/>
        </w:rPr>
        <w:tab/>
      </w:r>
      <w:r>
        <w:rPr>
          <w:noProof/>
        </w:rPr>
        <w:fldChar w:fldCharType="begin"/>
      </w:r>
      <w:r>
        <w:rPr>
          <w:noProof/>
        </w:rPr>
        <w:instrText xml:space="preserve"> PAGEREF _Toc164175188 \h </w:instrText>
      </w:r>
      <w:r>
        <w:rPr>
          <w:noProof/>
        </w:rPr>
      </w:r>
      <w:r>
        <w:rPr>
          <w:noProof/>
        </w:rPr>
        <w:fldChar w:fldCharType="separate"/>
      </w:r>
      <w:r w:rsidR="00391843">
        <w:rPr>
          <w:noProof/>
        </w:rPr>
        <w:t>113</w:t>
      </w:r>
      <w:r>
        <w:rPr>
          <w:noProof/>
        </w:rPr>
        <w:fldChar w:fldCharType="end"/>
      </w:r>
    </w:p>
    <w:p w14:paraId="3C4D8FDA" w14:textId="1551A81E"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4.4</w:t>
      </w:r>
      <w:r>
        <w:rPr>
          <w:noProof/>
        </w:rPr>
        <w:noBreakHyphen/>
        <w:t>7. Stream size categories.</w:t>
      </w:r>
      <w:r>
        <w:rPr>
          <w:noProof/>
        </w:rPr>
        <w:tab/>
      </w:r>
      <w:r>
        <w:rPr>
          <w:noProof/>
        </w:rPr>
        <w:fldChar w:fldCharType="begin"/>
      </w:r>
      <w:r>
        <w:rPr>
          <w:noProof/>
        </w:rPr>
        <w:instrText xml:space="preserve"> PAGEREF _Toc164175189 \h </w:instrText>
      </w:r>
      <w:r>
        <w:rPr>
          <w:noProof/>
        </w:rPr>
      </w:r>
      <w:r>
        <w:rPr>
          <w:noProof/>
        </w:rPr>
        <w:fldChar w:fldCharType="separate"/>
      </w:r>
      <w:r w:rsidR="00391843">
        <w:rPr>
          <w:noProof/>
        </w:rPr>
        <w:t>114</w:t>
      </w:r>
      <w:r>
        <w:rPr>
          <w:noProof/>
        </w:rPr>
        <w:fldChar w:fldCharType="end"/>
      </w:r>
    </w:p>
    <w:p w14:paraId="06947E2F" w14:textId="5C24C3F5"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4.4</w:t>
      </w:r>
      <w:r>
        <w:rPr>
          <w:noProof/>
        </w:rPr>
        <w:noBreakHyphen/>
        <w:t>8. Thresholds of condition classes for stressor indicators</w:t>
      </w:r>
      <w:r>
        <w:rPr>
          <w:noProof/>
        </w:rPr>
        <w:tab/>
      </w:r>
      <w:r>
        <w:rPr>
          <w:noProof/>
        </w:rPr>
        <w:fldChar w:fldCharType="begin"/>
      </w:r>
      <w:r>
        <w:rPr>
          <w:noProof/>
        </w:rPr>
        <w:instrText xml:space="preserve"> PAGEREF _Toc164175190 \h </w:instrText>
      </w:r>
      <w:r>
        <w:rPr>
          <w:noProof/>
        </w:rPr>
      </w:r>
      <w:r>
        <w:rPr>
          <w:noProof/>
        </w:rPr>
        <w:fldChar w:fldCharType="separate"/>
      </w:r>
      <w:r w:rsidR="00391843">
        <w:rPr>
          <w:noProof/>
        </w:rPr>
        <w:t>119</w:t>
      </w:r>
      <w:r>
        <w:rPr>
          <w:noProof/>
        </w:rPr>
        <w:fldChar w:fldCharType="end"/>
      </w:r>
    </w:p>
    <w:p w14:paraId="09B97857" w14:textId="563C6345"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lastRenderedPageBreak/>
        <w:t>Table 4.5</w:t>
      </w:r>
      <w:r>
        <w:rPr>
          <w:noProof/>
        </w:rPr>
        <w:noBreakHyphen/>
        <w:t>1. Distribution of Estuarine ProbMon monitoring stations by drainage</w:t>
      </w:r>
      <w:r>
        <w:rPr>
          <w:noProof/>
        </w:rPr>
        <w:tab/>
      </w:r>
      <w:r>
        <w:rPr>
          <w:noProof/>
        </w:rPr>
        <w:fldChar w:fldCharType="begin"/>
      </w:r>
      <w:r>
        <w:rPr>
          <w:noProof/>
        </w:rPr>
        <w:instrText xml:space="preserve"> PAGEREF _Toc164175191 \h </w:instrText>
      </w:r>
      <w:r>
        <w:rPr>
          <w:noProof/>
        </w:rPr>
      </w:r>
      <w:r>
        <w:rPr>
          <w:noProof/>
        </w:rPr>
        <w:fldChar w:fldCharType="separate"/>
      </w:r>
      <w:r w:rsidR="00391843">
        <w:rPr>
          <w:noProof/>
        </w:rPr>
        <w:t>138</w:t>
      </w:r>
      <w:r>
        <w:rPr>
          <w:noProof/>
        </w:rPr>
        <w:fldChar w:fldCharType="end"/>
      </w:r>
    </w:p>
    <w:p w14:paraId="2B4A5BFA" w14:textId="0E955A6B"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sidRPr="000C3878">
        <w:rPr>
          <w:rFonts w:eastAsiaTheme="minorHAnsi"/>
          <w:iCs/>
          <w:noProof/>
          <w:snapToGrid/>
        </w:rPr>
        <w:t>Table 4.5</w:t>
      </w:r>
      <w:r w:rsidRPr="000C3878">
        <w:rPr>
          <w:rFonts w:eastAsiaTheme="minorHAnsi"/>
          <w:iCs/>
          <w:noProof/>
          <w:snapToGrid/>
        </w:rPr>
        <w:noBreakHyphen/>
        <w:t>2. Distribution of stations by salinity regime</w:t>
      </w:r>
      <w:r>
        <w:rPr>
          <w:noProof/>
        </w:rPr>
        <w:tab/>
      </w:r>
      <w:r>
        <w:rPr>
          <w:noProof/>
        </w:rPr>
        <w:fldChar w:fldCharType="begin"/>
      </w:r>
      <w:r>
        <w:rPr>
          <w:noProof/>
        </w:rPr>
        <w:instrText xml:space="preserve"> PAGEREF _Toc164175192 \h </w:instrText>
      </w:r>
      <w:r>
        <w:rPr>
          <w:noProof/>
        </w:rPr>
      </w:r>
      <w:r>
        <w:rPr>
          <w:noProof/>
        </w:rPr>
        <w:fldChar w:fldCharType="separate"/>
      </w:r>
      <w:r w:rsidR="00391843">
        <w:rPr>
          <w:noProof/>
        </w:rPr>
        <w:t>138</w:t>
      </w:r>
      <w:r>
        <w:rPr>
          <w:noProof/>
        </w:rPr>
        <w:fldChar w:fldCharType="end"/>
      </w:r>
    </w:p>
    <w:p w14:paraId="5EB74C67" w14:textId="15059F8F"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sidRPr="000C3878">
        <w:rPr>
          <w:rFonts w:ascii="Calibri" w:eastAsiaTheme="minorHAnsi" w:hAnsi="Calibri" w:cs="Calibri"/>
          <w:iCs/>
          <w:noProof/>
          <w:snapToGrid/>
        </w:rPr>
        <w:t>Table 4.5</w:t>
      </w:r>
      <w:r w:rsidRPr="000C3878">
        <w:rPr>
          <w:rFonts w:ascii="Calibri" w:eastAsiaTheme="minorHAnsi" w:hAnsi="Calibri" w:cs="Calibri"/>
          <w:iCs/>
          <w:noProof/>
          <w:snapToGrid/>
        </w:rPr>
        <w:noBreakHyphen/>
        <w:t>3. Estimated dissolved inorganic phosphorus (DIP) condition in Virginia’s estuaries</w:t>
      </w:r>
      <w:r>
        <w:rPr>
          <w:noProof/>
        </w:rPr>
        <w:tab/>
      </w:r>
      <w:r>
        <w:rPr>
          <w:noProof/>
        </w:rPr>
        <w:fldChar w:fldCharType="begin"/>
      </w:r>
      <w:r>
        <w:rPr>
          <w:noProof/>
        </w:rPr>
        <w:instrText xml:space="preserve"> PAGEREF _Toc164175193 \h </w:instrText>
      </w:r>
      <w:r>
        <w:rPr>
          <w:noProof/>
        </w:rPr>
      </w:r>
      <w:r>
        <w:rPr>
          <w:noProof/>
        </w:rPr>
        <w:fldChar w:fldCharType="separate"/>
      </w:r>
      <w:r w:rsidR="00391843">
        <w:rPr>
          <w:noProof/>
        </w:rPr>
        <w:t>140</w:t>
      </w:r>
      <w:r>
        <w:rPr>
          <w:noProof/>
        </w:rPr>
        <w:fldChar w:fldCharType="end"/>
      </w:r>
    </w:p>
    <w:p w14:paraId="38FAE94E" w14:textId="51CE28E8"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4. Estimated dissolved inorganic nitrogen (DIN)</w:t>
      </w:r>
      <w:r>
        <w:rPr>
          <w:noProof/>
        </w:rPr>
        <w:tab/>
      </w:r>
      <w:r>
        <w:rPr>
          <w:noProof/>
        </w:rPr>
        <w:fldChar w:fldCharType="begin"/>
      </w:r>
      <w:r>
        <w:rPr>
          <w:noProof/>
        </w:rPr>
        <w:instrText xml:space="preserve"> PAGEREF _Toc164175194 \h </w:instrText>
      </w:r>
      <w:r>
        <w:rPr>
          <w:noProof/>
        </w:rPr>
      </w:r>
      <w:r>
        <w:rPr>
          <w:noProof/>
        </w:rPr>
        <w:fldChar w:fldCharType="separate"/>
      </w:r>
      <w:r w:rsidR="00391843">
        <w:rPr>
          <w:noProof/>
        </w:rPr>
        <w:t>140</w:t>
      </w:r>
      <w:r>
        <w:rPr>
          <w:noProof/>
        </w:rPr>
        <w:fldChar w:fldCharType="end"/>
      </w:r>
    </w:p>
    <w:p w14:paraId="0CD51FAB" w14:textId="51B05685"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5. Estimated Chl-</w:t>
      </w:r>
      <w:r w:rsidRPr="000C3878">
        <w:rPr>
          <w:i/>
          <w:noProof/>
        </w:rPr>
        <w:t>a</w:t>
      </w:r>
      <w:r>
        <w:rPr>
          <w:noProof/>
        </w:rPr>
        <w:t xml:space="preserve"> condition in Virginia’s estuarine waters</w:t>
      </w:r>
      <w:r>
        <w:rPr>
          <w:noProof/>
        </w:rPr>
        <w:tab/>
      </w:r>
      <w:r>
        <w:rPr>
          <w:noProof/>
        </w:rPr>
        <w:fldChar w:fldCharType="begin"/>
      </w:r>
      <w:r>
        <w:rPr>
          <w:noProof/>
        </w:rPr>
        <w:instrText xml:space="preserve"> PAGEREF _Toc164175195 \h </w:instrText>
      </w:r>
      <w:r>
        <w:rPr>
          <w:noProof/>
        </w:rPr>
      </w:r>
      <w:r>
        <w:rPr>
          <w:noProof/>
        </w:rPr>
        <w:fldChar w:fldCharType="separate"/>
      </w:r>
      <w:r w:rsidR="00391843">
        <w:rPr>
          <w:noProof/>
        </w:rPr>
        <w:t>141</w:t>
      </w:r>
      <w:r>
        <w:rPr>
          <w:noProof/>
        </w:rPr>
        <w:fldChar w:fldCharType="end"/>
      </w:r>
    </w:p>
    <w:p w14:paraId="672C9DCA" w14:textId="5412565F"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6. Estimated near-bottom dissolved oxygen (DO) conditions</w:t>
      </w:r>
      <w:r>
        <w:rPr>
          <w:noProof/>
        </w:rPr>
        <w:tab/>
      </w:r>
      <w:r>
        <w:rPr>
          <w:noProof/>
        </w:rPr>
        <w:fldChar w:fldCharType="begin"/>
      </w:r>
      <w:r>
        <w:rPr>
          <w:noProof/>
        </w:rPr>
        <w:instrText xml:space="preserve"> PAGEREF _Toc164175196 \h </w:instrText>
      </w:r>
      <w:r>
        <w:rPr>
          <w:noProof/>
        </w:rPr>
      </w:r>
      <w:r>
        <w:rPr>
          <w:noProof/>
        </w:rPr>
        <w:fldChar w:fldCharType="separate"/>
      </w:r>
      <w:r w:rsidR="00391843">
        <w:rPr>
          <w:noProof/>
        </w:rPr>
        <w:t>141</w:t>
      </w:r>
      <w:r>
        <w:rPr>
          <w:noProof/>
        </w:rPr>
        <w:fldChar w:fldCharType="end"/>
      </w:r>
    </w:p>
    <w:p w14:paraId="35AE30D7" w14:textId="2E8ED894"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7. Percent transmittance of PAR used as benchmarks for water clarity condition</w:t>
      </w:r>
      <w:r>
        <w:rPr>
          <w:noProof/>
        </w:rPr>
        <w:tab/>
      </w:r>
      <w:r>
        <w:rPr>
          <w:noProof/>
        </w:rPr>
        <w:fldChar w:fldCharType="begin"/>
      </w:r>
      <w:r>
        <w:rPr>
          <w:noProof/>
        </w:rPr>
        <w:instrText xml:space="preserve"> PAGEREF _Toc164175197 \h </w:instrText>
      </w:r>
      <w:r>
        <w:rPr>
          <w:noProof/>
        </w:rPr>
      </w:r>
      <w:r>
        <w:rPr>
          <w:noProof/>
        </w:rPr>
        <w:fldChar w:fldCharType="separate"/>
      </w:r>
      <w:r w:rsidR="00391843">
        <w:rPr>
          <w:noProof/>
        </w:rPr>
        <w:t>142</w:t>
      </w:r>
      <w:r>
        <w:rPr>
          <w:noProof/>
        </w:rPr>
        <w:fldChar w:fldCharType="end"/>
      </w:r>
    </w:p>
    <w:p w14:paraId="76947581" w14:textId="509C27A0"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8. </w:t>
      </w:r>
      <w:r w:rsidRPr="000C3878">
        <w:rPr>
          <w:rFonts w:cstheme="minorHAnsi"/>
          <w:noProof/>
        </w:rPr>
        <w:t>Chesapeake Bay Program water clarity criteria for shallow-water bay grass</w:t>
      </w:r>
      <w:r>
        <w:rPr>
          <w:noProof/>
        </w:rPr>
        <w:tab/>
      </w:r>
      <w:r>
        <w:rPr>
          <w:noProof/>
        </w:rPr>
        <w:fldChar w:fldCharType="begin"/>
      </w:r>
      <w:r>
        <w:rPr>
          <w:noProof/>
        </w:rPr>
        <w:instrText xml:space="preserve"> PAGEREF _Toc164175198 \h </w:instrText>
      </w:r>
      <w:r>
        <w:rPr>
          <w:noProof/>
        </w:rPr>
      </w:r>
      <w:r>
        <w:rPr>
          <w:noProof/>
        </w:rPr>
        <w:fldChar w:fldCharType="separate"/>
      </w:r>
      <w:r w:rsidR="00391843">
        <w:rPr>
          <w:noProof/>
        </w:rPr>
        <w:t>143</w:t>
      </w:r>
      <w:r>
        <w:rPr>
          <w:noProof/>
        </w:rPr>
        <w:fldChar w:fldCharType="end"/>
      </w:r>
    </w:p>
    <w:p w14:paraId="386CC80E" w14:textId="1B8398D1"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9. </w:t>
      </w:r>
      <w:r w:rsidRPr="000C3878">
        <w:rPr>
          <w:rFonts w:cstheme="minorHAnsi"/>
          <w:noProof/>
        </w:rPr>
        <w:t>Water clarity (PAR) condition by habitat type</w:t>
      </w:r>
      <w:r>
        <w:rPr>
          <w:noProof/>
        </w:rPr>
        <w:tab/>
      </w:r>
      <w:r>
        <w:rPr>
          <w:noProof/>
        </w:rPr>
        <w:fldChar w:fldCharType="begin"/>
      </w:r>
      <w:r>
        <w:rPr>
          <w:noProof/>
        </w:rPr>
        <w:instrText xml:space="preserve"> PAGEREF _Toc164175199 \h </w:instrText>
      </w:r>
      <w:r>
        <w:rPr>
          <w:noProof/>
        </w:rPr>
      </w:r>
      <w:r>
        <w:rPr>
          <w:noProof/>
        </w:rPr>
        <w:fldChar w:fldCharType="separate"/>
      </w:r>
      <w:r w:rsidR="00391843">
        <w:rPr>
          <w:noProof/>
        </w:rPr>
        <w:t>143</w:t>
      </w:r>
      <w:r>
        <w:rPr>
          <w:noProof/>
        </w:rPr>
        <w:fldChar w:fldCharType="end"/>
      </w:r>
    </w:p>
    <w:p w14:paraId="40439408" w14:textId="3136727B"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10. Estimated Water Quality Index (WQI) conditions in Virginia’s estuarine waters</w:t>
      </w:r>
      <w:r>
        <w:rPr>
          <w:noProof/>
        </w:rPr>
        <w:tab/>
      </w:r>
      <w:r>
        <w:rPr>
          <w:noProof/>
        </w:rPr>
        <w:fldChar w:fldCharType="begin"/>
      </w:r>
      <w:r>
        <w:rPr>
          <w:noProof/>
        </w:rPr>
        <w:instrText xml:space="preserve"> PAGEREF _Toc164175200 \h </w:instrText>
      </w:r>
      <w:r>
        <w:rPr>
          <w:noProof/>
        </w:rPr>
      </w:r>
      <w:r>
        <w:rPr>
          <w:noProof/>
        </w:rPr>
        <w:fldChar w:fldCharType="separate"/>
      </w:r>
      <w:r w:rsidR="00391843">
        <w:rPr>
          <w:noProof/>
        </w:rPr>
        <w:t>144</w:t>
      </w:r>
      <w:r>
        <w:rPr>
          <w:noProof/>
        </w:rPr>
        <w:fldChar w:fldCharType="end"/>
      </w:r>
    </w:p>
    <w:p w14:paraId="7B92D3AA" w14:textId="7CEC9DCC"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11. </w:t>
      </w:r>
      <w:r w:rsidRPr="000C3878">
        <w:rPr>
          <w:rFonts w:cstheme="minorHAnsi"/>
          <w:noProof/>
        </w:rPr>
        <w:t>Benchmarks for regional Water Quality Index condition</w:t>
      </w:r>
      <w:r>
        <w:rPr>
          <w:noProof/>
        </w:rPr>
        <w:tab/>
      </w:r>
      <w:r>
        <w:rPr>
          <w:noProof/>
        </w:rPr>
        <w:fldChar w:fldCharType="begin"/>
      </w:r>
      <w:r>
        <w:rPr>
          <w:noProof/>
        </w:rPr>
        <w:instrText xml:space="preserve"> PAGEREF _Toc164175201 \h </w:instrText>
      </w:r>
      <w:r>
        <w:rPr>
          <w:noProof/>
        </w:rPr>
      </w:r>
      <w:r>
        <w:rPr>
          <w:noProof/>
        </w:rPr>
        <w:fldChar w:fldCharType="separate"/>
      </w:r>
      <w:r w:rsidR="00391843">
        <w:rPr>
          <w:noProof/>
        </w:rPr>
        <w:t>145</w:t>
      </w:r>
      <w:r>
        <w:rPr>
          <w:noProof/>
        </w:rPr>
        <w:fldChar w:fldCharType="end"/>
      </w:r>
    </w:p>
    <w:p w14:paraId="4ACF1C04" w14:textId="5B34D334"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12. </w:t>
      </w:r>
      <w:r w:rsidRPr="000C3878">
        <w:rPr>
          <w:rFonts w:cstheme="minorHAnsi"/>
          <w:noProof/>
        </w:rPr>
        <w:t>Number of stations and measurements with pH exceedances</w:t>
      </w:r>
      <w:r>
        <w:rPr>
          <w:noProof/>
        </w:rPr>
        <w:tab/>
      </w:r>
      <w:r>
        <w:rPr>
          <w:noProof/>
        </w:rPr>
        <w:fldChar w:fldCharType="begin"/>
      </w:r>
      <w:r>
        <w:rPr>
          <w:noProof/>
        </w:rPr>
        <w:instrText xml:space="preserve"> PAGEREF _Toc164175202 \h </w:instrText>
      </w:r>
      <w:r>
        <w:rPr>
          <w:noProof/>
        </w:rPr>
      </w:r>
      <w:r>
        <w:rPr>
          <w:noProof/>
        </w:rPr>
        <w:fldChar w:fldCharType="separate"/>
      </w:r>
      <w:r w:rsidR="00391843">
        <w:rPr>
          <w:noProof/>
        </w:rPr>
        <w:t>145</w:t>
      </w:r>
      <w:r>
        <w:rPr>
          <w:noProof/>
        </w:rPr>
        <w:fldChar w:fldCharType="end"/>
      </w:r>
    </w:p>
    <w:p w14:paraId="067297A7" w14:textId="0D54DEAF"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13. </w:t>
      </w:r>
      <w:r w:rsidRPr="000C3878">
        <w:rPr>
          <w:rFonts w:cstheme="minorHAnsi"/>
          <w:noProof/>
        </w:rPr>
        <w:t>Analytes measured in sediment samples, 2017-2022.</w:t>
      </w:r>
      <w:r>
        <w:rPr>
          <w:noProof/>
        </w:rPr>
        <w:tab/>
      </w:r>
      <w:r>
        <w:rPr>
          <w:noProof/>
        </w:rPr>
        <w:fldChar w:fldCharType="begin"/>
      </w:r>
      <w:r>
        <w:rPr>
          <w:noProof/>
        </w:rPr>
        <w:instrText xml:space="preserve"> PAGEREF _Toc164175203 \h </w:instrText>
      </w:r>
      <w:r>
        <w:rPr>
          <w:noProof/>
        </w:rPr>
      </w:r>
      <w:r>
        <w:rPr>
          <w:noProof/>
        </w:rPr>
        <w:fldChar w:fldCharType="separate"/>
      </w:r>
      <w:r w:rsidR="00391843">
        <w:rPr>
          <w:noProof/>
        </w:rPr>
        <w:t>147</w:t>
      </w:r>
      <w:r>
        <w:rPr>
          <w:noProof/>
        </w:rPr>
        <w:fldChar w:fldCharType="end"/>
      </w:r>
    </w:p>
    <w:p w14:paraId="75309F1B" w14:textId="0192C3C5"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14.</w:t>
      </w:r>
      <w:r w:rsidRPr="000C3878">
        <w:rPr>
          <w:rFonts w:cstheme="minorHAnsi"/>
          <w:noProof/>
        </w:rPr>
        <w:t xml:space="preserve"> Sediment Quality Guideline (SQG) screening values based on salinity regime.</w:t>
      </w:r>
      <w:r>
        <w:rPr>
          <w:noProof/>
        </w:rPr>
        <w:tab/>
      </w:r>
      <w:r>
        <w:rPr>
          <w:noProof/>
        </w:rPr>
        <w:fldChar w:fldCharType="begin"/>
      </w:r>
      <w:r>
        <w:rPr>
          <w:noProof/>
        </w:rPr>
        <w:instrText xml:space="preserve"> PAGEREF _Toc164175204 \h </w:instrText>
      </w:r>
      <w:r>
        <w:rPr>
          <w:noProof/>
        </w:rPr>
      </w:r>
      <w:r>
        <w:rPr>
          <w:noProof/>
        </w:rPr>
        <w:fldChar w:fldCharType="separate"/>
      </w:r>
      <w:r w:rsidR="00391843">
        <w:rPr>
          <w:noProof/>
        </w:rPr>
        <w:t>148</w:t>
      </w:r>
      <w:r>
        <w:rPr>
          <w:noProof/>
        </w:rPr>
        <w:fldChar w:fldCharType="end"/>
      </w:r>
    </w:p>
    <w:p w14:paraId="6554CCE9" w14:textId="4F0ABED1"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15. Estimated </w:t>
      </w:r>
      <w:r w:rsidRPr="000C3878">
        <w:rPr>
          <w:rFonts w:cstheme="minorHAnsi"/>
          <w:noProof/>
        </w:rPr>
        <w:t>mean Sediment Quality Guideline Quotient (mSQG-Q)</w:t>
      </w:r>
      <w:r>
        <w:rPr>
          <w:noProof/>
        </w:rPr>
        <w:tab/>
      </w:r>
      <w:r>
        <w:rPr>
          <w:noProof/>
        </w:rPr>
        <w:fldChar w:fldCharType="begin"/>
      </w:r>
      <w:r>
        <w:rPr>
          <w:noProof/>
        </w:rPr>
        <w:instrText xml:space="preserve"> PAGEREF _Toc164175205 \h </w:instrText>
      </w:r>
      <w:r>
        <w:rPr>
          <w:noProof/>
        </w:rPr>
      </w:r>
      <w:r>
        <w:rPr>
          <w:noProof/>
        </w:rPr>
        <w:fldChar w:fldCharType="separate"/>
      </w:r>
      <w:r w:rsidR="00391843">
        <w:rPr>
          <w:noProof/>
        </w:rPr>
        <w:t>148</w:t>
      </w:r>
      <w:r>
        <w:rPr>
          <w:noProof/>
        </w:rPr>
        <w:fldChar w:fldCharType="end"/>
      </w:r>
    </w:p>
    <w:p w14:paraId="0145FB76" w14:textId="4B499B79"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16. Estimated </w:t>
      </w:r>
      <w:r w:rsidRPr="000C3878">
        <w:rPr>
          <w:rFonts w:cstheme="minorHAnsi"/>
          <w:noProof/>
        </w:rPr>
        <w:t>logistic regression Pmax conditions in Virginia’s estuarine waters</w:t>
      </w:r>
      <w:r>
        <w:rPr>
          <w:noProof/>
        </w:rPr>
        <w:tab/>
      </w:r>
      <w:r>
        <w:rPr>
          <w:noProof/>
        </w:rPr>
        <w:fldChar w:fldCharType="begin"/>
      </w:r>
      <w:r>
        <w:rPr>
          <w:noProof/>
        </w:rPr>
        <w:instrText xml:space="preserve"> PAGEREF _Toc164175206 \h </w:instrText>
      </w:r>
      <w:r>
        <w:rPr>
          <w:noProof/>
        </w:rPr>
      </w:r>
      <w:r>
        <w:rPr>
          <w:noProof/>
        </w:rPr>
        <w:fldChar w:fldCharType="separate"/>
      </w:r>
      <w:r w:rsidR="00391843">
        <w:rPr>
          <w:noProof/>
        </w:rPr>
        <w:t>149</w:t>
      </w:r>
      <w:r>
        <w:rPr>
          <w:noProof/>
        </w:rPr>
        <w:fldChar w:fldCharType="end"/>
      </w:r>
    </w:p>
    <w:p w14:paraId="74CC9829" w14:textId="2A49AA5E"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17. Estimated </w:t>
      </w:r>
      <w:r w:rsidRPr="000C3878">
        <w:rPr>
          <w:rFonts w:cstheme="minorHAnsi"/>
          <w:noProof/>
        </w:rPr>
        <w:t>condition of Equilibrium Partitioning Sediment Benchmarks</w:t>
      </w:r>
      <w:r>
        <w:rPr>
          <w:noProof/>
        </w:rPr>
        <w:tab/>
      </w:r>
      <w:r>
        <w:rPr>
          <w:noProof/>
        </w:rPr>
        <w:fldChar w:fldCharType="begin"/>
      </w:r>
      <w:r>
        <w:rPr>
          <w:noProof/>
        </w:rPr>
        <w:instrText xml:space="preserve"> PAGEREF _Toc164175207 \h </w:instrText>
      </w:r>
      <w:r>
        <w:rPr>
          <w:noProof/>
        </w:rPr>
      </w:r>
      <w:r>
        <w:rPr>
          <w:noProof/>
        </w:rPr>
        <w:fldChar w:fldCharType="separate"/>
      </w:r>
      <w:r w:rsidR="00391843">
        <w:rPr>
          <w:noProof/>
        </w:rPr>
        <w:t>150</w:t>
      </w:r>
      <w:r>
        <w:rPr>
          <w:noProof/>
        </w:rPr>
        <w:fldChar w:fldCharType="end"/>
      </w:r>
    </w:p>
    <w:p w14:paraId="67F642DF" w14:textId="5B4A7C92"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18. Estimated </w:t>
      </w:r>
      <w:r w:rsidRPr="000C3878">
        <w:rPr>
          <w:rFonts w:cstheme="minorHAnsi"/>
          <w:noProof/>
        </w:rPr>
        <w:t>integrated Sediment Chemistry Index (SCI) conditions</w:t>
      </w:r>
      <w:r>
        <w:rPr>
          <w:noProof/>
        </w:rPr>
        <w:tab/>
      </w:r>
      <w:r>
        <w:rPr>
          <w:noProof/>
        </w:rPr>
        <w:fldChar w:fldCharType="begin"/>
      </w:r>
      <w:r>
        <w:rPr>
          <w:noProof/>
        </w:rPr>
        <w:instrText xml:space="preserve"> PAGEREF _Toc164175208 \h </w:instrText>
      </w:r>
      <w:r>
        <w:rPr>
          <w:noProof/>
        </w:rPr>
      </w:r>
      <w:r>
        <w:rPr>
          <w:noProof/>
        </w:rPr>
        <w:fldChar w:fldCharType="separate"/>
      </w:r>
      <w:r w:rsidR="00391843">
        <w:rPr>
          <w:noProof/>
        </w:rPr>
        <w:t>150</w:t>
      </w:r>
      <w:r>
        <w:rPr>
          <w:noProof/>
        </w:rPr>
        <w:fldChar w:fldCharType="end"/>
      </w:r>
    </w:p>
    <w:p w14:paraId="6D7052A1" w14:textId="4E6C6C07"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19. </w:t>
      </w:r>
      <w:r w:rsidRPr="000C3878">
        <w:rPr>
          <w:rFonts w:cstheme="minorHAnsi"/>
          <w:noProof/>
        </w:rPr>
        <w:t>Toxicity conditions and thresholds</w:t>
      </w:r>
      <w:r>
        <w:rPr>
          <w:noProof/>
        </w:rPr>
        <w:tab/>
      </w:r>
      <w:r>
        <w:rPr>
          <w:noProof/>
        </w:rPr>
        <w:fldChar w:fldCharType="begin"/>
      </w:r>
      <w:r>
        <w:rPr>
          <w:noProof/>
        </w:rPr>
        <w:instrText xml:space="preserve"> PAGEREF _Toc164175209 \h </w:instrText>
      </w:r>
      <w:r>
        <w:rPr>
          <w:noProof/>
        </w:rPr>
      </w:r>
      <w:r>
        <w:rPr>
          <w:noProof/>
        </w:rPr>
        <w:fldChar w:fldCharType="separate"/>
      </w:r>
      <w:r w:rsidR="00391843">
        <w:rPr>
          <w:noProof/>
        </w:rPr>
        <w:t>151</w:t>
      </w:r>
      <w:r>
        <w:rPr>
          <w:noProof/>
        </w:rPr>
        <w:fldChar w:fldCharType="end"/>
      </w:r>
    </w:p>
    <w:p w14:paraId="091EE0BB" w14:textId="353C77D7"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20. Estimated </w:t>
      </w:r>
      <w:r w:rsidRPr="000C3878">
        <w:rPr>
          <w:rFonts w:cstheme="minorHAnsi"/>
          <w:noProof/>
        </w:rPr>
        <w:t>Sediment Quality Index (SQI) conditions</w:t>
      </w:r>
      <w:r>
        <w:rPr>
          <w:noProof/>
        </w:rPr>
        <w:tab/>
      </w:r>
      <w:r>
        <w:rPr>
          <w:noProof/>
        </w:rPr>
        <w:fldChar w:fldCharType="begin"/>
      </w:r>
      <w:r>
        <w:rPr>
          <w:noProof/>
        </w:rPr>
        <w:instrText xml:space="preserve"> PAGEREF _Toc164175210 \h </w:instrText>
      </w:r>
      <w:r>
        <w:rPr>
          <w:noProof/>
        </w:rPr>
      </w:r>
      <w:r>
        <w:rPr>
          <w:noProof/>
        </w:rPr>
        <w:fldChar w:fldCharType="separate"/>
      </w:r>
      <w:r w:rsidR="00391843">
        <w:rPr>
          <w:noProof/>
        </w:rPr>
        <w:t>152</w:t>
      </w:r>
      <w:r>
        <w:rPr>
          <w:noProof/>
        </w:rPr>
        <w:fldChar w:fldCharType="end"/>
      </w:r>
    </w:p>
    <w:p w14:paraId="00A00B54" w14:textId="61DB4F12"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21.</w:t>
      </w:r>
      <w:r w:rsidRPr="000C3878">
        <w:rPr>
          <w:rFonts w:cstheme="minorHAnsi"/>
          <w:noProof/>
        </w:rPr>
        <w:t xml:space="preserve"> Modified and original benchmark values for each benthic index.</w:t>
      </w:r>
      <w:r>
        <w:rPr>
          <w:noProof/>
        </w:rPr>
        <w:tab/>
      </w:r>
      <w:r>
        <w:rPr>
          <w:noProof/>
        </w:rPr>
        <w:fldChar w:fldCharType="begin"/>
      </w:r>
      <w:r>
        <w:rPr>
          <w:noProof/>
        </w:rPr>
        <w:instrText xml:space="preserve"> PAGEREF _Toc164175211 \h </w:instrText>
      </w:r>
      <w:r>
        <w:rPr>
          <w:noProof/>
        </w:rPr>
      </w:r>
      <w:r>
        <w:rPr>
          <w:noProof/>
        </w:rPr>
        <w:fldChar w:fldCharType="separate"/>
      </w:r>
      <w:r w:rsidR="00391843">
        <w:rPr>
          <w:noProof/>
        </w:rPr>
        <w:t>153</w:t>
      </w:r>
      <w:r>
        <w:rPr>
          <w:noProof/>
        </w:rPr>
        <w:fldChar w:fldCharType="end"/>
      </w:r>
    </w:p>
    <w:p w14:paraId="16DF3B22" w14:textId="70D61DD6"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22. Estimated </w:t>
      </w:r>
      <w:r w:rsidRPr="000C3878">
        <w:rPr>
          <w:rFonts w:cstheme="minorHAnsi"/>
          <w:noProof/>
        </w:rPr>
        <w:t>benthic community condition in Virginia’s estuarine waters</w:t>
      </w:r>
      <w:r>
        <w:rPr>
          <w:noProof/>
        </w:rPr>
        <w:tab/>
      </w:r>
      <w:r>
        <w:rPr>
          <w:noProof/>
        </w:rPr>
        <w:fldChar w:fldCharType="begin"/>
      </w:r>
      <w:r>
        <w:rPr>
          <w:noProof/>
        </w:rPr>
        <w:instrText xml:space="preserve"> PAGEREF _Toc164175212 \h </w:instrText>
      </w:r>
      <w:r>
        <w:rPr>
          <w:noProof/>
        </w:rPr>
      </w:r>
      <w:r>
        <w:rPr>
          <w:noProof/>
        </w:rPr>
        <w:fldChar w:fldCharType="separate"/>
      </w:r>
      <w:r w:rsidR="00391843">
        <w:rPr>
          <w:noProof/>
        </w:rPr>
        <w:t>153</w:t>
      </w:r>
      <w:r>
        <w:rPr>
          <w:noProof/>
        </w:rPr>
        <w:fldChar w:fldCharType="end"/>
      </w:r>
    </w:p>
    <w:p w14:paraId="0CEC41E0" w14:textId="75DBF2DA"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 xml:space="preserve">23. </w:t>
      </w:r>
      <w:r w:rsidRPr="000C3878">
        <w:rPr>
          <w:rFonts w:cstheme="minorHAnsi"/>
          <w:noProof/>
        </w:rPr>
        <w:t>Numeric degradation scores assigned to each benthic index condition</w:t>
      </w:r>
      <w:r>
        <w:rPr>
          <w:noProof/>
        </w:rPr>
        <w:tab/>
      </w:r>
      <w:r>
        <w:rPr>
          <w:noProof/>
        </w:rPr>
        <w:fldChar w:fldCharType="begin"/>
      </w:r>
      <w:r>
        <w:rPr>
          <w:noProof/>
        </w:rPr>
        <w:instrText xml:space="preserve"> PAGEREF _Toc164175213 \h </w:instrText>
      </w:r>
      <w:r>
        <w:rPr>
          <w:noProof/>
        </w:rPr>
      </w:r>
      <w:r>
        <w:rPr>
          <w:noProof/>
        </w:rPr>
        <w:fldChar w:fldCharType="separate"/>
      </w:r>
      <w:r w:rsidR="00391843">
        <w:rPr>
          <w:noProof/>
        </w:rPr>
        <w:t>154</w:t>
      </w:r>
      <w:r>
        <w:rPr>
          <w:noProof/>
        </w:rPr>
        <w:fldChar w:fldCharType="end"/>
      </w:r>
    </w:p>
    <w:p w14:paraId="5EA7E808" w14:textId="3BB8187E"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24.</w:t>
      </w:r>
      <w:r w:rsidRPr="000C3878">
        <w:rPr>
          <w:rFonts w:cstheme="minorHAnsi"/>
          <w:noProof/>
        </w:rPr>
        <w:t xml:space="preserve"> Relative weighting of benthic indices by estuarine region</w:t>
      </w:r>
      <w:r>
        <w:rPr>
          <w:noProof/>
        </w:rPr>
        <w:tab/>
      </w:r>
      <w:r>
        <w:rPr>
          <w:noProof/>
        </w:rPr>
        <w:fldChar w:fldCharType="begin"/>
      </w:r>
      <w:r>
        <w:rPr>
          <w:noProof/>
        </w:rPr>
        <w:instrText xml:space="preserve"> PAGEREF _Toc164175214 \h </w:instrText>
      </w:r>
      <w:r>
        <w:rPr>
          <w:noProof/>
        </w:rPr>
      </w:r>
      <w:r>
        <w:rPr>
          <w:noProof/>
        </w:rPr>
        <w:fldChar w:fldCharType="separate"/>
      </w:r>
      <w:r w:rsidR="00391843">
        <w:rPr>
          <w:noProof/>
        </w:rPr>
        <w:t>154</w:t>
      </w:r>
      <w:r>
        <w:rPr>
          <w:noProof/>
        </w:rPr>
        <w:fldChar w:fldCharType="end"/>
      </w:r>
    </w:p>
    <w:p w14:paraId="6A7D5F32" w14:textId="626DABA9"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25.</w:t>
      </w:r>
      <w:r w:rsidRPr="000C3878">
        <w:rPr>
          <w:rFonts w:cstheme="minorHAnsi"/>
          <w:noProof/>
        </w:rPr>
        <w:t xml:space="preserve"> Estimated weighted average Integrated Benthic Score (IBS) conditions</w:t>
      </w:r>
      <w:r>
        <w:rPr>
          <w:noProof/>
        </w:rPr>
        <w:tab/>
      </w:r>
      <w:r>
        <w:rPr>
          <w:noProof/>
        </w:rPr>
        <w:fldChar w:fldCharType="begin"/>
      </w:r>
      <w:r>
        <w:rPr>
          <w:noProof/>
        </w:rPr>
        <w:instrText xml:space="preserve"> PAGEREF _Toc164175215 \h </w:instrText>
      </w:r>
      <w:r>
        <w:rPr>
          <w:noProof/>
        </w:rPr>
      </w:r>
      <w:r>
        <w:rPr>
          <w:noProof/>
        </w:rPr>
        <w:fldChar w:fldCharType="separate"/>
      </w:r>
      <w:r w:rsidR="00391843">
        <w:rPr>
          <w:noProof/>
        </w:rPr>
        <w:t>155</w:t>
      </w:r>
      <w:r>
        <w:rPr>
          <w:noProof/>
        </w:rPr>
        <w:fldChar w:fldCharType="end"/>
      </w:r>
    </w:p>
    <w:p w14:paraId="66B9F30E" w14:textId="78EDB518"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26. Assessment categories regarding aquatic life designated use (ALU)</w:t>
      </w:r>
      <w:r>
        <w:rPr>
          <w:noProof/>
        </w:rPr>
        <w:tab/>
      </w:r>
      <w:r>
        <w:rPr>
          <w:noProof/>
        </w:rPr>
        <w:fldChar w:fldCharType="begin"/>
      </w:r>
      <w:r>
        <w:rPr>
          <w:noProof/>
        </w:rPr>
        <w:instrText xml:space="preserve"> PAGEREF _Toc164175216 \h </w:instrText>
      </w:r>
      <w:r>
        <w:rPr>
          <w:noProof/>
        </w:rPr>
      </w:r>
      <w:r>
        <w:rPr>
          <w:noProof/>
        </w:rPr>
        <w:fldChar w:fldCharType="separate"/>
      </w:r>
      <w:r w:rsidR="00391843">
        <w:rPr>
          <w:noProof/>
        </w:rPr>
        <w:t>156</w:t>
      </w:r>
      <w:r>
        <w:rPr>
          <w:noProof/>
        </w:rPr>
        <w:fldChar w:fldCharType="end"/>
      </w:r>
    </w:p>
    <w:p w14:paraId="06AE3D86" w14:textId="5F9ECC00"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4.5</w:t>
      </w:r>
      <w:r>
        <w:rPr>
          <w:noProof/>
        </w:rPr>
        <w:noBreakHyphen/>
        <w:t>27.</w:t>
      </w:r>
      <w:r w:rsidRPr="000C3878">
        <w:rPr>
          <w:rFonts w:cstheme="minorHAnsi"/>
          <w:noProof/>
        </w:rPr>
        <w:t xml:space="preserve"> Estimated generalized condition for each aggregated index</w:t>
      </w:r>
      <w:r>
        <w:rPr>
          <w:noProof/>
        </w:rPr>
        <w:tab/>
      </w:r>
      <w:r>
        <w:rPr>
          <w:noProof/>
        </w:rPr>
        <w:fldChar w:fldCharType="begin"/>
      </w:r>
      <w:r>
        <w:rPr>
          <w:noProof/>
        </w:rPr>
        <w:instrText xml:space="preserve"> PAGEREF _Toc164175217 \h </w:instrText>
      </w:r>
      <w:r>
        <w:rPr>
          <w:noProof/>
        </w:rPr>
      </w:r>
      <w:r>
        <w:rPr>
          <w:noProof/>
        </w:rPr>
        <w:fldChar w:fldCharType="separate"/>
      </w:r>
      <w:r w:rsidR="00391843">
        <w:rPr>
          <w:noProof/>
        </w:rPr>
        <w:t>157</w:t>
      </w:r>
      <w:r>
        <w:rPr>
          <w:noProof/>
        </w:rPr>
        <w:fldChar w:fldCharType="end"/>
      </w:r>
    </w:p>
    <w:p w14:paraId="657B048F" w14:textId="5C01A325"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4.6</w:t>
      </w:r>
      <w:r>
        <w:rPr>
          <w:noProof/>
        </w:rPr>
        <w:noBreakHyphen/>
        <w:t xml:space="preserve">1. </w:t>
      </w:r>
      <w:r w:rsidRPr="000C3878">
        <w:rPr>
          <w:rFonts w:cstheme="minorHAnsi"/>
          <w:noProof/>
        </w:rPr>
        <w:t>Chesapeake Bay dissolved oxygen criteria.</w:t>
      </w:r>
      <w:r>
        <w:rPr>
          <w:noProof/>
        </w:rPr>
        <w:tab/>
      </w:r>
      <w:r>
        <w:rPr>
          <w:noProof/>
        </w:rPr>
        <w:fldChar w:fldCharType="begin"/>
      </w:r>
      <w:r>
        <w:rPr>
          <w:noProof/>
        </w:rPr>
        <w:instrText xml:space="preserve"> PAGEREF _Toc164175218 \h </w:instrText>
      </w:r>
      <w:r>
        <w:rPr>
          <w:noProof/>
        </w:rPr>
      </w:r>
      <w:r>
        <w:rPr>
          <w:noProof/>
        </w:rPr>
        <w:fldChar w:fldCharType="separate"/>
      </w:r>
      <w:r w:rsidR="00391843">
        <w:rPr>
          <w:noProof/>
        </w:rPr>
        <w:t>162</w:t>
      </w:r>
      <w:r>
        <w:rPr>
          <w:noProof/>
        </w:rPr>
        <w:fldChar w:fldCharType="end"/>
      </w:r>
    </w:p>
    <w:p w14:paraId="3B6ADBB5" w14:textId="3F217CC3"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4.6</w:t>
      </w:r>
      <w:r>
        <w:rPr>
          <w:noProof/>
        </w:rPr>
        <w:noBreakHyphen/>
        <w:t xml:space="preserve">2. </w:t>
      </w:r>
      <w:r w:rsidRPr="000C3878">
        <w:rPr>
          <w:rFonts w:cstheme="minorHAnsi"/>
          <w:noProof/>
        </w:rPr>
        <w:t>Summary of Chesapeake Bay water clarity criteria</w:t>
      </w:r>
      <w:r>
        <w:rPr>
          <w:noProof/>
        </w:rPr>
        <w:tab/>
      </w:r>
      <w:r>
        <w:rPr>
          <w:noProof/>
        </w:rPr>
        <w:fldChar w:fldCharType="begin"/>
      </w:r>
      <w:r>
        <w:rPr>
          <w:noProof/>
        </w:rPr>
        <w:instrText xml:space="preserve"> PAGEREF _Toc164175219 \h </w:instrText>
      </w:r>
      <w:r>
        <w:rPr>
          <w:noProof/>
        </w:rPr>
      </w:r>
      <w:r>
        <w:rPr>
          <w:noProof/>
        </w:rPr>
        <w:fldChar w:fldCharType="separate"/>
      </w:r>
      <w:r w:rsidR="00391843">
        <w:rPr>
          <w:noProof/>
        </w:rPr>
        <w:t>163</w:t>
      </w:r>
      <w:r>
        <w:rPr>
          <w:noProof/>
        </w:rPr>
        <w:fldChar w:fldCharType="end"/>
      </w:r>
    </w:p>
    <w:p w14:paraId="0D7B8EF7" w14:textId="0730DC88"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4.6</w:t>
      </w:r>
      <w:r>
        <w:rPr>
          <w:noProof/>
        </w:rPr>
        <w:noBreakHyphen/>
        <w:t>3.</w:t>
      </w:r>
      <w:r w:rsidRPr="000C3878">
        <w:rPr>
          <w:rFonts w:cstheme="minorHAnsi"/>
          <w:noProof/>
        </w:rPr>
        <w:t xml:space="preserve"> Chlorophyll </w:t>
      </w:r>
      <w:r w:rsidRPr="000C3878">
        <w:rPr>
          <w:rFonts w:cstheme="minorHAnsi"/>
          <w:i/>
          <w:noProof/>
        </w:rPr>
        <w:t>a</w:t>
      </w:r>
      <w:r w:rsidRPr="000C3878">
        <w:rPr>
          <w:rFonts w:cstheme="minorHAnsi"/>
          <w:noProof/>
        </w:rPr>
        <w:t xml:space="preserve"> seasonal mean criteria for assessment</w:t>
      </w:r>
      <w:r>
        <w:rPr>
          <w:noProof/>
        </w:rPr>
        <w:tab/>
      </w:r>
      <w:r>
        <w:rPr>
          <w:noProof/>
        </w:rPr>
        <w:fldChar w:fldCharType="begin"/>
      </w:r>
      <w:r>
        <w:rPr>
          <w:noProof/>
        </w:rPr>
        <w:instrText xml:space="preserve"> PAGEREF _Toc164175220 \h </w:instrText>
      </w:r>
      <w:r>
        <w:rPr>
          <w:noProof/>
        </w:rPr>
      </w:r>
      <w:r>
        <w:rPr>
          <w:noProof/>
        </w:rPr>
        <w:fldChar w:fldCharType="separate"/>
      </w:r>
      <w:r w:rsidR="00391843">
        <w:rPr>
          <w:noProof/>
        </w:rPr>
        <w:t>165</w:t>
      </w:r>
      <w:r>
        <w:rPr>
          <w:noProof/>
        </w:rPr>
        <w:fldChar w:fldCharType="end"/>
      </w:r>
    </w:p>
    <w:p w14:paraId="582855E6" w14:textId="3B52A280"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4.6</w:t>
      </w:r>
      <w:r>
        <w:rPr>
          <w:noProof/>
        </w:rPr>
        <w:noBreakHyphen/>
        <w:t xml:space="preserve">4. </w:t>
      </w:r>
      <w:r w:rsidRPr="000C3878">
        <w:rPr>
          <w:rFonts w:cstheme="minorHAnsi"/>
          <w:noProof/>
        </w:rPr>
        <w:t xml:space="preserve">Chlorophyll </w:t>
      </w:r>
      <w:r w:rsidRPr="000C3878">
        <w:rPr>
          <w:rFonts w:cstheme="minorHAnsi"/>
          <w:i/>
          <w:noProof/>
        </w:rPr>
        <w:t>a</w:t>
      </w:r>
      <w:r w:rsidRPr="000C3878">
        <w:rPr>
          <w:rFonts w:cstheme="minorHAnsi"/>
          <w:noProof/>
        </w:rPr>
        <w:t xml:space="preserve"> short-duration criteria for assessment</w:t>
      </w:r>
      <w:r>
        <w:rPr>
          <w:noProof/>
        </w:rPr>
        <w:tab/>
      </w:r>
      <w:r>
        <w:rPr>
          <w:noProof/>
        </w:rPr>
        <w:fldChar w:fldCharType="begin"/>
      </w:r>
      <w:r>
        <w:rPr>
          <w:noProof/>
        </w:rPr>
        <w:instrText xml:space="preserve"> PAGEREF _Toc164175221 \h </w:instrText>
      </w:r>
      <w:r>
        <w:rPr>
          <w:noProof/>
        </w:rPr>
      </w:r>
      <w:r>
        <w:rPr>
          <w:noProof/>
        </w:rPr>
        <w:fldChar w:fldCharType="separate"/>
      </w:r>
      <w:r w:rsidR="00391843">
        <w:rPr>
          <w:noProof/>
        </w:rPr>
        <w:t>166</w:t>
      </w:r>
      <w:r>
        <w:rPr>
          <w:noProof/>
        </w:rPr>
        <w:fldChar w:fldCharType="end"/>
      </w:r>
    </w:p>
    <w:p w14:paraId="1E742CED" w14:textId="295401B2"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sidRPr="000C3878">
        <w:rPr>
          <w:rFonts w:cstheme="minorHAnsi"/>
          <w:noProof/>
        </w:rPr>
        <w:t>Table 4.7</w:t>
      </w:r>
      <w:r w:rsidRPr="000C3878">
        <w:rPr>
          <w:rFonts w:cstheme="minorHAnsi"/>
          <w:noProof/>
        </w:rPr>
        <w:noBreakHyphen/>
        <w:t>1. Water quality parameters evaluated in the 2024 trend analysis.</w:t>
      </w:r>
      <w:r>
        <w:rPr>
          <w:noProof/>
        </w:rPr>
        <w:tab/>
      </w:r>
      <w:r>
        <w:rPr>
          <w:noProof/>
        </w:rPr>
        <w:fldChar w:fldCharType="begin"/>
      </w:r>
      <w:r>
        <w:rPr>
          <w:noProof/>
        </w:rPr>
        <w:instrText xml:space="preserve"> PAGEREF _Toc164175222 \h </w:instrText>
      </w:r>
      <w:r>
        <w:rPr>
          <w:noProof/>
        </w:rPr>
      </w:r>
      <w:r>
        <w:rPr>
          <w:noProof/>
        </w:rPr>
        <w:fldChar w:fldCharType="separate"/>
      </w:r>
      <w:r w:rsidR="00391843">
        <w:rPr>
          <w:noProof/>
        </w:rPr>
        <w:t>185</w:t>
      </w:r>
      <w:r>
        <w:rPr>
          <w:noProof/>
        </w:rPr>
        <w:fldChar w:fldCharType="end"/>
      </w:r>
    </w:p>
    <w:p w14:paraId="69EC47CD" w14:textId="09124B94"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 xml:space="preserve">2. </w:t>
      </w:r>
      <w:r w:rsidRPr="000C3878">
        <w:rPr>
          <w:rFonts w:cstheme="minorHAnsi"/>
          <w:noProof/>
        </w:rPr>
        <w:t>Long-term trend monitoring stations</w:t>
      </w:r>
      <w:r>
        <w:rPr>
          <w:noProof/>
        </w:rPr>
        <w:tab/>
      </w:r>
      <w:r>
        <w:rPr>
          <w:noProof/>
        </w:rPr>
        <w:fldChar w:fldCharType="begin"/>
      </w:r>
      <w:r>
        <w:rPr>
          <w:noProof/>
        </w:rPr>
        <w:instrText xml:space="preserve"> PAGEREF _Toc164175223 \h </w:instrText>
      </w:r>
      <w:r>
        <w:rPr>
          <w:noProof/>
        </w:rPr>
      </w:r>
      <w:r>
        <w:rPr>
          <w:noProof/>
        </w:rPr>
        <w:fldChar w:fldCharType="separate"/>
      </w:r>
      <w:r w:rsidR="00391843">
        <w:rPr>
          <w:noProof/>
        </w:rPr>
        <w:t>187</w:t>
      </w:r>
      <w:r>
        <w:rPr>
          <w:noProof/>
        </w:rPr>
        <w:fldChar w:fldCharType="end"/>
      </w:r>
    </w:p>
    <w:p w14:paraId="288B7D28" w14:textId="3B36ECEF"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 xml:space="preserve">3. </w:t>
      </w:r>
      <w:r w:rsidRPr="000C3878">
        <w:rPr>
          <w:rFonts w:cstheme="minorHAnsi"/>
          <w:noProof/>
        </w:rPr>
        <w:t>Astronomical seasonal time periods used in the 2024 trends analysis.</w:t>
      </w:r>
      <w:r>
        <w:rPr>
          <w:noProof/>
        </w:rPr>
        <w:tab/>
      </w:r>
      <w:r>
        <w:rPr>
          <w:noProof/>
        </w:rPr>
        <w:fldChar w:fldCharType="begin"/>
      </w:r>
      <w:r>
        <w:rPr>
          <w:noProof/>
        </w:rPr>
        <w:instrText xml:space="preserve"> PAGEREF _Toc164175224 \h </w:instrText>
      </w:r>
      <w:r>
        <w:rPr>
          <w:noProof/>
        </w:rPr>
      </w:r>
      <w:r>
        <w:rPr>
          <w:noProof/>
        </w:rPr>
        <w:fldChar w:fldCharType="separate"/>
      </w:r>
      <w:r w:rsidR="00391843">
        <w:rPr>
          <w:noProof/>
        </w:rPr>
        <w:t>188</w:t>
      </w:r>
      <w:r>
        <w:rPr>
          <w:noProof/>
        </w:rPr>
        <w:fldChar w:fldCharType="end"/>
      </w:r>
    </w:p>
    <w:p w14:paraId="0A4D40C6" w14:textId="553744BD"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4. Summary of station trends</w:t>
      </w:r>
      <w:r>
        <w:rPr>
          <w:noProof/>
        </w:rPr>
        <w:tab/>
      </w:r>
      <w:r>
        <w:rPr>
          <w:noProof/>
        </w:rPr>
        <w:fldChar w:fldCharType="begin"/>
      </w:r>
      <w:r>
        <w:rPr>
          <w:noProof/>
        </w:rPr>
        <w:instrText xml:space="preserve"> PAGEREF _Toc164175225 \h </w:instrText>
      </w:r>
      <w:r>
        <w:rPr>
          <w:noProof/>
        </w:rPr>
      </w:r>
      <w:r>
        <w:rPr>
          <w:noProof/>
        </w:rPr>
        <w:fldChar w:fldCharType="separate"/>
      </w:r>
      <w:r w:rsidR="00391843">
        <w:rPr>
          <w:noProof/>
        </w:rPr>
        <w:t>190</w:t>
      </w:r>
      <w:r>
        <w:rPr>
          <w:noProof/>
        </w:rPr>
        <w:fldChar w:fldCharType="end"/>
      </w:r>
    </w:p>
    <w:p w14:paraId="50BAAC38" w14:textId="06102D5E"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 xml:space="preserve">5. </w:t>
      </w:r>
      <w:r w:rsidRPr="000C3878">
        <w:rPr>
          <w:rFonts w:cstheme="minorHAnsi"/>
          <w:noProof/>
        </w:rPr>
        <w:t>Total Nitrogen trends by basin, 2003 through 2022.</w:t>
      </w:r>
      <w:r>
        <w:rPr>
          <w:noProof/>
        </w:rPr>
        <w:tab/>
      </w:r>
      <w:r>
        <w:rPr>
          <w:noProof/>
        </w:rPr>
        <w:fldChar w:fldCharType="begin"/>
      </w:r>
      <w:r>
        <w:rPr>
          <w:noProof/>
        </w:rPr>
        <w:instrText xml:space="preserve"> PAGEREF _Toc164175226 \h </w:instrText>
      </w:r>
      <w:r>
        <w:rPr>
          <w:noProof/>
        </w:rPr>
      </w:r>
      <w:r>
        <w:rPr>
          <w:noProof/>
        </w:rPr>
        <w:fldChar w:fldCharType="separate"/>
      </w:r>
      <w:r w:rsidR="00391843">
        <w:rPr>
          <w:noProof/>
        </w:rPr>
        <w:t>191</w:t>
      </w:r>
      <w:r>
        <w:rPr>
          <w:noProof/>
        </w:rPr>
        <w:fldChar w:fldCharType="end"/>
      </w:r>
    </w:p>
    <w:p w14:paraId="246DB457" w14:textId="3451A96B"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 xml:space="preserve">6. </w:t>
      </w:r>
      <w:r w:rsidRPr="000C3878">
        <w:rPr>
          <w:rFonts w:cstheme="minorHAnsi"/>
          <w:bCs/>
          <w:noProof/>
        </w:rPr>
        <w:t xml:space="preserve">Chlorophyll </w:t>
      </w:r>
      <w:r w:rsidRPr="000C3878">
        <w:rPr>
          <w:rFonts w:cstheme="minorHAnsi"/>
          <w:bCs/>
          <w:i/>
          <w:noProof/>
        </w:rPr>
        <w:t>a</w:t>
      </w:r>
      <w:r w:rsidRPr="000C3878">
        <w:rPr>
          <w:rFonts w:cstheme="minorHAnsi"/>
          <w:bCs/>
          <w:noProof/>
        </w:rPr>
        <w:t xml:space="preserve"> trends by basin, 2003 through 2022.</w:t>
      </w:r>
      <w:r>
        <w:rPr>
          <w:noProof/>
        </w:rPr>
        <w:tab/>
      </w:r>
      <w:r>
        <w:rPr>
          <w:noProof/>
        </w:rPr>
        <w:fldChar w:fldCharType="begin"/>
      </w:r>
      <w:r>
        <w:rPr>
          <w:noProof/>
        </w:rPr>
        <w:instrText xml:space="preserve"> PAGEREF _Toc164175227 \h </w:instrText>
      </w:r>
      <w:r>
        <w:rPr>
          <w:noProof/>
        </w:rPr>
      </w:r>
      <w:r>
        <w:rPr>
          <w:noProof/>
        </w:rPr>
        <w:fldChar w:fldCharType="separate"/>
      </w:r>
      <w:r w:rsidR="00391843">
        <w:rPr>
          <w:noProof/>
        </w:rPr>
        <w:t>193</w:t>
      </w:r>
      <w:r>
        <w:rPr>
          <w:noProof/>
        </w:rPr>
        <w:fldChar w:fldCharType="end"/>
      </w:r>
    </w:p>
    <w:p w14:paraId="1FAC38D6" w14:textId="330F230C"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7. Total volatile suspended solids trends by basin, 2003 through 2022.</w:t>
      </w:r>
      <w:r>
        <w:rPr>
          <w:noProof/>
        </w:rPr>
        <w:tab/>
      </w:r>
      <w:r>
        <w:rPr>
          <w:noProof/>
        </w:rPr>
        <w:fldChar w:fldCharType="begin"/>
      </w:r>
      <w:r>
        <w:rPr>
          <w:noProof/>
        </w:rPr>
        <w:instrText xml:space="preserve"> PAGEREF _Toc164175228 \h </w:instrText>
      </w:r>
      <w:r>
        <w:rPr>
          <w:noProof/>
        </w:rPr>
      </w:r>
      <w:r>
        <w:rPr>
          <w:noProof/>
        </w:rPr>
        <w:fldChar w:fldCharType="separate"/>
      </w:r>
      <w:r w:rsidR="00391843">
        <w:rPr>
          <w:noProof/>
        </w:rPr>
        <w:t>194</w:t>
      </w:r>
      <w:r>
        <w:rPr>
          <w:noProof/>
        </w:rPr>
        <w:fldChar w:fldCharType="end"/>
      </w:r>
    </w:p>
    <w:p w14:paraId="2D0D2B4E" w14:textId="7DEF31BF"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 xml:space="preserve">8. </w:t>
      </w:r>
      <w:r w:rsidRPr="000C3878">
        <w:rPr>
          <w:rFonts w:cstheme="minorHAnsi"/>
          <w:noProof/>
        </w:rPr>
        <w:t>Total suspended solids trends by basin, 2003 through 2022.</w:t>
      </w:r>
      <w:r>
        <w:rPr>
          <w:noProof/>
        </w:rPr>
        <w:tab/>
      </w:r>
      <w:r>
        <w:rPr>
          <w:noProof/>
        </w:rPr>
        <w:fldChar w:fldCharType="begin"/>
      </w:r>
      <w:r>
        <w:rPr>
          <w:noProof/>
        </w:rPr>
        <w:instrText xml:space="preserve"> PAGEREF _Toc164175229 \h </w:instrText>
      </w:r>
      <w:r>
        <w:rPr>
          <w:noProof/>
        </w:rPr>
      </w:r>
      <w:r>
        <w:rPr>
          <w:noProof/>
        </w:rPr>
        <w:fldChar w:fldCharType="separate"/>
      </w:r>
      <w:r w:rsidR="00391843">
        <w:rPr>
          <w:noProof/>
        </w:rPr>
        <w:t>197</w:t>
      </w:r>
      <w:r>
        <w:rPr>
          <w:noProof/>
        </w:rPr>
        <w:fldChar w:fldCharType="end"/>
      </w:r>
    </w:p>
    <w:p w14:paraId="6D4326B3" w14:textId="2CC87AC3"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9.</w:t>
      </w:r>
      <w:r w:rsidRPr="000C3878">
        <w:rPr>
          <w:rFonts w:cstheme="minorHAnsi"/>
          <w:bCs/>
          <w:noProof/>
        </w:rPr>
        <w:t xml:space="preserve"> Total suspended fixed solids trends by basin, 2003 through 2022.</w:t>
      </w:r>
      <w:r>
        <w:rPr>
          <w:noProof/>
        </w:rPr>
        <w:tab/>
      </w:r>
      <w:r>
        <w:rPr>
          <w:noProof/>
        </w:rPr>
        <w:fldChar w:fldCharType="begin"/>
      </w:r>
      <w:r>
        <w:rPr>
          <w:noProof/>
        </w:rPr>
        <w:instrText xml:space="preserve"> PAGEREF _Toc164175230 \h </w:instrText>
      </w:r>
      <w:r>
        <w:rPr>
          <w:noProof/>
        </w:rPr>
      </w:r>
      <w:r>
        <w:rPr>
          <w:noProof/>
        </w:rPr>
        <w:fldChar w:fldCharType="separate"/>
      </w:r>
      <w:r w:rsidR="00391843">
        <w:rPr>
          <w:noProof/>
        </w:rPr>
        <w:t>198</w:t>
      </w:r>
      <w:r>
        <w:rPr>
          <w:noProof/>
        </w:rPr>
        <w:fldChar w:fldCharType="end"/>
      </w:r>
    </w:p>
    <w:p w14:paraId="4430994A" w14:textId="655F4961"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 xml:space="preserve">10. </w:t>
      </w:r>
      <w:r w:rsidRPr="000C3878">
        <w:rPr>
          <w:rFonts w:cstheme="minorHAnsi"/>
          <w:noProof/>
        </w:rPr>
        <w:t>Surface water temperature trends by basin, 2003 through 2022.</w:t>
      </w:r>
      <w:r>
        <w:rPr>
          <w:noProof/>
        </w:rPr>
        <w:tab/>
      </w:r>
      <w:r>
        <w:rPr>
          <w:noProof/>
        </w:rPr>
        <w:fldChar w:fldCharType="begin"/>
      </w:r>
      <w:r>
        <w:rPr>
          <w:noProof/>
        </w:rPr>
        <w:instrText xml:space="preserve"> PAGEREF _Toc164175231 \h </w:instrText>
      </w:r>
      <w:r>
        <w:rPr>
          <w:noProof/>
        </w:rPr>
      </w:r>
      <w:r>
        <w:rPr>
          <w:noProof/>
        </w:rPr>
        <w:fldChar w:fldCharType="separate"/>
      </w:r>
      <w:r w:rsidR="00391843">
        <w:rPr>
          <w:noProof/>
        </w:rPr>
        <w:t>201</w:t>
      </w:r>
      <w:r>
        <w:rPr>
          <w:noProof/>
        </w:rPr>
        <w:fldChar w:fldCharType="end"/>
      </w:r>
    </w:p>
    <w:p w14:paraId="177573E4" w14:textId="6DF9A6F5"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 xml:space="preserve">11. </w:t>
      </w:r>
      <w:r w:rsidRPr="000C3878">
        <w:rPr>
          <w:rFonts w:cstheme="minorHAnsi"/>
          <w:i/>
          <w:noProof/>
        </w:rPr>
        <w:t>Escherichia coli</w:t>
      </w:r>
      <w:r w:rsidRPr="000C3878">
        <w:rPr>
          <w:rFonts w:cstheme="minorHAnsi"/>
          <w:noProof/>
        </w:rPr>
        <w:t xml:space="preserve"> trends by basin, 2014 through 2022.</w:t>
      </w:r>
      <w:r>
        <w:rPr>
          <w:noProof/>
        </w:rPr>
        <w:tab/>
      </w:r>
      <w:r>
        <w:rPr>
          <w:noProof/>
        </w:rPr>
        <w:fldChar w:fldCharType="begin"/>
      </w:r>
      <w:r>
        <w:rPr>
          <w:noProof/>
        </w:rPr>
        <w:instrText xml:space="preserve"> PAGEREF _Toc164175232 \h </w:instrText>
      </w:r>
      <w:r>
        <w:rPr>
          <w:noProof/>
        </w:rPr>
      </w:r>
      <w:r>
        <w:rPr>
          <w:noProof/>
        </w:rPr>
        <w:fldChar w:fldCharType="separate"/>
      </w:r>
      <w:r w:rsidR="00391843">
        <w:rPr>
          <w:noProof/>
        </w:rPr>
        <w:t>204</w:t>
      </w:r>
      <w:r>
        <w:rPr>
          <w:noProof/>
        </w:rPr>
        <w:fldChar w:fldCharType="end"/>
      </w:r>
    </w:p>
    <w:p w14:paraId="0FEBBAA9" w14:textId="6032F02C"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12.</w:t>
      </w:r>
      <w:r w:rsidRPr="000C3878">
        <w:rPr>
          <w:rFonts w:cstheme="minorHAnsi"/>
          <w:noProof/>
        </w:rPr>
        <w:t xml:space="preserve"> Enterococci trends by basin, 2003 through 2022.</w:t>
      </w:r>
      <w:r>
        <w:rPr>
          <w:noProof/>
        </w:rPr>
        <w:tab/>
      </w:r>
      <w:r>
        <w:rPr>
          <w:noProof/>
        </w:rPr>
        <w:fldChar w:fldCharType="begin"/>
      </w:r>
      <w:r>
        <w:rPr>
          <w:noProof/>
        </w:rPr>
        <w:instrText xml:space="preserve"> PAGEREF _Toc164175233 \h </w:instrText>
      </w:r>
      <w:r>
        <w:rPr>
          <w:noProof/>
        </w:rPr>
      </w:r>
      <w:r>
        <w:rPr>
          <w:noProof/>
        </w:rPr>
        <w:fldChar w:fldCharType="separate"/>
      </w:r>
      <w:r w:rsidR="00391843">
        <w:rPr>
          <w:noProof/>
        </w:rPr>
        <w:t>204</w:t>
      </w:r>
      <w:r>
        <w:rPr>
          <w:noProof/>
        </w:rPr>
        <w:fldChar w:fldCharType="end"/>
      </w:r>
    </w:p>
    <w:p w14:paraId="6164AE26" w14:textId="0C35D385"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 xml:space="preserve">13. </w:t>
      </w:r>
      <w:r w:rsidRPr="000C3878">
        <w:rPr>
          <w:rFonts w:cstheme="minorHAnsi"/>
          <w:noProof/>
        </w:rPr>
        <w:t>Fecal coliform trends by basin, 2003 through 2022.</w:t>
      </w:r>
      <w:r>
        <w:rPr>
          <w:noProof/>
        </w:rPr>
        <w:tab/>
      </w:r>
      <w:r>
        <w:rPr>
          <w:noProof/>
        </w:rPr>
        <w:fldChar w:fldCharType="begin"/>
      </w:r>
      <w:r>
        <w:rPr>
          <w:noProof/>
        </w:rPr>
        <w:instrText xml:space="preserve"> PAGEREF _Toc164175234 \h </w:instrText>
      </w:r>
      <w:r>
        <w:rPr>
          <w:noProof/>
        </w:rPr>
      </w:r>
      <w:r>
        <w:rPr>
          <w:noProof/>
        </w:rPr>
        <w:fldChar w:fldCharType="separate"/>
      </w:r>
      <w:r w:rsidR="00391843">
        <w:rPr>
          <w:noProof/>
        </w:rPr>
        <w:t>205</w:t>
      </w:r>
      <w:r>
        <w:rPr>
          <w:noProof/>
        </w:rPr>
        <w:fldChar w:fldCharType="end"/>
      </w:r>
    </w:p>
    <w:p w14:paraId="6E79CFF4" w14:textId="0DCA475C"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lastRenderedPageBreak/>
        <w:t>Table 4.7</w:t>
      </w:r>
      <w:r>
        <w:rPr>
          <w:noProof/>
        </w:rPr>
        <w:noBreakHyphen/>
        <w:t>14.</w:t>
      </w:r>
      <w:r w:rsidRPr="000C3878">
        <w:rPr>
          <w:rFonts w:cstheme="minorHAnsi"/>
          <w:noProof/>
        </w:rPr>
        <w:t xml:space="preserve"> Total phosphorus trends by basin, 2003 through 2022.</w:t>
      </w:r>
      <w:r>
        <w:rPr>
          <w:noProof/>
        </w:rPr>
        <w:tab/>
      </w:r>
      <w:r>
        <w:rPr>
          <w:noProof/>
        </w:rPr>
        <w:fldChar w:fldCharType="begin"/>
      </w:r>
      <w:r>
        <w:rPr>
          <w:noProof/>
        </w:rPr>
        <w:instrText xml:space="preserve"> PAGEREF _Toc164175235 \h </w:instrText>
      </w:r>
      <w:r>
        <w:rPr>
          <w:noProof/>
        </w:rPr>
      </w:r>
      <w:r>
        <w:rPr>
          <w:noProof/>
        </w:rPr>
        <w:fldChar w:fldCharType="separate"/>
      </w:r>
      <w:r w:rsidR="00391843">
        <w:rPr>
          <w:noProof/>
        </w:rPr>
        <w:t>209</w:t>
      </w:r>
      <w:r>
        <w:rPr>
          <w:noProof/>
        </w:rPr>
        <w:fldChar w:fldCharType="end"/>
      </w:r>
    </w:p>
    <w:p w14:paraId="522BAFE9" w14:textId="08E58C87"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 xml:space="preserve">15. </w:t>
      </w:r>
      <w:r w:rsidRPr="000C3878">
        <w:rPr>
          <w:rFonts w:cstheme="minorHAnsi"/>
          <w:noProof/>
        </w:rPr>
        <w:t>Specific conductance trends by basin, 2003 through 2022.</w:t>
      </w:r>
      <w:r>
        <w:rPr>
          <w:noProof/>
        </w:rPr>
        <w:tab/>
      </w:r>
      <w:r>
        <w:rPr>
          <w:noProof/>
        </w:rPr>
        <w:fldChar w:fldCharType="begin"/>
      </w:r>
      <w:r>
        <w:rPr>
          <w:noProof/>
        </w:rPr>
        <w:instrText xml:space="preserve"> PAGEREF _Toc164175236 \h </w:instrText>
      </w:r>
      <w:r>
        <w:rPr>
          <w:noProof/>
        </w:rPr>
      </w:r>
      <w:r>
        <w:rPr>
          <w:noProof/>
        </w:rPr>
        <w:fldChar w:fldCharType="separate"/>
      </w:r>
      <w:r w:rsidR="00391843">
        <w:rPr>
          <w:noProof/>
        </w:rPr>
        <w:t>212</w:t>
      </w:r>
      <w:r>
        <w:rPr>
          <w:noProof/>
        </w:rPr>
        <w:fldChar w:fldCharType="end"/>
      </w:r>
    </w:p>
    <w:p w14:paraId="7108699D" w14:textId="42108158"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 xml:space="preserve">16. </w:t>
      </w:r>
      <w:r w:rsidRPr="000C3878">
        <w:rPr>
          <w:rFonts w:cstheme="minorHAnsi"/>
          <w:noProof/>
        </w:rPr>
        <w:t>Secchi depth trends by basin, 2003 through 2022.</w:t>
      </w:r>
      <w:r>
        <w:rPr>
          <w:noProof/>
        </w:rPr>
        <w:tab/>
      </w:r>
      <w:r>
        <w:rPr>
          <w:noProof/>
        </w:rPr>
        <w:fldChar w:fldCharType="begin"/>
      </w:r>
      <w:r>
        <w:rPr>
          <w:noProof/>
        </w:rPr>
        <w:instrText xml:space="preserve"> PAGEREF _Toc164175237 \h </w:instrText>
      </w:r>
      <w:r>
        <w:rPr>
          <w:noProof/>
        </w:rPr>
      </w:r>
      <w:r>
        <w:rPr>
          <w:noProof/>
        </w:rPr>
        <w:fldChar w:fldCharType="separate"/>
      </w:r>
      <w:r w:rsidR="00391843">
        <w:rPr>
          <w:noProof/>
        </w:rPr>
        <w:t>214</w:t>
      </w:r>
      <w:r>
        <w:rPr>
          <w:noProof/>
        </w:rPr>
        <w:fldChar w:fldCharType="end"/>
      </w:r>
    </w:p>
    <w:p w14:paraId="6AC8A26B" w14:textId="1B01A937"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4.7</w:t>
      </w:r>
      <w:r>
        <w:rPr>
          <w:noProof/>
        </w:rPr>
        <w:noBreakHyphen/>
        <w:t xml:space="preserve">17. </w:t>
      </w:r>
      <w:r w:rsidRPr="000C3878">
        <w:rPr>
          <w:rFonts w:cstheme="minorHAnsi"/>
          <w:noProof/>
        </w:rPr>
        <w:t>Turbidity trends by basin.</w:t>
      </w:r>
      <w:r>
        <w:rPr>
          <w:noProof/>
        </w:rPr>
        <w:tab/>
      </w:r>
      <w:r>
        <w:rPr>
          <w:noProof/>
        </w:rPr>
        <w:fldChar w:fldCharType="begin"/>
      </w:r>
      <w:r>
        <w:rPr>
          <w:noProof/>
        </w:rPr>
        <w:instrText xml:space="preserve"> PAGEREF _Toc164175238 \h </w:instrText>
      </w:r>
      <w:r>
        <w:rPr>
          <w:noProof/>
        </w:rPr>
      </w:r>
      <w:r>
        <w:rPr>
          <w:noProof/>
        </w:rPr>
        <w:fldChar w:fldCharType="separate"/>
      </w:r>
      <w:r w:rsidR="00391843">
        <w:rPr>
          <w:noProof/>
        </w:rPr>
        <w:t>216</w:t>
      </w:r>
      <w:r>
        <w:rPr>
          <w:noProof/>
        </w:rPr>
        <w:fldChar w:fldCharType="end"/>
      </w:r>
    </w:p>
    <w:p w14:paraId="2E0BE2C6" w14:textId="13926CAB"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6.1</w:t>
      </w:r>
      <w:r>
        <w:rPr>
          <w:noProof/>
        </w:rPr>
        <w:noBreakHyphen/>
        <w:t>1. Completed TMDL equations.</w:t>
      </w:r>
      <w:r>
        <w:rPr>
          <w:noProof/>
        </w:rPr>
        <w:tab/>
      </w:r>
      <w:r>
        <w:rPr>
          <w:noProof/>
        </w:rPr>
        <w:fldChar w:fldCharType="begin"/>
      </w:r>
      <w:r>
        <w:rPr>
          <w:noProof/>
        </w:rPr>
        <w:instrText xml:space="preserve"> PAGEREF _Toc164175239 \h </w:instrText>
      </w:r>
      <w:r>
        <w:rPr>
          <w:noProof/>
        </w:rPr>
      </w:r>
      <w:r>
        <w:rPr>
          <w:noProof/>
        </w:rPr>
        <w:fldChar w:fldCharType="separate"/>
      </w:r>
      <w:r w:rsidR="00391843">
        <w:rPr>
          <w:noProof/>
        </w:rPr>
        <w:t>226</w:t>
      </w:r>
      <w:r>
        <w:rPr>
          <w:noProof/>
        </w:rPr>
        <w:fldChar w:fldCharType="end"/>
      </w:r>
    </w:p>
    <w:p w14:paraId="1907A22B" w14:textId="368A35EF"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6.1</w:t>
      </w:r>
      <w:r>
        <w:rPr>
          <w:noProof/>
        </w:rPr>
        <w:noBreakHyphen/>
        <w:t xml:space="preserve">2. </w:t>
      </w:r>
      <w:r w:rsidRPr="000C3878">
        <w:rPr>
          <w:rFonts w:cstheme="minorHAnsi"/>
          <w:noProof/>
        </w:rPr>
        <w:t>VPDES General Permit Registrations.</w:t>
      </w:r>
      <w:r>
        <w:rPr>
          <w:noProof/>
        </w:rPr>
        <w:tab/>
      </w:r>
      <w:r>
        <w:rPr>
          <w:noProof/>
        </w:rPr>
        <w:fldChar w:fldCharType="begin"/>
      </w:r>
      <w:r>
        <w:rPr>
          <w:noProof/>
        </w:rPr>
        <w:instrText xml:space="preserve"> PAGEREF _Toc164175240 \h </w:instrText>
      </w:r>
      <w:r>
        <w:rPr>
          <w:noProof/>
        </w:rPr>
      </w:r>
      <w:r>
        <w:rPr>
          <w:noProof/>
        </w:rPr>
        <w:fldChar w:fldCharType="separate"/>
      </w:r>
      <w:r w:rsidR="00391843">
        <w:rPr>
          <w:noProof/>
        </w:rPr>
        <w:t>236</w:t>
      </w:r>
      <w:r>
        <w:rPr>
          <w:noProof/>
        </w:rPr>
        <w:fldChar w:fldCharType="end"/>
      </w:r>
    </w:p>
    <w:p w14:paraId="54E51619" w14:textId="18A10DDE"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6.1</w:t>
      </w:r>
      <w:r>
        <w:rPr>
          <w:noProof/>
        </w:rPr>
        <w:noBreakHyphen/>
        <w:t xml:space="preserve">3. </w:t>
      </w:r>
      <w:r w:rsidRPr="000C3878">
        <w:rPr>
          <w:rFonts w:cstheme="minorHAnsi"/>
          <w:noProof/>
        </w:rPr>
        <w:t>Inspection Frequency by Facility Type</w:t>
      </w:r>
      <w:r>
        <w:rPr>
          <w:noProof/>
        </w:rPr>
        <w:tab/>
      </w:r>
      <w:r>
        <w:rPr>
          <w:noProof/>
        </w:rPr>
        <w:fldChar w:fldCharType="begin"/>
      </w:r>
      <w:r>
        <w:rPr>
          <w:noProof/>
        </w:rPr>
        <w:instrText xml:space="preserve"> PAGEREF _Toc164175241 \h </w:instrText>
      </w:r>
      <w:r>
        <w:rPr>
          <w:noProof/>
        </w:rPr>
      </w:r>
      <w:r>
        <w:rPr>
          <w:noProof/>
        </w:rPr>
        <w:fldChar w:fldCharType="separate"/>
      </w:r>
      <w:r w:rsidR="00391843">
        <w:rPr>
          <w:noProof/>
        </w:rPr>
        <w:t>242</w:t>
      </w:r>
      <w:r>
        <w:rPr>
          <w:noProof/>
        </w:rPr>
        <w:fldChar w:fldCharType="end"/>
      </w:r>
    </w:p>
    <w:p w14:paraId="738DAC0C" w14:textId="400DCE5D" w:rsidR="00070ED7" w:rsidRDefault="00070ED7">
      <w:pPr>
        <w:pStyle w:val="TableofFigures"/>
        <w:tabs>
          <w:tab w:val="right" w:leader="dot" w:pos="9350"/>
        </w:tabs>
        <w:rPr>
          <w:rFonts w:eastAsiaTheme="minorEastAsia" w:cstheme="minorBidi"/>
          <w:noProof/>
          <w:snapToGrid/>
          <w:kern w:val="2"/>
          <w:sz w:val="22"/>
          <w:szCs w:val="22"/>
          <w14:ligatures w14:val="standardContextual"/>
        </w:rPr>
      </w:pPr>
      <w:r>
        <w:rPr>
          <w:noProof/>
        </w:rPr>
        <w:t>Table 6.3</w:t>
      </w:r>
      <w:r>
        <w:rPr>
          <w:noProof/>
        </w:rPr>
        <w:noBreakHyphen/>
        <w:t>1. Implementation projects</w:t>
      </w:r>
      <w:r>
        <w:rPr>
          <w:noProof/>
        </w:rPr>
        <w:tab/>
      </w:r>
      <w:r>
        <w:rPr>
          <w:noProof/>
        </w:rPr>
        <w:fldChar w:fldCharType="begin"/>
      </w:r>
      <w:r>
        <w:rPr>
          <w:noProof/>
        </w:rPr>
        <w:instrText xml:space="preserve"> PAGEREF _Toc164175242 \h </w:instrText>
      </w:r>
      <w:r>
        <w:rPr>
          <w:noProof/>
        </w:rPr>
      </w:r>
      <w:r>
        <w:rPr>
          <w:noProof/>
        </w:rPr>
        <w:fldChar w:fldCharType="separate"/>
      </w:r>
      <w:r w:rsidR="00391843">
        <w:rPr>
          <w:noProof/>
        </w:rPr>
        <w:t>254</w:t>
      </w:r>
      <w:r>
        <w:rPr>
          <w:noProof/>
        </w:rPr>
        <w:fldChar w:fldCharType="end"/>
      </w:r>
    </w:p>
    <w:p w14:paraId="1D0E48F0" w14:textId="1A6C1CC4" w:rsidR="00070ED7" w:rsidRDefault="00070ED7">
      <w:pPr>
        <w:pStyle w:val="TableofFigures"/>
        <w:tabs>
          <w:tab w:val="right" w:leader="dot" w:pos="9350"/>
        </w:tabs>
        <w:rPr>
          <w:noProof/>
        </w:rPr>
      </w:pPr>
      <w:r>
        <w:rPr>
          <w:noProof/>
        </w:rPr>
        <w:t>Table 6.3</w:t>
      </w:r>
      <w:r>
        <w:rPr>
          <w:noProof/>
        </w:rPr>
        <w:noBreakHyphen/>
        <w:t>2. Section 319(h) nonpoint source success stories through 2022</w:t>
      </w:r>
      <w:r>
        <w:rPr>
          <w:noProof/>
        </w:rPr>
        <w:tab/>
      </w:r>
      <w:r>
        <w:rPr>
          <w:noProof/>
        </w:rPr>
        <w:fldChar w:fldCharType="begin"/>
      </w:r>
      <w:r>
        <w:rPr>
          <w:noProof/>
        </w:rPr>
        <w:instrText xml:space="preserve"> PAGEREF _Toc164175243 \h </w:instrText>
      </w:r>
      <w:r>
        <w:rPr>
          <w:noProof/>
        </w:rPr>
      </w:r>
      <w:r>
        <w:rPr>
          <w:noProof/>
        </w:rPr>
        <w:fldChar w:fldCharType="separate"/>
      </w:r>
      <w:r w:rsidR="00391843">
        <w:rPr>
          <w:noProof/>
        </w:rPr>
        <w:t>258</w:t>
      </w:r>
      <w:r>
        <w:rPr>
          <w:noProof/>
        </w:rPr>
        <w:fldChar w:fldCharType="end"/>
      </w:r>
    </w:p>
    <w:p w14:paraId="62F1A18E" w14:textId="77777777" w:rsidR="00070ED7" w:rsidRDefault="00070ED7" w:rsidP="00070ED7">
      <w:pPr>
        <w:rPr>
          <w:rFonts w:eastAsiaTheme="minorEastAsia"/>
          <w:noProof/>
        </w:rPr>
      </w:pPr>
    </w:p>
    <w:p w14:paraId="557C52C5" w14:textId="0D1186AC" w:rsidR="00791DF1" w:rsidRDefault="00791DF1">
      <w:pPr>
        <w:widowControl/>
        <w:spacing w:after="160" w:line="259" w:lineRule="auto"/>
        <w:rPr>
          <w:rFonts w:eastAsiaTheme="minorEastAsia"/>
          <w:noProof/>
        </w:rPr>
      </w:pPr>
      <w:r>
        <w:rPr>
          <w:rFonts w:eastAsiaTheme="minorEastAsia"/>
          <w:noProof/>
        </w:rPr>
        <w:br w:type="page"/>
      </w:r>
    </w:p>
    <w:p w14:paraId="19BD3C1B" w14:textId="4810ED56" w:rsidR="00C10CD4" w:rsidRDefault="00C12A08" w:rsidP="0059367B">
      <w:pPr>
        <w:pStyle w:val="Heading1"/>
        <w:numPr>
          <w:ilvl w:val="0"/>
          <w:numId w:val="0"/>
        </w:numPr>
      </w:pPr>
      <w:r>
        <w:lastRenderedPageBreak/>
        <w:fldChar w:fldCharType="end"/>
      </w:r>
      <w:bookmarkStart w:id="8" w:name="_Toc191900417"/>
      <w:r w:rsidR="0059367B">
        <w:t>List of Acronyms</w:t>
      </w:r>
      <w:bookmarkEnd w:id="8"/>
    </w:p>
    <w:tbl>
      <w:tblPr>
        <w:tblW w:w="9740" w:type="dxa"/>
        <w:tblInd w:w="108" w:type="dxa"/>
        <w:tblLook w:val="04A0" w:firstRow="1" w:lastRow="0" w:firstColumn="1" w:lastColumn="0" w:noHBand="0" w:noVBand="1"/>
      </w:tblPr>
      <w:tblGrid>
        <w:gridCol w:w="1353"/>
        <w:gridCol w:w="8387"/>
      </w:tblGrid>
      <w:tr w:rsidR="00575B49" w:rsidRPr="0087475A" w14:paraId="5DC15405" w14:textId="77777777" w:rsidTr="00122EDA">
        <w:trPr>
          <w:trHeight w:val="255"/>
        </w:trPr>
        <w:tc>
          <w:tcPr>
            <w:tcW w:w="1353" w:type="dxa"/>
            <w:tcBorders>
              <w:top w:val="nil"/>
              <w:left w:val="nil"/>
              <w:bottom w:val="nil"/>
              <w:right w:val="nil"/>
            </w:tcBorders>
            <w:shd w:val="clear" w:color="auto" w:fill="auto"/>
            <w:noWrap/>
            <w:vAlign w:val="bottom"/>
            <w:hideMark/>
          </w:tcPr>
          <w:p w14:paraId="59DE33D9" w14:textId="77777777" w:rsidR="00575B49" w:rsidRPr="00647C63" w:rsidRDefault="00575B49">
            <w:pPr>
              <w:rPr>
                <w:rFonts w:cstheme="minorHAnsi"/>
                <w:color w:val="000000"/>
                <w:sz w:val="22"/>
                <w:szCs w:val="22"/>
              </w:rPr>
            </w:pPr>
            <w:r w:rsidRPr="00647C63">
              <w:rPr>
                <w:rFonts w:cstheme="minorHAnsi"/>
                <w:color w:val="000000"/>
                <w:sz w:val="22"/>
                <w:szCs w:val="22"/>
              </w:rPr>
              <w:t>ALU</w:t>
            </w:r>
          </w:p>
        </w:tc>
        <w:tc>
          <w:tcPr>
            <w:tcW w:w="8387" w:type="dxa"/>
            <w:tcBorders>
              <w:top w:val="nil"/>
              <w:left w:val="nil"/>
              <w:bottom w:val="nil"/>
              <w:right w:val="nil"/>
            </w:tcBorders>
            <w:shd w:val="clear" w:color="auto" w:fill="auto"/>
            <w:noWrap/>
            <w:vAlign w:val="bottom"/>
            <w:hideMark/>
          </w:tcPr>
          <w:p w14:paraId="3C77DF61" w14:textId="77777777" w:rsidR="00575B49" w:rsidRPr="00647C63" w:rsidRDefault="00575B49">
            <w:pPr>
              <w:rPr>
                <w:rFonts w:cstheme="minorHAnsi"/>
                <w:color w:val="000000"/>
                <w:sz w:val="22"/>
                <w:szCs w:val="22"/>
              </w:rPr>
            </w:pPr>
            <w:r w:rsidRPr="00647C63">
              <w:rPr>
                <w:rFonts w:cstheme="minorHAnsi"/>
                <w:color w:val="000000"/>
                <w:sz w:val="22"/>
                <w:szCs w:val="22"/>
              </w:rPr>
              <w:t>Aquatic Life Use</w:t>
            </w:r>
          </w:p>
        </w:tc>
      </w:tr>
      <w:tr w:rsidR="00575B49" w:rsidRPr="0087475A" w14:paraId="3A585920" w14:textId="77777777" w:rsidTr="00122EDA">
        <w:trPr>
          <w:trHeight w:val="255"/>
        </w:trPr>
        <w:tc>
          <w:tcPr>
            <w:tcW w:w="1353" w:type="dxa"/>
            <w:tcBorders>
              <w:top w:val="nil"/>
              <w:left w:val="nil"/>
              <w:bottom w:val="nil"/>
              <w:right w:val="nil"/>
            </w:tcBorders>
            <w:shd w:val="clear" w:color="auto" w:fill="auto"/>
            <w:noWrap/>
            <w:vAlign w:val="bottom"/>
            <w:hideMark/>
          </w:tcPr>
          <w:p w14:paraId="5CC11E1B" w14:textId="77777777" w:rsidR="00575B49" w:rsidRPr="00647C63" w:rsidRDefault="00575B49">
            <w:pPr>
              <w:rPr>
                <w:rFonts w:cstheme="minorHAnsi"/>
                <w:color w:val="000000"/>
                <w:sz w:val="22"/>
                <w:szCs w:val="22"/>
              </w:rPr>
            </w:pPr>
            <w:r w:rsidRPr="00647C63">
              <w:rPr>
                <w:rFonts w:cstheme="minorHAnsi"/>
                <w:color w:val="000000"/>
                <w:sz w:val="22"/>
                <w:szCs w:val="22"/>
              </w:rPr>
              <w:t>ANC</w:t>
            </w:r>
          </w:p>
        </w:tc>
        <w:tc>
          <w:tcPr>
            <w:tcW w:w="8387" w:type="dxa"/>
            <w:tcBorders>
              <w:top w:val="nil"/>
              <w:left w:val="nil"/>
              <w:bottom w:val="nil"/>
              <w:right w:val="nil"/>
            </w:tcBorders>
            <w:shd w:val="clear" w:color="auto" w:fill="auto"/>
            <w:noWrap/>
            <w:vAlign w:val="bottom"/>
            <w:hideMark/>
          </w:tcPr>
          <w:p w14:paraId="77ACC6ED" w14:textId="77777777" w:rsidR="00575B49" w:rsidRPr="00647C63" w:rsidRDefault="00575B49">
            <w:pPr>
              <w:rPr>
                <w:rFonts w:cstheme="minorHAnsi"/>
                <w:color w:val="000000"/>
                <w:sz w:val="22"/>
                <w:szCs w:val="22"/>
              </w:rPr>
            </w:pPr>
            <w:r w:rsidRPr="00647C63">
              <w:rPr>
                <w:rFonts w:cstheme="minorHAnsi"/>
                <w:color w:val="000000"/>
                <w:sz w:val="22"/>
                <w:szCs w:val="22"/>
              </w:rPr>
              <w:t>Acid Neutralizing Capacity</w:t>
            </w:r>
          </w:p>
        </w:tc>
      </w:tr>
      <w:tr w:rsidR="00575B49" w:rsidRPr="0087475A" w14:paraId="7EC7C4DD" w14:textId="77777777" w:rsidTr="00122EDA">
        <w:trPr>
          <w:trHeight w:val="255"/>
        </w:trPr>
        <w:tc>
          <w:tcPr>
            <w:tcW w:w="1353" w:type="dxa"/>
            <w:tcBorders>
              <w:top w:val="nil"/>
              <w:left w:val="nil"/>
              <w:bottom w:val="nil"/>
              <w:right w:val="nil"/>
            </w:tcBorders>
            <w:shd w:val="clear" w:color="auto" w:fill="auto"/>
            <w:noWrap/>
            <w:vAlign w:val="bottom"/>
            <w:hideMark/>
          </w:tcPr>
          <w:p w14:paraId="6A5FF12C" w14:textId="77777777" w:rsidR="00575B49" w:rsidRPr="00647C63" w:rsidRDefault="00575B49">
            <w:pPr>
              <w:rPr>
                <w:rFonts w:cstheme="minorHAnsi"/>
                <w:color w:val="1B1B1B"/>
                <w:sz w:val="22"/>
                <w:szCs w:val="22"/>
              </w:rPr>
            </w:pPr>
            <w:r w:rsidRPr="00647C63">
              <w:rPr>
                <w:rFonts w:cstheme="minorHAnsi"/>
                <w:color w:val="1B1B1B"/>
                <w:sz w:val="22"/>
                <w:szCs w:val="22"/>
              </w:rPr>
              <w:t>ARP</w:t>
            </w:r>
          </w:p>
        </w:tc>
        <w:tc>
          <w:tcPr>
            <w:tcW w:w="8387" w:type="dxa"/>
            <w:tcBorders>
              <w:top w:val="nil"/>
              <w:left w:val="nil"/>
              <w:bottom w:val="nil"/>
              <w:right w:val="nil"/>
            </w:tcBorders>
            <w:shd w:val="clear" w:color="auto" w:fill="auto"/>
            <w:noWrap/>
            <w:vAlign w:val="bottom"/>
            <w:hideMark/>
          </w:tcPr>
          <w:p w14:paraId="7DB408EF" w14:textId="77777777" w:rsidR="00575B49" w:rsidRPr="00647C63" w:rsidRDefault="00575B49">
            <w:pPr>
              <w:rPr>
                <w:rFonts w:cstheme="minorHAnsi"/>
                <w:color w:val="000000"/>
                <w:sz w:val="22"/>
                <w:szCs w:val="22"/>
              </w:rPr>
            </w:pPr>
            <w:r w:rsidRPr="00647C63">
              <w:rPr>
                <w:rFonts w:cstheme="minorHAnsi"/>
                <w:color w:val="000000"/>
                <w:sz w:val="22"/>
                <w:szCs w:val="22"/>
              </w:rPr>
              <w:t>Advanced Restoration Plan</w:t>
            </w:r>
          </w:p>
        </w:tc>
      </w:tr>
      <w:tr w:rsidR="00575B49" w:rsidRPr="0087475A" w14:paraId="24C91A8A" w14:textId="77777777" w:rsidTr="00122EDA">
        <w:trPr>
          <w:trHeight w:val="255"/>
        </w:trPr>
        <w:tc>
          <w:tcPr>
            <w:tcW w:w="1353" w:type="dxa"/>
            <w:tcBorders>
              <w:top w:val="nil"/>
              <w:left w:val="nil"/>
              <w:bottom w:val="nil"/>
              <w:right w:val="nil"/>
            </w:tcBorders>
            <w:shd w:val="clear" w:color="auto" w:fill="auto"/>
            <w:noWrap/>
            <w:vAlign w:val="bottom"/>
            <w:hideMark/>
          </w:tcPr>
          <w:p w14:paraId="50D83EDB" w14:textId="77777777" w:rsidR="00575B49" w:rsidRPr="00647C63" w:rsidRDefault="00575B49">
            <w:pPr>
              <w:rPr>
                <w:rFonts w:cstheme="minorHAnsi"/>
                <w:color w:val="000000"/>
                <w:sz w:val="22"/>
                <w:szCs w:val="22"/>
              </w:rPr>
            </w:pPr>
            <w:r w:rsidRPr="00647C63">
              <w:rPr>
                <w:rFonts w:cstheme="minorHAnsi"/>
                <w:color w:val="000000"/>
                <w:sz w:val="22"/>
                <w:szCs w:val="22"/>
              </w:rPr>
              <w:t>ASSI</w:t>
            </w:r>
          </w:p>
        </w:tc>
        <w:tc>
          <w:tcPr>
            <w:tcW w:w="8387" w:type="dxa"/>
            <w:tcBorders>
              <w:top w:val="nil"/>
              <w:left w:val="nil"/>
              <w:bottom w:val="nil"/>
              <w:right w:val="nil"/>
            </w:tcBorders>
            <w:shd w:val="clear" w:color="auto" w:fill="auto"/>
            <w:noWrap/>
            <w:vAlign w:val="bottom"/>
            <w:hideMark/>
          </w:tcPr>
          <w:p w14:paraId="12F0390B"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Atlantic Subsurface Stratigraphic Initiative </w:t>
            </w:r>
          </w:p>
        </w:tc>
      </w:tr>
      <w:tr w:rsidR="00575B49" w:rsidRPr="0087475A" w14:paraId="4E227C9C" w14:textId="77777777" w:rsidTr="00122EDA">
        <w:trPr>
          <w:trHeight w:val="255"/>
        </w:trPr>
        <w:tc>
          <w:tcPr>
            <w:tcW w:w="1353" w:type="dxa"/>
            <w:tcBorders>
              <w:top w:val="nil"/>
              <w:left w:val="nil"/>
              <w:bottom w:val="nil"/>
              <w:right w:val="nil"/>
            </w:tcBorders>
            <w:shd w:val="clear" w:color="auto" w:fill="auto"/>
            <w:noWrap/>
            <w:vAlign w:val="bottom"/>
            <w:hideMark/>
          </w:tcPr>
          <w:p w14:paraId="520BD4CE" w14:textId="77777777" w:rsidR="00575B49" w:rsidRPr="00647C63" w:rsidRDefault="00575B49">
            <w:pPr>
              <w:rPr>
                <w:rFonts w:cstheme="minorHAnsi"/>
                <w:color w:val="000000"/>
                <w:sz w:val="22"/>
                <w:szCs w:val="22"/>
              </w:rPr>
            </w:pPr>
            <w:r w:rsidRPr="00647C63">
              <w:rPr>
                <w:rFonts w:cstheme="minorHAnsi"/>
                <w:color w:val="000000"/>
                <w:sz w:val="22"/>
                <w:szCs w:val="22"/>
              </w:rPr>
              <w:t>ATTAINS</w:t>
            </w:r>
          </w:p>
        </w:tc>
        <w:tc>
          <w:tcPr>
            <w:tcW w:w="8387" w:type="dxa"/>
            <w:tcBorders>
              <w:top w:val="nil"/>
              <w:left w:val="nil"/>
              <w:bottom w:val="nil"/>
              <w:right w:val="nil"/>
            </w:tcBorders>
            <w:shd w:val="clear" w:color="auto" w:fill="auto"/>
            <w:noWrap/>
            <w:vAlign w:val="bottom"/>
            <w:hideMark/>
          </w:tcPr>
          <w:p w14:paraId="2AEFD747" w14:textId="77777777" w:rsidR="00575B49" w:rsidRPr="00647C63" w:rsidRDefault="00575B49">
            <w:pPr>
              <w:rPr>
                <w:rFonts w:cstheme="minorHAnsi"/>
                <w:color w:val="000000"/>
                <w:sz w:val="22"/>
                <w:szCs w:val="22"/>
              </w:rPr>
            </w:pPr>
            <w:r w:rsidRPr="00647C63">
              <w:rPr>
                <w:rFonts w:cstheme="minorHAnsi"/>
                <w:color w:val="000000"/>
                <w:sz w:val="22"/>
                <w:szCs w:val="22"/>
              </w:rPr>
              <w:t>Assessment and Total Maximum Daily Load Tracking and Implementation System</w:t>
            </w:r>
          </w:p>
        </w:tc>
      </w:tr>
      <w:tr w:rsidR="00575B49" w:rsidRPr="0087475A" w14:paraId="78219AED" w14:textId="77777777" w:rsidTr="00122EDA">
        <w:trPr>
          <w:trHeight w:val="255"/>
        </w:trPr>
        <w:tc>
          <w:tcPr>
            <w:tcW w:w="1353" w:type="dxa"/>
            <w:tcBorders>
              <w:top w:val="nil"/>
              <w:left w:val="nil"/>
              <w:bottom w:val="nil"/>
              <w:right w:val="nil"/>
            </w:tcBorders>
            <w:shd w:val="clear" w:color="auto" w:fill="auto"/>
            <w:noWrap/>
            <w:vAlign w:val="bottom"/>
            <w:hideMark/>
          </w:tcPr>
          <w:p w14:paraId="1C1340E5" w14:textId="77777777" w:rsidR="00575B49" w:rsidRPr="00647C63" w:rsidRDefault="00575B49">
            <w:pPr>
              <w:rPr>
                <w:rFonts w:cstheme="minorHAnsi"/>
                <w:color w:val="000000"/>
                <w:sz w:val="22"/>
                <w:szCs w:val="22"/>
              </w:rPr>
            </w:pPr>
            <w:r w:rsidRPr="00647C63">
              <w:rPr>
                <w:rFonts w:cstheme="minorHAnsi"/>
                <w:color w:val="000000"/>
                <w:sz w:val="22"/>
                <w:szCs w:val="22"/>
              </w:rPr>
              <w:t>AU</w:t>
            </w:r>
          </w:p>
        </w:tc>
        <w:tc>
          <w:tcPr>
            <w:tcW w:w="8387" w:type="dxa"/>
            <w:tcBorders>
              <w:top w:val="nil"/>
              <w:left w:val="nil"/>
              <w:bottom w:val="nil"/>
              <w:right w:val="nil"/>
            </w:tcBorders>
            <w:shd w:val="clear" w:color="auto" w:fill="auto"/>
            <w:noWrap/>
            <w:vAlign w:val="bottom"/>
            <w:hideMark/>
          </w:tcPr>
          <w:p w14:paraId="29AD4AF6" w14:textId="77777777" w:rsidR="00575B49" w:rsidRPr="00647C63" w:rsidRDefault="00575B49">
            <w:pPr>
              <w:rPr>
                <w:rFonts w:cstheme="minorHAnsi"/>
                <w:color w:val="000000"/>
                <w:sz w:val="22"/>
                <w:szCs w:val="22"/>
              </w:rPr>
            </w:pPr>
            <w:r w:rsidRPr="00647C63">
              <w:rPr>
                <w:rFonts w:cstheme="minorHAnsi"/>
                <w:color w:val="000000"/>
                <w:sz w:val="22"/>
                <w:szCs w:val="22"/>
              </w:rPr>
              <w:t>Assessment Unit</w:t>
            </w:r>
          </w:p>
        </w:tc>
      </w:tr>
      <w:tr w:rsidR="00575B49" w:rsidRPr="0087475A" w14:paraId="7D13B62B" w14:textId="77777777" w:rsidTr="00122EDA">
        <w:trPr>
          <w:trHeight w:val="255"/>
        </w:trPr>
        <w:tc>
          <w:tcPr>
            <w:tcW w:w="1353" w:type="dxa"/>
            <w:tcBorders>
              <w:top w:val="nil"/>
              <w:left w:val="nil"/>
              <w:bottom w:val="nil"/>
              <w:right w:val="nil"/>
            </w:tcBorders>
            <w:shd w:val="clear" w:color="auto" w:fill="auto"/>
            <w:noWrap/>
            <w:vAlign w:val="bottom"/>
            <w:hideMark/>
          </w:tcPr>
          <w:p w14:paraId="3C4174F4" w14:textId="77777777" w:rsidR="00575B49" w:rsidRPr="00647C63" w:rsidRDefault="00575B49">
            <w:pPr>
              <w:rPr>
                <w:rFonts w:cstheme="minorHAnsi"/>
                <w:color w:val="000000"/>
                <w:sz w:val="22"/>
                <w:szCs w:val="22"/>
              </w:rPr>
            </w:pPr>
            <w:r w:rsidRPr="00647C63">
              <w:rPr>
                <w:rFonts w:cstheme="minorHAnsi"/>
                <w:color w:val="000000"/>
                <w:sz w:val="22"/>
                <w:szCs w:val="22"/>
              </w:rPr>
              <w:t>AWQM</w:t>
            </w:r>
          </w:p>
        </w:tc>
        <w:tc>
          <w:tcPr>
            <w:tcW w:w="8387" w:type="dxa"/>
            <w:tcBorders>
              <w:top w:val="nil"/>
              <w:left w:val="nil"/>
              <w:bottom w:val="nil"/>
              <w:right w:val="nil"/>
            </w:tcBorders>
            <w:shd w:val="clear" w:color="auto" w:fill="auto"/>
            <w:noWrap/>
            <w:vAlign w:val="bottom"/>
            <w:hideMark/>
          </w:tcPr>
          <w:p w14:paraId="36307C0C"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Ambient Water Quality Monitoring </w:t>
            </w:r>
          </w:p>
        </w:tc>
      </w:tr>
      <w:tr w:rsidR="00575B49" w:rsidRPr="0087475A" w14:paraId="1DA0094A" w14:textId="77777777" w:rsidTr="00122EDA">
        <w:trPr>
          <w:trHeight w:val="255"/>
        </w:trPr>
        <w:tc>
          <w:tcPr>
            <w:tcW w:w="1353" w:type="dxa"/>
            <w:tcBorders>
              <w:top w:val="nil"/>
              <w:left w:val="nil"/>
              <w:bottom w:val="nil"/>
              <w:right w:val="nil"/>
            </w:tcBorders>
            <w:shd w:val="clear" w:color="auto" w:fill="auto"/>
            <w:noWrap/>
            <w:vAlign w:val="bottom"/>
            <w:hideMark/>
          </w:tcPr>
          <w:p w14:paraId="78407958" w14:textId="77777777" w:rsidR="00575B49" w:rsidRPr="00647C63" w:rsidRDefault="00575B49">
            <w:pPr>
              <w:rPr>
                <w:rFonts w:cstheme="minorHAnsi"/>
                <w:color w:val="000000"/>
                <w:sz w:val="22"/>
                <w:szCs w:val="22"/>
              </w:rPr>
            </w:pPr>
            <w:r w:rsidRPr="00647C63">
              <w:rPr>
                <w:rFonts w:cstheme="minorHAnsi"/>
                <w:color w:val="000000"/>
                <w:sz w:val="22"/>
                <w:szCs w:val="22"/>
              </w:rPr>
              <w:t>BAV</w:t>
            </w:r>
          </w:p>
        </w:tc>
        <w:tc>
          <w:tcPr>
            <w:tcW w:w="8387" w:type="dxa"/>
            <w:tcBorders>
              <w:top w:val="nil"/>
              <w:left w:val="nil"/>
              <w:bottom w:val="nil"/>
              <w:right w:val="nil"/>
            </w:tcBorders>
            <w:shd w:val="clear" w:color="auto" w:fill="auto"/>
            <w:noWrap/>
            <w:vAlign w:val="bottom"/>
            <w:hideMark/>
          </w:tcPr>
          <w:p w14:paraId="5C7C0A32" w14:textId="77777777" w:rsidR="00575B49" w:rsidRPr="00647C63" w:rsidRDefault="00575B49">
            <w:pPr>
              <w:rPr>
                <w:rFonts w:cstheme="minorHAnsi"/>
                <w:color w:val="000000"/>
                <w:sz w:val="22"/>
                <w:szCs w:val="22"/>
              </w:rPr>
            </w:pPr>
            <w:r w:rsidRPr="00647C63">
              <w:rPr>
                <w:rFonts w:cstheme="minorHAnsi"/>
                <w:color w:val="000000"/>
                <w:sz w:val="22"/>
                <w:szCs w:val="22"/>
              </w:rPr>
              <w:t>Beach action value</w:t>
            </w:r>
          </w:p>
        </w:tc>
      </w:tr>
      <w:tr w:rsidR="00575B49" w:rsidRPr="0087475A" w14:paraId="2140CEFC" w14:textId="77777777" w:rsidTr="00122EDA">
        <w:trPr>
          <w:trHeight w:val="255"/>
        </w:trPr>
        <w:tc>
          <w:tcPr>
            <w:tcW w:w="1353" w:type="dxa"/>
            <w:tcBorders>
              <w:top w:val="nil"/>
              <w:left w:val="nil"/>
              <w:bottom w:val="nil"/>
              <w:right w:val="nil"/>
            </w:tcBorders>
            <w:shd w:val="clear" w:color="auto" w:fill="auto"/>
            <w:noWrap/>
            <w:vAlign w:val="bottom"/>
            <w:hideMark/>
          </w:tcPr>
          <w:p w14:paraId="1F912FA8" w14:textId="77777777" w:rsidR="00575B49" w:rsidRPr="00647C63" w:rsidRDefault="00575B49">
            <w:pPr>
              <w:rPr>
                <w:rFonts w:cstheme="minorHAnsi"/>
                <w:color w:val="000000"/>
                <w:sz w:val="22"/>
                <w:szCs w:val="22"/>
              </w:rPr>
            </w:pPr>
            <w:r w:rsidRPr="00647C63">
              <w:rPr>
                <w:rFonts w:cstheme="minorHAnsi"/>
                <w:color w:val="000000"/>
                <w:sz w:val="22"/>
                <w:szCs w:val="22"/>
              </w:rPr>
              <w:t>BEACH</w:t>
            </w:r>
          </w:p>
        </w:tc>
        <w:tc>
          <w:tcPr>
            <w:tcW w:w="8387" w:type="dxa"/>
            <w:tcBorders>
              <w:top w:val="nil"/>
              <w:left w:val="nil"/>
              <w:bottom w:val="nil"/>
              <w:right w:val="nil"/>
            </w:tcBorders>
            <w:shd w:val="clear" w:color="auto" w:fill="auto"/>
            <w:noWrap/>
            <w:vAlign w:val="bottom"/>
            <w:hideMark/>
          </w:tcPr>
          <w:p w14:paraId="1FDDF65B"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Beaches Environmental Assessment and Coastal Health Act </w:t>
            </w:r>
          </w:p>
        </w:tc>
      </w:tr>
      <w:tr w:rsidR="00575B49" w:rsidRPr="0087475A" w14:paraId="4EA161DA" w14:textId="77777777" w:rsidTr="00122EDA">
        <w:trPr>
          <w:trHeight w:val="255"/>
        </w:trPr>
        <w:tc>
          <w:tcPr>
            <w:tcW w:w="1353" w:type="dxa"/>
            <w:tcBorders>
              <w:top w:val="nil"/>
              <w:left w:val="nil"/>
              <w:bottom w:val="nil"/>
              <w:right w:val="nil"/>
            </w:tcBorders>
            <w:shd w:val="clear" w:color="auto" w:fill="auto"/>
            <w:noWrap/>
            <w:vAlign w:val="bottom"/>
            <w:hideMark/>
          </w:tcPr>
          <w:p w14:paraId="4E516FCA" w14:textId="77777777" w:rsidR="00575B49" w:rsidRPr="00647C63" w:rsidRDefault="00575B49">
            <w:pPr>
              <w:rPr>
                <w:rFonts w:cstheme="minorHAnsi"/>
                <w:color w:val="000000"/>
                <w:sz w:val="22"/>
                <w:szCs w:val="22"/>
              </w:rPr>
            </w:pPr>
            <w:r w:rsidRPr="00647C63">
              <w:rPr>
                <w:rFonts w:cstheme="minorHAnsi"/>
                <w:color w:val="000000"/>
                <w:sz w:val="22"/>
                <w:szCs w:val="22"/>
              </w:rPr>
              <w:t>BMAN</w:t>
            </w:r>
          </w:p>
        </w:tc>
        <w:tc>
          <w:tcPr>
            <w:tcW w:w="8387" w:type="dxa"/>
            <w:tcBorders>
              <w:top w:val="nil"/>
              <w:left w:val="nil"/>
              <w:bottom w:val="nil"/>
              <w:right w:val="nil"/>
            </w:tcBorders>
            <w:shd w:val="clear" w:color="auto" w:fill="auto"/>
            <w:noWrap/>
            <w:vAlign w:val="bottom"/>
            <w:hideMark/>
          </w:tcPr>
          <w:p w14:paraId="253A74D9"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Beach Monitoring and Notification </w:t>
            </w:r>
          </w:p>
        </w:tc>
      </w:tr>
      <w:tr w:rsidR="00575B49" w:rsidRPr="0087475A" w14:paraId="2C9DF026" w14:textId="77777777" w:rsidTr="00122EDA">
        <w:trPr>
          <w:trHeight w:val="255"/>
        </w:trPr>
        <w:tc>
          <w:tcPr>
            <w:tcW w:w="1353" w:type="dxa"/>
            <w:tcBorders>
              <w:top w:val="nil"/>
              <w:left w:val="nil"/>
              <w:bottom w:val="nil"/>
              <w:right w:val="nil"/>
            </w:tcBorders>
            <w:shd w:val="clear" w:color="auto" w:fill="auto"/>
            <w:noWrap/>
            <w:vAlign w:val="bottom"/>
            <w:hideMark/>
          </w:tcPr>
          <w:p w14:paraId="2033CACE" w14:textId="77777777" w:rsidR="00575B49" w:rsidRPr="00647C63" w:rsidRDefault="00575B49">
            <w:pPr>
              <w:rPr>
                <w:rFonts w:cstheme="minorHAnsi"/>
                <w:color w:val="000000"/>
                <w:sz w:val="22"/>
                <w:szCs w:val="22"/>
              </w:rPr>
            </w:pPr>
            <w:r w:rsidRPr="00647C63">
              <w:rPr>
                <w:rFonts w:cstheme="minorHAnsi"/>
                <w:color w:val="000000"/>
                <w:sz w:val="22"/>
                <w:szCs w:val="22"/>
              </w:rPr>
              <w:t>CAFO</w:t>
            </w:r>
          </w:p>
        </w:tc>
        <w:tc>
          <w:tcPr>
            <w:tcW w:w="8387" w:type="dxa"/>
            <w:tcBorders>
              <w:top w:val="nil"/>
              <w:left w:val="nil"/>
              <w:bottom w:val="nil"/>
              <w:right w:val="nil"/>
            </w:tcBorders>
            <w:shd w:val="clear" w:color="auto" w:fill="auto"/>
            <w:noWrap/>
            <w:vAlign w:val="bottom"/>
            <w:hideMark/>
          </w:tcPr>
          <w:p w14:paraId="7DF7F5CF" w14:textId="77777777" w:rsidR="00575B49" w:rsidRPr="00647C63" w:rsidRDefault="00575B49">
            <w:pPr>
              <w:rPr>
                <w:rFonts w:cstheme="minorHAnsi"/>
                <w:color w:val="000000"/>
                <w:sz w:val="22"/>
                <w:szCs w:val="22"/>
              </w:rPr>
            </w:pPr>
            <w:r w:rsidRPr="00647C63">
              <w:rPr>
                <w:rFonts w:cstheme="minorHAnsi"/>
                <w:color w:val="000000"/>
                <w:sz w:val="22"/>
                <w:szCs w:val="22"/>
              </w:rPr>
              <w:t>Concentrated Animal Feeding Operation</w:t>
            </w:r>
          </w:p>
        </w:tc>
      </w:tr>
      <w:tr w:rsidR="00575B49" w:rsidRPr="0087475A" w14:paraId="4E2C9B2C" w14:textId="77777777" w:rsidTr="00122EDA">
        <w:trPr>
          <w:trHeight w:val="255"/>
        </w:trPr>
        <w:tc>
          <w:tcPr>
            <w:tcW w:w="1353" w:type="dxa"/>
            <w:tcBorders>
              <w:top w:val="nil"/>
              <w:left w:val="nil"/>
              <w:bottom w:val="nil"/>
              <w:right w:val="nil"/>
            </w:tcBorders>
            <w:shd w:val="clear" w:color="auto" w:fill="auto"/>
            <w:noWrap/>
            <w:vAlign w:val="bottom"/>
            <w:hideMark/>
          </w:tcPr>
          <w:p w14:paraId="4212B5A6" w14:textId="77777777" w:rsidR="00575B49" w:rsidRPr="00647C63" w:rsidRDefault="00575B49">
            <w:pPr>
              <w:rPr>
                <w:rFonts w:cstheme="minorHAnsi"/>
                <w:color w:val="000000"/>
                <w:sz w:val="22"/>
                <w:szCs w:val="22"/>
              </w:rPr>
            </w:pPr>
            <w:r w:rsidRPr="00647C63">
              <w:rPr>
                <w:rFonts w:cstheme="minorHAnsi"/>
                <w:color w:val="000000"/>
                <w:sz w:val="22"/>
                <w:szCs w:val="22"/>
              </w:rPr>
              <w:t>CBMP</w:t>
            </w:r>
          </w:p>
        </w:tc>
        <w:tc>
          <w:tcPr>
            <w:tcW w:w="8387" w:type="dxa"/>
            <w:tcBorders>
              <w:top w:val="nil"/>
              <w:left w:val="nil"/>
              <w:bottom w:val="nil"/>
              <w:right w:val="nil"/>
            </w:tcBorders>
            <w:shd w:val="clear" w:color="auto" w:fill="auto"/>
            <w:noWrap/>
            <w:vAlign w:val="bottom"/>
            <w:hideMark/>
          </w:tcPr>
          <w:p w14:paraId="62CF84F5"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Chesapeake Bay Monitoring Program </w:t>
            </w:r>
          </w:p>
        </w:tc>
      </w:tr>
      <w:tr w:rsidR="00575B49" w:rsidRPr="0087475A" w14:paraId="19B1F03F" w14:textId="77777777" w:rsidTr="00122EDA">
        <w:trPr>
          <w:trHeight w:val="255"/>
        </w:trPr>
        <w:tc>
          <w:tcPr>
            <w:tcW w:w="1353" w:type="dxa"/>
            <w:tcBorders>
              <w:top w:val="nil"/>
              <w:left w:val="nil"/>
              <w:bottom w:val="nil"/>
              <w:right w:val="nil"/>
            </w:tcBorders>
            <w:shd w:val="clear" w:color="auto" w:fill="auto"/>
            <w:noWrap/>
            <w:vAlign w:val="bottom"/>
            <w:hideMark/>
          </w:tcPr>
          <w:p w14:paraId="2049BD9B" w14:textId="77777777" w:rsidR="00575B49" w:rsidRPr="00647C63" w:rsidRDefault="00575B49">
            <w:pPr>
              <w:rPr>
                <w:rFonts w:cstheme="minorHAnsi"/>
                <w:color w:val="000000"/>
                <w:sz w:val="22"/>
                <w:szCs w:val="22"/>
              </w:rPr>
            </w:pPr>
            <w:r w:rsidRPr="00647C63">
              <w:rPr>
                <w:rFonts w:cstheme="minorHAnsi"/>
                <w:color w:val="000000"/>
                <w:sz w:val="22"/>
                <w:szCs w:val="22"/>
              </w:rPr>
              <w:t>CBP</w:t>
            </w:r>
          </w:p>
        </w:tc>
        <w:tc>
          <w:tcPr>
            <w:tcW w:w="8387" w:type="dxa"/>
            <w:tcBorders>
              <w:top w:val="nil"/>
              <w:left w:val="nil"/>
              <w:bottom w:val="nil"/>
              <w:right w:val="nil"/>
            </w:tcBorders>
            <w:shd w:val="clear" w:color="auto" w:fill="auto"/>
            <w:noWrap/>
            <w:vAlign w:val="bottom"/>
            <w:hideMark/>
          </w:tcPr>
          <w:p w14:paraId="47FB95E3"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U.S. EPA Chesapeake Bay Program </w:t>
            </w:r>
          </w:p>
        </w:tc>
      </w:tr>
      <w:tr w:rsidR="00575B49" w:rsidRPr="0087475A" w14:paraId="647B2F5E" w14:textId="77777777" w:rsidTr="00122EDA">
        <w:trPr>
          <w:trHeight w:val="255"/>
        </w:trPr>
        <w:tc>
          <w:tcPr>
            <w:tcW w:w="1353" w:type="dxa"/>
            <w:tcBorders>
              <w:top w:val="nil"/>
              <w:left w:val="nil"/>
              <w:bottom w:val="nil"/>
              <w:right w:val="nil"/>
            </w:tcBorders>
            <w:shd w:val="clear" w:color="auto" w:fill="auto"/>
            <w:noWrap/>
            <w:vAlign w:val="bottom"/>
            <w:hideMark/>
          </w:tcPr>
          <w:p w14:paraId="5A5A5F00" w14:textId="77777777" w:rsidR="00575B49" w:rsidRPr="00647C63" w:rsidRDefault="00575B49">
            <w:pPr>
              <w:rPr>
                <w:rFonts w:cstheme="minorHAnsi"/>
                <w:color w:val="000000"/>
                <w:sz w:val="22"/>
                <w:szCs w:val="22"/>
              </w:rPr>
            </w:pPr>
            <w:r w:rsidRPr="00647C63">
              <w:rPr>
                <w:rFonts w:cstheme="minorHAnsi"/>
                <w:color w:val="000000"/>
                <w:sz w:val="22"/>
                <w:szCs w:val="22"/>
              </w:rPr>
              <w:t>CCU</w:t>
            </w:r>
          </w:p>
        </w:tc>
        <w:tc>
          <w:tcPr>
            <w:tcW w:w="8387" w:type="dxa"/>
            <w:tcBorders>
              <w:top w:val="nil"/>
              <w:left w:val="nil"/>
              <w:bottom w:val="nil"/>
              <w:right w:val="nil"/>
            </w:tcBorders>
            <w:shd w:val="clear" w:color="auto" w:fill="auto"/>
            <w:noWrap/>
            <w:vAlign w:val="bottom"/>
            <w:hideMark/>
          </w:tcPr>
          <w:p w14:paraId="57FB7317" w14:textId="77777777" w:rsidR="00575B49" w:rsidRPr="00647C63" w:rsidRDefault="00575B49">
            <w:pPr>
              <w:rPr>
                <w:rFonts w:cstheme="minorHAnsi"/>
                <w:color w:val="000000"/>
                <w:sz w:val="22"/>
                <w:szCs w:val="22"/>
              </w:rPr>
            </w:pPr>
            <w:r w:rsidRPr="00647C63">
              <w:rPr>
                <w:rFonts w:cstheme="minorHAnsi"/>
                <w:color w:val="000000"/>
                <w:sz w:val="22"/>
                <w:szCs w:val="22"/>
              </w:rPr>
              <w:t>Cumulative Criterion Unit</w:t>
            </w:r>
          </w:p>
        </w:tc>
      </w:tr>
      <w:tr w:rsidR="00575B49" w:rsidRPr="0087475A" w14:paraId="75DF77D0" w14:textId="77777777" w:rsidTr="00122EDA">
        <w:trPr>
          <w:trHeight w:val="255"/>
        </w:trPr>
        <w:tc>
          <w:tcPr>
            <w:tcW w:w="1353" w:type="dxa"/>
            <w:tcBorders>
              <w:top w:val="nil"/>
              <w:left w:val="nil"/>
              <w:bottom w:val="nil"/>
              <w:right w:val="nil"/>
            </w:tcBorders>
            <w:shd w:val="clear" w:color="auto" w:fill="auto"/>
            <w:noWrap/>
            <w:vAlign w:val="bottom"/>
            <w:hideMark/>
          </w:tcPr>
          <w:p w14:paraId="64D50635" w14:textId="77777777" w:rsidR="00575B49" w:rsidRPr="00647C63" w:rsidRDefault="00575B49">
            <w:pPr>
              <w:rPr>
                <w:rFonts w:cstheme="minorHAnsi"/>
                <w:color w:val="000000"/>
                <w:sz w:val="22"/>
                <w:szCs w:val="22"/>
              </w:rPr>
            </w:pPr>
            <w:r w:rsidRPr="00647C63">
              <w:rPr>
                <w:rFonts w:cstheme="minorHAnsi"/>
                <w:color w:val="000000"/>
                <w:sz w:val="22"/>
                <w:szCs w:val="22"/>
              </w:rPr>
              <w:t>CD</w:t>
            </w:r>
          </w:p>
        </w:tc>
        <w:tc>
          <w:tcPr>
            <w:tcW w:w="8387" w:type="dxa"/>
            <w:tcBorders>
              <w:top w:val="nil"/>
              <w:left w:val="nil"/>
              <w:bottom w:val="nil"/>
              <w:right w:val="nil"/>
            </w:tcBorders>
            <w:shd w:val="clear" w:color="auto" w:fill="auto"/>
            <w:noWrap/>
            <w:vAlign w:val="bottom"/>
            <w:hideMark/>
          </w:tcPr>
          <w:p w14:paraId="5B5C1005" w14:textId="77777777" w:rsidR="00575B49" w:rsidRPr="00647C63" w:rsidRDefault="00575B49">
            <w:pPr>
              <w:rPr>
                <w:rFonts w:cstheme="minorHAnsi"/>
                <w:color w:val="000000"/>
                <w:sz w:val="22"/>
                <w:szCs w:val="22"/>
              </w:rPr>
            </w:pPr>
            <w:r w:rsidRPr="00647C63">
              <w:rPr>
                <w:rFonts w:cstheme="minorHAnsi"/>
                <w:color w:val="000000"/>
                <w:sz w:val="22"/>
                <w:szCs w:val="22"/>
              </w:rPr>
              <w:t>Consent Decree</w:t>
            </w:r>
          </w:p>
        </w:tc>
      </w:tr>
      <w:tr w:rsidR="00575B49" w:rsidRPr="0087475A" w14:paraId="12E7A214" w14:textId="77777777" w:rsidTr="00122EDA">
        <w:trPr>
          <w:trHeight w:val="255"/>
        </w:trPr>
        <w:tc>
          <w:tcPr>
            <w:tcW w:w="1353" w:type="dxa"/>
            <w:tcBorders>
              <w:top w:val="nil"/>
              <w:left w:val="nil"/>
              <w:bottom w:val="nil"/>
              <w:right w:val="nil"/>
            </w:tcBorders>
            <w:shd w:val="clear" w:color="auto" w:fill="auto"/>
            <w:noWrap/>
            <w:vAlign w:val="bottom"/>
            <w:hideMark/>
          </w:tcPr>
          <w:p w14:paraId="19046B43"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CDX </w:t>
            </w:r>
          </w:p>
        </w:tc>
        <w:tc>
          <w:tcPr>
            <w:tcW w:w="8387" w:type="dxa"/>
            <w:tcBorders>
              <w:top w:val="nil"/>
              <w:left w:val="nil"/>
              <w:bottom w:val="nil"/>
              <w:right w:val="nil"/>
            </w:tcBorders>
            <w:shd w:val="clear" w:color="auto" w:fill="auto"/>
            <w:noWrap/>
            <w:vAlign w:val="bottom"/>
            <w:hideMark/>
          </w:tcPr>
          <w:p w14:paraId="5993B730" w14:textId="77777777" w:rsidR="00575B49" w:rsidRPr="00647C63" w:rsidRDefault="00575B49">
            <w:pPr>
              <w:rPr>
                <w:rFonts w:cstheme="minorHAnsi"/>
                <w:color w:val="000000"/>
                <w:sz w:val="22"/>
                <w:szCs w:val="22"/>
              </w:rPr>
            </w:pPr>
            <w:r w:rsidRPr="00647C63">
              <w:rPr>
                <w:rFonts w:cstheme="minorHAnsi"/>
                <w:color w:val="000000"/>
                <w:sz w:val="22"/>
                <w:szCs w:val="22"/>
              </w:rPr>
              <w:t>U.S. EPA Central Data Exchange</w:t>
            </w:r>
          </w:p>
        </w:tc>
      </w:tr>
      <w:tr w:rsidR="00575B49" w:rsidRPr="0087475A" w14:paraId="5DB78E36" w14:textId="77777777" w:rsidTr="00122EDA">
        <w:trPr>
          <w:trHeight w:val="255"/>
        </w:trPr>
        <w:tc>
          <w:tcPr>
            <w:tcW w:w="1353" w:type="dxa"/>
            <w:tcBorders>
              <w:top w:val="nil"/>
              <w:left w:val="nil"/>
              <w:bottom w:val="nil"/>
              <w:right w:val="nil"/>
            </w:tcBorders>
            <w:shd w:val="clear" w:color="auto" w:fill="auto"/>
            <w:noWrap/>
            <w:vAlign w:val="bottom"/>
            <w:hideMark/>
          </w:tcPr>
          <w:p w14:paraId="5B41937C" w14:textId="77777777" w:rsidR="00575B49" w:rsidRPr="00647C63" w:rsidRDefault="00575B49">
            <w:pPr>
              <w:rPr>
                <w:rFonts w:cstheme="minorHAnsi"/>
                <w:color w:val="000000"/>
                <w:sz w:val="22"/>
                <w:szCs w:val="22"/>
              </w:rPr>
            </w:pPr>
            <w:r w:rsidRPr="00647C63">
              <w:rPr>
                <w:rFonts w:cstheme="minorHAnsi"/>
                <w:color w:val="000000"/>
                <w:sz w:val="22"/>
                <w:szCs w:val="22"/>
              </w:rPr>
              <w:t>CFU</w:t>
            </w:r>
          </w:p>
        </w:tc>
        <w:tc>
          <w:tcPr>
            <w:tcW w:w="8387" w:type="dxa"/>
            <w:tcBorders>
              <w:top w:val="nil"/>
              <w:left w:val="nil"/>
              <w:bottom w:val="nil"/>
              <w:right w:val="nil"/>
            </w:tcBorders>
            <w:shd w:val="clear" w:color="auto" w:fill="auto"/>
            <w:noWrap/>
            <w:vAlign w:val="bottom"/>
            <w:hideMark/>
          </w:tcPr>
          <w:p w14:paraId="7DC3DB0D" w14:textId="77777777" w:rsidR="00575B49" w:rsidRPr="00647C63" w:rsidRDefault="00575B49">
            <w:pPr>
              <w:rPr>
                <w:rFonts w:cstheme="minorHAnsi"/>
                <w:color w:val="000000"/>
                <w:sz w:val="22"/>
                <w:szCs w:val="22"/>
              </w:rPr>
            </w:pPr>
            <w:r w:rsidRPr="00647C63">
              <w:rPr>
                <w:rFonts w:cstheme="minorHAnsi"/>
                <w:color w:val="000000"/>
                <w:sz w:val="22"/>
                <w:szCs w:val="22"/>
              </w:rPr>
              <w:t>Colony Forming Unit</w:t>
            </w:r>
          </w:p>
        </w:tc>
      </w:tr>
      <w:tr w:rsidR="00575B49" w:rsidRPr="0087475A" w14:paraId="45C4B860" w14:textId="77777777" w:rsidTr="00122EDA">
        <w:trPr>
          <w:trHeight w:val="255"/>
        </w:trPr>
        <w:tc>
          <w:tcPr>
            <w:tcW w:w="1353" w:type="dxa"/>
            <w:tcBorders>
              <w:top w:val="nil"/>
              <w:left w:val="nil"/>
              <w:bottom w:val="nil"/>
              <w:right w:val="nil"/>
            </w:tcBorders>
            <w:shd w:val="clear" w:color="auto" w:fill="auto"/>
            <w:noWrap/>
            <w:vAlign w:val="bottom"/>
            <w:hideMark/>
          </w:tcPr>
          <w:p w14:paraId="65D79DA2" w14:textId="77777777" w:rsidR="00575B49" w:rsidRPr="00647C63" w:rsidRDefault="00575B49">
            <w:pPr>
              <w:rPr>
                <w:rFonts w:cstheme="minorHAnsi"/>
                <w:color w:val="000000"/>
                <w:sz w:val="22"/>
                <w:szCs w:val="22"/>
              </w:rPr>
            </w:pPr>
            <w:proofErr w:type="spellStart"/>
            <w:r w:rsidRPr="00647C63">
              <w:rPr>
                <w:rFonts w:cstheme="minorHAnsi"/>
                <w:color w:val="000000"/>
                <w:sz w:val="22"/>
                <w:szCs w:val="22"/>
              </w:rPr>
              <w:t>Chl</w:t>
            </w:r>
            <w:proofErr w:type="spellEnd"/>
            <w:r w:rsidRPr="00647C63">
              <w:rPr>
                <w:rFonts w:cstheme="minorHAnsi"/>
                <w:color w:val="000000"/>
                <w:sz w:val="22"/>
                <w:szCs w:val="22"/>
              </w:rPr>
              <w:t>-</w:t>
            </w:r>
            <w:r w:rsidRPr="00647C63">
              <w:rPr>
                <w:rFonts w:cstheme="minorHAnsi"/>
                <w:i/>
                <w:color w:val="000000"/>
                <w:sz w:val="22"/>
                <w:szCs w:val="22"/>
              </w:rPr>
              <w:t>a</w:t>
            </w:r>
          </w:p>
        </w:tc>
        <w:tc>
          <w:tcPr>
            <w:tcW w:w="8387" w:type="dxa"/>
            <w:tcBorders>
              <w:top w:val="nil"/>
              <w:left w:val="nil"/>
              <w:bottom w:val="nil"/>
              <w:right w:val="nil"/>
            </w:tcBorders>
            <w:shd w:val="clear" w:color="auto" w:fill="auto"/>
            <w:noWrap/>
            <w:vAlign w:val="bottom"/>
            <w:hideMark/>
          </w:tcPr>
          <w:p w14:paraId="1BC73EE6" w14:textId="77777777" w:rsidR="00575B49" w:rsidRPr="00647C63" w:rsidRDefault="00575B49">
            <w:pPr>
              <w:rPr>
                <w:rFonts w:cstheme="minorHAnsi"/>
                <w:color w:val="000000"/>
                <w:sz w:val="22"/>
                <w:szCs w:val="22"/>
              </w:rPr>
            </w:pPr>
            <w:r w:rsidRPr="00647C63">
              <w:rPr>
                <w:rFonts w:cstheme="minorHAnsi"/>
                <w:color w:val="000000"/>
                <w:sz w:val="22"/>
                <w:szCs w:val="22"/>
              </w:rPr>
              <w:t>Chlorophyll a</w:t>
            </w:r>
          </w:p>
        </w:tc>
      </w:tr>
      <w:tr w:rsidR="00384354" w:rsidRPr="0087475A" w14:paraId="02CE3154" w14:textId="77777777" w:rsidTr="00122EDA">
        <w:trPr>
          <w:trHeight w:val="255"/>
        </w:trPr>
        <w:tc>
          <w:tcPr>
            <w:tcW w:w="1353" w:type="dxa"/>
            <w:tcBorders>
              <w:top w:val="nil"/>
              <w:left w:val="nil"/>
              <w:bottom w:val="nil"/>
              <w:right w:val="nil"/>
            </w:tcBorders>
            <w:shd w:val="clear" w:color="auto" w:fill="auto"/>
            <w:noWrap/>
            <w:vAlign w:val="bottom"/>
          </w:tcPr>
          <w:p w14:paraId="7F723990" w14:textId="14FA2D0C" w:rsidR="00384354" w:rsidRPr="00647C63" w:rsidRDefault="00384354">
            <w:pPr>
              <w:rPr>
                <w:rFonts w:cstheme="minorHAnsi"/>
                <w:color w:val="000000"/>
                <w:sz w:val="22"/>
                <w:szCs w:val="22"/>
              </w:rPr>
            </w:pPr>
            <w:r w:rsidRPr="00647C63">
              <w:rPr>
                <w:rFonts w:cstheme="minorHAnsi"/>
                <w:color w:val="000000"/>
                <w:sz w:val="22"/>
                <w:szCs w:val="22"/>
              </w:rPr>
              <w:t>CitMon</w:t>
            </w:r>
          </w:p>
        </w:tc>
        <w:tc>
          <w:tcPr>
            <w:tcW w:w="8387" w:type="dxa"/>
            <w:tcBorders>
              <w:top w:val="nil"/>
              <w:left w:val="nil"/>
              <w:bottom w:val="nil"/>
              <w:right w:val="nil"/>
            </w:tcBorders>
            <w:shd w:val="clear" w:color="auto" w:fill="auto"/>
            <w:noWrap/>
            <w:vAlign w:val="bottom"/>
          </w:tcPr>
          <w:p w14:paraId="5C173EB9" w14:textId="3FDD4AAD" w:rsidR="00384354" w:rsidRPr="00647C63" w:rsidRDefault="00384354">
            <w:pPr>
              <w:rPr>
                <w:rFonts w:cstheme="minorHAnsi"/>
                <w:color w:val="000000"/>
                <w:sz w:val="22"/>
                <w:szCs w:val="22"/>
              </w:rPr>
            </w:pPr>
            <w:r w:rsidRPr="00647C63">
              <w:rPr>
                <w:rFonts w:cstheme="minorHAnsi"/>
                <w:color w:val="000000"/>
                <w:sz w:val="22"/>
                <w:szCs w:val="22"/>
              </w:rPr>
              <w:t xml:space="preserve">Citizen </w:t>
            </w:r>
            <w:r w:rsidR="0024414E" w:rsidRPr="00647C63">
              <w:rPr>
                <w:rFonts w:cstheme="minorHAnsi"/>
                <w:color w:val="000000"/>
                <w:sz w:val="22"/>
                <w:szCs w:val="22"/>
              </w:rPr>
              <w:t>Monitoring</w:t>
            </w:r>
          </w:p>
        </w:tc>
      </w:tr>
      <w:tr w:rsidR="00363C6C" w:rsidRPr="0087475A" w14:paraId="5941B695" w14:textId="77777777" w:rsidTr="00122EDA">
        <w:trPr>
          <w:trHeight w:val="255"/>
        </w:trPr>
        <w:tc>
          <w:tcPr>
            <w:tcW w:w="1353" w:type="dxa"/>
            <w:tcBorders>
              <w:top w:val="nil"/>
              <w:left w:val="nil"/>
              <w:bottom w:val="nil"/>
              <w:right w:val="nil"/>
            </w:tcBorders>
            <w:shd w:val="clear" w:color="auto" w:fill="auto"/>
            <w:noWrap/>
            <w:vAlign w:val="bottom"/>
          </w:tcPr>
          <w:p w14:paraId="19343FFC" w14:textId="776A9193" w:rsidR="00363C6C" w:rsidRPr="00647C63" w:rsidRDefault="00363C6C">
            <w:pPr>
              <w:rPr>
                <w:rFonts w:cstheme="minorHAnsi"/>
                <w:color w:val="000000"/>
                <w:sz w:val="22"/>
                <w:szCs w:val="22"/>
              </w:rPr>
            </w:pPr>
            <w:r w:rsidRPr="00647C63">
              <w:rPr>
                <w:rFonts w:cstheme="minorHAnsi"/>
                <w:color w:val="000000"/>
                <w:sz w:val="22"/>
                <w:szCs w:val="22"/>
              </w:rPr>
              <w:t>CMC</w:t>
            </w:r>
          </w:p>
        </w:tc>
        <w:tc>
          <w:tcPr>
            <w:tcW w:w="8387" w:type="dxa"/>
            <w:tcBorders>
              <w:top w:val="nil"/>
              <w:left w:val="nil"/>
              <w:bottom w:val="nil"/>
              <w:right w:val="nil"/>
            </w:tcBorders>
            <w:shd w:val="clear" w:color="auto" w:fill="auto"/>
            <w:noWrap/>
            <w:vAlign w:val="bottom"/>
          </w:tcPr>
          <w:p w14:paraId="04876531" w14:textId="7B5E51FA" w:rsidR="00363C6C" w:rsidRPr="00647C63" w:rsidRDefault="00363C6C">
            <w:pPr>
              <w:rPr>
                <w:rFonts w:cstheme="minorHAnsi"/>
                <w:color w:val="000000"/>
                <w:sz w:val="22"/>
                <w:szCs w:val="22"/>
              </w:rPr>
            </w:pPr>
            <w:r w:rsidRPr="00647C63">
              <w:rPr>
                <w:rFonts w:cstheme="minorHAnsi"/>
                <w:color w:val="000000"/>
                <w:sz w:val="22"/>
                <w:szCs w:val="22"/>
              </w:rPr>
              <w:t>Chesapeake Monitoring Cooperative</w:t>
            </w:r>
          </w:p>
        </w:tc>
      </w:tr>
      <w:tr w:rsidR="00575B49" w:rsidRPr="0087475A" w14:paraId="6A21A4A0" w14:textId="77777777" w:rsidTr="00122EDA">
        <w:trPr>
          <w:trHeight w:val="255"/>
        </w:trPr>
        <w:tc>
          <w:tcPr>
            <w:tcW w:w="1353" w:type="dxa"/>
            <w:tcBorders>
              <w:top w:val="nil"/>
              <w:left w:val="nil"/>
              <w:bottom w:val="nil"/>
              <w:right w:val="nil"/>
            </w:tcBorders>
            <w:shd w:val="clear" w:color="auto" w:fill="auto"/>
            <w:noWrap/>
            <w:vAlign w:val="bottom"/>
            <w:hideMark/>
          </w:tcPr>
          <w:p w14:paraId="26E204E8" w14:textId="77777777" w:rsidR="00575B49" w:rsidRPr="00647C63" w:rsidRDefault="00575B49">
            <w:pPr>
              <w:rPr>
                <w:rFonts w:cstheme="minorHAnsi"/>
                <w:color w:val="000000"/>
                <w:sz w:val="22"/>
                <w:szCs w:val="22"/>
              </w:rPr>
            </w:pPr>
            <w:r w:rsidRPr="00647C63">
              <w:rPr>
                <w:rFonts w:cstheme="minorHAnsi"/>
                <w:color w:val="000000"/>
                <w:sz w:val="22"/>
                <w:szCs w:val="22"/>
              </w:rPr>
              <w:t>CWA</w:t>
            </w:r>
          </w:p>
        </w:tc>
        <w:tc>
          <w:tcPr>
            <w:tcW w:w="8387" w:type="dxa"/>
            <w:tcBorders>
              <w:top w:val="nil"/>
              <w:left w:val="nil"/>
              <w:bottom w:val="nil"/>
              <w:right w:val="nil"/>
            </w:tcBorders>
            <w:shd w:val="clear" w:color="auto" w:fill="auto"/>
            <w:noWrap/>
            <w:vAlign w:val="bottom"/>
            <w:hideMark/>
          </w:tcPr>
          <w:p w14:paraId="47E2FD71" w14:textId="77777777" w:rsidR="00575B49" w:rsidRPr="00647C63" w:rsidRDefault="00575B49">
            <w:pPr>
              <w:rPr>
                <w:rFonts w:cstheme="minorHAnsi"/>
                <w:color w:val="000000"/>
                <w:sz w:val="22"/>
                <w:szCs w:val="22"/>
              </w:rPr>
            </w:pPr>
            <w:r w:rsidRPr="00647C63">
              <w:rPr>
                <w:rFonts w:cstheme="minorHAnsi"/>
                <w:color w:val="000000"/>
                <w:sz w:val="22"/>
                <w:szCs w:val="22"/>
              </w:rPr>
              <w:t>Federal Clean Water Act</w:t>
            </w:r>
          </w:p>
        </w:tc>
      </w:tr>
      <w:tr w:rsidR="00575B49" w:rsidRPr="0087475A" w14:paraId="42F8612A" w14:textId="77777777" w:rsidTr="00122EDA">
        <w:trPr>
          <w:trHeight w:val="255"/>
        </w:trPr>
        <w:tc>
          <w:tcPr>
            <w:tcW w:w="1353" w:type="dxa"/>
            <w:tcBorders>
              <w:top w:val="nil"/>
              <w:left w:val="nil"/>
              <w:bottom w:val="nil"/>
              <w:right w:val="nil"/>
            </w:tcBorders>
            <w:shd w:val="clear" w:color="auto" w:fill="auto"/>
            <w:noWrap/>
            <w:vAlign w:val="bottom"/>
            <w:hideMark/>
          </w:tcPr>
          <w:p w14:paraId="27B58064" w14:textId="77777777" w:rsidR="00575B49" w:rsidRPr="00647C63" w:rsidRDefault="00575B49">
            <w:pPr>
              <w:rPr>
                <w:rFonts w:cstheme="minorHAnsi"/>
                <w:color w:val="000000"/>
                <w:sz w:val="22"/>
                <w:szCs w:val="22"/>
              </w:rPr>
            </w:pPr>
            <w:r w:rsidRPr="00647C63">
              <w:rPr>
                <w:rFonts w:cstheme="minorHAnsi"/>
                <w:color w:val="000000"/>
                <w:sz w:val="22"/>
                <w:szCs w:val="22"/>
              </w:rPr>
              <w:t>DCR</w:t>
            </w:r>
          </w:p>
        </w:tc>
        <w:tc>
          <w:tcPr>
            <w:tcW w:w="8387" w:type="dxa"/>
            <w:tcBorders>
              <w:top w:val="nil"/>
              <w:left w:val="nil"/>
              <w:bottom w:val="nil"/>
              <w:right w:val="nil"/>
            </w:tcBorders>
            <w:shd w:val="clear" w:color="auto" w:fill="auto"/>
            <w:noWrap/>
            <w:vAlign w:val="bottom"/>
            <w:hideMark/>
          </w:tcPr>
          <w:p w14:paraId="790B563D"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Department of Conservation and Recreation </w:t>
            </w:r>
          </w:p>
        </w:tc>
      </w:tr>
      <w:tr w:rsidR="00575B49" w:rsidRPr="0087475A" w14:paraId="5A083610" w14:textId="77777777" w:rsidTr="00122EDA">
        <w:trPr>
          <w:trHeight w:val="255"/>
        </w:trPr>
        <w:tc>
          <w:tcPr>
            <w:tcW w:w="1353" w:type="dxa"/>
            <w:tcBorders>
              <w:top w:val="nil"/>
              <w:left w:val="nil"/>
              <w:bottom w:val="nil"/>
              <w:right w:val="nil"/>
            </w:tcBorders>
            <w:shd w:val="clear" w:color="auto" w:fill="auto"/>
            <w:noWrap/>
            <w:vAlign w:val="bottom"/>
            <w:hideMark/>
          </w:tcPr>
          <w:p w14:paraId="4DB45D9A" w14:textId="77777777" w:rsidR="00575B49" w:rsidRPr="00647C63" w:rsidRDefault="00575B49">
            <w:pPr>
              <w:rPr>
                <w:rFonts w:cstheme="minorHAnsi"/>
                <w:color w:val="000000"/>
                <w:sz w:val="22"/>
                <w:szCs w:val="22"/>
              </w:rPr>
            </w:pPr>
            <w:r w:rsidRPr="00647C63">
              <w:rPr>
                <w:rFonts w:cstheme="minorHAnsi"/>
                <w:color w:val="000000"/>
                <w:sz w:val="22"/>
                <w:szCs w:val="22"/>
              </w:rPr>
              <w:t>DEQ</w:t>
            </w:r>
          </w:p>
        </w:tc>
        <w:tc>
          <w:tcPr>
            <w:tcW w:w="8387" w:type="dxa"/>
            <w:tcBorders>
              <w:top w:val="nil"/>
              <w:left w:val="nil"/>
              <w:bottom w:val="nil"/>
              <w:right w:val="nil"/>
            </w:tcBorders>
            <w:shd w:val="clear" w:color="auto" w:fill="auto"/>
            <w:noWrap/>
            <w:vAlign w:val="bottom"/>
            <w:hideMark/>
          </w:tcPr>
          <w:p w14:paraId="1B77B284" w14:textId="77777777" w:rsidR="00575B49" w:rsidRPr="00647C63" w:rsidRDefault="00575B49">
            <w:pPr>
              <w:rPr>
                <w:rFonts w:cstheme="minorHAnsi"/>
                <w:color w:val="000000"/>
                <w:sz w:val="22"/>
                <w:szCs w:val="22"/>
              </w:rPr>
            </w:pPr>
            <w:r w:rsidRPr="00647C63">
              <w:rPr>
                <w:rFonts w:cstheme="minorHAnsi"/>
                <w:color w:val="000000"/>
                <w:sz w:val="22"/>
                <w:szCs w:val="22"/>
              </w:rPr>
              <w:t>Virginia Department of Environmental Quality</w:t>
            </w:r>
          </w:p>
        </w:tc>
      </w:tr>
      <w:tr w:rsidR="00575B49" w:rsidRPr="0087475A" w14:paraId="536B73C3" w14:textId="77777777" w:rsidTr="00122EDA">
        <w:trPr>
          <w:trHeight w:val="255"/>
        </w:trPr>
        <w:tc>
          <w:tcPr>
            <w:tcW w:w="1353" w:type="dxa"/>
            <w:tcBorders>
              <w:top w:val="nil"/>
              <w:left w:val="nil"/>
              <w:bottom w:val="nil"/>
              <w:right w:val="nil"/>
            </w:tcBorders>
            <w:shd w:val="clear" w:color="auto" w:fill="auto"/>
            <w:noWrap/>
            <w:vAlign w:val="bottom"/>
            <w:hideMark/>
          </w:tcPr>
          <w:p w14:paraId="080EE1ED" w14:textId="77777777" w:rsidR="00575B49" w:rsidRPr="00647C63" w:rsidRDefault="00575B49">
            <w:pPr>
              <w:rPr>
                <w:rFonts w:cstheme="minorHAnsi"/>
                <w:color w:val="000000"/>
                <w:sz w:val="22"/>
                <w:szCs w:val="22"/>
              </w:rPr>
            </w:pPr>
            <w:r w:rsidRPr="00647C63">
              <w:rPr>
                <w:rFonts w:cstheme="minorHAnsi"/>
                <w:color w:val="000000"/>
                <w:sz w:val="22"/>
                <w:szCs w:val="22"/>
              </w:rPr>
              <w:t>DIN</w:t>
            </w:r>
          </w:p>
        </w:tc>
        <w:tc>
          <w:tcPr>
            <w:tcW w:w="8387" w:type="dxa"/>
            <w:tcBorders>
              <w:top w:val="nil"/>
              <w:left w:val="nil"/>
              <w:bottom w:val="nil"/>
              <w:right w:val="nil"/>
            </w:tcBorders>
            <w:shd w:val="clear" w:color="auto" w:fill="auto"/>
            <w:noWrap/>
            <w:vAlign w:val="bottom"/>
            <w:hideMark/>
          </w:tcPr>
          <w:p w14:paraId="3DFDF9F8" w14:textId="77777777" w:rsidR="00575B49" w:rsidRPr="00647C63" w:rsidRDefault="00575B49">
            <w:pPr>
              <w:rPr>
                <w:rFonts w:cstheme="minorHAnsi"/>
                <w:color w:val="000000"/>
                <w:sz w:val="22"/>
                <w:szCs w:val="22"/>
              </w:rPr>
            </w:pPr>
            <w:r w:rsidRPr="00647C63">
              <w:rPr>
                <w:rFonts w:cstheme="minorHAnsi"/>
                <w:color w:val="000000"/>
                <w:sz w:val="22"/>
                <w:szCs w:val="22"/>
              </w:rPr>
              <w:t>Dissolved Inorganic Nitrogen</w:t>
            </w:r>
          </w:p>
        </w:tc>
      </w:tr>
      <w:tr w:rsidR="00575B49" w:rsidRPr="0087475A" w14:paraId="6B2CB246" w14:textId="77777777" w:rsidTr="00122EDA">
        <w:trPr>
          <w:trHeight w:val="255"/>
        </w:trPr>
        <w:tc>
          <w:tcPr>
            <w:tcW w:w="1353" w:type="dxa"/>
            <w:tcBorders>
              <w:top w:val="nil"/>
              <w:left w:val="nil"/>
              <w:bottom w:val="nil"/>
              <w:right w:val="nil"/>
            </w:tcBorders>
            <w:shd w:val="clear" w:color="auto" w:fill="auto"/>
            <w:noWrap/>
            <w:vAlign w:val="bottom"/>
            <w:hideMark/>
          </w:tcPr>
          <w:p w14:paraId="5C44E36B" w14:textId="77777777" w:rsidR="00575B49" w:rsidRPr="00647C63" w:rsidRDefault="00575B49">
            <w:pPr>
              <w:rPr>
                <w:rFonts w:cstheme="minorHAnsi"/>
                <w:color w:val="000000"/>
                <w:sz w:val="22"/>
                <w:szCs w:val="22"/>
              </w:rPr>
            </w:pPr>
            <w:r w:rsidRPr="00647C63">
              <w:rPr>
                <w:rFonts w:cstheme="minorHAnsi"/>
                <w:color w:val="000000"/>
                <w:sz w:val="22"/>
                <w:szCs w:val="22"/>
              </w:rPr>
              <w:t>DIP</w:t>
            </w:r>
          </w:p>
        </w:tc>
        <w:tc>
          <w:tcPr>
            <w:tcW w:w="8387" w:type="dxa"/>
            <w:tcBorders>
              <w:top w:val="nil"/>
              <w:left w:val="nil"/>
              <w:bottom w:val="nil"/>
              <w:right w:val="nil"/>
            </w:tcBorders>
            <w:shd w:val="clear" w:color="auto" w:fill="auto"/>
            <w:noWrap/>
            <w:vAlign w:val="bottom"/>
            <w:hideMark/>
          </w:tcPr>
          <w:p w14:paraId="59D56912" w14:textId="2D356AF0" w:rsidR="00575B49" w:rsidRPr="00647C63" w:rsidRDefault="00575B49">
            <w:pPr>
              <w:rPr>
                <w:rFonts w:cstheme="minorHAnsi"/>
                <w:color w:val="000000"/>
                <w:sz w:val="22"/>
                <w:szCs w:val="22"/>
              </w:rPr>
            </w:pPr>
            <w:r w:rsidRPr="00647C63">
              <w:rPr>
                <w:rFonts w:cstheme="minorHAnsi"/>
                <w:color w:val="000000"/>
                <w:sz w:val="22"/>
                <w:szCs w:val="22"/>
              </w:rPr>
              <w:t>Dissolved Inorganic Phosphorus</w:t>
            </w:r>
          </w:p>
        </w:tc>
      </w:tr>
      <w:tr w:rsidR="00575B49" w:rsidRPr="0087475A" w14:paraId="3F2CFCAB" w14:textId="77777777" w:rsidTr="00122EDA">
        <w:trPr>
          <w:trHeight w:val="255"/>
        </w:trPr>
        <w:tc>
          <w:tcPr>
            <w:tcW w:w="1353" w:type="dxa"/>
            <w:tcBorders>
              <w:top w:val="nil"/>
              <w:left w:val="nil"/>
              <w:bottom w:val="nil"/>
              <w:right w:val="nil"/>
            </w:tcBorders>
            <w:shd w:val="clear" w:color="auto" w:fill="auto"/>
            <w:noWrap/>
            <w:vAlign w:val="bottom"/>
            <w:hideMark/>
          </w:tcPr>
          <w:p w14:paraId="2CC0265C" w14:textId="77777777" w:rsidR="00575B49" w:rsidRPr="00647C63" w:rsidRDefault="00575B49">
            <w:pPr>
              <w:rPr>
                <w:rFonts w:cstheme="minorHAnsi"/>
                <w:color w:val="000000"/>
                <w:sz w:val="22"/>
                <w:szCs w:val="22"/>
              </w:rPr>
            </w:pPr>
            <w:r w:rsidRPr="00647C63">
              <w:rPr>
                <w:rFonts w:cstheme="minorHAnsi"/>
                <w:color w:val="000000"/>
                <w:sz w:val="22"/>
                <w:szCs w:val="22"/>
              </w:rPr>
              <w:t>DMME</w:t>
            </w:r>
          </w:p>
        </w:tc>
        <w:tc>
          <w:tcPr>
            <w:tcW w:w="8387" w:type="dxa"/>
            <w:tcBorders>
              <w:top w:val="nil"/>
              <w:left w:val="nil"/>
              <w:bottom w:val="nil"/>
              <w:right w:val="nil"/>
            </w:tcBorders>
            <w:shd w:val="clear" w:color="auto" w:fill="auto"/>
            <w:noWrap/>
            <w:vAlign w:val="bottom"/>
            <w:hideMark/>
          </w:tcPr>
          <w:p w14:paraId="628C65DF"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Department of Mines, Minerals, and Energy </w:t>
            </w:r>
          </w:p>
        </w:tc>
      </w:tr>
      <w:tr w:rsidR="00575B49" w:rsidRPr="0087475A" w14:paraId="38EEDB4F" w14:textId="77777777" w:rsidTr="00122EDA">
        <w:trPr>
          <w:trHeight w:val="255"/>
        </w:trPr>
        <w:tc>
          <w:tcPr>
            <w:tcW w:w="1353" w:type="dxa"/>
            <w:tcBorders>
              <w:top w:val="nil"/>
              <w:left w:val="nil"/>
              <w:bottom w:val="nil"/>
              <w:right w:val="nil"/>
            </w:tcBorders>
            <w:shd w:val="clear" w:color="auto" w:fill="auto"/>
            <w:noWrap/>
            <w:vAlign w:val="bottom"/>
            <w:hideMark/>
          </w:tcPr>
          <w:p w14:paraId="3BE61219" w14:textId="77777777" w:rsidR="00575B49" w:rsidRPr="00647C63" w:rsidRDefault="00575B49">
            <w:pPr>
              <w:rPr>
                <w:rFonts w:cstheme="minorHAnsi"/>
                <w:color w:val="000000"/>
                <w:sz w:val="22"/>
                <w:szCs w:val="22"/>
              </w:rPr>
            </w:pPr>
            <w:r w:rsidRPr="00647C63">
              <w:rPr>
                <w:rFonts w:cstheme="minorHAnsi"/>
                <w:color w:val="000000"/>
                <w:sz w:val="22"/>
                <w:szCs w:val="22"/>
              </w:rPr>
              <w:t>DO</w:t>
            </w:r>
          </w:p>
        </w:tc>
        <w:tc>
          <w:tcPr>
            <w:tcW w:w="8387" w:type="dxa"/>
            <w:tcBorders>
              <w:top w:val="nil"/>
              <w:left w:val="nil"/>
              <w:bottom w:val="nil"/>
              <w:right w:val="nil"/>
            </w:tcBorders>
            <w:shd w:val="clear" w:color="auto" w:fill="auto"/>
            <w:noWrap/>
            <w:vAlign w:val="bottom"/>
            <w:hideMark/>
          </w:tcPr>
          <w:p w14:paraId="04512B18" w14:textId="77777777" w:rsidR="00575B49" w:rsidRPr="00647C63" w:rsidRDefault="00575B49">
            <w:pPr>
              <w:rPr>
                <w:rFonts w:cstheme="minorHAnsi"/>
                <w:color w:val="000000"/>
                <w:sz w:val="22"/>
                <w:szCs w:val="22"/>
              </w:rPr>
            </w:pPr>
            <w:r w:rsidRPr="00647C63">
              <w:rPr>
                <w:rFonts w:cstheme="minorHAnsi"/>
                <w:color w:val="000000"/>
                <w:sz w:val="22"/>
                <w:szCs w:val="22"/>
              </w:rPr>
              <w:t>Dissolved Oxygen</w:t>
            </w:r>
          </w:p>
        </w:tc>
      </w:tr>
      <w:tr w:rsidR="00575B49" w:rsidRPr="0087475A" w14:paraId="119A7898" w14:textId="77777777" w:rsidTr="00122EDA">
        <w:trPr>
          <w:trHeight w:val="255"/>
        </w:trPr>
        <w:tc>
          <w:tcPr>
            <w:tcW w:w="1353" w:type="dxa"/>
            <w:tcBorders>
              <w:top w:val="nil"/>
              <w:left w:val="nil"/>
              <w:bottom w:val="nil"/>
              <w:right w:val="nil"/>
            </w:tcBorders>
            <w:shd w:val="clear" w:color="auto" w:fill="auto"/>
            <w:noWrap/>
            <w:vAlign w:val="bottom"/>
            <w:hideMark/>
          </w:tcPr>
          <w:p w14:paraId="3E604A41" w14:textId="77777777" w:rsidR="00575B49" w:rsidRPr="00647C63" w:rsidRDefault="00575B49">
            <w:pPr>
              <w:rPr>
                <w:rFonts w:cstheme="minorHAnsi"/>
                <w:color w:val="000000"/>
                <w:sz w:val="22"/>
                <w:szCs w:val="22"/>
              </w:rPr>
            </w:pPr>
            <w:r w:rsidRPr="00647C63">
              <w:rPr>
                <w:rFonts w:cstheme="minorHAnsi"/>
                <w:color w:val="000000"/>
                <w:sz w:val="22"/>
                <w:szCs w:val="22"/>
              </w:rPr>
              <w:t>DSS</w:t>
            </w:r>
          </w:p>
        </w:tc>
        <w:tc>
          <w:tcPr>
            <w:tcW w:w="8387" w:type="dxa"/>
            <w:tcBorders>
              <w:top w:val="nil"/>
              <w:left w:val="nil"/>
              <w:bottom w:val="nil"/>
              <w:right w:val="nil"/>
            </w:tcBorders>
            <w:shd w:val="clear" w:color="auto" w:fill="auto"/>
            <w:noWrap/>
            <w:vAlign w:val="bottom"/>
            <w:hideMark/>
          </w:tcPr>
          <w:p w14:paraId="0F0D7050" w14:textId="6ABCC75D" w:rsidR="00575B49" w:rsidRPr="00647C63" w:rsidRDefault="002A7ED3">
            <w:pPr>
              <w:rPr>
                <w:rFonts w:cstheme="minorHAnsi"/>
                <w:color w:val="000000"/>
                <w:sz w:val="22"/>
                <w:szCs w:val="22"/>
              </w:rPr>
            </w:pPr>
            <w:r>
              <w:rPr>
                <w:rFonts w:cstheme="minorHAnsi"/>
                <w:color w:val="000000"/>
                <w:sz w:val="22"/>
                <w:szCs w:val="22"/>
              </w:rPr>
              <w:t>Division</w:t>
            </w:r>
            <w:r w:rsidR="00575B49" w:rsidRPr="00647C63">
              <w:rPr>
                <w:rFonts w:cstheme="minorHAnsi"/>
                <w:color w:val="000000"/>
                <w:sz w:val="22"/>
                <w:szCs w:val="22"/>
              </w:rPr>
              <w:t xml:space="preserve"> of Shellfish Sanitation </w:t>
            </w:r>
          </w:p>
        </w:tc>
      </w:tr>
      <w:tr w:rsidR="00575B49" w:rsidRPr="0087475A" w14:paraId="760B7F88" w14:textId="77777777" w:rsidTr="00122EDA">
        <w:trPr>
          <w:trHeight w:val="255"/>
        </w:trPr>
        <w:tc>
          <w:tcPr>
            <w:tcW w:w="1353" w:type="dxa"/>
            <w:tcBorders>
              <w:top w:val="nil"/>
              <w:left w:val="nil"/>
              <w:bottom w:val="nil"/>
              <w:right w:val="nil"/>
            </w:tcBorders>
            <w:shd w:val="clear" w:color="auto" w:fill="auto"/>
            <w:noWrap/>
            <w:vAlign w:val="bottom"/>
            <w:hideMark/>
          </w:tcPr>
          <w:p w14:paraId="6E11164A"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DSSWH </w:t>
            </w:r>
          </w:p>
        </w:tc>
        <w:tc>
          <w:tcPr>
            <w:tcW w:w="8387" w:type="dxa"/>
            <w:tcBorders>
              <w:top w:val="nil"/>
              <w:left w:val="nil"/>
              <w:bottom w:val="nil"/>
              <w:right w:val="nil"/>
            </w:tcBorders>
            <w:shd w:val="clear" w:color="auto" w:fill="auto"/>
            <w:noWrap/>
            <w:vAlign w:val="bottom"/>
            <w:hideMark/>
          </w:tcPr>
          <w:p w14:paraId="20910221"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VDH Division of Shellfish Safety and Waterborne Hazards </w:t>
            </w:r>
          </w:p>
        </w:tc>
      </w:tr>
      <w:tr w:rsidR="00575B49" w:rsidRPr="0087475A" w14:paraId="4DABE773" w14:textId="77777777" w:rsidTr="00122EDA">
        <w:trPr>
          <w:trHeight w:val="255"/>
        </w:trPr>
        <w:tc>
          <w:tcPr>
            <w:tcW w:w="1353" w:type="dxa"/>
            <w:tcBorders>
              <w:top w:val="nil"/>
              <w:left w:val="nil"/>
              <w:bottom w:val="nil"/>
              <w:right w:val="nil"/>
            </w:tcBorders>
            <w:shd w:val="clear" w:color="auto" w:fill="auto"/>
            <w:noWrap/>
            <w:vAlign w:val="bottom"/>
            <w:hideMark/>
          </w:tcPr>
          <w:p w14:paraId="3228728D" w14:textId="77777777" w:rsidR="00575B49" w:rsidRPr="00647C63" w:rsidRDefault="00575B49">
            <w:pPr>
              <w:rPr>
                <w:rFonts w:cstheme="minorHAnsi"/>
                <w:color w:val="000000"/>
                <w:sz w:val="22"/>
                <w:szCs w:val="22"/>
              </w:rPr>
            </w:pPr>
            <w:r w:rsidRPr="00647C63">
              <w:rPr>
                <w:rFonts w:cstheme="minorHAnsi"/>
                <w:color w:val="000000"/>
                <w:sz w:val="22"/>
                <w:szCs w:val="22"/>
              </w:rPr>
              <w:t>DUET</w:t>
            </w:r>
          </w:p>
        </w:tc>
        <w:tc>
          <w:tcPr>
            <w:tcW w:w="8387" w:type="dxa"/>
            <w:tcBorders>
              <w:top w:val="nil"/>
              <w:left w:val="nil"/>
              <w:bottom w:val="nil"/>
              <w:right w:val="nil"/>
            </w:tcBorders>
            <w:shd w:val="clear" w:color="auto" w:fill="auto"/>
            <w:noWrap/>
            <w:vAlign w:val="bottom"/>
            <w:hideMark/>
          </w:tcPr>
          <w:p w14:paraId="54BF65A9"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Data Upload and Evaluation Tool </w:t>
            </w:r>
          </w:p>
        </w:tc>
      </w:tr>
      <w:tr w:rsidR="00575B49" w:rsidRPr="0087475A" w14:paraId="3145FBB7" w14:textId="77777777" w:rsidTr="00122EDA">
        <w:trPr>
          <w:trHeight w:val="255"/>
        </w:trPr>
        <w:tc>
          <w:tcPr>
            <w:tcW w:w="1353" w:type="dxa"/>
            <w:tcBorders>
              <w:top w:val="nil"/>
              <w:left w:val="nil"/>
              <w:bottom w:val="nil"/>
              <w:right w:val="nil"/>
            </w:tcBorders>
            <w:shd w:val="clear" w:color="auto" w:fill="auto"/>
            <w:noWrap/>
            <w:vAlign w:val="bottom"/>
            <w:hideMark/>
          </w:tcPr>
          <w:p w14:paraId="56DB0590" w14:textId="77777777" w:rsidR="00575B49" w:rsidRPr="00647C63" w:rsidRDefault="00575B49">
            <w:pPr>
              <w:rPr>
                <w:rFonts w:cstheme="minorHAnsi"/>
                <w:color w:val="000000"/>
                <w:sz w:val="22"/>
                <w:szCs w:val="22"/>
              </w:rPr>
            </w:pPr>
            <w:r w:rsidRPr="00647C63">
              <w:rPr>
                <w:rFonts w:cstheme="minorHAnsi"/>
                <w:color w:val="000000"/>
                <w:sz w:val="22"/>
                <w:szCs w:val="22"/>
              </w:rPr>
              <w:t>DWR</w:t>
            </w:r>
          </w:p>
        </w:tc>
        <w:tc>
          <w:tcPr>
            <w:tcW w:w="8387" w:type="dxa"/>
            <w:tcBorders>
              <w:top w:val="nil"/>
              <w:left w:val="nil"/>
              <w:bottom w:val="nil"/>
              <w:right w:val="nil"/>
            </w:tcBorders>
            <w:shd w:val="clear" w:color="auto" w:fill="auto"/>
            <w:noWrap/>
            <w:vAlign w:val="bottom"/>
            <w:hideMark/>
          </w:tcPr>
          <w:p w14:paraId="2B713689" w14:textId="77777777" w:rsidR="00575B49" w:rsidRPr="00647C63" w:rsidRDefault="00575B49">
            <w:pPr>
              <w:rPr>
                <w:rFonts w:cstheme="minorHAnsi"/>
                <w:color w:val="000000"/>
                <w:sz w:val="22"/>
                <w:szCs w:val="22"/>
              </w:rPr>
            </w:pPr>
            <w:r w:rsidRPr="00647C63">
              <w:rPr>
                <w:rFonts w:cstheme="minorHAnsi"/>
                <w:color w:val="000000"/>
                <w:sz w:val="22"/>
                <w:szCs w:val="22"/>
              </w:rPr>
              <w:t>Department of Wildlife Resources</w:t>
            </w:r>
          </w:p>
        </w:tc>
      </w:tr>
      <w:tr w:rsidR="00575B49" w:rsidRPr="0087475A" w14:paraId="4E50CF1A" w14:textId="77777777" w:rsidTr="00122EDA">
        <w:trPr>
          <w:trHeight w:val="255"/>
        </w:trPr>
        <w:tc>
          <w:tcPr>
            <w:tcW w:w="1353" w:type="dxa"/>
            <w:tcBorders>
              <w:top w:val="nil"/>
              <w:left w:val="nil"/>
              <w:bottom w:val="nil"/>
              <w:right w:val="nil"/>
            </w:tcBorders>
            <w:shd w:val="clear" w:color="auto" w:fill="auto"/>
            <w:noWrap/>
            <w:vAlign w:val="bottom"/>
            <w:hideMark/>
          </w:tcPr>
          <w:p w14:paraId="64D65C11" w14:textId="77777777" w:rsidR="00575B49" w:rsidRPr="00647C63" w:rsidRDefault="00575B49">
            <w:pPr>
              <w:rPr>
                <w:rFonts w:cstheme="minorHAnsi"/>
                <w:color w:val="000000"/>
                <w:sz w:val="22"/>
                <w:szCs w:val="22"/>
              </w:rPr>
            </w:pPr>
            <w:r w:rsidRPr="00647C63">
              <w:rPr>
                <w:rFonts w:cstheme="minorHAnsi"/>
                <w:color w:val="000000"/>
                <w:sz w:val="22"/>
                <w:szCs w:val="22"/>
              </w:rPr>
              <w:t>ELG</w:t>
            </w:r>
          </w:p>
        </w:tc>
        <w:tc>
          <w:tcPr>
            <w:tcW w:w="8387" w:type="dxa"/>
            <w:tcBorders>
              <w:top w:val="nil"/>
              <w:left w:val="nil"/>
              <w:bottom w:val="nil"/>
              <w:right w:val="nil"/>
            </w:tcBorders>
            <w:shd w:val="clear" w:color="auto" w:fill="auto"/>
            <w:noWrap/>
            <w:vAlign w:val="bottom"/>
            <w:hideMark/>
          </w:tcPr>
          <w:p w14:paraId="0E96E80C" w14:textId="77777777" w:rsidR="00575B49" w:rsidRPr="00647C63" w:rsidRDefault="00575B49">
            <w:pPr>
              <w:rPr>
                <w:rFonts w:cstheme="minorHAnsi"/>
                <w:color w:val="000000"/>
                <w:sz w:val="22"/>
                <w:szCs w:val="22"/>
              </w:rPr>
            </w:pPr>
            <w:r w:rsidRPr="00647C63">
              <w:rPr>
                <w:rFonts w:cstheme="minorHAnsi"/>
                <w:color w:val="000000"/>
                <w:sz w:val="22"/>
                <w:szCs w:val="22"/>
              </w:rPr>
              <w:t>Effluent Limitation Guidelines</w:t>
            </w:r>
          </w:p>
        </w:tc>
      </w:tr>
      <w:tr w:rsidR="00575B49" w:rsidRPr="0087475A" w14:paraId="772CB672" w14:textId="77777777" w:rsidTr="00122EDA">
        <w:trPr>
          <w:trHeight w:val="255"/>
        </w:trPr>
        <w:tc>
          <w:tcPr>
            <w:tcW w:w="1353" w:type="dxa"/>
            <w:tcBorders>
              <w:top w:val="nil"/>
              <w:left w:val="nil"/>
              <w:bottom w:val="nil"/>
              <w:right w:val="nil"/>
            </w:tcBorders>
            <w:shd w:val="clear" w:color="auto" w:fill="auto"/>
            <w:noWrap/>
            <w:vAlign w:val="bottom"/>
            <w:hideMark/>
          </w:tcPr>
          <w:p w14:paraId="0D2601DF" w14:textId="77777777" w:rsidR="00575B49" w:rsidRPr="00647C63" w:rsidRDefault="00575B49">
            <w:pPr>
              <w:rPr>
                <w:rFonts w:cstheme="minorHAnsi"/>
                <w:color w:val="000000"/>
                <w:sz w:val="22"/>
                <w:szCs w:val="22"/>
              </w:rPr>
            </w:pPr>
            <w:r w:rsidRPr="00647C63">
              <w:rPr>
                <w:rFonts w:cstheme="minorHAnsi"/>
                <w:color w:val="000000"/>
                <w:sz w:val="22"/>
                <w:szCs w:val="22"/>
              </w:rPr>
              <w:t>EPA</w:t>
            </w:r>
          </w:p>
        </w:tc>
        <w:tc>
          <w:tcPr>
            <w:tcW w:w="8387" w:type="dxa"/>
            <w:tcBorders>
              <w:top w:val="nil"/>
              <w:left w:val="nil"/>
              <w:bottom w:val="nil"/>
              <w:right w:val="nil"/>
            </w:tcBorders>
            <w:shd w:val="clear" w:color="auto" w:fill="auto"/>
            <w:noWrap/>
            <w:vAlign w:val="bottom"/>
            <w:hideMark/>
          </w:tcPr>
          <w:p w14:paraId="0622914C" w14:textId="77777777" w:rsidR="00575B49" w:rsidRPr="00647C63" w:rsidRDefault="00575B49">
            <w:pPr>
              <w:rPr>
                <w:rFonts w:cstheme="minorHAnsi"/>
                <w:color w:val="000000"/>
                <w:sz w:val="22"/>
                <w:szCs w:val="22"/>
              </w:rPr>
            </w:pPr>
            <w:r w:rsidRPr="00647C63">
              <w:rPr>
                <w:rFonts w:cstheme="minorHAnsi"/>
                <w:color w:val="000000"/>
                <w:sz w:val="22"/>
                <w:szCs w:val="22"/>
              </w:rPr>
              <w:t>United States Environmental Protection Agency</w:t>
            </w:r>
          </w:p>
        </w:tc>
      </w:tr>
      <w:tr w:rsidR="00575B49" w:rsidRPr="0087475A" w14:paraId="711F3B20" w14:textId="77777777" w:rsidTr="00122EDA">
        <w:trPr>
          <w:trHeight w:val="255"/>
        </w:trPr>
        <w:tc>
          <w:tcPr>
            <w:tcW w:w="1353" w:type="dxa"/>
            <w:tcBorders>
              <w:top w:val="nil"/>
              <w:left w:val="nil"/>
              <w:bottom w:val="nil"/>
              <w:right w:val="nil"/>
            </w:tcBorders>
            <w:shd w:val="clear" w:color="auto" w:fill="auto"/>
            <w:noWrap/>
            <w:vAlign w:val="bottom"/>
            <w:hideMark/>
          </w:tcPr>
          <w:p w14:paraId="09602934" w14:textId="77777777" w:rsidR="00575B49" w:rsidRPr="00647C63" w:rsidRDefault="00575B49">
            <w:pPr>
              <w:rPr>
                <w:rFonts w:cstheme="minorHAnsi"/>
                <w:color w:val="000000"/>
                <w:sz w:val="22"/>
                <w:szCs w:val="22"/>
              </w:rPr>
            </w:pPr>
            <w:r w:rsidRPr="00647C63">
              <w:rPr>
                <w:rFonts w:cstheme="minorHAnsi"/>
                <w:color w:val="000000"/>
                <w:sz w:val="22"/>
                <w:szCs w:val="22"/>
              </w:rPr>
              <w:t>GP</w:t>
            </w:r>
          </w:p>
        </w:tc>
        <w:tc>
          <w:tcPr>
            <w:tcW w:w="8387" w:type="dxa"/>
            <w:tcBorders>
              <w:top w:val="nil"/>
              <w:left w:val="nil"/>
              <w:bottom w:val="nil"/>
              <w:right w:val="nil"/>
            </w:tcBorders>
            <w:shd w:val="clear" w:color="auto" w:fill="auto"/>
            <w:noWrap/>
            <w:vAlign w:val="bottom"/>
            <w:hideMark/>
          </w:tcPr>
          <w:p w14:paraId="4919780C" w14:textId="77777777" w:rsidR="00575B49" w:rsidRPr="00647C63" w:rsidRDefault="00575B49">
            <w:pPr>
              <w:rPr>
                <w:rFonts w:cstheme="minorHAnsi"/>
                <w:color w:val="000000"/>
                <w:sz w:val="22"/>
                <w:szCs w:val="22"/>
              </w:rPr>
            </w:pPr>
            <w:r w:rsidRPr="00647C63">
              <w:rPr>
                <w:rFonts w:cstheme="minorHAnsi"/>
                <w:color w:val="000000"/>
                <w:sz w:val="22"/>
                <w:szCs w:val="22"/>
              </w:rPr>
              <w:t>General Permits</w:t>
            </w:r>
          </w:p>
        </w:tc>
      </w:tr>
      <w:tr w:rsidR="00575B49" w:rsidRPr="0087475A" w14:paraId="5F369C43" w14:textId="77777777" w:rsidTr="00122EDA">
        <w:trPr>
          <w:trHeight w:val="255"/>
        </w:trPr>
        <w:tc>
          <w:tcPr>
            <w:tcW w:w="1353" w:type="dxa"/>
            <w:tcBorders>
              <w:top w:val="nil"/>
              <w:left w:val="nil"/>
              <w:bottom w:val="nil"/>
              <w:right w:val="nil"/>
            </w:tcBorders>
            <w:shd w:val="clear" w:color="auto" w:fill="auto"/>
            <w:noWrap/>
            <w:vAlign w:val="bottom"/>
            <w:hideMark/>
          </w:tcPr>
          <w:p w14:paraId="13408719" w14:textId="77777777" w:rsidR="00575B49" w:rsidRPr="00647C63" w:rsidRDefault="00575B49">
            <w:pPr>
              <w:rPr>
                <w:rFonts w:cstheme="minorHAnsi"/>
                <w:color w:val="000000"/>
                <w:sz w:val="22"/>
                <w:szCs w:val="22"/>
              </w:rPr>
            </w:pPr>
            <w:r w:rsidRPr="00647C63">
              <w:rPr>
                <w:rFonts w:cstheme="minorHAnsi"/>
                <w:color w:val="000000"/>
                <w:sz w:val="22"/>
                <w:szCs w:val="22"/>
              </w:rPr>
              <w:t>HAB</w:t>
            </w:r>
          </w:p>
        </w:tc>
        <w:tc>
          <w:tcPr>
            <w:tcW w:w="8387" w:type="dxa"/>
            <w:tcBorders>
              <w:top w:val="nil"/>
              <w:left w:val="nil"/>
              <w:bottom w:val="nil"/>
              <w:right w:val="nil"/>
            </w:tcBorders>
            <w:shd w:val="clear" w:color="auto" w:fill="auto"/>
            <w:noWrap/>
            <w:vAlign w:val="bottom"/>
            <w:hideMark/>
          </w:tcPr>
          <w:p w14:paraId="2D8B9742" w14:textId="77777777" w:rsidR="00575B49" w:rsidRPr="00647C63" w:rsidRDefault="00575B49">
            <w:pPr>
              <w:rPr>
                <w:rFonts w:cstheme="minorHAnsi"/>
                <w:color w:val="000000"/>
                <w:sz w:val="22"/>
                <w:szCs w:val="22"/>
              </w:rPr>
            </w:pPr>
            <w:r w:rsidRPr="00647C63">
              <w:rPr>
                <w:rFonts w:cstheme="minorHAnsi"/>
                <w:color w:val="000000"/>
                <w:sz w:val="22"/>
                <w:szCs w:val="22"/>
              </w:rPr>
              <w:t>Harmful Algal Bloom</w:t>
            </w:r>
          </w:p>
        </w:tc>
      </w:tr>
      <w:tr w:rsidR="00575B49" w:rsidRPr="0087475A" w14:paraId="319AE903" w14:textId="77777777" w:rsidTr="00122EDA">
        <w:trPr>
          <w:trHeight w:val="255"/>
        </w:trPr>
        <w:tc>
          <w:tcPr>
            <w:tcW w:w="1353" w:type="dxa"/>
            <w:tcBorders>
              <w:top w:val="nil"/>
              <w:left w:val="nil"/>
              <w:bottom w:val="nil"/>
              <w:right w:val="nil"/>
            </w:tcBorders>
            <w:shd w:val="clear" w:color="auto" w:fill="auto"/>
            <w:noWrap/>
            <w:vAlign w:val="bottom"/>
            <w:hideMark/>
          </w:tcPr>
          <w:p w14:paraId="4D1595A6" w14:textId="77777777" w:rsidR="00575B49" w:rsidRPr="00647C63" w:rsidRDefault="00575B49">
            <w:pPr>
              <w:rPr>
                <w:rFonts w:cstheme="minorHAnsi"/>
                <w:color w:val="000000"/>
                <w:sz w:val="22"/>
                <w:szCs w:val="22"/>
              </w:rPr>
            </w:pPr>
            <w:r w:rsidRPr="00647C63">
              <w:rPr>
                <w:rFonts w:cstheme="minorHAnsi"/>
                <w:color w:val="000000"/>
                <w:sz w:val="22"/>
                <w:szCs w:val="22"/>
              </w:rPr>
              <w:t>IP</w:t>
            </w:r>
          </w:p>
        </w:tc>
        <w:tc>
          <w:tcPr>
            <w:tcW w:w="8387" w:type="dxa"/>
            <w:tcBorders>
              <w:top w:val="nil"/>
              <w:left w:val="nil"/>
              <w:bottom w:val="nil"/>
              <w:right w:val="nil"/>
            </w:tcBorders>
            <w:shd w:val="clear" w:color="auto" w:fill="auto"/>
            <w:noWrap/>
            <w:vAlign w:val="bottom"/>
            <w:hideMark/>
          </w:tcPr>
          <w:p w14:paraId="501ADCF1" w14:textId="77777777" w:rsidR="00575B49" w:rsidRPr="00647C63" w:rsidRDefault="00575B49">
            <w:pPr>
              <w:rPr>
                <w:rFonts w:cstheme="minorHAnsi"/>
                <w:color w:val="000000"/>
                <w:sz w:val="22"/>
                <w:szCs w:val="22"/>
              </w:rPr>
            </w:pPr>
            <w:r w:rsidRPr="00647C63">
              <w:rPr>
                <w:rFonts w:cstheme="minorHAnsi"/>
                <w:color w:val="000000"/>
                <w:sz w:val="22"/>
                <w:szCs w:val="22"/>
              </w:rPr>
              <w:t>Implementation Plan</w:t>
            </w:r>
          </w:p>
        </w:tc>
      </w:tr>
      <w:tr w:rsidR="00575B49" w:rsidRPr="0087475A" w14:paraId="62A14BC2" w14:textId="77777777" w:rsidTr="00122EDA">
        <w:trPr>
          <w:trHeight w:val="255"/>
        </w:trPr>
        <w:tc>
          <w:tcPr>
            <w:tcW w:w="1353" w:type="dxa"/>
            <w:tcBorders>
              <w:top w:val="nil"/>
              <w:left w:val="nil"/>
              <w:bottom w:val="nil"/>
              <w:right w:val="nil"/>
            </w:tcBorders>
            <w:shd w:val="clear" w:color="auto" w:fill="auto"/>
            <w:noWrap/>
            <w:vAlign w:val="bottom"/>
            <w:hideMark/>
          </w:tcPr>
          <w:p w14:paraId="1EE9DB4E" w14:textId="77777777" w:rsidR="00575B49" w:rsidRPr="00647C63" w:rsidRDefault="00575B49">
            <w:pPr>
              <w:rPr>
                <w:rFonts w:cstheme="minorHAnsi"/>
                <w:color w:val="000000"/>
                <w:sz w:val="22"/>
                <w:szCs w:val="22"/>
              </w:rPr>
            </w:pPr>
            <w:r w:rsidRPr="00647C63">
              <w:rPr>
                <w:rFonts w:cstheme="minorHAnsi"/>
                <w:color w:val="000000"/>
                <w:sz w:val="22"/>
                <w:szCs w:val="22"/>
              </w:rPr>
              <w:t>IR</w:t>
            </w:r>
          </w:p>
        </w:tc>
        <w:tc>
          <w:tcPr>
            <w:tcW w:w="8387" w:type="dxa"/>
            <w:tcBorders>
              <w:top w:val="nil"/>
              <w:left w:val="nil"/>
              <w:bottom w:val="nil"/>
              <w:right w:val="nil"/>
            </w:tcBorders>
            <w:shd w:val="clear" w:color="auto" w:fill="auto"/>
            <w:noWrap/>
            <w:vAlign w:val="bottom"/>
            <w:hideMark/>
          </w:tcPr>
          <w:p w14:paraId="0C8EF031" w14:textId="77777777" w:rsidR="00575B49" w:rsidRPr="00647C63" w:rsidRDefault="00575B49">
            <w:pPr>
              <w:rPr>
                <w:rFonts w:cstheme="minorHAnsi"/>
                <w:color w:val="000000"/>
                <w:sz w:val="22"/>
                <w:szCs w:val="22"/>
              </w:rPr>
            </w:pPr>
            <w:r w:rsidRPr="00647C63">
              <w:rPr>
                <w:rFonts w:cstheme="minorHAnsi"/>
                <w:color w:val="000000"/>
                <w:sz w:val="22"/>
                <w:szCs w:val="22"/>
              </w:rPr>
              <w:t>DEQ's Integrated Report</w:t>
            </w:r>
          </w:p>
        </w:tc>
      </w:tr>
      <w:tr w:rsidR="00575B49" w:rsidRPr="0087475A" w14:paraId="3EBCC899" w14:textId="77777777" w:rsidTr="00122EDA">
        <w:trPr>
          <w:trHeight w:val="255"/>
        </w:trPr>
        <w:tc>
          <w:tcPr>
            <w:tcW w:w="1353" w:type="dxa"/>
            <w:tcBorders>
              <w:top w:val="nil"/>
              <w:left w:val="nil"/>
              <w:bottom w:val="nil"/>
              <w:right w:val="nil"/>
            </w:tcBorders>
            <w:shd w:val="clear" w:color="auto" w:fill="auto"/>
            <w:noWrap/>
            <w:vAlign w:val="bottom"/>
            <w:hideMark/>
          </w:tcPr>
          <w:p w14:paraId="60E44803"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MFSN </w:t>
            </w:r>
          </w:p>
        </w:tc>
        <w:tc>
          <w:tcPr>
            <w:tcW w:w="8387" w:type="dxa"/>
            <w:tcBorders>
              <w:top w:val="nil"/>
              <w:left w:val="nil"/>
              <w:bottom w:val="nil"/>
              <w:right w:val="nil"/>
            </w:tcBorders>
            <w:shd w:val="clear" w:color="auto" w:fill="auto"/>
            <w:noWrap/>
            <w:vAlign w:val="bottom"/>
            <w:hideMark/>
          </w:tcPr>
          <w:p w14:paraId="30AB8291"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Migratory Fish Spawning and Nursery </w:t>
            </w:r>
          </w:p>
        </w:tc>
      </w:tr>
      <w:tr w:rsidR="00575B49" w:rsidRPr="0087475A" w14:paraId="7373A44F" w14:textId="77777777" w:rsidTr="00122EDA">
        <w:trPr>
          <w:trHeight w:val="255"/>
        </w:trPr>
        <w:tc>
          <w:tcPr>
            <w:tcW w:w="1353" w:type="dxa"/>
            <w:tcBorders>
              <w:top w:val="nil"/>
              <w:left w:val="nil"/>
              <w:bottom w:val="nil"/>
              <w:right w:val="nil"/>
            </w:tcBorders>
            <w:shd w:val="clear" w:color="auto" w:fill="auto"/>
            <w:noWrap/>
            <w:vAlign w:val="bottom"/>
            <w:hideMark/>
          </w:tcPr>
          <w:p w14:paraId="6B6859D7" w14:textId="77777777" w:rsidR="00575B49" w:rsidRPr="00647C63" w:rsidRDefault="00575B49">
            <w:pPr>
              <w:rPr>
                <w:rFonts w:cstheme="minorHAnsi"/>
                <w:color w:val="000000"/>
                <w:sz w:val="22"/>
                <w:szCs w:val="22"/>
              </w:rPr>
            </w:pPr>
            <w:r w:rsidRPr="00647C63">
              <w:rPr>
                <w:rFonts w:cstheme="minorHAnsi"/>
                <w:color w:val="000000"/>
                <w:sz w:val="22"/>
                <w:szCs w:val="22"/>
              </w:rPr>
              <w:t>MOU</w:t>
            </w:r>
          </w:p>
        </w:tc>
        <w:tc>
          <w:tcPr>
            <w:tcW w:w="8387" w:type="dxa"/>
            <w:tcBorders>
              <w:top w:val="nil"/>
              <w:left w:val="nil"/>
              <w:bottom w:val="nil"/>
              <w:right w:val="nil"/>
            </w:tcBorders>
            <w:shd w:val="clear" w:color="auto" w:fill="auto"/>
            <w:noWrap/>
            <w:vAlign w:val="bottom"/>
            <w:hideMark/>
          </w:tcPr>
          <w:p w14:paraId="1D4B7928"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Memoranda of Understanding </w:t>
            </w:r>
          </w:p>
        </w:tc>
      </w:tr>
      <w:tr w:rsidR="00575B49" w:rsidRPr="0087475A" w14:paraId="39D98715" w14:textId="77777777" w:rsidTr="00122EDA">
        <w:trPr>
          <w:trHeight w:val="255"/>
        </w:trPr>
        <w:tc>
          <w:tcPr>
            <w:tcW w:w="1353" w:type="dxa"/>
            <w:tcBorders>
              <w:top w:val="nil"/>
              <w:left w:val="nil"/>
              <w:bottom w:val="nil"/>
              <w:right w:val="nil"/>
            </w:tcBorders>
            <w:shd w:val="clear" w:color="auto" w:fill="auto"/>
            <w:noWrap/>
            <w:vAlign w:val="bottom"/>
            <w:hideMark/>
          </w:tcPr>
          <w:p w14:paraId="36734E0E" w14:textId="77777777" w:rsidR="00575B49" w:rsidRPr="00647C63" w:rsidRDefault="00575B49">
            <w:pPr>
              <w:rPr>
                <w:rFonts w:cstheme="minorHAnsi"/>
                <w:color w:val="000000"/>
                <w:sz w:val="22"/>
                <w:szCs w:val="22"/>
              </w:rPr>
            </w:pPr>
            <w:r w:rsidRPr="00647C63">
              <w:rPr>
                <w:rFonts w:cstheme="minorHAnsi"/>
                <w:color w:val="000000"/>
                <w:sz w:val="22"/>
                <w:szCs w:val="22"/>
              </w:rPr>
              <w:t>MPN</w:t>
            </w:r>
          </w:p>
        </w:tc>
        <w:tc>
          <w:tcPr>
            <w:tcW w:w="8387" w:type="dxa"/>
            <w:tcBorders>
              <w:top w:val="nil"/>
              <w:left w:val="nil"/>
              <w:bottom w:val="nil"/>
              <w:right w:val="nil"/>
            </w:tcBorders>
            <w:shd w:val="clear" w:color="auto" w:fill="auto"/>
            <w:noWrap/>
            <w:vAlign w:val="bottom"/>
            <w:hideMark/>
          </w:tcPr>
          <w:p w14:paraId="00864389" w14:textId="77777777" w:rsidR="00575B49" w:rsidRPr="00647C63" w:rsidRDefault="00575B49">
            <w:pPr>
              <w:rPr>
                <w:rFonts w:cstheme="minorHAnsi"/>
                <w:color w:val="000000"/>
                <w:sz w:val="22"/>
                <w:szCs w:val="22"/>
              </w:rPr>
            </w:pPr>
            <w:r w:rsidRPr="00647C63">
              <w:rPr>
                <w:rFonts w:cstheme="minorHAnsi"/>
                <w:color w:val="000000"/>
                <w:sz w:val="22"/>
                <w:szCs w:val="22"/>
              </w:rPr>
              <w:t>Most Probable Number</w:t>
            </w:r>
          </w:p>
        </w:tc>
      </w:tr>
      <w:tr w:rsidR="00575B49" w:rsidRPr="0087475A" w14:paraId="05E86CD6" w14:textId="77777777" w:rsidTr="00122EDA">
        <w:trPr>
          <w:trHeight w:val="255"/>
        </w:trPr>
        <w:tc>
          <w:tcPr>
            <w:tcW w:w="1353" w:type="dxa"/>
            <w:tcBorders>
              <w:top w:val="nil"/>
              <w:left w:val="nil"/>
              <w:bottom w:val="nil"/>
              <w:right w:val="nil"/>
            </w:tcBorders>
            <w:shd w:val="clear" w:color="auto" w:fill="auto"/>
            <w:noWrap/>
            <w:vAlign w:val="bottom"/>
            <w:hideMark/>
          </w:tcPr>
          <w:p w14:paraId="691FFFD4" w14:textId="77777777" w:rsidR="00575B49" w:rsidRPr="00647C63" w:rsidRDefault="00575B49">
            <w:pPr>
              <w:rPr>
                <w:rFonts w:cstheme="minorHAnsi"/>
                <w:color w:val="000000"/>
                <w:sz w:val="22"/>
                <w:szCs w:val="22"/>
              </w:rPr>
            </w:pPr>
            <w:r w:rsidRPr="00647C63">
              <w:rPr>
                <w:rFonts w:cstheme="minorHAnsi"/>
                <w:color w:val="000000"/>
                <w:sz w:val="22"/>
                <w:szCs w:val="22"/>
              </w:rPr>
              <w:t>NARS</w:t>
            </w:r>
          </w:p>
        </w:tc>
        <w:tc>
          <w:tcPr>
            <w:tcW w:w="8387" w:type="dxa"/>
            <w:tcBorders>
              <w:top w:val="nil"/>
              <w:left w:val="nil"/>
              <w:bottom w:val="nil"/>
              <w:right w:val="nil"/>
            </w:tcBorders>
            <w:shd w:val="clear" w:color="auto" w:fill="auto"/>
            <w:noWrap/>
            <w:vAlign w:val="bottom"/>
            <w:hideMark/>
          </w:tcPr>
          <w:p w14:paraId="0BA64D19"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EPA’s National Aquatic Resource Survey </w:t>
            </w:r>
          </w:p>
        </w:tc>
      </w:tr>
      <w:tr w:rsidR="00575B49" w:rsidRPr="0087475A" w14:paraId="1AAD60D8" w14:textId="77777777" w:rsidTr="00122EDA">
        <w:trPr>
          <w:trHeight w:val="255"/>
        </w:trPr>
        <w:tc>
          <w:tcPr>
            <w:tcW w:w="1353" w:type="dxa"/>
            <w:tcBorders>
              <w:top w:val="nil"/>
              <w:left w:val="nil"/>
              <w:bottom w:val="nil"/>
              <w:right w:val="nil"/>
            </w:tcBorders>
            <w:shd w:val="clear" w:color="auto" w:fill="auto"/>
            <w:noWrap/>
            <w:vAlign w:val="bottom"/>
            <w:hideMark/>
          </w:tcPr>
          <w:p w14:paraId="40A3FC6C" w14:textId="77777777" w:rsidR="00575B49" w:rsidRPr="00647C63" w:rsidRDefault="00575B49">
            <w:pPr>
              <w:rPr>
                <w:rFonts w:cstheme="minorHAnsi"/>
                <w:color w:val="000000"/>
                <w:sz w:val="22"/>
                <w:szCs w:val="22"/>
              </w:rPr>
            </w:pPr>
            <w:r w:rsidRPr="00647C63">
              <w:rPr>
                <w:rFonts w:cstheme="minorHAnsi"/>
                <w:color w:val="000000"/>
                <w:sz w:val="22"/>
                <w:szCs w:val="22"/>
              </w:rPr>
              <w:t>NCCA</w:t>
            </w:r>
          </w:p>
        </w:tc>
        <w:tc>
          <w:tcPr>
            <w:tcW w:w="8387" w:type="dxa"/>
            <w:tcBorders>
              <w:top w:val="nil"/>
              <w:left w:val="nil"/>
              <w:bottom w:val="nil"/>
              <w:right w:val="nil"/>
            </w:tcBorders>
            <w:shd w:val="clear" w:color="auto" w:fill="auto"/>
            <w:noWrap/>
            <w:vAlign w:val="bottom"/>
            <w:hideMark/>
          </w:tcPr>
          <w:p w14:paraId="6E179B4A"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National Coastal Condition Assessment </w:t>
            </w:r>
          </w:p>
        </w:tc>
      </w:tr>
      <w:tr w:rsidR="00575B49" w:rsidRPr="0087475A" w14:paraId="06DBE5BB" w14:textId="77777777" w:rsidTr="00122EDA">
        <w:trPr>
          <w:trHeight w:val="255"/>
        </w:trPr>
        <w:tc>
          <w:tcPr>
            <w:tcW w:w="1353" w:type="dxa"/>
            <w:tcBorders>
              <w:top w:val="nil"/>
              <w:left w:val="nil"/>
              <w:bottom w:val="nil"/>
              <w:right w:val="nil"/>
            </w:tcBorders>
            <w:shd w:val="clear" w:color="auto" w:fill="auto"/>
            <w:noWrap/>
            <w:vAlign w:val="bottom"/>
            <w:hideMark/>
          </w:tcPr>
          <w:p w14:paraId="0868F4CC" w14:textId="77777777" w:rsidR="00575B49" w:rsidRPr="00647C63" w:rsidRDefault="00575B49">
            <w:pPr>
              <w:rPr>
                <w:rFonts w:cstheme="minorHAnsi"/>
                <w:color w:val="000000"/>
                <w:sz w:val="22"/>
                <w:szCs w:val="22"/>
              </w:rPr>
            </w:pPr>
            <w:r w:rsidRPr="00647C63">
              <w:rPr>
                <w:rFonts w:cstheme="minorHAnsi"/>
                <w:color w:val="000000"/>
                <w:sz w:val="22"/>
                <w:szCs w:val="22"/>
              </w:rPr>
              <w:t>NERRS</w:t>
            </w:r>
          </w:p>
        </w:tc>
        <w:tc>
          <w:tcPr>
            <w:tcW w:w="8387" w:type="dxa"/>
            <w:tcBorders>
              <w:top w:val="nil"/>
              <w:left w:val="nil"/>
              <w:bottom w:val="nil"/>
              <w:right w:val="nil"/>
            </w:tcBorders>
            <w:shd w:val="clear" w:color="auto" w:fill="auto"/>
            <w:noWrap/>
            <w:vAlign w:val="bottom"/>
            <w:hideMark/>
          </w:tcPr>
          <w:p w14:paraId="3D83DDAC"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National Estuarine Research Reserve </w:t>
            </w:r>
          </w:p>
        </w:tc>
      </w:tr>
      <w:tr w:rsidR="00575B49" w:rsidRPr="0087475A" w14:paraId="5BDB987D" w14:textId="77777777" w:rsidTr="00122EDA">
        <w:trPr>
          <w:trHeight w:val="255"/>
        </w:trPr>
        <w:tc>
          <w:tcPr>
            <w:tcW w:w="1353" w:type="dxa"/>
            <w:tcBorders>
              <w:top w:val="nil"/>
              <w:left w:val="nil"/>
              <w:bottom w:val="nil"/>
              <w:right w:val="nil"/>
            </w:tcBorders>
            <w:shd w:val="clear" w:color="auto" w:fill="auto"/>
            <w:noWrap/>
            <w:vAlign w:val="bottom"/>
            <w:hideMark/>
          </w:tcPr>
          <w:p w14:paraId="3D08ED08" w14:textId="77777777" w:rsidR="00575B49" w:rsidRPr="00647C63" w:rsidRDefault="00575B49">
            <w:pPr>
              <w:rPr>
                <w:rFonts w:cstheme="minorHAnsi"/>
                <w:color w:val="000000"/>
                <w:sz w:val="22"/>
                <w:szCs w:val="22"/>
              </w:rPr>
            </w:pPr>
            <w:r w:rsidRPr="00647C63">
              <w:rPr>
                <w:rFonts w:cstheme="minorHAnsi"/>
                <w:color w:val="000000"/>
                <w:sz w:val="22"/>
                <w:szCs w:val="22"/>
              </w:rPr>
              <w:t>NHD</w:t>
            </w:r>
          </w:p>
        </w:tc>
        <w:tc>
          <w:tcPr>
            <w:tcW w:w="8387" w:type="dxa"/>
            <w:tcBorders>
              <w:top w:val="nil"/>
              <w:left w:val="nil"/>
              <w:bottom w:val="nil"/>
              <w:right w:val="nil"/>
            </w:tcBorders>
            <w:shd w:val="clear" w:color="auto" w:fill="auto"/>
            <w:noWrap/>
            <w:vAlign w:val="bottom"/>
            <w:hideMark/>
          </w:tcPr>
          <w:p w14:paraId="1A7A2B4B"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National Hydrography Dataset </w:t>
            </w:r>
          </w:p>
        </w:tc>
      </w:tr>
      <w:tr w:rsidR="00575B49" w:rsidRPr="0087475A" w14:paraId="4D1B39F0" w14:textId="77777777" w:rsidTr="00122EDA">
        <w:trPr>
          <w:trHeight w:val="255"/>
        </w:trPr>
        <w:tc>
          <w:tcPr>
            <w:tcW w:w="1353" w:type="dxa"/>
            <w:tcBorders>
              <w:top w:val="nil"/>
              <w:left w:val="nil"/>
              <w:bottom w:val="nil"/>
              <w:right w:val="nil"/>
            </w:tcBorders>
            <w:shd w:val="clear" w:color="auto" w:fill="auto"/>
            <w:noWrap/>
            <w:vAlign w:val="bottom"/>
            <w:hideMark/>
          </w:tcPr>
          <w:p w14:paraId="1275CEC0" w14:textId="77777777" w:rsidR="00575B49" w:rsidRPr="00647C63" w:rsidRDefault="00575B49">
            <w:pPr>
              <w:rPr>
                <w:rFonts w:cstheme="minorHAnsi"/>
                <w:color w:val="000000"/>
                <w:sz w:val="22"/>
                <w:szCs w:val="22"/>
              </w:rPr>
            </w:pPr>
            <w:r w:rsidRPr="00647C63">
              <w:rPr>
                <w:rFonts w:cstheme="minorHAnsi"/>
                <w:color w:val="000000"/>
                <w:sz w:val="22"/>
                <w:szCs w:val="22"/>
              </w:rPr>
              <w:t>NMP</w:t>
            </w:r>
          </w:p>
        </w:tc>
        <w:tc>
          <w:tcPr>
            <w:tcW w:w="8387" w:type="dxa"/>
            <w:tcBorders>
              <w:top w:val="nil"/>
              <w:left w:val="nil"/>
              <w:bottom w:val="nil"/>
              <w:right w:val="nil"/>
            </w:tcBorders>
            <w:shd w:val="clear" w:color="auto" w:fill="auto"/>
            <w:noWrap/>
            <w:vAlign w:val="bottom"/>
            <w:hideMark/>
          </w:tcPr>
          <w:p w14:paraId="4C895F56" w14:textId="77777777" w:rsidR="00575B49" w:rsidRPr="00647C63" w:rsidRDefault="00575B49">
            <w:pPr>
              <w:rPr>
                <w:rFonts w:cstheme="minorHAnsi"/>
                <w:color w:val="000000"/>
                <w:sz w:val="22"/>
                <w:szCs w:val="22"/>
              </w:rPr>
            </w:pPr>
            <w:r w:rsidRPr="00647C63">
              <w:rPr>
                <w:rFonts w:cstheme="minorHAnsi"/>
                <w:color w:val="000000"/>
                <w:sz w:val="22"/>
                <w:szCs w:val="22"/>
              </w:rPr>
              <w:t>Nutrient Management Plan</w:t>
            </w:r>
          </w:p>
        </w:tc>
      </w:tr>
      <w:tr w:rsidR="00575B49" w:rsidRPr="0087475A" w14:paraId="60A33362" w14:textId="77777777" w:rsidTr="00122EDA">
        <w:trPr>
          <w:trHeight w:val="255"/>
        </w:trPr>
        <w:tc>
          <w:tcPr>
            <w:tcW w:w="1353" w:type="dxa"/>
            <w:tcBorders>
              <w:top w:val="nil"/>
              <w:left w:val="nil"/>
              <w:bottom w:val="nil"/>
              <w:right w:val="nil"/>
            </w:tcBorders>
            <w:shd w:val="clear" w:color="auto" w:fill="auto"/>
            <w:noWrap/>
            <w:vAlign w:val="bottom"/>
            <w:hideMark/>
          </w:tcPr>
          <w:p w14:paraId="288A81E8"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NPDES </w:t>
            </w:r>
          </w:p>
        </w:tc>
        <w:tc>
          <w:tcPr>
            <w:tcW w:w="8387" w:type="dxa"/>
            <w:tcBorders>
              <w:top w:val="nil"/>
              <w:left w:val="nil"/>
              <w:bottom w:val="nil"/>
              <w:right w:val="nil"/>
            </w:tcBorders>
            <w:shd w:val="clear" w:color="auto" w:fill="auto"/>
            <w:noWrap/>
            <w:vAlign w:val="bottom"/>
            <w:hideMark/>
          </w:tcPr>
          <w:p w14:paraId="64A67353" w14:textId="77777777" w:rsidR="00575B49" w:rsidRPr="00647C63" w:rsidRDefault="00575B49">
            <w:pPr>
              <w:rPr>
                <w:rFonts w:cstheme="minorHAnsi"/>
                <w:color w:val="000000"/>
                <w:sz w:val="22"/>
                <w:szCs w:val="22"/>
              </w:rPr>
            </w:pPr>
            <w:r w:rsidRPr="00647C63">
              <w:rPr>
                <w:rFonts w:cstheme="minorHAnsi"/>
                <w:color w:val="000000"/>
                <w:sz w:val="22"/>
                <w:szCs w:val="22"/>
              </w:rPr>
              <w:t>National Pollution Discharge Elimination System</w:t>
            </w:r>
          </w:p>
        </w:tc>
      </w:tr>
      <w:tr w:rsidR="00575B49" w:rsidRPr="0087475A" w14:paraId="71D0CDA1" w14:textId="77777777" w:rsidTr="00122EDA">
        <w:trPr>
          <w:trHeight w:val="255"/>
        </w:trPr>
        <w:tc>
          <w:tcPr>
            <w:tcW w:w="1353" w:type="dxa"/>
            <w:tcBorders>
              <w:top w:val="nil"/>
              <w:left w:val="nil"/>
              <w:bottom w:val="nil"/>
              <w:right w:val="nil"/>
            </w:tcBorders>
            <w:shd w:val="clear" w:color="auto" w:fill="auto"/>
            <w:noWrap/>
            <w:vAlign w:val="bottom"/>
            <w:hideMark/>
          </w:tcPr>
          <w:p w14:paraId="6FF71695" w14:textId="77777777" w:rsidR="00575B49" w:rsidRPr="00647C63" w:rsidRDefault="00575B49">
            <w:pPr>
              <w:rPr>
                <w:rFonts w:cstheme="minorHAnsi"/>
                <w:color w:val="000000"/>
                <w:sz w:val="22"/>
                <w:szCs w:val="22"/>
              </w:rPr>
            </w:pPr>
            <w:r w:rsidRPr="00647C63">
              <w:rPr>
                <w:rFonts w:cstheme="minorHAnsi"/>
                <w:color w:val="000000"/>
                <w:sz w:val="22"/>
                <w:szCs w:val="22"/>
              </w:rPr>
              <w:t>NPS</w:t>
            </w:r>
          </w:p>
        </w:tc>
        <w:tc>
          <w:tcPr>
            <w:tcW w:w="8387" w:type="dxa"/>
            <w:tcBorders>
              <w:top w:val="nil"/>
              <w:left w:val="nil"/>
              <w:bottom w:val="nil"/>
              <w:right w:val="nil"/>
            </w:tcBorders>
            <w:shd w:val="clear" w:color="auto" w:fill="auto"/>
            <w:noWrap/>
            <w:vAlign w:val="bottom"/>
            <w:hideMark/>
          </w:tcPr>
          <w:p w14:paraId="752A461D" w14:textId="77777777" w:rsidR="00575B49" w:rsidRPr="00647C63" w:rsidRDefault="00575B49">
            <w:pPr>
              <w:rPr>
                <w:rFonts w:cstheme="minorHAnsi"/>
                <w:color w:val="000000"/>
                <w:sz w:val="22"/>
                <w:szCs w:val="22"/>
              </w:rPr>
            </w:pPr>
            <w:r w:rsidRPr="00647C63">
              <w:rPr>
                <w:rFonts w:cstheme="minorHAnsi"/>
                <w:color w:val="000000"/>
                <w:sz w:val="22"/>
                <w:szCs w:val="22"/>
              </w:rPr>
              <w:t>Non-point Source</w:t>
            </w:r>
          </w:p>
        </w:tc>
      </w:tr>
      <w:tr w:rsidR="00575B49" w:rsidRPr="0087475A" w14:paraId="42F2C327" w14:textId="77777777" w:rsidTr="00122EDA">
        <w:trPr>
          <w:trHeight w:val="255"/>
        </w:trPr>
        <w:tc>
          <w:tcPr>
            <w:tcW w:w="1353" w:type="dxa"/>
            <w:tcBorders>
              <w:top w:val="nil"/>
              <w:left w:val="nil"/>
              <w:bottom w:val="nil"/>
              <w:right w:val="nil"/>
            </w:tcBorders>
            <w:shd w:val="clear" w:color="auto" w:fill="auto"/>
            <w:noWrap/>
            <w:vAlign w:val="bottom"/>
            <w:hideMark/>
          </w:tcPr>
          <w:p w14:paraId="4D3F99FC" w14:textId="77777777" w:rsidR="00575B49" w:rsidRPr="00647C63" w:rsidRDefault="00575B49">
            <w:pPr>
              <w:rPr>
                <w:rFonts w:cstheme="minorHAnsi"/>
                <w:color w:val="000000"/>
                <w:sz w:val="22"/>
                <w:szCs w:val="22"/>
              </w:rPr>
            </w:pPr>
            <w:r w:rsidRPr="00647C63">
              <w:rPr>
                <w:rFonts w:cstheme="minorHAnsi"/>
                <w:color w:val="000000"/>
                <w:sz w:val="22"/>
                <w:szCs w:val="22"/>
              </w:rPr>
              <w:lastRenderedPageBreak/>
              <w:t>PAR</w:t>
            </w:r>
          </w:p>
        </w:tc>
        <w:tc>
          <w:tcPr>
            <w:tcW w:w="8387" w:type="dxa"/>
            <w:tcBorders>
              <w:top w:val="nil"/>
              <w:left w:val="nil"/>
              <w:bottom w:val="nil"/>
              <w:right w:val="nil"/>
            </w:tcBorders>
            <w:shd w:val="clear" w:color="auto" w:fill="auto"/>
            <w:noWrap/>
            <w:vAlign w:val="bottom"/>
            <w:hideMark/>
          </w:tcPr>
          <w:p w14:paraId="1C033AC8"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Photosynthetically Active Radiation </w:t>
            </w:r>
          </w:p>
        </w:tc>
      </w:tr>
      <w:tr w:rsidR="00575B49" w:rsidRPr="0087475A" w14:paraId="74747FD9" w14:textId="77777777" w:rsidTr="00122EDA">
        <w:trPr>
          <w:trHeight w:val="255"/>
        </w:trPr>
        <w:tc>
          <w:tcPr>
            <w:tcW w:w="1353" w:type="dxa"/>
            <w:tcBorders>
              <w:top w:val="nil"/>
              <w:left w:val="nil"/>
              <w:bottom w:val="nil"/>
              <w:right w:val="nil"/>
            </w:tcBorders>
            <w:shd w:val="clear" w:color="auto" w:fill="auto"/>
            <w:noWrap/>
            <w:vAlign w:val="bottom"/>
            <w:hideMark/>
          </w:tcPr>
          <w:p w14:paraId="7635875B" w14:textId="77777777" w:rsidR="00575B49" w:rsidRPr="00647C63" w:rsidRDefault="00575B49">
            <w:pPr>
              <w:rPr>
                <w:rFonts w:cstheme="minorHAnsi"/>
                <w:color w:val="000000"/>
                <w:sz w:val="22"/>
                <w:szCs w:val="22"/>
              </w:rPr>
            </w:pPr>
            <w:r w:rsidRPr="00647C63">
              <w:rPr>
                <w:rFonts w:cstheme="minorHAnsi"/>
                <w:color w:val="000000"/>
                <w:sz w:val="22"/>
                <w:szCs w:val="22"/>
              </w:rPr>
              <w:t>PCB</w:t>
            </w:r>
          </w:p>
        </w:tc>
        <w:tc>
          <w:tcPr>
            <w:tcW w:w="8387" w:type="dxa"/>
            <w:tcBorders>
              <w:top w:val="nil"/>
              <w:left w:val="nil"/>
              <w:bottom w:val="nil"/>
              <w:right w:val="nil"/>
            </w:tcBorders>
            <w:shd w:val="clear" w:color="auto" w:fill="auto"/>
            <w:noWrap/>
            <w:vAlign w:val="bottom"/>
            <w:hideMark/>
          </w:tcPr>
          <w:p w14:paraId="7E96A63D" w14:textId="77777777" w:rsidR="00575B49" w:rsidRPr="00647C63" w:rsidRDefault="00575B49">
            <w:pPr>
              <w:rPr>
                <w:rFonts w:cstheme="minorHAnsi"/>
                <w:color w:val="000000"/>
                <w:sz w:val="22"/>
                <w:szCs w:val="22"/>
              </w:rPr>
            </w:pPr>
            <w:r w:rsidRPr="00647C63">
              <w:rPr>
                <w:rFonts w:cstheme="minorHAnsi"/>
                <w:color w:val="000000"/>
                <w:sz w:val="22"/>
                <w:szCs w:val="22"/>
              </w:rPr>
              <w:t>Polychlorinated Biphenyl</w:t>
            </w:r>
          </w:p>
        </w:tc>
      </w:tr>
      <w:tr w:rsidR="00575B49" w:rsidRPr="0087475A" w14:paraId="7464CDAC" w14:textId="77777777" w:rsidTr="00122EDA">
        <w:trPr>
          <w:trHeight w:val="255"/>
        </w:trPr>
        <w:tc>
          <w:tcPr>
            <w:tcW w:w="1353" w:type="dxa"/>
            <w:tcBorders>
              <w:top w:val="nil"/>
              <w:left w:val="nil"/>
              <w:bottom w:val="nil"/>
              <w:right w:val="nil"/>
            </w:tcBorders>
            <w:shd w:val="clear" w:color="auto" w:fill="auto"/>
            <w:noWrap/>
            <w:vAlign w:val="bottom"/>
            <w:hideMark/>
          </w:tcPr>
          <w:p w14:paraId="34599441" w14:textId="77777777" w:rsidR="00575B49" w:rsidRPr="00647C63" w:rsidRDefault="00575B49">
            <w:pPr>
              <w:rPr>
                <w:rFonts w:cstheme="minorHAnsi"/>
                <w:color w:val="000000"/>
                <w:sz w:val="22"/>
                <w:szCs w:val="22"/>
              </w:rPr>
            </w:pPr>
            <w:r w:rsidRPr="00647C63">
              <w:rPr>
                <w:rFonts w:cstheme="minorHAnsi"/>
                <w:color w:val="000000"/>
                <w:sz w:val="22"/>
                <w:szCs w:val="22"/>
              </w:rPr>
              <w:t>PEC</w:t>
            </w:r>
          </w:p>
        </w:tc>
        <w:tc>
          <w:tcPr>
            <w:tcW w:w="8387" w:type="dxa"/>
            <w:tcBorders>
              <w:top w:val="nil"/>
              <w:left w:val="nil"/>
              <w:bottom w:val="nil"/>
              <w:right w:val="nil"/>
            </w:tcBorders>
            <w:shd w:val="clear" w:color="auto" w:fill="auto"/>
            <w:noWrap/>
            <w:vAlign w:val="bottom"/>
            <w:hideMark/>
          </w:tcPr>
          <w:p w14:paraId="6B995528" w14:textId="77777777" w:rsidR="00575B49" w:rsidRPr="00647C63" w:rsidRDefault="00575B49">
            <w:pPr>
              <w:rPr>
                <w:rFonts w:cstheme="minorHAnsi"/>
                <w:color w:val="000000"/>
                <w:sz w:val="22"/>
                <w:szCs w:val="22"/>
              </w:rPr>
            </w:pPr>
            <w:r w:rsidRPr="00647C63">
              <w:rPr>
                <w:rFonts w:cstheme="minorHAnsi"/>
                <w:color w:val="000000"/>
                <w:sz w:val="22"/>
                <w:szCs w:val="22"/>
              </w:rPr>
              <w:t>Probable Effect Concentration</w:t>
            </w:r>
          </w:p>
        </w:tc>
      </w:tr>
      <w:tr w:rsidR="00575B49" w:rsidRPr="0087475A" w14:paraId="649CAD0E" w14:textId="77777777" w:rsidTr="00122EDA">
        <w:trPr>
          <w:trHeight w:val="255"/>
        </w:trPr>
        <w:tc>
          <w:tcPr>
            <w:tcW w:w="1353" w:type="dxa"/>
            <w:tcBorders>
              <w:top w:val="nil"/>
              <w:left w:val="nil"/>
              <w:bottom w:val="nil"/>
              <w:right w:val="nil"/>
            </w:tcBorders>
            <w:shd w:val="clear" w:color="auto" w:fill="auto"/>
            <w:noWrap/>
            <w:vAlign w:val="bottom"/>
            <w:hideMark/>
          </w:tcPr>
          <w:p w14:paraId="5A334049"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PETM </w:t>
            </w:r>
          </w:p>
        </w:tc>
        <w:tc>
          <w:tcPr>
            <w:tcW w:w="8387" w:type="dxa"/>
            <w:tcBorders>
              <w:top w:val="nil"/>
              <w:left w:val="nil"/>
              <w:bottom w:val="nil"/>
              <w:right w:val="nil"/>
            </w:tcBorders>
            <w:shd w:val="clear" w:color="auto" w:fill="auto"/>
            <w:noWrap/>
            <w:vAlign w:val="bottom"/>
            <w:hideMark/>
          </w:tcPr>
          <w:p w14:paraId="7B3613A5"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Paleocene-Eocene Thermal Maximum </w:t>
            </w:r>
          </w:p>
        </w:tc>
      </w:tr>
      <w:tr w:rsidR="00D06B99" w:rsidRPr="0087475A" w14:paraId="7C15CBDD" w14:textId="77777777" w:rsidTr="00122EDA">
        <w:trPr>
          <w:trHeight w:val="255"/>
        </w:trPr>
        <w:tc>
          <w:tcPr>
            <w:tcW w:w="1353" w:type="dxa"/>
            <w:tcBorders>
              <w:top w:val="nil"/>
              <w:left w:val="nil"/>
              <w:bottom w:val="nil"/>
              <w:right w:val="nil"/>
            </w:tcBorders>
            <w:shd w:val="clear" w:color="auto" w:fill="auto"/>
            <w:noWrap/>
            <w:vAlign w:val="bottom"/>
          </w:tcPr>
          <w:p w14:paraId="39DEA015" w14:textId="7CA6BC32" w:rsidR="00D06B99" w:rsidRPr="00647C63" w:rsidRDefault="00D06B99">
            <w:pPr>
              <w:rPr>
                <w:rFonts w:cstheme="minorHAnsi"/>
                <w:color w:val="000000"/>
                <w:sz w:val="22"/>
                <w:szCs w:val="22"/>
              </w:rPr>
            </w:pPr>
            <w:r>
              <w:rPr>
                <w:rFonts w:cstheme="minorHAnsi"/>
                <w:color w:val="000000"/>
                <w:sz w:val="22"/>
                <w:szCs w:val="22"/>
              </w:rPr>
              <w:t>PFAS</w:t>
            </w:r>
          </w:p>
        </w:tc>
        <w:tc>
          <w:tcPr>
            <w:tcW w:w="8387" w:type="dxa"/>
            <w:tcBorders>
              <w:top w:val="nil"/>
              <w:left w:val="nil"/>
              <w:bottom w:val="nil"/>
              <w:right w:val="nil"/>
            </w:tcBorders>
            <w:shd w:val="clear" w:color="auto" w:fill="auto"/>
            <w:noWrap/>
            <w:vAlign w:val="bottom"/>
          </w:tcPr>
          <w:p w14:paraId="2CB02204" w14:textId="53B16694" w:rsidR="00D06B99" w:rsidRPr="00647C63" w:rsidRDefault="006F1F53">
            <w:pPr>
              <w:rPr>
                <w:rFonts w:cstheme="minorBidi"/>
                <w:color w:val="000000" w:themeColor="text1"/>
                <w:sz w:val="22"/>
                <w:szCs w:val="22"/>
              </w:rPr>
            </w:pPr>
            <w:r>
              <w:rPr>
                <w:rFonts w:cstheme="minorBidi"/>
                <w:color w:val="000000" w:themeColor="text1"/>
                <w:sz w:val="22"/>
                <w:szCs w:val="22"/>
              </w:rPr>
              <w:t>Per- and polyfluoroalkyl</w:t>
            </w:r>
            <w:r w:rsidR="008E48DB">
              <w:rPr>
                <w:rFonts w:cstheme="minorBidi"/>
                <w:color w:val="000000" w:themeColor="text1"/>
                <w:sz w:val="22"/>
                <w:szCs w:val="22"/>
              </w:rPr>
              <w:t xml:space="preserve"> substances</w:t>
            </w:r>
          </w:p>
        </w:tc>
      </w:tr>
      <w:tr w:rsidR="006D2BB7" w:rsidRPr="0087475A" w14:paraId="7C8FEE0E" w14:textId="77777777" w:rsidTr="00122EDA">
        <w:trPr>
          <w:trHeight w:val="255"/>
        </w:trPr>
        <w:tc>
          <w:tcPr>
            <w:tcW w:w="1353" w:type="dxa"/>
            <w:tcBorders>
              <w:top w:val="nil"/>
              <w:left w:val="nil"/>
              <w:bottom w:val="nil"/>
              <w:right w:val="nil"/>
            </w:tcBorders>
            <w:shd w:val="clear" w:color="auto" w:fill="auto"/>
            <w:noWrap/>
            <w:vAlign w:val="bottom"/>
          </w:tcPr>
          <w:p w14:paraId="3CEE50E7" w14:textId="757678BF" w:rsidR="006D2BB7" w:rsidRPr="00647C63" w:rsidRDefault="006D2BB7">
            <w:pPr>
              <w:rPr>
                <w:rFonts w:cstheme="minorHAnsi"/>
                <w:color w:val="000000"/>
                <w:sz w:val="22"/>
                <w:szCs w:val="22"/>
              </w:rPr>
            </w:pPr>
            <w:r>
              <w:rPr>
                <w:rFonts w:cstheme="minorHAnsi"/>
                <w:color w:val="000000"/>
                <w:sz w:val="22"/>
                <w:szCs w:val="22"/>
              </w:rPr>
              <w:t>PFOS</w:t>
            </w:r>
          </w:p>
        </w:tc>
        <w:tc>
          <w:tcPr>
            <w:tcW w:w="8387" w:type="dxa"/>
            <w:tcBorders>
              <w:top w:val="nil"/>
              <w:left w:val="nil"/>
              <w:bottom w:val="nil"/>
              <w:right w:val="nil"/>
            </w:tcBorders>
            <w:shd w:val="clear" w:color="auto" w:fill="auto"/>
            <w:noWrap/>
            <w:vAlign w:val="bottom"/>
          </w:tcPr>
          <w:p w14:paraId="1DA275DA" w14:textId="1EE0FC41" w:rsidR="006D2BB7" w:rsidRPr="00647C63" w:rsidRDefault="006D2BB7">
            <w:pPr>
              <w:rPr>
                <w:rFonts w:cstheme="minorBidi"/>
                <w:color w:val="000000" w:themeColor="text1"/>
                <w:sz w:val="22"/>
                <w:szCs w:val="22"/>
              </w:rPr>
            </w:pPr>
            <w:proofErr w:type="spellStart"/>
            <w:r>
              <w:rPr>
                <w:rFonts w:cstheme="minorBidi"/>
                <w:color w:val="000000" w:themeColor="text1"/>
                <w:sz w:val="22"/>
                <w:szCs w:val="22"/>
              </w:rPr>
              <w:t>Perfluoroocta</w:t>
            </w:r>
            <w:r w:rsidR="0013231A">
              <w:rPr>
                <w:rFonts w:cstheme="minorBidi"/>
                <w:color w:val="000000" w:themeColor="text1"/>
                <w:sz w:val="22"/>
                <w:szCs w:val="22"/>
              </w:rPr>
              <w:t>n</w:t>
            </w:r>
            <w:r>
              <w:rPr>
                <w:rFonts w:cstheme="minorBidi"/>
                <w:color w:val="000000" w:themeColor="text1"/>
                <w:sz w:val="22"/>
                <w:szCs w:val="22"/>
              </w:rPr>
              <w:t>e</w:t>
            </w:r>
            <w:proofErr w:type="spellEnd"/>
            <w:r>
              <w:rPr>
                <w:rFonts w:cstheme="minorBidi"/>
                <w:color w:val="000000" w:themeColor="text1"/>
                <w:sz w:val="22"/>
                <w:szCs w:val="22"/>
              </w:rPr>
              <w:t xml:space="preserve"> sulfonic acid</w:t>
            </w:r>
          </w:p>
        </w:tc>
      </w:tr>
      <w:tr w:rsidR="00575B49" w:rsidRPr="0087475A" w14:paraId="2192ED59" w14:textId="77777777" w:rsidTr="00122EDA">
        <w:trPr>
          <w:trHeight w:val="255"/>
        </w:trPr>
        <w:tc>
          <w:tcPr>
            <w:tcW w:w="1353" w:type="dxa"/>
            <w:tcBorders>
              <w:top w:val="nil"/>
              <w:left w:val="nil"/>
              <w:bottom w:val="nil"/>
              <w:right w:val="nil"/>
            </w:tcBorders>
            <w:shd w:val="clear" w:color="auto" w:fill="auto"/>
            <w:noWrap/>
            <w:vAlign w:val="bottom"/>
            <w:hideMark/>
          </w:tcPr>
          <w:p w14:paraId="69A7E5B3" w14:textId="77777777" w:rsidR="00575B49" w:rsidRPr="00647C63" w:rsidRDefault="00575B49">
            <w:pPr>
              <w:rPr>
                <w:rFonts w:cstheme="minorHAnsi"/>
                <w:color w:val="000000"/>
                <w:sz w:val="22"/>
                <w:szCs w:val="22"/>
              </w:rPr>
            </w:pPr>
            <w:r w:rsidRPr="00647C63">
              <w:rPr>
                <w:rFonts w:cstheme="minorHAnsi"/>
                <w:color w:val="000000"/>
                <w:sz w:val="22"/>
                <w:szCs w:val="22"/>
              </w:rPr>
              <w:t>POTW</w:t>
            </w:r>
          </w:p>
        </w:tc>
        <w:tc>
          <w:tcPr>
            <w:tcW w:w="8387" w:type="dxa"/>
            <w:tcBorders>
              <w:top w:val="nil"/>
              <w:left w:val="nil"/>
              <w:bottom w:val="nil"/>
              <w:right w:val="nil"/>
            </w:tcBorders>
            <w:shd w:val="clear" w:color="auto" w:fill="auto"/>
            <w:noWrap/>
            <w:vAlign w:val="bottom"/>
            <w:hideMark/>
          </w:tcPr>
          <w:p w14:paraId="6923E847" w14:textId="2C3F600C" w:rsidR="00575B49" w:rsidRPr="00647C63" w:rsidRDefault="6DDEF7D6">
            <w:pPr>
              <w:rPr>
                <w:rFonts w:cstheme="minorBidi"/>
                <w:color w:val="000000"/>
                <w:sz w:val="22"/>
                <w:szCs w:val="22"/>
              </w:rPr>
            </w:pPr>
            <w:r w:rsidRPr="00647C63">
              <w:rPr>
                <w:rFonts w:cstheme="minorBidi"/>
                <w:color w:val="000000" w:themeColor="text1"/>
                <w:sz w:val="22"/>
                <w:szCs w:val="22"/>
              </w:rPr>
              <w:t>Publicly</w:t>
            </w:r>
            <w:r w:rsidR="00575B49" w:rsidRPr="00647C63">
              <w:rPr>
                <w:rFonts w:cstheme="minorBidi"/>
                <w:color w:val="000000" w:themeColor="text1"/>
                <w:sz w:val="22"/>
                <w:szCs w:val="22"/>
              </w:rPr>
              <w:t xml:space="preserve"> Owned Treatment Works</w:t>
            </w:r>
          </w:p>
        </w:tc>
      </w:tr>
      <w:tr w:rsidR="00575B49" w:rsidRPr="0087475A" w14:paraId="78F5B33A" w14:textId="77777777" w:rsidTr="00122EDA">
        <w:trPr>
          <w:trHeight w:val="255"/>
        </w:trPr>
        <w:tc>
          <w:tcPr>
            <w:tcW w:w="1353" w:type="dxa"/>
            <w:tcBorders>
              <w:top w:val="nil"/>
              <w:left w:val="nil"/>
              <w:bottom w:val="nil"/>
              <w:right w:val="nil"/>
            </w:tcBorders>
            <w:shd w:val="clear" w:color="auto" w:fill="auto"/>
            <w:noWrap/>
            <w:vAlign w:val="bottom"/>
            <w:hideMark/>
          </w:tcPr>
          <w:p w14:paraId="1CA824FC" w14:textId="77777777" w:rsidR="00575B49" w:rsidRPr="00647C63" w:rsidRDefault="00575B49">
            <w:pPr>
              <w:rPr>
                <w:rFonts w:cstheme="minorHAnsi"/>
                <w:color w:val="000000"/>
                <w:sz w:val="22"/>
                <w:szCs w:val="22"/>
              </w:rPr>
            </w:pPr>
            <w:r w:rsidRPr="00647C63">
              <w:rPr>
                <w:rFonts w:cstheme="minorHAnsi"/>
                <w:color w:val="000000"/>
                <w:sz w:val="22"/>
                <w:szCs w:val="22"/>
              </w:rPr>
              <w:t>PPT</w:t>
            </w:r>
          </w:p>
        </w:tc>
        <w:tc>
          <w:tcPr>
            <w:tcW w:w="8387" w:type="dxa"/>
            <w:tcBorders>
              <w:top w:val="nil"/>
              <w:left w:val="nil"/>
              <w:bottom w:val="nil"/>
              <w:right w:val="nil"/>
            </w:tcBorders>
            <w:shd w:val="clear" w:color="auto" w:fill="auto"/>
            <w:noWrap/>
            <w:vAlign w:val="bottom"/>
            <w:hideMark/>
          </w:tcPr>
          <w:p w14:paraId="799F8D1E" w14:textId="77777777" w:rsidR="00575B49" w:rsidRPr="00647C63" w:rsidRDefault="00575B49">
            <w:pPr>
              <w:rPr>
                <w:rFonts w:cstheme="minorHAnsi"/>
                <w:color w:val="000000"/>
                <w:sz w:val="22"/>
                <w:szCs w:val="22"/>
              </w:rPr>
            </w:pPr>
            <w:r w:rsidRPr="00647C63">
              <w:rPr>
                <w:rFonts w:cstheme="minorHAnsi"/>
                <w:color w:val="000000"/>
                <w:sz w:val="22"/>
                <w:szCs w:val="22"/>
              </w:rPr>
              <w:t>Parts per thousand</w:t>
            </w:r>
          </w:p>
        </w:tc>
      </w:tr>
      <w:tr w:rsidR="00575B49" w:rsidRPr="0087475A" w14:paraId="266B7A95" w14:textId="77777777" w:rsidTr="00122EDA">
        <w:trPr>
          <w:trHeight w:val="255"/>
        </w:trPr>
        <w:tc>
          <w:tcPr>
            <w:tcW w:w="1353" w:type="dxa"/>
            <w:tcBorders>
              <w:top w:val="nil"/>
              <w:left w:val="nil"/>
              <w:bottom w:val="nil"/>
              <w:right w:val="nil"/>
            </w:tcBorders>
            <w:shd w:val="clear" w:color="auto" w:fill="auto"/>
            <w:noWrap/>
            <w:vAlign w:val="bottom"/>
            <w:hideMark/>
          </w:tcPr>
          <w:p w14:paraId="04E9B7AD"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ProbMon </w:t>
            </w:r>
          </w:p>
        </w:tc>
        <w:tc>
          <w:tcPr>
            <w:tcW w:w="8387" w:type="dxa"/>
            <w:tcBorders>
              <w:top w:val="nil"/>
              <w:left w:val="nil"/>
              <w:bottom w:val="nil"/>
              <w:right w:val="nil"/>
            </w:tcBorders>
            <w:shd w:val="clear" w:color="auto" w:fill="auto"/>
            <w:noWrap/>
            <w:vAlign w:val="bottom"/>
            <w:hideMark/>
          </w:tcPr>
          <w:p w14:paraId="15382837"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Probabilistic Monitoring </w:t>
            </w:r>
          </w:p>
        </w:tc>
      </w:tr>
      <w:tr w:rsidR="00575B49" w:rsidRPr="0087475A" w14:paraId="5611B5ED" w14:textId="77777777" w:rsidTr="00122EDA">
        <w:trPr>
          <w:trHeight w:val="255"/>
        </w:trPr>
        <w:tc>
          <w:tcPr>
            <w:tcW w:w="1353" w:type="dxa"/>
            <w:tcBorders>
              <w:top w:val="nil"/>
              <w:left w:val="nil"/>
              <w:bottom w:val="nil"/>
              <w:right w:val="nil"/>
            </w:tcBorders>
            <w:shd w:val="clear" w:color="auto" w:fill="auto"/>
            <w:noWrap/>
            <w:vAlign w:val="bottom"/>
            <w:hideMark/>
          </w:tcPr>
          <w:p w14:paraId="044A6D3D" w14:textId="77777777" w:rsidR="00575B49" w:rsidRPr="00647C63" w:rsidRDefault="00575B49">
            <w:pPr>
              <w:rPr>
                <w:rFonts w:cstheme="minorHAnsi"/>
                <w:color w:val="000000"/>
                <w:sz w:val="22"/>
                <w:szCs w:val="22"/>
              </w:rPr>
            </w:pPr>
            <w:r w:rsidRPr="00647C63">
              <w:rPr>
                <w:rFonts w:cstheme="minorHAnsi"/>
                <w:color w:val="000000"/>
                <w:sz w:val="22"/>
                <w:szCs w:val="22"/>
              </w:rPr>
              <w:t>PWS</w:t>
            </w:r>
          </w:p>
        </w:tc>
        <w:tc>
          <w:tcPr>
            <w:tcW w:w="8387" w:type="dxa"/>
            <w:tcBorders>
              <w:top w:val="nil"/>
              <w:left w:val="nil"/>
              <w:bottom w:val="nil"/>
              <w:right w:val="nil"/>
            </w:tcBorders>
            <w:shd w:val="clear" w:color="auto" w:fill="auto"/>
            <w:noWrap/>
            <w:vAlign w:val="bottom"/>
            <w:hideMark/>
          </w:tcPr>
          <w:p w14:paraId="364D7F19"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Public Water Supply </w:t>
            </w:r>
          </w:p>
        </w:tc>
      </w:tr>
      <w:tr w:rsidR="00575B49" w:rsidRPr="0087475A" w14:paraId="4B0136FD" w14:textId="77777777" w:rsidTr="00122EDA">
        <w:trPr>
          <w:trHeight w:val="255"/>
        </w:trPr>
        <w:tc>
          <w:tcPr>
            <w:tcW w:w="1353" w:type="dxa"/>
            <w:tcBorders>
              <w:top w:val="nil"/>
              <w:left w:val="nil"/>
              <w:bottom w:val="nil"/>
              <w:right w:val="nil"/>
            </w:tcBorders>
            <w:shd w:val="clear" w:color="auto" w:fill="auto"/>
            <w:noWrap/>
            <w:vAlign w:val="bottom"/>
            <w:hideMark/>
          </w:tcPr>
          <w:p w14:paraId="007D28C2" w14:textId="2E169462" w:rsidR="00575B49" w:rsidRPr="00647C63" w:rsidRDefault="00575B49">
            <w:pPr>
              <w:rPr>
                <w:rFonts w:cstheme="minorHAnsi"/>
                <w:color w:val="000000"/>
                <w:sz w:val="22"/>
                <w:szCs w:val="22"/>
              </w:rPr>
            </w:pPr>
            <w:r w:rsidRPr="00647C63">
              <w:rPr>
                <w:rFonts w:cstheme="minorHAnsi"/>
                <w:color w:val="000000"/>
                <w:sz w:val="22"/>
                <w:szCs w:val="22"/>
              </w:rPr>
              <w:t xml:space="preserve">QA </w:t>
            </w:r>
          </w:p>
        </w:tc>
        <w:tc>
          <w:tcPr>
            <w:tcW w:w="8387" w:type="dxa"/>
            <w:tcBorders>
              <w:top w:val="nil"/>
              <w:left w:val="nil"/>
              <w:bottom w:val="nil"/>
              <w:right w:val="nil"/>
            </w:tcBorders>
            <w:shd w:val="clear" w:color="auto" w:fill="auto"/>
            <w:noWrap/>
            <w:vAlign w:val="bottom"/>
            <w:hideMark/>
          </w:tcPr>
          <w:p w14:paraId="5C913DEB" w14:textId="79B55554" w:rsidR="00575B49" w:rsidRPr="00647C63" w:rsidRDefault="00575B49">
            <w:pPr>
              <w:rPr>
                <w:rFonts w:cstheme="minorHAnsi"/>
                <w:color w:val="000000"/>
                <w:sz w:val="22"/>
                <w:szCs w:val="22"/>
              </w:rPr>
            </w:pPr>
            <w:r w:rsidRPr="00647C63">
              <w:rPr>
                <w:rFonts w:cstheme="minorHAnsi"/>
                <w:color w:val="000000"/>
                <w:sz w:val="22"/>
                <w:szCs w:val="22"/>
              </w:rPr>
              <w:t xml:space="preserve">Quality Assurance </w:t>
            </w:r>
          </w:p>
        </w:tc>
      </w:tr>
      <w:tr w:rsidR="00575B49" w:rsidRPr="0087475A" w14:paraId="1F735F36" w14:textId="77777777" w:rsidTr="00122EDA">
        <w:trPr>
          <w:trHeight w:val="255"/>
        </w:trPr>
        <w:tc>
          <w:tcPr>
            <w:tcW w:w="1353" w:type="dxa"/>
            <w:tcBorders>
              <w:top w:val="nil"/>
              <w:left w:val="nil"/>
              <w:bottom w:val="nil"/>
              <w:right w:val="nil"/>
            </w:tcBorders>
            <w:shd w:val="clear" w:color="auto" w:fill="auto"/>
            <w:noWrap/>
            <w:vAlign w:val="bottom"/>
            <w:hideMark/>
          </w:tcPr>
          <w:p w14:paraId="08A76C51" w14:textId="77777777" w:rsidR="00575B49" w:rsidRPr="00647C63" w:rsidRDefault="00575B49">
            <w:pPr>
              <w:rPr>
                <w:rFonts w:cstheme="minorHAnsi"/>
                <w:color w:val="000000"/>
                <w:sz w:val="22"/>
                <w:szCs w:val="22"/>
              </w:rPr>
            </w:pPr>
            <w:r w:rsidRPr="00647C63">
              <w:rPr>
                <w:rFonts w:cstheme="minorHAnsi"/>
                <w:color w:val="000000"/>
                <w:sz w:val="22"/>
                <w:szCs w:val="22"/>
              </w:rPr>
              <w:t>QAPP</w:t>
            </w:r>
          </w:p>
        </w:tc>
        <w:tc>
          <w:tcPr>
            <w:tcW w:w="8387" w:type="dxa"/>
            <w:tcBorders>
              <w:top w:val="nil"/>
              <w:left w:val="nil"/>
              <w:bottom w:val="nil"/>
              <w:right w:val="nil"/>
            </w:tcBorders>
            <w:shd w:val="clear" w:color="auto" w:fill="auto"/>
            <w:noWrap/>
            <w:vAlign w:val="bottom"/>
            <w:hideMark/>
          </w:tcPr>
          <w:p w14:paraId="19F32231"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Quality Assurance Project Plan </w:t>
            </w:r>
          </w:p>
        </w:tc>
      </w:tr>
      <w:tr w:rsidR="00575B49" w:rsidRPr="0087475A" w14:paraId="5CED4D90" w14:textId="77777777" w:rsidTr="00122EDA">
        <w:trPr>
          <w:trHeight w:val="255"/>
        </w:trPr>
        <w:tc>
          <w:tcPr>
            <w:tcW w:w="1353" w:type="dxa"/>
            <w:tcBorders>
              <w:top w:val="nil"/>
              <w:left w:val="nil"/>
              <w:bottom w:val="nil"/>
              <w:right w:val="nil"/>
            </w:tcBorders>
            <w:shd w:val="clear" w:color="auto" w:fill="auto"/>
            <w:noWrap/>
            <w:vAlign w:val="bottom"/>
            <w:hideMark/>
          </w:tcPr>
          <w:p w14:paraId="281850F1" w14:textId="77777777" w:rsidR="00575B49" w:rsidRPr="00647C63" w:rsidRDefault="00575B49">
            <w:pPr>
              <w:rPr>
                <w:rFonts w:cstheme="minorHAnsi"/>
                <w:color w:val="000000"/>
                <w:sz w:val="22"/>
                <w:szCs w:val="22"/>
              </w:rPr>
            </w:pPr>
            <w:r w:rsidRPr="00647C63">
              <w:rPr>
                <w:rFonts w:cstheme="minorHAnsi"/>
                <w:color w:val="000000"/>
                <w:sz w:val="22"/>
                <w:szCs w:val="22"/>
              </w:rPr>
              <w:t>QC</w:t>
            </w:r>
          </w:p>
        </w:tc>
        <w:tc>
          <w:tcPr>
            <w:tcW w:w="8387" w:type="dxa"/>
            <w:tcBorders>
              <w:top w:val="nil"/>
              <w:left w:val="nil"/>
              <w:bottom w:val="nil"/>
              <w:right w:val="nil"/>
            </w:tcBorders>
            <w:shd w:val="clear" w:color="auto" w:fill="auto"/>
            <w:noWrap/>
            <w:vAlign w:val="bottom"/>
            <w:hideMark/>
          </w:tcPr>
          <w:p w14:paraId="47E5FB7A" w14:textId="77777777" w:rsidR="00575B49" w:rsidRPr="00647C63" w:rsidRDefault="00575B49">
            <w:pPr>
              <w:rPr>
                <w:rFonts w:cstheme="minorHAnsi"/>
                <w:color w:val="000000"/>
                <w:sz w:val="22"/>
                <w:szCs w:val="22"/>
              </w:rPr>
            </w:pPr>
            <w:r w:rsidRPr="00647C63">
              <w:rPr>
                <w:rFonts w:cstheme="minorHAnsi"/>
                <w:color w:val="000000"/>
                <w:sz w:val="22"/>
                <w:szCs w:val="22"/>
              </w:rPr>
              <w:t>Quality Control</w:t>
            </w:r>
          </w:p>
        </w:tc>
      </w:tr>
      <w:tr w:rsidR="00575B49" w:rsidRPr="0087475A" w14:paraId="40B3CFAB" w14:textId="77777777" w:rsidTr="00122EDA">
        <w:trPr>
          <w:trHeight w:val="255"/>
        </w:trPr>
        <w:tc>
          <w:tcPr>
            <w:tcW w:w="1353" w:type="dxa"/>
            <w:tcBorders>
              <w:top w:val="nil"/>
              <w:left w:val="nil"/>
              <w:bottom w:val="nil"/>
              <w:right w:val="nil"/>
            </w:tcBorders>
            <w:shd w:val="clear" w:color="auto" w:fill="auto"/>
            <w:noWrap/>
            <w:vAlign w:val="bottom"/>
            <w:hideMark/>
          </w:tcPr>
          <w:p w14:paraId="16C569C7" w14:textId="77777777" w:rsidR="00575B49" w:rsidRPr="00647C63" w:rsidRDefault="00575B49">
            <w:pPr>
              <w:rPr>
                <w:rFonts w:cstheme="minorHAnsi"/>
                <w:color w:val="000000"/>
                <w:sz w:val="22"/>
                <w:szCs w:val="22"/>
              </w:rPr>
            </w:pPr>
            <w:r w:rsidRPr="00647C63">
              <w:rPr>
                <w:rFonts w:cstheme="minorHAnsi"/>
                <w:color w:val="000000"/>
                <w:sz w:val="22"/>
                <w:szCs w:val="22"/>
              </w:rPr>
              <w:t>RBS</w:t>
            </w:r>
          </w:p>
        </w:tc>
        <w:tc>
          <w:tcPr>
            <w:tcW w:w="8387" w:type="dxa"/>
            <w:tcBorders>
              <w:top w:val="nil"/>
              <w:left w:val="nil"/>
              <w:bottom w:val="nil"/>
              <w:right w:val="nil"/>
            </w:tcBorders>
            <w:shd w:val="clear" w:color="auto" w:fill="auto"/>
            <w:noWrap/>
            <w:vAlign w:val="bottom"/>
            <w:hideMark/>
          </w:tcPr>
          <w:p w14:paraId="2E77B051" w14:textId="77777777" w:rsidR="00575B49" w:rsidRPr="00647C63" w:rsidRDefault="00575B49">
            <w:pPr>
              <w:rPr>
                <w:rFonts w:cstheme="minorHAnsi"/>
                <w:color w:val="000000"/>
                <w:sz w:val="22"/>
                <w:szCs w:val="22"/>
              </w:rPr>
            </w:pPr>
            <w:r w:rsidRPr="00647C63">
              <w:rPr>
                <w:rFonts w:cstheme="minorHAnsi"/>
                <w:color w:val="000000"/>
                <w:sz w:val="22"/>
                <w:szCs w:val="22"/>
              </w:rPr>
              <w:t>Relative Bed Stability</w:t>
            </w:r>
          </w:p>
        </w:tc>
      </w:tr>
      <w:tr w:rsidR="00575B49" w:rsidRPr="0087475A" w14:paraId="535A3DD6" w14:textId="77777777" w:rsidTr="00122EDA">
        <w:trPr>
          <w:trHeight w:val="255"/>
        </w:trPr>
        <w:tc>
          <w:tcPr>
            <w:tcW w:w="1353" w:type="dxa"/>
            <w:tcBorders>
              <w:top w:val="nil"/>
              <w:left w:val="nil"/>
              <w:bottom w:val="nil"/>
              <w:right w:val="nil"/>
            </w:tcBorders>
            <w:shd w:val="clear" w:color="auto" w:fill="auto"/>
            <w:noWrap/>
            <w:vAlign w:val="bottom"/>
            <w:hideMark/>
          </w:tcPr>
          <w:p w14:paraId="4D32AE75" w14:textId="77777777" w:rsidR="00575B49" w:rsidRPr="00647C63" w:rsidRDefault="00575B49">
            <w:pPr>
              <w:rPr>
                <w:rFonts w:cstheme="minorHAnsi"/>
                <w:color w:val="000000"/>
                <w:sz w:val="22"/>
                <w:szCs w:val="22"/>
              </w:rPr>
            </w:pPr>
            <w:r w:rsidRPr="00647C63">
              <w:rPr>
                <w:rFonts w:cstheme="minorHAnsi"/>
                <w:color w:val="000000"/>
                <w:sz w:val="22"/>
                <w:szCs w:val="22"/>
              </w:rPr>
              <w:t>RIM</w:t>
            </w:r>
          </w:p>
        </w:tc>
        <w:tc>
          <w:tcPr>
            <w:tcW w:w="8387" w:type="dxa"/>
            <w:tcBorders>
              <w:top w:val="nil"/>
              <w:left w:val="nil"/>
              <w:bottom w:val="nil"/>
              <w:right w:val="nil"/>
            </w:tcBorders>
            <w:shd w:val="clear" w:color="auto" w:fill="auto"/>
            <w:noWrap/>
            <w:vAlign w:val="bottom"/>
            <w:hideMark/>
          </w:tcPr>
          <w:p w14:paraId="2C5BA874"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River Input Monitoring Program </w:t>
            </w:r>
          </w:p>
        </w:tc>
      </w:tr>
      <w:tr w:rsidR="00575B49" w:rsidRPr="0087475A" w14:paraId="397BF6E0" w14:textId="77777777" w:rsidTr="00122EDA">
        <w:trPr>
          <w:trHeight w:val="255"/>
        </w:trPr>
        <w:tc>
          <w:tcPr>
            <w:tcW w:w="1353" w:type="dxa"/>
            <w:tcBorders>
              <w:top w:val="nil"/>
              <w:left w:val="nil"/>
              <w:bottom w:val="nil"/>
              <w:right w:val="nil"/>
            </w:tcBorders>
            <w:shd w:val="clear" w:color="auto" w:fill="auto"/>
            <w:noWrap/>
            <w:vAlign w:val="bottom"/>
            <w:hideMark/>
          </w:tcPr>
          <w:p w14:paraId="48031076" w14:textId="77777777" w:rsidR="00575B49" w:rsidRPr="00647C63" w:rsidRDefault="00575B49">
            <w:pPr>
              <w:rPr>
                <w:rFonts w:cstheme="minorHAnsi"/>
                <w:color w:val="000000"/>
                <w:sz w:val="22"/>
                <w:szCs w:val="22"/>
              </w:rPr>
            </w:pPr>
            <w:r w:rsidRPr="00647C63">
              <w:rPr>
                <w:rFonts w:cstheme="minorHAnsi"/>
                <w:color w:val="000000"/>
                <w:sz w:val="22"/>
                <w:szCs w:val="22"/>
              </w:rPr>
              <w:t>SAV</w:t>
            </w:r>
          </w:p>
        </w:tc>
        <w:tc>
          <w:tcPr>
            <w:tcW w:w="8387" w:type="dxa"/>
            <w:tcBorders>
              <w:top w:val="nil"/>
              <w:left w:val="nil"/>
              <w:bottom w:val="nil"/>
              <w:right w:val="nil"/>
            </w:tcBorders>
            <w:shd w:val="clear" w:color="auto" w:fill="auto"/>
            <w:noWrap/>
            <w:vAlign w:val="bottom"/>
            <w:hideMark/>
          </w:tcPr>
          <w:p w14:paraId="389B50EA" w14:textId="77777777" w:rsidR="00575B49" w:rsidRPr="00647C63" w:rsidRDefault="00575B49">
            <w:pPr>
              <w:rPr>
                <w:rFonts w:cstheme="minorHAnsi"/>
                <w:color w:val="000000"/>
                <w:sz w:val="22"/>
                <w:szCs w:val="22"/>
              </w:rPr>
            </w:pPr>
            <w:r w:rsidRPr="00647C63">
              <w:rPr>
                <w:rFonts w:cstheme="minorHAnsi"/>
                <w:color w:val="000000"/>
                <w:sz w:val="22"/>
                <w:szCs w:val="22"/>
              </w:rPr>
              <w:t>Submerged Aquatic Vegetation</w:t>
            </w:r>
          </w:p>
        </w:tc>
      </w:tr>
      <w:tr w:rsidR="00575B49" w:rsidRPr="0087475A" w14:paraId="0FA10F18" w14:textId="77777777" w:rsidTr="00122EDA">
        <w:trPr>
          <w:trHeight w:val="255"/>
        </w:trPr>
        <w:tc>
          <w:tcPr>
            <w:tcW w:w="1353" w:type="dxa"/>
            <w:tcBorders>
              <w:top w:val="nil"/>
              <w:left w:val="nil"/>
              <w:bottom w:val="nil"/>
              <w:right w:val="nil"/>
            </w:tcBorders>
            <w:shd w:val="clear" w:color="auto" w:fill="auto"/>
            <w:noWrap/>
            <w:vAlign w:val="bottom"/>
            <w:hideMark/>
          </w:tcPr>
          <w:p w14:paraId="63BACF5B" w14:textId="77777777" w:rsidR="00575B49" w:rsidRPr="00647C63" w:rsidRDefault="00575B49">
            <w:pPr>
              <w:rPr>
                <w:rFonts w:cstheme="minorHAnsi"/>
                <w:color w:val="000000"/>
                <w:sz w:val="22"/>
                <w:szCs w:val="22"/>
              </w:rPr>
            </w:pPr>
            <w:r w:rsidRPr="00647C63">
              <w:rPr>
                <w:rFonts w:cstheme="minorHAnsi"/>
                <w:color w:val="000000"/>
                <w:sz w:val="22"/>
                <w:szCs w:val="22"/>
              </w:rPr>
              <w:t>SOP</w:t>
            </w:r>
          </w:p>
        </w:tc>
        <w:tc>
          <w:tcPr>
            <w:tcW w:w="8387" w:type="dxa"/>
            <w:tcBorders>
              <w:top w:val="nil"/>
              <w:left w:val="nil"/>
              <w:bottom w:val="nil"/>
              <w:right w:val="nil"/>
            </w:tcBorders>
            <w:shd w:val="clear" w:color="auto" w:fill="auto"/>
            <w:noWrap/>
            <w:vAlign w:val="bottom"/>
            <w:hideMark/>
          </w:tcPr>
          <w:p w14:paraId="10B1CA0D"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Standard Operating Procedures </w:t>
            </w:r>
          </w:p>
        </w:tc>
      </w:tr>
      <w:tr w:rsidR="00575B49" w:rsidRPr="0087475A" w14:paraId="48300F40" w14:textId="77777777" w:rsidTr="00122EDA">
        <w:trPr>
          <w:trHeight w:val="255"/>
        </w:trPr>
        <w:tc>
          <w:tcPr>
            <w:tcW w:w="1353" w:type="dxa"/>
            <w:tcBorders>
              <w:top w:val="nil"/>
              <w:left w:val="nil"/>
              <w:bottom w:val="nil"/>
              <w:right w:val="nil"/>
            </w:tcBorders>
            <w:shd w:val="clear" w:color="auto" w:fill="auto"/>
            <w:noWrap/>
            <w:vAlign w:val="bottom"/>
            <w:hideMark/>
          </w:tcPr>
          <w:p w14:paraId="30CCD24D" w14:textId="77777777" w:rsidR="00575B49" w:rsidRPr="00647C63" w:rsidRDefault="00575B49">
            <w:pPr>
              <w:rPr>
                <w:rFonts w:cstheme="minorHAnsi"/>
                <w:color w:val="000000"/>
                <w:sz w:val="22"/>
                <w:szCs w:val="22"/>
              </w:rPr>
            </w:pPr>
            <w:r w:rsidRPr="00647C63">
              <w:rPr>
                <w:rFonts w:cstheme="minorHAnsi"/>
                <w:color w:val="000000"/>
                <w:sz w:val="22"/>
                <w:szCs w:val="22"/>
              </w:rPr>
              <w:t>SOW</w:t>
            </w:r>
          </w:p>
        </w:tc>
        <w:tc>
          <w:tcPr>
            <w:tcW w:w="8387" w:type="dxa"/>
            <w:tcBorders>
              <w:top w:val="nil"/>
              <w:left w:val="nil"/>
              <w:bottom w:val="nil"/>
              <w:right w:val="nil"/>
            </w:tcBorders>
            <w:shd w:val="clear" w:color="auto" w:fill="auto"/>
            <w:noWrap/>
            <w:vAlign w:val="bottom"/>
            <w:hideMark/>
          </w:tcPr>
          <w:p w14:paraId="3CACB1DC" w14:textId="77777777" w:rsidR="00575B49" w:rsidRPr="00647C63" w:rsidRDefault="00575B49">
            <w:pPr>
              <w:rPr>
                <w:rFonts w:cstheme="minorHAnsi"/>
                <w:color w:val="000000"/>
                <w:sz w:val="22"/>
                <w:szCs w:val="22"/>
              </w:rPr>
            </w:pPr>
            <w:r w:rsidRPr="00647C63">
              <w:rPr>
                <w:rFonts w:cstheme="minorHAnsi"/>
                <w:color w:val="000000"/>
                <w:sz w:val="22"/>
                <w:szCs w:val="22"/>
              </w:rPr>
              <w:t>State Observation Well Program</w:t>
            </w:r>
          </w:p>
        </w:tc>
      </w:tr>
      <w:tr w:rsidR="00575B49" w:rsidRPr="0087475A" w14:paraId="2B2A5396" w14:textId="77777777" w:rsidTr="00122EDA">
        <w:trPr>
          <w:trHeight w:val="255"/>
        </w:trPr>
        <w:tc>
          <w:tcPr>
            <w:tcW w:w="1353" w:type="dxa"/>
            <w:tcBorders>
              <w:top w:val="nil"/>
              <w:left w:val="nil"/>
              <w:bottom w:val="nil"/>
              <w:right w:val="nil"/>
            </w:tcBorders>
            <w:shd w:val="clear" w:color="auto" w:fill="auto"/>
            <w:noWrap/>
            <w:vAlign w:val="bottom"/>
            <w:hideMark/>
          </w:tcPr>
          <w:p w14:paraId="76C5EB47" w14:textId="77777777" w:rsidR="00575B49" w:rsidRPr="00647C63" w:rsidRDefault="00575B49">
            <w:pPr>
              <w:rPr>
                <w:rFonts w:cstheme="minorHAnsi"/>
                <w:color w:val="000000"/>
                <w:sz w:val="22"/>
                <w:szCs w:val="22"/>
              </w:rPr>
            </w:pPr>
            <w:r w:rsidRPr="00647C63">
              <w:rPr>
                <w:rFonts w:cstheme="minorHAnsi"/>
                <w:color w:val="000000"/>
                <w:sz w:val="22"/>
                <w:szCs w:val="22"/>
              </w:rPr>
              <w:t>SPMD</w:t>
            </w:r>
          </w:p>
        </w:tc>
        <w:tc>
          <w:tcPr>
            <w:tcW w:w="8387" w:type="dxa"/>
            <w:tcBorders>
              <w:top w:val="nil"/>
              <w:left w:val="nil"/>
              <w:bottom w:val="nil"/>
              <w:right w:val="nil"/>
            </w:tcBorders>
            <w:shd w:val="clear" w:color="auto" w:fill="auto"/>
            <w:noWrap/>
            <w:vAlign w:val="bottom"/>
            <w:hideMark/>
          </w:tcPr>
          <w:p w14:paraId="21E00B9D"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Semipermeable Membrane Device </w:t>
            </w:r>
          </w:p>
        </w:tc>
      </w:tr>
      <w:tr w:rsidR="00575B49" w:rsidRPr="0087475A" w14:paraId="31A4B9B9" w14:textId="77777777" w:rsidTr="00122EDA">
        <w:trPr>
          <w:trHeight w:val="255"/>
        </w:trPr>
        <w:tc>
          <w:tcPr>
            <w:tcW w:w="1353" w:type="dxa"/>
            <w:tcBorders>
              <w:top w:val="nil"/>
              <w:left w:val="nil"/>
              <w:bottom w:val="nil"/>
              <w:right w:val="nil"/>
            </w:tcBorders>
            <w:shd w:val="clear" w:color="auto" w:fill="auto"/>
            <w:noWrap/>
            <w:vAlign w:val="bottom"/>
            <w:hideMark/>
          </w:tcPr>
          <w:p w14:paraId="11D57B42" w14:textId="77777777" w:rsidR="00575B49" w:rsidRPr="00647C63" w:rsidRDefault="00575B49">
            <w:pPr>
              <w:rPr>
                <w:rFonts w:cstheme="minorHAnsi"/>
                <w:color w:val="000000"/>
                <w:sz w:val="22"/>
                <w:szCs w:val="22"/>
              </w:rPr>
            </w:pPr>
            <w:r w:rsidRPr="00647C63">
              <w:rPr>
                <w:rFonts w:cstheme="minorHAnsi"/>
                <w:color w:val="000000"/>
                <w:sz w:val="22"/>
                <w:szCs w:val="22"/>
              </w:rPr>
              <w:t>SQT</w:t>
            </w:r>
          </w:p>
        </w:tc>
        <w:tc>
          <w:tcPr>
            <w:tcW w:w="8387" w:type="dxa"/>
            <w:tcBorders>
              <w:top w:val="nil"/>
              <w:left w:val="nil"/>
              <w:bottom w:val="nil"/>
              <w:right w:val="nil"/>
            </w:tcBorders>
            <w:shd w:val="clear" w:color="auto" w:fill="auto"/>
            <w:noWrap/>
            <w:vAlign w:val="bottom"/>
            <w:hideMark/>
          </w:tcPr>
          <w:p w14:paraId="45E65DAE"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Sediment Quality Triad </w:t>
            </w:r>
          </w:p>
        </w:tc>
      </w:tr>
      <w:tr w:rsidR="00575B49" w:rsidRPr="0087475A" w14:paraId="46F14BCA" w14:textId="77777777" w:rsidTr="00122EDA">
        <w:trPr>
          <w:trHeight w:val="255"/>
        </w:trPr>
        <w:tc>
          <w:tcPr>
            <w:tcW w:w="1353" w:type="dxa"/>
            <w:tcBorders>
              <w:top w:val="nil"/>
              <w:left w:val="nil"/>
              <w:bottom w:val="nil"/>
              <w:right w:val="nil"/>
            </w:tcBorders>
            <w:shd w:val="clear" w:color="auto" w:fill="auto"/>
            <w:noWrap/>
            <w:vAlign w:val="bottom"/>
            <w:hideMark/>
          </w:tcPr>
          <w:p w14:paraId="1775BC0F" w14:textId="77777777" w:rsidR="00575B49" w:rsidRPr="00647C63" w:rsidRDefault="00575B49">
            <w:pPr>
              <w:rPr>
                <w:rFonts w:cstheme="minorHAnsi"/>
                <w:color w:val="000000"/>
                <w:sz w:val="22"/>
                <w:szCs w:val="22"/>
              </w:rPr>
            </w:pPr>
            <w:r w:rsidRPr="00647C63">
              <w:rPr>
                <w:rFonts w:cstheme="minorHAnsi"/>
                <w:color w:val="000000"/>
                <w:sz w:val="22"/>
                <w:szCs w:val="22"/>
              </w:rPr>
              <w:t>SRP</w:t>
            </w:r>
          </w:p>
        </w:tc>
        <w:tc>
          <w:tcPr>
            <w:tcW w:w="8387" w:type="dxa"/>
            <w:tcBorders>
              <w:top w:val="nil"/>
              <w:left w:val="nil"/>
              <w:bottom w:val="nil"/>
              <w:right w:val="nil"/>
            </w:tcBorders>
            <w:shd w:val="clear" w:color="auto" w:fill="auto"/>
            <w:noWrap/>
            <w:vAlign w:val="bottom"/>
            <w:hideMark/>
          </w:tcPr>
          <w:p w14:paraId="1ABC5ABA"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Soluble Reactive Phosphorus </w:t>
            </w:r>
          </w:p>
        </w:tc>
      </w:tr>
      <w:tr w:rsidR="00575B49" w:rsidRPr="0087475A" w14:paraId="588D2715" w14:textId="77777777" w:rsidTr="00122EDA">
        <w:trPr>
          <w:trHeight w:val="255"/>
        </w:trPr>
        <w:tc>
          <w:tcPr>
            <w:tcW w:w="1353" w:type="dxa"/>
            <w:tcBorders>
              <w:top w:val="nil"/>
              <w:left w:val="nil"/>
              <w:bottom w:val="nil"/>
              <w:right w:val="nil"/>
            </w:tcBorders>
            <w:shd w:val="clear" w:color="auto" w:fill="auto"/>
            <w:noWrap/>
            <w:vAlign w:val="bottom"/>
            <w:hideMark/>
          </w:tcPr>
          <w:p w14:paraId="31F56365" w14:textId="77777777" w:rsidR="00575B49" w:rsidRPr="00647C63" w:rsidRDefault="00575B49">
            <w:pPr>
              <w:rPr>
                <w:rFonts w:cstheme="minorHAnsi"/>
                <w:color w:val="000000"/>
                <w:sz w:val="22"/>
                <w:szCs w:val="22"/>
              </w:rPr>
            </w:pPr>
            <w:r w:rsidRPr="00647C63">
              <w:rPr>
                <w:rFonts w:cstheme="minorHAnsi"/>
                <w:color w:val="000000"/>
                <w:sz w:val="22"/>
                <w:szCs w:val="22"/>
              </w:rPr>
              <w:t>STORET</w:t>
            </w:r>
          </w:p>
        </w:tc>
        <w:tc>
          <w:tcPr>
            <w:tcW w:w="8387" w:type="dxa"/>
            <w:tcBorders>
              <w:top w:val="nil"/>
              <w:left w:val="nil"/>
              <w:bottom w:val="nil"/>
              <w:right w:val="nil"/>
            </w:tcBorders>
            <w:shd w:val="clear" w:color="auto" w:fill="auto"/>
            <w:noWrap/>
            <w:vAlign w:val="bottom"/>
            <w:hideMark/>
          </w:tcPr>
          <w:p w14:paraId="2DF2D975" w14:textId="77777777" w:rsidR="00575B49" w:rsidRPr="00647C63" w:rsidRDefault="00575B49">
            <w:pPr>
              <w:rPr>
                <w:rFonts w:cstheme="minorHAnsi"/>
                <w:color w:val="000000"/>
                <w:sz w:val="22"/>
                <w:szCs w:val="22"/>
              </w:rPr>
            </w:pPr>
            <w:r w:rsidRPr="00647C63">
              <w:rPr>
                <w:rFonts w:cstheme="minorHAnsi"/>
                <w:color w:val="000000"/>
                <w:sz w:val="22"/>
                <w:szCs w:val="22"/>
              </w:rPr>
              <w:t>U.S. EPA Storage and retrial data repository</w:t>
            </w:r>
          </w:p>
        </w:tc>
      </w:tr>
      <w:tr w:rsidR="00575B49" w:rsidRPr="0087475A" w14:paraId="56041451" w14:textId="77777777" w:rsidTr="00122EDA">
        <w:trPr>
          <w:trHeight w:val="255"/>
        </w:trPr>
        <w:tc>
          <w:tcPr>
            <w:tcW w:w="1353" w:type="dxa"/>
            <w:tcBorders>
              <w:top w:val="nil"/>
              <w:left w:val="nil"/>
              <w:bottom w:val="nil"/>
              <w:right w:val="nil"/>
            </w:tcBorders>
            <w:shd w:val="clear" w:color="auto" w:fill="auto"/>
            <w:noWrap/>
            <w:vAlign w:val="bottom"/>
            <w:hideMark/>
          </w:tcPr>
          <w:p w14:paraId="3A2138B4" w14:textId="77777777" w:rsidR="00575B49" w:rsidRPr="00647C63" w:rsidRDefault="00575B49">
            <w:pPr>
              <w:rPr>
                <w:rFonts w:cstheme="minorHAnsi"/>
                <w:color w:val="000000"/>
                <w:sz w:val="22"/>
                <w:szCs w:val="22"/>
              </w:rPr>
            </w:pPr>
            <w:r w:rsidRPr="00647C63">
              <w:rPr>
                <w:rFonts w:cstheme="minorHAnsi"/>
                <w:color w:val="000000"/>
                <w:sz w:val="22"/>
                <w:szCs w:val="22"/>
              </w:rPr>
              <w:t>STV</w:t>
            </w:r>
          </w:p>
        </w:tc>
        <w:tc>
          <w:tcPr>
            <w:tcW w:w="8387" w:type="dxa"/>
            <w:tcBorders>
              <w:top w:val="nil"/>
              <w:left w:val="nil"/>
              <w:bottom w:val="nil"/>
              <w:right w:val="nil"/>
            </w:tcBorders>
            <w:shd w:val="clear" w:color="auto" w:fill="auto"/>
            <w:noWrap/>
            <w:vAlign w:val="bottom"/>
            <w:hideMark/>
          </w:tcPr>
          <w:p w14:paraId="278936B2"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Statistical Threshold Value </w:t>
            </w:r>
          </w:p>
        </w:tc>
      </w:tr>
      <w:tr w:rsidR="00575B49" w:rsidRPr="0087475A" w14:paraId="1AB60E66" w14:textId="77777777" w:rsidTr="00122EDA">
        <w:trPr>
          <w:trHeight w:val="255"/>
        </w:trPr>
        <w:tc>
          <w:tcPr>
            <w:tcW w:w="1353" w:type="dxa"/>
            <w:tcBorders>
              <w:top w:val="nil"/>
              <w:left w:val="nil"/>
              <w:bottom w:val="nil"/>
              <w:right w:val="nil"/>
            </w:tcBorders>
            <w:shd w:val="clear" w:color="auto" w:fill="auto"/>
            <w:noWrap/>
            <w:vAlign w:val="bottom"/>
            <w:hideMark/>
          </w:tcPr>
          <w:p w14:paraId="758C5677" w14:textId="77777777" w:rsidR="00575B49" w:rsidRPr="00647C63" w:rsidRDefault="00575B49">
            <w:pPr>
              <w:rPr>
                <w:rFonts w:cstheme="minorHAnsi"/>
                <w:color w:val="000000"/>
                <w:sz w:val="22"/>
                <w:szCs w:val="22"/>
              </w:rPr>
            </w:pPr>
            <w:r w:rsidRPr="00647C63">
              <w:rPr>
                <w:rFonts w:cstheme="minorHAnsi"/>
                <w:color w:val="000000"/>
                <w:sz w:val="22"/>
                <w:szCs w:val="22"/>
              </w:rPr>
              <w:t>TDS</w:t>
            </w:r>
          </w:p>
        </w:tc>
        <w:tc>
          <w:tcPr>
            <w:tcW w:w="8387" w:type="dxa"/>
            <w:tcBorders>
              <w:top w:val="nil"/>
              <w:left w:val="nil"/>
              <w:bottom w:val="nil"/>
              <w:right w:val="nil"/>
            </w:tcBorders>
            <w:shd w:val="clear" w:color="auto" w:fill="auto"/>
            <w:noWrap/>
            <w:vAlign w:val="bottom"/>
            <w:hideMark/>
          </w:tcPr>
          <w:p w14:paraId="23DE1AC7" w14:textId="77777777" w:rsidR="00575B49" w:rsidRPr="00647C63" w:rsidRDefault="00575B49">
            <w:pPr>
              <w:rPr>
                <w:rFonts w:cstheme="minorHAnsi"/>
                <w:color w:val="000000"/>
                <w:sz w:val="22"/>
                <w:szCs w:val="22"/>
              </w:rPr>
            </w:pPr>
            <w:r w:rsidRPr="00647C63">
              <w:rPr>
                <w:rFonts w:cstheme="minorHAnsi"/>
                <w:color w:val="000000"/>
                <w:sz w:val="22"/>
                <w:szCs w:val="22"/>
              </w:rPr>
              <w:t>Total Dissolved Solids</w:t>
            </w:r>
          </w:p>
        </w:tc>
      </w:tr>
      <w:tr w:rsidR="00575B49" w:rsidRPr="0087475A" w14:paraId="5CB297AF" w14:textId="77777777" w:rsidTr="00122EDA">
        <w:trPr>
          <w:trHeight w:val="255"/>
        </w:trPr>
        <w:tc>
          <w:tcPr>
            <w:tcW w:w="1353" w:type="dxa"/>
            <w:tcBorders>
              <w:top w:val="nil"/>
              <w:left w:val="nil"/>
              <w:bottom w:val="nil"/>
              <w:right w:val="nil"/>
            </w:tcBorders>
            <w:shd w:val="clear" w:color="auto" w:fill="auto"/>
            <w:noWrap/>
            <w:vAlign w:val="bottom"/>
            <w:hideMark/>
          </w:tcPr>
          <w:p w14:paraId="55532B2E" w14:textId="77777777" w:rsidR="00575B49" w:rsidRPr="00647C63" w:rsidRDefault="00575B49">
            <w:pPr>
              <w:rPr>
                <w:rFonts w:cstheme="minorHAnsi"/>
                <w:color w:val="000000"/>
                <w:sz w:val="22"/>
                <w:szCs w:val="22"/>
              </w:rPr>
            </w:pPr>
            <w:r w:rsidRPr="00647C63">
              <w:rPr>
                <w:rFonts w:cstheme="minorHAnsi"/>
                <w:color w:val="000000"/>
                <w:sz w:val="22"/>
                <w:szCs w:val="22"/>
              </w:rPr>
              <w:t>TMDL</w:t>
            </w:r>
          </w:p>
        </w:tc>
        <w:tc>
          <w:tcPr>
            <w:tcW w:w="8387" w:type="dxa"/>
            <w:tcBorders>
              <w:top w:val="nil"/>
              <w:left w:val="nil"/>
              <w:bottom w:val="nil"/>
              <w:right w:val="nil"/>
            </w:tcBorders>
            <w:shd w:val="clear" w:color="auto" w:fill="auto"/>
            <w:noWrap/>
            <w:vAlign w:val="bottom"/>
            <w:hideMark/>
          </w:tcPr>
          <w:p w14:paraId="72AC7287" w14:textId="77777777" w:rsidR="00575B49" w:rsidRPr="00647C63" w:rsidRDefault="00575B49">
            <w:pPr>
              <w:rPr>
                <w:rFonts w:cstheme="minorHAnsi"/>
                <w:color w:val="000000"/>
                <w:sz w:val="22"/>
                <w:szCs w:val="22"/>
              </w:rPr>
            </w:pPr>
            <w:r w:rsidRPr="00647C63">
              <w:rPr>
                <w:rFonts w:cstheme="minorHAnsi"/>
                <w:color w:val="000000"/>
                <w:sz w:val="22"/>
                <w:szCs w:val="22"/>
              </w:rPr>
              <w:t>Total Maximum Daily Load</w:t>
            </w:r>
          </w:p>
        </w:tc>
      </w:tr>
      <w:tr w:rsidR="00575B49" w:rsidRPr="0087475A" w14:paraId="6548CCE9" w14:textId="77777777" w:rsidTr="00122EDA">
        <w:trPr>
          <w:trHeight w:val="255"/>
        </w:trPr>
        <w:tc>
          <w:tcPr>
            <w:tcW w:w="1353" w:type="dxa"/>
            <w:tcBorders>
              <w:top w:val="nil"/>
              <w:left w:val="nil"/>
              <w:bottom w:val="nil"/>
              <w:right w:val="nil"/>
            </w:tcBorders>
            <w:shd w:val="clear" w:color="auto" w:fill="auto"/>
            <w:noWrap/>
            <w:vAlign w:val="bottom"/>
            <w:hideMark/>
          </w:tcPr>
          <w:p w14:paraId="4A71EB1E" w14:textId="77777777" w:rsidR="00575B49" w:rsidRPr="00647C63" w:rsidRDefault="00575B49">
            <w:pPr>
              <w:rPr>
                <w:rFonts w:cstheme="minorHAnsi"/>
                <w:color w:val="000000"/>
                <w:sz w:val="22"/>
                <w:szCs w:val="22"/>
              </w:rPr>
            </w:pPr>
            <w:r w:rsidRPr="00647C63">
              <w:rPr>
                <w:rFonts w:cstheme="minorHAnsi"/>
                <w:color w:val="000000"/>
                <w:sz w:val="22"/>
                <w:szCs w:val="22"/>
              </w:rPr>
              <w:t>USGS</w:t>
            </w:r>
          </w:p>
        </w:tc>
        <w:tc>
          <w:tcPr>
            <w:tcW w:w="8387" w:type="dxa"/>
            <w:tcBorders>
              <w:top w:val="nil"/>
              <w:left w:val="nil"/>
              <w:bottom w:val="nil"/>
              <w:right w:val="nil"/>
            </w:tcBorders>
            <w:shd w:val="clear" w:color="auto" w:fill="auto"/>
            <w:noWrap/>
            <w:vAlign w:val="bottom"/>
            <w:hideMark/>
          </w:tcPr>
          <w:p w14:paraId="0F55AFE0" w14:textId="77777777" w:rsidR="00575B49" w:rsidRPr="00647C63" w:rsidRDefault="00575B49">
            <w:pPr>
              <w:rPr>
                <w:rFonts w:cstheme="minorHAnsi"/>
                <w:color w:val="000000"/>
                <w:sz w:val="22"/>
                <w:szCs w:val="22"/>
              </w:rPr>
            </w:pPr>
            <w:r w:rsidRPr="00647C63">
              <w:rPr>
                <w:rFonts w:cstheme="minorHAnsi"/>
                <w:color w:val="000000"/>
                <w:sz w:val="22"/>
                <w:szCs w:val="22"/>
              </w:rPr>
              <w:t>United States Geological Survey</w:t>
            </w:r>
          </w:p>
        </w:tc>
      </w:tr>
      <w:tr w:rsidR="00575B49" w:rsidRPr="0087475A" w14:paraId="78640540" w14:textId="77777777" w:rsidTr="00122EDA">
        <w:trPr>
          <w:trHeight w:val="255"/>
        </w:trPr>
        <w:tc>
          <w:tcPr>
            <w:tcW w:w="1353" w:type="dxa"/>
            <w:tcBorders>
              <w:top w:val="nil"/>
              <w:left w:val="nil"/>
              <w:bottom w:val="nil"/>
              <w:right w:val="nil"/>
            </w:tcBorders>
            <w:shd w:val="clear" w:color="auto" w:fill="auto"/>
            <w:noWrap/>
            <w:vAlign w:val="bottom"/>
            <w:hideMark/>
          </w:tcPr>
          <w:p w14:paraId="34E9EAC0" w14:textId="77777777" w:rsidR="00575B49" w:rsidRPr="00647C63" w:rsidRDefault="00575B49">
            <w:pPr>
              <w:rPr>
                <w:rFonts w:cstheme="minorHAnsi"/>
                <w:color w:val="000000"/>
                <w:sz w:val="22"/>
                <w:szCs w:val="22"/>
              </w:rPr>
            </w:pPr>
            <w:r w:rsidRPr="00647C63">
              <w:rPr>
                <w:rFonts w:cstheme="minorHAnsi"/>
                <w:color w:val="000000"/>
                <w:sz w:val="22"/>
                <w:szCs w:val="22"/>
              </w:rPr>
              <w:t>VCPMI</w:t>
            </w:r>
          </w:p>
        </w:tc>
        <w:tc>
          <w:tcPr>
            <w:tcW w:w="8387" w:type="dxa"/>
            <w:tcBorders>
              <w:top w:val="nil"/>
              <w:left w:val="nil"/>
              <w:bottom w:val="nil"/>
              <w:right w:val="nil"/>
            </w:tcBorders>
            <w:shd w:val="clear" w:color="auto" w:fill="auto"/>
            <w:noWrap/>
            <w:vAlign w:val="bottom"/>
            <w:hideMark/>
          </w:tcPr>
          <w:p w14:paraId="0CDF9501"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Virginia Coastal Plain Macroinvertebrate Index </w:t>
            </w:r>
          </w:p>
        </w:tc>
      </w:tr>
      <w:tr w:rsidR="00575B49" w:rsidRPr="0087475A" w14:paraId="69C085DA" w14:textId="77777777" w:rsidTr="00122EDA">
        <w:trPr>
          <w:trHeight w:val="255"/>
        </w:trPr>
        <w:tc>
          <w:tcPr>
            <w:tcW w:w="1353" w:type="dxa"/>
            <w:tcBorders>
              <w:top w:val="nil"/>
              <w:left w:val="nil"/>
              <w:bottom w:val="nil"/>
              <w:right w:val="nil"/>
            </w:tcBorders>
            <w:shd w:val="clear" w:color="auto" w:fill="auto"/>
            <w:noWrap/>
            <w:vAlign w:val="bottom"/>
            <w:hideMark/>
          </w:tcPr>
          <w:p w14:paraId="302A69CD" w14:textId="77777777" w:rsidR="00575B49" w:rsidRPr="00647C63" w:rsidRDefault="00575B49">
            <w:pPr>
              <w:rPr>
                <w:rFonts w:cstheme="minorHAnsi"/>
                <w:color w:val="000000"/>
                <w:sz w:val="22"/>
                <w:szCs w:val="22"/>
              </w:rPr>
            </w:pPr>
            <w:r w:rsidRPr="00647C63">
              <w:rPr>
                <w:rFonts w:cstheme="minorHAnsi"/>
                <w:color w:val="000000"/>
                <w:sz w:val="22"/>
                <w:szCs w:val="22"/>
              </w:rPr>
              <w:t>VCRT</w:t>
            </w:r>
          </w:p>
        </w:tc>
        <w:tc>
          <w:tcPr>
            <w:tcW w:w="8387" w:type="dxa"/>
            <w:tcBorders>
              <w:top w:val="nil"/>
              <w:left w:val="nil"/>
              <w:bottom w:val="nil"/>
              <w:right w:val="nil"/>
            </w:tcBorders>
            <w:shd w:val="clear" w:color="auto" w:fill="auto"/>
            <w:noWrap/>
            <w:vAlign w:val="bottom"/>
            <w:hideMark/>
          </w:tcPr>
          <w:p w14:paraId="6629B98F" w14:textId="77777777" w:rsidR="00575B49" w:rsidRPr="00647C63" w:rsidRDefault="00575B49">
            <w:pPr>
              <w:rPr>
                <w:rFonts w:cstheme="minorHAnsi"/>
                <w:color w:val="000000"/>
                <w:sz w:val="22"/>
                <w:szCs w:val="22"/>
              </w:rPr>
            </w:pPr>
            <w:r w:rsidRPr="00647C63">
              <w:rPr>
                <w:rFonts w:cstheme="minorHAnsi"/>
                <w:color w:val="000000"/>
                <w:sz w:val="22"/>
                <w:szCs w:val="22"/>
              </w:rPr>
              <w:t>Virginia Coastal Resources Tool</w:t>
            </w:r>
          </w:p>
        </w:tc>
      </w:tr>
      <w:tr w:rsidR="00764D76" w:rsidRPr="0087475A" w14:paraId="47E08FA5" w14:textId="77777777" w:rsidTr="00122EDA">
        <w:trPr>
          <w:trHeight w:val="255"/>
        </w:trPr>
        <w:tc>
          <w:tcPr>
            <w:tcW w:w="1353" w:type="dxa"/>
            <w:tcBorders>
              <w:top w:val="nil"/>
              <w:left w:val="nil"/>
              <w:bottom w:val="nil"/>
              <w:right w:val="nil"/>
            </w:tcBorders>
            <w:shd w:val="clear" w:color="auto" w:fill="auto"/>
            <w:noWrap/>
            <w:vAlign w:val="bottom"/>
          </w:tcPr>
          <w:p w14:paraId="3BAE47C6" w14:textId="4CA2D38B" w:rsidR="00764D76" w:rsidRPr="00647C63" w:rsidRDefault="00764D76">
            <w:pPr>
              <w:rPr>
                <w:rFonts w:cstheme="minorHAnsi"/>
                <w:color w:val="000000"/>
                <w:sz w:val="22"/>
                <w:szCs w:val="22"/>
              </w:rPr>
            </w:pPr>
            <w:r w:rsidRPr="00647C63">
              <w:rPr>
                <w:rFonts w:cstheme="minorHAnsi"/>
                <w:color w:val="000000"/>
                <w:sz w:val="22"/>
                <w:szCs w:val="22"/>
              </w:rPr>
              <w:t>VDE</w:t>
            </w:r>
          </w:p>
        </w:tc>
        <w:tc>
          <w:tcPr>
            <w:tcW w:w="8387" w:type="dxa"/>
            <w:tcBorders>
              <w:top w:val="nil"/>
              <w:left w:val="nil"/>
              <w:bottom w:val="nil"/>
              <w:right w:val="nil"/>
            </w:tcBorders>
            <w:shd w:val="clear" w:color="auto" w:fill="auto"/>
            <w:noWrap/>
            <w:vAlign w:val="bottom"/>
          </w:tcPr>
          <w:p w14:paraId="28044BE6" w14:textId="028BC305" w:rsidR="00764D76" w:rsidRPr="00647C63" w:rsidRDefault="00764D76">
            <w:pPr>
              <w:rPr>
                <w:rFonts w:cstheme="minorHAnsi"/>
                <w:color w:val="000000"/>
                <w:sz w:val="22"/>
                <w:szCs w:val="22"/>
              </w:rPr>
            </w:pPr>
            <w:r w:rsidRPr="00647C63">
              <w:rPr>
                <w:rFonts w:cstheme="minorHAnsi"/>
                <w:color w:val="000000"/>
                <w:sz w:val="22"/>
                <w:szCs w:val="22"/>
              </w:rPr>
              <w:t>Virginia Data Explorer</w:t>
            </w:r>
          </w:p>
        </w:tc>
      </w:tr>
      <w:tr w:rsidR="00575B49" w:rsidRPr="0087475A" w14:paraId="29FD6415" w14:textId="77777777" w:rsidTr="00122EDA">
        <w:trPr>
          <w:trHeight w:val="255"/>
        </w:trPr>
        <w:tc>
          <w:tcPr>
            <w:tcW w:w="1353" w:type="dxa"/>
            <w:tcBorders>
              <w:top w:val="nil"/>
              <w:left w:val="nil"/>
              <w:bottom w:val="nil"/>
              <w:right w:val="nil"/>
            </w:tcBorders>
            <w:shd w:val="clear" w:color="auto" w:fill="auto"/>
            <w:noWrap/>
            <w:vAlign w:val="bottom"/>
            <w:hideMark/>
          </w:tcPr>
          <w:p w14:paraId="19DBF369" w14:textId="77777777" w:rsidR="00575B49" w:rsidRPr="00647C63" w:rsidRDefault="00575B49">
            <w:pPr>
              <w:rPr>
                <w:rFonts w:cstheme="minorHAnsi"/>
                <w:color w:val="000000"/>
                <w:sz w:val="22"/>
                <w:szCs w:val="22"/>
              </w:rPr>
            </w:pPr>
            <w:r w:rsidRPr="00647C63">
              <w:rPr>
                <w:rFonts w:cstheme="minorHAnsi"/>
                <w:color w:val="000000"/>
                <w:sz w:val="22"/>
                <w:szCs w:val="22"/>
              </w:rPr>
              <w:t>VDH</w:t>
            </w:r>
          </w:p>
        </w:tc>
        <w:tc>
          <w:tcPr>
            <w:tcW w:w="8387" w:type="dxa"/>
            <w:tcBorders>
              <w:top w:val="nil"/>
              <w:left w:val="nil"/>
              <w:bottom w:val="nil"/>
              <w:right w:val="nil"/>
            </w:tcBorders>
            <w:shd w:val="clear" w:color="auto" w:fill="auto"/>
            <w:noWrap/>
            <w:vAlign w:val="bottom"/>
            <w:hideMark/>
          </w:tcPr>
          <w:p w14:paraId="2615B63F" w14:textId="77777777" w:rsidR="00575B49" w:rsidRPr="00647C63" w:rsidRDefault="00575B49">
            <w:pPr>
              <w:rPr>
                <w:rFonts w:cstheme="minorHAnsi"/>
                <w:color w:val="000000"/>
                <w:sz w:val="22"/>
                <w:szCs w:val="22"/>
              </w:rPr>
            </w:pPr>
            <w:r w:rsidRPr="00647C63">
              <w:rPr>
                <w:rFonts w:cstheme="minorHAnsi"/>
                <w:color w:val="000000"/>
                <w:sz w:val="22"/>
                <w:szCs w:val="22"/>
              </w:rPr>
              <w:t>Virginia Department of Health</w:t>
            </w:r>
          </w:p>
        </w:tc>
      </w:tr>
      <w:tr w:rsidR="00575B49" w:rsidRPr="0087475A" w14:paraId="5EC42ABC" w14:textId="77777777" w:rsidTr="00122EDA">
        <w:trPr>
          <w:trHeight w:val="255"/>
        </w:trPr>
        <w:tc>
          <w:tcPr>
            <w:tcW w:w="1353" w:type="dxa"/>
            <w:tcBorders>
              <w:top w:val="nil"/>
              <w:left w:val="nil"/>
              <w:bottom w:val="nil"/>
              <w:right w:val="nil"/>
            </w:tcBorders>
            <w:shd w:val="clear" w:color="auto" w:fill="auto"/>
            <w:noWrap/>
            <w:vAlign w:val="bottom"/>
            <w:hideMark/>
          </w:tcPr>
          <w:p w14:paraId="78F54142" w14:textId="77777777" w:rsidR="00575B49" w:rsidRPr="00647C63" w:rsidRDefault="00575B49">
            <w:pPr>
              <w:rPr>
                <w:rFonts w:cstheme="minorHAnsi"/>
                <w:color w:val="000000"/>
                <w:sz w:val="22"/>
                <w:szCs w:val="22"/>
              </w:rPr>
            </w:pPr>
            <w:r w:rsidRPr="00647C63">
              <w:rPr>
                <w:rFonts w:cstheme="minorHAnsi"/>
                <w:color w:val="000000"/>
                <w:sz w:val="22"/>
                <w:szCs w:val="22"/>
              </w:rPr>
              <w:t>VECOS</w:t>
            </w:r>
          </w:p>
        </w:tc>
        <w:tc>
          <w:tcPr>
            <w:tcW w:w="8387" w:type="dxa"/>
            <w:tcBorders>
              <w:top w:val="nil"/>
              <w:left w:val="nil"/>
              <w:bottom w:val="nil"/>
              <w:right w:val="nil"/>
            </w:tcBorders>
            <w:shd w:val="clear" w:color="auto" w:fill="auto"/>
            <w:noWrap/>
            <w:vAlign w:val="bottom"/>
            <w:hideMark/>
          </w:tcPr>
          <w:p w14:paraId="73D573B0"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Virginia Estuarine and Coastal Observing System </w:t>
            </w:r>
          </w:p>
        </w:tc>
      </w:tr>
      <w:tr w:rsidR="00575B49" w:rsidRPr="0087475A" w14:paraId="2EC66516" w14:textId="77777777" w:rsidTr="00122EDA">
        <w:trPr>
          <w:trHeight w:val="255"/>
        </w:trPr>
        <w:tc>
          <w:tcPr>
            <w:tcW w:w="1353" w:type="dxa"/>
            <w:tcBorders>
              <w:top w:val="nil"/>
              <w:left w:val="nil"/>
              <w:bottom w:val="nil"/>
              <w:right w:val="nil"/>
            </w:tcBorders>
            <w:shd w:val="clear" w:color="auto" w:fill="auto"/>
            <w:noWrap/>
            <w:vAlign w:val="bottom"/>
            <w:hideMark/>
          </w:tcPr>
          <w:p w14:paraId="022C7102" w14:textId="77777777" w:rsidR="00575B49" w:rsidRPr="00647C63" w:rsidRDefault="00575B49">
            <w:pPr>
              <w:rPr>
                <w:rFonts w:cstheme="minorHAnsi"/>
                <w:color w:val="000000"/>
                <w:sz w:val="22"/>
                <w:szCs w:val="22"/>
              </w:rPr>
            </w:pPr>
            <w:r w:rsidRPr="00647C63">
              <w:rPr>
                <w:rFonts w:cstheme="minorHAnsi"/>
                <w:color w:val="000000"/>
                <w:sz w:val="22"/>
                <w:szCs w:val="22"/>
              </w:rPr>
              <w:t>VPA</w:t>
            </w:r>
          </w:p>
        </w:tc>
        <w:tc>
          <w:tcPr>
            <w:tcW w:w="8387" w:type="dxa"/>
            <w:tcBorders>
              <w:top w:val="nil"/>
              <w:left w:val="nil"/>
              <w:bottom w:val="nil"/>
              <w:right w:val="nil"/>
            </w:tcBorders>
            <w:shd w:val="clear" w:color="auto" w:fill="auto"/>
            <w:noWrap/>
            <w:vAlign w:val="bottom"/>
            <w:hideMark/>
          </w:tcPr>
          <w:p w14:paraId="7DF80435"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Virginia Pollution Abatement Program </w:t>
            </w:r>
          </w:p>
        </w:tc>
      </w:tr>
      <w:tr w:rsidR="00575B49" w:rsidRPr="0087475A" w14:paraId="76F97431" w14:textId="77777777" w:rsidTr="00122EDA">
        <w:trPr>
          <w:trHeight w:val="255"/>
        </w:trPr>
        <w:tc>
          <w:tcPr>
            <w:tcW w:w="1353" w:type="dxa"/>
            <w:tcBorders>
              <w:top w:val="nil"/>
              <w:left w:val="nil"/>
              <w:bottom w:val="nil"/>
              <w:right w:val="nil"/>
            </w:tcBorders>
            <w:shd w:val="clear" w:color="auto" w:fill="auto"/>
            <w:noWrap/>
            <w:vAlign w:val="bottom"/>
            <w:hideMark/>
          </w:tcPr>
          <w:p w14:paraId="0C20C2E7" w14:textId="77777777" w:rsidR="00575B49" w:rsidRPr="00647C63" w:rsidRDefault="00575B49">
            <w:pPr>
              <w:rPr>
                <w:rFonts w:cstheme="minorHAnsi"/>
                <w:color w:val="000000"/>
                <w:sz w:val="22"/>
                <w:szCs w:val="22"/>
              </w:rPr>
            </w:pPr>
            <w:r w:rsidRPr="00647C63">
              <w:rPr>
                <w:rFonts w:cstheme="minorHAnsi"/>
                <w:color w:val="000000"/>
                <w:sz w:val="22"/>
                <w:szCs w:val="22"/>
              </w:rPr>
              <w:t>VPDES</w:t>
            </w:r>
          </w:p>
        </w:tc>
        <w:tc>
          <w:tcPr>
            <w:tcW w:w="8387" w:type="dxa"/>
            <w:tcBorders>
              <w:top w:val="nil"/>
              <w:left w:val="nil"/>
              <w:bottom w:val="nil"/>
              <w:right w:val="nil"/>
            </w:tcBorders>
            <w:shd w:val="clear" w:color="auto" w:fill="auto"/>
            <w:noWrap/>
            <w:vAlign w:val="bottom"/>
            <w:hideMark/>
          </w:tcPr>
          <w:p w14:paraId="5FE1DD73" w14:textId="77777777" w:rsidR="00575B49" w:rsidRPr="00647C63" w:rsidRDefault="00575B49">
            <w:pPr>
              <w:rPr>
                <w:rFonts w:cstheme="minorHAnsi"/>
                <w:color w:val="000000"/>
                <w:sz w:val="22"/>
                <w:szCs w:val="22"/>
              </w:rPr>
            </w:pPr>
            <w:r w:rsidRPr="00647C63">
              <w:rPr>
                <w:rFonts w:cstheme="minorHAnsi"/>
                <w:color w:val="000000"/>
                <w:sz w:val="22"/>
                <w:szCs w:val="22"/>
              </w:rPr>
              <w:t>Virginia Pollution Discharge Elimination System</w:t>
            </w:r>
          </w:p>
        </w:tc>
      </w:tr>
      <w:tr w:rsidR="00575B49" w:rsidRPr="0087475A" w14:paraId="15117ED4" w14:textId="77777777" w:rsidTr="00122EDA">
        <w:trPr>
          <w:trHeight w:val="255"/>
        </w:trPr>
        <w:tc>
          <w:tcPr>
            <w:tcW w:w="1353" w:type="dxa"/>
            <w:tcBorders>
              <w:top w:val="nil"/>
              <w:left w:val="nil"/>
              <w:bottom w:val="nil"/>
              <w:right w:val="nil"/>
            </w:tcBorders>
            <w:shd w:val="clear" w:color="auto" w:fill="auto"/>
            <w:noWrap/>
            <w:vAlign w:val="bottom"/>
            <w:hideMark/>
          </w:tcPr>
          <w:p w14:paraId="5AEB7FD3" w14:textId="77777777" w:rsidR="00575B49" w:rsidRPr="00647C63" w:rsidRDefault="00575B49">
            <w:pPr>
              <w:rPr>
                <w:rFonts w:cstheme="minorHAnsi"/>
                <w:color w:val="000000"/>
                <w:sz w:val="22"/>
                <w:szCs w:val="22"/>
              </w:rPr>
            </w:pPr>
            <w:r w:rsidRPr="00647C63">
              <w:rPr>
                <w:rFonts w:cstheme="minorHAnsi"/>
                <w:color w:val="000000"/>
                <w:sz w:val="22"/>
                <w:szCs w:val="22"/>
              </w:rPr>
              <w:t>VSCI</w:t>
            </w:r>
          </w:p>
        </w:tc>
        <w:tc>
          <w:tcPr>
            <w:tcW w:w="8387" w:type="dxa"/>
            <w:tcBorders>
              <w:top w:val="nil"/>
              <w:left w:val="nil"/>
              <w:bottom w:val="nil"/>
              <w:right w:val="nil"/>
            </w:tcBorders>
            <w:shd w:val="clear" w:color="auto" w:fill="auto"/>
            <w:noWrap/>
            <w:vAlign w:val="bottom"/>
            <w:hideMark/>
          </w:tcPr>
          <w:p w14:paraId="17939D98"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Virginia Stream Condition Index </w:t>
            </w:r>
          </w:p>
        </w:tc>
      </w:tr>
      <w:tr w:rsidR="00575B49" w:rsidRPr="0087475A" w14:paraId="7BBD80E5" w14:textId="77777777" w:rsidTr="00122EDA">
        <w:trPr>
          <w:trHeight w:val="255"/>
        </w:trPr>
        <w:tc>
          <w:tcPr>
            <w:tcW w:w="1353" w:type="dxa"/>
            <w:tcBorders>
              <w:top w:val="nil"/>
              <w:left w:val="nil"/>
              <w:bottom w:val="nil"/>
              <w:right w:val="nil"/>
            </w:tcBorders>
            <w:shd w:val="clear" w:color="auto" w:fill="auto"/>
            <w:noWrap/>
            <w:vAlign w:val="bottom"/>
            <w:hideMark/>
          </w:tcPr>
          <w:p w14:paraId="5B3B3DBE" w14:textId="77777777" w:rsidR="00575B49" w:rsidRPr="00647C63" w:rsidRDefault="00575B49">
            <w:pPr>
              <w:rPr>
                <w:rFonts w:cstheme="minorHAnsi"/>
                <w:color w:val="000000"/>
                <w:sz w:val="22"/>
                <w:szCs w:val="22"/>
              </w:rPr>
            </w:pPr>
            <w:r w:rsidRPr="00647C63">
              <w:rPr>
                <w:rFonts w:cstheme="minorHAnsi"/>
                <w:color w:val="000000"/>
                <w:sz w:val="22"/>
                <w:szCs w:val="22"/>
              </w:rPr>
              <w:t>VSMP</w:t>
            </w:r>
          </w:p>
        </w:tc>
        <w:tc>
          <w:tcPr>
            <w:tcW w:w="8387" w:type="dxa"/>
            <w:tcBorders>
              <w:top w:val="nil"/>
              <w:left w:val="nil"/>
              <w:bottom w:val="nil"/>
              <w:right w:val="nil"/>
            </w:tcBorders>
            <w:shd w:val="clear" w:color="auto" w:fill="auto"/>
            <w:noWrap/>
            <w:vAlign w:val="bottom"/>
            <w:hideMark/>
          </w:tcPr>
          <w:p w14:paraId="0ABC7ABE"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Virginia Stormwater Management Program </w:t>
            </w:r>
          </w:p>
        </w:tc>
      </w:tr>
      <w:tr w:rsidR="00575B49" w:rsidRPr="0087475A" w14:paraId="78C47A54" w14:textId="77777777" w:rsidTr="00122EDA">
        <w:trPr>
          <w:trHeight w:val="255"/>
        </w:trPr>
        <w:tc>
          <w:tcPr>
            <w:tcW w:w="1353" w:type="dxa"/>
            <w:tcBorders>
              <w:top w:val="nil"/>
              <w:left w:val="nil"/>
              <w:bottom w:val="nil"/>
              <w:right w:val="nil"/>
            </w:tcBorders>
            <w:shd w:val="clear" w:color="auto" w:fill="auto"/>
            <w:noWrap/>
            <w:vAlign w:val="bottom"/>
            <w:hideMark/>
          </w:tcPr>
          <w:p w14:paraId="3006C209" w14:textId="77777777" w:rsidR="00575B49" w:rsidRPr="00647C63" w:rsidRDefault="00575B49">
            <w:pPr>
              <w:rPr>
                <w:rFonts w:cstheme="minorHAnsi"/>
                <w:color w:val="000000"/>
                <w:sz w:val="22"/>
                <w:szCs w:val="22"/>
              </w:rPr>
            </w:pPr>
            <w:r w:rsidRPr="00647C63">
              <w:rPr>
                <w:rFonts w:cstheme="minorHAnsi"/>
                <w:color w:val="000000"/>
                <w:sz w:val="22"/>
                <w:szCs w:val="22"/>
              </w:rPr>
              <w:t>VSWCB</w:t>
            </w:r>
          </w:p>
        </w:tc>
        <w:tc>
          <w:tcPr>
            <w:tcW w:w="8387" w:type="dxa"/>
            <w:tcBorders>
              <w:top w:val="nil"/>
              <w:left w:val="nil"/>
              <w:bottom w:val="nil"/>
              <w:right w:val="nil"/>
            </w:tcBorders>
            <w:shd w:val="clear" w:color="auto" w:fill="auto"/>
            <w:noWrap/>
            <w:vAlign w:val="bottom"/>
            <w:hideMark/>
          </w:tcPr>
          <w:p w14:paraId="0E4E9C07"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Virginia State Water Control Board </w:t>
            </w:r>
          </w:p>
        </w:tc>
      </w:tr>
      <w:tr w:rsidR="00575B49" w:rsidRPr="0087475A" w14:paraId="6078F64C" w14:textId="77777777" w:rsidTr="00122EDA">
        <w:trPr>
          <w:trHeight w:val="255"/>
        </w:trPr>
        <w:tc>
          <w:tcPr>
            <w:tcW w:w="1353" w:type="dxa"/>
            <w:tcBorders>
              <w:top w:val="nil"/>
              <w:left w:val="nil"/>
              <w:bottom w:val="nil"/>
              <w:right w:val="nil"/>
            </w:tcBorders>
            <w:shd w:val="clear" w:color="auto" w:fill="auto"/>
            <w:noWrap/>
            <w:vAlign w:val="bottom"/>
            <w:hideMark/>
          </w:tcPr>
          <w:p w14:paraId="2495D4CA" w14:textId="77777777" w:rsidR="00575B49" w:rsidRPr="00647C63" w:rsidRDefault="00575B49">
            <w:pPr>
              <w:rPr>
                <w:rFonts w:cstheme="minorHAnsi"/>
                <w:color w:val="000000"/>
                <w:sz w:val="22"/>
                <w:szCs w:val="22"/>
              </w:rPr>
            </w:pPr>
            <w:r w:rsidRPr="00647C63">
              <w:rPr>
                <w:rFonts w:cstheme="minorHAnsi"/>
                <w:color w:val="000000"/>
                <w:sz w:val="22"/>
                <w:szCs w:val="22"/>
              </w:rPr>
              <w:t>VWP</w:t>
            </w:r>
          </w:p>
        </w:tc>
        <w:tc>
          <w:tcPr>
            <w:tcW w:w="8387" w:type="dxa"/>
            <w:tcBorders>
              <w:top w:val="nil"/>
              <w:left w:val="nil"/>
              <w:bottom w:val="nil"/>
              <w:right w:val="nil"/>
            </w:tcBorders>
            <w:shd w:val="clear" w:color="auto" w:fill="auto"/>
            <w:noWrap/>
            <w:vAlign w:val="bottom"/>
            <w:hideMark/>
          </w:tcPr>
          <w:p w14:paraId="23110EFE" w14:textId="77777777" w:rsidR="00575B49" w:rsidRPr="00647C63" w:rsidRDefault="00575B49">
            <w:pPr>
              <w:rPr>
                <w:rFonts w:cstheme="minorHAnsi"/>
                <w:color w:val="000000"/>
                <w:sz w:val="22"/>
                <w:szCs w:val="22"/>
              </w:rPr>
            </w:pPr>
            <w:r w:rsidRPr="00647C63">
              <w:rPr>
                <w:rFonts w:cstheme="minorHAnsi"/>
                <w:color w:val="000000"/>
                <w:sz w:val="22"/>
                <w:szCs w:val="22"/>
              </w:rPr>
              <w:t>Virginia Water Protection</w:t>
            </w:r>
          </w:p>
        </w:tc>
      </w:tr>
      <w:tr w:rsidR="00575B49" w:rsidRPr="0087475A" w14:paraId="047AD99C" w14:textId="77777777" w:rsidTr="00122EDA">
        <w:trPr>
          <w:trHeight w:val="255"/>
        </w:trPr>
        <w:tc>
          <w:tcPr>
            <w:tcW w:w="1353" w:type="dxa"/>
            <w:tcBorders>
              <w:top w:val="nil"/>
              <w:left w:val="nil"/>
              <w:bottom w:val="nil"/>
              <w:right w:val="nil"/>
            </w:tcBorders>
            <w:shd w:val="clear" w:color="auto" w:fill="auto"/>
            <w:noWrap/>
            <w:vAlign w:val="bottom"/>
            <w:hideMark/>
          </w:tcPr>
          <w:p w14:paraId="1B8D9B27" w14:textId="77777777" w:rsidR="00575B49" w:rsidRPr="00647C63" w:rsidRDefault="00575B49">
            <w:pPr>
              <w:rPr>
                <w:rFonts w:cstheme="minorHAnsi"/>
                <w:color w:val="000000"/>
                <w:sz w:val="22"/>
                <w:szCs w:val="22"/>
              </w:rPr>
            </w:pPr>
            <w:r w:rsidRPr="00647C63">
              <w:rPr>
                <w:rFonts w:cstheme="minorHAnsi"/>
                <w:color w:val="000000"/>
                <w:sz w:val="22"/>
                <w:szCs w:val="22"/>
              </w:rPr>
              <w:t>WIP</w:t>
            </w:r>
          </w:p>
        </w:tc>
        <w:tc>
          <w:tcPr>
            <w:tcW w:w="8387" w:type="dxa"/>
            <w:tcBorders>
              <w:top w:val="nil"/>
              <w:left w:val="nil"/>
              <w:bottom w:val="nil"/>
              <w:right w:val="nil"/>
            </w:tcBorders>
            <w:shd w:val="clear" w:color="auto" w:fill="auto"/>
            <w:noWrap/>
            <w:vAlign w:val="bottom"/>
            <w:hideMark/>
          </w:tcPr>
          <w:p w14:paraId="2285DCF8" w14:textId="77777777" w:rsidR="00575B49" w:rsidRPr="00647C63" w:rsidRDefault="00575B49">
            <w:pPr>
              <w:rPr>
                <w:rFonts w:cstheme="minorHAnsi"/>
                <w:color w:val="000000"/>
                <w:sz w:val="22"/>
                <w:szCs w:val="22"/>
              </w:rPr>
            </w:pPr>
            <w:r w:rsidRPr="00647C63">
              <w:rPr>
                <w:rFonts w:cstheme="minorHAnsi"/>
                <w:color w:val="000000"/>
                <w:sz w:val="22"/>
                <w:szCs w:val="22"/>
              </w:rPr>
              <w:t>Watershed Implementation Plan</w:t>
            </w:r>
          </w:p>
        </w:tc>
      </w:tr>
      <w:tr w:rsidR="00575B49" w:rsidRPr="0087475A" w14:paraId="172E46EC" w14:textId="77777777" w:rsidTr="00122EDA">
        <w:trPr>
          <w:trHeight w:val="255"/>
        </w:trPr>
        <w:tc>
          <w:tcPr>
            <w:tcW w:w="1353" w:type="dxa"/>
            <w:tcBorders>
              <w:top w:val="nil"/>
              <w:left w:val="nil"/>
              <w:bottom w:val="nil"/>
              <w:right w:val="nil"/>
            </w:tcBorders>
            <w:shd w:val="clear" w:color="auto" w:fill="auto"/>
            <w:noWrap/>
            <w:vAlign w:val="bottom"/>
            <w:hideMark/>
          </w:tcPr>
          <w:p w14:paraId="77FADC08" w14:textId="77777777" w:rsidR="00575B49" w:rsidRPr="00647C63" w:rsidRDefault="00575B49">
            <w:pPr>
              <w:rPr>
                <w:rFonts w:cstheme="minorHAnsi"/>
                <w:color w:val="000000"/>
                <w:sz w:val="22"/>
                <w:szCs w:val="22"/>
              </w:rPr>
            </w:pPr>
            <w:r w:rsidRPr="00647C63">
              <w:rPr>
                <w:rFonts w:cstheme="minorHAnsi"/>
                <w:color w:val="000000"/>
                <w:sz w:val="22"/>
                <w:szCs w:val="22"/>
              </w:rPr>
              <w:t>WOE</w:t>
            </w:r>
          </w:p>
        </w:tc>
        <w:tc>
          <w:tcPr>
            <w:tcW w:w="8387" w:type="dxa"/>
            <w:tcBorders>
              <w:top w:val="nil"/>
              <w:left w:val="nil"/>
              <w:bottom w:val="nil"/>
              <w:right w:val="nil"/>
            </w:tcBorders>
            <w:shd w:val="clear" w:color="auto" w:fill="auto"/>
            <w:noWrap/>
            <w:vAlign w:val="bottom"/>
            <w:hideMark/>
          </w:tcPr>
          <w:p w14:paraId="6DD81F1B" w14:textId="77777777" w:rsidR="00575B49" w:rsidRPr="00647C63" w:rsidRDefault="00575B49">
            <w:pPr>
              <w:rPr>
                <w:rFonts w:cstheme="minorHAnsi"/>
                <w:color w:val="000000"/>
                <w:sz w:val="22"/>
                <w:szCs w:val="22"/>
              </w:rPr>
            </w:pPr>
            <w:r w:rsidRPr="00647C63">
              <w:rPr>
                <w:rFonts w:cstheme="minorHAnsi"/>
                <w:color w:val="000000"/>
                <w:sz w:val="22"/>
                <w:szCs w:val="22"/>
              </w:rPr>
              <w:t>Weight of Evidence</w:t>
            </w:r>
          </w:p>
        </w:tc>
      </w:tr>
      <w:tr w:rsidR="00575B49" w:rsidRPr="0087475A" w14:paraId="455CB2A7" w14:textId="77777777" w:rsidTr="00122EDA">
        <w:trPr>
          <w:trHeight w:val="255"/>
        </w:trPr>
        <w:tc>
          <w:tcPr>
            <w:tcW w:w="1353" w:type="dxa"/>
            <w:tcBorders>
              <w:top w:val="nil"/>
              <w:left w:val="nil"/>
              <w:bottom w:val="nil"/>
              <w:right w:val="nil"/>
            </w:tcBorders>
            <w:shd w:val="clear" w:color="auto" w:fill="auto"/>
            <w:noWrap/>
            <w:vAlign w:val="bottom"/>
            <w:hideMark/>
          </w:tcPr>
          <w:p w14:paraId="656385CD" w14:textId="77777777" w:rsidR="00575B49" w:rsidRPr="00647C63" w:rsidRDefault="00575B49">
            <w:pPr>
              <w:rPr>
                <w:rFonts w:cstheme="minorHAnsi"/>
                <w:color w:val="000000"/>
                <w:sz w:val="22"/>
                <w:szCs w:val="22"/>
              </w:rPr>
            </w:pPr>
            <w:r w:rsidRPr="00647C63">
              <w:rPr>
                <w:rFonts w:cstheme="minorHAnsi"/>
                <w:color w:val="000000"/>
                <w:sz w:val="22"/>
                <w:szCs w:val="22"/>
              </w:rPr>
              <w:t>WQMIRA</w:t>
            </w:r>
          </w:p>
        </w:tc>
        <w:tc>
          <w:tcPr>
            <w:tcW w:w="8387" w:type="dxa"/>
            <w:tcBorders>
              <w:top w:val="nil"/>
              <w:left w:val="nil"/>
              <w:bottom w:val="nil"/>
              <w:right w:val="nil"/>
            </w:tcBorders>
            <w:shd w:val="clear" w:color="auto" w:fill="auto"/>
            <w:noWrap/>
            <w:vAlign w:val="bottom"/>
            <w:hideMark/>
          </w:tcPr>
          <w:p w14:paraId="361100E9" w14:textId="77777777" w:rsidR="00575B49" w:rsidRPr="00647C63" w:rsidRDefault="00575B49">
            <w:pPr>
              <w:rPr>
                <w:rFonts w:cstheme="minorHAnsi"/>
                <w:color w:val="000000"/>
                <w:sz w:val="22"/>
                <w:szCs w:val="22"/>
              </w:rPr>
            </w:pPr>
            <w:r w:rsidRPr="00647C63">
              <w:rPr>
                <w:rFonts w:cstheme="minorHAnsi"/>
                <w:color w:val="000000"/>
                <w:sz w:val="22"/>
                <w:szCs w:val="22"/>
              </w:rPr>
              <w:t>Virginia Water Quality Monitoring, Information and Restoration Act</w:t>
            </w:r>
          </w:p>
        </w:tc>
      </w:tr>
      <w:tr w:rsidR="00575B49" w:rsidRPr="0087475A" w14:paraId="5BBF61C3" w14:textId="77777777" w:rsidTr="00122EDA">
        <w:trPr>
          <w:trHeight w:val="255"/>
        </w:trPr>
        <w:tc>
          <w:tcPr>
            <w:tcW w:w="1353" w:type="dxa"/>
            <w:tcBorders>
              <w:top w:val="nil"/>
              <w:left w:val="nil"/>
              <w:bottom w:val="nil"/>
              <w:right w:val="nil"/>
            </w:tcBorders>
            <w:shd w:val="clear" w:color="auto" w:fill="auto"/>
            <w:noWrap/>
            <w:vAlign w:val="bottom"/>
            <w:hideMark/>
          </w:tcPr>
          <w:p w14:paraId="103E7980" w14:textId="77777777" w:rsidR="00575B49" w:rsidRPr="00647C63" w:rsidRDefault="00575B49">
            <w:pPr>
              <w:rPr>
                <w:rFonts w:cstheme="minorHAnsi"/>
                <w:color w:val="000000"/>
                <w:sz w:val="22"/>
                <w:szCs w:val="22"/>
              </w:rPr>
            </w:pPr>
            <w:r w:rsidRPr="00647C63">
              <w:rPr>
                <w:rFonts w:cstheme="minorHAnsi"/>
                <w:color w:val="000000"/>
                <w:sz w:val="22"/>
                <w:szCs w:val="22"/>
              </w:rPr>
              <w:t>WQS</w:t>
            </w:r>
          </w:p>
        </w:tc>
        <w:tc>
          <w:tcPr>
            <w:tcW w:w="8387" w:type="dxa"/>
            <w:tcBorders>
              <w:top w:val="nil"/>
              <w:left w:val="nil"/>
              <w:bottom w:val="nil"/>
              <w:right w:val="nil"/>
            </w:tcBorders>
            <w:shd w:val="clear" w:color="auto" w:fill="auto"/>
            <w:noWrap/>
            <w:vAlign w:val="bottom"/>
            <w:hideMark/>
          </w:tcPr>
          <w:p w14:paraId="47C7EC41" w14:textId="77777777" w:rsidR="00575B49" w:rsidRPr="00647C63" w:rsidRDefault="00575B49">
            <w:pPr>
              <w:rPr>
                <w:rFonts w:cstheme="minorHAnsi"/>
                <w:color w:val="000000"/>
                <w:sz w:val="22"/>
                <w:szCs w:val="22"/>
              </w:rPr>
            </w:pPr>
            <w:r w:rsidRPr="00647C63">
              <w:rPr>
                <w:rFonts w:cstheme="minorHAnsi"/>
                <w:color w:val="000000"/>
                <w:sz w:val="22"/>
                <w:szCs w:val="22"/>
              </w:rPr>
              <w:t>Water Quality Standards</w:t>
            </w:r>
          </w:p>
        </w:tc>
      </w:tr>
      <w:tr w:rsidR="00575B49" w:rsidRPr="0087475A" w14:paraId="48A85398" w14:textId="77777777" w:rsidTr="00122EDA">
        <w:trPr>
          <w:trHeight w:val="255"/>
        </w:trPr>
        <w:tc>
          <w:tcPr>
            <w:tcW w:w="1353" w:type="dxa"/>
            <w:tcBorders>
              <w:top w:val="nil"/>
              <w:left w:val="nil"/>
              <w:bottom w:val="nil"/>
              <w:right w:val="nil"/>
            </w:tcBorders>
            <w:shd w:val="clear" w:color="auto" w:fill="auto"/>
            <w:noWrap/>
            <w:vAlign w:val="bottom"/>
            <w:hideMark/>
          </w:tcPr>
          <w:p w14:paraId="5816621C" w14:textId="6DFA5D17" w:rsidR="00575B49" w:rsidRPr="00647C63" w:rsidRDefault="00575B49">
            <w:pPr>
              <w:rPr>
                <w:rFonts w:cstheme="minorHAnsi"/>
                <w:color w:val="000000"/>
                <w:sz w:val="22"/>
                <w:szCs w:val="22"/>
              </w:rPr>
            </w:pPr>
            <w:r w:rsidRPr="00647C63">
              <w:rPr>
                <w:rFonts w:cstheme="minorHAnsi"/>
                <w:color w:val="000000"/>
                <w:sz w:val="22"/>
                <w:szCs w:val="22"/>
              </w:rPr>
              <w:t>WRTDS</w:t>
            </w:r>
          </w:p>
        </w:tc>
        <w:tc>
          <w:tcPr>
            <w:tcW w:w="8387" w:type="dxa"/>
            <w:tcBorders>
              <w:top w:val="nil"/>
              <w:left w:val="nil"/>
              <w:bottom w:val="nil"/>
              <w:right w:val="nil"/>
            </w:tcBorders>
            <w:shd w:val="clear" w:color="auto" w:fill="auto"/>
            <w:noWrap/>
            <w:vAlign w:val="bottom"/>
            <w:hideMark/>
          </w:tcPr>
          <w:p w14:paraId="6DBEB811" w14:textId="77777777" w:rsidR="00575B49" w:rsidRPr="00647C63" w:rsidRDefault="00575B49">
            <w:pPr>
              <w:rPr>
                <w:rFonts w:cstheme="minorHAnsi"/>
                <w:color w:val="000000"/>
                <w:sz w:val="22"/>
                <w:szCs w:val="22"/>
              </w:rPr>
            </w:pPr>
            <w:r w:rsidRPr="00647C63">
              <w:rPr>
                <w:rFonts w:cstheme="minorHAnsi"/>
                <w:color w:val="000000"/>
                <w:sz w:val="22"/>
                <w:szCs w:val="22"/>
              </w:rPr>
              <w:t xml:space="preserve">Weighted Regression on Time, Discharge, and Season </w:t>
            </w:r>
          </w:p>
        </w:tc>
      </w:tr>
    </w:tbl>
    <w:p w14:paraId="1520BD35" w14:textId="77777777" w:rsidR="00791DF1" w:rsidRDefault="00791DF1"/>
    <w:p w14:paraId="5D50A913" w14:textId="36FCA3B2" w:rsidR="00791DF1" w:rsidRDefault="00791DF1">
      <w:r>
        <w:br w:type="page"/>
      </w:r>
    </w:p>
    <w:p w14:paraId="6A5B5BFF" w14:textId="4E575C2E" w:rsidR="00581E61" w:rsidRDefault="00DF4A76" w:rsidP="00E86D8E">
      <w:pPr>
        <w:pStyle w:val="Heading1"/>
        <w:numPr>
          <w:ilvl w:val="0"/>
          <w:numId w:val="0"/>
        </w:numPr>
      </w:pPr>
      <w:bookmarkStart w:id="9" w:name="_Toc191900418"/>
      <w:r w:rsidRPr="00DF4A76">
        <w:lastRenderedPageBreak/>
        <w:t>L</w:t>
      </w:r>
      <w:r w:rsidR="0059367B">
        <w:t>ist of W</w:t>
      </w:r>
      <w:r w:rsidR="00762DBF">
        <w:t>eblinks</w:t>
      </w:r>
      <w:bookmarkEnd w:id="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8"/>
        <w:gridCol w:w="5402"/>
      </w:tblGrid>
      <w:tr w:rsidR="00581E61" w:rsidRPr="00B33EFC" w14:paraId="40FD1564" w14:textId="77777777" w:rsidTr="00780F5D">
        <w:trPr>
          <w:trHeight w:val="170"/>
        </w:trPr>
        <w:tc>
          <w:tcPr>
            <w:tcW w:w="8748" w:type="dxa"/>
            <w:noWrap/>
            <w:vAlign w:val="center"/>
          </w:tcPr>
          <w:p w14:paraId="6ED4E4DD" w14:textId="77777777" w:rsidR="00581E61" w:rsidRPr="00B33EFC" w:rsidRDefault="00581E61" w:rsidP="00E86D8E">
            <w:pPr>
              <w:rPr>
                <w:rFonts w:cstheme="minorHAnsi"/>
                <w:b/>
                <w:bCs/>
                <w:sz w:val="22"/>
                <w:szCs w:val="22"/>
              </w:rPr>
            </w:pPr>
          </w:p>
        </w:tc>
        <w:tc>
          <w:tcPr>
            <w:tcW w:w="828" w:type="dxa"/>
            <w:noWrap/>
            <w:vAlign w:val="center"/>
          </w:tcPr>
          <w:p w14:paraId="1D2C2110" w14:textId="77777777" w:rsidR="00581E61" w:rsidRPr="00B33EFC" w:rsidRDefault="00581E61" w:rsidP="00E86D8E">
            <w:pPr>
              <w:rPr>
                <w:rFonts w:cstheme="minorHAnsi"/>
                <w:b/>
                <w:bCs/>
                <w:sz w:val="22"/>
                <w:szCs w:val="22"/>
              </w:rPr>
            </w:pPr>
          </w:p>
        </w:tc>
      </w:tr>
      <w:tr w:rsidR="00581E61" w:rsidRPr="00B33EFC" w14:paraId="03F2B89E" w14:textId="77777777" w:rsidTr="006E7FE7">
        <w:trPr>
          <w:trHeight w:val="300"/>
        </w:trPr>
        <w:tc>
          <w:tcPr>
            <w:tcW w:w="8748" w:type="dxa"/>
            <w:tcBorders>
              <w:bottom w:val="single" w:sz="4" w:space="0" w:color="auto"/>
            </w:tcBorders>
            <w:noWrap/>
            <w:hideMark/>
          </w:tcPr>
          <w:p w14:paraId="482A681B" w14:textId="77777777" w:rsidR="00581E61" w:rsidRPr="00B33EFC" w:rsidRDefault="00581E61">
            <w:pPr>
              <w:rPr>
                <w:rFonts w:cstheme="minorHAnsi"/>
                <w:sz w:val="20"/>
              </w:rPr>
            </w:pPr>
            <w:r w:rsidRPr="00B33EFC">
              <w:rPr>
                <w:rFonts w:cstheme="minorHAnsi"/>
                <w:sz w:val="20"/>
              </w:rPr>
              <w:t>Chesapeake Bay Program</w:t>
            </w:r>
          </w:p>
        </w:tc>
        <w:tc>
          <w:tcPr>
            <w:tcW w:w="828" w:type="dxa"/>
            <w:tcBorders>
              <w:bottom w:val="single" w:sz="4" w:space="0" w:color="auto"/>
            </w:tcBorders>
            <w:noWrap/>
            <w:vAlign w:val="center"/>
            <w:hideMark/>
          </w:tcPr>
          <w:p w14:paraId="1DE8B84A" w14:textId="77777777" w:rsidR="00581E61" w:rsidRPr="00B33EFC" w:rsidRDefault="00581E61">
            <w:pPr>
              <w:rPr>
                <w:rFonts w:cstheme="minorHAnsi"/>
                <w:sz w:val="20"/>
                <w:u w:val="single"/>
              </w:rPr>
            </w:pPr>
            <w:hyperlink r:id="rId17" w:history="1">
              <w:r w:rsidRPr="00B33EFC">
                <w:rPr>
                  <w:rStyle w:val="Hyperlink"/>
                  <w:rFonts w:cstheme="minorHAnsi"/>
                  <w:sz w:val="20"/>
                </w:rPr>
                <w:t>https://www.chesapeakebay.net/</w:t>
              </w:r>
            </w:hyperlink>
          </w:p>
        </w:tc>
      </w:tr>
      <w:tr w:rsidR="00581E61" w:rsidRPr="00B33EFC" w14:paraId="6E1F539E" w14:textId="77777777" w:rsidTr="006E7FE7">
        <w:trPr>
          <w:trHeight w:val="300"/>
        </w:trPr>
        <w:tc>
          <w:tcPr>
            <w:tcW w:w="8748" w:type="dxa"/>
            <w:tcBorders>
              <w:top w:val="single" w:sz="4" w:space="0" w:color="auto"/>
              <w:bottom w:val="single" w:sz="4" w:space="0" w:color="auto"/>
            </w:tcBorders>
            <w:noWrap/>
            <w:hideMark/>
          </w:tcPr>
          <w:p w14:paraId="11A12EB0" w14:textId="77777777" w:rsidR="00581E61" w:rsidRPr="00B33EFC" w:rsidRDefault="00581E61">
            <w:pPr>
              <w:rPr>
                <w:rFonts w:cstheme="minorHAnsi"/>
                <w:sz w:val="20"/>
              </w:rPr>
            </w:pPr>
            <w:r w:rsidRPr="00B33EFC">
              <w:rPr>
                <w:rFonts w:cstheme="minorHAnsi"/>
                <w:sz w:val="20"/>
              </w:rPr>
              <w:t>Chesapeake Bay Program Issues</w:t>
            </w:r>
          </w:p>
        </w:tc>
        <w:tc>
          <w:tcPr>
            <w:tcW w:w="828" w:type="dxa"/>
            <w:tcBorders>
              <w:top w:val="single" w:sz="4" w:space="0" w:color="auto"/>
              <w:bottom w:val="single" w:sz="4" w:space="0" w:color="auto"/>
            </w:tcBorders>
            <w:noWrap/>
            <w:vAlign w:val="center"/>
            <w:hideMark/>
          </w:tcPr>
          <w:p w14:paraId="6F88CCA2" w14:textId="77777777" w:rsidR="00581E61" w:rsidRPr="00B33EFC" w:rsidRDefault="00581E61">
            <w:pPr>
              <w:rPr>
                <w:rFonts w:cstheme="minorHAnsi"/>
                <w:sz w:val="20"/>
                <w:u w:val="single"/>
              </w:rPr>
            </w:pPr>
            <w:hyperlink r:id="rId18" w:history="1">
              <w:r w:rsidRPr="00B33EFC">
                <w:rPr>
                  <w:rStyle w:val="Hyperlink"/>
                  <w:rFonts w:cstheme="minorHAnsi"/>
                  <w:sz w:val="20"/>
                </w:rPr>
                <w:t>https://www.chesapeakebay.net/issues</w:t>
              </w:r>
            </w:hyperlink>
          </w:p>
        </w:tc>
      </w:tr>
      <w:tr w:rsidR="00581E61" w:rsidRPr="00B33EFC" w14:paraId="1597DADE" w14:textId="77777777" w:rsidTr="006E7FE7">
        <w:trPr>
          <w:trHeight w:val="300"/>
        </w:trPr>
        <w:tc>
          <w:tcPr>
            <w:tcW w:w="8748" w:type="dxa"/>
            <w:tcBorders>
              <w:top w:val="single" w:sz="4" w:space="0" w:color="auto"/>
              <w:bottom w:val="single" w:sz="4" w:space="0" w:color="auto"/>
            </w:tcBorders>
            <w:noWrap/>
            <w:hideMark/>
          </w:tcPr>
          <w:p w14:paraId="42D7BC79" w14:textId="77777777" w:rsidR="00581E61" w:rsidRPr="00B33EFC" w:rsidRDefault="00581E61">
            <w:pPr>
              <w:rPr>
                <w:rFonts w:cstheme="minorHAnsi"/>
                <w:sz w:val="20"/>
              </w:rPr>
            </w:pPr>
            <w:r w:rsidRPr="00B33EFC">
              <w:rPr>
                <w:rFonts w:cstheme="minorHAnsi"/>
                <w:sz w:val="20"/>
              </w:rPr>
              <w:t>Chesapeake Bay Program Monitoring and Modeling Data</w:t>
            </w:r>
          </w:p>
        </w:tc>
        <w:tc>
          <w:tcPr>
            <w:tcW w:w="828" w:type="dxa"/>
            <w:tcBorders>
              <w:top w:val="single" w:sz="4" w:space="0" w:color="auto"/>
              <w:bottom w:val="single" w:sz="4" w:space="0" w:color="auto"/>
            </w:tcBorders>
            <w:noWrap/>
            <w:vAlign w:val="center"/>
            <w:hideMark/>
          </w:tcPr>
          <w:p w14:paraId="69665355" w14:textId="77777777" w:rsidR="00581E61" w:rsidRPr="00B33EFC" w:rsidRDefault="00581E61">
            <w:pPr>
              <w:rPr>
                <w:rFonts w:cstheme="minorHAnsi"/>
                <w:sz w:val="20"/>
                <w:u w:val="single"/>
              </w:rPr>
            </w:pPr>
            <w:hyperlink r:id="rId19" w:history="1">
              <w:r w:rsidRPr="00B33EFC">
                <w:rPr>
                  <w:rStyle w:val="Hyperlink"/>
                  <w:rFonts w:cstheme="minorHAnsi"/>
                  <w:sz w:val="20"/>
                </w:rPr>
                <w:t>https://www.chesapeakebay.net/what/data</w:t>
              </w:r>
            </w:hyperlink>
          </w:p>
        </w:tc>
      </w:tr>
      <w:tr w:rsidR="00581E61" w:rsidRPr="00B33EFC" w14:paraId="4FF98F38" w14:textId="77777777" w:rsidTr="006E7FE7">
        <w:trPr>
          <w:trHeight w:val="300"/>
        </w:trPr>
        <w:tc>
          <w:tcPr>
            <w:tcW w:w="8748" w:type="dxa"/>
            <w:tcBorders>
              <w:top w:val="single" w:sz="4" w:space="0" w:color="auto"/>
              <w:bottom w:val="single" w:sz="4" w:space="0" w:color="auto"/>
            </w:tcBorders>
            <w:noWrap/>
            <w:hideMark/>
          </w:tcPr>
          <w:p w14:paraId="7DB43B34" w14:textId="77777777" w:rsidR="00581E61" w:rsidRPr="00B33EFC" w:rsidRDefault="00581E61">
            <w:pPr>
              <w:rPr>
                <w:rFonts w:cstheme="minorHAnsi"/>
                <w:sz w:val="20"/>
              </w:rPr>
            </w:pPr>
            <w:r w:rsidRPr="00B33EFC">
              <w:rPr>
                <w:rFonts w:cstheme="minorHAnsi"/>
                <w:sz w:val="20"/>
              </w:rPr>
              <w:t xml:space="preserve">Chesapeake Bay Program Toxic Contaminants </w:t>
            </w:r>
          </w:p>
        </w:tc>
        <w:tc>
          <w:tcPr>
            <w:tcW w:w="828" w:type="dxa"/>
            <w:tcBorders>
              <w:top w:val="single" w:sz="4" w:space="0" w:color="auto"/>
              <w:bottom w:val="single" w:sz="4" w:space="0" w:color="auto"/>
            </w:tcBorders>
            <w:noWrap/>
            <w:vAlign w:val="center"/>
            <w:hideMark/>
          </w:tcPr>
          <w:p w14:paraId="065041D0" w14:textId="77777777" w:rsidR="00581E61" w:rsidRPr="00B33EFC" w:rsidRDefault="00581E61">
            <w:pPr>
              <w:rPr>
                <w:rFonts w:cstheme="minorHAnsi"/>
                <w:sz w:val="20"/>
                <w:u w:val="single"/>
              </w:rPr>
            </w:pPr>
            <w:hyperlink r:id="rId20" w:history="1">
              <w:r w:rsidRPr="00B33EFC">
                <w:rPr>
                  <w:rStyle w:val="Hyperlink"/>
                  <w:rFonts w:cstheme="minorHAnsi"/>
                  <w:sz w:val="20"/>
                </w:rPr>
                <w:t>https://www.chesapeakebay.net/what/goals/toxic-contaminants</w:t>
              </w:r>
            </w:hyperlink>
          </w:p>
        </w:tc>
      </w:tr>
      <w:tr w:rsidR="00581E61" w:rsidRPr="00B33EFC" w14:paraId="4F82ABB4" w14:textId="77777777" w:rsidTr="006E7FE7">
        <w:trPr>
          <w:trHeight w:val="300"/>
        </w:trPr>
        <w:tc>
          <w:tcPr>
            <w:tcW w:w="8748" w:type="dxa"/>
            <w:tcBorders>
              <w:top w:val="single" w:sz="4" w:space="0" w:color="auto"/>
              <w:bottom w:val="single" w:sz="4" w:space="0" w:color="auto"/>
            </w:tcBorders>
            <w:noWrap/>
            <w:hideMark/>
          </w:tcPr>
          <w:p w14:paraId="33F83C33" w14:textId="77777777" w:rsidR="00581E61" w:rsidRPr="00B33EFC" w:rsidRDefault="00581E61">
            <w:pPr>
              <w:rPr>
                <w:rFonts w:cstheme="minorHAnsi"/>
                <w:sz w:val="20"/>
              </w:rPr>
            </w:pPr>
            <w:r w:rsidRPr="00B33EFC">
              <w:rPr>
                <w:rFonts w:cstheme="minorHAnsi"/>
                <w:sz w:val="20"/>
              </w:rPr>
              <w:t>Chesapeake Bay Program Vital Habitats</w:t>
            </w:r>
          </w:p>
        </w:tc>
        <w:tc>
          <w:tcPr>
            <w:tcW w:w="828" w:type="dxa"/>
            <w:tcBorders>
              <w:top w:val="single" w:sz="4" w:space="0" w:color="auto"/>
              <w:bottom w:val="single" w:sz="4" w:space="0" w:color="auto"/>
            </w:tcBorders>
            <w:noWrap/>
            <w:vAlign w:val="center"/>
            <w:hideMark/>
          </w:tcPr>
          <w:p w14:paraId="552A36BC" w14:textId="77777777" w:rsidR="00581E61" w:rsidRPr="00B33EFC" w:rsidRDefault="00581E61">
            <w:pPr>
              <w:rPr>
                <w:rFonts w:cstheme="minorHAnsi"/>
                <w:sz w:val="20"/>
                <w:u w:val="single"/>
              </w:rPr>
            </w:pPr>
            <w:hyperlink r:id="rId21" w:history="1">
              <w:r w:rsidRPr="00B33EFC">
                <w:rPr>
                  <w:rStyle w:val="Hyperlink"/>
                  <w:rFonts w:cstheme="minorHAnsi"/>
                  <w:sz w:val="20"/>
                </w:rPr>
                <w:t>https://www.chesapeakebay.net/what/goals/vital-habitats</w:t>
              </w:r>
            </w:hyperlink>
          </w:p>
        </w:tc>
      </w:tr>
      <w:tr w:rsidR="00581E61" w:rsidRPr="00B33EFC" w14:paraId="2DEA6CC4" w14:textId="77777777" w:rsidTr="006E7FE7">
        <w:trPr>
          <w:trHeight w:val="300"/>
        </w:trPr>
        <w:tc>
          <w:tcPr>
            <w:tcW w:w="8748" w:type="dxa"/>
            <w:tcBorders>
              <w:top w:val="single" w:sz="4" w:space="0" w:color="auto"/>
              <w:bottom w:val="single" w:sz="4" w:space="0" w:color="auto"/>
            </w:tcBorders>
            <w:noWrap/>
            <w:hideMark/>
          </w:tcPr>
          <w:p w14:paraId="6301F753" w14:textId="77777777" w:rsidR="00581E61" w:rsidRPr="00B33EFC" w:rsidRDefault="00581E61">
            <w:pPr>
              <w:rPr>
                <w:rFonts w:cstheme="minorHAnsi"/>
                <w:sz w:val="20"/>
              </w:rPr>
            </w:pPr>
            <w:r w:rsidRPr="00B33EFC">
              <w:rPr>
                <w:rFonts w:cstheme="minorHAnsi"/>
                <w:sz w:val="20"/>
              </w:rPr>
              <w:t>Coastal Virginia Ecological Value Assessment (VEVA)</w:t>
            </w:r>
          </w:p>
        </w:tc>
        <w:tc>
          <w:tcPr>
            <w:tcW w:w="828" w:type="dxa"/>
            <w:tcBorders>
              <w:top w:val="single" w:sz="4" w:space="0" w:color="auto"/>
              <w:bottom w:val="single" w:sz="4" w:space="0" w:color="auto"/>
            </w:tcBorders>
            <w:noWrap/>
            <w:vAlign w:val="center"/>
            <w:hideMark/>
          </w:tcPr>
          <w:p w14:paraId="5D7A0A4F" w14:textId="77777777" w:rsidR="00581E61" w:rsidRPr="00B33EFC" w:rsidRDefault="00581E61">
            <w:pPr>
              <w:rPr>
                <w:rFonts w:cstheme="minorHAnsi"/>
                <w:sz w:val="20"/>
                <w:u w:val="single"/>
              </w:rPr>
            </w:pPr>
            <w:hyperlink r:id="rId22" w:history="1">
              <w:r w:rsidRPr="00B33EFC">
                <w:rPr>
                  <w:rStyle w:val="Hyperlink"/>
                  <w:rFonts w:cstheme="minorHAnsi"/>
                  <w:sz w:val="20"/>
                </w:rPr>
                <w:t>https://www.deq.virginia.gov/home/showpublisheddocument/15685</w:t>
              </w:r>
            </w:hyperlink>
          </w:p>
        </w:tc>
      </w:tr>
      <w:tr w:rsidR="00581E61" w:rsidRPr="00B33EFC" w14:paraId="4E504F43" w14:textId="77777777" w:rsidTr="006E7FE7">
        <w:trPr>
          <w:trHeight w:val="300"/>
        </w:trPr>
        <w:tc>
          <w:tcPr>
            <w:tcW w:w="8748" w:type="dxa"/>
            <w:tcBorders>
              <w:top w:val="single" w:sz="4" w:space="0" w:color="auto"/>
              <w:bottom w:val="single" w:sz="4" w:space="0" w:color="auto"/>
            </w:tcBorders>
            <w:noWrap/>
            <w:hideMark/>
          </w:tcPr>
          <w:p w14:paraId="155B5C8B" w14:textId="77777777" w:rsidR="00581E61" w:rsidRPr="00B33EFC" w:rsidRDefault="00581E61">
            <w:pPr>
              <w:rPr>
                <w:rFonts w:cstheme="minorHAnsi"/>
                <w:sz w:val="20"/>
              </w:rPr>
            </w:pPr>
            <w:r w:rsidRPr="00B33EFC">
              <w:rPr>
                <w:rFonts w:cstheme="minorHAnsi"/>
                <w:sz w:val="20"/>
              </w:rPr>
              <w:t>Code of Federal Regulations</w:t>
            </w:r>
          </w:p>
        </w:tc>
        <w:tc>
          <w:tcPr>
            <w:tcW w:w="828" w:type="dxa"/>
            <w:tcBorders>
              <w:top w:val="single" w:sz="4" w:space="0" w:color="auto"/>
              <w:bottom w:val="single" w:sz="4" w:space="0" w:color="auto"/>
            </w:tcBorders>
            <w:noWrap/>
            <w:vAlign w:val="center"/>
            <w:hideMark/>
          </w:tcPr>
          <w:p w14:paraId="6CFA02F4" w14:textId="77777777" w:rsidR="00581E61" w:rsidRPr="00B33EFC" w:rsidRDefault="00581E61">
            <w:pPr>
              <w:rPr>
                <w:rFonts w:cstheme="minorHAnsi"/>
                <w:sz w:val="20"/>
                <w:u w:val="single"/>
              </w:rPr>
            </w:pPr>
            <w:hyperlink r:id="rId23" w:history="1">
              <w:r w:rsidRPr="00B33EFC">
                <w:rPr>
                  <w:rStyle w:val="Hyperlink"/>
                  <w:rFonts w:cstheme="minorHAnsi"/>
                  <w:sz w:val="20"/>
                </w:rPr>
                <w:t>http://www.ecfr.gov/cgi-bin/text-idx?tpl=/ecfrbrowse/Title40/40cfr130_main_02.tpl</w:t>
              </w:r>
            </w:hyperlink>
          </w:p>
        </w:tc>
      </w:tr>
      <w:tr w:rsidR="00581E61" w:rsidRPr="00B33EFC" w14:paraId="0762C1B8" w14:textId="77777777" w:rsidTr="006E7FE7">
        <w:trPr>
          <w:trHeight w:val="300"/>
        </w:trPr>
        <w:tc>
          <w:tcPr>
            <w:tcW w:w="8748" w:type="dxa"/>
            <w:tcBorders>
              <w:top w:val="single" w:sz="4" w:space="0" w:color="auto"/>
              <w:bottom w:val="single" w:sz="4" w:space="0" w:color="auto"/>
            </w:tcBorders>
            <w:noWrap/>
            <w:hideMark/>
          </w:tcPr>
          <w:p w14:paraId="79FDAAA8" w14:textId="77777777" w:rsidR="00581E61" w:rsidRPr="00B33EFC" w:rsidRDefault="00581E61">
            <w:pPr>
              <w:rPr>
                <w:rFonts w:cstheme="minorHAnsi"/>
                <w:sz w:val="20"/>
              </w:rPr>
            </w:pPr>
            <w:r w:rsidRPr="00B33EFC">
              <w:rPr>
                <w:rFonts w:cstheme="minorHAnsi"/>
                <w:sz w:val="20"/>
              </w:rPr>
              <w:t>Code of Virginia Water Quality Monitoring, Information and Restoration Act.</w:t>
            </w:r>
          </w:p>
        </w:tc>
        <w:tc>
          <w:tcPr>
            <w:tcW w:w="828" w:type="dxa"/>
            <w:tcBorders>
              <w:top w:val="single" w:sz="4" w:space="0" w:color="auto"/>
              <w:bottom w:val="single" w:sz="4" w:space="0" w:color="auto"/>
            </w:tcBorders>
            <w:noWrap/>
            <w:vAlign w:val="center"/>
            <w:hideMark/>
          </w:tcPr>
          <w:p w14:paraId="1388EFC3" w14:textId="77777777" w:rsidR="00581E61" w:rsidRPr="00B33EFC" w:rsidRDefault="00581E61">
            <w:pPr>
              <w:rPr>
                <w:rFonts w:cstheme="minorHAnsi"/>
                <w:sz w:val="20"/>
                <w:u w:val="single"/>
              </w:rPr>
            </w:pPr>
            <w:hyperlink r:id="rId24" w:history="1">
              <w:r w:rsidRPr="00B33EFC">
                <w:rPr>
                  <w:rStyle w:val="Hyperlink"/>
                  <w:rFonts w:cstheme="minorHAnsi"/>
                  <w:sz w:val="20"/>
                </w:rPr>
                <w:t>https://law.lis.virginia.gov/vacodefull/title62.1/chapter3.1/article4.01/</w:t>
              </w:r>
            </w:hyperlink>
          </w:p>
        </w:tc>
      </w:tr>
      <w:tr w:rsidR="00581E61" w:rsidRPr="00B33EFC" w14:paraId="05DF46C0" w14:textId="77777777" w:rsidTr="006E7FE7">
        <w:trPr>
          <w:trHeight w:val="300"/>
        </w:trPr>
        <w:tc>
          <w:tcPr>
            <w:tcW w:w="8748" w:type="dxa"/>
            <w:tcBorders>
              <w:top w:val="single" w:sz="4" w:space="0" w:color="auto"/>
              <w:bottom w:val="single" w:sz="4" w:space="0" w:color="auto"/>
            </w:tcBorders>
            <w:noWrap/>
            <w:hideMark/>
          </w:tcPr>
          <w:p w14:paraId="72AE53F5" w14:textId="77777777" w:rsidR="00581E61" w:rsidRPr="00B33EFC" w:rsidRDefault="00581E61">
            <w:pPr>
              <w:rPr>
                <w:rFonts w:cstheme="minorHAnsi"/>
                <w:sz w:val="20"/>
              </w:rPr>
            </w:pPr>
            <w:r w:rsidRPr="00B33EFC">
              <w:rPr>
                <w:rFonts w:cstheme="minorHAnsi"/>
                <w:sz w:val="20"/>
              </w:rPr>
              <w:t>Code of Virginia Criteria to protect designated uses from the impacts of nutrients and suspended sediment in the Chesapeake Bay and its tidal tributaries</w:t>
            </w:r>
          </w:p>
        </w:tc>
        <w:tc>
          <w:tcPr>
            <w:tcW w:w="828" w:type="dxa"/>
            <w:tcBorders>
              <w:top w:val="single" w:sz="4" w:space="0" w:color="auto"/>
              <w:bottom w:val="single" w:sz="4" w:space="0" w:color="auto"/>
            </w:tcBorders>
            <w:noWrap/>
            <w:vAlign w:val="center"/>
            <w:hideMark/>
          </w:tcPr>
          <w:p w14:paraId="24D7CCFA" w14:textId="77777777" w:rsidR="00581E61" w:rsidRPr="00B33EFC" w:rsidRDefault="00581E61">
            <w:pPr>
              <w:rPr>
                <w:rFonts w:cstheme="minorHAnsi"/>
                <w:sz w:val="20"/>
                <w:u w:val="single"/>
              </w:rPr>
            </w:pPr>
            <w:hyperlink r:id="rId25" w:history="1">
              <w:r w:rsidRPr="00B33EFC">
                <w:rPr>
                  <w:rStyle w:val="Hyperlink"/>
                  <w:rFonts w:cstheme="minorHAnsi"/>
                  <w:sz w:val="20"/>
                </w:rPr>
                <w:t>https://law.lis.virginia.gov/admincode/title9/agency25/chapter260/section185/</w:t>
              </w:r>
            </w:hyperlink>
          </w:p>
        </w:tc>
      </w:tr>
      <w:tr w:rsidR="00581E61" w:rsidRPr="00B33EFC" w14:paraId="76E2DC4C" w14:textId="77777777" w:rsidTr="006E7FE7">
        <w:trPr>
          <w:trHeight w:val="300"/>
        </w:trPr>
        <w:tc>
          <w:tcPr>
            <w:tcW w:w="8748" w:type="dxa"/>
            <w:tcBorders>
              <w:top w:val="single" w:sz="4" w:space="0" w:color="auto"/>
              <w:bottom w:val="single" w:sz="4" w:space="0" w:color="auto"/>
            </w:tcBorders>
            <w:noWrap/>
            <w:hideMark/>
          </w:tcPr>
          <w:p w14:paraId="61A9E281" w14:textId="77777777" w:rsidR="00581E61" w:rsidRPr="00B33EFC" w:rsidRDefault="00581E61">
            <w:pPr>
              <w:rPr>
                <w:rFonts w:cstheme="minorHAnsi"/>
                <w:sz w:val="20"/>
              </w:rPr>
            </w:pPr>
            <w:r w:rsidRPr="00B33EFC">
              <w:rPr>
                <w:rFonts w:cstheme="minorHAnsi"/>
                <w:sz w:val="20"/>
              </w:rPr>
              <w:t>Code of Virginia Numerical criteria for DO, pH, and maximum temperature.</w:t>
            </w:r>
          </w:p>
        </w:tc>
        <w:tc>
          <w:tcPr>
            <w:tcW w:w="828" w:type="dxa"/>
            <w:tcBorders>
              <w:top w:val="single" w:sz="4" w:space="0" w:color="auto"/>
              <w:bottom w:val="single" w:sz="4" w:space="0" w:color="auto"/>
            </w:tcBorders>
            <w:noWrap/>
            <w:vAlign w:val="center"/>
            <w:hideMark/>
          </w:tcPr>
          <w:p w14:paraId="4D6355E4" w14:textId="77777777" w:rsidR="00581E61" w:rsidRPr="00B33EFC" w:rsidRDefault="00581E61">
            <w:pPr>
              <w:rPr>
                <w:rFonts w:cstheme="minorHAnsi"/>
                <w:sz w:val="20"/>
                <w:u w:val="single"/>
              </w:rPr>
            </w:pPr>
            <w:hyperlink r:id="rId26" w:history="1">
              <w:r w:rsidRPr="00B33EFC">
                <w:rPr>
                  <w:rStyle w:val="Hyperlink"/>
                  <w:rFonts w:cstheme="minorHAnsi"/>
                  <w:sz w:val="20"/>
                </w:rPr>
                <w:t>https://law.lis.virginia.gov/admincode/title9/agency25/chapter260/section50/</w:t>
              </w:r>
            </w:hyperlink>
          </w:p>
        </w:tc>
      </w:tr>
      <w:tr w:rsidR="00581E61" w:rsidRPr="00B33EFC" w14:paraId="1FBA068B" w14:textId="77777777" w:rsidTr="006E7FE7">
        <w:trPr>
          <w:trHeight w:val="300"/>
        </w:trPr>
        <w:tc>
          <w:tcPr>
            <w:tcW w:w="8748" w:type="dxa"/>
            <w:tcBorders>
              <w:top w:val="single" w:sz="4" w:space="0" w:color="auto"/>
              <w:bottom w:val="single" w:sz="4" w:space="0" w:color="auto"/>
            </w:tcBorders>
            <w:noWrap/>
            <w:hideMark/>
          </w:tcPr>
          <w:p w14:paraId="782A52F5" w14:textId="77777777" w:rsidR="00581E61" w:rsidRPr="00B33EFC" w:rsidRDefault="00581E61">
            <w:pPr>
              <w:rPr>
                <w:rFonts w:cstheme="minorHAnsi"/>
                <w:sz w:val="20"/>
              </w:rPr>
            </w:pPr>
            <w:r w:rsidRPr="00B33EFC">
              <w:rPr>
                <w:rFonts w:cstheme="minorHAnsi"/>
                <w:sz w:val="20"/>
              </w:rPr>
              <w:t xml:space="preserve">Code of Virginia </w:t>
            </w:r>
            <w:proofErr w:type="spellStart"/>
            <w:r w:rsidRPr="00B33EFC">
              <w:rPr>
                <w:rFonts w:cstheme="minorHAnsi"/>
                <w:sz w:val="20"/>
              </w:rPr>
              <w:t>Virginia</w:t>
            </w:r>
            <w:proofErr w:type="spellEnd"/>
            <w:r w:rsidRPr="00B33EFC">
              <w:rPr>
                <w:rFonts w:cstheme="minorHAnsi"/>
                <w:sz w:val="20"/>
              </w:rPr>
              <w:t xml:space="preserve"> Citizen Water Quality Monitoring Program</w:t>
            </w:r>
          </w:p>
        </w:tc>
        <w:tc>
          <w:tcPr>
            <w:tcW w:w="828" w:type="dxa"/>
            <w:tcBorders>
              <w:top w:val="single" w:sz="4" w:space="0" w:color="auto"/>
              <w:bottom w:val="single" w:sz="4" w:space="0" w:color="auto"/>
            </w:tcBorders>
            <w:noWrap/>
            <w:vAlign w:val="center"/>
            <w:hideMark/>
          </w:tcPr>
          <w:p w14:paraId="0ABD6AE2" w14:textId="77777777" w:rsidR="00581E61" w:rsidRPr="00B33EFC" w:rsidRDefault="00581E61">
            <w:pPr>
              <w:rPr>
                <w:rFonts w:cstheme="minorHAnsi"/>
                <w:sz w:val="20"/>
                <w:u w:val="single"/>
              </w:rPr>
            </w:pPr>
            <w:hyperlink r:id="rId27" w:tooltip="Link to Code of Virginia §62.1-44.19:11" w:history="1">
              <w:r w:rsidRPr="00B33EFC">
                <w:rPr>
                  <w:rStyle w:val="Hyperlink"/>
                  <w:rFonts w:cstheme="minorHAnsi"/>
                  <w:sz w:val="20"/>
                </w:rPr>
                <w:t>https://law.lis.virginia.gov/vacode/title62.1/chapter3.1/section62.1-44.19:11/</w:t>
              </w:r>
            </w:hyperlink>
          </w:p>
        </w:tc>
      </w:tr>
      <w:tr w:rsidR="00581E61" w:rsidRPr="00B33EFC" w14:paraId="2938BA36" w14:textId="77777777" w:rsidTr="006E7FE7">
        <w:trPr>
          <w:trHeight w:val="300"/>
        </w:trPr>
        <w:tc>
          <w:tcPr>
            <w:tcW w:w="8748" w:type="dxa"/>
            <w:tcBorders>
              <w:top w:val="single" w:sz="4" w:space="0" w:color="auto"/>
              <w:bottom w:val="single" w:sz="4" w:space="0" w:color="auto"/>
            </w:tcBorders>
            <w:noWrap/>
            <w:hideMark/>
          </w:tcPr>
          <w:p w14:paraId="3E99BCF1" w14:textId="77777777" w:rsidR="00581E61" w:rsidRPr="00B33EFC" w:rsidRDefault="00581E61">
            <w:pPr>
              <w:rPr>
                <w:rFonts w:cstheme="minorHAnsi"/>
                <w:sz w:val="20"/>
              </w:rPr>
            </w:pPr>
            <w:r w:rsidRPr="00B33EFC">
              <w:rPr>
                <w:rFonts w:cstheme="minorHAnsi"/>
                <w:sz w:val="20"/>
              </w:rPr>
              <w:t>DCR NPS Assessment and Prioritization</w:t>
            </w:r>
          </w:p>
        </w:tc>
        <w:tc>
          <w:tcPr>
            <w:tcW w:w="828" w:type="dxa"/>
            <w:tcBorders>
              <w:top w:val="single" w:sz="4" w:space="0" w:color="auto"/>
              <w:bottom w:val="single" w:sz="4" w:space="0" w:color="auto"/>
            </w:tcBorders>
            <w:noWrap/>
            <w:vAlign w:val="center"/>
            <w:hideMark/>
          </w:tcPr>
          <w:p w14:paraId="2AF2371A" w14:textId="77777777" w:rsidR="00581E61" w:rsidRPr="00B33EFC" w:rsidRDefault="00581E61">
            <w:pPr>
              <w:rPr>
                <w:rFonts w:cstheme="minorHAnsi"/>
                <w:sz w:val="20"/>
                <w:u w:val="single"/>
              </w:rPr>
            </w:pPr>
            <w:hyperlink r:id="rId28" w:history="1">
              <w:r w:rsidRPr="00B33EFC">
                <w:rPr>
                  <w:rStyle w:val="Hyperlink"/>
                  <w:rFonts w:cstheme="minorHAnsi"/>
                  <w:sz w:val="20"/>
                </w:rPr>
                <w:t>https://www.dcr.virginia.gov/soil-and-water/npsassmt</w:t>
              </w:r>
            </w:hyperlink>
          </w:p>
        </w:tc>
      </w:tr>
      <w:tr w:rsidR="00581E61" w:rsidRPr="00B33EFC" w14:paraId="68B096D3" w14:textId="77777777" w:rsidTr="006E7FE7">
        <w:trPr>
          <w:trHeight w:val="300"/>
        </w:trPr>
        <w:tc>
          <w:tcPr>
            <w:tcW w:w="8748" w:type="dxa"/>
            <w:tcBorders>
              <w:top w:val="single" w:sz="4" w:space="0" w:color="auto"/>
              <w:bottom w:val="single" w:sz="4" w:space="0" w:color="auto"/>
            </w:tcBorders>
            <w:noWrap/>
            <w:hideMark/>
          </w:tcPr>
          <w:p w14:paraId="004C7453" w14:textId="77777777" w:rsidR="00581E61" w:rsidRPr="00B33EFC" w:rsidRDefault="00581E61">
            <w:pPr>
              <w:rPr>
                <w:rFonts w:cstheme="minorHAnsi"/>
                <w:sz w:val="20"/>
              </w:rPr>
            </w:pPr>
            <w:r w:rsidRPr="00B33EFC">
              <w:rPr>
                <w:rFonts w:cstheme="minorHAnsi"/>
                <w:sz w:val="20"/>
              </w:rPr>
              <w:t>DCR NPS Pollution Assessment Summary 2022</w:t>
            </w:r>
          </w:p>
        </w:tc>
        <w:tc>
          <w:tcPr>
            <w:tcW w:w="828" w:type="dxa"/>
            <w:tcBorders>
              <w:top w:val="single" w:sz="4" w:space="0" w:color="auto"/>
              <w:bottom w:val="single" w:sz="4" w:space="0" w:color="auto"/>
            </w:tcBorders>
            <w:noWrap/>
            <w:vAlign w:val="center"/>
            <w:hideMark/>
          </w:tcPr>
          <w:p w14:paraId="10174B4E" w14:textId="77777777" w:rsidR="00581E61" w:rsidRPr="00B33EFC" w:rsidRDefault="00581E61">
            <w:pPr>
              <w:rPr>
                <w:rFonts w:cstheme="minorHAnsi"/>
                <w:sz w:val="20"/>
                <w:u w:val="single"/>
              </w:rPr>
            </w:pPr>
            <w:hyperlink r:id="rId29" w:history="1">
              <w:r w:rsidRPr="00B33EFC">
                <w:rPr>
                  <w:rStyle w:val="Hyperlink"/>
                  <w:rFonts w:cstheme="minorHAnsi"/>
                  <w:sz w:val="20"/>
                </w:rPr>
                <w:t>https://consapps.dcr.virginia.gov/htdocs/progs/NPSass22/ldrnktype22.aspx</w:t>
              </w:r>
            </w:hyperlink>
          </w:p>
        </w:tc>
      </w:tr>
      <w:tr w:rsidR="00581E61" w:rsidRPr="00B33EFC" w14:paraId="5BCF51B9" w14:textId="77777777" w:rsidTr="006E7FE7">
        <w:trPr>
          <w:trHeight w:val="300"/>
        </w:trPr>
        <w:tc>
          <w:tcPr>
            <w:tcW w:w="8748" w:type="dxa"/>
            <w:tcBorders>
              <w:top w:val="single" w:sz="4" w:space="0" w:color="auto"/>
              <w:bottom w:val="single" w:sz="4" w:space="0" w:color="auto"/>
            </w:tcBorders>
            <w:noWrap/>
            <w:hideMark/>
          </w:tcPr>
          <w:p w14:paraId="5996FA4B" w14:textId="77777777" w:rsidR="00581E61" w:rsidRPr="00B33EFC" w:rsidRDefault="00581E61">
            <w:pPr>
              <w:rPr>
                <w:rFonts w:cstheme="minorHAnsi"/>
                <w:sz w:val="20"/>
              </w:rPr>
            </w:pPr>
            <w:r w:rsidRPr="00B33EFC">
              <w:rPr>
                <w:rFonts w:cstheme="minorHAnsi"/>
                <w:sz w:val="20"/>
              </w:rPr>
              <w:t>DEQ About CZM</w:t>
            </w:r>
          </w:p>
        </w:tc>
        <w:tc>
          <w:tcPr>
            <w:tcW w:w="828" w:type="dxa"/>
            <w:tcBorders>
              <w:top w:val="single" w:sz="4" w:space="0" w:color="auto"/>
              <w:bottom w:val="single" w:sz="4" w:space="0" w:color="auto"/>
            </w:tcBorders>
            <w:noWrap/>
            <w:vAlign w:val="center"/>
            <w:hideMark/>
          </w:tcPr>
          <w:p w14:paraId="100CF2E7" w14:textId="77777777" w:rsidR="00581E61" w:rsidRPr="00B33EFC" w:rsidRDefault="00581E61">
            <w:pPr>
              <w:rPr>
                <w:rFonts w:cstheme="minorHAnsi"/>
                <w:sz w:val="20"/>
                <w:u w:val="single"/>
              </w:rPr>
            </w:pPr>
            <w:hyperlink r:id="rId30" w:history="1">
              <w:r w:rsidRPr="00B33EFC">
                <w:rPr>
                  <w:rStyle w:val="Hyperlink"/>
                  <w:rFonts w:cstheme="minorHAnsi"/>
                  <w:sz w:val="20"/>
                </w:rPr>
                <w:t>https://www.deq.virginia.gov/our-programs/coastal-zone-management/about-czm</w:t>
              </w:r>
            </w:hyperlink>
          </w:p>
        </w:tc>
      </w:tr>
      <w:tr w:rsidR="00581E61" w:rsidRPr="00B33EFC" w14:paraId="0EB4A900" w14:textId="77777777" w:rsidTr="006E7FE7">
        <w:trPr>
          <w:trHeight w:val="300"/>
        </w:trPr>
        <w:tc>
          <w:tcPr>
            <w:tcW w:w="8748" w:type="dxa"/>
            <w:tcBorders>
              <w:top w:val="single" w:sz="4" w:space="0" w:color="auto"/>
              <w:bottom w:val="single" w:sz="4" w:space="0" w:color="auto"/>
            </w:tcBorders>
            <w:noWrap/>
            <w:hideMark/>
          </w:tcPr>
          <w:p w14:paraId="3B7EFCD3" w14:textId="77777777" w:rsidR="00581E61" w:rsidRPr="00B33EFC" w:rsidRDefault="00581E61">
            <w:pPr>
              <w:rPr>
                <w:rFonts w:cstheme="minorHAnsi"/>
                <w:sz w:val="20"/>
              </w:rPr>
            </w:pPr>
            <w:r w:rsidRPr="00B33EFC">
              <w:rPr>
                <w:rFonts w:cstheme="minorHAnsi"/>
                <w:sz w:val="20"/>
              </w:rPr>
              <w:t>DEQ About US</w:t>
            </w:r>
          </w:p>
        </w:tc>
        <w:tc>
          <w:tcPr>
            <w:tcW w:w="828" w:type="dxa"/>
            <w:tcBorders>
              <w:top w:val="single" w:sz="4" w:space="0" w:color="auto"/>
              <w:bottom w:val="single" w:sz="4" w:space="0" w:color="auto"/>
            </w:tcBorders>
            <w:noWrap/>
            <w:vAlign w:val="center"/>
            <w:hideMark/>
          </w:tcPr>
          <w:p w14:paraId="11B60398" w14:textId="77777777" w:rsidR="00581E61" w:rsidRPr="00B33EFC" w:rsidRDefault="00581E61">
            <w:pPr>
              <w:rPr>
                <w:rFonts w:cstheme="minorHAnsi"/>
                <w:sz w:val="20"/>
                <w:u w:val="single"/>
              </w:rPr>
            </w:pPr>
            <w:hyperlink r:id="rId31" w:history="1">
              <w:r w:rsidRPr="00B33EFC">
                <w:rPr>
                  <w:rStyle w:val="Hyperlink"/>
                  <w:rFonts w:cstheme="minorHAnsi"/>
                  <w:sz w:val="20"/>
                </w:rPr>
                <w:t>https://www.deq.virginia.gov/get-involved/about-us</w:t>
              </w:r>
            </w:hyperlink>
          </w:p>
        </w:tc>
      </w:tr>
      <w:tr w:rsidR="00581E61" w:rsidRPr="00B33EFC" w14:paraId="20F29324" w14:textId="77777777" w:rsidTr="006E7FE7">
        <w:trPr>
          <w:trHeight w:val="300"/>
        </w:trPr>
        <w:tc>
          <w:tcPr>
            <w:tcW w:w="8748" w:type="dxa"/>
            <w:tcBorders>
              <w:top w:val="single" w:sz="4" w:space="0" w:color="auto"/>
              <w:bottom w:val="single" w:sz="4" w:space="0" w:color="auto"/>
            </w:tcBorders>
            <w:noWrap/>
            <w:hideMark/>
          </w:tcPr>
          <w:p w14:paraId="43C4231E" w14:textId="77777777" w:rsidR="00581E61" w:rsidRPr="00B33EFC" w:rsidRDefault="00581E61">
            <w:pPr>
              <w:rPr>
                <w:rFonts w:cstheme="minorHAnsi"/>
                <w:sz w:val="20"/>
              </w:rPr>
            </w:pPr>
            <w:r w:rsidRPr="00B33EFC">
              <w:rPr>
                <w:rFonts w:cstheme="minorHAnsi"/>
                <w:sz w:val="20"/>
              </w:rPr>
              <w:t>DEQ Chesapeake Bay</w:t>
            </w:r>
          </w:p>
        </w:tc>
        <w:tc>
          <w:tcPr>
            <w:tcW w:w="828" w:type="dxa"/>
            <w:tcBorders>
              <w:top w:val="single" w:sz="4" w:space="0" w:color="auto"/>
              <w:bottom w:val="single" w:sz="4" w:space="0" w:color="auto"/>
            </w:tcBorders>
            <w:noWrap/>
            <w:vAlign w:val="center"/>
            <w:hideMark/>
          </w:tcPr>
          <w:p w14:paraId="5683FFA0" w14:textId="77777777" w:rsidR="00581E61" w:rsidRPr="00B33EFC" w:rsidRDefault="00581E61">
            <w:pPr>
              <w:rPr>
                <w:rFonts w:cstheme="minorHAnsi"/>
                <w:sz w:val="20"/>
                <w:u w:val="single"/>
              </w:rPr>
            </w:pPr>
            <w:hyperlink r:id="rId32" w:history="1">
              <w:r w:rsidRPr="00B33EFC">
                <w:rPr>
                  <w:rStyle w:val="Hyperlink"/>
                  <w:rFonts w:cstheme="minorHAnsi"/>
                  <w:sz w:val="20"/>
                </w:rPr>
                <w:t>https://www.deq.virginia.gov/our-programs/water/chesapeake-bay</w:t>
              </w:r>
            </w:hyperlink>
          </w:p>
        </w:tc>
      </w:tr>
      <w:tr w:rsidR="00581E61" w:rsidRPr="00B33EFC" w14:paraId="618552AA" w14:textId="77777777" w:rsidTr="006E7FE7">
        <w:trPr>
          <w:trHeight w:val="300"/>
        </w:trPr>
        <w:tc>
          <w:tcPr>
            <w:tcW w:w="8748" w:type="dxa"/>
            <w:tcBorders>
              <w:top w:val="single" w:sz="4" w:space="0" w:color="auto"/>
              <w:bottom w:val="single" w:sz="4" w:space="0" w:color="auto"/>
            </w:tcBorders>
            <w:noWrap/>
            <w:hideMark/>
          </w:tcPr>
          <w:p w14:paraId="150382C7" w14:textId="77777777" w:rsidR="00581E61" w:rsidRPr="00B33EFC" w:rsidRDefault="00581E61">
            <w:pPr>
              <w:rPr>
                <w:rFonts w:cstheme="minorHAnsi"/>
                <w:sz w:val="20"/>
              </w:rPr>
            </w:pPr>
            <w:r w:rsidRPr="00B33EFC">
              <w:rPr>
                <w:rFonts w:cstheme="minorHAnsi"/>
                <w:sz w:val="20"/>
              </w:rPr>
              <w:t>DEQ Chesapeake Bay Monitoring</w:t>
            </w:r>
          </w:p>
        </w:tc>
        <w:tc>
          <w:tcPr>
            <w:tcW w:w="828" w:type="dxa"/>
            <w:tcBorders>
              <w:top w:val="single" w:sz="4" w:space="0" w:color="auto"/>
              <w:bottom w:val="single" w:sz="4" w:space="0" w:color="auto"/>
            </w:tcBorders>
            <w:noWrap/>
            <w:vAlign w:val="center"/>
            <w:hideMark/>
          </w:tcPr>
          <w:p w14:paraId="42BCD6B2" w14:textId="77777777" w:rsidR="00581E61" w:rsidRPr="00B33EFC" w:rsidRDefault="00581E61">
            <w:pPr>
              <w:rPr>
                <w:rFonts w:cstheme="minorHAnsi"/>
                <w:sz w:val="20"/>
                <w:u w:val="single"/>
              </w:rPr>
            </w:pPr>
            <w:hyperlink r:id="rId33" w:history="1">
              <w:r w:rsidRPr="00B33EFC">
                <w:rPr>
                  <w:rStyle w:val="Hyperlink"/>
                  <w:rFonts w:cstheme="minorHAnsi"/>
                  <w:sz w:val="20"/>
                </w:rPr>
                <w:t>https://www.deq.virginia.gov/our-programs/water/water-quality/monitoring/chesapeake-bay-monitoring</w:t>
              </w:r>
            </w:hyperlink>
          </w:p>
        </w:tc>
      </w:tr>
      <w:tr w:rsidR="00581E61" w:rsidRPr="00B33EFC" w14:paraId="4CF69071" w14:textId="77777777" w:rsidTr="006E7FE7">
        <w:trPr>
          <w:trHeight w:val="300"/>
        </w:trPr>
        <w:tc>
          <w:tcPr>
            <w:tcW w:w="8748" w:type="dxa"/>
            <w:tcBorders>
              <w:top w:val="single" w:sz="4" w:space="0" w:color="auto"/>
              <w:bottom w:val="single" w:sz="4" w:space="0" w:color="auto"/>
            </w:tcBorders>
            <w:noWrap/>
            <w:hideMark/>
          </w:tcPr>
          <w:p w14:paraId="52C12217" w14:textId="77777777" w:rsidR="00581E61" w:rsidRPr="00B33EFC" w:rsidRDefault="00581E61">
            <w:pPr>
              <w:rPr>
                <w:rFonts w:cstheme="minorHAnsi"/>
                <w:sz w:val="20"/>
              </w:rPr>
            </w:pPr>
            <w:r w:rsidRPr="00B33EFC">
              <w:rPr>
                <w:rFonts w:cstheme="minorHAnsi"/>
                <w:sz w:val="20"/>
              </w:rPr>
              <w:t>DEQ Chesapeake Bay Nutrient &amp; Sediment Reduction Milestones</w:t>
            </w:r>
          </w:p>
        </w:tc>
        <w:tc>
          <w:tcPr>
            <w:tcW w:w="828" w:type="dxa"/>
            <w:tcBorders>
              <w:top w:val="single" w:sz="4" w:space="0" w:color="auto"/>
              <w:bottom w:val="single" w:sz="4" w:space="0" w:color="auto"/>
            </w:tcBorders>
            <w:noWrap/>
            <w:vAlign w:val="center"/>
            <w:hideMark/>
          </w:tcPr>
          <w:p w14:paraId="5645C07E" w14:textId="77777777" w:rsidR="00581E61" w:rsidRPr="00B33EFC" w:rsidRDefault="00581E61">
            <w:pPr>
              <w:rPr>
                <w:rFonts w:cstheme="minorHAnsi"/>
                <w:sz w:val="20"/>
                <w:u w:val="single"/>
              </w:rPr>
            </w:pPr>
            <w:hyperlink r:id="rId34" w:history="1">
              <w:r w:rsidRPr="00B33EFC">
                <w:rPr>
                  <w:rStyle w:val="Hyperlink"/>
                  <w:rFonts w:cstheme="minorHAnsi"/>
                  <w:sz w:val="20"/>
                </w:rPr>
                <w:t>https://www.deq.virginia.gov/our-programs/water/chesapeake-bay/chesapeake-bay-nutrient-sediment-reduction-milestones</w:t>
              </w:r>
            </w:hyperlink>
          </w:p>
        </w:tc>
      </w:tr>
      <w:tr w:rsidR="00581E61" w:rsidRPr="00B33EFC" w14:paraId="3AD66609" w14:textId="77777777" w:rsidTr="006E7FE7">
        <w:trPr>
          <w:trHeight w:val="300"/>
        </w:trPr>
        <w:tc>
          <w:tcPr>
            <w:tcW w:w="8748" w:type="dxa"/>
            <w:tcBorders>
              <w:top w:val="single" w:sz="4" w:space="0" w:color="auto"/>
              <w:bottom w:val="single" w:sz="4" w:space="0" w:color="auto"/>
            </w:tcBorders>
            <w:noWrap/>
            <w:hideMark/>
          </w:tcPr>
          <w:p w14:paraId="2A1023C2" w14:textId="167A2253" w:rsidR="00581E61" w:rsidRPr="00B33EFC" w:rsidRDefault="00581E61">
            <w:pPr>
              <w:rPr>
                <w:rFonts w:cstheme="minorHAnsi"/>
                <w:sz w:val="20"/>
              </w:rPr>
            </w:pPr>
            <w:r w:rsidRPr="00B33EFC">
              <w:rPr>
                <w:rFonts w:cstheme="minorHAnsi"/>
                <w:sz w:val="20"/>
              </w:rPr>
              <w:t>DEQ Cit</w:t>
            </w:r>
            <w:r w:rsidR="004B6815">
              <w:rPr>
                <w:rFonts w:cstheme="minorHAnsi"/>
                <w:sz w:val="20"/>
              </w:rPr>
              <w:t>izen Monitoring</w:t>
            </w:r>
          </w:p>
        </w:tc>
        <w:tc>
          <w:tcPr>
            <w:tcW w:w="828" w:type="dxa"/>
            <w:tcBorders>
              <w:top w:val="single" w:sz="4" w:space="0" w:color="auto"/>
              <w:bottom w:val="single" w:sz="4" w:space="0" w:color="auto"/>
            </w:tcBorders>
            <w:noWrap/>
            <w:vAlign w:val="center"/>
            <w:hideMark/>
          </w:tcPr>
          <w:p w14:paraId="483881BF" w14:textId="77777777" w:rsidR="00581E61" w:rsidRPr="00B33EFC" w:rsidRDefault="00581E61">
            <w:pPr>
              <w:rPr>
                <w:rFonts w:cstheme="minorHAnsi"/>
                <w:sz w:val="20"/>
                <w:u w:val="single"/>
              </w:rPr>
            </w:pPr>
            <w:hyperlink r:id="rId35" w:history="1">
              <w:r w:rsidRPr="00B33EFC">
                <w:rPr>
                  <w:rStyle w:val="Hyperlink"/>
                  <w:rFonts w:cstheme="minorHAnsi"/>
                  <w:sz w:val="20"/>
                </w:rPr>
                <w:t>https://www.deq.virginia.gov/our-programs/water/water-quality/monitoring/citizen-monitoring</w:t>
              </w:r>
            </w:hyperlink>
          </w:p>
        </w:tc>
      </w:tr>
      <w:tr w:rsidR="00D05B05" w:rsidRPr="00B33EFC" w14:paraId="55454129" w14:textId="77777777" w:rsidTr="006E7FE7">
        <w:trPr>
          <w:trHeight w:val="300"/>
        </w:trPr>
        <w:tc>
          <w:tcPr>
            <w:tcW w:w="8748" w:type="dxa"/>
            <w:tcBorders>
              <w:top w:val="single" w:sz="4" w:space="0" w:color="auto"/>
              <w:bottom w:val="single" w:sz="4" w:space="0" w:color="auto"/>
            </w:tcBorders>
            <w:noWrap/>
          </w:tcPr>
          <w:p w14:paraId="1A539ABC" w14:textId="0AE322CD" w:rsidR="00D05B05" w:rsidRPr="00B33EFC" w:rsidRDefault="00D05B05">
            <w:pPr>
              <w:rPr>
                <w:rFonts w:cstheme="minorHAnsi"/>
                <w:sz w:val="20"/>
              </w:rPr>
            </w:pPr>
            <w:r>
              <w:rPr>
                <w:rFonts w:cstheme="minorHAnsi"/>
                <w:sz w:val="20"/>
              </w:rPr>
              <w:t>DEQ Citizen Monitoring Methods Manual</w:t>
            </w:r>
          </w:p>
        </w:tc>
        <w:tc>
          <w:tcPr>
            <w:tcW w:w="828" w:type="dxa"/>
            <w:tcBorders>
              <w:top w:val="single" w:sz="4" w:space="0" w:color="auto"/>
              <w:bottom w:val="single" w:sz="4" w:space="0" w:color="auto"/>
            </w:tcBorders>
            <w:noWrap/>
            <w:vAlign w:val="center"/>
          </w:tcPr>
          <w:p w14:paraId="1463D73F" w14:textId="7284F8E0" w:rsidR="00231D46" w:rsidRPr="009014FF" w:rsidRDefault="00231D46">
            <w:pPr>
              <w:rPr>
                <w:sz w:val="20"/>
                <w:szCs w:val="16"/>
              </w:rPr>
            </w:pPr>
            <w:hyperlink r:id="rId36" w:history="1">
              <w:r w:rsidRPr="009014FF">
                <w:rPr>
                  <w:rStyle w:val="Hyperlink"/>
                  <w:sz w:val="20"/>
                  <w:szCs w:val="16"/>
                </w:rPr>
                <w:t>https://www.deq.virginia.gov/home/showpublisheddocument/12448/637704018822470000</w:t>
              </w:r>
            </w:hyperlink>
          </w:p>
        </w:tc>
      </w:tr>
      <w:tr w:rsidR="00581E61" w:rsidRPr="00B33EFC" w14:paraId="716E5584" w14:textId="77777777" w:rsidTr="006E7FE7">
        <w:trPr>
          <w:trHeight w:val="300"/>
        </w:trPr>
        <w:tc>
          <w:tcPr>
            <w:tcW w:w="8748" w:type="dxa"/>
            <w:tcBorders>
              <w:top w:val="single" w:sz="4" w:space="0" w:color="auto"/>
              <w:bottom w:val="single" w:sz="4" w:space="0" w:color="auto"/>
            </w:tcBorders>
            <w:noWrap/>
            <w:hideMark/>
          </w:tcPr>
          <w:p w14:paraId="4E154574" w14:textId="77777777" w:rsidR="00581E61" w:rsidRPr="00B33EFC" w:rsidRDefault="00581E61">
            <w:pPr>
              <w:rPr>
                <w:rFonts w:cstheme="minorHAnsi"/>
                <w:sz w:val="20"/>
              </w:rPr>
            </w:pPr>
            <w:r w:rsidRPr="00B33EFC">
              <w:rPr>
                <w:rFonts w:cstheme="minorHAnsi"/>
                <w:sz w:val="20"/>
              </w:rPr>
              <w:t>DEQ Coastal GEMS</w:t>
            </w:r>
          </w:p>
        </w:tc>
        <w:tc>
          <w:tcPr>
            <w:tcW w:w="828" w:type="dxa"/>
            <w:tcBorders>
              <w:top w:val="single" w:sz="4" w:space="0" w:color="auto"/>
              <w:bottom w:val="single" w:sz="4" w:space="0" w:color="auto"/>
            </w:tcBorders>
            <w:noWrap/>
            <w:vAlign w:val="center"/>
            <w:hideMark/>
          </w:tcPr>
          <w:p w14:paraId="21165958" w14:textId="77777777" w:rsidR="00581E61" w:rsidRPr="00B33EFC" w:rsidRDefault="00581E61">
            <w:pPr>
              <w:rPr>
                <w:rFonts w:cstheme="minorHAnsi"/>
                <w:sz w:val="20"/>
                <w:u w:val="single"/>
              </w:rPr>
            </w:pPr>
            <w:hyperlink r:id="rId37" w:history="1">
              <w:r w:rsidRPr="00B33EFC">
                <w:rPr>
                  <w:rStyle w:val="Hyperlink"/>
                  <w:rFonts w:cstheme="minorHAnsi"/>
                  <w:sz w:val="20"/>
                </w:rPr>
                <w:t>https://www.deq.virginia.gov/our-programs/coastal-zone-management/coastal-mapping/coastal-gems</w:t>
              </w:r>
            </w:hyperlink>
          </w:p>
        </w:tc>
      </w:tr>
      <w:tr w:rsidR="003427AB" w:rsidRPr="00B33EFC" w14:paraId="07915F24" w14:textId="77777777" w:rsidTr="006E7FE7">
        <w:trPr>
          <w:trHeight w:val="300"/>
        </w:trPr>
        <w:tc>
          <w:tcPr>
            <w:tcW w:w="8748" w:type="dxa"/>
            <w:tcBorders>
              <w:top w:val="single" w:sz="4" w:space="0" w:color="auto"/>
              <w:bottom w:val="single" w:sz="4" w:space="0" w:color="auto"/>
            </w:tcBorders>
            <w:noWrap/>
          </w:tcPr>
          <w:p w14:paraId="485466F4" w14:textId="4F9FB2B6" w:rsidR="003427AB" w:rsidRPr="00B33EFC" w:rsidRDefault="003427AB">
            <w:pPr>
              <w:rPr>
                <w:rFonts w:cstheme="minorHAnsi"/>
                <w:sz w:val="20"/>
              </w:rPr>
            </w:pPr>
            <w:r>
              <w:rPr>
                <w:rFonts w:cstheme="minorHAnsi"/>
                <w:sz w:val="20"/>
              </w:rPr>
              <w:t>DEQ Environmental Data Mapper (EDM)</w:t>
            </w:r>
          </w:p>
        </w:tc>
        <w:tc>
          <w:tcPr>
            <w:tcW w:w="828" w:type="dxa"/>
            <w:tcBorders>
              <w:top w:val="single" w:sz="4" w:space="0" w:color="auto"/>
              <w:bottom w:val="single" w:sz="4" w:space="0" w:color="auto"/>
            </w:tcBorders>
            <w:noWrap/>
            <w:vAlign w:val="center"/>
          </w:tcPr>
          <w:p w14:paraId="68FE8717" w14:textId="08259DC0" w:rsidR="003427AB" w:rsidRPr="004F5424" w:rsidRDefault="004F5424">
            <w:pPr>
              <w:rPr>
                <w:sz w:val="20"/>
              </w:rPr>
            </w:pPr>
            <w:hyperlink r:id="rId38" w:history="1">
              <w:r>
                <w:rPr>
                  <w:rStyle w:val="Hyperlink"/>
                  <w:sz w:val="20"/>
                </w:rPr>
                <w:t>https://apps.deq.virginia.gov/EDM/</w:t>
              </w:r>
            </w:hyperlink>
          </w:p>
        </w:tc>
      </w:tr>
      <w:tr w:rsidR="00581E61" w:rsidRPr="00B33EFC" w14:paraId="0712B43F" w14:textId="77777777" w:rsidTr="006E7FE7">
        <w:trPr>
          <w:trHeight w:val="300"/>
        </w:trPr>
        <w:tc>
          <w:tcPr>
            <w:tcW w:w="8748" w:type="dxa"/>
            <w:tcBorders>
              <w:top w:val="single" w:sz="4" w:space="0" w:color="auto"/>
              <w:bottom w:val="single" w:sz="4" w:space="0" w:color="auto"/>
            </w:tcBorders>
            <w:noWrap/>
            <w:hideMark/>
          </w:tcPr>
          <w:p w14:paraId="30D38CE9" w14:textId="77777777" w:rsidR="00581E61" w:rsidRPr="00B33EFC" w:rsidRDefault="00581E61">
            <w:pPr>
              <w:rPr>
                <w:rFonts w:cstheme="minorHAnsi"/>
                <w:sz w:val="20"/>
              </w:rPr>
            </w:pPr>
            <w:r w:rsidRPr="00B33EFC">
              <w:rPr>
                <w:rFonts w:cstheme="minorHAnsi"/>
                <w:sz w:val="20"/>
              </w:rPr>
              <w:t>DEQ Fish Tissue Monitoring</w:t>
            </w:r>
          </w:p>
        </w:tc>
        <w:tc>
          <w:tcPr>
            <w:tcW w:w="828" w:type="dxa"/>
            <w:tcBorders>
              <w:top w:val="single" w:sz="4" w:space="0" w:color="auto"/>
              <w:bottom w:val="single" w:sz="4" w:space="0" w:color="auto"/>
            </w:tcBorders>
            <w:noWrap/>
            <w:vAlign w:val="center"/>
            <w:hideMark/>
          </w:tcPr>
          <w:p w14:paraId="3ED1861C" w14:textId="77777777" w:rsidR="00581E61" w:rsidRPr="00B33EFC" w:rsidRDefault="00581E61">
            <w:pPr>
              <w:rPr>
                <w:rFonts w:cstheme="minorHAnsi"/>
                <w:sz w:val="20"/>
                <w:u w:val="single"/>
              </w:rPr>
            </w:pPr>
            <w:hyperlink r:id="rId39" w:history="1">
              <w:r w:rsidRPr="00B33EFC">
                <w:rPr>
                  <w:rStyle w:val="Hyperlink"/>
                  <w:rFonts w:cstheme="minorHAnsi"/>
                  <w:sz w:val="20"/>
                </w:rPr>
                <w:t>https://www.deq.virginia.gov/our-programs/water/water-quality/monitoring/fish-tissue-monitoring</w:t>
              </w:r>
            </w:hyperlink>
          </w:p>
        </w:tc>
      </w:tr>
      <w:tr w:rsidR="00581E61" w:rsidRPr="00B33EFC" w14:paraId="1162160D" w14:textId="77777777" w:rsidTr="006E7FE7">
        <w:trPr>
          <w:trHeight w:val="300"/>
        </w:trPr>
        <w:tc>
          <w:tcPr>
            <w:tcW w:w="8748" w:type="dxa"/>
            <w:tcBorders>
              <w:top w:val="single" w:sz="4" w:space="0" w:color="auto"/>
              <w:bottom w:val="single" w:sz="4" w:space="0" w:color="auto"/>
            </w:tcBorders>
            <w:noWrap/>
            <w:hideMark/>
          </w:tcPr>
          <w:p w14:paraId="739980B8" w14:textId="77777777" w:rsidR="00581E61" w:rsidRPr="00B33EFC" w:rsidRDefault="00581E61">
            <w:pPr>
              <w:rPr>
                <w:rFonts w:cstheme="minorHAnsi"/>
                <w:sz w:val="20"/>
              </w:rPr>
            </w:pPr>
            <w:r w:rsidRPr="00B33EFC">
              <w:rPr>
                <w:rFonts w:cstheme="minorHAnsi"/>
                <w:sz w:val="20"/>
              </w:rPr>
              <w:t xml:space="preserve">DEQ Groundwater Characterization </w:t>
            </w:r>
          </w:p>
        </w:tc>
        <w:tc>
          <w:tcPr>
            <w:tcW w:w="828" w:type="dxa"/>
            <w:tcBorders>
              <w:top w:val="single" w:sz="4" w:space="0" w:color="auto"/>
              <w:bottom w:val="single" w:sz="4" w:space="0" w:color="auto"/>
            </w:tcBorders>
            <w:noWrap/>
            <w:vAlign w:val="center"/>
            <w:hideMark/>
          </w:tcPr>
          <w:p w14:paraId="62EBF6A5" w14:textId="77777777" w:rsidR="00581E61" w:rsidRPr="00B33EFC" w:rsidRDefault="00581E61">
            <w:pPr>
              <w:rPr>
                <w:rFonts w:cstheme="minorHAnsi"/>
                <w:sz w:val="20"/>
                <w:u w:val="single"/>
              </w:rPr>
            </w:pPr>
            <w:hyperlink r:id="rId40" w:history="1">
              <w:r w:rsidRPr="00B33EFC">
                <w:rPr>
                  <w:rStyle w:val="Hyperlink"/>
                  <w:rFonts w:cstheme="minorHAnsi"/>
                  <w:sz w:val="20"/>
                </w:rPr>
                <w:t>https://www.deq.virginia.gov/our-programs/water/water-quantity/groundwater-characterization-program</w:t>
              </w:r>
            </w:hyperlink>
          </w:p>
        </w:tc>
      </w:tr>
      <w:tr w:rsidR="008E50FD" w:rsidRPr="00B33EFC" w14:paraId="74CB1673" w14:textId="77777777" w:rsidTr="006E7FE7">
        <w:trPr>
          <w:trHeight w:val="300"/>
        </w:trPr>
        <w:tc>
          <w:tcPr>
            <w:tcW w:w="8748" w:type="dxa"/>
            <w:tcBorders>
              <w:top w:val="single" w:sz="4" w:space="0" w:color="auto"/>
              <w:bottom w:val="single" w:sz="4" w:space="0" w:color="auto"/>
            </w:tcBorders>
            <w:noWrap/>
          </w:tcPr>
          <w:p w14:paraId="2D464BA6" w14:textId="59F7627F" w:rsidR="008E50FD" w:rsidRPr="00B33EFC" w:rsidRDefault="008E50FD">
            <w:pPr>
              <w:rPr>
                <w:rFonts w:cstheme="minorHAnsi"/>
                <w:sz w:val="20"/>
              </w:rPr>
            </w:pPr>
            <w:r>
              <w:rPr>
                <w:rFonts w:cstheme="minorHAnsi"/>
                <w:sz w:val="20"/>
              </w:rPr>
              <w:t>DEQ Harmful Algal Blooms</w:t>
            </w:r>
          </w:p>
        </w:tc>
        <w:tc>
          <w:tcPr>
            <w:tcW w:w="828" w:type="dxa"/>
            <w:tcBorders>
              <w:top w:val="single" w:sz="4" w:space="0" w:color="auto"/>
              <w:bottom w:val="single" w:sz="4" w:space="0" w:color="auto"/>
            </w:tcBorders>
            <w:noWrap/>
            <w:vAlign w:val="center"/>
          </w:tcPr>
          <w:p w14:paraId="7CD0E416" w14:textId="3E4B737A" w:rsidR="008E50FD" w:rsidRPr="00766CFF" w:rsidRDefault="00766CFF">
            <w:pPr>
              <w:rPr>
                <w:sz w:val="20"/>
              </w:rPr>
            </w:pPr>
            <w:hyperlink r:id="rId41" w:history="1">
              <w:r>
                <w:rPr>
                  <w:rStyle w:val="Hyperlink"/>
                  <w:sz w:val="20"/>
                </w:rPr>
                <w:t>https://www.deq.virginia.gov/topics-of-interest/harmful-algal-blooms</w:t>
              </w:r>
            </w:hyperlink>
          </w:p>
        </w:tc>
      </w:tr>
      <w:tr w:rsidR="00581E61" w:rsidRPr="00B33EFC" w14:paraId="161AD6B9" w14:textId="77777777" w:rsidTr="006E7FE7">
        <w:trPr>
          <w:trHeight w:val="300"/>
        </w:trPr>
        <w:tc>
          <w:tcPr>
            <w:tcW w:w="8748" w:type="dxa"/>
            <w:tcBorders>
              <w:top w:val="single" w:sz="4" w:space="0" w:color="auto"/>
              <w:bottom w:val="single" w:sz="4" w:space="0" w:color="auto"/>
            </w:tcBorders>
            <w:noWrap/>
            <w:hideMark/>
          </w:tcPr>
          <w:p w14:paraId="7AF498BB" w14:textId="77777777" w:rsidR="00581E61" w:rsidRPr="00B33EFC" w:rsidRDefault="00581E61">
            <w:pPr>
              <w:rPr>
                <w:rFonts w:cstheme="minorHAnsi"/>
                <w:sz w:val="20"/>
              </w:rPr>
            </w:pPr>
            <w:r w:rsidRPr="00B33EFC">
              <w:rPr>
                <w:rFonts w:cstheme="minorHAnsi"/>
                <w:sz w:val="20"/>
              </w:rPr>
              <w:t>DEQ Home Page</w:t>
            </w:r>
          </w:p>
        </w:tc>
        <w:tc>
          <w:tcPr>
            <w:tcW w:w="828" w:type="dxa"/>
            <w:tcBorders>
              <w:top w:val="single" w:sz="4" w:space="0" w:color="auto"/>
              <w:bottom w:val="single" w:sz="4" w:space="0" w:color="auto"/>
            </w:tcBorders>
            <w:noWrap/>
            <w:vAlign w:val="center"/>
            <w:hideMark/>
          </w:tcPr>
          <w:p w14:paraId="14943DFD" w14:textId="77777777" w:rsidR="00581E61" w:rsidRPr="00B33EFC" w:rsidRDefault="00581E61">
            <w:pPr>
              <w:rPr>
                <w:rFonts w:cstheme="minorHAnsi"/>
                <w:sz w:val="20"/>
                <w:u w:val="single"/>
              </w:rPr>
            </w:pPr>
            <w:hyperlink r:id="rId42" w:history="1">
              <w:r w:rsidRPr="00B33EFC">
                <w:rPr>
                  <w:rStyle w:val="Hyperlink"/>
                  <w:rFonts w:cstheme="minorHAnsi"/>
                  <w:sz w:val="20"/>
                </w:rPr>
                <w:t>https://www.deq.virginia.gov/</w:t>
              </w:r>
            </w:hyperlink>
          </w:p>
        </w:tc>
      </w:tr>
      <w:tr w:rsidR="00581E61" w:rsidRPr="00B33EFC" w14:paraId="2645BFBD" w14:textId="77777777" w:rsidTr="006E7FE7">
        <w:trPr>
          <w:trHeight w:val="300"/>
        </w:trPr>
        <w:tc>
          <w:tcPr>
            <w:tcW w:w="8748" w:type="dxa"/>
            <w:tcBorders>
              <w:top w:val="single" w:sz="4" w:space="0" w:color="auto"/>
              <w:bottom w:val="single" w:sz="4" w:space="0" w:color="auto"/>
            </w:tcBorders>
            <w:noWrap/>
            <w:hideMark/>
          </w:tcPr>
          <w:p w14:paraId="1EAC3972" w14:textId="77777777" w:rsidR="00581E61" w:rsidRPr="00B33EFC" w:rsidRDefault="00581E61">
            <w:pPr>
              <w:rPr>
                <w:rFonts w:cstheme="minorHAnsi"/>
                <w:sz w:val="20"/>
              </w:rPr>
            </w:pPr>
            <w:r w:rsidRPr="00B33EFC">
              <w:rPr>
                <w:rFonts w:cstheme="minorHAnsi"/>
                <w:sz w:val="20"/>
              </w:rPr>
              <w:lastRenderedPageBreak/>
              <w:t xml:space="preserve">DEQ Implementation Planning </w:t>
            </w:r>
          </w:p>
        </w:tc>
        <w:tc>
          <w:tcPr>
            <w:tcW w:w="828" w:type="dxa"/>
            <w:tcBorders>
              <w:top w:val="single" w:sz="4" w:space="0" w:color="auto"/>
              <w:bottom w:val="single" w:sz="4" w:space="0" w:color="auto"/>
            </w:tcBorders>
            <w:noWrap/>
            <w:vAlign w:val="center"/>
            <w:hideMark/>
          </w:tcPr>
          <w:p w14:paraId="502493C5" w14:textId="77777777" w:rsidR="00581E61" w:rsidRPr="00B33EFC" w:rsidRDefault="00581E61">
            <w:pPr>
              <w:rPr>
                <w:rFonts w:cstheme="minorHAnsi"/>
                <w:sz w:val="20"/>
                <w:u w:val="single"/>
              </w:rPr>
            </w:pPr>
            <w:hyperlink r:id="rId43" w:history="1">
              <w:r w:rsidRPr="00B33EFC">
                <w:rPr>
                  <w:rStyle w:val="Hyperlink"/>
                  <w:rFonts w:cstheme="minorHAnsi"/>
                  <w:sz w:val="20"/>
                </w:rPr>
                <w:t>https://www.deq.virginia.gov/our-programs/water/water-quality/implementation</w:t>
              </w:r>
            </w:hyperlink>
          </w:p>
        </w:tc>
      </w:tr>
      <w:tr w:rsidR="00581E61" w:rsidRPr="00B33EFC" w14:paraId="5ABB7995" w14:textId="77777777" w:rsidTr="006E7FE7">
        <w:trPr>
          <w:trHeight w:val="300"/>
        </w:trPr>
        <w:tc>
          <w:tcPr>
            <w:tcW w:w="8748" w:type="dxa"/>
            <w:tcBorders>
              <w:top w:val="single" w:sz="4" w:space="0" w:color="auto"/>
              <w:bottom w:val="single" w:sz="4" w:space="0" w:color="auto"/>
            </w:tcBorders>
            <w:noWrap/>
            <w:hideMark/>
          </w:tcPr>
          <w:p w14:paraId="5CD980F6" w14:textId="77777777" w:rsidR="00581E61" w:rsidRPr="00B33EFC" w:rsidRDefault="00581E61">
            <w:pPr>
              <w:rPr>
                <w:rFonts w:cstheme="minorHAnsi"/>
                <w:sz w:val="20"/>
              </w:rPr>
            </w:pPr>
            <w:r w:rsidRPr="00B33EFC">
              <w:rPr>
                <w:rFonts w:cstheme="minorHAnsi"/>
                <w:sz w:val="20"/>
              </w:rPr>
              <w:t>DEQ Implementation projects</w:t>
            </w:r>
          </w:p>
        </w:tc>
        <w:tc>
          <w:tcPr>
            <w:tcW w:w="828" w:type="dxa"/>
            <w:tcBorders>
              <w:top w:val="single" w:sz="4" w:space="0" w:color="auto"/>
              <w:bottom w:val="single" w:sz="4" w:space="0" w:color="auto"/>
            </w:tcBorders>
            <w:noWrap/>
            <w:vAlign w:val="center"/>
            <w:hideMark/>
          </w:tcPr>
          <w:p w14:paraId="1F354C43" w14:textId="77777777" w:rsidR="00581E61" w:rsidRPr="00B33EFC" w:rsidRDefault="00581E61">
            <w:pPr>
              <w:rPr>
                <w:rFonts w:cstheme="minorHAnsi"/>
                <w:sz w:val="20"/>
                <w:u w:val="single"/>
              </w:rPr>
            </w:pPr>
            <w:hyperlink r:id="rId44" w:history="1">
              <w:r w:rsidRPr="00B33EFC">
                <w:rPr>
                  <w:rStyle w:val="Hyperlink"/>
                  <w:rFonts w:cstheme="minorHAnsi"/>
                  <w:sz w:val="20"/>
                </w:rPr>
                <w:t>https://www.deq.virginia.gov/our-programs/water/water-quality/implementation/implementation-projects</w:t>
              </w:r>
            </w:hyperlink>
          </w:p>
        </w:tc>
      </w:tr>
      <w:tr w:rsidR="00581E61" w:rsidRPr="00B33EFC" w14:paraId="43A91AA8" w14:textId="77777777" w:rsidTr="006E7FE7">
        <w:trPr>
          <w:trHeight w:val="300"/>
        </w:trPr>
        <w:tc>
          <w:tcPr>
            <w:tcW w:w="8748" w:type="dxa"/>
            <w:tcBorders>
              <w:top w:val="single" w:sz="4" w:space="0" w:color="auto"/>
              <w:bottom w:val="single" w:sz="4" w:space="0" w:color="auto"/>
            </w:tcBorders>
            <w:noWrap/>
            <w:hideMark/>
          </w:tcPr>
          <w:p w14:paraId="653441C3" w14:textId="77777777" w:rsidR="00581E61" w:rsidRPr="00B33EFC" w:rsidRDefault="00581E61">
            <w:pPr>
              <w:rPr>
                <w:rFonts w:cstheme="minorHAnsi"/>
                <w:sz w:val="20"/>
              </w:rPr>
            </w:pPr>
            <w:r w:rsidRPr="00B33EFC">
              <w:rPr>
                <w:rFonts w:cstheme="minorHAnsi"/>
                <w:sz w:val="20"/>
              </w:rPr>
              <w:t>DEQ Mapping Virginia’s Coastal resources</w:t>
            </w:r>
          </w:p>
        </w:tc>
        <w:tc>
          <w:tcPr>
            <w:tcW w:w="828" w:type="dxa"/>
            <w:tcBorders>
              <w:top w:val="single" w:sz="4" w:space="0" w:color="auto"/>
              <w:bottom w:val="single" w:sz="4" w:space="0" w:color="auto"/>
            </w:tcBorders>
            <w:noWrap/>
            <w:vAlign w:val="center"/>
            <w:hideMark/>
          </w:tcPr>
          <w:p w14:paraId="20CBC09D" w14:textId="77777777" w:rsidR="00581E61" w:rsidRPr="00B33EFC" w:rsidRDefault="00581E61">
            <w:pPr>
              <w:rPr>
                <w:rFonts w:cstheme="minorHAnsi"/>
                <w:sz w:val="20"/>
                <w:u w:val="single"/>
              </w:rPr>
            </w:pPr>
            <w:hyperlink r:id="rId45" w:history="1">
              <w:r w:rsidRPr="00B33EFC">
                <w:rPr>
                  <w:rStyle w:val="Hyperlink"/>
                  <w:rFonts w:cstheme="minorHAnsi"/>
                  <w:sz w:val="20"/>
                </w:rPr>
                <w:t>https://www.deq.virginia.gov/our-programs/coastal-zone-management/coastal-mapping</w:t>
              </w:r>
            </w:hyperlink>
          </w:p>
        </w:tc>
      </w:tr>
      <w:tr w:rsidR="00581E61" w:rsidRPr="00B33EFC" w14:paraId="510BDF25" w14:textId="77777777" w:rsidTr="006E7FE7">
        <w:trPr>
          <w:trHeight w:val="300"/>
        </w:trPr>
        <w:tc>
          <w:tcPr>
            <w:tcW w:w="8748" w:type="dxa"/>
            <w:tcBorders>
              <w:top w:val="single" w:sz="4" w:space="0" w:color="auto"/>
              <w:bottom w:val="single" w:sz="4" w:space="0" w:color="auto"/>
            </w:tcBorders>
            <w:noWrap/>
            <w:hideMark/>
          </w:tcPr>
          <w:p w14:paraId="49706DC8" w14:textId="77777777" w:rsidR="00581E61" w:rsidRPr="00B33EFC" w:rsidRDefault="00581E61">
            <w:pPr>
              <w:rPr>
                <w:rFonts w:cstheme="minorHAnsi"/>
                <w:sz w:val="20"/>
              </w:rPr>
            </w:pPr>
            <w:r w:rsidRPr="00B33EFC">
              <w:rPr>
                <w:rFonts w:cstheme="minorHAnsi"/>
                <w:sz w:val="20"/>
              </w:rPr>
              <w:t>DEQ NPS Funding, Grant, and Project Resources</w:t>
            </w:r>
          </w:p>
        </w:tc>
        <w:tc>
          <w:tcPr>
            <w:tcW w:w="828" w:type="dxa"/>
            <w:tcBorders>
              <w:top w:val="single" w:sz="4" w:space="0" w:color="auto"/>
              <w:bottom w:val="single" w:sz="4" w:space="0" w:color="auto"/>
            </w:tcBorders>
            <w:noWrap/>
            <w:vAlign w:val="center"/>
            <w:hideMark/>
          </w:tcPr>
          <w:p w14:paraId="793067D2" w14:textId="77777777" w:rsidR="00581E61" w:rsidRPr="00B33EFC" w:rsidRDefault="00581E61">
            <w:pPr>
              <w:rPr>
                <w:rFonts w:cstheme="minorHAnsi"/>
                <w:sz w:val="20"/>
                <w:u w:val="single"/>
              </w:rPr>
            </w:pPr>
            <w:hyperlink r:id="rId46" w:history="1">
              <w:r w:rsidRPr="00B33EFC">
                <w:rPr>
                  <w:rStyle w:val="Hyperlink"/>
                  <w:rFonts w:cstheme="minorHAnsi"/>
                  <w:sz w:val="20"/>
                </w:rPr>
                <w:t>https://www.deq.virginia.gov/our-programs/water/water-quality/nonpoint-source-management/funding-grant-and-project-resources</w:t>
              </w:r>
            </w:hyperlink>
          </w:p>
        </w:tc>
      </w:tr>
      <w:tr w:rsidR="00581E61" w:rsidRPr="00B33EFC" w14:paraId="4CF95B31" w14:textId="77777777" w:rsidTr="006E7FE7">
        <w:trPr>
          <w:trHeight w:val="300"/>
        </w:trPr>
        <w:tc>
          <w:tcPr>
            <w:tcW w:w="8748" w:type="dxa"/>
            <w:tcBorders>
              <w:top w:val="single" w:sz="4" w:space="0" w:color="auto"/>
              <w:bottom w:val="single" w:sz="4" w:space="0" w:color="auto"/>
            </w:tcBorders>
            <w:noWrap/>
            <w:hideMark/>
          </w:tcPr>
          <w:p w14:paraId="4F7C7205" w14:textId="77777777" w:rsidR="00581E61" w:rsidRPr="00B33EFC" w:rsidRDefault="00581E61">
            <w:pPr>
              <w:rPr>
                <w:rFonts w:cstheme="minorHAnsi"/>
                <w:sz w:val="20"/>
              </w:rPr>
            </w:pPr>
            <w:r w:rsidRPr="00B33EFC">
              <w:rPr>
                <w:rFonts w:cstheme="minorHAnsi"/>
                <w:sz w:val="20"/>
              </w:rPr>
              <w:t>DEQ Office of Remediation Programs webpage</w:t>
            </w:r>
          </w:p>
        </w:tc>
        <w:tc>
          <w:tcPr>
            <w:tcW w:w="828" w:type="dxa"/>
            <w:tcBorders>
              <w:top w:val="single" w:sz="4" w:space="0" w:color="auto"/>
              <w:bottom w:val="single" w:sz="4" w:space="0" w:color="auto"/>
            </w:tcBorders>
            <w:noWrap/>
            <w:vAlign w:val="center"/>
            <w:hideMark/>
          </w:tcPr>
          <w:p w14:paraId="742F1303" w14:textId="77777777" w:rsidR="00581E61" w:rsidRPr="00B33EFC" w:rsidRDefault="00581E61">
            <w:pPr>
              <w:rPr>
                <w:rFonts w:cstheme="minorHAnsi"/>
                <w:sz w:val="20"/>
                <w:u w:val="single"/>
              </w:rPr>
            </w:pPr>
            <w:hyperlink r:id="rId47" w:history="1">
              <w:r w:rsidRPr="00B33EFC">
                <w:rPr>
                  <w:rStyle w:val="Hyperlink"/>
                  <w:rFonts w:cstheme="minorHAnsi"/>
                  <w:sz w:val="20"/>
                </w:rPr>
                <w:t>https://www.deq.virginia.gov/our-programs/land-waste/land-remediation</w:t>
              </w:r>
            </w:hyperlink>
          </w:p>
        </w:tc>
      </w:tr>
      <w:tr w:rsidR="00581E61" w:rsidRPr="00B33EFC" w14:paraId="2B41C364" w14:textId="77777777" w:rsidTr="006E7FE7">
        <w:trPr>
          <w:trHeight w:val="300"/>
        </w:trPr>
        <w:tc>
          <w:tcPr>
            <w:tcW w:w="8748" w:type="dxa"/>
            <w:tcBorders>
              <w:top w:val="single" w:sz="4" w:space="0" w:color="auto"/>
              <w:bottom w:val="single" w:sz="4" w:space="0" w:color="auto"/>
            </w:tcBorders>
            <w:noWrap/>
            <w:hideMark/>
          </w:tcPr>
          <w:p w14:paraId="152C3F72" w14:textId="77777777" w:rsidR="00581E61" w:rsidRPr="00B33EFC" w:rsidRDefault="00581E61">
            <w:pPr>
              <w:rPr>
                <w:rFonts w:cstheme="minorHAnsi"/>
                <w:sz w:val="20"/>
              </w:rPr>
            </w:pPr>
            <w:r w:rsidRPr="00B33EFC">
              <w:rPr>
                <w:rFonts w:cstheme="minorHAnsi"/>
                <w:sz w:val="20"/>
              </w:rPr>
              <w:t>DEQ Per- and Polyfluoroalkyl Substances (PFAS)</w:t>
            </w:r>
          </w:p>
        </w:tc>
        <w:tc>
          <w:tcPr>
            <w:tcW w:w="828" w:type="dxa"/>
            <w:tcBorders>
              <w:top w:val="single" w:sz="4" w:space="0" w:color="auto"/>
              <w:bottom w:val="single" w:sz="4" w:space="0" w:color="auto"/>
            </w:tcBorders>
            <w:noWrap/>
            <w:vAlign w:val="center"/>
            <w:hideMark/>
          </w:tcPr>
          <w:p w14:paraId="5D8AA751" w14:textId="77777777" w:rsidR="00581E61" w:rsidRPr="00B33EFC" w:rsidRDefault="00581E61">
            <w:pPr>
              <w:rPr>
                <w:rFonts w:cstheme="minorHAnsi"/>
                <w:sz w:val="20"/>
                <w:u w:val="single"/>
              </w:rPr>
            </w:pPr>
            <w:hyperlink r:id="rId48" w:history="1">
              <w:r w:rsidRPr="00B33EFC">
                <w:rPr>
                  <w:rStyle w:val="Hyperlink"/>
                  <w:rFonts w:cstheme="minorHAnsi"/>
                  <w:sz w:val="20"/>
                </w:rPr>
                <w:t>https://www.deq.virginia.gov/topics-of-interest/per-and-polyfluoroalkyl-substances-pfas</w:t>
              </w:r>
            </w:hyperlink>
          </w:p>
        </w:tc>
      </w:tr>
      <w:tr w:rsidR="00581E61" w:rsidRPr="00B33EFC" w14:paraId="03E00E55" w14:textId="77777777" w:rsidTr="006E7FE7">
        <w:trPr>
          <w:trHeight w:val="300"/>
        </w:trPr>
        <w:tc>
          <w:tcPr>
            <w:tcW w:w="8748" w:type="dxa"/>
            <w:tcBorders>
              <w:top w:val="single" w:sz="4" w:space="0" w:color="auto"/>
              <w:bottom w:val="single" w:sz="4" w:space="0" w:color="auto"/>
            </w:tcBorders>
            <w:noWrap/>
            <w:hideMark/>
          </w:tcPr>
          <w:p w14:paraId="14F19B90" w14:textId="77777777" w:rsidR="00581E61" w:rsidRPr="00B33EFC" w:rsidRDefault="00581E61">
            <w:pPr>
              <w:rPr>
                <w:rFonts w:cstheme="minorHAnsi"/>
                <w:sz w:val="20"/>
              </w:rPr>
            </w:pPr>
            <w:r w:rsidRPr="00B33EFC">
              <w:rPr>
                <w:rFonts w:cstheme="minorHAnsi"/>
                <w:sz w:val="20"/>
              </w:rPr>
              <w:t xml:space="preserve">DEQ Pollution Prevention </w:t>
            </w:r>
          </w:p>
        </w:tc>
        <w:tc>
          <w:tcPr>
            <w:tcW w:w="828" w:type="dxa"/>
            <w:tcBorders>
              <w:top w:val="single" w:sz="4" w:space="0" w:color="auto"/>
              <w:bottom w:val="single" w:sz="4" w:space="0" w:color="auto"/>
            </w:tcBorders>
            <w:noWrap/>
            <w:vAlign w:val="center"/>
            <w:hideMark/>
          </w:tcPr>
          <w:p w14:paraId="13E99AB0" w14:textId="77777777" w:rsidR="00581E61" w:rsidRPr="00B33EFC" w:rsidRDefault="00581E61">
            <w:pPr>
              <w:rPr>
                <w:rFonts w:cstheme="minorHAnsi"/>
                <w:sz w:val="20"/>
                <w:u w:val="single"/>
              </w:rPr>
            </w:pPr>
            <w:hyperlink r:id="rId49" w:history="1">
              <w:r w:rsidRPr="00B33EFC">
                <w:rPr>
                  <w:rStyle w:val="Hyperlink"/>
                  <w:rFonts w:cstheme="minorHAnsi"/>
                  <w:sz w:val="20"/>
                </w:rPr>
                <w:t>https://www.deq.virginia.gov/our-programs/pollution-prevention</w:t>
              </w:r>
            </w:hyperlink>
          </w:p>
        </w:tc>
      </w:tr>
      <w:tr w:rsidR="00581E61" w:rsidRPr="00B33EFC" w14:paraId="649F6ECC" w14:textId="77777777" w:rsidTr="006E7FE7">
        <w:trPr>
          <w:trHeight w:val="300"/>
        </w:trPr>
        <w:tc>
          <w:tcPr>
            <w:tcW w:w="8748" w:type="dxa"/>
            <w:tcBorders>
              <w:top w:val="single" w:sz="4" w:space="0" w:color="auto"/>
              <w:bottom w:val="single" w:sz="4" w:space="0" w:color="auto"/>
            </w:tcBorders>
            <w:noWrap/>
            <w:hideMark/>
          </w:tcPr>
          <w:p w14:paraId="459295CA" w14:textId="77777777" w:rsidR="00581E61" w:rsidRPr="00B33EFC" w:rsidRDefault="00581E61">
            <w:pPr>
              <w:rPr>
                <w:rFonts w:cstheme="minorHAnsi"/>
                <w:sz w:val="20"/>
              </w:rPr>
            </w:pPr>
            <w:r w:rsidRPr="00B33EFC">
              <w:rPr>
                <w:rFonts w:cstheme="minorHAnsi"/>
                <w:sz w:val="20"/>
              </w:rPr>
              <w:t xml:space="preserve">DEQ Pollution Prevention Case Studies </w:t>
            </w:r>
          </w:p>
        </w:tc>
        <w:tc>
          <w:tcPr>
            <w:tcW w:w="828" w:type="dxa"/>
            <w:tcBorders>
              <w:top w:val="single" w:sz="4" w:space="0" w:color="auto"/>
              <w:bottom w:val="single" w:sz="4" w:space="0" w:color="auto"/>
            </w:tcBorders>
            <w:noWrap/>
            <w:vAlign w:val="center"/>
            <w:hideMark/>
          </w:tcPr>
          <w:p w14:paraId="23894817" w14:textId="77777777" w:rsidR="00581E61" w:rsidRPr="00B33EFC" w:rsidRDefault="00581E61">
            <w:pPr>
              <w:rPr>
                <w:rFonts w:cstheme="minorHAnsi"/>
                <w:sz w:val="20"/>
                <w:u w:val="single"/>
              </w:rPr>
            </w:pPr>
            <w:hyperlink r:id="rId50" w:history="1">
              <w:r w:rsidRPr="00B33EFC">
                <w:rPr>
                  <w:rStyle w:val="Hyperlink"/>
                  <w:rFonts w:cstheme="minorHAnsi"/>
                  <w:sz w:val="20"/>
                </w:rPr>
                <w:t>https://www.deq.virginia.gov/our-programs/pollution-prevention/case-studies</w:t>
              </w:r>
            </w:hyperlink>
          </w:p>
        </w:tc>
      </w:tr>
      <w:tr w:rsidR="00581E61" w:rsidRPr="00B33EFC" w14:paraId="0FD101FB" w14:textId="77777777" w:rsidTr="006E7FE7">
        <w:trPr>
          <w:trHeight w:val="300"/>
        </w:trPr>
        <w:tc>
          <w:tcPr>
            <w:tcW w:w="8748" w:type="dxa"/>
            <w:tcBorders>
              <w:top w:val="single" w:sz="4" w:space="0" w:color="auto"/>
              <w:bottom w:val="single" w:sz="4" w:space="0" w:color="auto"/>
            </w:tcBorders>
            <w:noWrap/>
            <w:hideMark/>
          </w:tcPr>
          <w:p w14:paraId="536A7D26" w14:textId="77777777" w:rsidR="00581E61" w:rsidRPr="00B33EFC" w:rsidRDefault="00581E61">
            <w:pPr>
              <w:rPr>
                <w:rFonts w:cstheme="minorHAnsi"/>
                <w:sz w:val="20"/>
              </w:rPr>
            </w:pPr>
            <w:r w:rsidRPr="00B33EFC">
              <w:rPr>
                <w:rFonts w:cstheme="minorHAnsi"/>
                <w:sz w:val="20"/>
              </w:rPr>
              <w:t>DEQ ProbMon</w:t>
            </w:r>
          </w:p>
        </w:tc>
        <w:tc>
          <w:tcPr>
            <w:tcW w:w="828" w:type="dxa"/>
            <w:tcBorders>
              <w:top w:val="single" w:sz="4" w:space="0" w:color="auto"/>
              <w:bottom w:val="single" w:sz="4" w:space="0" w:color="auto"/>
            </w:tcBorders>
            <w:noWrap/>
            <w:vAlign w:val="center"/>
            <w:hideMark/>
          </w:tcPr>
          <w:p w14:paraId="374FEA01" w14:textId="77777777" w:rsidR="00581E61" w:rsidRPr="00B33EFC" w:rsidRDefault="00581E61">
            <w:pPr>
              <w:rPr>
                <w:rFonts w:cstheme="minorHAnsi"/>
                <w:sz w:val="20"/>
                <w:u w:val="single"/>
              </w:rPr>
            </w:pPr>
            <w:hyperlink r:id="rId51" w:history="1">
              <w:r w:rsidRPr="00B33EFC">
                <w:rPr>
                  <w:rStyle w:val="Hyperlink"/>
                  <w:rFonts w:cstheme="minorHAnsi"/>
                  <w:sz w:val="20"/>
                </w:rPr>
                <w:t>https://www.deq.virginia.gov/our-programs/water/water-quality/monitoring/probabilistic-monitoring</w:t>
              </w:r>
            </w:hyperlink>
          </w:p>
        </w:tc>
      </w:tr>
      <w:tr w:rsidR="00581E61" w:rsidRPr="00B33EFC" w14:paraId="25F1F602" w14:textId="77777777" w:rsidTr="006E7FE7">
        <w:trPr>
          <w:trHeight w:val="300"/>
        </w:trPr>
        <w:tc>
          <w:tcPr>
            <w:tcW w:w="8748" w:type="dxa"/>
            <w:tcBorders>
              <w:top w:val="single" w:sz="4" w:space="0" w:color="auto"/>
              <w:bottom w:val="single" w:sz="4" w:space="0" w:color="auto"/>
            </w:tcBorders>
            <w:noWrap/>
            <w:hideMark/>
          </w:tcPr>
          <w:p w14:paraId="6045B6F3" w14:textId="77777777" w:rsidR="00581E61" w:rsidRPr="00B33EFC" w:rsidRDefault="00581E61">
            <w:pPr>
              <w:rPr>
                <w:rFonts w:cstheme="minorHAnsi"/>
                <w:sz w:val="20"/>
              </w:rPr>
            </w:pPr>
            <w:r w:rsidRPr="00B33EFC">
              <w:rPr>
                <w:rFonts w:cstheme="minorHAnsi"/>
                <w:sz w:val="20"/>
              </w:rPr>
              <w:t>DEQ Reducing Marine Debris in Virginia</w:t>
            </w:r>
          </w:p>
        </w:tc>
        <w:tc>
          <w:tcPr>
            <w:tcW w:w="828" w:type="dxa"/>
            <w:tcBorders>
              <w:top w:val="single" w:sz="4" w:space="0" w:color="auto"/>
              <w:bottom w:val="single" w:sz="4" w:space="0" w:color="auto"/>
            </w:tcBorders>
            <w:noWrap/>
            <w:vAlign w:val="center"/>
            <w:hideMark/>
          </w:tcPr>
          <w:p w14:paraId="6D886E07" w14:textId="77777777" w:rsidR="00581E61" w:rsidRPr="00B33EFC" w:rsidRDefault="00581E61">
            <w:pPr>
              <w:rPr>
                <w:rFonts w:cstheme="minorHAnsi"/>
                <w:sz w:val="20"/>
                <w:u w:val="single"/>
              </w:rPr>
            </w:pPr>
            <w:hyperlink r:id="rId52" w:history="1">
              <w:r w:rsidRPr="00B33EFC">
                <w:rPr>
                  <w:rStyle w:val="Hyperlink"/>
                  <w:rFonts w:cstheme="minorHAnsi"/>
                  <w:sz w:val="20"/>
                </w:rPr>
                <w:t>https://www.deq.virginia.gov/our-programs/coastal-zone-management/coastal-conservation/marine-debris</w:t>
              </w:r>
            </w:hyperlink>
          </w:p>
        </w:tc>
      </w:tr>
      <w:tr w:rsidR="00581E61" w:rsidRPr="00B33EFC" w14:paraId="1B12A8C1" w14:textId="77777777" w:rsidTr="006E7FE7">
        <w:trPr>
          <w:trHeight w:val="300"/>
        </w:trPr>
        <w:tc>
          <w:tcPr>
            <w:tcW w:w="8748" w:type="dxa"/>
            <w:tcBorders>
              <w:top w:val="single" w:sz="4" w:space="0" w:color="auto"/>
              <w:bottom w:val="single" w:sz="4" w:space="0" w:color="auto"/>
            </w:tcBorders>
            <w:noWrap/>
            <w:hideMark/>
          </w:tcPr>
          <w:p w14:paraId="4E77811E" w14:textId="77777777" w:rsidR="00581E61" w:rsidRPr="00B33EFC" w:rsidRDefault="00581E61">
            <w:pPr>
              <w:rPr>
                <w:rFonts w:cstheme="minorHAnsi"/>
                <w:sz w:val="20"/>
              </w:rPr>
            </w:pPr>
            <w:r w:rsidRPr="00B33EFC">
              <w:rPr>
                <w:rFonts w:cstheme="minorHAnsi"/>
                <w:sz w:val="20"/>
              </w:rPr>
              <w:t>DEQ Regional biological</w:t>
            </w:r>
          </w:p>
        </w:tc>
        <w:tc>
          <w:tcPr>
            <w:tcW w:w="828" w:type="dxa"/>
            <w:tcBorders>
              <w:top w:val="single" w:sz="4" w:space="0" w:color="auto"/>
              <w:bottom w:val="single" w:sz="4" w:space="0" w:color="auto"/>
            </w:tcBorders>
            <w:noWrap/>
            <w:vAlign w:val="center"/>
            <w:hideMark/>
          </w:tcPr>
          <w:p w14:paraId="59A1464C" w14:textId="77777777" w:rsidR="00581E61" w:rsidRPr="00B33EFC" w:rsidRDefault="00581E61">
            <w:pPr>
              <w:rPr>
                <w:rFonts w:cstheme="minorHAnsi"/>
                <w:sz w:val="20"/>
                <w:u w:val="single"/>
              </w:rPr>
            </w:pPr>
            <w:hyperlink r:id="rId53" w:history="1">
              <w:r w:rsidRPr="00B33EFC">
                <w:rPr>
                  <w:rStyle w:val="Hyperlink"/>
                  <w:rFonts w:cstheme="minorHAnsi"/>
                  <w:sz w:val="20"/>
                </w:rPr>
                <w:t>https://www.deq.virginia.gov/our-programs/water/water-quality/monitoring/biological-monitoring</w:t>
              </w:r>
            </w:hyperlink>
          </w:p>
        </w:tc>
      </w:tr>
      <w:tr w:rsidR="00581E61" w:rsidRPr="00B33EFC" w14:paraId="308A258C" w14:textId="77777777" w:rsidTr="006E7FE7">
        <w:trPr>
          <w:trHeight w:val="300"/>
        </w:trPr>
        <w:tc>
          <w:tcPr>
            <w:tcW w:w="8748" w:type="dxa"/>
            <w:tcBorders>
              <w:top w:val="single" w:sz="4" w:space="0" w:color="auto"/>
              <w:bottom w:val="single" w:sz="4" w:space="0" w:color="auto"/>
            </w:tcBorders>
            <w:noWrap/>
            <w:hideMark/>
          </w:tcPr>
          <w:p w14:paraId="35E0B11B" w14:textId="77777777" w:rsidR="00581E61" w:rsidRPr="00B33EFC" w:rsidRDefault="00581E61">
            <w:pPr>
              <w:rPr>
                <w:rFonts w:cstheme="minorHAnsi"/>
                <w:sz w:val="20"/>
              </w:rPr>
            </w:pPr>
            <w:r w:rsidRPr="00B33EFC">
              <w:rPr>
                <w:rFonts w:cstheme="minorHAnsi"/>
                <w:sz w:val="20"/>
              </w:rPr>
              <w:t>DEQ Soil and Hazardous Waste</w:t>
            </w:r>
          </w:p>
        </w:tc>
        <w:tc>
          <w:tcPr>
            <w:tcW w:w="828" w:type="dxa"/>
            <w:tcBorders>
              <w:top w:val="single" w:sz="4" w:space="0" w:color="auto"/>
              <w:bottom w:val="single" w:sz="4" w:space="0" w:color="auto"/>
            </w:tcBorders>
            <w:noWrap/>
            <w:vAlign w:val="center"/>
            <w:hideMark/>
          </w:tcPr>
          <w:p w14:paraId="07F72D1B" w14:textId="77777777" w:rsidR="00581E61" w:rsidRPr="00B33EFC" w:rsidRDefault="00581E61">
            <w:pPr>
              <w:rPr>
                <w:rFonts w:cstheme="minorHAnsi"/>
                <w:sz w:val="20"/>
                <w:u w:val="single"/>
              </w:rPr>
            </w:pPr>
            <w:hyperlink r:id="rId54" w:history="1">
              <w:r w:rsidRPr="00B33EFC">
                <w:rPr>
                  <w:rStyle w:val="Hyperlink"/>
                  <w:rFonts w:cstheme="minorHAnsi"/>
                  <w:sz w:val="20"/>
                </w:rPr>
                <w:t>https://www.deq.virginia.gov/our-programs/land-waste/solid-hazardous-waste</w:t>
              </w:r>
            </w:hyperlink>
          </w:p>
        </w:tc>
      </w:tr>
      <w:tr w:rsidR="00581E61" w:rsidRPr="00B33EFC" w14:paraId="63C730EA" w14:textId="77777777" w:rsidTr="006E7FE7">
        <w:trPr>
          <w:trHeight w:val="300"/>
        </w:trPr>
        <w:tc>
          <w:tcPr>
            <w:tcW w:w="8748" w:type="dxa"/>
            <w:tcBorders>
              <w:top w:val="single" w:sz="4" w:space="0" w:color="auto"/>
              <w:bottom w:val="single" w:sz="4" w:space="0" w:color="auto"/>
            </w:tcBorders>
            <w:noWrap/>
            <w:hideMark/>
          </w:tcPr>
          <w:p w14:paraId="3ECF434D" w14:textId="13676197" w:rsidR="00581E61" w:rsidRPr="00B33EFC" w:rsidRDefault="00581E61">
            <w:pPr>
              <w:rPr>
                <w:rFonts w:cstheme="minorHAnsi"/>
                <w:sz w:val="20"/>
              </w:rPr>
            </w:pPr>
            <w:r w:rsidRPr="00B33EFC">
              <w:rPr>
                <w:rFonts w:cstheme="minorHAnsi"/>
                <w:sz w:val="20"/>
              </w:rPr>
              <w:t xml:space="preserve">DEQ </w:t>
            </w:r>
            <w:r w:rsidR="0048000A">
              <w:rPr>
                <w:rFonts w:cstheme="minorHAnsi"/>
                <w:sz w:val="20"/>
              </w:rPr>
              <w:t>S</w:t>
            </w:r>
            <w:r w:rsidRPr="00B33EFC">
              <w:rPr>
                <w:rFonts w:cstheme="minorHAnsi"/>
                <w:sz w:val="20"/>
              </w:rPr>
              <w:t xml:space="preserve">tate </w:t>
            </w:r>
            <w:r w:rsidR="0048000A">
              <w:rPr>
                <w:rFonts w:cstheme="minorHAnsi"/>
                <w:sz w:val="20"/>
              </w:rPr>
              <w:t>W</w:t>
            </w:r>
            <w:r w:rsidRPr="00B33EFC">
              <w:rPr>
                <w:rFonts w:cstheme="minorHAnsi"/>
                <w:sz w:val="20"/>
              </w:rPr>
              <w:t xml:space="preserve">ater </w:t>
            </w:r>
            <w:r w:rsidR="0048000A">
              <w:rPr>
                <w:rFonts w:cstheme="minorHAnsi"/>
                <w:sz w:val="20"/>
              </w:rPr>
              <w:t>R</w:t>
            </w:r>
            <w:r w:rsidRPr="00B33EFC">
              <w:rPr>
                <w:rFonts w:cstheme="minorHAnsi"/>
                <w:sz w:val="20"/>
              </w:rPr>
              <w:t xml:space="preserve">esources </w:t>
            </w:r>
            <w:r w:rsidR="0048000A">
              <w:rPr>
                <w:rFonts w:cstheme="minorHAnsi"/>
                <w:sz w:val="20"/>
              </w:rPr>
              <w:t>P</w:t>
            </w:r>
            <w:r w:rsidRPr="00B33EFC">
              <w:rPr>
                <w:rFonts w:cstheme="minorHAnsi"/>
                <w:sz w:val="20"/>
              </w:rPr>
              <w:t>lan</w:t>
            </w:r>
          </w:p>
        </w:tc>
        <w:tc>
          <w:tcPr>
            <w:tcW w:w="828" w:type="dxa"/>
            <w:tcBorders>
              <w:top w:val="single" w:sz="4" w:space="0" w:color="auto"/>
              <w:bottom w:val="single" w:sz="4" w:space="0" w:color="auto"/>
            </w:tcBorders>
            <w:noWrap/>
            <w:vAlign w:val="center"/>
            <w:hideMark/>
          </w:tcPr>
          <w:p w14:paraId="3055B9D7" w14:textId="77777777" w:rsidR="00581E61" w:rsidRPr="00B33EFC" w:rsidRDefault="00581E61">
            <w:pPr>
              <w:rPr>
                <w:rFonts w:cstheme="minorHAnsi"/>
                <w:sz w:val="20"/>
                <w:u w:val="single"/>
              </w:rPr>
            </w:pPr>
            <w:hyperlink r:id="rId55" w:history="1">
              <w:r w:rsidRPr="00B33EFC">
                <w:rPr>
                  <w:rStyle w:val="Hyperlink"/>
                  <w:rFonts w:cstheme="minorHAnsi"/>
                  <w:sz w:val="20"/>
                </w:rPr>
                <w:t>https://www.deq.virginia.gov/our-programs/water/water-quantity/water-supply-planning/virginia-water-resources-plan</w:t>
              </w:r>
            </w:hyperlink>
          </w:p>
        </w:tc>
      </w:tr>
      <w:tr w:rsidR="00581E61" w:rsidRPr="00B33EFC" w14:paraId="005092CB" w14:textId="77777777" w:rsidTr="006E7FE7">
        <w:trPr>
          <w:trHeight w:val="300"/>
        </w:trPr>
        <w:tc>
          <w:tcPr>
            <w:tcW w:w="8748" w:type="dxa"/>
            <w:tcBorders>
              <w:top w:val="single" w:sz="4" w:space="0" w:color="auto"/>
              <w:bottom w:val="single" w:sz="4" w:space="0" w:color="auto"/>
            </w:tcBorders>
            <w:noWrap/>
            <w:hideMark/>
          </w:tcPr>
          <w:p w14:paraId="6BAC699B" w14:textId="77777777" w:rsidR="00581E61" w:rsidRPr="00B33EFC" w:rsidRDefault="00581E61">
            <w:pPr>
              <w:rPr>
                <w:rFonts w:cstheme="minorHAnsi"/>
                <w:sz w:val="20"/>
              </w:rPr>
            </w:pPr>
            <w:r w:rsidRPr="00B33EFC">
              <w:rPr>
                <w:rFonts w:cstheme="minorHAnsi"/>
                <w:sz w:val="20"/>
              </w:rPr>
              <w:t>DEQ Strategic Planning and Funding</w:t>
            </w:r>
          </w:p>
        </w:tc>
        <w:tc>
          <w:tcPr>
            <w:tcW w:w="828" w:type="dxa"/>
            <w:tcBorders>
              <w:top w:val="single" w:sz="4" w:space="0" w:color="auto"/>
              <w:bottom w:val="single" w:sz="4" w:space="0" w:color="auto"/>
            </w:tcBorders>
            <w:noWrap/>
            <w:vAlign w:val="center"/>
            <w:hideMark/>
          </w:tcPr>
          <w:p w14:paraId="505C4F07" w14:textId="77777777" w:rsidR="00581E61" w:rsidRPr="00B33EFC" w:rsidRDefault="00581E61">
            <w:pPr>
              <w:rPr>
                <w:rFonts w:cstheme="minorHAnsi"/>
                <w:sz w:val="20"/>
                <w:u w:val="single"/>
              </w:rPr>
            </w:pPr>
            <w:hyperlink r:id="rId56" w:history="1">
              <w:r w:rsidRPr="00B33EFC">
                <w:rPr>
                  <w:rStyle w:val="Hyperlink"/>
                  <w:rFonts w:cstheme="minorHAnsi"/>
                  <w:sz w:val="20"/>
                </w:rPr>
                <w:t>https://www.deq.virginia.gov/our-programs/coastal-zone-management/strategic-planning-and-funding</w:t>
              </w:r>
            </w:hyperlink>
          </w:p>
        </w:tc>
      </w:tr>
      <w:tr w:rsidR="00581E61" w:rsidRPr="00B33EFC" w14:paraId="311F470F" w14:textId="77777777" w:rsidTr="006E7FE7">
        <w:trPr>
          <w:trHeight w:val="300"/>
        </w:trPr>
        <w:tc>
          <w:tcPr>
            <w:tcW w:w="8748" w:type="dxa"/>
            <w:tcBorders>
              <w:top w:val="single" w:sz="4" w:space="0" w:color="auto"/>
              <w:bottom w:val="single" w:sz="4" w:space="0" w:color="auto"/>
            </w:tcBorders>
            <w:noWrap/>
            <w:hideMark/>
          </w:tcPr>
          <w:p w14:paraId="2E1C21A8" w14:textId="77777777" w:rsidR="00581E61" w:rsidRPr="00B33EFC" w:rsidRDefault="00581E61">
            <w:pPr>
              <w:rPr>
                <w:rFonts w:cstheme="minorHAnsi"/>
                <w:sz w:val="20"/>
              </w:rPr>
            </w:pPr>
            <w:r w:rsidRPr="00B33EFC">
              <w:rPr>
                <w:rFonts w:cstheme="minorHAnsi"/>
                <w:sz w:val="20"/>
              </w:rPr>
              <w:t>DEQ Underground Storage Tanks</w:t>
            </w:r>
          </w:p>
        </w:tc>
        <w:tc>
          <w:tcPr>
            <w:tcW w:w="828" w:type="dxa"/>
            <w:tcBorders>
              <w:top w:val="single" w:sz="4" w:space="0" w:color="auto"/>
              <w:bottom w:val="single" w:sz="4" w:space="0" w:color="auto"/>
            </w:tcBorders>
            <w:noWrap/>
            <w:vAlign w:val="center"/>
            <w:hideMark/>
          </w:tcPr>
          <w:p w14:paraId="0843EE72" w14:textId="77777777" w:rsidR="00581E61" w:rsidRPr="00B33EFC" w:rsidRDefault="00581E61">
            <w:pPr>
              <w:rPr>
                <w:rFonts w:cstheme="minorHAnsi"/>
                <w:sz w:val="20"/>
                <w:u w:val="single"/>
              </w:rPr>
            </w:pPr>
            <w:hyperlink r:id="rId57" w:history="1">
              <w:r w:rsidRPr="00B33EFC">
                <w:rPr>
                  <w:rStyle w:val="Hyperlink"/>
                  <w:rFonts w:cstheme="minorHAnsi"/>
                  <w:sz w:val="20"/>
                </w:rPr>
                <w:t>https://www.deq.virginia.gov/our-programs/land-waste/petroleum-tanks/underground-storage-tanks</w:t>
              </w:r>
            </w:hyperlink>
          </w:p>
        </w:tc>
      </w:tr>
      <w:tr w:rsidR="00581E61" w:rsidRPr="00B33EFC" w14:paraId="2255BC28" w14:textId="77777777" w:rsidTr="006E7FE7">
        <w:trPr>
          <w:trHeight w:val="300"/>
        </w:trPr>
        <w:tc>
          <w:tcPr>
            <w:tcW w:w="8748" w:type="dxa"/>
            <w:tcBorders>
              <w:top w:val="single" w:sz="4" w:space="0" w:color="auto"/>
              <w:bottom w:val="single" w:sz="4" w:space="0" w:color="auto"/>
            </w:tcBorders>
            <w:noWrap/>
            <w:hideMark/>
          </w:tcPr>
          <w:p w14:paraId="17F5D468" w14:textId="77777777" w:rsidR="00581E61" w:rsidRPr="00B33EFC" w:rsidRDefault="00581E61">
            <w:pPr>
              <w:rPr>
                <w:rFonts w:cstheme="minorHAnsi"/>
                <w:sz w:val="20"/>
              </w:rPr>
            </w:pPr>
            <w:r w:rsidRPr="00B33EFC">
              <w:rPr>
                <w:rFonts w:cstheme="minorHAnsi"/>
                <w:sz w:val="20"/>
              </w:rPr>
              <w:t>DEQ Virginia Coastal Policy Team</w:t>
            </w:r>
          </w:p>
        </w:tc>
        <w:tc>
          <w:tcPr>
            <w:tcW w:w="828" w:type="dxa"/>
            <w:tcBorders>
              <w:top w:val="single" w:sz="4" w:space="0" w:color="auto"/>
              <w:bottom w:val="single" w:sz="4" w:space="0" w:color="auto"/>
            </w:tcBorders>
            <w:noWrap/>
            <w:vAlign w:val="center"/>
            <w:hideMark/>
          </w:tcPr>
          <w:p w14:paraId="4CE257F9" w14:textId="77777777" w:rsidR="00581E61" w:rsidRPr="00B33EFC" w:rsidRDefault="00581E61">
            <w:pPr>
              <w:rPr>
                <w:rFonts w:cstheme="minorHAnsi"/>
                <w:sz w:val="20"/>
                <w:u w:val="single"/>
              </w:rPr>
            </w:pPr>
            <w:hyperlink r:id="rId58" w:history="1">
              <w:r w:rsidRPr="00B33EFC">
                <w:rPr>
                  <w:rStyle w:val="Hyperlink"/>
                  <w:rFonts w:cstheme="minorHAnsi"/>
                  <w:sz w:val="20"/>
                </w:rPr>
                <w:t>https://www.deq.virginia.gov/our-programs/coastal-zone-management/about-czm/virginia-coastal-policy-team</w:t>
              </w:r>
            </w:hyperlink>
          </w:p>
        </w:tc>
      </w:tr>
      <w:tr w:rsidR="00581E61" w:rsidRPr="00B33EFC" w14:paraId="1F433D59" w14:textId="77777777" w:rsidTr="006E7FE7">
        <w:trPr>
          <w:trHeight w:val="300"/>
        </w:trPr>
        <w:tc>
          <w:tcPr>
            <w:tcW w:w="8748" w:type="dxa"/>
            <w:tcBorders>
              <w:top w:val="single" w:sz="4" w:space="0" w:color="auto"/>
              <w:bottom w:val="single" w:sz="4" w:space="0" w:color="auto"/>
            </w:tcBorders>
            <w:noWrap/>
            <w:hideMark/>
          </w:tcPr>
          <w:p w14:paraId="4E20160F" w14:textId="77777777" w:rsidR="00581E61" w:rsidRPr="00B33EFC" w:rsidRDefault="00581E61">
            <w:pPr>
              <w:rPr>
                <w:rFonts w:cstheme="minorHAnsi"/>
                <w:sz w:val="20"/>
              </w:rPr>
            </w:pPr>
            <w:r w:rsidRPr="00B33EFC">
              <w:rPr>
                <w:rFonts w:cstheme="minorHAnsi"/>
                <w:sz w:val="20"/>
              </w:rPr>
              <w:t xml:space="preserve">DEQ Virginia Environmental Data Hub </w:t>
            </w:r>
          </w:p>
        </w:tc>
        <w:tc>
          <w:tcPr>
            <w:tcW w:w="828" w:type="dxa"/>
            <w:tcBorders>
              <w:top w:val="single" w:sz="4" w:space="0" w:color="auto"/>
              <w:bottom w:val="single" w:sz="4" w:space="0" w:color="auto"/>
            </w:tcBorders>
            <w:noWrap/>
            <w:vAlign w:val="center"/>
            <w:hideMark/>
          </w:tcPr>
          <w:p w14:paraId="3FFB1AE3" w14:textId="77777777" w:rsidR="00581E61" w:rsidRPr="00B33EFC" w:rsidRDefault="00581E61">
            <w:pPr>
              <w:rPr>
                <w:rFonts w:cstheme="minorHAnsi"/>
                <w:sz w:val="20"/>
                <w:u w:val="single"/>
              </w:rPr>
            </w:pPr>
            <w:hyperlink r:id="rId59" w:history="1">
              <w:r w:rsidRPr="00B33EFC">
                <w:rPr>
                  <w:rStyle w:val="Hyperlink"/>
                  <w:rFonts w:cstheme="minorHAnsi"/>
                  <w:sz w:val="20"/>
                </w:rPr>
                <w:t>https://geohub-vadeq.hub.arcgis.com/datasets/fb163586abec4e079ab293823e3bd15e/about</w:t>
              </w:r>
            </w:hyperlink>
          </w:p>
        </w:tc>
      </w:tr>
      <w:tr w:rsidR="00581E61" w:rsidRPr="00B33EFC" w14:paraId="1F1979D3" w14:textId="77777777" w:rsidTr="006E7FE7">
        <w:trPr>
          <w:trHeight w:val="300"/>
        </w:trPr>
        <w:tc>
          <w:tcPr>
            <w:tcW w:w="8748" w:type="dxa"/>
            <w:tcBorders>
              <w:top w:val="single" w:sz="4" w:space="0" w:color="auto"/>
              <w:bottom w:val="single" w:sz="4" w:space="0" w:color="auto"/>
            </w:tcBorders>
            <w:noWrap/>
            <w:hideMark/>
          </w:tcPr>
          <w:p w14:paraId="719552B9" w14:textId="77777777" w:rsidR="00581E61" w:rsidRPr="00B33EFC" w:rsidRDefault="00581E61">
            <w:pPr>
              <w:rPr>
                <w:rFonts w:cstheme="minorHAnsi"/>
                <w:sz w:val="20"/>
              </w:rPr>
            </w:pPr>
            <w:r w:rsidRPr="00B33EFC">
              <w:rPr>
                <w:rFonts w:cstheme="minorHAnsi"/>
                <w:sz w:val="20"/>
              </w:rPr>
              <w:t>DEQ Virginia Environmental Excellence Program</w:t>
            </w:r>
          </w:p>
        </w:tc>
        <w:tc>
          <w:tcPr>
            <w:tcW w:w="828" w:type="dxa"/>
            <w:tcBorders>
              <w:top w:val="single" w:sz="4" w:space="0" w:color="auto"/>
              <w:bottom w:val="single" w:sz="4" w:space="0" w:color="auto"/>
            </w:tcBorders>
            <w:noWrap/>
            <w:vAlign w:val="center"/>
            <w:hideMark/>
          </w:tcPr>
          <w:p w14:paraId="089389C8" w14:textId="77777777" w:rsidR="00581E61" w:rsidRPr="00B33EFC" w:rsidRDefault="00581E61">
            <w:pPr>
              <w:rPr>
                <w:rFonts w:cstheme="minorHAnsi"/>
                <w:sz w:val="20"/>
                <w:u w:val="single"/>
              </w:rPr>
            </w:pPr>
            <w:hyperlink r:id="rId60" w:history="1">
              <w:r w:rsidRPr="00B33EFC">
                <w:rPr>
                  <w:rStyle w:val="Hyperlink"/>
                  <w:rFonts w:cstheme="minorHAnsi"/>
                  <w:sz w:val="20"/>
                </w:rPr>
                <w:t>https://www.deq.virginia.gov/our-programs/pollution-prevention/virginia-environmental-excellence-program</w:t>
              </w:r>
            </w:hyperlink>
          </w:p>
        </w:tc>
      </w:tr>
      <w:tr w:rsidR="00581E61" w:rsidRPr="00B33EFC" w14:paraId="27A958C9" w14:textId="77777777" w:rsidTr="006E7FE7">
        <w:trPr>
          <w:trHeight w:val="300"/>
        </w:trPr>
        <w:tc>
          <w:tcPr>
            <w:tcW w:w="8748" w:type="dxa"/>
            <w:tcBorders>
              <w:top w:val="single" w:sz="4" w:space="0" w:color="auto"/>
              <w:bottom w:val="single" w:sz="4" w:space="0" w:color="auto"/>
            </w:tcBorders>
            <w:noWrap/>
            <w:hideMark/>
          </w:tcPr>
          <w:p w14:paraId="2F636806" w14:textId="77777777" w:rsidR="00581E61" w:rsidRPr="00B33EFC" w:rsidRDefault="00581E61">
            <w:pPr>
              <w:rPr>
                <w:rFonts w:cstheme="minorHAnsi"/>
                <w:sz w:val="20"/>
              </w:rPr>
            </w:pPr>
            <w:r w:rsidRPr="00B33EFC">
              <w:rPr>
                <w:rFonts w:cstheme="minorHAnsi"/>
                <w:sz w:val="20"/>
              </w:rPr>
              <w:t>DEQ Virginia Green</w:t>
            </w:r>
          </w:p>
        </w:tc>
        <w:tc>
          <w:tcPr>
            <w:tcW w:w="828" w:type="dxa"/>
            <w:tcBorders>
              <w:top w:val="single" w:sz="4" w:space="0" w:color="auto"/>
              <w:bottom w:val="single" w:sz="4" w:space="0" w:color="auto"/>
            </w:tcBorders>
            <w:noWrap/>
            <w:vAlign w:val="center"/>
            <w:hideMark/>
          </w:tcPr>
          <w:p w14:paraId="139A75E4" w14:textId="77777777" w:rsidR="00581E61" w:rsidRPr="00B33EFC" w:rsidRDefault="00581E61">
            <w:pPr>
              <w:rPr>
                <w:rFonts w:cstheme="minorHAnsi"/>
                <w:sz w:val="20"/>
                <w:u w:val="single"/>
              </w:rPr>
            </w:pPr>
            <w:hyperlink r:id="rId61" w:history="1">
              <w:r w:rsidRPr="00B33EFC">
                <w:rPr>
                  <w:rStyle w:val="Hyperlink"/>
                  <w:rFonts w:cstheme="minorHAnsi"/>
                  <w:sz w:val="20"/>
                </w:rPr>
                <w:t>https://www.deq.virginia.gov/our-programs/pollution-prevention/virginia-green</w:t>
              </w:r>
            </w:hyperlink>
          </w:p>
        </w:tc>
      </w:tr>
      <w:tr w:rsidR="00581E61" w:rsidRPr="00B33EFC" w14:paraId="054BC67D" w14:textId="77777777" w:rsidTr="006E7FE7">
        <w:trPr>
          <w:trHeight w:val="300"/>
        </w:trPr>
        <w:tc>
          <w:tcPr>
            <w:tcW w:w="8748" w:type="dxa"/>
            <w:tcBorders>
              <w:top w:val="single" w:sz="4" w:space="0" w:color="auto"/>
              <w:bottom w:val="single" w:sz="4" w:space="0" w:color="auto"/>
            </w:tcBorders>
            <w:noWrap/>
            <w:hideMark/>
          </w:tcPr>
          <w:p w14:paraId="26BFF043" w14:textId="77777777" w:rsidR="00581E61" w:rsidRPr="00B33EFC" w:rsidRDefault="00581E61">
            <w:pPr>
              <w:rPr>
                <w:rFonts w:cstheme="minorHAnsi"/>
                <w:sz w:val="20"/>
              </w:rPr>
            </w:pPr>
            <w:r w:rsidRPr="00B33EFC">
              <w:rPr>
                <w:rFonts w:cstheme="minorHAnsi"/>
                <w:sz w:val="20"/>
              </w:rPr>
              <w:t>DEQ Virginia Native Plant Marketing</w:t>
            </w:r>
          </w:p>
        </w:tc>
        <w:tc>
          <w:tcPr>
            <w:tcW w:w="828" w:type="dxa"/>
            <w:tcBorders>
              <w:top w:val="single" w:sz="4" w:space="0" w:color="auto"/>
              <w:bottom w:val="single" w:sz="4" w:space="0" w:color="auto"/>
            </w:tcBorders>
            <w:noWrap/>
            <w:vAlign w:val="center"/>
            <w:hideMark/>
          </w:tcPr>
          <w:p w14:paraId="2C70FAA1" w14:textId="77777777" w:rsidR="00581E61" w:rsidRPr="00B33EFC" w:rsidRDefault="00581E61">
            <w:pPr>
              <w:rPr>
                <w:rFonts w:cstheme="minorHAnsi"/>
                <w:sz w:val="20"/>
                <w:u w:val="single"/>
              </w:rPr>
            </w:pPr>
            <w:hyperlink r:id="rId62" w:history="1">
              <w:r w:rsidRPr="00B33EFC">
                <w:rPr>
                  <w:rStyle w:val="Hyperlink"/>
                  <w:rFonts w:cstheme="minorHAnsi"/>
                  <w:sz w:val="20"/>
                </w:rPr>
                <w:t>https://www.deq.virginia.gov/our-programs/coastal-zone-management/coastal-conservation/native-plant-marketing</w:t>
              </w:r>
            </w:hyperlink>
          </w:p>
        </w:tc>
      </w:tr>
      <w:tr w:rsidR="00581E61" w:rsidRPr="00B33EFC" w14:paraId="0045696E" w14:textId="77777777" w:rsidTr="006E7FE7">
        <w:trPr>
          <w:trHeight w:val="300"/>
        </w:trPr>
        <w:tc>
          <w:tcPr>
            <w:tcW w:w="8748" w:type="dxa"/>
            <w:tcBorders>
              <w:top w:val="single" w:sz="4" w:space="0" w:color="auto"/>
              <w:bottom w:val="single" w:sz="4" w:space="0" w:color="auto"/>
            </w:tcBorders>
            <w:noWrap/>
            <w:hideMark/>
          </w:tcPr>
          <w:p w14:paraId="470A4E46" w14:textId="77777777" w:rsidR="00581E61" w:rsidRPr="00B33EFC" w:rsidRDefault="00581E61">
            <w:pPr>
              <w:rPr>
                <w:rFonts w:cstheme="minorHAnsi"/>
                <w:sz w:val="20"/>
              </w:rPr>
            </w:pPr>
            <w:r w:rsidRPr="00B33EFC">
              <w:rPr>
                <w:rFonts w:cstheme="minorHAnsi"/>
                <w:sz w:val="20"/>
              </w:rPr>
              <w:t>DEQ Virginia Nonpoint Source Pollution Management Program Plan</w:t>
            </w:r>
          </w:p>
        </w:tc>
        <w:tc>
          <w:tcPr>
            <w:tcW w:w="828" w:type="dxa"/>
            <w:tcBorders>
              <w:top w:val="single" w:sz="4" w:space="0" w:color="auto"/>
              <w:bottom w:val="single" w:sz="4" w:space="0" w:color="auto"/>
            </w:tcBorders>
            <w:noWrap/>
            <w:vAlign w:val="center"/>
            <w:hideMark/>
          </w:tcPr>
          <w:p w14:paraId="7169BB5A" w14:textId="77777777" w:rsidR="00581E61" w:rsidRPr="00B33EFC" w:rsidRDefault="00581E61">
            <w:pPr>
              <w:rPr>
                <w:rFonts w:cstheme="minorHAnsi"/>
                <w:sz w:val="20"/>
                <w:u w:val="single"/>
              </w:rPr>
            </w:pPr>
            <w:hyperlink r:id="rId63" w:history="1">
              <w:r w:rsidRPr="00B33EFC">
                <w:rPr>
                  <w:rStyle w:val="Hyperlink"/>
                  <w:rFonts w:cstheme="minorHAnsi"/>
                  <w:sz w:val="20"/>
                </w:rPr>
                <w:t>https://www.deq.virginia.gov/home/showpublisheddocument/4334/637462334964400000</w:t>
              </w:r>
            </w:hyperlink>
          </w:p>
        </w:tc>
      </w:tr>
      <w:tr w:rsidR="00581E61" w:rsidRPr="00B33EFC" w14:paraId="3A1C928F" w14:textId="77777777" w:rsidTr="006E7FE7">
        <w:trPr>
          <w:trHeight w:val="300"/>
        </w:trPr>
        <w:tc>
          <w:tcPr>
            <w:tcW w:w="8748" w:type="dxa"/>
            <w:tcBorders>
              <w:top w:val="single" w:sz="4" w:space="0" w:color="auto"/>
              <w:bottom w:val="single" w:sz="4" w:space="0" w:color="auto"/>
            </w:tcBorders>
            <w:noWrap/>
            <w:hideMark/>
          </w:tcPr>
          <w:p w14:paraId="01EA4CA6" w14:textId="5DCE600A" w:rsidR="00581E61" w:rsidRPr="00B33EFC" w:rsidRDefault="00581E61">
            <w:pPr>
              <w:rPr>
                <w:rFonts w:cstheme="minorBidi"/>
                <w:sz w:val="20"/>
              </w:rPr>
            </w:pPr>
            <w:r w:rsidRPr="34F61ED1">
              <w:rPr>
                <w:rFonts w:cstheme="minorBidi"/>
                <w:sz w:val="20"/>
              </w:rPr>
              <w:t xml:space="preserve">DEQ Virginia Section 309 Coastal Needs Assessment and </w:t>
            </w:r>
            <w:r w:rsidR="5AC964CB" w:rsidRPr="34F61ED1">
              <w:rPr>
                <w:rFonts w:cstheme="minorBidi"/>
                <w:sz w:val="20"/>
              </w:rPr>
              <w:t>Strategies</w:t>
            </w:r>
          </w:p>
        </w:tc>
        <w:tc>
          <w:tcPr>
            <w:tcW w:w="828" w:type="dxa"/>
            <w:tcBorders>
              <w:top w:val="single" w:sz="4" w:space="0" w:color="auto"/>
              <w:bottom w:val="single" w:sz="4" w:space="0" w:color="auto"/>
            </w:tcBorders>
            <w:noWrap/>
            <w:vAlign w:val="center"/>
            <w:hideMark/>
          </w:tcPr>
          <w:p w14:paraId="148B2BD0" w14:textId="77777777" w:rsidR="00581E61" w:rsidRPr="00B33EFC" w:rsidRDefault="00581E61">
            <w:pPr>
              <w:rPr>
                <w:rFonts w:cstheme="minorHAnsi"/>
                <w:sz w:val="20"/>
                <w:u w:val="single"/>
              </w:rPr>
            </w:pPr>
            <w:hyperlink r:id="rId64" w:history="1">
              <w:r w:rsidRPr="00B33EFC">
                <w:rPr>
                  <w:rStyle w:val="Hyperlink"/>
                  <w:rFonts w:cstheme="minorHAnsi"/>
                  <w:sz w:val="20"/>
                </w:rPr>
                <w:t>https://www.deq.virginia.gov/home/showpublisheddocument/8346/637540014441970000</w:t>
              </w:r>
            </w:hyperlink>
          </w:p>
        </w:tc>
      </w:tr>
      <w:tr w:rsidR="00581E61" w:rsidRPr="00B33EFC" w14:paraId="1C0C3059" w14:textId="77777777" w:rsidTr="006E7FE7">
        <w:trPr>
          <w:trHeight w:val="300"/>
        </w:trPr>
        <w:tc>
          <w:tcPr>
            <w:tcW w:w="8748" w:type="dxa"/>
            <w:tcBorders>
              <w:top w:val="single" w:sz="4" w:space="0" w:color="auto"/>
              <w:bottom w:val="single" w:sz="4" w:space="0" w:color="auto"/>
            </w:tcBorders>
            <w:noWrap/>
            <w:hideMark/>
          </w:tcPr>
          <w:p w14:paraId="752F40E4" w14:textId="77777777" w:rsidR="00581E61" w:rsidRPr="00B33EFC" w:rsidRDefault="00581E61">
            <w:pPr>
              <w:rPr>
                <w:rFonts w:cstheme="minorHAnsi"/>
                <w:sz w:val="20"/>
              </w:rPr>
            </w:pPr>
            <w:r w:rsidRPr="00B33EFC">
              <w:rPr>
                <w:rFonts w:cstheme="minorHAnsi"/>
                <w:sz w:val="20"/>
              </w:rPr>
              <w:t>DEQ Water Quality Monitoring Strategy</w:t>
            </w:r>
          </w:p>
        </w:tc>
        <w:tc>
          <w:tcPr>
            <w:tcW w:w="828" w:type="dxa"/>
            <w:tcBorders>
              <w:top w:val="single" w:sz="4" w:space="0" w:color="auto"/>
              <w:bottom w:val="single" w:sz="4" w:space="0" w:color="auto"/>
            </w:tcBorders>
            <w:noWrap/>
            <w:vAlign w:val="center"/>
            <w:hideMark/>
          </w:tcPr>
          <w:p w14:paraId="30D9512E" w14:textId="77777777" w:rsidR="00581E61" w:rsidRPr="00B33EFC" w:rsidRDefault="00581E61">
            <w:pPr>
              <w:rPr>
                <w:rFonts w:cstheme="minorHAnsi"/>
                <w:sz w:val="20"/>
                <w:u w:val="single"/>
              </w:rPr>
            </w:pPr>
            <w:hyperlink r:id="rId65" w:history="1">
              <w:r w:rsidRPr="00B33EFC">
                <w:rPr>
                  <w:rStyle w:val="Hyperlink"/>
                  <w:rFonts w:cstheme="minorHAnsi"/>
                  <w:sz w:val="20"/>
                </w:rPr>
                <w:t>https://www.deq.virginia.gov/our-programs/water/water-quality/monitoring</w:t>
              </w:r>
            </w:hyperlink>
          </w:p>
        </w:tc>
      </w:tr>
      <w:tr w:rsidR="00581E61" w:rsidRPr="00B33EFC" w14:paraId="38BB4A55" w14:textId="77777777" w:rsidTr="006E7FE7">
        <w:trPr>
          <w:trHeight w:val="300"/>
        </w:trPr>
        <w:tc>
          <w:tcPr>
            <w:tcW w:w="8748" w:type="dxa"/>
            <w:tcBorders>
              <w:top w:val="single" w:sz="4" w:space="0" w:color="auto"/>
              <w:bottom w:val="single" w:sz="4" w:space="0" w:color="auto"/>
            </w:tcBorders>
            <w:noWrap/>
            <w:hideMark/>
          </w:tcPr>
          <w:p w14:paraId="1AA7899F" w14:textId="77777777" w:rsidR="00581E61" w:rsidRPr="00B33EFC" w:rsidRDefault="00581E61">
            <w:pPr>
              <w:rPr>
                <w:rFonts w:cstheme="minorHAnsi"/>
                <w:sz w:val="20"/>
              </w:rPr>
            </w:pPr>
            <w:r w:rsidRPr="00B33EFC">
              <w:rPr>
                <w:rFonts w:cstheme="minorHAnsi"/>
                <w:sz w:val="20"/>
              </w:rPr>
              <w:t>DEQ Water Quality Success Stories</w:t>
            </w:r>
          </w:p>
        </w:tc>
        <w:tc>
          <w:tcPr>
            <w:tcW w:w="828" w:type="dxa"/>
            <w:tcBorders>
              <w:top w:val="single" w:sz="4" w:space="0" w:color="auto"/>
              <w:bottom w:val="single" w:sz="4" w:space="0" w:color="auto"/>
            </w:tcBorders>
            <w:noWrap/>
            <w:vAlign w:val="center"/>
            <w:hideMark/>
          </w:tcPr>
          <w:p w14:paraId="28575096" w14:textId="77777777" w:rsidR="00581E61" w:rsidRPr="00B33EFC" w:rsidRDefault="00581E61">
            <w:pPr>
              <w:rPr>
                <w:rFonts w:cstheme="minorHAnsi"/>
                <w:sz w:val="20"/>
                <w:u w:val="single"/>
              </w:rPr>
            </w:pPr>
            <w:hyperlink r:id="rId66" w:history="1">
              <w:r w:rsidRPr="00B33EFC">
                <w:rPr>
                  <w:rStyle w:val="Hyperlink"/>
                  <w:rFonts w:cstheme="minorHAnsi"/>
                  <w:sz w:val="20"/>
                </w:rPr>
                <w:t>https://www.deq.virginia.gov/our-programs/water/water-quality/water-quality-success-stories</w:t>
              </w:r>
            </w:hyperlink>
          </w:p>
        </w:tc>
      </w:tr>
      <w:tr w:rsidR="00581E61" w:rsidRPr="00B33EFC" w14:paraId="0DD6E2E7" w14:textId="77777777" w:rsidTr="006E7FE7">
        <w:trPr>
          <w:trHeight w:val="300"/>
        </w:trPr>
        <w:tc>
          <w:tcPr>
            <w:tcW w:w="8748" w:type="dxa"/>
            <w:tcBorders>
              <w:top w:val="single" w:sz="4" w:space="0" w:color="auto"/>
              <w:bottom w:val="single" w:sz="4" w:space="0" w:color="auto"/>
            </w:tcBorders>
            <w:noWrap/>
            <w:hideMark/>
          </w:tcPr>
          <w:p w14:paraId="041F6F6E" w14:textId="77777777" w:rsidR="00581E61" w:rsidRPr="00B33EFC" w:rsidRDefault="00581E61">
            <w:pPr>
              <w:rPr>
                <w:rFonts w:cstheme="minorHAnsi"/>
                <w:sz w:val="20"/>
              </w:rPr>
            </w:pPr>
            <w:r w:rsidRPr="00B33EFC">
              <w:rPr>
                <w:rFonts w:cstheme="minorHAnsi"/>
                <w:sz w:val="20"/>
              </w:rPr>
              <w:t>DEQ Water Supply Planning</w:t>
            </w:r>
          </w:p>
        </w:tc>
        <w:tc>
          <w:tcPr>
            <w:tcW w:w="828" w:type="dxa"/>
            <w:tcBorders>
              <w:top w:val="single" w:sz="4" w:space="0" w:color="auto"/>
              <w:bottom w:val="single" w:sz="4" w:space="0" w:color="auto"/>
            </w:tcBorders>
            <w:noWrap/>
            <w:vAlign w:val="center"/>
            <w:hideMark/>
          </w:tcPr>
          <w:p w14:paraId="45028C8D" w14:textId="77777777" w:rsidR="00581E61" w:rsidRPr="00B33EFC" w:rsidRDefault="00581E61">
            <w:pPr>
              <w:rPr>
                <w:rFonts w:cstheme="minorHAnsi"/>
                <w:sz w:val="20"/>
                <w:u w:val="single"/>
              </w:rPr>
            </w:pPr>
            <w:hyperlink r:id="rId67" w:history="1">
              <w:r w:rsidRPr="00B33EFC">
                <w:rPr>
                  <w:rStyle w:val="Hyperlink"/>
                  <w:rFonts w:cstheme="minorHAnsi"/>
                  <w:sz w:val="20"/>
                </w:rPr>
                <w:t>https://www.deq.virginia.gov/our-programs/water/water-quantity/water-supply-planning</w:t>
              </w:r>
            </w:hyperlink>
          </w:p>
        </w:tc>
      </w:tr>
      <w:tr w:rsidR="00581E61" w:rsidRPr="00B33EFC" w14:paraId="7EAD6EF2" w14:textId="77777777" w:rsidTr="006E7FE7">
        <w:trPr>
          <w:trHeight w:val="300"/>
        </w:trPr>
        <w:tc>
          <w:tcPr>
            <w:tcW w:w="8748" w:type="dxa"/>
            <w:tcBorders>
              <w:top w:val="single" w:sz="4" w:space="0" w:color="auto"/>
              <w:bottom w:val="single" w:sz="4" w:space="0" w:color="auto"/>
            </w:tcBorders>
            <w:noWrap/>
            <w:hideMark/>
          </w:tcPr>
          <w:p w14:paraId="07CB7E0E" w14:textId="10905994" w:rsidR="00581E61" w:rsidRPr="00B33EFC" w:rsidRDefault="00581E61">
            <w:pPr>
              <w:rPr>
                <w:rFonts w:cstheme="minorBidi"/>
                <w:sz w:val="20"/>
              </w:rPr>
            </w:pPr>
            <w:r w:rsidRPr="0F04CE36">
              <w:rPr>
                <w:rFonts w:cstheme="minorBidi"/>
                <w:sz w:val="20"/>
              </w:rPr>
              <w:lastRenderedPageBreak/>
              <w:t xml:space="preserve">DEQ Water </w:t>
            </w:r>
            <w:r w:rsidR="7F68DE98" w:rsidRPr="0F04CE36">
              <w:rPr>
                <w:rFonts w:cstheme="minorBidi"/>
                <w:sz w:val="20"/>
              </w:rPr>
              <w:t>Withdrawal</w:t>
            </w:r>
          </w:p>
        </w:tc>
        <w:tc>
          <w:tcPr>
            <w:tcW w:w="828" w:type="dxa"/>
            <w:tcBorders>
              <w:top w:val="single" w:sz="4" w:space="0" w:color="auto"/>
              <w:bottom w:val="single" w:sz="4" w:space="0" w:color="auto"/>
            </w:tcBorders>
            <w:noWrap/>
            <w:vAlign w:val="center"/>
            <w:hideMark/>
          </w:tcPr>
          <w:p w14:paraId="24AF932A" w14:textId="77777777" w:rsidR="00581E61" w:rsidRPr="00B33EFC" w:rsidRDefault="00581E61">
            <w:pPr>
              <w:rPr>
                <w:rFonts w:cstheme="minorHAnsi"/>
                <w:sz w:val="20"/>
                <w:u w:val="single"/>
              </w:rPr>
            </w:pPr>
            <w:hyperlink r:id="rId68" w:history="1">
              <w:r w:rsidRPr="00B33EFC">
                <w:rPr>
                  <w:rStyle w:val="Hyperlink"/>
                  <w:rFonts w:cstheme="minorHAnsi"/>
                  <w:sz w:val="20"/>
                </w:rPr>
                <w:t>https://www.deq.virginia.gov/permits/water/water-withdrawal</w:t>
              </w:r>
            </w:hyperlink>
          </w:p>
        </w:tc>
      </w:tr>
      <w:tr w:rsidR="00581E61" w:rsidRPr="00B33EFC" w14:paraId="06AC8116" w14:textId="77777777" w:rsidTr="006E7FE7">
        <w:trPr>
          <w:trHeight w:val="300"/>
        </w:trPr>
        <w:tc>
          <w:tcPr>
            <w:tcW w:w="8748" w:type="dxa"/>
            <w:tcBorders>
              <w:top w:val="single" w:sz="4" w:space="0" w:color="auto"/>
              <w:bottom w:val="single" w:sz="4" w:space="0" w:color="auto"/>
            </w:tcBorders>
            <w:noWrap/>
            <w:hideMark/>
          </w:tcPr>
          <w:p w14:paraId="5E863F0F" w14:textId="77777777" w:rsidR="00581E61" w:rsidRPr="00B33EFC" w:rsidRDefault="00581E61">
            <w:pPr>
              <w:rPr>
                <w:rFonts w:cstheme="minorHAnsi"/>
                <w:sz w:val="20"/>
              </w:rPr>
            </w:pPr>
            <w:r w:rsidRPr="00B33EFC">
              <w:rPr>
                <w:rFonts w:cstheme="minorHAnsi"/>
                <w:sz w:val="20"/>
              </w:rPr>
              <w:t>DEQ Wetland and Streams</w:t>
            </w:r>
          </w:p>
        </w:tc>
        <w:tc>
          <w:tcPr>
            <w:tcW w:w="828" w:type="dxa"/>
            <w:tcBorders>
              <w:top w:val="single" w:sz="4" w:space="0" w:color="auto"/>
              <w:bottom w:val="single" w:sz="4" w:space="0" w:color="auto"/>
            </w:tcBorders>
            <w:noWrap/>
            <w:vAlign w:val="center"/>
            <w:hideMark/>
          </w:tcPr>
          <w:p w14:paraId="5F2E1A1C" w14:textId="77777777" w:rsidR="00581E61" w:rsidRPr="00B33EFC" w:rsidRDefault="00581E61">
            <w:pPr>
              <w:rPr>
                <w:rFonts w:cstheme="minorHAnsi"/>
                <w:sz w:val="20"/>
                <w:u w:val="single"/>
              </w:rPr>
            </w:pPr>
            <w:hyperlink r:id="rId69" w:history="1">
              <w:r w:rsidRPr="00B33EFC">
                <w:rPr>
                  <w:rStyle w:val="Hyperlink"/>
                  <w:rFonts w:cstheme="minorHAnsi"/>
                  <w:sz w:val="20"/>
                </w:rPr>
                <w:t>https://www.deq.virginia.gov/our-programs/water/wetlands-streams</w:t>
              </w:r>
            </w:hyperlink>
          </w:p>
        </w:tc>
      </w:tr>
      <w:tr w:rsidR="00581E61" w:rsidRPr="00B33EFC" w14:paraId="41AFE1F9" w14:textId="77777777" w:rsidTr="006E7FE7">
        <w:trPr>
          <w:trHeight w:val="300"/>
        </w:trPr>
        <w:tc>
          <w:tcPr>
            <w:tcW w:w="8748" w:type="dxa"/>
            <w:tcBorders>
              <w:top w:val="single" w:sz="4" w:space="0" w:color="auto"/>
              <w:bottom w:val="single" w:sz="4" w:space="0" w:color="auto"/>
            </w:tcBorders>
            <w:noWrap/>
            <w:hideMark/>
          </w:tcPr>
          <w:p w14:paraId="22E0E576" w14:textId="77777777" w:rsidR="00581E61" w:rsidRPr="00B33EFC" w:rsidRDefault="00581E61">
            <w:pPr>
              <w:rPr>
                <w:rFonts w:cstheme="minorHAnsi"/>
                <w:sz w:val="20"/>
              </w:rPr>
            </w:pPr>
            <w:r w:rsidRPr="00B33EFC">
              <w:rPr>
                <w:rFonts w:cstheme="minorHAnsi"/>
                <w:sz w:val="20"/>
              </w:rPr>
              <w:t>DEQ WQA Guidance</w:t>
            </w:r>
          </w:p>
        </w:tc>
        <w:tc>
          <w:tcPr>
            <w:tcW w:w="828" w:type="dxa"/>
            <w:tcBorders>
              <w:top w:val="single" w:sz="4" w:space="0" w:color="auto"/>
              <w:bottom w:val="single" w:sz="4" w:space="0" w:color="auto"/>
            </w:tcBorders>
            <w:noWrap/>
            <w:vAlign w:val="center"/>
            <w:hideMark/>
          </w:tcPr>
          <w:p w14:paraId="28CFA9C0" w14:textId="77777777" w:rsidR="00581E61" w:rsidRPr="00B33EFC" w:rsidRDefault="00581E61">
            <w:pPr>
              <w:rPr>
                <w:rFonts w:cstheme="minorHAnsi"/>
                <w:sz w:val="20"/>
                <w:u w:val="single"/>
              </w:rPr>
            </w:pPr>
            <w:hyperlink r:id="rId70" w:history="1">
              <w:r w:rsidRPr="00B33EFC">
                <w:rPr>
                  <w:rStyle w:val="Hyperlink"/>
                  <w:rFonts w:cstheme="minorHAnsi"/>
                  <w:sz w:val="20"/>
                </w:rPr>
                <w:t>https://www.deq.virginia.gov/our-programs/water/water-quality/assessments/wqa-guidance-manual</w:t>
              </w:r>
            </w:hyperlink>
          </w:p>
        </w:tc>
      </w:tr>
      <w:tr w:rsidR="00581E61" w:rsidRPr="00B33EFC" w14:paraId="0AEF8CE0" w14:textId="77777777" w:rsidTr="006E7FE7">
        <w:trPr>
          <w:trHeight w:val="300"/>
        </w:trPr>
        <w:tc>
          <w:tcPr>
            <w:tcW w:w="8748" w:type="dxa"/>
            <w:tcBorders>
              <w:top w:val="single" w:sz="4" w:space="0" w:color="auto"/>
              <w:bottom w:val="single" w:sz="4" w:space="0" w:color="auto"/>
            </w:tcBorders>
            <w:noWrap/>
            <w:hideMark/>
          </w:tcPr>
          <w:p w14:paraId="137CE247" w14:textId="77777777" w:rsidR="00581E61" w:rsidRPr="00B33EFC" w:rsidRDefault="00581E61">
            <w:pPr>
              <w:rPr>
                <w:rFonts w:cstheme="minorHAnsi"/>
                <w:sz w:val="20"/>
              </w:rPr>
            </w:pPr>
            <w:r w:rsidRPr="00B33EFC">
              <w:rPr>
                <w:rFonts w:cstheme="minorHAnsi"/>
                <w:sz w:val="20"/>
              </w:rPr>
              <w:t>DEQ WQM Plan</w:t>
            </w:r>
          </w:p>
        </w:tc>
        <w:tc>
          <w:tcPr>
            <w:tcW w:w="828" w:type="dxa"/>
            <w:tcBorders>
              <w:top w:val="single" w:sz="4" w:space="0" w:color="auto"/>
              <w:bottom w:val="single" w:sz="4" w:space="0" w:color="auto"/>
            </w:tcBorders>
            <w:noWrap/>
            <w:vAlign w:val="center"/>
            <w:hideMark/>
          </w:tcPr>
          <w:p w14:paraId="390188F2" w14:textId="77777777" w:rsidR="00581E61" w:rsidRPr="00B33EFC" w:rsidRDefault="00581E61">
            <w:pPr>
              <w:rPr>
                <w:rFonts w:cstheme="minorHAnsi"/>
                <w:sz w:val="20"/>
                <w:u w:val="single"/>
              </w:rPr>
            </w:pPr>
            <w:hyperlink r:id="rId71" w:history="1">
              <w:r w:rsidRPr="00B33EFC">
                <w:rPr>
                  <w:rStyle w:val="Hyperlink"/>
                  <w:rFonts w:cstheme="minorHAnsi"/>
                  <w:sz w:val="20"/>
                </w:rPr>
                <w:t>https://www.deq.virginia.gov/our-programs/water/water-quality/monitoring/water-quality-monitoring-plan</w:t>
              </w:r>
            </w:hyperlink>
          </w:p>
        </w:tc>
      </w:tr>
      <w:tr w:rsidR="00581E61" w:rsidRPr="00B33EFC" w14:paraId="30BE63A2" w14:textId="77777777" w:rsidTr="006E7FE7">
        <w:trPr>
          <w:trHeight w:val="300"/>
        </w:trPr>
        <w:tc>
          <w:tcPr>
            <w:tcW w:w="8748" w:type="dxa"/>
            <w:tcBorders>
              <w:top w:val="single" w:sz="4" w:space="0" w:color="auto"/>
              <w:bottom w:val="single" w:sz="4" w:space="0" w:color="auto"/>
            </w:tcBorders>
            <w:noWrap/>
            <w:hideMark/>
          </w:tcPr>
          <w:p w14:paraId="22FC2280" w14:textId="77777777" w:rsidR="00581E61" w:rsidRPr="00B33EFC" w:rsidRDefault="00581E61">
            <w:pPr>
              <w:rPr>
                <w:rFonts w:cstheme="minorHAnsi"/>
                <w:sz w:val="20"/>
              </w:rPr>
            </w:pPr>
            <w:r w:rsidRPr="00B33EFC">
              <w:rPr>
                <w:rFonts w:cstheme="minorHAnsi"/>
                <w:sz w:val="20"/>
              </w:rPr>
              <w:t>DEQ WQS</w:t>
            </w:r>
          </w:p>
        </w:tc>
        <w:tc>
          <w:tcPr>
            <w:tcW w:w="828" w:type="dxa"/>
            <w:tcBorders>
              <w:top w:val="single" w:sz="4" w:space="0" w:color="auto"/>
              <w:bottom w:val="single" w:sz="4" w:space="0" w:color="auto"/>
            </w:tcBorders>
            <w:noWrap/>
            <w:vAlign w:val="center"/>
            <w:hideMark/>
          </w:tcPr>
          <w:p w14:paraId="3DC45A06" w14:textId="77777777" w:rsidR="00581E61" w:rsidRPr="00B33EFC" w:rsidRDefault="00581E61">
            <w:pPr>
              <w:rPr>
                <w:rFonts w:cstheme="minorHAnsi"/>
                <w:sz w:val="20"/>
                <w:u w:val="single"/>
              </w:rPr>
            </w:pPr>
            <w:hyperlink r:id="rId72" w:history="1">
              <w:r w:rsidRPr="00B33EFC">
                <w:rPr>
                  <w:rStyle w:val="Hyperlink"/>
                  <w:rFonts w:cstheme="minorHAnsi"/>
                  <w:sz w:val="20"/>
                </w:rPr>
                <w:t>https://www.deq.virginia.gov/our-programs/water/water-quality/standards</w:t>
              </w:r>
            </w:hyperlink>
          </w:p>
        </w:tc>
      </w:tr>
      <w:tr w:rsidR="00581E61" w:rsidRPr="00B33EFC" w14:paraId="4FDC36C4" w14:textId="77777777" w:rsidTr="006E7FE7">
        <w:trPr>
          <w:trHeight w:val="300"/>
        </w:trPr>
        <w:tc>
          <w:tcPr>
            <w:tcW w:w="8748" w:type="dxa"/>
            <w:tcBorders>
              <w:top w:val="single" w:sz="4" w:space="0" w:color="auto"/>
              <w:bottom w:val="single" w:sz="4" w:space="0" w:color="auto"/>
            </w:tcBorders>
            <w:noWrap/>
            <w:hideMark/>
          </w:tcPr>
          <w:p w14:paraId="13011452" w14:textId="77777777" w:rsidR="00581E61" w:rsidRPr="00B33EFC" w:rsidRDefault="00581E61">
            <w:pPr>
              <w:rPr>
                <w:rFonts w:cstheme="minorHAnsi"/>
                <w:sz w:val="20"/>
              </w:rPr>
            </w:pPr>
            <w:r w:rsidRPr="00B33EFC">
              <w:rPr>
                <w:rFonts w:cstheme="minorHAnsi"/>
                <w:sz w:val="20"/>
              </w:rPr>
              <w:t>DWR Website</w:t>
            </w:r>
          </w:p>
        </w:tc>
        <w:tc>
          <w:tcPr>
            <w:tcW w:w="828" w:type="dxa"/>
            <w:tcBorders>
              <w:top w:val="single" w:sz="4" w:space="0" w:color="auto"/>
              <w:bottom w:val="single" w:sz="4" w:space="0" w:color="auto"/>
            </w:tcBorders>
            <w:noWrap/>
            <w:vAlign w:val="center"/>
            <w:hideMark/>
          </w:tcPr>
          <w:p w14:paraId="2B7558CB" w14:textId="77777777" w:rsidR="00581E61" w:rsidRPr="00B33EFC" w:rsidRDefault="00581E61">
            <w:pPr>
              <w:rPr>
                <w:rFonts w:cstheme="minorHAnsi"/>
                <w:sz w:val="20"/>
                <w:u w:val="single"/>
              </w:rPr>
            </w:pPr>
            <w:hyperlink r:id="rId73" w:history="1">
              <w:r w:rsidRPr="00B33EFC">
                <w:rPr>
                  <w:rStyle w:val="Hyperlink"/>
                  <w:rFonts w:cstheme="minorHAnsi"/>
                  <w:sz w:val="20"/>
                </w:rPr>
                <w:t>https://dwr.virginia.gov/</w:t>
              </w:r>
            </w:hyperlink>
          </w:p>
        </w:tc>
      </w:tr>
      <w:tr w:rsidR="00581E61" w:rsidRPr="00B33EFC" w14:paraId="14191D15" w14:textId="77777777" w:rsidTr="006E7FE7">
        <w:trPr>
          <w:trHeight w:val="300"/>
        </w:trPr>
        <w:tc>
          <w:tcPr>
            <w:tcW w:w="8748" w:type="dxa"/>
            <w:tcBorders>
              <w:top w:val="single" w:sz="4" w:space="0" w:color="auto"/>
              <w:bottom w:val="single" w:sz="4" w:space="0" w:color="auto"/>
            </w:tcBorders>
            <w:noWrap/>
            <w:hideMark/>
          </w:tcPr>
          <w:p w14:paraId="4E2DE0EF" w14:textId="77777777" w:rsidR="00581E61" w:rsidRPr="00B33EFC" w:rsidRDefault="00581E61">
            <w:pPr>
              <w:rPr>
                <w:rFonts w:cstheme="minorHAnsi"/>
                <w:sz w:val="20"/>
              </w:rPr>
            </w:pPr>
            <w:r w:rsidRPr="00B33EFC">
              <w:rPr>
                <w:rFonts w:cstheme="minorHAnsi"/>
                <w:sz w:val="20"/>
              </w:rPr>
              <w:t>EPA 2022 Vision</w:t>
            </w:r>
          </w:p>
        </w:tc>
        <w:tc>
          <w:tcPr>
            <w:tcW w:w="828" w:type="dxa"/>
            <w:tcBorders>
              <w:top w:val="single" w:sz="4" w:space="0" w:color="auto"/>
              <w:bottom w:val="single" w:sz="4" w:space="0" w:color="auto"/>
            </w:tcBorders>
            <w:noWrap/>
            <w:vAlign w:val="center"/>
            <w:hideMark/>
          </w:tcPr>
          <w:p w14:paraId="511B0199" w14:textId="77777777" w:rsidR="00581E61" w:rsidRPr="00B33EFC" w:rsidRDefault="00581E61">
            <w:pPr>
              <w:rPr>
                <w:rFonts w:cstheme="minorHAnsi"/>
                <w:sz w:val="20"/>
                <w:u w:val="single"/>
              </w:rPr>
            </w:pPr>
            <w:hyperlink r:id="rId74" w:anchor=":~:text=The%202022%20%2D%202032%20Vision%20for,%2C%20lakes%2C%20estuaries%20and%20wetlands." w:history="1">
              <w:r w:rsidRPr="00B33EFC">
                <w:rPr>
                  <w:rStyle w:val="Hyperlink"/>
                  <w:rFonts w:cstheme="minorHAnsi"/>
                  <w:sz w:val="20"/>
                </w:rPr>
                <w:t>https://www.epa.gov/tmdl/Vision#:~:text=The%202022%20%2D%202032%20Vision%20for,%2C%20lakes%2C%20estuaries%20and%20wetlands.</w:t>
              </w:r>
            </w:hyperlink>
          </w:p>
        </w:tc>
      </w:tr>
      <w:tr w:rsidR="00581E61" w:rsidRPr="00B33EFC" w14:paraId="30EC9DD7" w14:textId="77777777" w:rsidTr="006E7FE7">
        <w:trPr>
          <w:trHeight w:val="300"/>
        </w:trPr>
        <w:tc>
          <w:tcPr>
            <w:tcW w:w="8748" w:type="dxa"/>
            <w:tcBorders>
              <w:top w:val="single" w:sz="4" w:space="0" w:color="auto"/>
              <w:bottom w:val="single" w:sz="4" w:space="0" w:color="auto"/>
            </w:tcBorders>
            <w:noWrap/>
            <w:hideMark/>
          </w:tcPr>
          <w:p w14:paraId="227D6195" w14:textId="77777777" w:rsidR="00581E61" w:rsidRPr="00B33EFC" w:rsidRDefault="00581E61">
            <w:pPr>
              <w:rPr>
                <w:rFonts w:cstheme="minorHAnsi"/>
                <w:sz w:val="20"/>
              </w:rPr>
            </w:pPr>
            <w:r w:rsidRPr="00B33EFC">
              <w:rPr>
                <w:rFonts w:cstheme="minorHAnsi"/>
                <w:sz w:val="20"/>
              </w:rPr>
              <w:t>EPA Beach Monitoring Data User Guide</w:t>
            </w:r>
          </w:p>
        </w:tc>
        <w:tc>
          <w:tcPr>
            <w:tcW w:w="828" w:type="dxa"/>
            <w:tcBorders>
              <w:top w:val="single" w:sz="4" w:space="0" w:color="auto"/>
              <w:bottom w:val="single" w:sz="4" w:space="0" w:color="auto"/>
            </w:tcBorders>
            <w:noWrap/>
            <w:vAlign w:val="center"/>
            <w:hideMark/>
          </w:tcPr>
          <w:p w14:paraId="3F155863" w14:textId="77777777" w:rsidR="00581E61" w:rsidRPr="00B33EFC" w:rsidRDefault="00581E61">
            <w:pPr>
              <w:rPr>
                <w:rFonts w:cstheme="minorHAnsi"/>
                <w:sz w:val="20"/>
                <w:u w:val="single"/>
              </w:rPr>
            </w:pPr>
            <w:hyperlink r:id="rId75" w:history="1">
              <w:r w:rsidRPr="00B33EFC">
                <w:rPr>
                  <w:rStyle w:val="Hyperlink"/>
                  <w:rFonts w:cstheme="minorHAnsi"/>
                  <w:sz w:val="20"/>
                </w:rPr>
                <w:t>https://www.epa.gov/beaches/submitting-beach-data-epa</w:t>
              </w:r>
            </w:hyperlink>
          </w:p>
        </w:tc>
      </w:tr>
      <w:tr w:rsidR="00581E61" w:rsidRPr="00B33EFC" w14:paraId="6E09C7A8" w14:textId="77777777" w:rsidTr="006E7FE7">
        <w:trPr>
          <w:trHeight w:val="300"/>
        </w:trPr>
        <w:tc>
          <w:tcPr>
            <w:tcW w:w="8748" w:type="dxa"/>
            <w:tcBorders>
              <w:top w:val="single" w:sz="4" w:space="0" w:color="auto"/>
              <w:bottom w:val="single" w:sz="4" w:space="0" w:color="auto"/>
            </w:tcBorders>
            <w:noWrap/>
            <w:hideMark/>
          </w:tcPr>
          <w:p w14:paraId="00700CB6" w14:textId="77777777" w:rsidR="00581E61" w:rsidRPr="00B33EFC" w:rsidRDefault="00581E61">
            <w:pPr>
              <w:rPr>
                <w:rFonts w:cstheme="minorHAnsi"/>
                <w:sz w:val="20"/>
              </w:rPr>
            </w:pPr>
            <w:r w:rsidRPr="00B33EFC">
              <w:rPr>
                <w:rFonts w:cstheme="minorHAnsi"/>
                <w:sz w:val="20"/>
              </w:rPr>
              <w:t>EPA Chesapeake Bay TMDL</w:t>
            </w:r>
          </w:p>
        </w:tc>
        <w:tc>
          <w:tcPr>
            <w:tcW w:w="828" w:type="dxa"/>
            <w:tcBorders>
              <w:top w:val="single" w:sz="4" w:space="0" w:color="auto"/>
              <w:bottom w:val="single" w:sz="4" w:space="0" w:color="auto"/>
            </w:tcBorders>
            <w:noWrap/>
            <w:vAlign w:val="center"/>
            <w:hideMark/>
          </w:tcPr>
          <w:p w14:paraId="65A46028" w14:textId="77777777" w:rsidR="00581E61" w:rsidRPr="00B33EFC" w:rsidRDefault="00581E61">
            <w:pPr>
              <w:rPr>
                <w:rFonts w:cstheme="minorHAnsi"/>
                <w:sz w:val="20"/>
                <w:u w:val="single"/>
              </w:rPr>
            </w:pPr>
            <w:hyperlink r:id="rId76" w:history="1">
              <w:r w:rsidRPr="00B33EFC">
                <w:rPr>
                  <w:rStyle w:val="Hyperlink"/>
                  <w:rFonts w:cstheme="minorHAnsi"/>
                  <w:sz w:val="20"/>
                </w:rPr>
                <w:t>https://www.epa.gov/chesapeake-bay-tmdl</w:t>
              </w:r>
            </w:hyperlink>
          </w:p>
        </w:tc>
      </w:tr>
      <w:tr w:rsidR="004D00D6" w:rsidRPr="00B33EFC" w14:paraId="1525F285" w14:textId="77777777" w:rsidTr="006E7FE7">
        <w:trPr>
          <w:trHeight w:val="300"/>
        </w:trPr>
        <w:tc>
          <w:tcPr>
            <w:tcW w:w="8748" w:type="dxa"/>
            <w:tcBorders>
              <w:top w:val="single" w:sz="4" w:space="0" w:color="auto"/>
              <w:bottom w:val="single" w:sz="4" w:space="0" w:color="auto"/>
            </w:tcBorders>
            <w:noWrap/>
          </w:tcPr>
          <w:p w14:paraId="5EB79813" w14:textId="63527066" w:rsidR="004D00D6" w:rsidRPr="00B33EFC" w:rsidRDefault="004D00D6">
            <w:pPr>
              <w:rPr>
                <w:rFonts w:cstheme="minorHAnsi"/>
                <w:sz w:val="20"/>
              </w:rPr>
            </w:pPr>
            <w:r>
              <w:rPr>
                <w:rFonts w:cstheme="minorHAnsi"/>
                <w:sz w:val="20"/>
              </w:rPr>
              <w:t>EPA H</w:t>
            </w:r>
            <w:r w:rsidR="009E317A">
              <w:rPr>
                <w:rFonts w:cstheme="minorHAnsi"/>
                <w:sz w:val="20"/>
              </w:rPr>
              <w:t>ow’s My Waterway?</w:t>
            </w:r>
          </w:p>
        </w:tc>
        <w:tc>
          <w:tcPr>
            <w:tcW w:w="828" w:type="dxa"/>
            <w:tcBorders>
              <w:top w:val="single" w:sz="4" w:space="0" w:color="auto"/>
              <w:bottom w:val="single" w:sz="4" w:space="0" w:color="auto"/>
            </w:tcBorders>
            <w:noWrap/>
            <w:vAlign w:val="center"/>
          </w:tcPr>
          <w:p w14:paraId="4451E75F" w14:textId="4FE60703" w:rsidR="004D00D6" w:rsidRPr="00007076" w:rsidRDefault="00007076" w:rsidP="006E7FE7">
            <w:pPr>
              <w:rPr>
                <w:sz w:val="20"/>
              </w:rPr>
            </w:pPr>
            <w:hyperlink r:id="rId77" w:history="1">
              <w:r>
                <w:rPr>
                  <w:rStyle w:val="Hyperlink"/>
                  <w:sz w:val="20"/>
                </w:rPr>
                <w:t>https://www.epa.gov/waterdata/hows-my-waterway</w:t>
              </w:r>
            </w:hyperlink>
          </w:p>
        </w:tc>
      </w:tr>
      <w:tr w:rsidR="00581E61" w:rsidRPr="00B33EFC" w14:paraId="079D1FF7" w14:textId="77777777" w:rsidTr="006E7FE7">
        <w:trPr>
          <w:trHeight w:val="300"/>
        </w:trPr>
        <w:tc>
          <w:tcPr>
            <w:tcW w:w="8748" w:type="dxa"/>
            <w:tcBorders>
              <w:top w:val="single" w:sz="4" w:space="0" w:color="auto"/>
              <w:bottom w:val="single" w:sz="4" w:space="0" w:color="auto"/>
            </w:tcBorders>
            <w:noWrap/>
            <w:hideMark/>
          </w:tcPr>
          <w:p w14:paraId="083D5745" w14:textId="77777777" w:rsidR="00581E61" w:rsidRPr="00B33EFC" w:rsidRDefault="00581E61">
            <w:pPr>
              <w:rPr>
                <w:rFonts w:cstheme="minorHAnsi"/>
                <w:sz w:val="20"/>
              </w:rPr>
            </w:pPr>
            <w:r w:rsidRPr="00B33EFC">
              <w:rPr>
                <w:rFonts w:cstheme="minorHAnsi"/>
                <w:sz w:val="20"/>
              </w:rPr>
              <w:t>EPA National List of Beaches</w:t>
            </w:r>
          </w:p>
        </w:tc>
        <w:tc>
          <w:tcPr>
            <w:tcW w:w="828" w:type="dxa"/>
            <w:tcBorders>
              <w:top w:val="single" w:sz="4" w:space="0" w:color="auto"/>
              <w:bottom w:val="single" w:sz="4" w:space="0" w:color="auto"/>
            </w:tcBorders>
            <w:noWrap/>
            <w:vAlign w:val="center"/>
            <w:hideMark/>
          </w:tcPr>
          <w:p w14:paraId="3449A073" w14:textId="77777777" w:rsidR="00581E61" w:rsidRPr="00B33EFC" w:rsidRDefault="00581E61">
            <w:pPr>
              <w:rPr>
                <w:rFonts w:cstheme="minorHAnsi"/>
                <w:sz w:val="20"/>
                <w:u w:val="single"/>
              </w:rPr>
            </w:pPr>
            <w:hyperlink r:id="rId78" w:history="1">
              <w:r w:rsidRPr="00B33EFC">
                <w:rPr>
                  <w:rStyle w:val="Hyperlink"/>
                  <w:rFonts w:cstheme="minorHAnsi"/>
                  <w:sz w:val="20"/>
                </w:rPr>
                <w:t>https://www.epa.gov/beaches/national-list-beaches</w:t>
              </w:r>
            </w:hyperlink>
          </w:p>
        </w:tc>
      </w:tr>
      <w:tr w:rsidR="00581E61" w:rsidRPr="00B33EFC" w14:paraId="2E362D17" w14:textId="77777777" w:rsidTr="006E7FE7">
        <w:trPr>
          <w:trHeight w:val="300"/>
        </w:trPr>
        <w:tc>
          <w:tcPr>
            <w:tcW w:w="8748" w:type="dxa"/>
            <w:tcBorders>
              <w:top w:val="single" w:sz="4" w:space="0" w:color="auto"/>
              <w:bottom w:val="single" w:sz="4" w:space="0" w:color="auto"/>
            </w:tcBorders>
            <w:noWrap/>
            <w:hideMark/>
          </w:tcPr>
          <w:p w14:paraId="31E00572" w14:textId="77777777" w:rsidR="00581E61" w:rsidRPr="00B33EFC" w:rsidRDefault="00581E61">
            <w:pPr>
              <w:rPr>
                <w:rFonts w:cstheme="minorHAnsi"/>
                <w:sz w:val="20"/>
              </w:rPr>
            </w:pPr>
            <w:r w:rsidRPr="00B33EFC">
              <w:rPr>
                <w:rFonts w:cstheme="minorHAnsi"/>
                <w:sz w:val="20"/>
              </w:rPr>
              <w:t>EPA Water Topics</w:t>
            </w:r>
          </w:p>
        </w:tc>
        <w:tc>
          <w:tcPr>
            <w:tcW w:w="828" w:type="dxa"/>
            <w:tcBorders>
              <w:top w:val="single" w:sz="4" w:space="0" w:color="auto"/>
              <w:bottom w:val="single" w:sz="4" w:space="0" w:color="auto"/>
            </w:tcBorders>
            <w:noWrap/>
            <w:vAlign w:val="center"/>
            <w:hideMark/>
          </w:tcPr>
          <w:p w14:paraId="7A3DC186" w14:textId="77777777" w:rsidR="00581E61" w:rsidRPr="00B33EFC" w:rsidRDefault="00581E61">
            <w:pPr>
              <w:rPr>
                <w:rFonts w:cstheme="minorHAnsi"/>
                <w:sz w:val="20"/>
                <w:u w:val="single"/>
              </w:rPr>
            </w:pPr>
            <w:hyperlink r:id="rId79" w:history="1">
              <w:r w:rsidRPr="00B33EFC">
                <w:rPr>
                  <w:rStyle w:val="Hyperlink"/>
                  <w:rFonts w:cstheme="minorHAnsi"/>
                  <w:sz w:val="20"/>
                </w:rPr>
                <w:t>https://www.epa.gov/environmental-topics/water-topics</w:t>
              </w:r>
            </w:hyperlink>
          </w:p>
        </w:tc>
      </w:tr>
      <w:tr w:rsidR="00581E61" w:rsidRPr="00B33EFC" w14:paraId="64AD2213" w14:textId="77777777" w:rsidTr="006E7FE7">
        <w:trPr>
          <w:trHeight w:val="300"/>
        </w:trPr>
        <w:tc>
          <w:tcPr>
            <w:tcW w:w="8748" w:type="dxa"/>
            <w:tcBorders>
              <w:top w:val="single" w:sz="4" w:space="0" w:color="auto"/>
              <w:bottom w:val="single" w:sz="4" w:space="0" w:color="auto"/>
            </w:tcBorders>
            <w:noWrap/>
            <w:hideMark/>
          </w:tcPr>
          <w:p w14:paraId="6F6C851F" w14:textId="77777777" w:rsidR="00581E61" w:rsidRPr="00B33EFC" w:rsidRDefault="00581E61">
            <w:pPr>
              <w:rPr>
                <w:rFonts w:cstheme="minorHAnsi"/>
                <w:sz w:val="20"/>
              </w:rPr>
            </w:pPr>
            <w:r w:rsidRPr="00B33EFC">
              <w:rPr>
                <w:rFonts w:cstheme="minorHAnsi"/>
                <w:sz w:val="20"/>
              </w:rPr>
              <w:t xml:space="preserve">International Continental Scientific Frilling Program </w:t>
            </w:r>
          </w:p>
        </w:tc>
        <w:tc>
          <w:tcPr>
            <w:tcW w:w="828" w:type="dxa"/>
            <w:tcBorders>
              <w:top w:val="single" w:sz="4" w:space="0" w:color="auto"/>
              <w:bottom w:val="single" w:sz="4" w:space="0" w:color="auto"/>
            </w:tcBorders>
            <w:noWrap/>
            <w:vAlign w:val="center"/>
            <w:hideMark/>
          </w:tcPr>
          <w:p w14:paraId="313BF830" w14:textId="77777777" w:rsidR="00581E61" w:rsidRPr="00B33EFC" w:rsidRDefault="00581E61">
            <w:pPr>
              <w:rPr>
                <w:rFonts w:cstheme="minorHAnsi"/>
                <w:sz w:val="20"/>
                <w:u w:val="single"/>
              </w:rPr>
            </w:pPr>
            <w:hyperlink r:id="rId80" w:history="1">
              <w:r w:rsidRPr="00B33EFC">
                <w:rPr>
                  <w:rStyle w:val="Hyperlink"/>
                  <w:rFonts w:cstheme="minorHAnsi"/>
                  <w:sz w:val="20"/>
                </w:rPr>
                <w:t>https://www.icdp-online.org/projects/by-continent/the-americas/north-america/petm-usa</w:t>
              </w:r>
            </w:hyperlink>
          </w:p>
        </w:tc>
      </w:tr>
      <w:tr w:rsidR="00581E61" w:rsidRPr="00B33EFC" w14:paraId="43DE60BE" w14:textId="77777777" w:rsidTr="006E7FE7">
        <w:trPr>
          <w:trHeight w:val="300"/>
        </w:trPr>
        <w:tc>
          <w:tcPr>
            <w:tcW w:w="8748" w:type="dxa"/>
            <w:tcBorders>
              <w:top w:val="single" w:sz="4" w:space="0" w:color="auto"/>
              <w:bottom w:val="single" w:sz="4" w:space="0" w:color="auto"/>
            </w:tcBorders>
            <w:noWrap/>
            <w:hideMark/>
          </w:tcPr>
          <w:p w14:paraId="61012E88" w14:textId="5CC11779" w:rsidR="00581E61" w:rsidRPr="00B33EFC" w:rsidRDefault="00581E61">
            <w:pPr>
              <w:rPr>
                <w:rFonts w:cstheme="minorBidi"/>
                <w:sz w:val="20"/>
              </w:rPr>
            </w:pPr>
            <w:r w:rsidRPr="0F04CE36">
              <w:rPr>
                <w:rFonts w:cstheme="minorBidi"/>
                <w:sz w:val="20"/>
              </w:rPr>
              <w:t>Mid-</w:t>
            </w:r>
            <w:r w:rsidR="07F633BE" w:rsidRPr="0F04CE36">
              <w:rPr>
                <w:rFonts w:cstheme="minorBidi"/>
                <w:sz w:val="20"/>
              </w:rPr>
              <w:t>Atlantic</w:t>
            </w:r>
            <w:r w:rsidRPr="0F04CE36">
              <w:rPr>
                <w:rFonts w:cstheme="minorBidi"/>
                <w:sz w:val="20"/>
              </w:rPr>
              <w:t xml:space="preserve"> Regional Council on the Ocean (MARCO)</w:t>
            </w:r>
          </w:p>
        </w:tc>
        <w:tc>
          <w:tcPr>
            <w:tcW w:w="828" w:type="dxa"/>
            <w:tcBorders>
              <w:top w:val="single" w:sz="4" w:space="0" w:color="auto"/>
              <w:bottom w:val="single" w:sz="4" w:space="0" w:color="auto"/>
            </w:tcBorders>
            <w:noWrap/>
            <w:vAlign w:val="center"/>
            <w:hideMark/>
          </w:tcPr>
          <w:p w14:paraId="05630C60" w14:textId="77777777" w:rsidR="00581E61" w:rsidRPr="00B33EFC" w:rsidRDefault="00581E61">
            <w:pPr>
              <w:rPr>
                <w:rFonts w:cstheme="minorHAnsi"/>
                <w:sz w:val="20"/>
                <w:u w:val="single"/>
              </w:rPr>
            </w:pPr>
            <w:hyperlink r:id="rId81" w:history="1">
              <w:r w:rsidRPr="00B33EFC">
                <w:rPr>
                  <w:rStyle w:val="Hyperlink"/>
                  <w:rFonts w:cstheme="minorHAnsi"/>
                  <w:sz w:val="20"/>
                </w:rPr>
                <w:t>https://www.midatlanticocean.org/</w:t>
              </w:r>
            </w:hyperlink>
          </w:p>
        </w:tc>
      </w:tr>
      <w:tr w:rsidR="00581E61" w:rsidRPr="00B33EFC" w14:paraId="63FC27B5" w14:textId="77777777" w:rsidTr="006E7FE7">
        <w:trPr>
          <w:trHeight w:val="300"/>
        </w:trPr>
        <w:tc>
          <w:tcPr>
            <w:tcW w:w="8748" w:type="dxa"/>
            <w:tcBorders>
              <w:top w:val="single" w:sz="4" w:space="0" w:color="auto"/>
              <w:bottom w:val="single" w:sz="4" w:space="0" w:color="auto"/>
            </w:tcBorders>
            <w:noWrap/>
            <w:hideMark/>
          </w:tcPr>
          <w:p w14:paraId="453236C2" w14:textId="77777777" w:rsidR="00581E61" w:rsidRPr="00B33EFC" w:rsidRDefault="00581E61">
            <w:pPr>
              <w:rPr>
                <w:rFonts w:cstheme="minorHAnsi"/>
                <w:sz w:val="20"/>
              </w:rPr>
            </w:pPr>
            <w:r w:rsidRPr="00B33EFC">
              <w:rPr>
                <w:rFonts w:cstheme="minorHAnsi"/>
                <w:sz w:val="20"/>
              </w:rPr>
              <w:t>National Land Cover Database</w:t>
            </w:r>
          </w:p>
        </w:tc>
        <w:tc>
          <w:tcPr>
            <w:tcW w:w="828" w:type="dxa"/>
            <w:tcBorders>
              <w:top w:val="single" w:sz="4" w:space="0" w:color="auto"/>
              <w:bottom w:val="single" w:sz="4" w:space="0" w:color="auto"/>
            </w:tcBorders>
            <w:noWrap/>
            <w:vAlign w:val="center"/>
            <w:hideMark/>
          </w:tcPr>
          <w:p w14:paraId="326B933C" w14:textId="77777777" w:rsidR="00581E61" w:rsidRPr="00B33EFC" w:rsidRDefault="00581E61">
            <w:pPr>
              <w:rPr>
                <w:rFonts w:cstheme="minorHAnsi"/>
                <w:sz w:val="20"/>
                <w:u w:val="single"/>
              </w:rPr>
            </w:pPr>
            <w:hyperlink r:id="rId82" w:history="1">
              <w:r w:rsidRPr="00B33EFC">
                <w:rPr>
                  <w:rStyle w:val="Hyperlink"/>
                  <w:rFonts w:cstheme="minorHAnsi"/>
                  <w:sz w:val="20"/>
                </w:rPr>
                <w:t>https://www.usgs.gov/centers/eros/science/national-land-cover-database</w:t>
              </w:r>
            </w:hyperlink>
          </w:p>
        </w:tc>
      </w:tr>
      <w:tr w:rsidR="00581E61" w:rsidRPr="00B33EFC" w14:paraId="2E2AEEBD" w14:textId="77777777" w:rsidTr="006E7FE7">
        <w:trPr>
          <w:trHeight w:val="300"/>
        </w:trPr>
        <w:tc>
          <w:tcPr>
            <w:tcW w:w="8748" w:type="dxa"/>
            <w:tcBorders>
              <w:top w:val="single" w:sz="4" w:space="0" w:color="auto"/>
              <w:bottom w:val="single" w:sz="4" w:space="0" w:color="auto"/>
            </w:tcBorders>
            <w:noWrap/>
            <w:hideMark/>
          </w:tcPr>
          <w:p w14:paraId="5B8C2C76" w14:textId="77777777" w:rsidR="00581E61" w:rsidRPr="00B33EFC" w:rsidRDefault="00581E61">
            <w:pPr>
              <w:rPr>
                <w:rFonts w:cstheme="minorHAnsi"/>
                <w:sz w:val="20"/>
              </w:rPr>
            </w:pPr>
            <w:r w:rsidRPr="00B33EFC">
              <w:rPr>
                <w:rFonts w:cstheme="minorHAnsi"/>
                <w:sz w:val="20"/>
              </w:rPr>
              <w:t>National Land Cover Database - Class Legend</w:t>
            </w:r>
          </w:p>
        </w:tc>
        <w:tc>
          <w:tcPr>
            <w:tcW w:w="828" w:type="dxa"/>
            <w:tcBorders>
              <w:top w:val="single" w:sz="4" w:space="0" w:color="auto"/>
              <w:bottom w:val="single" w:sz="4" w:space="0" w:color="auto"/>
            </w:tcBorders>
            <w:noWrap/>
            <w:vAlign w:val="center"/>
            <w:hideMark/>
          </w:tcPr>
          <w:p w14:paraId="2B927F50" w14:textId="77777777" w:rsidR="00581E61" w:rsidRPr="00B33EFC" w:rsidRDefault="00581E61">
            <w:pPr>
              <w:rPr>
                <w:rFonts w:cstheme="minorHAnsi"/>
                <w:sz w:val="20"/>
                <w:u w:val="single"/>
              </w:rPr>
            </w:pPr>
            <w:hyperlink r:id="rId83" w:history="1">
              <w:r w:rsidRPr="00B33EFC">
                <w:rPr>
                  <w:rStyle w:val="Hyperlink"/>
                  <w:rFonts w:cstheme="minorHAnsi"/>
                  <w:sz w:val="20"/>
                </w:rPr>
                <w:t>https://www.mrlc.gov/data/legends/national-land-cover-database-class-legend-and-description</w:t>
              </w:r>
            </w:hyperlink>
          </w:p>
        </w:tc>
      </w:tr>
      <w:tr w:rsidR="00581E61" w:rsidRPr="00B33EFC" w14:paraId="323AE6E7" w14:textId="77777777" w:rsidTr="006E7FE7">
        <w:trPr>
          <w:trHeight w:val="300"/>
        </w:trPr>
        <w:tc>
          <w:tcPr>
            <w:tcW w:w="8748" w:type="dxa"/>
            <w:tcBorders>
              <w:top w:val="single" w:sz="4" w:space="0" w:color="auto"/>
              <w:bottom w:val="single" w:sz="4" w:space="0" w:color="auto"/>
            </w:tcBorders>
            <w:noWrap/>
            <w:hideMark/>
          </w:tcPr>
          <w:p w14:paraId="401597DC" w14:textId="77777777" w:rsidR="00581E61" w:rsidRPr="00B33EFC" w:rsidRDefault="00581E61">
            <w:pPr>
              <w:rPr>
                <w:rFonts w:cstheme="minorHAnsi"/>
                <w:sz w:val="20"/>
              </w:rPr>
            </w:pPr>
            <w:r w:rsidRPr="00B33EFC">
              <w:rPr>
                <w:rFonts w:cstheme="minorHAnsi"/>
                <w:sz w:val="20"/>
              </w:rPr>
              <w:t>NOAA Mid-Atlantic Marine Debris Action Plan</w:t>
            </w:r>
          </w:p>
        </w:tc>
        <w:tc>
          <w:tcPr>
            <w:tcW w:w="828" w:type="dxa"/>
            <w:tcBorders>
              <w:top w:val="single" w:sz="4" w:space="0" w:color="auto"/>
              <w:bottom w:val="single" w:sz="4" w:space="0" w:color="auto"/>
            </w:tcBorders>
            <w:noWrap/>
            <w:vAlign w:val="center"/>
            <w:hideMark/>
          </w:tcPr>
          <w:p w14:paraId="176FAC8A" w14:textId="77777777" w:rsidR="00581E61" w:rsidRPr="00B33EFC" w:rsidRDefault="00581E61">
            <w:pPr>
              <w:rPr>
                <w:rFonts w:cstheme="minorHAnsi"/>
                <w:sz w:val="20"/>
                <w:u w:val="single"/>
              </w:rPr>
            </w:pPr>
            <w:hyperlink r:id="rId84" w:history="1">
              <w:r w:rsidRPr="00B33EFC">
                <w:rPr>
                  <w:rStyle w:val="Hyperlink"/>
                  <w:rFonts w:cstheme="minorHAnsi"/>
                  <w:sz w:val="20"/>
                </w:rPr>
                <w:t>https://marinedebris.noaa.gov/regional-action-plan/mid-atlantic-marine-debris-action-plan</w:t>
              </w:r>
            </w:hyperlink>
          </w:p>
        </w:tc>
      </w:tr>
      <w:tr w:rsidR="00581E61" w:rsidRPr="00B33EFC" w14:paraId="5F0048CA" w14:textId="77777777" w:rsidTr="006E7FE7">
        <w:trPr>
          <w:trHeight w:val="300"/>
        </w:trPr>
        <w:tc>
          <w:tcPr>
            <w:tcW w:w="8748" w:type="dxa"/>
            <w:tcBorders>
              <w:top w:val="single" w:sz="4" w:space="0" w:color="auto"/>
              <w:bottom w:val="single" w:sz="4" w:space="0" w:color="auto"/>
            </w:tcBorders>
            <w:noWrap/>
            <w:hideMark/>
          </w:tcPr>
          <w:p w14:paraId="18B8EB4F" w14:textId="77777777" w:rsidR="00581E61" w:rsidRPr="00B33EFC" w:rsidRDefault="00581E61">
            <w:pPr>
              <w:rPr>
                <w:rFonts w:cstheme="minorHAnsi"/>
                <w:sz w:val="20"/>
              </w:rPr>
            </w:pPr>
            <w:r w:rsidRPr="00B33EFC">
              <w:rPr>
                <w:rFonts w:cstheme="minorHAnsi"/>
                <w:sz w:val="20"/>
              </w:rPr>
              <w:t>NOAA The Coastal Zone Enhancement Program</w:t>
            </w:r>
          </w:p>
        </w:tc>
        <w:tc>
          <w:tcPr>
            <w:tcW w:w="828" w:type="dxa"/>
            <w:tcBorders>
              <w:top w:val="single" w:sz="4" w:space="0" w:color="auto"/>
              <w:bottom w:val="single" w:sz="4" w:space="0" w:color="auto"/>
            </w:tcBorders>
            <w:noWrap/>
            <w:vAlign w:val="center"/>
            <w:hideMark/>
          </w:tcPr>
          <w:p w14:paraId="092802CE" w14:textId="77777777" w:rsidR="00581E61" w:rsidRPr="00B33EFC" w:rsidRDefault="00581E61">
            <w:pPr>
              <w:rPr>
                <w:rFonts w:cstheme="minorHAnsi"/>
                <w:sz w:val="20"/>
                <w:u w:val="single"/>
              </w:rPr>
            </w:pPr>
            <w:hyperlink r:id="rId85" w:history="1">
              <w:r w:rsidRPr="00B33EFC">
                <w:rPr>
                  <w:rStyle w:val="Hyperlink"/>
                  <w:rFonts w:cstheme="minorHAnsi"/>
                  <w:sz w:val="20"/>
                </w:rPr>
                <w:t>https://coast.noaa.gov/czm/act/sections/</w:t>
              </w:r>
            </w:hyperlink>
          </w:p>
        </w:tc>
      </w:tr>
      <w:tr w:rsidR="00581E61" w:rsidRPr="00B33EFC" w14:paraId="77BA7FA1" w14:textId="77777777" w:rsidTr="006E7FE7">
        <w:trPr>
          <w:trHeight w:val="300"/>
        </w:trPr>
        <w:tc>
          <w:tcPr>
            <w:tcW w:w="8748" w:type="dxa"/>
            <w:tcBorders>
              <w:top w:val="single" w:sz="4" w:space="0" w:color="auto"/>
              <w:bottom w:val="single" w:sz="4" w:space="0" w:color="auto"/>
            </w:tcBorders>
            <w:noWrap/>
            <w:hideMark/>
          </w:tcPr>
          <w:p w14:paraId="28F550D0" w14:textId="77777777" w:rsidR="00581E61" w:rsidRPr="00B33EFC" w:rsidRDefault="00581E61">
            <w:pPr>
              <w:rPr>
                <w:rFonts w:cstheme="minorHAnsi"/>
                <w:sz w:val="20"/>
              </w:rPr>
            </w:pPr>
            <w:r w:rsidRPr="00B33EFC">
              <w:rPr>
                <w:rFonts w:cstheme="minorHAnsi"/>
                <w:sz w:val="20"/>
              </w:rPr>
              <w:t>Plant Virginia Natives</w:t>
            </w:r>
          </w:p>
        </w:tc>
        <w:tc>
          <w:tcPr>
            <w:tcW w:w="828" w:type="dxa"/>
            <w:tcBorders>
              <w:top w:val="single" w:sz="4" w:space="0" w:color="auto"/>
              <w:bottom w:val="single" w:sz="4" w:space="0" w:color="auto"/>
            </w:tcBorders>
            <w:noWrap/>
            <w:vAlign w:val="center"/>
            <w:hideMark/>
          </w:tcPr>
          <w:p w14:paraId="662A16D3" w14:textId="77777777" w:rsidR="00581E61" w:rsidRPr="00B33EFC" w:rsidRDefault="00581E61">
            <w:pPr>
              <w:rPr>
                <w:rFonts w:cstheme="minorHAnsi"/>
                <w:sz w:val="20"/>
                <w:u w:val="single"/>
              </w:rPr>
            </w:pPr>
            <w:hyperlink r:id="rId86" w:history="1">
              <w:r w:rsidRPr="00B33EFC">
                <w:rPr>
                  <w:rStyle w:val="Hyperlink"/>
                  <w:rFonts w:cstheme="minorHAnsi"/>
                  <w:sz w:val="20"/>
                </w:rPr>
                <w:t>https://www.plantvirginianatives.org/</w:t>
              </w:r>
            </w:hyperlink>
          </w:p>
        </w:tc>
      </w:tr>
      <w:tr w:rsidR="00581E61" w:rsidRPr="00B33EFC" w14:paraId="7D9C34CC" w14:textId="77777777" w:rsidTr="006E7FE7">
        <w:trPr>
          <w:trHeight w:val="300"/>
        </w:trPr>
        <w:tc>
          <w:tcPr>
            <w:tcW w:w="8748" w:type="dxa"/>
            <w:tcBorders>
              <w:top w:val="single" w:sz="4" w:space="0" w:color="auto"/>
              <w:bottom w:val="single" w:sz="4" w:space="0" w:color="auto"/>
            </w:tcBorders>
            <w:noWrap/>
            <w:hideMark/>
          </w:tcPr>
          <w:p w14:paraId="48BF41AB" w14:textId="77777777" w:rsidR="00581E61" w:rsidRPr="00B33EFC" w:rsidRDefault="00581E61">
            <w:pPr>
              <w:rPr>
                <w:rFonts w:cstheme="minorHAnsi"/>
                <w:sz w:val="20"/>
              </w:rPr>
            </w:pPr>
            <w:r w:rsidRPr="00B33EFC">
              <w:rPr>
                <w:rFonts w:cstheme="minorHAnsi"/>
                <w:sz w:val="20"/>
              </w:rPr>
              <w:t>Toxic Contaminants in the Chesapeake Bay and its Watershed: Extent and Severity of Occurrence and Potential Biological Effects</w:t>
            </w:r>
          </w:p>
        </w:tc>
        <w:tc>
          <w:tcPr>
            <w:tcW w:w="828" w:type="dxa"/>
            <w:tcBorders>
              <w:top w:val="single" w:sz="4" w:space="0" w:color="auto"/>
              <w:bottom w:val="single" w:sz="4" w:space="0" w:color="auto"/>
            </w:tcBorders>
            <w:noWrap/>
            <w:vAlign w:val="center"/>
            <w:hideMark/>
          </w:tcPr>
          <w:p w14:paraId="6C471276" w14:textId="77777777" w:rsidR="00581E61" w:rsidRPr="00B33EFC" w:rsidRDefault="00581E61">
            <w:pPr>
              <w:rPr>
                <w:rFonts w:cstheme="minorHAnsi"/>
                <w:sz w:val="20"/>
                <w:u w:val="single"/>
              </w:rPr>
            </w:pPr>
            <w:hyperlink r:id="rId87" w:history="1">
              <w:r w:rsidRPr="00B33EFC">
                <w:rPr>
                  <w:rStyle w:val="Hyperlink"/>
                  <w:rFonts w:cstheme="minorHAnsi"/>
                  <w:sz w:val="20"/>
                </w:rPr>
                <w:t>https://d18lev1ok5leia.cloudfront.net/chesapeakebay/documents/ChesBayToxics_finaldraft_11513b.pdf</w:t>
              </w:r>
            </w:hyperlink>
          </w:p>
        </w:tc>
      </w:tr>
      <w:tr w:rsidR="00581E61" w:rsidRPr="00B33EFC" w14:paraId="5938411F" w14:textId="77777777" w:rsidTr="006E7FE7">
        <w:trPr>
          <w:trHeight w:val="300"/>
        </w:trPr>
        <w:tc>
          <w:tcPr>
            <w:tcW w:w="8748" w:type="dxa"/>
            <w:tcBorders>
              <w:top w:val="single" w:sz="4" w:space="0" w:color="auto"/>
              <w:bottom w:val="single" w:sz="4" w:space="0" w:color="auto"/>
            </w:tcBorders>
            <w:noWrap/>
            <w:hideMark/>
          </w:tcPr>
          <w:p w14:paraId="6CA260BB" w14:textId="77777777" w:rsidR="00581E61" w:rsidRPr="00B33EFC" w:rsidRDefault="00581E61">
            <w:pPr>
              <w:rPr>
                <w:rFonts w:cstheme="minorHAnsi"/>
                <w:sz w:val="20"/>
              </w:rPr>
            </w:pPr>
            <w:r w:rsidRPr="00B33EFC">
              <w:rPr>
                <w:rFonts w:cstheme="minorHAnsi"/>
                <w:sz w:val="20"/>
              </w:rPr>
              <w:t>USGS Annual Water Data Report</w:t>
            </w:r>
          </w:p>
        </w:tc>
        <w:tc>
          <w:tcPr>
            <w:tcW w:w="828" w:type="dxa"/>
            <w:tcBorders>
              <w:top w:val="single" w:sz="4" w:space="0" w:color="auto"/>
              <w:bottom w:val="single" w:sz="4" w:space="0" w:color="auto"/>
            </w:tcBorders>
            <w:noWrap/>
            <w:vAlign w:val="center"/>
            <w:hideMark/>
          </w:tcPr>
          <w:p w14:paraId="2C65D20F" w14:textId="77777777" w:rsidR="00581E61" w:rsidRPr="00B33EFC" w:rsidRDefault="00581E61">
            <w:pPr>
              <w:rPr>
                <w:rFonts w:cstheme="minorHAnsi"/>
                <w:sz w:val="20"/>
                <w:u w:val="single"/>
              </w:rPr>
            </w:pPr>
            <w:hyperlink r:id="rId88" w:history="1">
              <w:r w:rsidRPr="00B33EFC">
                <w:rPr>
                  <w:rStyle w:val="Hyperlink"/>
                  <w:rFonts w:cstheme="minorHAnsi"/>
                  <w:sz w:val="20"/>
                </w:rPr>
                <w:t>https://wdr.water.usgs.gov/</w:t>
              </w:r>
            </w:hyperlink>
          </w:p>
        </w:tc>
      </w:tr>
      <w:tr w:rsidR="00581E61" w:rsidRPr="00B33EFC" w14:paraId="0FE81F96" w14:textId="77777777" w:rsidTr="006E7FE7">
        <w:trPr>
          <w:trHeight w:val="300"/>
        </w:trPr>
        <w:tc>
          <w:tcPr>
            <w:tcW w:w="8748" w:type="dxa"/>
            <w:tcBorders>
              <w:top w:val="single" w:sz="4" w:space="0" w:color="auto"/>
              <w:bottom w:val="single" w:sz="4" w:space="0" w:color="auto"/>
            </w:tcBorders>
            <w:noWrap/>
            <w:hideMark/>
          </w:tcPr>
          <w:p w14:paraId="5E271A87" w14:textId="77777777" w:rsidR="00581E61" w:rsidRPr="00B33EFC" w:rsidRDefault="00581E61">
            <w:pPr>
              <w:rPr>
                <w:rFonts w:cstheme="minorHAnsi"/>
                <w:sz w:val="20"/>
              </w:rPr>
            </w:pPr>
            <w:r w:rsidRPr="00B33EFC">
              <w:rPr>
                <w:rFonts w:cstheme="minorHAnsi"/>
                <w:sz w:val="20"/>
              </w:rPr>
              <w:t>USGS Ground Water Levels and Trend Interactive Map</w:t>
            </w:r>
          </w:p>
        </w:tc>
        <w:tc>
          <w:tcPr>
            <w:tcW w:w="828" w:type="dxa"/>
            <w:tcBorders>
              <w:top w:val="single" w:sz="4" w:space="0" w:color="auto"/>
              <w:bottom w:val="single" w:sz="4" w:space="0" w:color="auto"/>
            </w:tcBorders>
            <w:noWrap/>
            <w:vAlign w:val="center"/>
            <w:hideMark/>
          </w:tcPr>
          <w:p w14:paraId="1D3185D6" w14:textId="77777777" w:rsidR="00581E61" w:rsidRPr="00B33EFC" w:rsidRDefault="00581E61">
            <w:pPr>
              <w:rPr>
                <w:rFonts w:cstheme="minorHAnsi"/>
                <w:sz w:val="20"/>
                <w:u w:val="single"/>
              </w:rPr>
            </w:pPr>
            <w:hyperlink r:id="rId89" w:history="1">
              <w:r w:rsidRPr="00B33EFC">
                <w:rPr>
                  <w:rStyle w:val="Hyperlink"/>
                  <w:rFonts w:cstheme="minorHAnsi"/>
                  <w:sz w:val="20"/>
                </w:rPr>
                <w:t>https://rconnect.usgs.gov/vawv-groundwater/</w:t>
              </w:r>
            </w:hyperlink>
          </w:p>
        </w:tc>
      </w:tr>
      <w:tr w:rsidR="00581E61" w:rsidRPr="00B33EFC" w14:paraId="037C940B" w14:textId="77777777" w:rsidTr="006E7FE7">
        <w:trPr>
          <w:trHeight w:val="300"/>
        </w:trPr>
        <w:tc>
          <w:tcPr>
            <w:tcW w:w="8748" w:type="dxa"/>
            <w:tcBorders>
              <w:top w:val="single" w:sz="4" w:space="0" w:color="auto"/>
              <w:bottom w:val="single" w:sz="4" w:space="0" w:color="auto"/>
            </w:tcBorders>
            <w:noWrap/>
            <w:hideMark/>
          </w:tcPr>
          <w:p w14:paraId="571083D9" w14:textId="77777777" w:rsidR="00581E61" w:rsidRPr="00B33EFC" w:rsidRDefault="00581E61">
            <w:pPr>
              <w:rPr>
                <w:rFonts w:cstheme="minorHAnsi"/>
                <w:sz w:val="20"/>
              </w:rPr>
            </w:pPr>
            <w:r w:rsidRPr="00B33EFC">
              <w:rPr>
                <w:rFonts w:cstheme="minorHAnsi"/>
                <w:sz w:val="20"/>
              </w:rPr>
              <w:t>USGS Groundwater Data for Virginia</w:t>
            </w:r>
          </w:p>
        </w:tc>
        <w:tc>
          <w:tcPr>
            <w:tcW w:w="828" w:type="dxa"/>
            <w:tcBorders>
              <w:top w:val="single" w:sz="4" w:space="0" w:color="auto"/>
              <w:bottom w:val="single" w:sz="4" w:space="0" w:color="auto"/>
            </w:tcBorders>
            <w:noWrap/>
            <w:vAlign w:val="center"/>
            <w:hideMark/>
          </w:tcPr>
          <w:p w14:paraId="2F9F0B2D" w14:textId="77777777" w:rsidR="00581E61" w:rsidRPr="00B33EFC" w:rsidRDefault="00581E61">
            <w:pPr>
              <w:rPr>
                <w:rFonts w:cstheme="minorHAnsi"/>
                <w:sz w:val="20"/>
                <w:u w:val="single"/>
              </w:rPr>
            </w:pPr>
            <w:hyperlink r:id="rId90" w:history="1">
              <w:r w:rsidRPr="00B33EFC">
                <w:rPr>
                  <w:rStyle w:val="Hyperlink"/>
                  <w:rFonts w:cstheme="minorHAnsi"/>
                  <w:sz w:val="20"/>
                </w:rPr>
                <w:t>https://waterdata.usgs.gov/va/nwis/gw/</w:t>
              </w:r>
            </w:hyperlink>
          </w:p>
        </w:tc>
      </w:tr>
      <w:tr w:rsidR="00581E61" w:rsidRPr="00B33EFC" w14:paraId="0FC48706" w14:textId="77777777" w:rsidTr="006E7FE7">
        <w:trPr>
          <w:trHeight w:val="300"/>
        </w:trPr>
        <w:tc>
          <w:tcPr>
            <w:tcW w:w="8748" w:type="dxa"/>
            <w:tcBorders>
              <w:top w:val="single" w:sz="4" w:space="0" w:color="auto"/>
              <w:bottom w:val="single" w:sz="4" w:space="0" w:color="auto"/>
            </w:tcBorders>
            <w:noWrap/>
            <w:hideMark/>
          </w:tcPr>
          <w:p w14:paraId="5D48238A" w14:textId="1D241FB5" w:rsidR="00581E61" w:rsidRPr="00B33EFC" w:rsidRDefault="00581E61">
            <w:pPr>
              <w:rPr>
                <w:rFonts w:cstheme="minorBidi"/>
                <w:sz w:val="20"/>
              </w:rPr>
            </w:pPr>
            <w:r w:rsidRPr="0F04CE36">
              <w:rPr>
                <w:rFonts w:cstheme="minorBidi"/>
                <w:sz w:val="20"/>
              </w:rPr>
              <w:t xml:space="preserve">USGS </w:t>
            </w:r>
            <w:r w:rsidR="04B8452F" w:rsidRPr="0F04CE36">
              <w:rPr>
                <w:rFonts w:cstheme="minorBidi"/>
                <w:sz w:val="20"/>
              </w:rPr>
              <w:t>Hydrogeologic</w:t>
            </w:r>
            <w:r w:rsidRPr="0F04CE36">
              <w:rPr>
                <w:rFonts w:cstheme="minorBidi"/>
                <w:sz w:val="20"/>
              </w:rPr>
              <w:t xml:space="preserve"> Framework VA</w:t>
            </w:r>
          </w:p>
        </w:tc>
        <w:tc>
          <w:tcPr>
            <w:tcW w:w="828" w:type="dxa"/>
            <w:tcBorders>
              <w:top w:val="single" w:sz="4" w:space="0" w:color="auto"/>
              <w:bottom w:val="single" w:sz="4" w:space="0" w:color="auto"/>
            </w:tcBorders>
            <w:noWrap/>
            <w:vAlign w:val="center"/>
            <w:hideMark/>
          </w:tcPr>
          <w:p w14:paraId="33885228" w14:textId="77777777" w:rsidR="00581E61" w:rsidRPr="00B33EFC" w:rsidRDefault="00581E61">
            <w:pPr>
              <w:rPr>
                <w:rFonts w:cstheme="minorHAnsi"/>
                <w:sz w:val="20"/>
                <w:u w:val="single"/>
              </w:rPr>
            </w:pPr>
            <w:hyperlink r:id="rId91" w:history="1">
              <w:r w:rsidRPr="00B33EFC">
                <w:rPr>
                  <w:rStyle w:val="Hyperlink"/>
                  <w:rFonts w:cstheme="minorHAnsi"/>
                  <w:sz w:val="20"/>
                </w:rPr>
                <w:t>https://pubs.usgs.gov/publication/sir20195093</w:t>
              </w:r>
            </w:hyperlink>
          </w:p>
        </w:tc>
      </w:tr>
      <w:tr w:rsidR="00581E61" w:rsidRPr="00B33EFC" w14:paraId="585D4572" w14:textId="77777777" w:rsidTr="006E7FE7">
        <w:trPr>
          <w:trHeight w:val="300"/>
        </w:trPr>
        <w:tc>
          <w:tcPr>
            <w:tcW w:w="8748" w:type="dxa"/>
            <w:tcBorders>
              <w:top w:val="single" w:sz="4" w:space="0" w:color="auto"/>
              <w:bottom w:val="single" w:sz="4" w:space="0" w:color="auto"/>
            </w:tcBorders>
            <w:noWrap/>
            <w:hideMark/>
          </w:tcPr>
          <w:p w14:paraId="017CB764" w14:textId="77777777" w:rsidR="00581E61" w:rsidRPr="00B33EFC" w:rsidRDefault="00581E61">
            <w:pPr>
              <w:rPr>
                <w:rFonts w:cstheme="minorHAnsi"/>
                <w:sz w:val="20"/>
              </w:rPr>
            </w:pPr>
            <w:r w:rsidRPr="00B33EFC">
              <w:rPr>
                <w:rFonts w:cstheme="minorHAnsi"/>
                <w:sz w:val="20"/>
              </w:rPr>
              <w:t>USGS results for the WRTDS modeling are available on their Chesapeake Bay Webpage:</w:t>
            </w:r>
            <w:r w:rsidRPr="00B33EFC">
              <w:rPr>
                <w:rFonts w:cstheme="minorHAnsi"/>
                <w:b/>
                <w:bCs/>
                <w:sz w:val="20"/>
              </w:rPr>
              <w:t xml:space="preserve"> </w:t>
            </w:r>
          </w:p>
        </w:tc>
        <w:tc>
          <w:tcPr>
            <w:tcW w:w="828" w:type="dxa"/>
            <w:tcBorders>
              <w:top w:val="single" w:sz="4" w:space="0" w:color="auto"/>
              <w:bottom w:val="single" w:sz="4" w:space="0" w:color="auto"/>
            </w:tcBorders>
            <w:noWrap/>
            <w:vAlign w:val="center"/>
            <w:hideMark/>
          </w:tcPr>
          <w:p w14:paraId="28943260" w14:textId="77777777" w:rsidR="00581E61" w:rsidRPr="00B33EFC" w:rsidRDefault="00581E61">
            <w:pPr>
              <w:rPr>
                <w:rFonts w:cstheme="minorHAnsi"/>
                <w:sz w:val="20"/>
                <w:u w:val="single"/>
              </w:rPr>
            </w:pPr>
            <w:hyperlink r:id="rId92" w:history="1">
              <w:r w:rsidRPr="00B33EFC">
                <w:rPr>
                  <w:rStyle w:val="Hyperlink"/>
                  <w:rFonts w:cstheme="minorHAnsi"/>
                  <w:sz w:val="20"/>
                </w:rPr>
                <w:t>https://www.usgs.gov/centers/chesapeake-bay-activities/science/chesapeake-bay-water-quality-loads-and-trends/</w:t>
              </w:r>
            </w:hyperlink>
          </w:p>
        </w:tc>
      </w:tr>
      <w:tr w:rsidR="00581E61" w:rsidRPr="00B33EFC" w14:paraId="2BF0296E" w14:textId="77777777" w:rsidTr="006E7FE7">
        <w:trPr>
          <w:trHeight w:val="300"/>
        </w:trPr>
        <w:tc>
          <w:tcPr>
            <w:tcW w:w="8748" w:type="dxa"/>
            <w:tcBorders>
              <w:top w:val="single" w:sz="4" w:space="0" w:color="auto"/>
              <w:bottom w:val="single" w:sz="4" w:space="0" w:color="auto"/>
            </w:tcBorders>
            <w:noWrap/>
            <w:hideMark/>
          </w:tcPr>
          <w:p w14:paraId="0D3E1114" w14:textId="77777777" w:rsidR="00581E61" w:rsidRPr="00B33EFC" w:rsidRDefault="00581E61">
            <w:pPr>
              <w:rPr>
                <w:rFonts w:cstheme="minorHAnsi"/>
                <w:sz w:val="20"/>
              </w:rPr>
            </w:pPr>
            <w:r w:rsidRPr="00B33EFC">
              <w:rPr>
                <w:rFonts w:cstheme="minorHAnsi"/>
                <w:sz w:val="20"/>
              </w:rPr>
              <w:t>USGS Revisions to the Virginia Coastal Plain hydrogeologic framework Southwest of the James River</w:t>
            </w:r>
          </w:p>
        </w:tc>
        <w:tc>
          <w:tcPr>
            <w:tcW w:w="828" w:type="dxa"/>
            <w:tcBorders>
              <w:top w:val="single" w:sz="4" w:space="0" w:color="auto"/>
              <w:bottom w:val="single" w:sz="4" w:space="0" w:color="auto"/>
            </w:tcBorders>
            <w:noWrap/>
            <w:vAlign w:val="center"/>
            <w:hideMark/>
          </w:tcPr>
          <w:p w14:paraId="2121E237" w14:textId="77777777" w:rsidR="00581E61" w:rsidRPr="00B33EFC" w:rsidRDefault="00581E61">
            <w:pPr>
              <w:rPr>
                <w:rFonts w:cstheme="minorHAnsi"/>
                <w:sz w:val="20"/>
                <w:u w:val="single"/>
              </w:rPr>
            </w:pPr>
            <w:hyperlink r:id="rId93" w:history="1">
              <w:r w:rsidRPr="00B33EFC">
                <w:rPr>
                  <w:rStyle w:val="Hyperlink"/>
                  <w:rFonts w:cstheme="minorHAnsi"/>
                  <w:sz w:val="20"/>
                </w:rPr>
                <w:t>https://pubs.usgs.gov/publication/sir20225049</w:t>
              </w:r>
            </w:hyperlink>
          </w:p>
        </w:tc>
      </w:tr>
      <w:tr w:rsidR="00581E61" w:rsidRPr="00B33EFC" w14:paraId="4F7D2DFE" w14:textId="77777777" w:rsidTr="006E7FE7">
        <w:trPr>
          <w:trHeight w:val="300"/>
        </w:trPr>
        <w:tc>
          <w:tcPr>
            <w:tcW w:w="8748" w:type="dxa"/>
            <w:tcBorders>
              <w:top w:val="single" w:sz="4" w:space="0" w:color="auto"/>
              <w:bottom w:val="single" w:sz="4" w:space="0" w:color="auto"/>
            </w:tcBorders>
            <w:noWrap/>
            <w:hideMark/>
          </w:tcPr>
          <w:p w14:paraId="37722572" w14:textId="77777777" w:rsidR="00581E61" w:rsidRPr="00B33EFC" w:rsidRDefault="00581E61">
            <w:pPr>
              <w:rPr>
                <w:rFonts w:cstheme="minorHAnsi"/>
                <w:sz w:val="20"/>
              </w:rPr>
            </w:pPr>
            <w:r w:rsidRPr="00B33EFC">
              <w:rPr>
                <w:rFonts w:cstheme="minorHAnsi"/>
                <w:sz w:val="20"/>
              </w:rPr>
              <w:t xml:space="preserve">USGS </w:t>
            </w:r>
            <w:proofErr w:type="spellStart"/>
            <w:r w:rsidRPr="00B33EFC">
              <w:rPr>
                <w:rFonts w:cstheme="minorHAnsi"/>
                <w:sz w:val="20"/>
              </w:rPr>
              <w:t>ScienceBase</w:t>
            </w:r>
            <w:proofErr w:type="spellEnd"/>
            <w:r w:rsidRPr="00B33EFC">
              <w:rPr>
                <w:rFonts w:cstheme="minorHAnsi"/>
                <w:sz w:val="20"/>
              </w:rPr>
              <w:t xml:space="preserve"> Catalog</w:t>
            </w:r>
          </w:p>
        </w:tc>
        <w:tc>
          <w:tcPr>
            <w:tcW w:w="828" w:type="dxa"/>
            <w:tcBorders>
              <w:top w:val="single" w:sz="4" w:space="0" w:color="auto"/>
              <w:bottom w:val="single" w:sz="4" w:space="0" w:color="auto"/>
            </w:tcBorders>
            <w:noWrap/>
            <w:vAlign w:val="center"/>
            <w:hideMark/>
          </w:tcPr>
          <w:p w14:paraId="31136101" w14:textId="77777777" w:rsidR="00581E61" w:rsidRPr="00B33EFC" w:rsidRDefault="00581E61">
            <w:pPr>
              <w:rPr>
                <w:rFonts w:cstheme="minorHAnsi"/>
                <w:sz w:val="20"/>
                <w:u w:val="single"/>
              </w:rPr>
            </w:pPr>
            <w:hyperlink r:id="rId94" w:history="1">
              <w:r w:rsidRPr="00B33EFC">
                <w:rPr>
                  <w:rStyle w:val="Hyperlink"/>
                  <w:rFonts w:cstheme="minorHAnsi"/>
                  <w:sz w:val="20"/>
                </w:rPr>
                <w:t>https://www.sciencebase.gov/catalog/item/6310a254d34e36012efa0e4f</w:t>
              </w:r>
            </w:hyperlink>
          </w:p>
        </w:tc>
      </w:tr>
      <w:tr w:rsidR="00581E61" w:rsidRPr="00B33EFC" w14:paraId="7FC87473" w14:textId="77777777" w:rsidTr="006E7FE7">
        <w:trPr>
          <w:trHeight w:val="300"/>
        </w:trPr>
        <w:tc>
          <w:tcPr>
            <w:tcW w:w="8748" w:type="dxa"/>
            <w:tcBorders>
              <w:top w:val="single" w:sz="4" w:space="0" w:color="auto"/>
              <w:bottom w:val="single" w:sz="4" w:space="0" w:color="auto"/>
            </w:tcBorders>
            <w:noWrap/>
            <w:hideMark/>
          </w:tcPr>
          <w:p w14:paraId="105A3FD2" w14:textId="77777777" w:rsidR="00581E61" w:rsidRPr="00B33EFC" w:rsidRDefault="00581E61">
            <w:pPr>
              <w:rPr>
                <w:rFonts w:cstheme="minorHAnsi"/>
                <w:sz w:val="20"/>
              </w:rPr>
            </w:pPr>
            <w:r w:rsidRPr="00B33EFC">
              <w:rPr>
                <w:rFonts w:cstheme="minorHAnsi"/>
                <w:sz w:val="20"/>
              </w:rPr>
              <w:t>USGS Scientific Investigations Report 2022-5049 data</w:t>
            </w:r>
          </w:p>
        </w:tc>
        <w:tc>
          <w:tcPr>
            <w:tcW w:w="828" w:type="dxa"/>
            <w:tcBorders>
              <w:top w:val="single" w:sz="4" w:space="0" w:color="auto"/>
              <w:bottom w:val="single" w:sz="4" w:space="0" w:color="auto"/>
            </w:tcBorders>
            <w:noWrap/>
            <w:vAlign w:val="center"/>
            <w:hideMark/>
          </w:tcPr>
          <w:p w14:paraId="714F06E5" w14:textId="77777777" w:rsidR="00581E61" w:rsidRPr="00B33EFC" w:rsidRDefault="00581E61">
            <w:pPr>
              <w:rPr>
                <w:rFonts w:cstheme="minorHAnsi"/>
                <w:sz w:val="20"/>
                <w:u w:val="single"/>
              </w:rPr>
            </w:pPr>
            <w:hyperlink r:id="rId95" w:history="1">
              <w:r w:rsidRPr="00B33EFC">
                <w:rPr>
                  <w:rStyle w:val="Hyperlink"/>
                  <w:rFonts w:cstheme="minorHAnsi"/>
                  <w:sz w:val="20"/>
                </w:rPr>
                <w:t>https://www.sciencebase.gov/catalog/item/61e821f0d34e3618e01e481a</w:t>
              </w:r>
            </w:hyperlink>
          </w:p>
        </w:tc>
      </w:tr>
      <w:tr w:rsidR="00581E61" w:rsidRPr="00B33EFC" w14:paraId="41A12CBB" w14:textId="77777777" w:rsidTr="006E7FE7">
        <w:trPr>
          <w:trHeight w:val="300"/>
        </w:trPr>
        <w:tc>
          <w:tcPr>
            <w:tcW w:w="8748" w:type="dxa"/>
            <w:tcBorders>
              <w:top w:val="single" w:sz="4" w:space="0" w:color="auto"/>
              <w:bottom w:val="single" w:sz="4" w:space="0" w:color="auto"/>
            </w:tcBorders>
            <w:noWrap/>
            <w:hideMark/>
          </w:tcPr>
          <w:p w14:paraId="48286A52" w14:textId="77777777" w:rsidR="00581E61" w:rsidRPr="00B33EFC" w:rsidRDefault="00581E61">
            <w:pPr>
              <w:rPr>
                <w:rFonts w:cstheme="minorHAnsi"/>
                <w:sz w:val="20"/>
              </w:rPr>
            </w:pPr>
            <w:r w:rsidRPr="00B33EFC">
              <w:rPr>
                <w:rFonts w:cstheme="minorHAnsi"/>
                <w:sz w:val="20"/>
              </w:rPr>
              <w:lastRenderedPageBreak/>
              <w:t>VCU Oyster Shell Recycling Program</w:t>
            </w:r>
          </w:p>
        </w:tc>
        <w:tc>
          <w:tcPr>
            <w:tcW w:w="828" w:type="dxa"/>
            <w:tcBorders>
              <w:top w:val="single" w:sz="4" w:space="0" w:color="auto"/>
              <w:bottom w:val="single" w:sz="4" w:space="0" w:color="auto"/>
            </w:tcBorders>
            <w:noWrap/>
            <w:vAlign w:val="center"/>
            <w:hideMark/>
          </w:tcPr>
          <w:p w14:paraId="5183A015" w14:textId="77777777" w:rsidR="00581E61" w:rsidRPr="00B33EFC" w:rsidRDefault="00581E61">
            <w:pPr>
              <w:rPr>
                <w:rFonts w:cstheme="minorHAnsi"/>
                <w:sz w:val="20"/>
                <w:u w:val="single"/>
              </w:rPr>
            </w:pPr>
            <w:hyperlink r:id="rId96" w:history="1">
              <w:r w:rsidRPr="00B33EFC">
                <w:rPr>
                  <w:rStyle w:val="Hyperlink"/>
                  <w:rFonts w:cstheme="minorHAnsi"/>
                  <w:sz w:val="20"/>
                </w:rPr>
                <w:t>https://ricerivers.vcu.edu/research-and-restoration/virginia-oyster-shell-recycling-program/</w:t>
              </w:r>
            </w:hyperlink>
          </w:p>
        </w:tc>
      </w:tr>
      <w:tr w:rsidR="00581E61" w:rsidRPr="00B33EFC" w14:paraId="56940CD5" w14:textId="77777777" w:rsidTr="006E7FE7">
        <w:trPr>
          <w:trHeight w:val="300"/>
        </w:trPr>
        <w:tc>
          <w:tcPr>
            <w:tcW w:w="8748" w:type="dxa"/>
            <w:tcBorders>
              <w:top w:val="single" w:sz="4" w:space="0" w:color="auto"/>
              <w:bottom w:val="single" w:sz="4" w:space="0" w:color="auto"/>
            </w:tcBorders>
            <w:noWrap/>
            <w:hideMark/>
          </w:tcPr>
          <w:p w14:paraId="5F3DD960" w14:textId="77777777" w:rsidR="00581E61" w:rsidRPr="00B33EFC" w:rsidRDefault="00581E61">
            <w:pPr>
              <w:rPr>
                <w:rFonts w:cstheme="minorHAnsi"/>
                <w:sz w:val="20"/>
              </w:rPr>
            </w:pPr>
            <w:r w:rsidRPr="00B33EFC">
              <w:rPr>
                <w:rFonts w:cstheme="minorHAnsi"/>
                <w:sz w:val="20"/>
              </w:rPr>
              <w:t>VDACS Pesticides</w:t>
            </w:r>
          </w:p>
        </w:tc>
        <w:tc>
          <w:tcPr>
            <w:tcW w:w="828" w:type="dxa"/>
            <w:tcBorders>
              <w:top w:val="single" w:sz="4" w:space="0" w:color="auto"/>
              <w:bottom w:val="single" w:sz="4" w:space="0" w:color="auto"/>
            </w:tcBorders>
            <w:noWrap/>
            <w:vAlign w:val="center"/>
            <w:hideMark/>
          </w:tcPr>
          <w:p w14:paraId="62C910BD" w14:textId="77777777" w:rsidR="00581E61" w:rsidRPr="00B33EFC" w:rsidRDefault="00581E61">
            <w:pPr>
              <w:rPr>
                <w:rFonts w:cstheme="minorHAnsi"/>
                <w:sz w:val="20"/>
                <w:u w:val="single"/>
              </w:rPr>
            </w:pPr>
            <w:hyperlink r:id="rId97" w:history="1">
              <w:r w:rsidRPr="00B33EFC">
                <w:rPr>
                  <w:rStyle w:val="Hyperlink"/>
                  <w:rFonts w:cstheme="minorHAnsi"/>
                  <w:sz w:val="20"/>
                </w:rPr>
                <w:t>https://www.vdacs.virginia.gov/pesticide-collection.shtml</w:t>
              </w:r>
            </w:hyperlink>
          </w:p>
        </w:tc>
      </w:tr>
      <w:tr w:rsidR="00581E61" w:rsidRPr="00B33EFC" w14:paraId="10D1764E" w14:textId="77777777" w:rsidTr="006E7FE7">
        <w:trPr>
          <w:trHeight w:val="300"/>
        </w:trPr>
        <w:tc>
          <w:tcPr>
            <w:tcW w:w="8748" w:type="dxa"/>
            <w:tcBorders>
              <w:top w:val="single" w:sz="4" w:space="0" w:color="auto"/>
              <w:bottom w:val="single" w:sz="4" w:space="0" w:color="auto"/>
            </w:tcBorders>
            <w:noWrap/>
            <w:hideMark/>
          </w:tcPr>
          <w:p w14:paraId="08BD2FFC" w14:textId="77777777" w:rsidR="00581E61" w:rsidRPr="00B33EFC" w:rsidRDefault="00581E61">
            <w:pPr>
              <w:rPr>
                <w:rFonts w:cstheme="minorHAnsi"/>
                <w:sz w:val="20"/>
              </w:rPr>
            </w:pPr>
            <w:r w:rsidRPr="00B33EFC">
              <w:rPr>
                <w:rFonts w:cstheme="minorHAnsi"/>
                <w:sz w:val="20"/>
              </w:rPr>
              <w:t>VDACS Pesticides container</w:t>
            </w:r>
          </w:p>
        </w:tc>
        <w:tc>
          <w:tcPr>
            <w:tcW w:w="828" w:type="dxa"/>
            <w:tcBorders>
              <w:top w:val="single" w:sz="4" w:space="0" w:color="auto"/>
              <w:bottom w:val="single" w:sz="4" w:space="0" w:color="auto"/>
            </w:tcBorders>
            <w:noWrap/>
            <w:vAlign w:val="center"/>
            <w:hideMark/>
          </w:tcPr>
          <w:p w14:paraId="5CE67989" w14:textId="77777777" w:rsidR="00581E61" w:rsidRPr="00B33EFC" w:rsidRDefault="00581E61">
            <w:pPr>
              <w:rPr>
                <w:rFonts w:cstheme="minorHAnsi"/>
                <w:sz w:val="20"/>
                <w:u w:val="single"/>
              </w:rPr>
            </w:pPr>
            <w:hyperlink r:id="rId98" w:history="1">
              <w:r w:rsidRPr="00B33EFC">
                <w:rPr>
                  <w:rStyle w:val="Hyperlink"/>
                  <w:rFonts w:cstheme="minorHAnsi"/>
                  <w:sz w:val="20"/>
                </w:rPr>
                <w:t>https://www.vdacs.virginia.gov/pesticide-container-recycling.shtml</w:t>
              </w:r>
            </w:hyperlink>
          </w:p>
        </w:tc>
      </w:tr>
      <w:tr w:rsidR="00581E61" w:rsidRPr="00B33EFC" w14:paraId="5B9A526A" w14:textId="77777777" w:rsidTr="006E7FE7">
        <w:trPr>
          <w:trHeight w:val="300"/>
        </w:trPr>
        <w:tc>
          <w:tcPr>
            <w:tcW w:w="8748" w:type="dxa"/>
            <w:tcBorders>
              <w:top w:val="single" w:sz="4" w:space="0" w:color="auto"/>
              <w:bottom w:val="single" w:sz="4" w:space="0" w:color="auto"/>
            </w:tcBorders>
            <w:noWrap/>
            <w:hideMark/>
          </w:tcPr>
          <w:p w14:paraId="4EB459A3" w14:textId="77777777" w:rsidR="00581E61" w:rsidRPr="00B33EFC" w:rsidRDefault="00581E61">
            <w:pPr>
              <w:rPr>
                <w:rFonts w:cstheme="minorHAnsi"/>
                <w:sz w:val="20"/>
              </w:rPr>
            </w:pPr>
            <w:r w:rsidRPr="00B33EFC">
              <w:rPr>
                <w:rFonts w:cstheme="minorHAnsi"/>
                <w:sz w:val="20"/>
              </w:rPr>
              <w:t>VDH Algal Bloom Surveillance Map</w:t>
            </w:r>
          </w:p>
        </w:tc>
        <w:tc>
          <w:tcPr>
            <w:tcW w:w="828" w:type="dxa"/>
            <w:tcBorders>
              <w:top w:val="single" w:sz="4" w:space="0" w:color="auto"/>
              <w:bottom w:val="single" w:sz="4" w:space="0" w:color="auto"/>
            </w:tcBorders>
            <w:noWrap/>
            <w:vAlign w:val="center"/>
            <w:hideMark/>
          </w:tcPr>
          <w:p w14:paraId="77DFB11B" w14:textId="77777777" w:rsidR="00581E61" w:rsidRPr="00B33EFC" w:rsidRDefault="00581E61">
            <w:pPr>
              <w:rPr>
                <w:rFonts w:cstheme="minorHAnsi"/>
                <w:sz w:val="20"/>
                <w:u w:val="single"/>
              </w:rPr>
            </w:pPr>
            <w:hyperlink r:id="rId99" w:history="1">
              <w:r w:rsidRPr="00B33EFC">
                <w:rPr>
                  <w:rStyle w:val="Hyperlink"/>
                  <w:rFonts w:cstheme="minorHAnsi"/>
                  <w:sz w:val="20"/>
                </w:rPr>
                <w:t>https://www.vdh.virginia.gov/waterborne-hazards-control/algal-bloom-surveillance-map/</w:t>
              </w:r>
            </w:hyperlink>
          </w:p>
        </w:tc>
      </w:tr>
      <w:tr w:rsidR="00581E61" w:rsidRPr="00B33EFC" w14:paraId="033F28B6" w14:textId="77777777" w:rsidTr="006E7FE7">
        <w:trPr>
          <w:trHeight w:val="300"/>
        </w:trPr>
        <w:tc>
          <w:tcPr>
            <w:tcW w:w="8748" w:type="dxa"/>
            <w:tcBorders>
              <w:top w:val="single" w:sz="4" w:space="0" w:color="auto"/>
              <w:bottom w:val="single" w:sz="4" w:space="0" w:color="auto"/>
            </w:tcBorders>
            <w:noWrap/>
            <w:hideMark/>
          </w:tcPr>
          <w:p w14:paraId="4A58A538" w14:textId="77777777" w:rsidR="00581E61" w:rsidRPr="00B33EFC" w:rsidRDefault="00581E61">
            <w:pPr>
              <w:rPr>
                <w:rFonts w:cstheme="minorHAnsi"/>
                <w:sz w:val="20"/>
              </w:rPr>
            </w:pPr>
            <w:r w:rsidRPr="00B33EFC">
              <w:rPr>
                <w:rFonts w:cstheme="minorHAnsi"/>
                <w:sz w:val="20"/>
              </w:rPr>
              <w:t>VDH Beach Advisory Map</w:t>
            </w:r>
          </w:p>
        </w:tc>
        <w:tc>
          <w:tcPr>
            <w:tcW w:w="828" w:type="dxa"/>
            <w:tcBorders>
              <w:top w:val="single" w:sz="4" w:space="0" w:color="auto"/>
              <w:bottom w:val="single" w:sz="4" w:space="0" w:color="auto"/>
            </w:tcBorders>
            <w:noWrap/>
            <w:vAlign w:val="center"/>
            <w:hideMark/>
          </w:tcPr>
          <w:p w14:paraId="45C720B9" w14:textId="77777777" w:rsidR="00581E61" w:rsidRPr="00B33EFC" w:rsidRDefault="00581E61">
            <w:pPr>
              <w:rPr>
                <w:rFonts w:cstheme="minorHAnsi"/>
                <w:sz w:val="20"/>
                <w:u w:val="single"/>
              </w:rPr>
            </w:pPr>
            <w:hyperlink r:id="rId100" w:history="1">
              <w:r w:rsidRPr="00B33EFC">
                <w:rPr>
                  <w:rStyle w:val="Hyperlink"/>
                  <w:rFonts w:cstheme="minorHAnsi"/>
                  <w:sz w:val="20"/>
                </w:rPr>
                <w:t>https://www.vdh.virginia.gov/waterborne-hazards-control/swimming-advisories-and-monitored-beaches-map/</w:t>
              </w:r>
            </w:hyperlink>
          </w:p>
        </w:tc>
      </w:tr>
      <w:tr w:rsidR="00581E61" w:rsidRPr="00B33EFC" w14:paraId="220B75DC" w14:textId="77777777" w:rsidTr="006E7FE7">
        <w:trPr>
          <w:trHeight w:val="300"/>
        </w:trPr>
        <w:tc>
          <w:tcPr>
            <w:tcW w:w="8748" w:type="dxa"/>
            <w:tcBorders>
              <w:top w:val="single" w:sz="4" w:space="0" w:color="auto"/>
              <w:bottom w:val="single" w:sz="4" w:space="0" w:color="auto"/>
            </w:tcBorders>
            <w:noWrap/>
            <w:hideMark/>
          </w:tcPr>
          <w:p w14:paraId="290976E1" w14:textId="77777777" w:rsidR="00581E61" w:rsidRPr="00B33EFC" w:rsidRDefault="00581E61">
            <w:pPr>
              <w:rPr>
                <w:rFonts w:cstheme="minorHAnsi"/>
                <w:sz w:val="20"/>
              </w:rPr>
            </w:pPr>
            <w:r w:rsidRPr="00B33EFC">
              <w:rPr>
                <w:rFonts w:cstheme="minorHAnsi"/>
                <w:sz w:val="20"/>
              </w:rPr>
              <w:t>VDH Beach Monitoring Statistics webpage</w:t>
            </w:r>
          </w:p>
        </w:tc>
        <w:tc>
          <w:tcPr>
            <w:tcW w:w="828" w:type="dxa"/>
            <w:tcBorders>
              <w:top w:val="single" w:sz="4" w:space="0" w:color="auto"/>
              <w:bottom w:val="single" w:sz="4" w:space="0" w:color="auto"/>
            </w:tcBorders>
            <w:noWrap/>
            <w:vAlign w:val="center"/>
            <w:hideMark/>
          </w:tcPr>
          <w:p w14:paraId="6B226862" w14:textId="77777777" w:rsidR="00581E61" w:rsidRPr="00B33EFC" w:rsidRDefault="00581E61">
            <w:pPr>
              <w:rPr>
                <w:rFonts w:cstheme="minorHAnsi"/>
                <w:sz w:val="20"/>
                <w:u w:val="single"/>
              </w:rPr>
            </w:pPr>
            <w:hyperlink r:id="rId101" w:history="1">
              <w:r w:rsidRPr="00B33EFC">
                <w:rPr>
                  <w:rStyle w:val="Hyperlink"/>
                  <w:rFonts w:cstheme="minorHAnsi"/>
                  <w:sz w:val="20"/>
                </w:rPr>
                <w:t>https://www.vdh.virginia.gov/waterborne-hazards-control/statistics/monitoring-and-advisory-data-by-year/</w:t>
              </w:r>
            </w:hyperlink>
          </w:p>
        </w:tc>
      </w:tr>
      <w:tr w:rsidR="00581E61" w:rsidRPr="00B33EFC" w14:paraId="754FC73D" w14:textId="77777777" w:rsidTr="006E7FE7">
        <w:trPr>
          <w:trHeight w:val="300"/>
        </w:trPr>
        <w:tc>
          <w:tcPr>
            <w:tcW w:w="8748" w:type="dxa"/>
            <w:tcBorders>
              <w:top w:val="single" w:sz="4" w:space="0" w:color="auto"/>
              <w:bottom w:val="single" w:sz="4" w:space="0" w:color="auto"/>
            </w:tcBorders>
            <w:noWrap/>
            <w:hideMark/>
          </w:tcPr>
          <w:p w14:paraId="2CB52EF2" w14:textId="77777777" w:rsidR="00581E61" w:rsidRPr="00B33EFC" w:rsidRDefault="00581E61">
            <w:pPr>
              <w:rPr>
                <w:rFonts w:cstheme="minorHAnsi"/>
                <w:sz w:val="20"/>
              </w:rPr>
            </w:pPr>
            <w:r w:rsidRPr="00B33EFC">
              <w:rPr>
                <w:rFonts w:cstheme="minorHAnsi"/>
                <w:sz w:val="20"/>
              </w:rPr>
              <w:t>VDH BEACH Program</w:t>
            </w:r>
          </w:p>
        </w:tc>
        <w:tc>
          <w:tcPr>
            <w:tcW w:w="828" w:type="dxa"/>
            <w:tcBorders>
              <w:top w:val="single" w:sz="4" w:space="0" w:color="auto"/>
              <w:bottom w:val="single" w:sz="4" w:space="0" w:color="auto"/>
            </w:tcBorders>
            <w:noWrap/>
            <w:vAlign w:val="center"/>
            <w:hideMark/>
          </w:tcPr>
          <w:p w14:paraId="3DD6D254" w14:textId="77777777" w:rsidR="00581E61" w:rsidRPr="00B33EFC" w:rsidRDefault="00581E61">
            <w:pPr>
              <w:rPr>
                <w:rFonts w:cstheme="minorHAnsi"/>
                <w:sz w:val="20"/>
                <w:u w:val="single"/>
              </w:rPr>
            </w:pPr>
            <w:hyperlink r:id="rId102" w:history="1">
              <w:r w:rsidRPr="00B33EFC">
                <w:rPr>
                  <w:rStyle w:val="Hyperlink"/>
                  <w:rFonts w:cstheme="minorHAnsi"/>
                  <w:sz w:val="20"/>
                </w:rPr>
                <w:t>https://www.vdh.virginia.gov/waterborne-hazards-control/beach-monitoring/</w:t>
              </w:r>
            </w:hyperlink>
          </w:p>
        </w:tc>
      </w:tr>
      <w:tr w:rsidR="00581E61" w:rsidRPr="00B33EFC" w14:paraId="7E9F99FE" w14:textId="77777777" w:rsidTr="006E7FE7">
        <w:trPr>
          <w:trHeight w:val="300"/>
        </w:trPr>
        <w:tc>
          <w:tcPr>
            <w:tcW w:w="8748" w:type="dxa"/>
            <w:tcBorders>
              <w:top w:val="single" w:sz="4" w:space="0" w:color="auto"/>
              <w:bottom w:val="single" w:sz="4" w:space="0" w:color="auto"/>
            </w:tcBorders>
            <w:noWrap/>
            <w:hideMark/>
          </w:tcPr>
          <w:p w14:paraId="109B707D" w14:textId="77777777" w:rsidR="00581E61" w:rsidRPr="00B33EFC" w:rsidRDefault="00581E61">
            <w:pPr>
              <w:rPr>
                <w:rFonts w:cstheme="minorHAnsi"/>
                <w:sz w:val="20"/>
              </w:rPr>
            </w:pPr>
            <w:r w:rsidRPr="00B33EFC">
              <w:rPr>
                <w:rFonts w:cstheme="minorHAnsi"/>
                <w:sz w:val="20"/>
              </w:rPr>
              <w:t>VDH Cyanobacteria Bloom Response Aid</w:t>
            </w:r>
          </w:p>
        </w:tc>
        <w:tc>
          <w:tcPr>
            <w:tcW w:w="828" w:type="dxa"/>
            <w:tcBorders>
              <w:top w:val="single" w:sz="4" w:space="0" w:color="auto"/>
              <w:bottom w:val="single" w:sz="4" w:space="0" w:color="auto"/>
            </w:tcBorders>
            <w:noWrap/>
            <w:vAlign w:val="center"/>
            <w:hideMark/>
          </w:tcPr>
          <w:p w14:paraId="363732AB" w14:textId="77777777" w:rsidR="00581E61" w:rsidRPr="00B33EFC" w:rsidRDefault="00581E61">
            <w:pPr>
              <w:rPr>
                <w:rFonts w:cstheme="minorHAnsi"/>
                <w:sz w:val="20"/>
                <w:u w:val="single"/>
              </w:rPr>
            </w:pPr>
            <w:hyperlink r:id="rId103" w:history="1">
              <w:r w:rsidRPr="00B33EFC">
                <w:rPr>
                  <w:rStyle w:val="Hyperlink"/>
                  <w:rFonts w:cstheme="minorHAnsi"/>
                  <w:sz w:val="20"/>
                </w:rPr>
                <w:t>https://www.vdh.virginia.gov/content/uploads/sites/178/2023/07/Cyanobacteria-Bloom-Response-Job-Aid-July-2023.pdf</w:t>
              </w:r>
            </w:hyperlink>
          </w:p>
        </w:tc>
      </w:tr>
      <w:tr w:rsidR="00581E61" w:rsidRPr="00B33EFC" w14:paraId="7C82D44E" w14:textId="77777777" w:rsidTr="006E7FE7">
        <w:trPr>
          <w:trHeight w:val="300"/>
        </w:trPr>
        <w:tc>
          <w:tcPr>
            <w:tcW w:w="8748" w:type="dxa"/>
            <w:tcBorders>
              <w:top w:val="single" w:sz="4" w:space="0" w:color="auto"/>
              <w:bottom w:val="single" w:sz="4" w:space="0" w:color="auto"/>
            </w:tcBorders>
            <w:noWrap/>
            <w:hideMark/>
          </w:tcPr>
          <w:p w14:paraId="4BE3973D" w14:textId="77777777" w:rsidR="00581E61" w:rsidRPr="00B33EFC" w:rsidRDefault="00581E61">
            <w:pPr>
              <w:rPr>
                <w:rFonts w:cstheme="minorHAnsi"/>
                <w:sz w:val="20"/>
              </w:rPr>
            </w:pPr>
            <w:r w:rsidRPr="00B33EFC">
              <w:rPr>
                <w:rFonts w:cstheme="minorHAnsi"/>
                <w:sz w:val="20"/>
              </w:rPr>
              <w:t>VDH Fish Consumption Advisory</w:t>
            </w:r>
          </w:p>
        </w:tc>
        <w:tc>
          <w:tcPr>
            <w:tcW w:w="828" w:type="dxa"/>
            <w:tcBorders>
              <w:top w:val="single" w:sz="4" w:space="0" w:color="auto"/>
              <w:bottom w:val="single" w:sz="4" w:space="0" w:color="auto"/>
            </w:tcBorders>
            <w:noWrap/>
            <w:vAlign w:val="center"/>
            <w:hideMark/>
          </w:tcPr>
          <w:p w14:paraId="752DE3A3" w14:textId="77777777" w:rsidR="00581E61" w:rsidRPr="00B33EFC" w:rsidRDefault="00581E61">
            <w:pPr>
              <w:rPr>
                <w:rFonts w:cstheme="minorHAnsi"/>
                <w:sz w:val="20"/>
                <w:u w:val="single"/>
              </w:rPr>
            </w:pPr>
            <w:hyperlink r:id="rId104" w:history="1">
              <w:r w:rsidRPr="00B33EFC">
                <w:rPr>
                  <w:rStyle w:val="Hyperlink"/>
                  <w:rFonts w:cstheme="minorHAnsi"/>
                  <w:sz w:val="20"/>
                </w:rPr>
                <w:t>https://www.vdh.virginia.gov/environmental-health/public-health-toxicology/fish-consumption-advisory/</w:t>
              </w:r>
            </w:hyperlink>
          </w:p>
        </w:tc>
      </w:tr>
      <w:tr w:rsidR="00581E61" w:rsidRPr="00B33EFC" w14:paraId="0A4BCDF8" w14:textId="77777777" w:rsidTr="006E7FE7">
        <w:trPr>
          <w:trHeight w:val="300"/>
        </w:trPr>
        <w:tc>
          <w:tcPr>
            <w:tcW w:w="8748" w:type="dxa"/>
            <w:tcBorders>
              <w:top w:val="single" w:sz="4" w:space="0" w:color="auto"/>
              <w:bottom w:val="single" w:sz="4" w:space="0" w:color="auto"/>
            </w:tcBorders>
            <w:noWrap/>
            <w:hideMark/>
          </w:tcPr>
          <w:p w14:paraId="4217AA59" w14:textId="77777777" w:rsidR="00581E61" w:rsidRPr="00B33EFC" w:rsidRDefault="00581E61">
            <w:pPr>
              <w:rPr>
                <w:rFonts w:cstheme="minorHAnsi"/>
                <w:sz w:val="20"/>
              </w:rPr>
            </w:pPr>
            <w:r w:rsidRPr="00B33EFC">
              <w:rPr>
                <w:rFonts w:cstheme="minorHAnsi"/>
                <w:sz w:val="20"/>
              </w:rPr>
              <w:t>VDH Guidance for Cyanobacteria Bloom Recreational Advisory Guidance</w:t>
            </w:r>
          </w:p>
        </w:tc>
        <w:tc>
          <w:tcPr>
            <w:tcW w:w="828" w:type="dxa"/>
            <w:tcBorders>
              <w:top w:val="single" w:sz="4" w:space="0" w:color="auto"/>
              <w:bottom w:val="single" w:sz="4" w:space="0" w:color="auto"/>
            </w:tcBorders>
            <w:noWrap/>
            <w:vAlign w:val="center"/>
            <w:hideMark/>
          </w:tcPr>
          <w:p w14:paraId="20EEF578" w14:textId="77777777" w:rsidR="00581E61" w:rsidRPr="00B33EFC" w:rsidRDefault="00581E61">
            <w:pPr>
              <w:rPr>
                <w:rFonts w:cstheme="minorHAnsi"/>
                <w:sz w:val="20"/>
                <w:u w:val="single"/>
              </w:rPr>
            </w:pPr>
            <w:hyperlink r:id="rId105" w:history="1">
              <w:r w:rsidRPr="00B33EFC">
                <w:rPr>
                  <w:rStyle w:val="Hyperlink"/>
                  <w:rFonts w:cstheme="minorHAnsi"/>
                  <w:sz w:val="20"/>
                </w:rPr>
                <w:t>https://www.vdh.virginia.gov/content/uploads/sites/178/2021/03/Guidance_for_Cyanobacteria_Recreational_Advisory_Mgt.pdf</w:t>
              </w:r>
            </w:hyperlink>
          </w:p>
        </w:tc>
      </w:tr>
      <w:tr w:rsidR="00581E61" w:rsidRPr="00B33EFC" w14:paraId="45FCBCDB" w14:textId="77777777" w:rsidTr="006E7FE7">
        <w:trPr>
          <w:trHeight w:val="300"/>
        </w:trPr>
        <w:tc>
          <w:tcPr>
            <w:tcW w:w="8748" w:type="dxa"/>
            <w:tcBorders>
              <w:top w:val="single" w:sz="4" w:space="0" w:color="auto"/>
              <w:bottom w:val="single" w:sz="4" w:space="0" w:color="auto"/>
            </w:tcBorders>
            <w:noWrap/>
            <w:hideMark/>
          </w:tcPr>
          <w:p w14:paraId="1929609D" w14:textId="48E49511" w:rsidR="00581E61" w:rsidRPr="00B33EFC" w:rsidRDefault="00581E61">
            <w:pPr>
              <w:rPr>
                <w:rFonts w:cstheme="minorHAnsi"/>
                <w:sz w:val="20"/>
              </w:rPr>
            </w:pPr>
            <w:r w:rsidRPr="00B33EFC">
              <w:rPr>
                <w:rFonts w:cstheme="minorHAnsi"/>
                <w:sz w:val="20"/>
              </w:rPr>
              <w:t xml:space="preserve">VDH HAB </w:t>
            </w:r>
            <w:r w:rsidR="00797A3A">
              <w:rPr>
                <w:rFonts w:cstheme="minorHAnsi"/>
                <w:sz w:val="20"/>
              </w:rPr>
              <w:t>Task Force</w:t>
            </w:r>
          </w:p>
        </w:tc>
        <w:tc>
          <w:tcPr>
            <w:tcW w:w="828" w:type="dxa"/>
            <w:tcBorders>
              <w:top w:val="single" w:sz="4" w:space="0" w:color="auto"/>
              <w:bottom w:val="single" w:sz="4" w:space="0" w:color="auto"/>
            </w:tcBorders>
            <w:noWrap/>
            <w:vAlign w:val="center"/>
            <w:hideMark/>
          </w:tcPr>
          <w:p w14:paraId="636C1F61" w14:textId="281B2689" w:rsidR="00581E61" w:rsidRPr="00B33EFC" w:rsidRDefault="00797A3A">
            <w:pPr>
              <w:rPr>
                <w:rFonts w:cstheme="minorHAnsi"/>
                <w:sz w:val="20"/>
                <w:u w:val="single"/>
              </w:rPr>
            </w:pPr>
            <w:hyperlink r:id="rId106" w:history="1">
              <w:r>
                <w:rPr>
                  <w:rStyle w:val="Hyperlink"/>
                  <w:sz w:val="20"/>
                </w:rPr>
                <w:t>https://www.vdh.virginia.gov/waterborne-hazards-control/harmful-algal-blooms/virginia-hab-task-force/</w:t>
              </w:r>
            </w:hyperlink>
          </w:p>
        </w:tc>
      </w:tr>
      <w:tr w:rsidR="00581E61" w:rsidRPr="00B33EFC" w14:paraId="52F757A2" w14:textId="77777777" w:rsidTr="006E7FE7">
        <w:trPr>
          <w:trHeight w:val="300"/>
        </w:trPr>
        <w:tc>
          <w:tcPr>
            <w:tcW w:w="8748" w:type="dxa"/>
            <w:tcBorders>
              <w:top w:val="single" w:sz="4" w:space="0" w:color="auto"/>
              <w:bottom w:val="single" w:sz="4" w:space="0" w:color="auto"/>
            </w:tcBorders>
            <w:noWrap/>
            <w:hideMark/>
          </w:tcPr>
          <w:p w14:paraId="0BE5F7A0" w14:textId="3F6BB303" w:rsidR="00581E61" w:rsidRPr="00B33EFC" w:rsidRDefault="00581E61">
            <w:pPr>
              <w:rPr>
                <w:rFonts w:cstheme="minorHAnsi"/>
                <w:sz w:val="20"/>
              </w:rPr>
            </w:pPr>
            <w:r w:rsidRPr="00B33EFC">
              <w:rPr>
                <w:rFonts w:cstheme="minorHAnsi"/>
                <w:sz w:val="20"/>
              </w:rPr>
              <w:t>VDH HABs</w:t>
            </w:r>
            <w:r w:rsidR="00132B96">
              <w:rPr>
                <w:rFonts w:cstheme="minorHAnsi"/>
                <w:sz w:val="20"/>
              </w:rPr>
              <w:t xml:space="preserve"> Reporting Form</w:t>
            </w:r>
          </w:p>
        </w:tc>
        <w:tc>
          <w:tcPr>
            <w:tcW w:w="828" w:type="dxa"/>
            <w:tcBorders>
              <w:top w:val="single" w:sz="4" w:space="0" w:color="auto"/>
              <w:bottom w:val="single" w:sz="4" w:space="0" w:color="auto"/>
            </w:tcBorders>
            <w:noWrap/>
            <w:vAlign w:val="center"/>
          </w:tcPr>
          <w:p w14:paraId="10597557" w14:textId="693A5FC9" w:rsidR="00581E61" w:rsidRPr="00B33EFC" w:rsidRDefault="00132B96">
            <w:pPr>
              <w:rPr>
                <w:rFonts w:cstheme="minorHAnsi"/>
                <w:sz w:val="20"/>
                <w:u w:val="single"/>
              </w:rPr>
            </w:pPr>
            <w:hyperlink r:id="rId107" w:history="1">
              <w:r w:rsidRPr="00B33EFC">
                <w:rPr>
                  <w:rStyle w:val="Hyperlink"/>
                  <w:rFonts w:cstheme="minorHAnsi"/>
                  <w:sz w:val="20"/>
                </w:rPr>
                <w:t>https://www.vdh.virginia.gov/waterborne-hazards-control/harmful-algal-bloom-online-report-form/</w:t>
              </w:r>
            </w:hyperlink>
          </w:p>
        </w:tc>
      </w:tr>
      <w:tr w:rsidR="00581E61" w:rsidRPr="00B33EFC" w14:paraId="2977AF4E" w14:textId="77777777" w:rsidTr="006E7FE7">
        <w:trPr>
          <w:trHeight w:val="300"/>
        </w:trPr>
        <w:tc>
          <w:tcPr>
            <w:tcW w:w="8748" w:type="dxa"/>
            <w:tcBorders>
              <w:top w:val="single" w:sz="4" w:space="0" w:color="auto"/>
              <w:bottom w:val="single" w:sz="4" w:space="0" w:color="auto"/>
            </w:tcBorders>
            <w:noWrap/>
            <w:hideMark/>
          </w:tcPr>
          <w:p w14:paraId="75E9B133" w14:textId="77777777" w:rsidR="00581E61" w:rsidRPr="00B33EFC" w:rsidRDefault="00581E61">
            <w:pPr>
              <w:rPr>
                <w:rFonts w:cstheme="minorHAnsi"/>
                <w:sz w:val="20"/>
              </w:rPr>
            </w:pPr>
            <w:r w:rsidRPr="00B33EFC">
              <w:rPr>
                <w:rFonts w:cstheme="minorHAnsi"/>
                <w:sz w:val="20"/>
              </w:rPr>
              <w:t>VDH Shellfish Safety and Waterborne Hazards</w:t>
            </w:r>
          </w:p>
        </w:tc>
        <w:tc>
          <w:tcPr>
            <w:tcW w:w="828" w:type="dxa"/>
            <w:tcBorders>
              <w:top w:val="single" w:sz="4" w:space="0" w:color="auto"/>
              <w:bottom w:val="single" w:sz="4" w:space="0" w:color="auto"/>
            </w:tcBorders>
            <w:noWrap/>
            <w:vAlign w:val="center"/>
            <w:hideMark/>
          </w:tcPr>
          <w:p w14:paraId="213FD915" w14:textId="77777777" w:rsidR="00581E61" w:rsidRPr="00B33EFC" w:rsidRDefault="00581E61">
            <w:pPr>
              <w:rPr>
                <w:rFonts w:cstheme="minorHAnsi"/>
                <w:sz w:val="20"/>
                <w:u w:val="single"/>
              </w:rPr>
            </w:pPr>
            <w:hyperlink r:id="rId108" w:history="1">
              <w:r w:rsidRPr="00B33EFC">
                <w:rPr>
                  <w:rStyle w:val="Hyperlink"/>
                  <w:rFonts w:cstheme="minorHAnsi"/>
                  <w:sz w:val="20"/>
                </w:rPr>
                <w:t>https://www.vdh.virginia.gov/environmental-health/environmental-health-services/shellfish-safety/</w:t>
              </w:r>
            </w:hyperlink>
          </w:p>
        </w:tc>
      </w:tr>
      <w:tr w:rsidR="00581E61" w:rsidRPr="00B33EFC" w14:paraId="1E8EBD73" w14:textId="77777777" w:rsidTr="006E7FE7">
        <w:trPr>
          <w:trHeight w:val="300"/>
        </w:trPr>
        <w:tc>
          <w:tcPr>
            <w:tcW w:w="8748" w:type="dxa"/>
            <w:tcBorders>
              <w:top w:val="single" w:sz="4" w:space="0" w:color="auto"/>
              <w:bottom w:val="single" w:sz="4" w:space="0" w:color="auto"/>
            </w:tcBorders>
            <w:noWrap/>
            <w:hideMark/>
          </w:tcPr>
          <w:p w14:paraId="6F8D1169" w14:textId="77777777" w:rsidR="00581E61" w:rsidRPr="00B33EFC" w:rsidRDefault="00581E61">
            <w:pPr>
              <w:rPr>
                <w:rFonts w:cstheme="minorHAnsi"/>
                <w:sz w:val="20"/>
              </w:rPr>
            </w:pPr>
            <w:r w:rsidRPr="00B33EFC">
              <w:rPr>
                <w:rFonts w:cstheme="minorHAnsi"/>
                <w:sz w:val="20"/>
              </w:rPr>
              <w:t>VDH Source Water Programs</w:t>
            </w:r>
          </w:p>
        </w:tc>
        <w:tc>
          <w:tcPr>
            <w:tcW w:w="828" w:type="dxa"/>
            <w:tcBorders>
              <w:top w:val="single" w:sz="4" w:space="0" w:color="auto"/>
              <w:bottom w:val="single" w:sz="4" w:space="0" w:color="auto"/>
            </w:tcBorders>
            <w:noWrap/>
            <w:vAlign w:val="center"/>
            <w:hideMark/>
          </w:tcPr>
          <w:p w14:paraId="11E1CD54" w14:textId="77777777" w:rsidR="00581E61" w:rsidRPr="00B33EFC" w:rsidRDefault="00581E61">
            <w:pPr>
              <w:rPr>
                <w:rFonts w:cstheme="minorHAnsi"/>
                <w:sz w:val="20"/>
                <w:u w:val="single"/>
              </w:rPr>
            </w:pPr>
            <w:hyperlink r:id="rId109" w:history="1">
              <w:r w:rsidRPr="00B33EFC">
                <w:rPr>
                  <w:rStyle w:val="Hyperlink"/>
                  <w:rFonts w:cstheme="minorHAnsi"/>
                  <w:sz w:val="20"/>
                </w:rPr>
                <w:t>https://www.vdh.virginia.gov/drinking-water/source-water-programs/</w:t>
              </w:r>
            </w:hyperlink>
          </w:p>
        </w:tc>
      </w:tr>
      <w:tr w:rsidR="00997F77" w:rsidRPr="00B33EFC" w14:paraId="55159ED0" w14:textId="77777777" w:rsidTr="006E7FE7">
        <w:trPr>
          <w:trHeight w:val="300"/>
        </w:trPr>
        <w:tc>
          <w:tcPr>
            <w:tcW w:w="8748" w:type="dxa"/>
            <w:tcBorders>
              <w:top w:val="single" w:sz="4" w:space="0" w:color="auto"/>
              <w:bottom w:val="single" w:sz="4" w:space="0" w:color="auto"/>
            </w:tcBorders>
            <w:noWrap/>
          </w:tcPr>
          <w:p w14:paraId="1A29867E" w14:textId="01F85EC8" w:rsidR="00997F77" w:rsidRPr="00B33EFC" w:rsidRDefault="00997F77">
            <w:pPr>
              <w:rPr>
                <w:rFonts w:cstheme="minorHAnsi"/>
                <w:sz w:val="20"/>
              </w:rPr>
            </w:pPr>
            <w:r>
              <w:rPr>
                <w:rFonts w:cstheme="minorHAnsi"/>
                <w:sz w:val="20"/>
              </w:rPr>
              <w:t>VDH Waterborne Hazards Control Program</w:t>
            </w:r>
          </w:p>
        </w:tc>
        <w:tc>
          <w:tcPr>
            <w:tcW w:w="828" w:type="dxa"/>
            <w:tcBorders>
              <w:top w:val="single" w:sz="4" w:space="0" w:color="auto"/>
              <w:bottom w:val="single" w:sz="4" w:space="0" w:color="auto"/>
            </w:tcBorders>
            <w:noWrap/>
            <w:vAlign w:val="center"/>
          </w:tcPr>
          <w:p w14:paraId="4619566E" w14:textId="61EB97C2" w:rsidR="00997F77" w:rsidRPr="004F3B07" w:rsidRDefault="004F3B07">
            <w:pPr>
              <w:rPr>
                <w:sz w:val="20"/>
              </w:rPr>
            </w:pPr>
            <w:hyperlink r:id="rId110" w:history="1">
              <w:r>
                <w:rPr>
                  <w:rStyle w:val="Hyperlink"/>
                  <w:sz w:val="20"/>
                </w:rPr>
                <w:t>https://www.vdh.virginia.gov/waterborne-hazards-control/</w:t>
              </w:r>
            </w:hyperlink>
          </w:p>
        </w:tc>
      </w:tr>
      <w:tr w:rsidR="00581E61" w:rsidRPr="00B33EFC" w14:paraId="22984B8F" w14:textId="77777777" w:rsidTr="006E7FE7">
        <w:trPr>
          <w:trHeight w:val="300"/>
        </w:trPr>
        <w:tc>
          <w:tcPr>
            <w:tcW w:w="8748" w:type="dxa"/>
            <w:tcBorders>
              <w:top w:val="single" w:sz="4" w:space="0" w:color="auto"/>
              <w:bottom w:val="single" w:sz="4" w:space="0" w:color="auto"/>
            </w:tcBorders>
            <w:noWrap/>
            <w:hideMark/>
          </w:tcPr>
          <w:p w14:paraId="6506A583" w14:textId="77777777" w:rsidR="00581E61" w:rsidRPr="00B33EFC" w:rsidRDefault="00581E61">
            <w:pPr>
              <w:rPr>
                <w:rFonts w:cstheme="minorHAnsi"/>
                <w:sz w:val="20"/>
              </w:rPr>
            </w:pPr>
            <w:r w:rsidRPr="00B33EFC">
              <w:rPr>
                <w:rFonts w:cstheme="minorHAnsi"/>
                <w:sz w:val="20"/>
              </w:rPr>
              <w:t>VDH Waterborne Hazards Statistics</w:t>
            </w:r>
          </w:p>
        </w:tc>
        <w:tc>
          <w:tcPr>
            <w:tcW w:w="828" w:type="dxa"/>
            <w:tcBorders>
              <w:top w:val="single" w:sz="4" w:space="0" w:color="auto"/>
              <w:bottom w:val="single" w:sz="4" w:space="0" w:color="auto"/>
            </w:tcBorders>
            <w:noWrap/>
            <w:vAlign w:val="center"/>
            <w:hideMark/>
          </w:tcPr>
          <w:p w14:paraId="4B089065" w14:textId="77777777" w:rsidR="00581E61" w:rsidRPr="00B33EFC" w:rsidRDefault="00581E61">
            <w:pPr>
              <w:rPr>
                <w:rFonts w:cstheme="minorHAnsi"/>
                <w:sz w:val="20"/>
                <w:u w:val="single"/>
              </w:rPr>
            </w:pPr>
            <w:hyperlink r:id="rId111" w:history="1">
              <w:r w:rsidRPr="00B33EFC">
                <w:rPr>
                  <w:rStyle w:val="Hyperlink"/>
                  <w:rFonts w:cstheme="minorHAnsi"/>
                  <w:sz w:val="20"/>
                </w:rPr>
                <w:t>https://www.vdh.virginia.gov/waterborne-hazards-control/statistics/</w:t>
              </w:r>
            </w:hyperlink>
          </w:p>
        </w:tc>
      </w:tr>
      <w:tr w:rsidR="00581E61" w:rsidRPr="00B33EFC" w14:paraId="4828E79F" w14:textId="77777777" w:rsidTr="006E7FE7">
        <w:trPr>
          <w:trHeight w:val="300"/>
        </w:trPr>
        <w:tc>
          <w:tcPr>
            <w:tcW w:w="8748" w:type="dxa"/>
            <w:tcBorders>
              <w:top w:val="single" w:sz="4" w:space="0" w:color="auto"/>
              <w:bottom w:val="single" w:sz="4" w:space="0" w:color="auto"/>
            </w:tcBorders>
            <w:noWrap/>
            <w:hideMark/>
          </w:tcPr>
          <w:p w14:paraId="479770C2" w14:textId="77777777" w:rsidR="00581E61" w:rsidRPr="00B33EFC" w:rsidRDefault="00581E61">
            <w:pPr>
              <w:rPr>
                <w:rFonts w:cstheme="minorHAnsi"/>
                <w:sz w:val="20"/>
              </w:rPr>
            </w:pPr>
            <w:r w:rsidRPr="00B33EFC">
              <w:rPr>
                <w:rFonts w:cstheme="minorHAnsi"/>
                <w:sz w:val="20"/>
              </w:rPr>
              <w:t xml:space="preserve">VECOS </w:t>
            </w:r>
            <w:proofErr w:type="spellStart"/>
            <w:r w:rsidRPr="00B33EFC">
              <w:rPr>
                <w:rFonts w:cstheme="minorHAnsi"/>
                <w:sz w:val="20"/>
              </w:rPr>
              <w:t>DataFlow</w:t>
            </w:r>
            <w:proofErr w:type="spellEnd"/>
            <w:r w:rsidRPr="00B33EFC">
              <w:rPr>
                <w:rFonts w:cstheme="minorHAnsi"/>
                <w:sz w:val="20"/>
              </w:rPr>
              <w:t xml:space="preserve"> webpage</w:t>
            </w:r>
          </w:p>
        </w:tc>
        <w:tc>
          <w:tcPr>
            <w:tcW w:w="828" w:type="dxa"/>
            <w:tcBorders>
              <w:top w:val="single" w:sz="4" w:space="0" w:color="auto"/>
              <w:bottom w:val="single" w:sz="4" w:space="0" w:color="auto"/>
            </w:tcBorders>
            <w:noWrap/>
            <w:vAlign w:val="center"/>
            <w:hideMark/>
          </w:tcPr>
          <w:p w14:paraId="17CDAB14" w14:textId="77777777" w:rsidR="00581E61" w:rsidRPr="00B33EFC" w:rsidRDefault="00581E61">
            <w:pPr>
              <w:rPr>
                <w:rFonts w:cstheme="minorHAnsi"/>
                <w:sz w:val="20"/>
                <w:u w:val="single"/>
              </w:rPr>
            </w:pPr>
            <w:hyperlink r:id="rId112" w:anchor="Dataflow" w:history="1">
              <w:r w:rsidRPr="00B33EFC">
                <w:rPr>
                  <w:rStyle w:val="Hyperlink"/>
                  <w:rFonts w:cstheme="minorHAnsi"/>
                  <w:sz w:val="20"/>
                </w:rPr>
                <w:t>http://vecos.vims.edu/Content.aspx?idContent=44#Dataflow</w:t>
              </w:r>
            </w:hyperlink>
          </w:p>
        </w:tc>
      </w:tr>
      <w:tr w:rsidR="00581E61" w:rsidRPr="00B33EFC" w14:paraId="2D7B3F85" w14:textId="77777777" w:rsidTr="006E7FE7">
        <w:trPr>
          <w:trHeight w:val="300"/>
        </w:trPr>
        <w:tc>
          <w:tcPr>
            <w:tcW w:w="8748" w:type="dxa"/>
            <w:tcBorders>
              <w:top w:val="single" w:sz="4" w:space="0" w:color="auto"/>
              <w:bottom w:val="single" w:sz="4" w:space="0" w:color="auto"/>
            </w:tcBorders>
            <w:noWrap/>
            <w:hideMark/>
          </w:tcPr>
          <w:p w14:paraId="644A91EE" w14:textId="77777777" w:rsidR="00581E61" w:rsidRPr="00B33EFC" w:rsidRDefault="00581E61">
            <w:pPr>
              <w:rPr>
                <w:rFonts w:cstheme="minorHAnsi"/>
                <w:sz w:val="20"/>
              </w:rPr>
            </w:pPr>
            <w:r w:rsidRPr="00B33EFC">
              <w:rPr>
                <w:rFonts w:cstheme="minorHAnsi"/>
                <w:sz w:val="20"/>
              </w:rPr>
              <w:t>VECOS Website</w:t>
            </w:r>
          </w:p>
        </w:tc>
        <w:tc>
          <w:tcPr>
            <w:tcW w:w="828" w:type="dxa"/>
            <w:tcBorders>
              <w:top w:val="single" w:sz="4" w:space="0" w:color="auto"/>
              <w:bottom w:val="single" w:sz="4" w:space="0" w:color="auto"/>
            </w:tcBorders>
            <w:noWrap/>
            <w:vAlign w:val="center"/>
            <w:hideMark/>
          </w:tcPr>
          <w:p w14:paraId="1BCD4921" w14:textId="77777777" w:rsidR="00581E61" w:rsidRPr="00B33EFC" w:rsidRDefault="00581E61">
            <w:pPr>
              <w:rPr>
                <w:rFonts w:cstheme="minorHAnsi"/>
                <w:sz w:val="20"/>
                <w:u w:val="single"/>
              </w:rPr>
            </w:pPr>
            <w:hyperlink r:id="rId113" w:history="1">
              <w:r w:rsidRPr="00B33EFC">
                <w:rPr>
                  <w:rStyle w:val="Hyperlink"/>
                  <w:rFonts w:cstheme="minorHAnsi"/>
                  <w:sz w:val="20"/>
                </w:rPr>
                <w:t>http://vecos.vims.edu/</w:t>
              </w:r>
            </w:hyperlink>
          </w:p>
        </w:tc>
      </w:tr>
      <w:tr w:rsidR="00581E61" w:rsidRPr="00B33EFC" w14:paraId="259B110E" w14:textId="77777777" w:rsidTr="006E7FE7">
        <w:trPr>
          <w:trHeight w:val="300"/>
        </w:trPr>
        <w:tc>
          <w:tcPr>
            <w:tcW w:w="8748" w:type="dxa"/>
            <w:tcBorders>
              <w:top w:val="single" w:sz="4" w:space="0" w:color="auto"/>
              <w:bottom w:val="single" w:sz="4" w:space="0" w:color="auto"/>
            </w:tcBorders>
            <w:noWrap/>
            <w:hideMark/>
          </w:tcPr>
          <w:p w14:paraId="6C40A48F" w14:textId="77777777" w:rsidR="00581E61" w:rsidRPr="00B33EFC" w:rsidRDefault="00581E61">
            <w:pPr>
              <w:rPr>
                <w:rFonts w:cstheme="minorHAnsi"/>
                <w:sz w:val="20"/>
              </w:rPr>
            </w:pPr>
            <w:r w:rsidRPr="00B33EFC">
              <w:rPr>
                <w:rFonts w:cstheme="minorHAnsi"/>
                <w:sz w:val="20"/>
              </w:rPr>
              <w:t>Virginia Administrative Code - 9VAC25-260-185</w:t>
            </w:r>
          </w:p>
        </w:tc>
        <w:tc>
          <w:tcPr>
            <w:tcW w:w="828" w:type="dxa"/>
            <w:tcBorders>
              <w:top w:val="single" w:sz="4" w:space="0" w:color="auto"/>
              <w:bottom w:val="single" w:sz="4" w:space="0" w:color="auto"/>
            </w:tcBorders>
            <w:noWrap/>
            <w:vAlign w:val="center"/>
            <w:hideMark/>
          </w:tcPr>
          <w:p w14:paraId="06F5FA96" w14:textId="77777777" w:rsidR="00581E61" w:rsidRPr="00B33EFC" w:rsidRDefault="00581E61">
            <w:pPr>
              <w:rPr>
                <w:rFonts w:cstheme="minorHAnsi"/>
                <w:sz w:val="20"/>
                <w:u w:val="single"/>
              </w:rPr>
            </w:pPr>
            <w:hyperlink r:id="rId114" w:history="1">
              <w:r w:rsidRPr="00B33EFC">
                <w:rPr>
                  <w:rStyle w:val="Hyperlink"/>
                  <w:rFonts w:cstheme="minorHAnsi"/>
                  <w:sz w:val="20"/>
                </w:rPr>
                <w:t>https://law.lis.virginia.gov/admincode/title9/agency25/chapter260/section185/</w:t>
              </w:r>
            </w:hyperlink>
          </w:p>
        </w:tc>
      </w:tr>
      <w:tr w:rsidR="00581E61" w:rsidRPr="00B33EFC" w14:paraId="338D69AD" w14:textId="77777777" w:rsidTr="006E7FE7">
        <w:trPr>
          <w:trHeight w:val="300"/>
        </w:trPr>
        <w:tc>
          <w:tcPr>
            <w:tcW w:w="8748" w:type="dxa"/>
            <w:tcBorders>
              <w:top w:val="single" w:sz="4" w:space="0" w:color="auto"/>
              <w:bottom w:val="single" w:sz="4" w:space="0" w:color="auto"/>
            </w:tcBorders>
            <w:noWrap/>
            <w:hideMark/>
          </w:tcPr>
          <w:p w14:paraId="48EA0147" w14:textId="77777777" w:rsidR="00581E61" w:rsidRPr="00B33EFC" w:rsidRDefault="00581E61">
            <w:pPr>
              <w:rPr>
                <w:rFonts w:cstheme="minorHAnsi"/>
                <w:sz w:val="20"/>
              </w:rPr>
            </w:pPr>
            <w:r w:rsidRPr="00B33EFC">
              <w:rPr>
                <w:rFonts w:cstheme="minorHAnsi"/>
                <w:sz w:val="20"/>
              </w:rPr>
              <w:t>Virginia Administrative Code - Chapter 135. Recreational Advisories</w:t>
            </w:r>
          </w:p>
        </w:tc>
        <w:tc>
          <w:tcPr>
            <w:tcW w:w="828" w:type="dxa"/>
            <w:tcBorders>
              <w:top w:val="single" w:sz="4" w:space="0" w:color="auto"/>
              <w:bottom w:val="single" w:sz="4" w:space="0" w:color="auto"/>
            </w:tcBorders>
            <w:noWrap/>
            <w:vAlign w:val="center"/>
            <w:hideMark/>
          </w:tcPr>
          <w:p w14:paraId="543FEDAA" w14:textId="77777777" w:rsidR="00581E61" w:rsidRPr="00B33EFC" w:rsidRDefault="00581E61">
            <w:pPr>
              <w:rPr>
                <w:rFonts w:cstheme="minorHAnsi"/>
                <w:sz w:val="20"/>
                <w:u w:val="single"/>
              </w:rPr>
            </w:pPr>
            <w:hyperlink r:id="rId115" w:history="1">
              <w:r w:rsidRPr="00B33EFC">
                <w:rPr>
                  <w:rStyle w:val="Hyperlink"/>
                  <w:rFonts w:cstheme="minorHAnsi"/>
                  <w:sz w:val="20"/>
                </w:rPr>
                <w:t>https://law.lis.virginia.gov/admincode/title12/agency5/chapter135/</w:t>
              </w:r>
            </w:hyperlink>
          </w:p>
        </w:tc>
      </w:tr>
      <w:tr w:rsidR="00581E61" w:rsidRPr="00B33EFC" w14:paraId="0242AAAF" w14:textId="77777777" w:rsidTr="006E7FE7">
        <w:trPr>
          <w:trHeight w:val="300"/>
        </w:trPr>
        <w:tc>
          <w:tcPr>
            <w:tcW w:w="8748" w:type="dxa"/>
            <w:tcBorders>
              <w:top w:val="single" w:sz="4" w:space="0" w:color="auto"/>
              <w:bottom w:val="single" w:sz="4" w:space="0" w:color="auto"/>
            </w:tcBorders>
            <w:noWrap/>
            <w:hideMark/>
          </w:tcPr>
          <w:p w14:paraId="531BE04C" w14:textId="77777777" w:rsidR="00581E61" w:rsidRPr="00B33EFC" w:rsidRDefault="00581E61">
            <w:pPr>
              <w:rPr>
                <w:rFonts w:cstheme="minorHAnsi"/>
                <w:sz w:val="20"/>
              </w:rPr>
            </w:pPr>
            <w:r w:rsidRPr="00B33EFC">
              <w:rPr>
                <w:rFonts w:cstheme="minorHAnsi"/>
                <w:sz w:val="20"/>
              </w:rPr>
              <w:t>Virginia Administrative Code - Chapter 260. Water Quality Standards</w:t>
            </w:r>
          </w:p>
        </w:tc>
        <w:tc>
          <w:tcPr>
            <w:tcW w:w="828" w:type="dxa"/>
            <w:tcBorders>
              <w:top w:val="single" w:sz="4" w:space="0" w:color="auto"/>
              <w:bottom w:val="single" w:sz="4" w:space="0" w:color="auto"/>
            </w:tcBorders>
            <w:noWrap/>
            <w:vAlign w:val="center"/>
            <w:hideMark/>
          </w:tcPr>
          <w:p w14:paraId="6F78A444" w14:textId="77777777" w:rsidR="00581E61" w:rsidRPr="00B33EFC" w:rsidRDefault="00581E61">
            <w:pPr>
              <w:rPr>
                <w:rFonts w:cstheme="minorHAnsi"/>
                <w:sz w:val="20"/>
                <w:u w:val="single"/>
              </w:rPr>
            </w:pPr>
            <w:hyperlink r:id="rId116" w:tooltip="https://law.lis.virginia.gov/admincode/title9/agency25/chapter260/" w:history="1">
              <w:r w:rsidRPr="00B33EFC">
                <w:rPr>
                  <w:rStyle w:val="Hyperlink"/>
                  <w:rFonts w:cstheme="minorHAnsi"/>
                  <w:sz w:val="20"/>
                </w:rPr>
                <w:t>https://law.lis.virginia.gov/admincode/title9/agency25/chapter260/</w:t>
              </w:r>
            </w:hyperlink>
          </w:p>
        </w:tc>
      </w:tr>
      <w:tr w:rsidR="00581E61" w:rsidRPr="00B33EFC" w14:paraId="22792E0F" w14:textId="77777777" w:rsidTr="006E7FE7">
        <w:trPr>
          <w:trHeight w:val="300"/>
        </w:trPr>
        <w:tc>
          <w:tcPr>
            <w:tcW w:w="8748" w:type="dxa"/>
            <w:tcBorders>
              <w:top w:val="single" w:sz="4" w:space="0" w:color="auto"/>
              <w:bottom w:val="single" w:sz="4" w:space="0" w:color="auto"/>
            </w:tcBorders>
            <w:noWrap/>
            <w:hideMark/>
          </w:tcPr>
          <w:p w14:paraId="529AB74B" w14:textId="77777777" w:rsidR="00581E61" w:rsidRPr="00B33EFC" w:rsidRDefault="00581E61">
            <w:pPr>
              <w:rPr>
                <w:rFonts w:cstheme="minorHAnsi"/>
                <w:sz w:val="20"/>
              </w:rPr>
            </w:pPr>
            <w:r w:rsidRPr="00B33EFC">
              <w:rPr>
                <w:rFonts w:cstheme="minorHAnsi"/>
                <w:sz w:val="20"/>
              </w:rPr>
              <w:t>Virginia Coastal Resources Tool</w:t>
            </w:r>
          </w:p>
        </w:tc>
        <w:tc>
          <w:tcPr>
            <w:tcW w:w="828" w:type="dxa"/>
            <w:tcBorders>
              <w:top w:val="single" w:sz="4" w:space="0" w:color="auto"/>
              <w:bottom w:val="single" w:sz="4" w:space="0" w:color="auto"/>
            </w:tcBorders>
            <w:noWrap/>
            <w:vAlign w:val="center"/>
            <w:hideMark/>
          </w:tcPr>
          <w:p w14:paraId="1476892D" w14:textId="77777777" w:rsidR="00581E61" w:rsidRPr="00B33EFC" w:rsidRDefault="00581E61">
            <w:pPr>
              <w:rPr>
                <w:rFonts w:cstheme="minorHAnsi"/>
                <w:sz w:val="20"/>
                <w:u w:val="single"/>
              </w:rPr>
            </w:pPr>
            <w:hyperlink r:id="rId117" w:history="1">
              <w:r w:rsidRPr="00B33EFC">
                <w:rPr>
                  <w:rStyle w:val="Hyperlink"/>
                  <w:rFonts w:cstheme="minorHAnsi"/>
                  <w:sz w:val="20"/>
                </w:rPr>
                <w:t>https://cmap22.vims.edu/VACoastalResourcesTool/</w:t>
              </w:r>
            </w:hyperlink>
          </w:p>
        </w:tc>
      </w:tr>
      <w:tr w:rsidR="00581E61" w:rsidRPr="00B33EFC" w14:paraId="47687DFF" w14:textId="77777777" w:rsidTr="006E7FE7">
        <w:trPr>
          <w:trHeight w:val="300"/>
        </w:trPr>
        <w:tc>
          <w:tcPr>
            <w:tcW w:w="8748" w:type="dxa"/>
            <w:tcBorders>
              <w:top w:val="single" w:sz="4" w:space="0" w:color="auto"/>
              <w:bottom w:val="single" w:sz="4" w:space="0" w:color="auto"/>
            </w:tcBorders>
            <w:noWrap/>
            <w:hideMark/>
          </w:tcPr>
          <w:p w14:paraId="1DE8BD75" w14:textId="77777777" w:rsidR="00581E61" w:rsidRPr="00B33EFC" w:rsidRDefault="00581E61">
            <w:pPr>
              <w:rPr>
                <w:rFonts w:cstheme="minorHAnsi"/>
                <w:sz w:val="20"/>
              </w:rPr>
            </w:pPr>
            <w:r w:rsidRPr="00B33EFC">
              <w:rPr>
                <w:rFonts w:cstheme="minorHAnsi"/>
                <w:sz w:val="20"/>
              </w:rPr>
              <w:t xml:space="preserve">Virginia </w:t>
            </w:r>
            <w:proofErr w:type="spellStart"/>
            <w:r w:rsidRPr="00B33EFC">
              <w:rPr>
                <w:rFonts w:cstheme="minorHAnsi"/>
                <w:sz w:val="20"/>
              </w:rPr>
              <w:t>EJScreen</w:t>
            </w:r>
            <w:proofErr w:type="spellEnd"/>
            <w:r w:rsidRPr="00B33EFC">
              <w:rPr>
                <w:rFonts w:cstheme="minorHAnsi"/>
                <w:sz w:val="20"/>
              </w:rPr>
              <w:t xml:space="preserve">+ </w:t>
            </w:r>
          </w:p>
        </w:tc>
        <w:tc>
          <w:tcPr>
            <w:tcW w:w="828" w:type="dxa"/>
            <w:tcBorders>
              <w:top w:val="single" w:sz="4" w:space="0" w:color="auto"/>
              <w:bottom w:val="single" w:sz="4" w:space="0" w:color="auto"/>
            </w:tcBorders>
            <w:noWrap/>
            <w:vAlign w:val="center"/>
            <w:hideMark/>
          </w:tcPr>
          <w:p w14:paraId="04B8FA57" w14:textId="77777777" w:rsidR="00581E61" w:rsidRPr="00B33EFC" w:rsidRDefault="00581E61">
            <w:pPr>
              <w:rPr>
                <w:rFonts w:cstheme="minorHAnsi"/>
                <w:sz w:val="20"/>
                <w:u w:val="single"/>
              </w:rPr>
            </w:pPr>
            <w:hyperlink r:id="rId118" w:history="1">
              <w:r w:rsidRPr="00B33EFC">
                <w:rPr>
                  <w:rStyle w:val="Hyperlink"/>
                  <w:rFonts w:cstheme="minorHAnsi"/>
                  <w:sz w:val="20"/>
                </w:rPr>
                <w:t>https://vadeq.maps.arcgis.com/apps/webappviewer/index.html?id=bad3e23c0d6545a1b6b36c1a45e8ed43</w:t>
              </w:r>
            </w:hyperlink>
          </w:p>
        </w:tc>
      </w:tr>
      <w:tr w:rsidR="00581E61" w:rsidRPr="00B33EFC" w14:paraId="655800C7" w14:textId="77777777" w:rsidTr="006E7FE7">
        <w:trPr>
          <w:trHeight w:val="300"/>
        </w:trPr>
        <w:tc>
          <w:tcPr>
            <w:tcW w:w="8748" w:type="dxa"/>
            <w:tcBorders>
              <w:top w:val="single" w:sz="4" w:space="0" w:color="auto"/>
              <w:bottom w:val="single" w:sz="4" w:space="0" w:color="auto"/>
            </w:tcBorders>
            <w:noWrap/>
            <w:hideMark/>
          </w:tcPr>
          <w:p w14:paraId="0EB687CA" w14:textId="77777777" w:rsidR="00581E61" w:rsidRPr="00B33EFC" w:rsidRDefault="00581E61">
            <w:pPr>
              <w:rPr>
                <w:rFonts w:cstheme="minorHAnsi"/>
                <w:sz w:val="20"/>
              </w:rPr>
            </w:pPr>
            <w:r w:rsidRPr="00B33EFC">
              <w:rPr>
                <w:rFonts w:cstheme="minorHAnsi"/>
                <w:sz w:val="20"/>
              </w:rPr>
              <w:t>Virginia Register</w:t>
            </w:r>
          </w:p>
        </w:tc>
        <w:tc>
          <w:tcPr>
            <w:tcW w:w="828" w:type="dxa"/>
            <w:tcBorders>
              <w:top w:val="single" w:sz="4" w:space="0" w:color="auto"/>
              <w:bottom w:val="single" w:sz="4" w:space="0" w:color="auto"/>
            </w:tcBorders>
            <w:noWrap/>
            <w:vAlign w:val="center"/>
            <w:hideMark/>
          </w:tcPr>
          <w:p w14:paraId="0B84164B" w14:textId="77777777" w:rsidR="00581E61" w:rsidRPr="00B33EFC" w:rsidRDefault="00581E61">
            <w:pPr>
              <w:rPr>
                <w:rFonts w:cstheme="minorHAnsi"/>
                <w:sz w:val="20"/>
                <w:u w:val="single"/>
              </w:rPr>
            </w:pPr>
            <w:hyperlink r:id="rId119" w:history="1">
              <w:r w:rsidRPr="00B33EFC">
                <w:rPr>
                  <w:rStyle w:val="Hyperlink"/>
                  <w:rFonts w:cstheme="minorHAnsi"/>
                  <w:sz w:val="20"/>
                </w:rPr>
                <w:t>https://register.dls.virginia.gov/home.aspx</w:t>
              </w:r>
            </w:hyperlink>
          </w:p>
        </w:tc>
      </w:tr>
      <w:tr w:rsidR="00581E61" w:rsidRPr="00B33EFC" w14:paraId="0CB7EE3C" w14:textId="77777777" w:rsidTr="006E7FE7">
        <w:trPr>
          <w:trHeight w:val="300"/>
        </w:trPr>
        <w:tc>
          <w:tcPr>
            <w:tcW w:w="8748" w:type="dxa"/>
            <w:tcBorders>
              <w:top w:val="single" w:sz="4" w:space="0" w:color="auto"/>
              <w:bottom w:val="single" w:sz="4" w:space="0" w:color="auto"/>
            </w:tcBorders>
            <w:noWrap/>
            <w:hideMark/>
          </w:tcPr>
          <w:p w14:paraId="7C22C1B5" w14:textId="77777777" w:rsidR="00581E61" w:rsidRPr="00B33EFC" w:rsidRDefault="00581E61">
            <w:pPr>
              <w:rPr>
                <w:rFonts w:cstheme="minorHAnsi"/>
                <w:sz w:val="20"/>
              </w:rPr>
            </w:pPr>
            <w:r w:rsidRPr="00B33EFC">
              <w:rPr>
                <w:rFonts w:cstheme="minorHAnsi"/>
                <w:sz w:val="20"/>
              </w:rPr>
              <w:t>Virginia Regulatory Town Hall Home Page</w:t>
            </w:r>
          </w:p>
        </w:tc>
        <w:tc>
          <w:tcPr>
            <w:tcW w:w="828" w:type="dxa"/>
            <w:tcBorders>
              <w:top w:val="single" w:sz="4" w:space="0" w:color="auto"/>
              <w:bottom w:val="single" w:sz="4" w:space="0" w:color="auto"/>
            </w:tcBorders>
            <w:noWrap/>
            <w:vAlign w:val="center"/>
            <w:hideMark/>
          </w:tcPr>
          <w:p w14:paraId="5C6E40C7" w14:textId="77777777" w:rsidR="00581E61" w:rsidRPr="00B33EFC" w:rsidRDefault="00581E61">
            <w:pPr>
              <w:rPr>
                <w:rFonts w:cstheme="minorHAnsi"/>
                <w:sz w:val="20"/>
                <w:u w:val="single"/>
              </w:rPr>
            </w:pPr>
            <w:hyperlink r:id="rId120" w:history="1">
              <w:r w:rsidRPr="00B33EFC">
                <w:rPr>
                  <w:rStyle w:val="Hyperlink"/>
                  <w:rFonts w:cstheme="minorHAnsi"/>
                  <w:sz w:val="20"/>
                </w:rPr>
                <w:t>https://www.townhall.virginia.gov/</w:t>
              </w:r>
            </w:hyperlink>
          </w:p>
        </w:tc>
      </w:tr>
      <w:tr w:rsidR="00581E61" w:rsidRPr="00B33EFC" w14:paraId="5A9E2DF1" w14:textId="77777777" w:rsidTr="006E7FE7">
        <w:trPr>
          <w:trHeight w:val="300"/>
        </w:trPr>
        <w:tc>
          <w:tcPr>
            <w:tcW w:w="8748" w:type="dxa"/>
            <w:tcBorders>
              <w:top w:val="single" w:sz="4" w:space="0" w:color="auto"/>
              <w:bottom w:val="single" w:sz="4" w:space="0" w:color="auto"/>
            </w:tcBorders>
            <w:noWrap/>
            <w:hideMark/>
          </w:tcPr>
          <w:p w14:paraId="073B2268" w14:textId="77777777" w:rsidR="00581E61" w:rsidRPr="00B33EFC" w:rsidRDefault="00581E61">
            <w:pPr>
              <w:rPr>
                <w:rFonts w:cstheme="minorHAnsi"/>
                <w:sz w:val="20"/>
              </w:rPr>
            </w:pPr>
            <w:r w:rsidRPr="00B33EFC">
              <w:rPr>
                <w:rFonts w:cstheme="minorHAnsi"/>
                <w:sz w:val="20"/>
              </w:rPr>
              <w:t xml:space="preserve">William and Mary </w:t>
            </w:r>
            <w:proofErr w:type="spellStart"/>
            <w:r w:rsidRPr="00B33EFC">
              <w:rPr>
                <w:rFonts w:cstheme="minorHAnsi"/>
                <w:sz w:val="20"/>
              </w:rPr>
              <w:t>ScholarWorks</w:t>
            </w:r>
            <w:proofErr w:type="spellEnd"/>
            <w:r w:rsidRPr="00B33EFC">
              <w:rPr>
                <w:rFonts w:cstheme="minorHAnsi"/>
                <w:sz w:val="20"/>
              </w:rPr>
              <w:t>: Over a Half Century of Connecting Science and Management for Virginia’s Tidal Wetlands at the Virginia Institute of Marine Science</w:t>
            </w:r>
          </w:p>
        </w:tc>
        <w:tc>
          <w:tcPr>
            <w:tcW w:w="828" w:type="dxa"/>
            <w:tcBorders>
              <w:top w:val="single" w:sz="4" w:space="0" w:color="auto"/>
              <w:bottom w:val="single" w:sz="4" w:space="0" w:color="auto"/>
            </w:tcBorders>
            <w:noWrap/>
            <w:vAlign w:val="center"/>
            <w:hideMark/>
          </w:tcPr>
          <w:p w14:paraId="02A3A283" w14:textId="77777777" w:rsidR="00581E61" w:rsidRPr="00B33EFC" w:rsidRDefault="00581E61">
            <w:pPr>
              <w:rPr>
                <w:rFonts w:cstheme="minorHAnsi"/>
                <w:sz w:val="20"/>
                <w:u w:val="single"/>
              </w:rPr>
            </w:pPr>
            <w:hyperlink r:id="rId121" w:history="1">
              <w:r w:rsidRPr="00B33EFC">
                <w:rPr>
                  <w:rStyle w:val="Hyperlink"/>
                  <w:rFonts w:cstheme="minorHAnsi"/>
                  <w:sz w:val="20"/>
                </w:rPr>
                <w:t>https://scholarworks.wm.edu/reports/2858/</w:t>
              </w:r>
            </w:hyperlink>
          </w:p>
        </w:tc>
      </w:tr>
      <w:tr w:rsidR="00581E61" w:rsidRPr="00B33EFC" w14:paraId="19063431" w14:textId="77777777" w:rsidTr="006E7FE7">
        <w:trPr>
          <w:trHeight w:val="300"/>
        </w:trPr>
        <w:tc>
          <w:tcPr>
            <w:tcW w:w="8748" w:type="dxa"/>
            <w:tcBorders>
              <w:top w:val="single" w:sz="4" w:space="0" w:color="auto"/>
            </w:tcBorders>
            <w:noWrap/>
            <w:hideMark/>
          </w:tcPr>
          <w:p w14:paraId="015552CB" w14:textId="77777777" w:rsidR="00581E61" w:rsidRPr="00B33EFC" w:rsidRDefault="00581E61">
            <w:pPr>
              <w:rPr>
                <w:rFonts w:cstheme="minorHAnsi"/>
                <w:sz w:val="20"/>
              </w:rPr>
            </w:pPr>
            <w:r w:rsidRPr="00B33EFC">
              <w:rPr>
                <w:rFonts w:cstheme="minorHAnsi"/>
                <w:sz w:val="20"/>
              </w:rPr>
              <w:t xml:space="preserve">Chesapeake Bay Program Integrated Trends Analysis Team </w:t>
            </w:r>
          </w:p>
        </w:tc>
        <w:tc>
          <w:tcPr>
            <w:tcW w:w="828" w:type="dxa"/>
            <w:tcBorders>
              <w:top w:val="single" w:sz="4" w:space="0" w:color="auto"/>
            </w:tcBorders>
            <w:noWrap/>
            <w:vAlign w:val="center"/>
            <w:hideMark/>
          </w:tcPr>
          <w:p w14:paraId="4155F0DD" w14:textId="77777777" w:rsidR="00581E61" w:rsidRPr="00B33EFC" w:rsidRDefault="00581E61">
            <w:pPr>
              <w:rPr>
                <w:rFonts w:cstheme="minorHAnsi"/>
                <w:sz w:val="20"/>
                <w:u w:val="single"/>
              </w:rPr>
            </w:pPr>
            <w:hyperlink r:id="rId122" w:history="1">
              <w:r w:rsidRPr="00B33EFC">
                <w:rPr>
                  <w:rStyle w:val="Hyperlink"/>
                  <w:rFonts w:cstheme="minorHAnsi"/>
                  <w:sz w:val="20"/>
                </w:rPr>
                <w:t>https://www.chesapeakebay.net/who/group/integrated-trends-analysis-team</w:t>
              </w:r>
            </w:hyperlink>
          </w:p>
        </w:tc>
      </w:tr>
      <w:tr w:rsidR="00581E61" w:rsidRPr="00B33EFC" w14:paraId="3018BE25" w14:textId="77777777" w:rsidTr="006E7FE7">
        <w:trPr>
          <w:trHeight w:val="300"/>
        </w:trPr>
        <w:tc>
          <w:tcPr>
            <w:tcW w:w="8748" w:type="dxa"/>
            <w:tcBorders>
              <w:bottom w:val="single" w:sz="4" w:space="0" w:color="auto"/>
            </w:tcBorders>
            <w:noWrap/>
            <w:hideMark/>
          </w:tcPr>
          <w:p w14:paraId="1E0CFBF1" w14:textId="77777777" w:rsidR="00581E61" w:rsidRPr="00B33EFC" w:rsidRDefault="00581E61">
            <w:pPr>
              <w:rPr>
                <w:rFonts w:cstheme="minorHAnsi"/>
                <w:sz w:val="20"/>
              </w:rPr>
            </w:pPr>
            <w:r w:rsidRPr="00B33EFC">
              <w:rPr>
                <w:rFonts w:cstheme="minorHAnsi"/>
                <w:sz w:val="20"/>
              </w:rPr>
              <w:lastRenderedPageBreak/>
              <w:t>Chesapeake Assessment Scenario Tool Tributary Summaries</w:t>
            </w:r>
          </w:p>
        </w:tc>
        <w:tc>
          <w:tcPr>
            <w:tcW w:w="828" w:type="dxa"/>
            <w:tcBorders>
              <w:bottom w:val="single" w:sz="4" w:space="0" w:color="auto"/>
            </w:tcBorders>
            <w:noWrap/>
            <w:vAlign w:val="center"/>
            <w:hideMark/>
          </w:tcPr>
          <w:p w14:paraId="732A129B" w14:textId="77777777" w:rsidR="00581E61" w:rsidRPr="00B33EFC" w:rsidRDefault="00581E61">
            <w:pPr>
              <w:rPr>
                <w:rFonts w:cstheme="minorHAnsi"/>
                <w:sz w:val="20"/>
                <w:u w:val="single"/>
              </w:rPr>
            </w:pPr>
            <w:hyperlink r:id="rId123" w:anchor="tributaryRptsSection" w:history="1">
              <w:r w:rsidRPr="00B33EFC">
                <w:rPr>
                  <w:rStyle w:val="Hyperlink"/>
                  <w:rFonts w:cstheme="minorHAnsi"/>
                  <w:sz w:val="20"/>
                </w:rPr>
                <w:t>https://cast.chesapeakebay.net/Home/TMDLTracking#tributaryRptsSection</w:t>
              </w:r>
            </w:hyperlink>
          </w:p>
        </w:tc>
      </w:tr>
    </w:tbl>
    <w:p w14:paraId="4456C917" w14:textId="77777777" w:rsidR="00A407BF" w:rsidRDefault="00A407BF" w:rsidP="00D90C05"/>
    <w:p w14:paraId="0138B684" w14:textId="2407500E" w:rsidR="00791DF1" w:rsidRDefault="00791DF1">
      <w:pPr>
        <w:widowControl/>
        <w:spacing w:after="160" w:line="259" w:lineRule="auto"/>
      </w:pPr>
      <w:r>
        <w:br w:type="page"/>
      </w:r>
    </w:p>
    <w:p w14:paraId="2144A0E6" w14:textId="77777777" w:rsidR="00760EA6" w:rsidRDefault="00760EA6" w:rsidP="00760EA6">
      <w:pPr>
        <w:pStyle w:val="Heading1"/>
        <w:numPr>
          <w:ilvl w:val="0"/>
          <w:numId w:val="0"/>
        </w:numPr>
        <w:jc w:val="center"/>
      </w:pPr>
      <w:bookmarkStart w:id="10" w:name="_Toc155771939"/>
      <w:bookmarkStart w:id="11" w:name="_Toc191900419"/>
      <w:r w:rsidRPr="005A50F8">
        <w:lastRenderedPageBreak/>
        <w:t>Acknowledgements</w:t>
      </w:r>
      <w:bookmarkEnd w:id="10"/>
      <w:bookmarkEnd w:id="11"/>
    </w:p>
    <w:p w14:paraId="60DD49E8" w14:textId="64D602FD" w:rsidR="00760EA6" w:rsidRPr="00F53AB5" w:rsidRDefault="00760EA6" w:rsidP="00760EA6">
      <w:pPr>
        <w:rPr>
          <w:rFonts w:cstheme="minorHAnsi"/>
          <w:szCs w:val="24"/>
        </w:rPr>
      </w:pPr>
      <w:r w:rsidRPr="00F53AB5">
        <w:rPr>
          <w:rFonts w:cstheme="minorHAnsi"/>
          <w:szCs w:val="24"/>
        </w:rPr>
        <w:t xml:space="preserve">This report is prepared by the Virginia Department Environmental Quality (DEQ), with </w:t>
      </w:r>
      <w:r>
        <w:rPr>
          <w:rFonts w:cstheme="minorHAnsi"/>
          <w:szCs w:val="24"/>
        </w:rPr>
        <w:t xml:space="preserve">contributions from </w:t>
      </w:r>
      <w:r w:rsidRPr="00F53AB5">
        <w:rPr>
          <w:rFonts w:cstheme="minorHAnsi"/>
          <w:szCs w:val="24"/>
        </w:rPr>
        <w:t xml:space="preserve">the Virginia Department of Health (VDH). The information presented here is the result of long-term, extensive collaboration among state environmental and public health staff, federal agencies, inter-state partnership programs, academic institutions, local municipalities, involved </w:t>
      </w:r>
      <w:r w:rsidR="00393CDE">
        <w:rPr>
          <w:rFonts w:cstheme="minorHAnsi"/>
          <w:szCs w:val="24"/>
        </w:rPr>
        <w:t>residents</w:t>
      </w:r>
      <w:r w:rsidRPr="00F53AB5">
        <w:rPr>
          <w:rFonts w:cstheme="minorHAnsi"/>
          <w:szCs w:val="24"/>
        </w:rPr>
        <w:t>, and the private sector. The level of effort required to produce this report cannot be overstated.</w:t>
      </w:r>
      <w:r w:rsidRPr="00F53AB5">
        <w:rPr>
          <w:rFonts w:cstheme="minorHAnsi"/>
          <w:szCs w:val="24"/>
        </w:rPr>
        <w:br/>
      </w:r>
    </w:p>
    <w:p w14:paraId="24693105" w14:textId="64E3BED6" w:rsidR="00760EA6" w:rsidRPr="00F53AB5" w:rsidRDefault="00760EA6" w:rsidP="00760EA6">
      <w:pPr>
        <w:rPr>
          <w:rFonts w:cstheme="minorHAnsi"/>
          <w:szCs w:val="24"/>
        </w:rPr>
      </w:pPr>
      <w:r w:rsidRPr="00F53AB5">
        <w:rPr>
          <w:rFonts w:cstheme="minorHAnsi"/>
          <w:szCs w:val="24"/>
        </w:rPr>
        <w:t xml:space="preserve">DEQ’s Water Planning Division has approximately 65 staff dedicated to </w:t>
      </w:r>
      <w:proofErr w:type="gramStart"/>
      <w:r w:rsidRPr="00F53AB5">
        <w:rPr>
          <w:rFonts w:cstheme="minorHAnsi"/>
          <w:szCs w:val="24"/>
        </w:rPr>
        <w:t>the monitoring</w:t>
      </w:r>
      <w:proofErr w:type="gramEnd"/>
      <w:r w:rsidRPr="00F53AB5">
        <w:rPr>
          <w:rFonts w:cstheme="minorHAnsi"/>
          <w:szCs w:val="24"/>
        </w:rPr>
        <w:t xml:space="preserve"> and assessment of the Commonwealth’s waters. They work under the leadership of the agency’s director Michael </w:t>
      </w:r>
      <w:proofErr w:type="spellStart"/>
      <w:r w:rsidRPr="00F53AB5">
        <w:rPr>
          <w:rFonts w:cstheme="minorHAnsi"/>
          <w:szCs w:val="24"/>
        </w:rPr>
        <w:t>Rolband</w:t>
      </w:r>
      <w:proofErr w:type="spellEnd"/>
      <w:r w:rsidRPr="00F53AB5">
        <w:rPr>
          <w:rFonts w:cstheme="minorHAnsi"/>
          <w:szCs w:val="24"/>
        </w:rPr>
        <w:t xml:space="preserve">, the Water Planning Division director </w:t>
      </w:r>
      <w:r>
        <w:rPr>
          <w:rFonts w:cstheme="minorHAnsi"/>
          <w:szCs w:val="24"/>
        </w:rPr>
        <w:t>Liz McKercher</w:t>
      </w:r>
      <w:r w:rsidRPr="00F53AB5">
        <w:rPr>
          <w:rFonts w:cstheme="minorHAnsi"/>
          <w:szCs w:val="24"/>
        </w:rPr>
        <w:t>, and six regional directors. Monitoring and assessment staff are in seven offices located across Virginia: Central Office (Richmond), Piedmont Regional Office (Glen Allen), Valley Regional Office (Harrisonburg), Northern Regional Office (Woodbridge), Tidewater Regional Office (Virginia Beach), Blue Ridge Regional Office (Roanoke), and Southwest Regional Office (Abingdon).</w:t>
      </w:r>
      <w:r w:rsidRPr="00F53AB5">
        <w:rPr>
          <w:rFonts w:cstheme="minorHAnsi"/>
          <w:szCs w:val="24"/>
        </w:rPr>
        <w:br/>
      </w:r>
    </w:p>
    <w:p w14:paraId="728A65FA" w14:textId="03913B1D" w:rsidR="00760EA6" w:rsidRDefault="00760EA6" w:rsidP="00760EA6">
      <w:pPr>
        <w:rPr>
          <w:rFonts w:cstheme="minorHAnsi"/>
          <w:szCs w:val="24"/>
        </w:rPr>
      </w:pPr>
      <w:r w:rsidRPr="00F53AB5">
        <w:rPr>
          <w:rFonts w:cstheme="minorHAnsi"/>
          <w:szCs w:val="24"/>
        </w:rPr>
        <w:t xml:space="preserve">Monitoring and assessment staff: Cleo Baker, Nicholas Blaisdell-Black, </w:t>
      </w:r>
      <w:r>
        <w:rPr>
          <w:rFonts w:cstheme="minorHAnsi"/>
          <w:szCs w:val="24"/>
        </w:rPr>
        <w:t xml:space="preserve">Kristen Bretz, </w:t>
      </w:r>
      <w:r w:rsidRPr="00F53AB5">
        <w:rPr>
          <w:rFonts w:cstheme="minorHAnsi"/>
          <w:szCs w:val="24"/>
        </w:rPr>
        <w:t xml:space="preserve">Richard Browder, Matthew Carter, Martha Chapman, Mary Dail, Margaret Dannemann, Gabriel Darkwah, Heather </w:t>
      </w:r>
      <w:proofErr w:type="spellStart"/>
      <w:r w:rsidRPr="00F53AB5">
        <w:rPr>
          <w:rFonts w:cstheme="minorHAnsi"/>
          <w:szCs w:val="24"/>
        </w:rPr>
        <w:t>Deihls</w:t>
      </w:r>
      <w:proofErr w:type="spellEnd"/>
      <w:r w:rsidRPr="00F53AB5">
        <w:rPr>
          <w:rFonts w:cstheme="minorHAnsi"/>
          <w:szCs w:val="24"/>
        </w:rPr>
        <w:t xml:space="preserve">, George Devlin, </w:t>
      </w:r>
      <w:r>
        <w:rPr>
          <w:rFonts w:cstheme="minorHAnsi"/>
          <w:szCs w:val="24"/>
        </w:rPr>
        <w:t xml:space="preserve">Aerin Doughty, </w:t>
      </w:r>
      <w:r w:rsidRPr="00F53AB5">
        <w:rPr>
          <w:rFonts w:cstheme="minorHAnsi"/>
          <w:szCs w:val="24"/>
        </w:rPr>
        <w:t xml:space="preserve">Reid Downer, Joseph Famularo, Andrew Garey, Randy Gunn, Paige Haley, Scott </w:t>
      </w:r>
      <w:proofErr w:type="spellStart"/>
      <w:r w:rsidRPr="00F53AB5">
        <w:rPr>
          <w:rFonts w:cstheme="minorHAnsi"/>
          <w:szCs w:val="24"/>
        </w:rPr>
        <w:t>Hasinger</w:t>
      </w:r>
      <w:proofErr w:type="spellEnd"/>
      <w:r w:rsidRPr="00F53AB5">
        <w:rPr>
          <w:rFonts w:cstheme="minorHAnsi"/>
          <w:szCs w:val="24"/>
        </w:rPr>
        <w:t xml:space="preserve">, Kelly Hazlegrove, Jason Hill, Steve Hummel, Phillip Hurst, Michael Hutchison, Cindy Johnson, Emma Jones, Timothy Jones, Nathaniel Jenkins, Sara Jordan, Willard Keene, Andrew Kirk, Landon Jenkins, John Lambert, Craig Lott, Justin Loyd, Paula Main, </w:t>
      </w:r>
      <w:r>
        <w:rPr>
          <w:rFonts w:cstheme="minorHAnsi"/>
          <w:szCs w:val="24"/>
        </w:rPr>
        <w:t>Joseph Morina,</w:t>
      </w:r>
      <w:r w:rsidRPr="00F53AB5">
        <w:rPr>
          <w:rFonts w:cstheme="minorHAnsi"/>
          <w:szCs w:val="24"/>
        </w:rPr>
        <w:t xml:space="preserve"> Sandra Mueller, Jennifer Palmore, </w:t>
      </w:r>
      <w:r>
        <w:rPr>
          <w:rFonts w:cstheme="minorHAnsi"/>
          <w:szCs w:val="24"/>
        </w:rPr>
        <w:t xml:space="preserve">Rachel Pence, </w:t>
      </w:r>
      <w:r w:rsidRPr="00F53AB5">
        <w:rPr>
          <w:rFonts w:cstheme="minorHAnsi"/>
          <w:szCs w:val="24"/>
        </w:rPr>
        <w:t xml:space="preserve">Jared Purnhagen, Cory Routh, Amanda Shaver, Michael Shaver, Ryan Shaw, Rebecca Shoemaker, Antone Silvia, Sarah Sivers, Warren </w:t>
      </w:r>
      <w:proofErr w:type="spellStart"/>
      <w:r w:rsidRPr="00F53AB5">
        <w:rPr>
          <w:rFonts w:cstheme="minorHAnsi"/>
          <w:szCs w:val="24"/>
        </w:rPr>
        <w:t>Smigo</w:t>
      </w:r>
      <w:proofErr w:type="spellEnd"/>
      <w:r w:rsidRPr="00F53AB5">
        <w:rPr>
          <w:rFonts w:cstheme="minorHAnsi"/>
          <w:szCs w:val="24"/>
        </w:rPr>
        <w:t xml:space="preserve">, Lanny Sparks, Royce Steiner, Brett Stern, Roger Stewart, </w:t>
      </w:r>
      <w:r>
        <w:rPr>
          <w:rFonts w:cstheme="minorHAnsi"/>
          <w:szCs w:val="24"/>
        </w:rPr>
        <w:t xml:space="preserve">Emily Taff, </w:t>
      </w:r>
      <w:r w:rsidRPr="00F53AB5">
        <w:rPr>
          <w:rFonts w:cstheme="minorHAnsi"/>
          <w:szCs w:val="24"/>
        </w:rPr>
        <w:t xml:space="preserve">Jeff Talbott, Bryant Thomas, </w:t>
      </w:r>
      <w:r>
        <w:rPr>
          <w:rFonts w:cstheme="minorHAnsi"/>
          <w:szCs w:val="24"/>
        </w:rPr>
        <w:t xml:space="preserve">Anthony Timpano, </w:t>
      </w:r>
      <w:r w:rsidRPr="00F53AB5">
        <w:rPr>
          <w:rFonts w:cstheme="minorHAnsi"/>
          <w:szCs w:val="24"/>
        </w:rPr>
        <w:t xml:space="preserve">Robert Turner, William VanWart, </w:t>
      </w:r>
      <w:r>
        <w:rPr>
          <w:rFonts w:cstheme="minorHAnsi"/>
          <w:szCs w:val="24"/>
        </w:rPr>
        <w:t xml:space="preserve">Adam Walker, </w:t>
      </w:r>
      <w:r w:rsidRPr="00F53AB5">
        <w:rPr>
          <w:rFonts w:cstheme="minorHAnsi"/>
          <w:szCs w:val="24"/>
        </w:rPr>
        <w:t xml:space="preserve">Kelley West, </w:t>
      </w:r>
      <w:r>
        <w:rPr>
          <w:rFonts w:cstheme="minorHAnsi"/>
          <w:szCs w:val="24"/>
        </w:rPr>
        <w:t xml:space="preserve">Roland Whitehead, </w:t>
      </w:r>
      <w:r w:rsidRPr="00F53AB5">
        <w:rPr>
          <w:rFonts w:cstheme="minorHAnsi"/>
          <w:szCs w:val="24"/>
        </w:rPr>
        <w:t xml:space="preserve">Meighan </w:t>
      </w:r>
      <w:proofErr w:type="spellStart"/>
      <w:r w:rsidRPr="00F53AB5">
        <w:rPr>
          <w:rFonts w:cstheme="minorHAnsi"/>
          <w:szCs w:val="24"/>
        </w:rPr>
        <w:t>Wiss</w:t>
      </w:r>
      <w:r w:rsidR="002B0F02">
        <w:rPr>
          <w:rFonts w:cstheme="minorHAnsi"/>
          <w:szCs w:val="24"/>
        </w:rPr>
        <w:t>w</w:t>
      </w:r>
      <w:r w:rsidRPr="00F53AB5">
        <w:rPr>
          <w:rFonts w:cstheme="minorHAnsi"/>
          <w:szCs w:val="24"/>
        </w:rPr>
        <w:t>ell</w:t>
      </w:r>
      <w:proofErr w:type="spellEnd"/>
      <w:r>
        <w:rPr>
          <w:rFonts w:cstheme="minorHAnsi"/>
          <w:szCs w:val="24"/>
        </w:rPr>
        <w:t>,</w:t>
      </w:r>
      <w:r w:rsidRPr="00F53AB5">
        <w:rPr>
          <w:rFonts w:cstheme="minorHAnsi"/>
          <w:szCs w:val="24"/>
        </w:rPr>
        <w:t xml:space="preserve"> and Tara Wyrick.</w:t>
      </w:r>
    </w:p>
    <w:p w14:paraId="42772DDE" w14:textId="77777777" w:rsidR="00760EA6" w:rsidRPr="00F53AB5" w:rsidRDefault="00760EA6" w:rsidP="00760EA6">
      <w:pPr>
        <w:rPr>
          <w:rFonts w:cstheme="minorHAnsi"/>
          <w:b/>
          <w:bCs/>
          <w:szCs w:val="24"/>
        </w:rPr>
      </w:pPr>
    </w:p>
    <w:p w14:paraId="712775D6" w14:textId="53790724" w:rsidR="00760EA6" w:rsidRPr="00F53AB5" w:rsidRDefault="00760EA6" w:rsidP="00760EA6">
      <w:pPr>
        <w:rPr>
          <w:rFonts w:cstheme="minorHAnsi"/>
          <w:szCs w:val="24"/>
        </w:rPr>
      </w:pPr>
      <w:r w:rsidRPr="00F53AB5">
        <w:rPr>
          <w:rFonts w:cstheme="minorHAnsi"/>
          <w:szCs w:val="24"/>
        </w:rPr>
        <w:t>Other DEQ staff who have contributed to this report are Meade Anderson, Megan Bascone</w:t>
      </w:r>
      <w:r w:rsidR="002D3815">
        <w:rPr>
          <w:rFonts w:cstheme="minorHAnsi"/>
          <w:szCs w:val="24"/>
        </w:rPr>
        <w:t xml:space="preserve">, </w:t>
      </w:r>
      <w:r>
        <w:rPr>
          <w:rFonts w:cstheme="minorHAnsi"/>
          <w:szCs w:val="24"/>
        </w:rPr>
        <w:t xml:space="preserve">Brian Campbell, </w:t>
      </w:r>
      <w:r w:rsidRPr="00F53AB5">
        <w:rPr>
          <w:rFonts w:cstheme="minorHAnsi"/>
          <w:szCs w:val="24"/>
        </w:rPr>
        <w:t xml:space="preserve">Geoff Christie, </w:t>
      </w:r>
      <w:r>
        <w:rPr>
          <w:rFonts w:cstheme="minorHAnsi"/>
          <w:szCs w:val="24"/>
        </w:rPr>
        <w:t xml:space="preserve">Weedon Cloe, </w:t>
      </w:r>
      <w:r w:rsidRPr="00F53AB5">
        <w:rPr>
          <w:rFonts w:cstheme="minorHAnsi"/>
          <w:szCs w:val="24"/>
        </w:rPr>
        <w:t xml:space="preserve">Karen Doran, </w:t>
      </w:r>
      <w:r>
        <w:rPr>
          <w:rFonts w:cstheme="minorHAnsi"/>
          <w:szCs w:val="24"/>
        </w:rPr>
        <w:t>Erica Duncan</w:t>
      </w:r>
      <w:r w:rsidRPr="00F53AB5">
        <w:rPr>
          <w:rFonts w:cstheme="minorHAnsi"/>
          <w:szCs w:val="24"/>
        </w:rPr>
        <w:t xml:space="preserve">, Chris Evans, Brett Fisher, Michelle </w:t>
      </w:r>
      <w:proofErr w:type="spellStart"/>
      <w:r w:rsidRPr="00F53AB5">
        <w:rPr>
          <w:rFonts w:cstheme="minorHAnsi"/>
          <w:szCs w:val="24"/>
        </w:rPr>
        <w:t>Henicheck</w:t>
      </w:r>
      <w:proofErr w:type="spellEnd"/>
      <w:r w:rsidRPr="00F53AB5">
        <w:rPr>
          <w:rFonts w:cstheme="minorHAnsi"/>
          <w:szCs w:val="24"/>
        </w:rPr>
        <w:t xml:space="preserve">, Renee Hooper, Bill Keeling, Laura </w:t>
      </w:r>
      <w:r w:rsidR="00791DF1" w:rsidRPr="00F53AB5">
        <w:rPr>
          <w:rFonts w:cstheme="minorHAnsi"/>
          <w:szCs w:val="24"/>
        </w:rPr>
        <w:t>McKay</w:t>
      </w:r>
      <w:r w:rsidRPr="00F53AB5">
        <w:rPr>
          <w:rFonts w:cstheme="minorHAnsi"/>
          <w:szCs w:val="24"/>
        </w:rPr>
        <w:t xml:space="preserve">, Kathryn Perszyk, Meghann Quinn, </w:t>
      </w:r>
      <w:r>
        <w:rPr>
          <w:rFonts w:cstheme="minorHAnsi"/>
          <w:szCs w:val="24"/>
        </w:rPr>
        <w:t xml:space="preserve">Mark Richards, </w:t>
      </w:r>
      <w:r w:rsidRPr="00F53AB5">
        <w:rPr>
          <w:rFonts w:cstheme="minorHAnsi"/>
          <w:szCs w:val="24"/>
        </w:rPr>
        <w:t xml:space="preserve">Tish Robertson, </w:t>
      </w:r>
      <w:r>
        <w:rPr>
          <w:rFonts w:cstheme="minorHAnsi"/>
          <w:szCs w:val="24"/>
        </w:rPr>
        <w:t>Rebeccah Rochet</w:t>
      </w:r>
      <w:r w:rsidRPr="00F53AB5">
        <w:rPr>
          <w:rFonts w:cstheme="minorHAnsi"/>
          <w:szCs w:val="24"/>
        </w:rPr>
        <w:t xml:space="preserve">, Anne Schlegel, Ashley Wendt, Neil Zahradka. Contributing authors from non-DEQ agencies: Margaret </w:t>
      </w:r>
      <w:proofErr w:type="spellStart"/>
      <w:r w:rsidRPr="00F53AB5">
        <w:rPr>
          <w:rFonts w:cstheme="minorHAnsi"/>
          <w:szCs w:val="24"/>
        </w:rPr>
        <w:t>Smigo</w:t>
      </w:r>
      <w:proofErr w:type="spellEnd"/>
      <w:r w:rsidRPr="00F53AB5">
        <w:rPr>
          <w:rFonts w:cstheme="minorHAnsi"/>
          <w:szCs w:val="24"/>
        </w:rPr>
        <w:t>, Todd Edgerton</w:t>
      </w:r>
      <w:r>
        <w:rPr>
          <w:rFonts w:cstheme="minorHAnsi"/>
          <w:szCs w:val="24"/>
        </w:rPr>
        <w:t>,</w:t>
      </w:r>
      <w:r w:rsidRPr="00F53AB5">
        <w:rPr>
          <w:rFonts w:cstheme="minorHAnsi"/>
          <w:szCs w:val="24"/>
        </w:rPr>
        <w:t xml:space="preserve"> and Tara Mason (VDH).</w:t>
      </w:r>
      <w:r>
        <w:rPr>
          <w:rFonts w:cstheme="minorHAnsi"/>
          <w:szCs w:val="24"/>
        </w:rPr>
        <w:t xml:space="preserve"> </w:t>
      </w:r>
      <w:r w:rsidRPr="00F53AB5">
        <w:rPr>
          <w:rFonts w:cstheme="minorHAnsi"/>
          <w:szCs w:val="24"/>
        </w:rPr>
        <w:t>Most of the sample analysis that renders this report possible is performed by the Virginia Department of Consolidated Laboratory Services</w:t>
      </w:r>
      <w:r>
        <w:rPr>
          <w:rFonts w:cstheme="minorHAnsi"/>
          <w:szCs w:val="24"/>
        </w:rPr>
        <w:t xml:space="preserve"> (DCLS).</w:t>
      </w:r>
      <w:r w:rsidRPr="00F53AB5">
        <w:rPr>
          <w:rFonts w:cstheme="minorHAnsi"/>
          <w:szCs w:val="24"/>
        </w:rPr>
        <w:br/>
      </w:r>
    </w:p>
    <w:p w14:paraId="11E08AEE" w14:textId="77777777" w:rsidR="00760EA6" w:rsidRPr="00F53AB5" w:rsidRDefault="00760EA6" w:rsidP="00760EA6">
      <w:pPr>
        <w:rPr>
          <w:rFonts w:cstheme="minorHAnsi"/>
          <w:szCs w:val="24"/>
        </w:rPr>
      </w:pPr>
      <w:r w:rsidRPr="00F53AB5">
        <w:rPr>
          <w:rFonts w:cstheme="minorHAnsi"/>
          <w:szCs w:val="24"/>
        </w:rPr>
        <w:t>DEQ appreciates the data provided by its community partners such as Virginia Save Our Streams, the Alliance for the Chesapeake Bay, and Friends of the Shenandoah River. Academic institutions such as Longwood University, Virginia Commonwealth University, the Virginia Institute of Marine Science, and Old Dominion University are also important components of DEQ’s non-agency monitoring network.</w:t>
      </w:r>
      <w:r w:rsidRPr="00F53AB5">
        <w:rPr>
          <w:rFonts w:cstheme="minorHAnsi"/>
          <w:szCs w:val="24"/>
        </w:rPr>
        <w:br/>
      </w:r>
    </w:p>
    <w:p w14:paraId="6E3E8D6C" w14:textId="77777777" w:rsidR="00760EA6" w:rsidRPr="00F53AB5" w:rsidRDefault="00760EA6" w:rsidP="00760EA6">
      <w:pPr>
        <w:rPr>
          <w:rFonts w:cstheme="minorHAnsi"/>
          <w:szCs w:val="24"/>
        </w:rPr>
      </w:pPr>
      <w:r w:rsidRPr="00F53AB5">
        <w:rPr>
          <w:rFonts w:cstheme="minorHAnsi"/>
          <w:szCs w:val="24"/>
        </w:rPr>
        <w:t xml:space="preserve">Lastly, the United States Environmental Protection Agency provides guidance and oversight for </w:t>
      </w:r>
      <w:r w:rsidRPr="00F53AB5">
        <w:rPr>
          <w:rFonts w:cstheme="minorHAnsi"/>
          <w:szCs w:val="24"/>
        </w:rPr>
        <w:lastRenderedPageBreak/>
        <w:t>this report and the activities required to produce it. Other federal agencies and inter-state programs that work in conjunction with DEQ include the United States Geological Survey, National Park Service, United States Fish and Wildlife Service, the National Oceanic and Atmospheric Administration, and the Federal-Interstate Chesapeake Bay Program.</w:t>
      </w:r>
    </w:p>
    <w:p w14:paraId="78226482" w14:textId="77777777" w:rsidR="001A3140" w:rsidRDefault="001A3140" w:rsidP="00760EA6">
      <w:pPr>
        <w:rPr>
          <w:rFonts w:cstheme="minorHAnsi"/>
          <w:szCs w:val="24"/>
        </w:rPr>
      </w:pPr>
    </w:p>
    <w:p w14:paraId="60DD5B37" w14:textId="4F61847C" w:rsidR="00232787" w:rsidRDefault="001A3140" w:rsidP="00762DBF">
      <w:pPr>
        <w:widowControl/>
        <w:spacing w:after="160" w:line="259" w:lineRule="auto"/>
        <w:rPr>
          <w:rFonts w:cstheme="minorHAnsi"/>
          <w:szCs w:val="24"/>
        </w:rPr>
      </w:pPr>
      <w:r>
        <w:rPr>
          <w:rFonts w:cstheme="minorHAnsi"/>
          <w:szCs w:val="24"/>
        </w:rPr>
        <w:br w:type="page"/>
      </w:r>
      <w:bookmarkStart w:id="12" w:name="_Toc152763294"/>
      <w:bookmarkStart w:id="13" w:name="_Toc155771940"/>
    </w:p>
    <w:p w14:paraId="23621A53" w14:textId="3F7F0E15" w:rsidR="0094556B" w:rsidRPr="0094556B" w:rsidRDefault="000F302A" w:rsidP="00D90C05">
      <w:pPr>
        <w:pStyle w:val="Heading1"/>
        <w:numPr>
          <w:ilvl w:val="0"/>
          <w:numId w:val="0"/>
        </w:numPr>
        <w:spacing w:after="0"/>
        <w:rPr>
          <w:rFonts w:cstheme="minorHAnsi"/>
        </w:rPr>
      </w:pPr>
      <w:bookmarkStart w:id="14" w:name="_Toc191900420"/>
      <w:r>
        <w:lastRenderedPageBreak/>
        <w:t>CHAPTER</w:t>
      </w:r>
      <w:r w:rsidR="0048335B">
        <w:t xml:space="preserve"> </w:t>
      </w:r>
      <w:r>
        <w:t>1.</w:t>
      </w:r>
      <w:r w:rsidR="00321BB5">
        <w:tab/>
      </w:r>
      <w:r w:rsidR="00A003C5" w:rsidRPr="001C2CDF">
        <w:t>INTRODUCTION</w:t>
      </w:r>
      <w:bookmarkEnd w:id="12"/>
      <w:bookmarkEnd w:id="13"/>
      <w:bookmarkEnd w:id="14"/>
      <w:r w:rsidR="008A275B">
        <w:br/>
      </w:r>
    </w:p>
    <w:p w14:paraId="7BB1FC5D" w14:textId="631CCE4D" w:rsidR="00A21536" w:rsidRDefault="0060035E" w:rsidP="00892FA8">
      <w:pPr>
        <w:pStyle w:val="NormalWeb"/>
        <w:spacing w:before="0" w:beforeAutospacing="0" w:after="0" w:afterAutospacing="0"/>
        <w:rPr>
          <w:rFonts w:asciiTheme="minorHAnsi" w:hAnsiTheme="minorHAnsi" w:cstheme="minorHAnsi"/>
        </w:rPr>
      </w:pPr>
      <w:r>
        <w:rPr>
          <w:rFonts w:cstheme="minorHAnsi"/>
          <w:noProof/>
          <w14:ligatures w14:val="standardContextual"/>
        </w:rPr>
        <mc:AlternateContent>
          <mc:Choice Requires="wps">
            <w:drawing>
              <wp:anchor distT="0" distB="0" distL="114300" distR="114300" simplePos="0" relativeHeight="251658259" behindDoc="0" locked="0" layoutInCell="1" allowOverlap="1" wp14:anchorId="04192062" wp14:editId="7BDE2ADC">
                <wp:simplePos x="0" y="0"/>
                <wp:positionH relativeFrom="column">
                  <wp:posOffset>3505200</wp:posOffset>
                </wp:positionH>
                <wp:positionV relativeFrom="paragraph">
                  <wp:posOffset>1025525</wp:posOffset>
                </wp:positionV>
                <wp:extent cx="2457450" cy="1504950"/>
                <wp:effectExtent l="19050" t="19050" r="19050" b="19050"/>
                <wp:wrapSquare wrapText="bothSides"/>
                <wp:docPr id="1704101815"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57450" cy="1504950"/>
                        </a:xfrm>
                        <a:prstGeom prst="rect">
                          <a:avLst/>
                        </a:prstGeom>
                        <a:solidFill>
                          <a:srgbClr val="0067A4">
                            <a:alpha val="6000"/>
                          </a:srgbClr>
                        </a:solidFill>
                        <a:ln w="28575">
                          <a:solidFill>
                            <a:srgbClr val="0067A4"/>
                          </a:solidFill>
                        </a:ln>
                        <a:effectLst>
                          <a:softEdge rad="12700"/>
                        </a:effectLst>
                      </wps:spPr>
                      <wps:txbx>
                        <w:txbxContent>
                          <w:p w14:paraId="206A76F0" w14:textId="55B868BA" w:rsidR="002358E9" w:rsidRPr="00535EA5" w:rsidRDefault="002358E9">
                            <w:pPr>
                              <w:rPr>
                                <w:color w:val="000000" w:themeColor="text1"/>
                                <w:sz w:val="22"/>
                                <w:szCs w:val="18"/>
                              </w:rPr>
                            </w:pPr>
                            <w:r w:rsidRPr="00535EA5">
                              <w:rPr>
                                <w:b/>
                                <w:bCs/>
                                <w:i/>
                                <w:iCs/>
                                <w:color w:val="000000" w:themeColor="text1"/>
                                <w:sz w:val="22"/>
                                <w:szCs w:val="22"/>
                              </w:rPr>
                              <w:t xml:space="preserve">What is a </w:t>
                            </w:r>
                            <w:r w:rsidR="00281469" w:rsidRPr="00535EA5">
                              <w:rPr>
                                <w:b/>
                                <w:bCs/>
                                <w:i/>
                                <w:iCs/>
                                <w:color w:val="000000" w:themeColor="text1"/>
                                <w:sz w:val="22"/>
                                <w:szCs w:val="22"/>
                              </w:rPr>
                              <w:t>TMDL</w:t>
                            </w:r>
                            <w:r w:rsidRPr="00535EA5">
                              <w:rPr>
                                <w:b/>
                                <w:bCs/>
                                <w:i/>
                                <w:iCs/>
                                <w:color w:val="000000" w:themeColor="text1"/>
                                <w:sz w:val="22"/>
                                <w:szCs w:val="22"/>
                              </w:rPr>
                              <w:t>?</w:t>
                            </w:r>
                            <w:r w:rsidRPr="00535EA5">
                              <w:rPr>
                                <w:i/>
                                <w:iCs/>
                                <w:color w:val="000000" w:themeColor="text1"/>
                                <w:sz w:val="22"/>
                                <w:szCs w:val="22"/>
                              </w:rPr>
                              <w:t xml:space="preserve"> </w:t>
                            </w:r>
                            <w:r w:rsidRPr="00535EA5">
                              <w:rPr>
                                <w:i/>
                                <w:iCs/>
                                <w:color w:val="000000" w:themeColor="text1"/>
                                <w:sz w:val="22"/>
                                <w:szCs w:val="22"/>
                              </w:rPr>
                              <w:br/>
                              <w:t>A TMDL is the calculation of the maximum amount of a pollutant allowed to enter a waterbody so that the waterbody will meet water quality standards for that pollutant. A TMDL determines a pollutant reduction target and allocates loadings to all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92062" id="_x0000_s1027" type="#_x0000_t202" alt="&quot;&quot;" style="position:absolute;margin-left:276pt;margin-top:80.75pt;width:193.5pt;height:118.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" fillcolor="#0067a4" strokecolor="#0067a4" strokeweight="2.25pt">
                <v:fill opacity="3855f"/>
                <v:textbox>
                  <w:txbxContent>
                    <w:p w14:paraId="206A76F0" w14:textId="55B868BA" w:rsidR="002358E9" w:rsidRPr="00535EA5" w:rsidRDefault="002358E9">
                      <w:pPr>
                        <w:rPr>
                          <w:color w:val="000000" w:themeColor="text1"/>
                          <w:sz w:val="22"/>
                          <w:szCs w:val="18"/>
                        </w:rPr>
                      </w:pPr>
                      <w:r w:rsidRPr="00535EA5">
                        <w:rPr>
                          <w:b/>
                          <w:bCs/>
                          <w:i/>
                          <w:iCs/>
                          <w:color w:val="000000" w:themeColor="text1"/>
                          <w:sz w:val="22"/>
                          <w:szCs w:val="22"/>
                        </w:rPr>
                        <w:t xml:space="preserve">What is a </w:t>
                      </w:r>
                      <w:r w:rsidR="00281469" w:rsidRPr="00535EA5">
                        <w:rPr>
                          <w:b/>
                          <w:bCs/>
                          <w:i/>
                          <w:iCs/>
                          <w:color w:val="000000" w:themeColor="text1"/>
                          <w:sz w:val="22"/>
                          <w:szCs w:val="22"/>
                        </w:rPr>
                        <w:t>TMDL</w:t>
                      </w:r>
                      <w:r w:rsidRPr="00535EA5">
                        <w:rPr>
                          <w:b/>
                          <w:bCs/>
                          <w:i/>
                          <w:iCs/>
                          <w:color w:val="000000" w:themeColor="text1"/>
                          <w:sz w:val="22"/>
                          <w:szCs w:val="22"/>
                        </w:rPr>
                        <w:t>?</w:t>
                      </w:r>
                      <w:r w:rsidRPr="00535EA5">
                        <w:rPr>
                          <w:i/>
                          <w:iCs/>
                          <w:color w:val="000000" w:themeColor="text1"/>
                          <w:sz w:val="22"/>
                          <w:szCs w:val="22"/>
                        </w:rPr>
                        <w:t xml:space="preserve"> </w:t>
                      </w:r>
                      <w:r w:rsidRPr="00535EA5">
                        <w:rPr>
                          <w:i/>
                          <w:iCs/>
                          <w:color w:val="000000" w:themeColor="text1"/>
                          <w:sz w:val="22"/>
                          <w:szCs w:val="22"/>
                        </w:rPr>
                        <w:br/>
                        <w:t>A TMDL is the calculation of the maximum amount of a pollutant allowed to enter a waterbody so that the waterbody will meet water quality standards for that pollutant. A TMDL determines a pollutant reduction target and allocates loadings to all sources.</w:t>
                      </w:r>
                    </w:p>
                  </w:txbxContent>
                </v:textbox>
                <w10:wrap type="square"/>
              </v:shape>
            </w:pict>
          </mc:Fallback>
        </mc:AlternateContent>
      </w:r>
      <w:r w:rsidR="00A003C5" w:rsidRPr="002E41DD">
        <w:rPr>
          <w:rFonts w:asciiTheme="minorHAnsi" w:hAnsiTheme="minorHAnsi" w:cstheme="minorHAnsi"/>
        </w:rPr>
        <w:t>The Virginia Department of Environmental Quality (DEQ) is responsible for protecting and enhancing Virginia’s environment and for promoting the health and well-being of the citizens</w:t>
      </w:r>
      <w:r w:rsidR="00CD5ADB">
        <w:rPr>
          <w:rFonts w:asciiTheme="minorHAnsi" w:hAnsiTheme="minorHAnsi" w:cstheme="minorHAnsi"/>
        </w:rPr>
        <w:t xml:space="preserve">, </w:t>
      </w:r>
      <w:r w:rsidR="00742D06">
        <w:rPr>
          <w:rFonts w:asciiTheme="minorHAnsi" w:hAnsiTheme="minorHAnsi" w:cstheme="minorHAnsi"/>
        </w:rPr>
        <w:t>residents</w:t>
      </w:r>
      <w:r w:rsidR="002D3815">
        <w:rPr>
          <w:rFonts w:asciiTheme="minorHAnsi" w:hAnsiTheme="minorHAnsi" w:cstheme="minorHAnsi"/>
        </w:rPr>
        <w:t>,</w:t>
      </w:r>
      <w:r w:rsidR="00742D06">
        <w:rPr>
          <w:rFonts w:asciiTheme="minorHAnsi" w:hAnsiTheme="minorHAnsi" w:cstheme="minorHAnsi"/>
        </w:rPr>
        <w:t xml:space="preserve"> and visitors</w:t>
      </w:r>
      <w:r w:rsidR="00A003C5" w:rsidRPr="002E41DD">
        <w:rPr>
          <w:rFonts w:asciiTheme="minorHAnsi" w:hAnsiTheme="minorHAnsi" w:cstheme="minorHAnsi"/>
        </w:rPr>
        <w:t xml:space="preserve"> of the </w:t>
      </w:r>
      <w:r w:rsidR="00AE148B">
        <w:rPr>
          <w:rFonts w:asciiTheme="minorHAnsi" w:hAnsiTheme="minorHAnsi" w:cstheme="minorHAnsi"/>
        </w:rPr>
        <w:t>C</w:t>
      </w:r>
      <w:r w:rsidR="00A003C5" w:rsidRPr="002E41DD">
        <w:rPr>
          <w:rFonts w:asciiTheme="minorHAnsi" w:hAnsiTheme="minorHAnsi" w:cstheme="minorHAnsi"/>
        </w:rPr>
        <w:t xml:space="preserve">ommonwealth. DEQ administers state and federal environmental laws and regulations pertinent to air and water quality, water supply, and land protection and revitalization. DEQ's two Water Divisions (Water Permitting and Water Planning) are responsible for carrying out the mandates of the State Water Control Law, as well as meeting Virginia's federal obligations under the Clean Water Act. DEQ administers state laws and regulations to improve and protect Virginia's streams, rivers, bays, wetlands and ground water for aquatic life, human health and other beneficial water uses. Water monitoring programs, the water quality standards program, water quality assessments, Total Maximum Daily Load (TMDL) plans and permitting under the Virginia Pollution Discharge Elimination System (VPDES), </w:t>
      </w:r>
      <w:r w:rsidR="0034629B">
        <w:rPr>
          <w:rFonts w:asciiTheme="minorHAnsi" w:hAnsiTheme="minorHAnsi" w:cstheme="minorHAnsi"/>
        </w:rPr>
        <w:t xml:space="preserve">the </w:t>
      </w:r>
      <w:r w:rsidR="0050744E">
        <w:rPr>
          <w:rFonts w:asciiTheme="minorHAnsi" w:hAnsiTheme="minorHAnsi" w:cstheme="minorHAnsi"/>
        </w:rPr>
        <w:t>Virginia Stormwater Management Program (</w:t>
      </w:r>
      <w:r w:rsidR="0034629B">
        <w:rPr>
          <w:rFonts w:asciiTheme="minorHAnsi" w:hAnsiTheme="minorHAnsi" w:cstheme="minorHAnsi"/>
        </w:rPr>
        <w:t>VSMP</w:t>
      </w:r>
      <w:r w:rsidR="0050744E">
        <w:rPr>
          <w:rFonts w:asciiTheme="minorHAnsi" w:hAnsiTheme="minorHAnsi" w:cstheme="minorHAnsi"/>
        </w:rPr>
        <w:t>)</w:t>
      </w:r>
      <w:r w:rsidR="0034629B">
        <w:rPr>
          <w:rFonts w:asciiTheme="minorHAnsi" w:hAnsiTheme="minorHAnsi" w:cstheme="minorHAnsi"/>
        </w:rPr>
        <w:t xml:space="preserve">, </w:t>
      </w:r>
      <w:r w:rsidR="00A003C5" w:rsidRPr="002E41DD">
        <w:rPr>
          <w:rFonts w:asciiTheme="minorHAnsi" w:hAnsiTheme="minorHAnsi" w:cstheme="minorHAnsi"/>
        </w:rPr>
        <w:t>the Virginia Water Protection (VWP) an</w:t>
      </w:r>
      <w:r w:rsidR="00A003C5" w:rsidRPr="000B77AC">
        <w:rPr>
          <w:rFonts w:asciiTheme="minorHAnsi" w:hAnsiTheme="minorHAnsi" w:cstheme="minorHAnsi"/>
        </w:rPr>
        <w:t>d the Virginia Pollution Abatement (VPA) programs are vital instruments DEQ uses to carry out its duties. Please visit DEQ’s</w:t>
      </w:r>
      <w:r w:rsidR="000B77AC" w:rsidRPr="000B77AC">
        <w:rPr>
          <w:rFonts w:asciiTheme="minorHAnsi" w:hAnsiTheme="minorHAnsi" w:cstheme="minorHAnsi"/>
        </w:rPr>
        <w:t xml:space="preserve"> website to l</w:t>
      </w:r>
      <w:r w:rsidR="00A003C5" w:rsidRPr="000B77AC">
        <w:rPr>
          <w:rFonts w:asciiTheme="minorHAnsi" w:hAnsiTheme="minorHAnsi" w:cstheme="minorHAnsi"/>
        </w:rPr>
        <w:t>earn more about these programs and others</w:t>
      </w:r>
      <w:r w:rsidR="00A078FA">
        <w:rPr>
          <w:rFonts w:asciiTheme="minorHAnsi" w:hAnsiTheme="minorHAnsi" w:cstheme="minorHAnsi"/>
        </w:rPr>
        <w:t>.</w:t>
      </w:r>
      <w:r w:rsidR="00F86C0D">
        <w:rPr>
          <w:rFonts w:asciiTheme="minorHAnsi" w:hAnsiTheme="minorHAnsi" w:cstheme="minorHAnsi"/>
          <w:snapToGrid w:val="0"/>
          <w:szCs w:val="20"/>
        </w:rPr>
        <w:fldChar w:fldCharType="begin"/>
      </w:r>
      <w:r w:rsidR="00F86C0D">
        <w:rPr>
          <w:rFonts w:asciiTheme="minorHAnsi" w:hAnsiTheme="minorHAnsi" w:cstheme="minorHAnsi"/>
          <w:snapToGrid w:val="0"/>
          <w:szCs w:val="20"/>
        </w:rPr>
        <w:instrText xml:space="preserve"> TOC \h \z \c "Figure" </w:instrText>
      </w:r>
      <w:r w:rsidR="00F86C0D">
        <w:rPr>
          <w:rFonts w:asciiTheme="minorHAnsi" w:hAnsiTheme="minorHAnsi" w:cstheme="minorHAnsi"/>
          <w:snapToGrid w:val="0"/>
          <w:szCs w:val="20"/>
        </w:rPr>
        <w:fldChar w:fldCharType="separate"/>
      </w:r>
      <w:r w:rsidR="00F86C0D">
        <w:rPr>
          <w:rFonts w:asciiTheme="minorHAnsi" w:hAnsiTheme="minorHAnsi" w:cstheme="minorHAnsi"/>
          <w:snapToGrid w:val="0"/>
          <w:szCs w:val="20"/>
        </w:rPr>
        <w:fldChar w:fldCharType="end"/>
      </w:r>
    </w:p>
    <w:p w14:paraId="5020132F" w14:textId="495E91D5" w:rsidR="00D10979" w:rsidRPr="002E41DD" w:rsidRDefault="00D10979" w:rsidP="00BF1467"/>
    <w:p w14:paraId="637A91A2" w14:textId="7CE8531D" w:rsidR="00A003C5" w:rsidRPr="00C0758F" w:rsidRDefault="00A003C5" w:rsidP="00B82AF3">
      <w:pPr>
        <w:pStyle w:val="Heading2"/>
      </w:pPr>
      <w:bookmarkStart w:id="15" w:name="_Toc152763295"/>
      <w:bookmarkStart w:id="16" w:name="_Toc155771941"/>
      <w:bookmarkStart w:id="17" w:name="_Toc191900421"/>
      <w:r w:rsidRPr="00C0758F">
        <w:t>Objectives and Federal Requirements</w:t>
      </w:r>
      <w:bookmarkEnd w:id="15"/>
      <w:bookmarkEnd w:id="16"/>
      <w:bookmarkEnd w:id="17"/>
    </w:p>
    <w:p w14:paraId="3369485C" w14:textId="0B14A7DD" w:rsidR="00296F06" w:rsidRDefault="00A003C5" w:rsidP="00A003C5">
      <w:pPr>
        <w:rPr>
          <w:rFonts w:cstheme="minorHAnsi"/>
          <w:szCs w:val="24"/>
        </w:rPr>
      </w:pPr>
      <w:r w:rsidRPr="002E41DD">
        <w:rPr>
          <w:rFonts w:cstheme="minorHAnsi"/>
          <w:szCs w:val="24"/>
        </w:rPr>
        <w:t>Under the Clean Water Act</w:t>
      </w:r>
      <w:r w:rsidR="002C2EDF">
        <w:rPr>
          <w:rFonts w:cstheme="minorHAnsi"/>
          <w:szCs w:val="24"/>
        </w:rPr>
        <w:t xml:space="preserve"> and its enacting federal regulations</w:t>
      </w:r>
      <w:r w:rsidRPr="002E41DD">
        <w:rPr>
          <w:rFonts w:cstheme="minorHAnsi"/>
          <w:szCs w:val="24"/>
        </w:rPr>
        <w:t xml:space="preserve">, EPA requires that each state develop a program to monitor the quality of its surface and ground waters and prepare a report every two years describing the status of its water quality. EPA issues guidelines for states to use during the reporting cycle for national consistency purposes. States are encouraged to use these guidelines to prepare these water quality reports for EPA. EPA compiles the data from the state reports, summarizes them, and transmits the summaries to Congress, including an analysis of water quality nationwide. Referring to the applicable Clean Water Act sections, this 305(b)/303(d) process is the principal means by which the EPA, Congress, and the public evaluate current water quality, the progress made maintaining and restoring water quality, and the extent of remaining work to be done. Many states, including Virginia, rely on the 305(b)/303(d) process for information needed to conduct water quality planning. The 305(b)/303(d) process is an integral part of Virginia’s water quality management program, for which requirements are set forth in </w:t>
      </w:r>
      <w:r w:rsidR="008E19AB">
        <w:rPr>
          <w:rFonts w:cstheme="minorHAnsi"/>
          <w:szCs w:val="24"/>
        </w:rPr>
        <w:t>the Code of F</w:t>
      </w:r>
      <w:r w:rsidRPr="002E41DD">
        <w:rPr>
          <w:rFonts w:cstheme="minorHAnsi"/>
          <w:szCs w:val="24"/>
        </w:rPr>
        <w:t xml:space="preserve">ederal </w:t>
      </w:r>
      <w:r w:rsidR="008E19AB">
        <w:rPr>
          <w:rFonts w:cstheme="minorHAnsi"/>
          <w:szCs w:val="24"/>
        </w:rPr>
        <w:t>R</w:t>
      </w:r>
      <w:r w:rsidRPr="002E41DD">
        <w:rPr>
          <w:rFonts w:cstheme="minorHAnsi"/>
          <w:szCs w:val="24"/>
        </w:rPr>
        <w:t>egulations</w:t>
      </w:r>
      <w:r w:rsidR="005E2958">
        <w:rPr>
          <w:rFonts w:cstheme="minorHAnsi"/>
          <w:szCs w:val="24"/>
        </w:rPr>
        <w:t xml:space="preserve"> (</w:t>
      </w:r>
      <w:r w:rsidR="00132A7A">
        <w:rPr>
          <w:rFonts w:cstheme="minorHAnsi"/>
          <w:szCs w:val="24"/>
        </w:rPr>
        <w:t>Title 40, Part 130).</w:t>
      </w:r>
    </w:p>
    <w:p w14:paraId="5600B1F3" w14:textId="77777777" w:rsidR="00F54A58" w:rsidRDefault="00CF54D9" w:rsidP="00F54A58">
      <w:pPr>
        <w:keepNext/>
        <w:jc w:val="center"/>
      </w:pPr>
      <w:r>
        <w:rPr>
          <w:rFonts w:cstheme="minorHAnsi"/>
          <w:szCs w:val="24"/>
        </w:rPr>
        <w:br/>
      </w:r>
      <w:r w:rsidR="00A232E9">
        <w:rPr>
          <w:noProof/>
        </w:rPr>
        <w:lastRenderedPageBreak/>
        <w:drawing>
          <wp:inline distT="0" distB="0" distL="0" distR="0" wp14:anchorId="7B50BA7F" wp14:editId="71386CA4">
            <wp:extent cx="3752056" cy="4191000"/>
            <wp:effectExtent l="0" t="0" r="1270" b="0"/>
            <wp:docPr id="686462027" name="Picture 686462027" descr="Water Wheel, a graphical representation of the continuous planning proc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462027" name="Picture 1" descr="Water Wheel, a graphical representation of the continuous planning process.&#10;"/>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3771941" cy="4213211"/>
                    </a:xfrm>
                    <a:prstGeom prst="rect">
                      <a:avLst/>
                    </a:prstGeom>
                    <a:noFill/>
                    <a:ln>
                      <a:noFill/>
                    </a:ln>
                  </pic:spPr>
                </pic:pic>
              </a:graphicData>
            </a:graphic>
          </wp:inline>
        </w:drawing>
      </w:r>
    </w:p>
    <w:p w14:paraId="5B085CBD" w14:textId="6E406185" w:rsidR="00A232E9" w:rsidRDefault="00F54A58" w:rsidP="00F54A58">
      <w:pPr>
        <w:pStyle w:val="Caption"/>
        <w:jc w:val="center"/>
        <w:rPr>
          <w:rFonts w:cstheme="minorHAnsi"/>
          <w:szCs w:val="24"/>
        </w:rPr>
      </w:pPr>
      <w:bookmarkStart w:id="18" w:name="_Toc164175045"/>
      <w:r>
        <w:t xml:space="preserve">Figure </w:t>
      </w:r>
      <w:r w:rsidR="004F13BA">
        <w:fldChar w:fldCharType="begin"/>
      </w:r>
      <w:r w:rsidR="004F13BA">
        <w:instrText xml:space="preserve"> STYLEREF 2 \s </w:instrText>
      </w:r>
      <w:r w:rsidR="004F13BA">
        <w:fldChar w:fldCharType="separate"/>
      </w:r>
      <w:r w:rsidR="00E429BB">
        <w:rPr>
          <w:noProof/>
        </w:rPr>
        <w:t>1.2</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xml:space="preserve">. </w:t>
      </w:r>
      <w:r w:rsidR="00CF21D7">
        <w:t>Graphical representation of the continuous planning process.</w:t>
      </w:r>
      <w:bookmarkEnd w:id="18"/>
    </w:p>
    <w:p w14:paraId="3A6C14A4" w14:textId="77777777" w:rsidR="00A232E9" w:rsidRDefault="00A232E9" w:rsidP="00A003C5">
      <w:pPr>
        <w:rPr>
          <w:rFonts w:cstheme="minorHAnsi"/>
          <w:szCs w:val="24"/>
        </w:rPr>
      </w:pPr>
    </w:p>
    <w:p w14:paraId="7EF6C778" w14:textId="47A2319A" w:rsidR="00A003C5" w:rsidRPr="002E41DD" w:rsidRDefault="00A003C5" w:rsidP="00A003C5">
      <w:pPr>
        <w:rPr>
          <w:rFonts w:cstheme="minorHAnsi"/>
          <w:szCs w:val="24"/>
        </w:rPr>
      </w:pPr>
      <w:r w:rsidRPr="002E41DD">
        <w:rPr>
          <w:rFonts w:cstheme="minorHAnsi"/>
          <w:szCs w:val="24"/>
        </w:rPr>
        <w:t xml:space="preserve">Section 305(b) of the Clean Water Act requires each state to submit a biennial report to EPA describing the quality of its navigable waters. The 305(b) report provides DEQ’s assessment of water quality conditions and trends in the </w:t>
      </w:r>
      <w:r w:rsidR="00833229">
        <w:rPr>
          <w:rFonts w:cstheme="minorHAnsi"/>
          <w:szCs w:val="24"/>
        </w:rPr>
        <w:t>C</w:t>
      </w:r>
      <w:r w:rsidRPr="002E41DD">
        <w:rPr>
          <w:rFonts w:cstheme="minorHAnsi"/>
          <w:szCs w:val="24"/>
        </w:rPr>
        <w:t>ommonwealth. The report is intended to be used as a tool in planning and management of waters in Virginia. The report also directs continuous planning and implementation activities in coordination with the Continuous Planning Process (CPP)</w:t>
      </w:r>
      <w:r w:rsidR="001719F3">
        <w:rPr>
          <w:rFonts w:cstheme="minorHAnsi"/>
          <w:szCs w:val="24"/>
        </w:rPr>
        <w:t xml:space="preserve"> (</w:t>
      </w:r>
      <w:r w:rsidR="00CF21D7">
        <w:rPr>
          <w:rFonts w:cstheme="minorHAnsi"/>
          <w:szCs w:val="24"/>
        </w:rPr>
        <w:t>Figure 1.1-1</w:t>
      </w:r>
      <w:r w:rsidR="001719F3">
        <w:rPr>
          <w:rFonts w:cstheme="minorHAnsi"/>
          <w:szCs w:val="24"/>
        </w:rPr>
        <w:t>)</w:t>
      </w:r>
      <w:r w:rsidRPr="002E41DD">
        <w:rPr>
          <w:rFonts w:cstheme="minorHAnsi"/>
          <w:szCs w:val="24"/>
        </w:rPr>
        <w:t xml:space="preserve">. Similar water quality monitoring, assessment and reporting requirements are mandated under state law; see Virginia Code </w:t>
      </w:r>
      <w:r w:rsidRPr="00CE51D1">
        <w:rPr>
          <w:rFonts w:cstheme="minorHAnsi"/>
          <w:szCs w:val="24"/>
        </w:rPr>
        <w:t>§62.1-44.19:5</w:t>
      </w:r>
      <w:r w:rsidRPr="002E41DD">
        <w:rPr>
          <w:rFonts w:cstheme="minorHAnsi"/>
          <w:szCs w:val="24"/>
        </w:rPr>
        <w:t>; Water Quality Monitoring, Information and Restoration Act</w:t>
      </w:r>
      <w:r w:rsidR="00647AD8">
        <w:rPr>
          <w:rFonts w:cstheme="minorHAnsi"/>
          <w:szCs w:val="24"/>
        </w:rPr>
        <w:t xml:space="preserve"> (WQMIRA)</w:t>
      </w:r>
      <w:r w:rsidRPr="002E41DD">
        <w:rPr>
          <w:rFonts w:cstheme="minorHAnsi"/>
          <w:szCs w:val="24"/>
        </w:rPr>
        <w:t>.</w:t>
      </w:r>
      <w:r w:rsidR="00D243A1">
        <w:rPr>
          <w:rFonts w:cstheme="minorHAnsi"/>
          <w:szCs w:val="24"/>
        </w:rPr>
        <w:t xml:space="preserve"> </w:t>
      </w:r>
      <w:r w:rsidR="00F9295B">
        <w:t xml:space="preserve">Pursuant to </w:t>
      </w:r>
      <w:r w:rsidR="00906E42" w:rsidRPr="002E41DD">
        <w:rPr>
          <w:rFonts w:cstheme="minorHAnsi"/>
          <w:szCs w:val="24"/>
        </w:rPr>
        <w:t xml:space="preserve">Virginia Code </w:t>
      </w:r>
      <w:r w:rsidR="00906E42" w:rsidRPr="00CE51D1">
        <w:rPr>
          <w:rFonts w:cstheme="minorHAnsi"/>
          <w:szCs w:val="24"/>
        </w:rPr>
        <w:t>§62.1-44.19:5</w:t>
      </w:r>
      <w:r w:rsidR="00F9295B">
        <w:t>, the primary objectives of a 305(b) report are:</w:t>
      </w:r>
    </w:p>
    <w:p w14:paraId="4EDCD59E" w14:textId="1A138CDD" w:rsidR="00395BA8" w:rsidRDefault="00B31859">
      <w:pPr>
        <w:pStyle w:val="ListParagraph"/>
        <w:numPr>
          <w:ilvl w:val="0"/>
          <w:numId w:val="31"/>
        </w:numPr>
      </w:pPr>
      <w:r>
        <w:t>P</w:t>
      </w:r>
      <w:r w:rsidR="00395BA8" w:rsidRPr="00395BA8">
        <w:t xml:space="preserve">rovide an accurate and comprehensive assessment of the quality of state surface </w:t>
      </w:r>
      <w:r w:rsidRPr="00395BA8">
        <w:t>waters.</w:t>
      </w:r>
      <w:r w:rsidR="00395BA8" w:rsidRPr="00395BA8">
        <w:t xml:space="preserve"> </w:t>
      </w:r>
    </w:p>
    <w:p w14:paraId="1F233392" w14:textId="6668432A" w:rsidR="00A003C5" w:rsidRPr="00775170" w:rsidRDefault="0020426E">
      <w:pPr>
        <w:pStyle w:val="ListParagraph"/>
        <w:numPr>
          <w:ilvl w:val="0"/>
          <w:numId w:val="31"/>
        </w:numPr>
      </w:pPr>
      <w:r>
        <w:t>I</w:t>
      </w:r>
      <w:r w:rsidRPr="0020426E">
        <w:t>dentify trends in water quality for specific and easily identifiable geographically defined water segments</w:t>
      </w:r>
      <w:r w:rsidR="00B31859">
        <w:t>.</w:t>
      </w:r>
      <w:r w:rsidR="00A003C5" w:rsidRPr="002E41DD">
        <w:t xml:space="preserve"> </w:t>
      </w:r>
    </w:p>
    <w:p w14:paraId="0B00A05B" w14:textId="0B79E47E" w:rsidR="00B31859" w:rsidRDefault="00B31859" w:rsidP="00B31859">
      <w:pPr>
        <w:pStyle w:val="ListParagraph"/>
        <w:numPr>
          <w:ilvl w:val="0"/>
          <w:numId w:val="31"/>
        </w:numPr>
      </w:pPr>
      <w:r>
        <w:t>P</w:t>
      </w:r>
      <w:r w:rsidR="00652F68" w:rsidRPr="00652F68">
        <w:t>rovide a basis for developing initiatives and programs to address current and potential water quality impairment</w:t>
      </w:r>
      <w:r>
        <w:t>.</w:t>
      </w:r>
      <w:r w:rsidR="00652F68" w:rsidRPr="00652F68">
        <w:t xml:space="preserve"> </w:t>
      </w:r>
    </w:p>
    <w:p w14:paraId="60B1C3FB" w14:textId="703657AD" w:rsidR="00A003C5" w:rsidRPr="002E41DD" w:rsidRDefault="00B31859" w:rsidP="00B31859">
      <w:pPr>
        <w:pStyle w:val="ListParagraph"/>
        <w:numPr>
          <w:ilvl w:val="0"/>
          <w:numId w:val="31"/>
        </w:numPr>
      </w:pPr>
      <w:r>
        <w:t>C</w:t>
      </w:r>
      <w:r w:rsidRPr="00B31859">
        <w:t xml:space="preserve">ontain accurate and comparable data that is representative of the </w:t>
      </w:r>
      <w:proofErr w:type="gramStart"/>
      <w:r w:rsidRPr="00B31859">
        <w:t>state as a whole</w:t>
      </w:r>
      <w:proofErr w:type="gramEnd"/>
      <w:r>
        <w:t>.</w:t>
      </w:r>
    </w:p>
    <w:p w14:paraId="1F317261" w14:textId="2E1DB0D6" w:rsidR="00A003C5" w:rsidRPr="002E41DD" w:rsidRDefault="00A003C5" w:rsidP="009C59D6">
      <w:r w:rsidRPr="002E41DD">
        <w:t xml:space="preserve">Section 303(d) of the Clean Water Act and the Environmental Protection Agency’s regulation 40 CFR, Section 130.7 (d), requires each state to submit a Total Maximum Daily Load (TMDL) </w:t>
      </w:r>
      <w:r w:rsidRPr="002E41DD">
        <w:lastRenderedPageBreak/>
        <w:t>Priority List for impaired waters to EPA on April 1 of even numbered years. This list is provided in Appendix 1a. In summary, the 303</w:t>
      </w:r>
      <w:r w:rsidR="0081184C" w:rsidRPr="002E41DD" w:rsidDel="0081184C">
        <w:t xml:space="preserve"> </w:t>
      </w:r>
      <w:r w:rsidRPr="002E41DD">
        <w:t>(d)/305(b) Integrated Report (IR) provides:</w:t>
      </w:r>
    </w:p>
    <w:p w14:paraId="46FDC369" w14:textId="3385466D" w:rsidR="00A003C5" w:rsidRPr="002E41DD" w:rsidRDefault="00A003C5">
      <w:pPr>
        <w:pStyle w:val="ListParagraph"/>
        <w:numPr>
          <w:ilvl w:val="0"/>
          <w:numId w:val="32"/>
        </w:numPr>
      </w:pPr>
      <w:r w:rsidRPr="002E41DD">
        <w:t>the delineation of water quality assessment units (AUs) based on the U.S. Geological Survey (USGS) National Hydrography Dataset (NHD)</w:t>
      </w:r>
    </w:p>
    <w:p w14:paraId="103E7AA0" w14:textId="1AEBA1A3" w:rsidR="00A003C5" w:rsidRPr="002E41DD" w:rsidRDefault="00A003C5">
      <w:pPr>
        <w:pStyle w:val="ListParagraph"/>
        <w:numPr>
          <w:ilvl w:val="0"/>
          <w:numId w:val="32"/>
        </w:numPr>
      </w:pPr>
      <w:r w:rsidRPr="002E41DD">
        <w:t>the status of and progress toward achieving comprehensive assessments of all waters</w:t>
      </w:r>
    </w:p>
    <w:p w14:paraId="47F2F9AE" w14:textId="5CA49C1E" w:rsidR="00A003C5" w:rsidRPr="002E41DD" w:rsidRDefault="00A003C5">
      <w:pPr>
        <w:pStyle w:val="ListParagraph"/>
        <w:numPr>
          <w:ilvl w:val="0"/>
          <w:numId w:val="32"/>
        </w:numPr>
      </w:pPr>
      <w:r w:rsidRPr="002E41DD">
        <w:t>the attainment status of designated uses for every AU assessed</w:t>
      </w:r>
    </w:p>
    <w:p w14:paraId="4F6172D5" w14:textId="320603B1" w:rsidR="00A003C5" w:rsidRPr="002E41DD" w:rsidRDefault="00A003C5">
      <w:pPr>
        <w:pStyle w:val="ListParagraph"/>
        <w:numPr>
          <w:ilvl w:val="0"/>
          <w:numId w:val="32"/>
        </w:numPr>
      </w:pPr>
      <w:r w:rsidRPr="002E41DD">
        <w:t>additional monitoring that may be needed to determine designated use support status and, if necessary, to assist development of TMDLs for each pollutant/AU combination</w:t>
      </w:r>
    </w:p>
    <w:p w14:paraId="687F416C" w14:textId="4CAFB521" w:rsidR="00A003C5" w:rsidRPr="001D2D3A" w:rsidRDefault="004B36E3">
      <w:pPr>
        <w:pStyle w:val="ListParagraph"/>
        <w:numPr>
          <w:ilvl w:val="0"/>
          <w:numId w:val="32"/>
        </w:numPr>
      </w:pPr>
      <w:r w:rsidRPr="001D2D3A">
        <w:t>AUs prioritized</w:t>
      </w:r>
      <w:r w:rsidR="00076B7D" w:rsidRPr="001D2D3A">
        <w:t xml:space="preserve"> for follow-up monitoring</w:t>
      </w:r>
    </w:p>
    <w:p w14:paraId="74FDC996" w14:textId="49518C8A" w:rsidR="00A003C5" w:rsidRPr="002E41DD" w:rsidRDefault="00A003C5">
      <w:pPr>
        <w:pStyle w:val="ListParagraph"/>
        <w:numPr>
          <w:ilvl w:val="0"/>
          <w:numId w:val="32"/>
        </w:numPr>
      </w:pPr>
      <w:r w:rsidRPr="002E41DD">
        <w:t>pollutant/AU combinations still requiring TMDLs</w:t>
      </w:r>
    </w:p>
    <w:p w14:paraId="472B7B46" w14:textId="65C7D08D" w:rsidR="00A003C5" w:rsidRPr="002E41DD" w:rsidRDefault="00A003C5">
      <w:pPr>
        <w:pStyle w:val="ListParagraph"/>
        <w:numPr>
          <w:ilvl w:val="0"/>
          <w:numId w:val="32"/>
        </w:numPr>
      </w:pPr>
      <w:r w:rsidRPr="002E41DD">
        <w:t xml:space="preserve">TMDL development schedules </w:t>
      </w:r>
      <w:proofErr w:type="gramStart"/>
      <w:r w:rsidRPr="002E41DD">
        <w:t>reflecting</w:t>
      </w:r>
      <w:proofErr w:type="gramEnd"/>
      <w:r w:rsidRPr="002E41DD">
        <w:t xml:space="preserve"> the priority ranking of each pollutant/AU </w:t>
      </w:r>
      <w:r w:rsidR="0006746C" w:rsidRPr="002E41DD">
        <w:t>combination.</w:t>
      </w:r>
    </w:p>
    <w:p w14:paraId="5685E511" w14:textId="77777777" w:rsidR="001719F3" w:rsidRPr="001719F3" w:rsidRDefault="001719F3" w:rsidP="001719F3">
      <w:pPr>
        <w:pStyle w:val="ListParagraph"/>
        <w:ind w:left="1440"/>
      </w:pPr>
    </w:p>
    <w:p w14:paraId="33668A40" w14:textId="27630D00" w:rsidR="00A003C5" w:rsidRPr="003E6EAA" w:rsidRDefault="00A003C5" w:rsidP="001E43E9">
      <w:pPr>
        <w:pStyle w:val="Heading2"/>
        <w:jc w:val="left"/>
      </w:pPr>
      <w:bookmarkStart w:id="19" w:name="_Toc152763296"/>
      <w:bookmarkStart w:id="20" w:name="_Toc155771942"/>
      <w:bookmarkStart w:id="21" w:name="_Toc191900422"/>
      <w:r w:rsidRPr="003E6EAA">
        <w:t>Assessment Scheme</w:t>
      </w:r>
      <w:bookmarkEnd w:id="19"/>
      <w:bookmarkEnd w:id="20"/>
      <w:bookmarkEnd w:id="21"/>
    </w:p>
    <w:p w14:paraId="4884D784" w14:textId="20C593EE" w:rsidR="00A003C5" w:rsidRPr="002E41DD" w:rsidRDefault="00A003C5" w:rsidP="00A003C5">
      <w:pPr>
        <w:widowControl/>
        <w:rPr>
          <w:rFonts w:cstheme="minorHAnsi"/>
          <w:szCs w:val="24"/>
        </w:rPr>
      </w:pPr>
      <w:r w:rsidRPr="002E41DD">
        <w:rPr>
          <w:rFonts w:cstheme="minorHAnsi"/>
          <w:szCs w:val="24"/>
        </w:rPr>
        <w:t>The Virginia 305(b) process assesses six primary designated uses, as appropriate for a particular waterbody, based on water quality standards:</w:t>
      </w:r>
      <w:r w:rsidR="006127A1">
        <w:rPr>
          <w:rFonts w:cstheme="minorHAnsi"/>
          <w:szCs w:val="24"/>
        </w:rPr>
        <w:t xml:space="preserve"> Aquatic Life, Recreation, Fish Consumption, Shellfishing, Public Water Supply and Wildlife.</w:t>
      </w:r>
      <w:r w:rsidR="006127A1" w:rsidRPr="006127A1">
        <w:t xml:space="preserve"> </w:t>
      </w:r>
      <w:r w:rsidR="006127A1" w:rsidRPr="006127A1">
        <w:rPr>
          <w:rFonts w:cstheme="minorHAnsi"/>
          <w:szCs w:val="24"/>
        </w:rPr>
        <w:t>Designated use descriptions and indicators</w:t>
      </w:r>
      <w:r w:rsidR="006127A1">
        <w:rPr>
          <w:rFonts w:cstheme="minorHAnsi"/>
          <w:szCs w:val="24"/>
        </w:rPr>
        <w:t xml:space="preserve"> are explained in detail in Chapter 4.</w:t>
      </w:r>
    </w:p>
    <w:p w14:paraId="25CC679D" w14:textId="2B1241DA" w:rsidR="00A003C5" w:rsidRPr="002E41DD" w:rsidRDefault="00A003C5" w:rsidP="009759A8"/>
    <w:p w14:paraId="401758D1" w14:textId="6BD53D1B" w:rsidR="0092751C" w:rsidRPr="004E19DA" w:rsidRDefault="0092751C" w:rsidP="00786098">
      <w:pPr>
        <w:pStyle w:val="Heading3"/>
      </w:pPr>
      <w:r w:rsidRPr="004E19DA">
        <w:t>EPA Categories and V</w:t>
      </w:r>
      <w:r w:rsidR="00EA16CD" w:rsidRPr="004E19DA">
        <w:t>irginia Subcategories</w:t>
      </w:r>
    </w:p>
    <w:p w14:paraId="2DAFAB35" w14:textId="2E68C91A" w:rsidR="00A003C5" w:rsidRPr="002E41DD" w:rsidRDefault="003C7FED" w:rsidP="00A003C5">
      <w:pPr>
        <w:pStyle w:val="EndnoteText"/>
        <w:rPr>
          <w:rFonts w:asciiTheme="minorHAnsi" w:hAnsiTheme="minorHAnsi" w:cstheme="minorHAnsi"/>
          <w:sz w:val="24"/>
          <w:szCs w:val="24"/>
        </w:rPr>
      </w:pPr>
      <w:r w:rsidRPr="002E41DD">
        <w:rPr>
          <w:rFonts w:asciiTheme="minorHAnsi" w:hAnsiTheme="minorHAnsi" w:cstheme="minorHAnsi"/>
          <w:sz w:val="24"/>
          <w:szCs w:val="24"/>
        </w:rPr>
        <w:t xml:space="preserve">The EPA electronic system for recording IR data, Assessment and Total Maximum Daily Load Tracking and Implementation System (ATTAINS) and the Virginia </w:t>
      </w:r>
      <w:r w:rsidR="009C515F">
        <w:rPr>
          <w:rFonts w:asciiTheme="minorHAnsi" w:hAnsiTheme="minorHAnsi" w:cstheme="minorHAnsi"/>
          <w:sz w:val="24"/>
          <w:szCs w:val="24"/>
        </w:rPr>
        <w:t>2024</w:t>
      </w:r>
      <w:r w:rsidRPr="002E41DD">
        <w:rPr>
          <w:rFonts w:asciiTheme="minorHAnsi" w:hAnsiTheme="minorHAnsi" w:cstheme="minorHAnsi"/>
          <w:sz w:val="24"/>
          <w:szCs w:val="24"/>
        </w:rPr>
        <w:t xml:space="preserve"> Water Quality Assessment Guidance Manual both continue to use five categories (“</w:t>
      </w:r>
      <w:r w:rsidR="003E6EAA">
        <w:rPr>
          <w:rFonts w:asciiTheme="minorHAnsi" w:hAnsiTheme="minorHAnsi" w:cstheme="minorHAnsi"/>
          <w:sz w:val="24"/>
          <w:szCs w:val="24"/>
        </w:rPr>
        <w:t>C</w:t>
      </w:r>
      <w:r w:rsidRPr="002E41DD">
        <w:rPr>
          <w:rFonts w:asciiTheme="minorHAnsi" w:hAnsiTheme="minorHAnsi" w:cstheme="minorHAnsi"/>
          <w:sz w:val="24"/>
          <w:szCs w:val="24"/>
        </w:rPr>
        <w:t xml:space="preserve">ategory 4” having three </w:t>
      </w:r>
      <w:r w:rsidR="009C515F">
        <w:rPr>
          <w:rFonts w:asciiTheme="minorHAnsi" w:hAnsiTheme="minorHAnsi" w:cstheme="minorHAnsi"/>
          <w:sz w:val="24"/>
          <w:szCs w:val="24"/>
        </w:rPr>
        <w:t xml:space="preserve">EPA </w:t>
      </w:r>
      <w:r w:rsidRPr="002E41DD">
        <w:rPr>
          <w:rFonts w:asciiTheme="minorHAnsi" w:hAnsiTheme="minorHAnsi" w:cstheme="minorHAnsi"/>
          <w:sz w:val="24"/>
          <w:szCs w:val="24"/>
        </w:rPr>
        <w:t>subcategories) in which every AU should be placed based on designated use attainment. Additionally, Virginia has devised several other sub-categories to supplement the federal categories, enabling a more precise system of tracking and reporting.</w:t>
      </w:r>
      <w:r w:rsidR="00C542CB">
        <w:rPr>
          <w:rFonts w:asciiTheme="minorHAnsi" w:hAnsiTheme="minorHAnsi" w:cstheme="minorHAnsi"/>
          <w:sz w:val="24"/>
          <w:szCs w:val="24"/>
        </w:rPr>
        <w:t xml:space="preserve"> </w:t>
      </w:r>
      <w:r w:rsidR="00A003C5" w:rsidRPr="002E41DD">
        <w:rPr>
          <w:rFonts w:asciiTheme="minorHAnsi" w:hAnsiTheme="minorHAnsi" w:cstheme="minorHAnsi"/>
          <w:sz w:val="24"/>
          <w:szCs w:val="24"/>
        </w:rPr>
        <w:t>Below are the EPA defined categories followed by associated Virginia defined subcategories</w:t>
      </w:r>
      <w:r w:rsidR="00A003C5" w:rsidRPr="002E41DD">
        <w:rPr>
          <w:rFonts w:asciiTheme="minorHAnsi" w:hAnsiTheme="minorHAnsi" w:cstheme="minorHAnsi"/>
          <w:b/>
          <w:sz w:val="24"/>
          <w:szCs w:val="24"/>
        </w:rPr>
        <w:t>:</w:t>
      </w:r>
    </w:p>
    <w:p w14:paraId="4747DA6F" w14:textId="77777777" w:rsidR="00A003C5" w:rsidRPr="002E41DD" w:rsidRDefault="00A003C5" w:rsidP="001E43E9"/>
    <w:p w14:paraId="7D8A9E91" w14:textId="49BB660B" w:rsidR="00A003C5" w:rsidRPr="004E19DA" w:rsidRDefault="00A003C5" w:rsidP="004E19DA">
      <w:pPr>
        <w:pStyle w:val="Heading4"/>
      </w:pPr>
      <w:r w:rsidRPr="004E19DA">
        <w:t>F</w:t>
      </w:r>
      <w:r w:rsidR="000F2E5E" w:rsidRPr="004E19DA">
        <w:t>ully Supporting</w:t>
      </w:r>
      <w:r w:rsidR="000A1086">
        <w:t>:</w:t>
      </w:r>
      <w:r w:rsidRPr="004E19DA">
        <w:t xml:space="preserve"> </w:t>
      </w:r>
      <w:r w:rsidR="000A1086">
        <w:t>W</w:t>
      </w:r>
      <w:r w:rsidRPr="004E19DA">
        <w:t>aters are supporting one or more designated uses</w:t>
      </w:r>
      <w:r w:rsidR="00074617" w:rsidRPr="004E19DA">
        <w:t>.</w:t>
      </w:r>
    </w:p>
    <w:p w14:paraId="49F213B1" w14:textId="2E9F688D" w:rsidR="00A003C5" w:rsidRPr="001058C4" w:rsidRDefault="00A003C5" w:rsidP="007B4366">
      <w:pPr>
        <w:pStyle w:val="EndnoteText"/>
        <w:ind w:left="720"/>
        <w:rPr>
          <w:rFonts w:asciiTheme="minorHAnsi" w:hAnsiTheme="minorHAnsi" w:cstheme="minorHAnsi"/>
          <w:bCs/>
          <w:sz w:val="24"/>
          <w:szCs w:val="24"/>
        </w:rPr>
      </w:pPr>
      <w:r w:rsidRPr="00070B1E">
        <w:rPr>
          <w:rFonts w:asciiTheme="minorHAnsi" w:hAnsiTheme="minorHAnsi" w:cstheme="minorHAnsi"/>
          <w:b/>
          <w:sz w:val="24"/>
          <w:szCs w:val="24"/>
        </w:rPr>
        <w:t>EPA Category 1</w:t>
      </w:r>
      <w:r w:rsidR="000B4511" w:rsidRPr="000B4511">
        <w:rPr>
          <w:rFonts w:asciiTheme="minorHAnsi" w:hAnsiTheme="minorHAnsi" w:cstheme="minorHAnsi"/>
          <w:b/>
          <w:sz w:val="24"/>
          <w:szCs w:val="24"/>
        </w:rPr>
        <w:t>:</w:t>
      </w:r>
      <w:r w:rsidR="000B4511">
        <w:rPr>
          <w:rFonts w:asciiTheme="minorHAnsi" w:hAnsiTheme="minorHAnsi" w:cstheme="minorHAnsi"/>
          <w:bCs/>
          <w:sz w:val="24"/>
          <w:szCs w:val="24"/>
        </w:rPr>
        <w:t xml:space="preserve"> </w:t>
      </w:r>
      <w:r w:rsidR="009446A0">
        <w:rPr>
          <w:rFonts w:asciiTheme="minorHAnsi" w:hAnsiTheme="minorHAnsi" w:cstheme="minorHAnsi"/>
          <w:bCs/>
          <w:sz w:val="24"/>
          <w:szCs w:val="24"/>
        </w:rPr>
        <w:t>a</w:t>
      </w:r>
      <w:r w:rsidRPr="001058C4">
        <w:rPr>
          <w:rFonts w:asciiTheme="minorHAnsi" w:hAnsiTheme="minorHAnsi" w:cstheme="minorHAnsi"/>
          <w:bCs/>
          <w:sz w:val="24"/>
          <w:szCs w:val="24"/>
        </w:rPr>
        <w:t>ttaining all associated designated uses and no designated use is threatened</w:t>
      </w:r>
      <w:r w:rsidR="00074617" w:rsidRPr="001058C4">
        <w:rPr>
          <w:rFonts w:asciiTheme="minorHAnsi" w:hAnsiTheme="minorHAnsi" w:cstheme="minorHAnsi"/>
          <w:bCs/>
          <w:sz w:val="24"/>
          <w:szCs w:val="24"/>
        </w:rPr>
        <w:t>.</w:t>
      </w:r>
      <w:r w:rsidRPr="001058C4">
        <w:rPr>
          <w:rFonts w:asciiTheme="minorHAnsi" w:hAnsiTheme="minorHAnsi" w:cstheme="minorHAnsi"/>
          <w:bCs/>
          <w:sz w:val="24"/>
          <w:szCs w:val="24"/>
        </w:rPr>
        <w:t xml:space="preserve"> </w:t>
      </w:r>
    </w:p>
    <w:p w14:paraId="66EA403F" w14:textId="77777777" w:rsidR="00A003C5" w:rsidRPr="001058C4" w:rsidRDefault="00A003C5" w:rsidP="00A133B5">
      <w:pPr>
        <w:pStyle w:val="EndnoteText"/>
        <w:rPr>
          <w:rFonts w:asciiTheme="minorHAnsi" w:hAnsiTheme="minorHAnsi" w:cstheme="minorHAnsi"/>
          <w:bCs/>
          <w:sz w:val="24"/>
          <w:szCs w:val="24"/>
        </w:rPr>
      </w:pPr>
    </w:p>
    <w:p w14:paraId="43AF8DA6" w14:textId="41C56C34" w:rsidR="00A003C5" w:rsidRPr="001058C4" w:rsidRDefault="00A003C5" w:rsidP="007B4366">
      <w:pPr>
        <w:pStyle w:val="EndnoteText"/>
        <w:ind w:left="1440"/>
        <w:rPr>
          <w:rFonts w:asciiTheme="minorHAnsi" w:hAnsiTheme="minorHAnsi" w:cstheme="minorHAnsi"/>
          <w:bCs/>
          <w:sz w:val="24"/>
          <w:szCs w:val="24"/>
        </w:rPr>
      </w:pPr>
      <w:r w:rsidRPr="006D2ACF">
        <w:rPr>
          <w:rFonts w:asciiTheme="minorHAnsi" w:hAnsiTheme="minorHAnsi" w:cstheme="minorHAnsi"/>
          <w:b/>
          <w:sz w:val="24"/>
          <w:szCs w:val="24"/>
        </w:rPr>
        <w:t>V</w:t>
      </w:r>
      <w:r w:rsidR="005C426A">
        <w:rPr>
          <w:rFonts w:asciiTheme="minorHAnsi" w:hAnsiTheme="minorHAnsi" w:cstheme="minorHAnsi"/>
          <w:b/>
          <w:sz w:val="24"/>
          <w:szCs w:val="24"/>
        </w:rPr>
        <w:t>A</w:t>
      </w:r>
      <w:r w:rsidRPr="006D2ACF">
        <w:rPr>
          <w:rFonts w:asciiTheme="minorHAnsi" w:hAnsiTheme="minorHAnsi" w:cstheme="minorHAnsi"/>
          <w:b/>
          <w:sz w:val="24"/>
          <w:szCs w:val="24"/>
        </w:rPr>
        <w:t xml:space="preserve"> Category 1A</w:t>
      </w:r>
      <w:r w:rsidR="000B4511">
        <w:rPr>
          <w:rFonts w:asciiTheme="minorHAnsi" w:hAnsiTheme="minorHAnsi" w:cstheme="minorHAnsi"/>
          <w:b/>
          <w:sz w:val="24"/>
          <w:szCs w:val="24"/>
        </w:rPr>
        <w:t>:</w:t>
      </w:r>
      <w:r w:rsidRPr="001058C4">
        <w:rPr>
          <w:rFonts w:asciiTheme="minorHAnsi" w:hAnsiTheme="minorHAnsi" w:cstheme="minorHAnsi"/>
          <w:bCs/>
          <w:sz w:val="24"/>
          <w:szCs w:val="24"/>
        </w:rPr>
        <w:t xml:space="preserve"> </w:t>
      </w:r>
      <w:proofErr w:type="gramStart"/>
      <w:r w:rsidRPr="001058C4">
        <w:rPr>
          <w:rFonts w:asciiTheme="minorHAnsi" w:hAnsiTheme="minorHAnsi" w:cstheme="minorHAnsi"/>
          <w:bCs/>
          <w:sz w:val="24"/>
          <w:szCs w:val="24"/>
        </w:rPr>
        <w:t>waters</w:t>
      </w:r>
      <w:proofErr w:type="gramEnd"/>
      <w:r w:rsidRPr="001058C4">
        <w:rPr>
          <w:rFonts w:asciiTheme="minorHAnsi" w:hAnsiTheme="minorHAnsi" w:cstheme="minorHAnsi"/>
          <w:bCs/>
          <w:sz w:val="24"/>
          <w:szCs w:val="24"/>
        </w:rPr>
        <w:t xml:space="preserve"> are attaining all uses and </w:t>
      </w:r>
      <w:proofErr w:type="gramStart"/>
      <w:r w:rsidRPr="001058C4">
        <w:rPr>
          <w:rFonts w:asciiTheme="minorHAnsi" w:hAnsiTheme="minorHAnsi" w:cstheme="minorHAnsi"/>
          <w:bCs/>
          <w:sz w:val="24"/>
          <w:szCs w:val="24"/>
        </w:rPr>
        <w:t>a TMDL</w:t>
      </w:r>
      <w:proofErr w:type="gramEnd"/>
      <w:r w:rsidRPr="001058C4">
        <w:rPr>
          <w:rFonts w:asciiTheme="minorHAnsi" w:hAnsiTheme="minorHAnsi" w:cstheme="minorHAnsi"/>
          <w:bCs/>
          <w:sz w:val="24"/>
          <w:szCs w:val="24"/>
        </w:rPr>
        <w:t xml:space="preserve"> has been </w:t>
      </w:r>
      <w:r w:rsidR="0082682F" w:rsidRPr="001058C4">
        <w:rPr>
          <w:rFonts w:asciiTheme="minorHAnsi" w:hAnsiTheme="minorHAnsi" w:cstheme="minorHAnsi"/>
          <w:bCs/>
          <w:sz w:val="24"/>
          <w:szCs w:val="24"/>
        </w:rPr>
        <w:t xml:space="preserve">developed </w:t>
      </w:r>
      <w:r w:rsidR="0082682F">
        <w:rPr>
          <w:rFonts w:asciiTheme="minorHAnsi" w:hAnsiTheme="minorHAnsi" w:cstheme="minorHAnsi"/>
          <w:bCs/>
          <w:sz w:val="24"/>
          <w:szCs w:val="24"/>
        </w:rPr>
        <w:t>for</w:t>
      </w:r>
      <w:r w:rsidRPr="001058C4">
        <w:rPr>
          <w:rFonts w:asciiTheme="minorHAnsi" w:hAnsiTheme="minorHAnsi" w:cstheme="minorHAnsi"/>
          <w:bCs/>
          <w:sz w:val="24"/>
          <w:szCs w:val="24"/>
        </w:rPr>
        <w:t xml:space="preserve"> one or more uses.</w:t>
      </w:r>
    </w:p>
    <w:p w14:paraId="40D9EE33" w14:textId="77777777" w:rsidR="00A003C5" w:rsidRPr="001058C4" w:rsidRDefault="00A003C5" w:rsidP="00A003C5">
      <w:pPr>
        <w:pStyle w:val="EndnoteText"/>
        <w:rPr>
          <w:rFonts w:asciiTheme="minorHAnsi" w:hAnsiTheme="minorHAnsi" w:cstheme="minorHAnsi"/>
          <w:bCs/>
          <w:sz w:val="24"/>
          <w:szCs w:val="24"/>
        </w:rPr>
      </w:pPr>
    </w:p>
    <w:p w14:paraId="0393ECA7" w14:textId="46CDAD22" w:rsidR="00A003C5" w:rsidRPr="001058C4" w:rsidRDefault="00A003C5" w:rsidP="007B4366">
      <w:pPr>
        <w:pStyle w:val="EndnoteText"/>
        <w:ind w:left="720"/>
        <w:rPr>
          <w:rFonts w:asciiTheme="minorHAnsi" w:hAnsiTheme="minorHAnsi" w:cstheme="minorHAnsi"/>
          <w:bCs/>
          <w:sz w:val="24"/>
          <w:szCs w:val="24"/>
        </w:rPr>
      </w:pPr>
      <w:r w:rsidRPr="00070B1E">
        <w:rPr>
          <w:rFonts w:asciiTheme="minorHAnsi" w:hAnsiTheme="minorHAnsi" w:cstheme="minorHAnsi"/>
          <w:b/>
          <w:sz w:val="24"/>
          <w:szCs w:val="24"/>
        </w:rPr>
        <w:t>EPA Category 2</w:t>
      </w:r>
      <w:r w:rsidR="000B4511">
        <w:rPr>
          <w:rFonts w:asciiTheme="minorHAnsi" w:hAnsiTheme="minorHAnsi" w:cstheme="minorHAnsi"/>
          <w:b/>
          <w:sz w:val="24"/>
          <w:szCs w:val="24"/>
        </w:rPr>
        <w:t>:</w:t>
      </w:r>
      <w:r w:rsidRPr="001058C4">
        <w:rPr>
          <w:rFonts w:asciiTheme="minorHAnsi" w:hAnsiTheme="minorHAnsi" w:cstheme="minorHAnsi"/>
          <w:bCs/>
          <w:sz w:val="24"/>
          <w:szCs w:val="24"/>
        </w:rPr>
        <w:t xml:space="preserve"> </w:t>
      </w:r>
      <w:r w:rsidR="00243630">
        <w:rPr>
          <w:rFonts w:asciiTheme="minorHAnsi" w:hAnsiTheme="minorHAnsi" w:cstheme="minorHAnsi"/>
          <w:bCs/>
          <w:sz w:val="24"/>
          <w:szCs w:val="24"/>
        </w:rPr>
        <w:t>a</w:t>
      </w:r>
      <w:r w:rsidRPr="001058C4">
        <w:rPr>
          <w:rFonts w:asciiTheme="minorHAnsi" w:hAnsiTheme="minorHAnsi" w:cstheme="minorHAnsi"/>
          <w:bCs/>
          <w:sz w:val="24"/>
          <w:szCs w:val="24"/>
        </w:rPr>
        <w:t xml:space="preserve">vailable data and/or other information indicate that some, but not </w:t>
      </w:r>
      <w:r w:rsidR="0082682F" w:rsidRPr="001058C4">
        <w:rPr>
          <w:rFonts w:asciiTheme="minorHAnsi" w:hAnsiTheme="minorHAnsi" w:cstheme="minorHAnsi"/>
          <w:bCs/>
          <w:sz w:val="24"/>
          <w:szCs w:val="24"/>
        </w:rPr>
        <w:t>all</w:t>
      </w:r>
      <w:r w:rsidRPr="001058C4">
        <w:rPr>
          <w:rFonts w:asciiTheme="minorHAnsi" w:hAnsiTheme="minorHAnsi" w:cstheme="minorHAnsi"/>
          <w:bCs/>
          <w:sz w:val="24"/>
          <w:szCs w:val="24"/>
        </w:rPr>
        <w:t xml:space="preserve"> the designated uses are supported.</w:t>
      </w:r>
    </w:p>
    <w:p w14:paraId="5CEA7924" w14:textId="6EB454FD" w:rsidR="00A003C5" w:rsidRPr="001058C4" w:rsidRDefault="00A133B5" w:rsidP="00A003C5">
      <w:pPr>
        <w:pStyle w:val="EndnoteText"/>
        <w:ind w:left="1170"/>
        <w:rPr>
          <w:rFonts w:asciiTheme="minorHAnsi" w:hAnsiTheme="minorHAnsi" w:cstheme="minorHAnsi"/>
          <w:bCs/>
          <w:sz w:val="24"/>
          <w:szCs w:val="24"/>
        </w:rPr>
      </w:pPr>
      <w:r w:rsidRPr="001058C4">
        <w:rPr>
          <w:rFonts w:asciiTheme="minorHAnsi" w:hAnsiTheme="minorHAnsi" w:cstheme="minorHAnsi"/>
          <w:bCs/>
          <w:sz w:val="24"/>
          <w:szCs w:val="24"/>
        </w:rPr>
        <w:tab/>
      </w:r>
    </w:p>
    <w:p w14:paraId="2A3635F1" w14:textId="7BA9767C" w:rsidR="00A003C5" w:rsidRPr="001058C4" w:rsidRDefault="00A003C5" w:rsidP="007B4366">
      <w:pPr>
        <w:pStyle w:val="EndnoteText"/>
        <w:ind w:left="1440"/>
        <w:rPr>
          <w:rFonts w:asciiTheme="minorHAnsi" w:hAnsiTheme="minorHAnsi" w:cstheme="minorHAnsi"/>
          <w:bCs/>
          <w:sz w:val="24"/>
          <w:szCs w:val="24"/>
        </w:rPr>
      </w:pPr>
      <w:r w:rsidRPr="00070B1E">
        <w:rPr>
          <w:rFonts w:asciiTheme="minorHAnsi" w:hAnsiTheme="minorHAnsi" w:cstheme="minorHAnsi"/>
          <w:b/>
          <w:sz w:val="24"/>
          <w:szCs w:val="24"/>
        </w:rPr>
        <w:t>V</w:t>
      </w:r>
      <w:r w:rsidR="005C426A">
        <w:rPr>
          <w:rFonts w:asciiTheme="minorHAnsi" w:hAnsiTheme="minorHAnsi" w:cstheme="minorHAnsi"/>
          <w:b/>
          <w:sz w:val="24"/>
          <w:szCs w:val="24"/>
        </w:rPr>
        <w:t>A</w:t>
      </w:r>
      <w:r w:rsidRPr="00070B1E">
        <w:rPr>
          <w:rFonts w:asciiTheme="minorHAnsi" w:hAnsiTheme="minorHAnsi" w:cstheme="minorHAnsi"/>
          <w:b/>
          <w:sz w:val="24"/>
          <w:szCs w:val="24"/>
        </w:rPr>
        <w:t xml:space="preserve"> Category 2A</w:t>
      </w:r>
      <w:r w:rsidR="000B4511">
        <w:rPr>
          <w:rFonts w:asciiTheme="minorHAnsi" w:hAnsiTheme="minorHAnsi" w:cstheme="minorHAnsi"/>
          <w:b/>
          <w:sz w:val="24"/>
          <w:szCs w:val="24"/>
        </w:rPr>
        <w:t>:</w:t>
      </w:r>
      <w:r w:rsidRPr="001058C4">
        <w:rPr>
          <w:rFonts w:asciiTheme="minorHAnsi" w:hAnsiTheme="minorHAnsi" w:cstheme="minorHAnsi"/>
          <w:bCs/>
          <w:sz w:val="24"/>
          <w:szCs w:val="24"/>
        </w:rPr>
        <w:t xml:space="preserve"> waters </w:t>
      </w:r>
      <w:proofErr w:type="gramStart"/>
      <w:r w:rsidRPr="001058C4">
        <w:rPr>
          <w:rFonts w:asciiTheme="minorHAnsi" w:hAnsiTheme="minorHAnsi" w:cstheme="minorHAnsi"/>
          <w:bCs/>
          <w:sz w:val="24"/>
          <w:szCs w:val="24"/>
        </w:rPr>
        <w:t>are supporting</w:t>
      </w:r>
      <w:proofErr w:type="gramEnd"/>
      <w:r w:rsidRPr="001058C4">
        <w:rPr>
          <w:rFonts w:asciiTheme="minorHAnsi" w:hAnsiTheme="minorHAnsi" w:cstheme="minorHAnsi"/>
          <w:bCs/>
          <w:sz w:val="24"/>
          <w:szCs w:val="24"/>
        </w:rPr>
        <w:t xml:space="preserve"> </w:t>
      </w:r>
      <w:r w:rsidR="00836370" w:rsidRPr="001058C4">
        <w:rPr>
          <w:rFonts w:asciiTheme="minorHAnsi" w:hAnsiTheme="minorHAnsi" w:cstheme="minorHAnsi"/>
          <w:bCs/>
          <w:sz w:val="24"/>
          <w:szCs w:val="24"/>
        </w:rPr>
        <w:t>all</w:t>
      </w:r>
      <w:r w:rsidRPr="001058C4">
        <w:rPr>
          <w:rFonts w:asciiTheme="minorHAnsi" w:hAnsiTheme="minorHAnsi" w:cstheme="minorHAnsi"/>
          <w:bCs/>
          <w:sz w:val="24"/>
          <w:szCs w:val="24"/>
        </w:rPr>
        <w:t xml:space="preserve"> the uses for which they are monitored.</w:t>
      </w:r>
    </w:p>
    <w:p w14:paraId="7CC02C8C" w14:textId="77777777" w:rsidR="00A003C5" w:rsidRPr="001058C4" w:rsidRDefault="00A003C5" w:rsidP="00A003C5">
      <w:pPr>
        <w:pStyle w:val="EndnoteText"/>
        <w:ind w:left="1170"/>
        <w:rPr>
          <w:rFonts w:asciiTheme="minorHAnsi" w:hAnsiTheme="minorHAnsi" w:cstheme="minorHAnsi"/>
          <w:bCs/>
          <w:sz w:val="24"/>
          <w:szCs w:val="24"/>
        </w:rPr>
      </w:pPr>
    </w:p>
    <w:p w14:paraId="7379FA6E" w14:textId="4193D287" w:rsidR="00A003C5" w:rsidRPr="001058C4" w:rsidRDefault="00A003C5" w:rsidP="007B4366">
      <w:pPr>
        <w:pStyle w:val="EndnoteText"/>
        <w:ind w:left="1440"/>
        <w:rPr>
          <w:rFonts w:asciiTheme="minorHAnsi" w:hAnsiTheme="minorHAnsi" w:cstheme="minorHAnsi"/>
          <w:bCs/>
          <w:sz w:val="24"/>
          <w:szCs w:val="24"/>
        </w:rPr>
      </w:pPr>
      <w:r w:rsidRPr="00070B1E">
        <w:rPr>
          <w:rFonts w:asciiTheme="minorHAnsi" w:hAnsiTheme="minorHAnsi" w:cstheme="minorHAnsi"/>
          <w:b/>
          <w:sz w:val="24"/>
          <w:szCs w:val="24"/>
        </w:rPr>
        <w:t>V</w:t>
      </w:r>
      <w:r w:rsidR="005C426A">
        <w:rPr>
          <w:rFonts w:asciiTheme="minorHAnsi" w:hAnsiTheme="minorHAnsi" w:cstheme="minorHAnsi"/>
          <w:b/>
          <w:sz w:val="24"/>
          <w:szCs w:val="24"/>
        </w:rPr>
        <w:t>A</w:t>
      </w:r>
      <w:r w:rsidRPr="00070B1E">
        <w:rPr>
          <w:rFonts w:asciiTheme="minorHAnsi" w:hAnsiTheme="minorHAnsi" w:cstheme="minorHAnsi"/>
          <w:b/>
          <w:sz w:val="24"/>
          <w:szCs w:val="24"/>
        </w:rPr>
        <w:t xml:space="preserve"> Category 2B</w:t>
      </w:r>
      <w:r w:rsidR="00243630">
        <w:rPr>
          <w:rFonts w:asciiTheme="minorHAnsi" w:hAnsiTheme="minorHAnsi" w:cstheme="minorHAnsi"/>
          <w:bCs/>
          <w:sz w:val="24"/>
          <w:szCs w:val="24"/>
        </w:rPr>
        <w:t>:</w:t>
      </w:r>
      <w:r w:rsidRPr="001058C4">
        <w:rPr>
          <w:rFonts w:asciiTheme="minorHAnsi" w:hAnsiTheme="minorHAnsi" w:cstheme="minorHAnsi"/>
          <w:bCs/>
          <w:sz w:val="24"/>
          <w:szCs w:val="24"/>
        </w:rPr>
        <w:t xml:space="preserve"> </w:t>
      </w:r>
      <w:proofErr w:type="gramStart"/>
      <w:r w:rsidR="00900A0E" w:rsidRPr="00900A0E">
        <w:rPr>
          <w:rFonts w:asciiTheme="minorHAnsi" w:hAnsiTheme="minorHAnsi" w:cstheme="minorHAnsi"/>
          <w:bCs/>
          <w:sz w:val="24"/>
          <w:szCs w:val="24"/>
        </w:rPr>
        <w:t>the Shellfish</w:t>
      </w:r>
      <w:proofErr w:type="gramEnd"/>
      <w:r w:rsidR="00900A0E" w:rsidRPr="00900A0E">
        <w:rPr>
          <w:rFonts w:asciiTheme="minorHAnsi" w:hAnsiTheme="minorHAnsi" w:cstheme="minorHAnsi"/>
          <w:bCs/>
          <w:sz w:val="24"/>
          <w:szCs w:val="24"/>
        </w:rPr>
        <w:t xml:space="preserve"> Use is fully supporting, but harvesting is limited because of seasonal or conditional closures per VDH </w:t>
      </w:r>
      <w:r w:rsidR="002A7ED3">
        <w:rPr>
          <w:rFonts w:asciiTheme="minorHAnsi" w:hAnsiTheme="minorHAnsi" w:cstheme="minorHAnsi"/>
          <w:bCs/>
          <w:sz w:val="24"/>
          <w:szCs w:val="24"/>
        </w:rPr>
        <w:t>Division</w:t>
      </w:r>
      <w:r w:rsidR="00900A0E" w:rsidRPr="00900A0E">
        <w:rPr>
          <w:rFonts w:asciiTheme="minorHAnsi" w:hAnsiTheme="minorHAnsi" w:cstheme="minorHAnsi"/>
          <w:bCs/>
          <w:sz w:val="24"/>
          <w:szCs w:val="24"/>
        </w:rPr>
        <w:t xml:space="preserve"> of Shellfish Sanitation.</w:t>
      </w:r>
    </w:p>
    <w:p w14:paraId="29894CAB" w14:textId="77777777" w:rsidR="00A003C5" w:rsidRPr="001058C4" w:rsidRDefault="00A003C5" w:rsidP="00A003C5">
      <w:pPr>
        <w:pStyle w:val="EndnoteText"/>
        <w:ind w:left="1170"/>
        <w:rPr>
          <w:rFonts w:asciiTheme="minorHAnsi" w:hAnsiTheme="minorHAnsi" w:cstheme="minorHAnsi"/>
          <w:bCs/>
          <w:sz w:val="24"/>
          <w:szCs w:val="24"/>
        </w:rPr>
      </w:pPr>
    </w:p>
    <w:p w14:paraId="134EF598" w14:textId="4B064C2E" w:rsidR="00A003C5" w:rsidRPr="001058C4" w:rsidRDefault="00A003C5" w:rsidP="007B4366">
      <w:pPr>
        <w:pStyle w:val="EndnoteText"/>
        <w:ind w:left="1440"/>
        <w:rPr>
          <w:rFonts w:asciiTheme="minorHAnsi" w:hAnsiTheme="minorHAnsi" w:cstheme="minorHAnsi"/>
          <w:bCs/>
          <w:sz w:val="24"/>
          <w:szCs w:val="24"/>
        </w:rPr>
      </w:pPr>
      <w:r w:rsidRPr="00070B1E">
        <w:rPr>
          <w:rFonts w:asciiTheme="minorHAnsi" w:hAnsiTheme="minorHAnsi" w:cstheme="minorHAnsi"/>
          <w:b/>
          <w:sz w:val="24"/>
          <w:szCs w:val="24"/>
        </w:rPr>
        <w:t>V</w:t>
      </w:r>
      <w:r w:rsidR="005C426A">
        <w:rPr>
          <w:rFonts w:asciiTheme="minorHAnsi" w:hAnsiTheme="minorHAnsi" w:cstheme="minorHAnsi"/>
          <w:b/>
          <w:sz w:val="24"/>
          <w:szCs w:val="24"/>
        </w:rPr>
        <w:t xml:space="preserve">A </w:t>
      </w:r>
      <w:r w:rsidRPr="00070B1E">
        <w:rPr>
          <w:rFonts w:asciiTheme="minorHAnsi" w:hAnsiTheme="minorHAnsi" w:cstheme="minorHAnsi"/>
          <w:b/>
          <w:sz w:val="24"/>
          <w:szCs w:val="24"/>
        </w:rPr>
        <w:t>Category 2C</w:t>
      </w:r>
      <w:r w:rsidR="00243630">
        <w:rPr>
          <w:rFonts w:asciiTheme="minorHAnsi" w:hAnsiTheme="minorHAnsi" w:cstheme="minorHAnsi"/>
          <w:bCs/>
          <w:sz w:val="24"/>
          <w:szCs w:val="24"/>
        </w:rPr>
        <w:t>:</w:t>
      </w:r>
      <w:r w:rsidRPr="001058C4">
        <w:rPr>
          <w:rFonts w:asciiTheme="minorHAnsi" w:hAnsiTheme="minorHAnsi" w:cstheme="minorHAnsi"/>
          <w:bCs/>
          <w:sz w:val="24"/>
          <w:szCs w:val="24"/>
        </w:rPr>
        <w:t xml:space="preserve"> waters are now attaining the use(s) for which they were originally </w:t>
      </w:r>
      <w:proofErr w:type="gramStart"/>
      <w:r w:rsidRPr="001058C4">
        <w:rPr>
          <w:rFonts w:asciiTheme="minorHAnsi" w:hAnsiTheme="minorHAnsi" w:cstheme="minorHAnsi"/>
          <w:bCs/>
          <w:sz w:val="24"/>
          <w:szCs w:val="24"/>
        </w:rPr>
        <w:t>303(d) listed</w:t>
      </w:r>
      <w:proofErr w:type="gramEnd"/>
      <w:r w:rsidRPr="001058C4">
        <w:rPr>
          <w:rFonts w:asciiTheme="minorHAnsi" w:hAnsiTheme="minorHAnsi" w:cstheme="minorHAnsi"/>
          <w:bCs/>
          <w:sz w:val="24"/>
          <w:szCs w:val="24"/>
        </w:rPr>
        <w:t xml:space="preserve"> and the TMDL is EPA approved but other applicable use(s) were not monitored and assessed.</w:t>
      </w:r>
    </w:p>
    <w:p w14:paraId="573087E8" w14:textId="77777777" w:rsidR="00A003C5" w:rsidRPr="002E41DD" w:rsidRDefault="00A003C5" w:rsidP="001E43E9"/>
    <w:p w14:paraId="10DB81D0" w14:textId="6FAAB1AD" w:rsidR="00A003C5" w:rsidRPr="00B41990" w:rsidRDefault="00937277" w:rsidP="00B41990">
      <w:pPr>
        <w:pStyle w:val="Heading4"/>
      </w:pPr>
      <w:r w:rsidRPr="00B41990">
        <w:t>Intermediate</w:t>
      </w:r>
      <w:r w:rsidR="000A1086">
        <w:t>:</w:t>
      </w:r>
      <w:r w:rsidR="00A003C5" w:rsidRPr="00B41990">
        <w:t xml:space="preserve"> </w:t>
      </w:r>
      <w:r w:rsidR="000A1086">
        <w:t>W</w:t>
      </w:r>
      <w:r w:rsidR="00A003C5" w:rsidRPr="00B41990">
        <w:t>aters needing additional information</w:t>
      </w:r>
      <w:r w:rsidR="00074617" w:rsidRPr="00B41990">
        <w:t>.</w:t>
      </w:r>
    </w:p>
    <w:p w14:paraId="500FC721" w14:textId="02A17984" w:rsidR="00A003C5" w:rsidRPr="001058C4" w:rsidRDefault="00A003C5" w:rsidP="007B4366">
      <w:pPr>
        <w:pStyle w:val="EndnoteText"/>
        <w:ind w:left="720"/>
        <w:rPr>
          <w:rFonts w:asciiTheme="minorHAnsi" w:hAnsiTheme="minorHAnsi" w:cstheme="minorHAnsi"/>
          <w:bCs/>
          <w:sz w:val="24"/>
          <w:szCs w:val="24"/>
        </w:rPr>
      </w:pPr>
      <w:r w:rsidRPr="00070B1E">
        <w:rPr>
          <w:rFonts w:asciiTheme="minorHAnsi" w:hAnsiTheme="minorHAnsi" w:cstheme="minorHAnsi"/>
          <w:b/>
          <w:sz w:val="24"/>
          <w:szCs w:val="24"/>
        </w:rPr>
        <w:t>EPA Category 3</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w:t>
      </w:r>
      <w:r w:rsidR="00555CBD">
        <w:rPr>
          <w:rFonts w:asciiTheme="minorHAnsi" w:hAnsiTheme="minorHAnsi" w:cstheme="minorHAnsi"/>
          <w:bCs/>
          <w:sz w:val="24"/>
          <w:szCs w:val="24"/>
        </w:rPr>
        <w:t>i</w:t>
      </w:r>
      <w:r w:rsidRPr="001058C4">
        <w:rPr>
          <w:rFonts w:asciiTheme="minorHAnsi" w:hAnsiTheme="minorHAnsi" w:cstheme="minorHAnsi"/>
          <w:bCs/>
          <w:sz w:val="24"/>
          <w:szCs w:val="24"/>
        </w:rPr>
        <w:t xml:space="preserve">nsufficient data and/or information to determine whether any designated uses are met. </w:t>
      </w:r>
    </w:p>
    <w:p w14:paraId="08570A2B" w14:textId="77777777" w:rsidR="00A003C5" w:rsidRPr="001058C4" w:rsidRDefault="00A003C5" w:rsidP="00A003C5">
      <w:pPr>
        <w:pStyle w:val="EndnoteText"/>
        <w:ind w:left="1170"/>
        <w:rPr>
          <w:rFonts w:asciiTheme="minorHAnsi" w:hAnsiTheme="minorHAnsi" w:cstheme="minorHAnsi"/>
          <w:bCs/>
          <w:sz w:val="24"/>
          <w:szCs w:val="24"/>
        </w:rPr>
      </w:pPr>
    </w:p>
    <w:p w14:paraId="0E2DCA8C" w14:textId="2D0174CC" w:rsidR="00A003C5" w:rsidRPr="002E41DD" w:rsidRDefault="00A003C5" w:rsidP="007B4366">
      <w:pPr>
        <w:pStyle w:val="EndnoteText"/>
        <w:ind w:left="1440"/>
        <w:rPr>
          <w:rFonts w:asciiTheme="minorHAnsi" w:hAnsiTheme="minorHAnsi" w:cstheme="minorHAnsi"/>
          <w:sz w:val="24"/>
          <w:szCs w:val="24"/>
        </w:rPr>
      </w:pPr>
      <w:r w:rsidRPr="00430384">
        <w:rPr>
          <w:rFonts w:asciiTheme="minorHAnsi" w:hAnsiTheme="minorHAnsi" w:cstheme="minorHAnsi"/>
          <w:b/>
          <w:sz w:val="24"/>
          <w:szCs w:val="24"/>
        </w:rPr>
        <w:t>V</w:t>
      </w:r>
      <w:r w:rsidR="005C426A">
        <w:rPr>
          <w:rFonts w:asciiTheme="minorHAnsi" w:hAnsiTheme="minorHAnsi" w:cstheme="minorHAnsi"/>
          <w:b/>
          <w:sz w:val="24"/>
          <w:szCs w:val="24"/>
        </w:rPr>
        <w:t>A</w:t>
      </w:r>
      <w:r w:rsidRPr="00430384">
        <w:rPr>
          <w:rFonts w:asciiTheme="minorHAnsi" w:hAnsiTheme="minorHAnsi" w:cstheme="minorHAnsi"/>
          <w:b/>
          <w:sz w:val="24"/>
          <w:szCs w:val="24"/>
        </w:rPr>
        <w:t xml:space="preserve"> Category 3A</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w:t>
      </w:r>
      <w:proofErr w:type="gramStart"/>
      <w:r w:rsidRPr="001058C4">
        <w:rPr>
          <w:rFonts w:asciiTheme="minorHAnsi" w:hAnsiTheme="minorHAnsi" w:cstheme="minorHAnsi"/>
          <w:bCs/>
          <w:sz w:val="24"/>
          <w:szCs w:val="24"/>
        </w:rPr>
        <w:t>no</w:t>
      </w:r>
      <w:proofErr w:type="gramEnd"/>
      <w:r w:rsidRPr="001058C4">
        <w:rPr>
          <w:rFonts w:asciiTheme="minorHAnsi" w:hAnsiTheme="minorHAnsi" w:cstheme="minorHAnsi"/>
          <w:bCs/>
          <w:sz w:val="24"/>
          <w:szCs w:val="24"/>
        </w:rPr>
        <w:t xml:space="preserve"> data </w:t>
      </w:r>
      <w:proofErr w:type="gramStart"/>
      <w:r w:rsidRPr="001058C4">
        <w:rPr>
          <w:rFonts w:asciiTheme="minorHAnsi" w:hAnsiTheme="minorHAnsi" w:cstheme="minorHAnsi"/>
          <w:bCs/>
          <w:sz w:val="24"/>
          <w:szCs w:val="24"/>
        </w:rPr>
        <w:t>are</w:t>
      </w:r>
      <w:proofErr w:type="gramEnd"/>
      <w:r w:rsidRPr="001058C4">
        <w:rPr>
          <w:rFonts w:asciiTheme="minorHAnsi" w:hAnsiTheme="minorHAnsi" w:cstheme="minorHAnsi"/>
          <w:bCs/>
          <w:sz w:val="24"/>
          <w:szCs w:val="24"/>
        </w:rPr>
        <w:t xml:space="preserve"> available within the data window of the current assessment to determine</w:t>
      </w:r>
      <w:r w:rsidRPr="002E41DD">
        <w:rPr>
          <w:rFonts w:asciiTheme="minorHAnsi" w:hAnsiTheme="minorHAnsi" w:cstheme="minorHAnsi"/>
          <w:sz w:val="24"/>
          <w:szCs w:val="24"/>
        </w:rPr>
        <w:t xml:space="preserve"> if any designated use is </w:t>
      </w:r>
      <w:r w:rsidR="00555CBD" w:rsidRPr="002E41DD">
        <w:rPr>
          <w:rFonts w:asciiTheme="minorHAnsi" w:hAnsiTheme="minorHAnsi" w:cstheme="minorHAnsi"/>
          <w:sz w:val="24"/>
          <w:szCs w:val="24"/>
        </w:rPr>
        <w:t>attained,</w:t>
      </w:r>
      <w:r w:rsidRPr="002E41DD">
        <w:rPr>
          <w:rFonts w:asciiTheme="minorHAnsi" w:hAnsiTheme="minorHAnsi" w:cstheme="minorHAnsi"/>
          <w:sz w:val="24"/>
          <w:szCs w:val="24"/>
        </w:rPr>
        <w:t xml:space="preserve"> and the water was not previously listed as impaired.</w:t>
      </w:r>
    </w:p>
    <w:p w14:paraId="0DC015CF" w14:textId="77777777" w:rsidR="00A003C5" w:rsidRPr="002E41DD" w:rsidRDefault="00A003C5" w:rsidP="00A003C5">
      <w:pPr>
        <w:pStyle w:val="EndnoteText"/>
        <w:ind w:left="1170"/>
        <w:rPr>
          <w:rFonts w:asciiTheme="minorHAnsi" w:hAnsiTheme="minorHAnsi" w:cstheme="minorHAnsi"/>
          <w:b/>
          <w:sz w:val="24"/>
          <w:szCs w:val="24"/>
        </w:rPr>
      </w:pPr>
    </w:p>
    <w:p w14:paraId="1D115B7A" w14:textId="408DF43B" w:rsidR="00A003C5" w:rsidRPr="001058C4" w:rsidRDefault="00A003C5" w:rsidP="007B4366">
      <w:pPr>
        <w:pStyle w:val="EndnoteText"/>
        <w:ind w:left="1440"/>
        <w:rPr>
          <w:rFonts w:asciiTheme="minorHAnsi" w:hAnsiTheme="minorHAnsi" w:cstheme="minorHAnsi"/>
          <w:bCs/>
          <w:sz w:val="24"/>
          <w:szCs w:val="24"/>
          <w:u w:val="single"/>
        </w:rPr>
      </w:pPr>
      <w:r w:rsidRPr="00430384">
        <w:rPr>
          <w:rFonts w:asciiTheme="minorHAnsi" w:hAnsiTheme="minorHAnsi" w:cstheme="minorHAnsi"/>
          <w:b/>
          <w:sz w:val="24"/>
          <w:szCs w:val="24"/>
        </w:rPr>
        <w:t>V</w:t>
      </w:r>
      <w:r w:rsidR="005C426A">
        <w:rPr>
          <w:rFonts w:asciiTheme="minorHAnsi" w:hAnsiTheme="minorHAnsi" w:cstheme="minorHAnsi"/>
          <w:b/>
          <w:sz w:val="24"/>
          <w:szCs w:val="24"/>
        </w:rPr>
        <w:t>A</w:t>
      </w:r>
      <w:r w:rsidRPr="00430384">
        <w:rPr>
          <w:rFonts w:asciiTheme="minorHAnsi" w:hAnsiTheme="minorHAnsi" w:cstheme="minorHAnsi"/>
          <w:b/>
          <w:sz w:val="24"/>
          <w:szCs w:val="24"/>
        </w:rPr>
        <w:t xml:space="preserve"> Category 3B</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some data exist but are insufficient to determine support of designated uses. Such waters will be prioritized for follow-up monitoring, as resources allow.</w:t>
      </w:r>
    </w:p>
    <w:p w14:paraId="3DEF106B" w14:textId="77777777" w:rsidR="00A003C5" w:rsidRPr="001058C4" w:rsidRDefault="00A003C5" w:rsidP="00A003C5">
      <w:pPr>
        <w:pStyle w:val="EndnoteText"/>
        <w:ind w:left="1170"/>
        <w:rPr>
          <w:rFonts w:asciiTheme="minorHAnsi" w:hAnsiTheme="minorHAnsi" w:cstheme="minorHAnsi"/>
          <w:bCs/>
          <w:sz w:val="24"/>
          <w:szCs w:val="24"/>
        </w:rPr>
      </w:pPr>
    </w:p>
    <w:p w14:paraId="17559C16" w14:textId="3BDD6537" w:rsidR="00A003C5" w:rsidRPr="001058C4" w:rsidRDefault="00A003C5" w:rsidP="0A5BE548">
      <w:pPr>
        <w:pStyle w:val="EndnoteText"/>
        <w:ind w:left="1440"/>
        <w:rPr>
          <w:rFonts w:asciiTheme="minorHAnsi" w:hAnsiTheme="minorHAnsi" w:cstheme="minorBidi"/>
          <w:sz w:val="24"/>
          <w:szCs w:val="24"/>
        </w:rPr>
      </w:pPr>
      <w:r w:rsidRPr="0A5BE548">
        <w:rPr>
          <w:rFonts w:asciiTheme="minorHAnsi" w:hAnsiTheme="minorHAnsi" w:cstheme="minorBidi"/>
          <w:b/>
          <w:bCs/>
          <w:sz w:val="24"/>
          <w:szCs w:val="24"/>
        </w:rPr>
        <w:t>V</w:t>
      </w:r>
      <w:r w:rsidR="005C426A" w:rsidRPr="0A5BE548">
        <w:rPr>
          <w:rFonts w:asciiTheme="minorHAnsi" w:hAnsiTheme="minorHAnsi" w:cstheme="minorBidi"/>
          <w:b/>
          <w:bCs/>
          <w:sz w:val="24"/>
          <w:szCs w:val="24"/>
        </w:rPr>
        <w:t>A</w:t>
      </w:r>
      <w:r w:rsidRPr="0A5BE548">
        <w:rPr>
          <w:rFonts w:asciiTheme="minorHAnsi" w:hAnsiTheme="minorHAnsi" w:cstheme="minorBidi"/>
          <w:b/>
          <w:bCs/>
          <w:sz w:val="24"/>
          <w:szCs w:val="24"/>
        </w:rPr>
        <w:t xml:space="preserve"> Category 3C</w:t>
      </w:r>
      <w:r w:rsidR="00555CBD" w:rsidRPr="0A5BE548">
        <w:rPr>
          <w:rFonts w:asciiTheme="minorHAnsi" w:hAnsiTheme="minorHAnsi" w:cstheme="minorBidi"/>
          <w:sz w:val="24"/>
          <w:szCs w:val="24"/>
        </w:rPr>
        <w:t>:</w:t>
      </w:r>
      <w:r w:rsidRPr="0A5BE548">
        <w:rPr>
          <w:rFonts w:asciiTheme="minorHAnsi" w:hAnsiTheme="minorHAnsi" w:cstheme="minorBidi"/>
          <w:sz w:val="24"/>
          <w:szCs w:val="24"/>
        </w:rPr>
        <w:t xml:space="preserve"> data collected by a citizen monitoring or another organization indicating water quality problems may </w:t>
      </w:r>
      <w:r w:rsidR="6C7474A3" w:rsidRPr="0A5BE548">
        <w:rPr>
          <w:rFonts w:asciiTheme="minorHAnsi" w:hAnsiTheme="minorHAnsi" w:cstheme="minorBidi"/>
          <w:sz w:val="24"/>
          <w:szCs w:val="24"/>
        </w:rPr>
        <w:t>exist,</w:t>
      </w:r>
      <w:r w:rsidRPr="0A5BE548">
        <w:rPr>
          <w:rFonts w:asciiTheme="minorHAnsi" w:hAnsiTheme="minorHAnsi" w:cstheme="minorBidi"/>
          <w:sz w:val="24"/>
          <w:szCs w:val="24"/>
        </w:rPr>
        <w:t xml:space="preserve"> but the methodology and/or data quality has not been approved for a determination of support of designated use(s). These waters are considered </w:t>
      </w:r>
      <w:proofErr w:type="gramStart"/>
      <w:r w:rsidRPr="0A5BE548">
        <w:rPr>
          <w:rFonts w:asciiTheme="minorHAnsi" w:hAnsiTheme="minorHAnsi" w:cstheme="minorBidi"/>
          <w:sz w:val="24"/>
          <w:szCs w:val="24"/>
        </w:rPr>
        <w:t>as having</w:t>
      </w:r>
      <w:proofErr w:type="gramEnd"/>
      <w:r w:rsidRPr="0A5BE548">
        <w:rPr>
          <w:rFonts w:asciiTheme="minorHAnsi" w:hAnsiTheme="minorHAnsi" w:cstheme="minorBidi"/>
          <w:sz w:val="24"/>
          <w:szCs w:val="24"/>
        </w:rPr>
        <w:t xml:space="preserve"> insufficient data with observed effects. Such waters will be prioritized by DEQ for follow-up monitoring.</w:t>
      </w:r>
    </w:p>
    <w:p w14:paraId="4A51A8D8" w14:textId="77777777" w:rsidR="00A003C5" w:rsidRPr="001058C4" w:rsidRDefault="00A003C5" w:rsidP="00A003C5">
      <w:pPr>
        <w:pStyle w:val="EndnoteText"/>
        <w:ind w:left="1170"/>
        <w:rPr>
          <w:rFonts w:asciiTheme="minorHAnsi" w:hAnsiTheme="minorHAnsi" w:cstheme="minorHAnsi"/>
          <w:bCs/>
          <w:sz w:val="24"/>
          <w:szCs w:val="24"/>
        </w:rPr>
      </w:pPr>
    </w:p>
    <w:p w14:paraId="39C750CB" w14:textId="410B40AC" w:rsidR="00A003C5" w:rsidRPr="001058C4" w:rsidRDefault="00A003C5" w:rsidP="007B4366">
      <w:pPr>
        <w:pStyle w:val="EndnoteText"/>
        <w:ind w:left="1440"/>
        <w:rPr>
          <w:rFonts w:asciiTheme="minorHAnsi" w:hAnsiTheme="minorHAnsi" w:cstheme="minorHAnsi"/>
          <w:bCs/>
          <w:sz w:val="24"/>
          <w:szCs w:val="24"/>
        </w:rPr>
      </w:pPr>
      <w:r w:rsidRPr="00430384">
        <w:rPr>
          <w:rFonts w:asciiTheme="minorHAnsi" w:hAnsiTheme="minorHAnsi" w:cstheme="minorHAnsi"/>
          <w:b/>
          <w:sz w:val="24"/>
          <w:szCs w:val="24"/>
        </w:rPr>
        <w:t>V</w:t>
      </w:r>
      <w:r w:rsidR="005C426A">
        <w:rPr>
          <w:rFonts w:asciiTheme="minorHAnsi" w:hAnsiTheme="minorHAnsi" w:cstheme="minorHAnsi"/>
          <w:b/>
          <w:sz w:val="24"/>
          <w:szCs w:val="24"/>
        </w:rPr>
        <w:t>A</w:t>
      </w:r>
      <w:r w:rsidRPr="00430384">
        <w:rPr>
          <w:rFonts w:asciiTheme="minorHAnsi" w:hAnsiTheme="minorHAnsi" w:cstheme="minorHAnsi"/>
          <w:b/>
          <w:sz w:val="24"/>
          <w:szCs w:val="24"/>
        </w:rPr>
        <w:t xml:space="preserve"> Category 3D</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data collected by a citizen monitoring or other organization indicating designated use(s) are being attained but the methodology and/or data quality has not been approved for such a determination. </w:t>
      </w:r>
    </w:p>
    <w:p w14:paraId="2E734BEC" w14:textId="77777777" w:rsidR="00A003C5" w:rsidRPr="001058C4" w:rsidRDefault="00A003C5" w:rsidP="00A003C5">
      <w:pPr>
        <w:pStyle w:val="EndnoteText"/>
        <w:ind w:left="1170"/>
        <w:rPr>
          <w:rFonts w:asciiTheme="minorHAnsi" w:hAnsiTheme="minorHAnsi" w:cstheme="minorHAnsi"/>
          <w:bCs/>
          <w:sz w:val="24"/>
          <w:szCs w:val="24"/>
        </w:rPr>
      </w:pPr>
    </w:p>
    <w:p w14:paraId="18345DDA" w14:textId="390DFF4E" w:rsidR="00A003C5" w:rsidRPr="002E41DD" w:rsidRDefault="00A003C5" w:rsidP="007B4366">
      <w:pPr>
        <w:pStyle w:val="EndnoteText"/>
        <w:ind w:left="1440"/>
        <w:rPr>
          <w:rFonts w:asciiTheme="minorHAnsi" w:hAnsiTheme="minorHAnsi" w:cstheme="minorHAnsi"/>
          <w:sz w:val="24"/>
          <w:szCs w:val="24"/>
        </w:rPr>
      </w:pPr>
      <w:r w:rsidRPr="005C426A">
        <w:rPr>
          <w:rFonts w:asciiTheme="minorHAnsi" w:hAnsiTheme="minorHAnsi" w:cstheme="minorHAnsi"/>
          <w:b/>
          <w:sz w:val="24"/>
          <w:szCs w:val="24"/>
        </w:rPr>
        <w:t>V</w:t>
      </w:r>
      <w:r w:rsidR="005C426A">
        <w:rPr>
          <w:rFonts w:asciiTheme="minorHAnsi" w:hAnsiTheme="minorHAnsi" w:cstheme="minorHAnsi"/>
          <w:b/>
          <w:sz w:val="24"/>
          <w:szCs w:val="24"/>
        </w:rPr>
        <w:t>A</w:t>
      </w:r>
      <w:r w:rsidRPr="005C426A">
        <w:rPr>
          <w:rFonts w:asciiTheme="minorHAnsi" w:hAnsiTheme="minorHAnsi" w:cstheme="minorHAnsi"/>
          <w:b/>
          <w:sz w:val="24"/>
          <w:szCs w:val="24"/>
        </w:rPr>
        <w:t xml:space="preserve"> Category 3E</w:t>
      </w:r>
      <w:r w:rsidR="006C7A45" w:rsidRPr="005C426A">
        <w:rPr>
          <w:rFonts w:asciiTheme="minorHAnsi" w:hAnsiTheme="minorHAnsi" w:cstheme="minorHAnsi"/>
          <w:bCs/>
          <w:sz w:val="24"/>
          <w:szCs w:val="24"/>
        </w:rPr>
        <w:t>:</w:t>
      </w:r>
      <w:r w:rsidRPr="005C426A">
        <w:rPr>
          <w:rFonts w:asciiTheme="minorHAnsi" w:hAnsiTheme="minorHAnsi" w:cstheme="minorHAnsi"/>
          <w:bCs/>
          <w:sz w:val="24"/>
          <w:szCs w:val="24"/>
        </w:rPr>
        <w:t xml:space="preserve"> waters are of concern to the state and data exist, but no Water Quality Standard has been established for the pollutant. The waterbody either exceeds a state screening value, failed a toxicity test or the pollutant has been identified as a most probable stressor and</w:t>
      </w:r>
      <w:r w:rsidRPr="005C426A">
        <w:rPr>
          <w:rFonts w:asciiTheme="minorHAnsi" w:hAnsiTheme="minorHAnsi" w:cstheme="minorHAnsi"/>
          <w:sz w:val="24"/>
          <w:szCs w:val="24"/>
        </w:rPr>
        <w:t xml:space="preserve"> had a TMDL equation assigned during development of an EPA approved TMDL.</w:t>
      </w:r>
    </w:p>
    <w:p w14:paraId="2C0121C1" w14:textId="77777777" w:rsidR="00A003C5" w:rsidRPr="002E41DD" w:rsidRDefault="00A003C5" w:rsidP="00A003C5">
      <w:pPr>
        <w:pStyle w:val="EndnoteText"/>
        <w:ind w:left="1170"/>
        <w:rPr>
          <w:rFonts w:asciiTheme="minorHAnsi" w:hAnsiTheme="minorHAnsi" w:cstheme="minorHAnsi"/>
          <w:b/>
          <w:sz w:val="24"/>
          <w:szCs w:val="24"/>
        </w:rPr>
      </w:pPr>
    </w:p>
    <w:p w14:paraId="4278AD60" w14:textId="007D319D" w:rsidR="00A003C5" w:rsidRPr="00B41990" w:rsidRDefault="00937277" w:rsidP="00B41990">
      <w:pPr>
        <w:pStyle w:val="Heading4"/>
      </w:pPr>
      <w:r w:rsidRPr="00B41990">
        <w:t>Impaired</w:t>
      </w:r>
      <w:r w:rsidR="000A1086">
        <w:t>:</w:t>
      </w:r>
      <w:r w:rsidR="00A003C5" w:rsidRPr="00B41990">
        <w:t xml:space="preserve"> </w:t>
      </w:r>
      <w:r w:rsidR="000A1086">
        <w:t>W</w:t>
      </w:r>
      <w:r w:rsidR="00A003C5" w:rsidRPr="00B41990">
        <w:t>aters are impaired or threatened</w:t>
      </w:r>
      <w:r w:rsidR="002066D5" w:rsidRPr="00B41990">
        <w:t>.</w:t>
      </w:r>
    </w:p>
    <w:p w14:paraId="48387B67" w14:textId="595B9118" w:rsidR="005B0168" w:rsidRPr="005B0168" w:rsidRDefault="00A003C5" w:rsidP="00506B65">
      <w:pPr>
        <w:pStyle w:val="EndnoteText"/>
        <w:ind w:left="720"/>
        <w:rPr>
          <w:rFonts w:cstheme="minorHAnsi"/>
          <w:bCs/>
          <w:szCs w:val="24"/>
        </w:rPr>
      </w:pPr>
      <w:r w:rsidRPr="00430384">
        <w:rPr>
          <w:rFonts w:asciiTheme="minorHAnsi" w:hAnsiTheme="minorHAnsi" w:cstheme="minorHAnsi"/>
          <w:b/>
          <w:sz w:val="24"/>
          <w:szCs w:val="24"/>
        </w:rPr>
        <w:t>EPA Category 4A</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water is impaired or threatened for one or more designated uses but </w:t>
      </w:r>
      <w:r w:rsidRPr="00506B65">
        <w:rPr>
          <w:rFonts w:asciiTheme="minorHAnsi" w:hAnsiTheme="minorHAnsi" w:cstheme="minorHAnsi"/>
          <w:bCs/>
          <w:sz w:val="24"/>
          <w:szCs w:val="24"/>
        </w:rPr>
        <w:t>does not require a TMDL</w:t>
      </w:r>
      <w:r w:rsidR="005248F2" w:rsidRPr="00506B65">
        <w:rPr>
          <w:rFonts w:asciiTheme="minorHAnsi" w:hAnsiTheme="minorHAnsi" w:cstheme="minorHAnsi"/>
          <w:bCs/>
          <w:sz w:val="24"/>
          <w:szCs w:val="24"/>
        </w:rPr>
        <w:t xml:space="preserve"> (an EPA approved TMDL already exists of the waterbody has been nested within an approved TMDL)</w:t>
      </w:r>
      <w:r w:rsidRPr="00506B65">
        <w:rPr>
          <w:rFonts w:asciiTheme="minorHAnsi" w:hAnsiTheme="minorHAnsi" w:cstheme="minorHAnsi"/>
          <w:bCs/>
          <w:sz w:val="24"/>
          <w:szCs w:val="24"/>
        </w:rPr>
        <w:t xml:space="preserve">. </w:t>
      </w:r>
      <w:r w:rsidR="005B0168" w:rsidRPr="00506B65">
        <w:rPr>
          <w:rFonts w:asciiTheme="minorHAnsi" w:hAnsiTheme="minorHAnsi" w:cstheme="minorHAnsi"/>
          <w:bCs/>
          <w:sz w:val="24"/>
          <w:szCs w:val="24"/>
        </w:rPr>
        <w:t xml:space="preserve">In the case of </w:t>
      </w:r>
      <w:proofErr w:type="gramStart"/>
      <w:r w:rsidR="005B0168" w:rsidRPr="00506B65">
        <w:rPr>
          <w:rFonts w:asciiTheme="minorHAnsi" w:hAnsiTheme="minorHAnsi" w:cstheme="minorHAnsi"/>
          <w:bCs/>
          <w:sz w:val="24"/>
          <w:szCs w:val="24"/>
        </w:rPr>
        <w:t>a nested</w:t>
      </w:r>
      <w:proofErr w:type="gramEnd"/>
      <w:r w:rsidR="005B0168" w:rsidRPr="00506B65">
        <w:rPr>
          <w:rFonts w:asciiTheme="minorHAnsi" w:hAnsiTheme="minorHAnsi" w:cstheme="minorHAnsi"/>
          <w:bCs/>
          <w:sz w:val="24"/>
          <w:szCs w:val="24"/>
        </w:rPr>
        <w:t xml:space="preserve"> water, a new TMDL is not necessary to address the newly impaired water if the nesting procedure is followed (see Part VII, Rule 3).</w:t>
      </w:r>
      <w:r w:rsidR="005B0168" w:rsidRPr="005B0168">
        <w:rPr>
          <w:rFonts w:cstheme="minorHAnsi"/>
          <w:bCs/>
          <w:szCs w:val="24"/>
        </w:rPr>
        <w:t xml:space="preserve"> </w:t>
      </w:r>
    </w:p>
    <w:p w14:paraId="64196FF8" w14:textId="77777777" w:rsidR="00A003C5" w:rsidRPr="001058C4" w:rsidRDefault="00A003C5" w:rsidP="00A003C5">
      <w:pPr>
        <w:pStyle w:val="EndnoteText"/>
        <w:rPr>
          <w:rFonts w:asciiTheme="minorHAnsi" w:hAnsiTheme="minorHAnsi" w:cstheme="minorHAnsi"/>
          <w:bCs/>
          <w:sz w:val="24"/>
          <w:szCs w:val="24"/>
        </w:rPr>
      </w:pPr>
    </w:p>
    <w:p w14:paraId="3EE959A1" w14:textId="2ED56440" w:rsidR="00A003C5" w:rsidRPr="001058C4" w:rsidRDefault="00A003C5" w:rsidP="000B4511">
      <w:pPr>
        <w:pStyle w:val="EndnoteText"/>
        <w:ind w:left="720"/>
        <w:rPr>
          <w:rFonts w:asciiTheme="minorHAnsi" w:hAnsiTheme="minorHAnsi" w:cstheme="minorHAnsi"/>
          <w:bCs/>
          <w:sz w:val="24"/>
          <w:szCs w:val="24"/>
        </w:rPr>
      </w:pPr>
      <w:r w:rsidRPr="00430384">
        <w:rPr>
          <w:rFonts w:asciiTheme="minorHAnsi" w:hAnsiTheme="minorHAnsi" w:cstheme="minorHAnsi"/>
          <w:b/>
          <w:sz w:val="24"/>
          <w:szCs w:val="24"/>
        </w:rPr>
        <w:lastRenderedPageBreak/>
        <w:t>EPA Category 4B</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water is impaired or threatened for one or more designated uses but does not require the development of a TMDL because other pollution control </w:t>
      </w:r>
      <w:r w:rsidR="009176CD" w:rsidRPr="001058C4">
        <w:rPr>
          <w:rFonts w:asciiTheme="minorHAnsi" w:hAnsiTheme="minorHAnsi" w:cstheme="minorHAnsi"/>
          <w:bCs/>
          <w:sz w:val="24"/>
          <w:szCs w:val="24"/>
        </w:rPr>
        <w:t>requirements are</w:t>
      </w:r>
      <w:r w:rsidRPr="001058C4">
        <w:rPr>
          <w:rFonts w:asciiTheme="minorHAnsi" w:hAnsiTheme="minorHAnsi" w:cstheme="minorHAnsi"/>
          <w:bCs/>
          <w:sz w:val="24"/>
          <w:szCs w:val="24"/>
        </w:rPr>
        <w:t xml:space="preserve"> reasonably expected to result in attainment of </w:t>
      </w:r>
      <w:r w:rsidR="00802697">
        <w:rPr>
          <w:rFonts w:asciiTheme="minorHAnsi" w:hAnsiTheme="minorHAnsi" w:cstheme="minorHAnsi"/>
          <w:bCs/>
          <w:sz w:val="24"/>
          <w:szCs w:val="24"/>
        </w:rPr>
        <w:t xml:space="preserve">the </w:t>
      </w:r>
      <w:r w:rsidRPr="001058C4">
        <w:rPr>
          <w:rFonts w:asciiTheme="minorHAnsi" w:hAnsiTheme="minorHAnsi" w:cstheme="minorHAnsi"/>
          <w:bCs/>
          <w:sz w:val="24"/>
          <w:szCs w:val="24"/>
        </w:rPr>
        <w:t>water quality standard by the next reporting period.</w:t>
      </w:r>
    </w:p>
    <w:p w14:paraId="19205BD8" w14:textId="77777777" w:rsidR="00A003C5" w:rsidRPr="001058C4" w:rsidRDefault="00A003C5" w:rsidP="00A003C5">
      <w:pPr>
        <w:rPr>
          <w:rFonts w:cstheme="minorHAnsi"/>
          <w:bCs/>
          <w:szCs w:val="24"/>
        </w:rPr>
      </w:pPr>
    </w:p>
    <w:p w14:paraId="702EB3C1" w14:textId="315BD931" w:rsidR="004C0FC7" w:rsidRPr="00BC6FFE" w:rsidRDefault="00A003C5" w:rsidP="001F71B8">
      <w:pPr>
        <w:pStyle w:val="Default"/>
        <w:rPr>
          <w:rFonts w:ascii="Times New Roman" w:hAnsi="Times New Roman"/>
          <w14:ligatures w14:val="standardContextual"/>
        </w:rPr>
      </w:pPr>
      <w:r w:rsidRPr="001F71B8">
        <w:rPr>
          <w:rFonts w:asciiTheme="minorHAnsi" w:hAnsiTheme="minorHAnsi"/>
          <w:b/>
        </w:rPr>
        <w:t>EPA Category 4C</w:t>
      </w:r>
      <w:r w:rsidR="00555CBD" w:rsidRPr="001F71B8">
        <w:rPr>
          <w:rFonts w:asciiTheme="minorHAnsi" w:hAnsiTheme="minorHAnsi"/>
        </w:rPr>
        <w:t>:</w:t>
      </w:r>
      <w:r w:rsidRPr="001F71B8">
        <w:rPr>
          <w:rFonts w:asciiTheme="minorHAnsi" w:hAnsiTheme="minorHAnsi"/>
        </w:rPr>
        <w:t xml:space="preserve"> </w:t>
      </w:r>
      <w:r w:rsidRPr="001F71B8">
        <w:rPr>
          <w:rFonts w:asciiTheme="minorHAnsi" w:hAnsiTheme="minorHAnsi" w:cstheme="minorHAnsi"/>
        </w:rPr>
        <w:t>water is impaired or threatened for one or more designated uses but does not require a TMDL because the impairment is not caused by a pollutant</w:t>
      </w:r>
      <w:r w:rsidR="004C0FC7" w:rsidRPr="001F71B8">
        <w:rPr>
          <w:rFonts w:asciiTheme="minorHAnsi" w:hAnsiTheme="minorHAnsi" w:cstheme="minorHAnsi"/>
          <w:bCs/>
        </w:rPr>
        <w:t>.</w:t>
      </w:r>
      <w:r w:rsidRPr="001F71B8">
        <w:rPr>
          <w:rFonts w:asciiTheme="minorHAnsi" w:hAnsiTheme="minorHAnsi" w:cstheme="minorHAnsi"/>
          <w:bCs/>
        </w:rPr>
        <w:t xml:space="preserve"> </w:t>
      </w:r>
      <w:r w:rsidR="004C0FC7" w:rsidRPr="001F71B8">
        <w:rPr>
          <w:rFonts w:asciiTheme="minorHAnsi" w:hAnsiTheme="minorHAnsi" w:cstheme="minorHAnsi"/>
          <w14:ligatures w14:val="standardContextual"/>
        </w:rPr>
        <w:t>This category includes Virginia waters that are swamp</w:t>
      </w:r>
      <w:r w:rsidR="00F9118B">
        <w:rPr>
          <w:rFonts w:asciiTheme="minorHAnsi" w:hAnsiTheme="minorHAnsi" w:cstheme="minorHAnsi"/>
          <w14:ligatures w14:val="standardContextual"/>
        </w:rPr>
        <w:t xml:space="preserve"> </w:t>
      </w:r>
      <w:r w:rsidR="004C0FC7" w:rsidRPr="001F71B8">
        <w:rPr>
          <w:rFonts w:asciiTheme="minorHAnsi" w:hAnsiTheme="minorHAnsi" w:cstheme="minorHAnsi"/>
          <w14:ligatures w14:val="standardContextual"/>
        </w:rPr>
        <w:t>waters awaiting aquatic life criteria reclassification because the impairment has been determined to be caused by natural conditions.</w:t>
      </w:r>
      <w:r w:rsidR="004C0FC7" w:rsidRPr="004C0FC7">
        <w:rPr>
          <w:rFonts w:ascii="Times New Roman" w:hAnsi="Times New Roman"/>
          <w:sz w:val="23"/>
          <w:szCs w:val="23"/>
          <w14:ligatures w14:val="standardContextual"/>
        </w:rPr>
        <w:t xml:space="preserve"> </w:t>
      </w:r>
    </w:p>
    <w:p w14:paraId="2E5EED92" w14:textId="77777777" w:rsidR="00A003C5" w:rsidRPr="001058C4" w:rsidRDefault="00A003C5" w:rsidP="00A003C5">
      <w:pPr>
        <w:rPr>
          <w:rFonts w:cstheme="minorHAnsi"/>
          <w:bCs/>
          <w:szCs w:val="24"/>
        </w:rPr>
      </w:pPr>
    </w:p>
    <w:p w14:paraId="0ACCBA1B" w14:textId="0CAE766D" w:rsidR="00A003C5" w:rsidRPr="001058C4" w:rsidRDefault="00A003C5" w:rsidP="00BC6FFE">
      <w:pPr>
        <w:ind w:left="720"/>
        <w:rPr>
          <w:rFonts w:cstheme="minorHAnsi"/>
          <w:bCs/>
          <w:szCs w:val="24"/>
        </w:rPr>
      </w:pPr>
      <w:r w:rsidRPr="00430384">
        <w:rPr>
          <w:rFonts w:cstheme="minorHAnsi"/>
          <w:b/>
          <w:szCs w:val="24"/>
        </w:rPr>
        <w:t>V</w:t>
      </w:r>
      <w:r w:rsidR="00CD610D">
        <w:rPr>
          <w:rFonts w:cstheme="minorHAnsi"/>
          <w:b/>
          <w:szCs w:val="24"/>
        </w:rPr>
        <w:t>A</w:t>
      </w:r>
      <w:r w:rsidRPr="00430384">
        <w:rPr>
          <w:rFonts w:cstheme="minorHAnsi"/>
          <w:b/>
          <w:szCs w:val="24"/>
        </w:rPr>
        <w:t xml:space="preserve"> Category 4D</w:t>
      </w:r>
      <w:r w:rsidR="00555CBD">
        <w:rPr>
          <w:rFonts w:cstheme="minorHAnsi"/>
          <w:bCs/>
          <w:szCs w:val="24"/>
        </w:rPr>
        <w:t>:</w:t>
      </w:r>
      <w:r w:rsidRPr="001058C4">
        <w:rPr>
          <w:rFonts w:cstheme="minorHAnsi"/>
          <w:bCs/>
          <w:szCs w:val="24"/>
        </w:rPr>
        <w:t xml:space="preserve"> part(s) of a water quality standard is attained for a pollutant with a TMDL, but the remaining criteria for the standard were not assessed due to insufficient information (only to be applied to dissolved oxygen in tidal waters of the Chesapeake Bay).</w:t>
      </w:r>
    </w:p>
    <w:p w14:paraId="6B0C5CE5" w14:textId="2DDBABCB" w:rsidR="00A003C5" w:rsidRPr="002E41DD" w:rsidRDefault="003C57C7" w:rsidP="003C57C7">
      <w:pPr>
        <w:pStyle w:val="EndnoteText"/>
        <w:tabs>
          <w:tab w:val="left" w:pos="3510"/>
        </w:tabs>
        <w:rPr>
          <w:rFonts w:asciiTheme="minorHAnsi" w:hAnsiTheme="minorHAnsi" w:cstheme="minorHAnsi"/>
          <w:sz w:val="24"/>
          <w:szCs w:val="24"/>
        </w:rPr>
      </w:pPr>
      <w:r>
        <w:rPr>
          <w:rFonts w:asciiTheme="minorHAnsi" w:hAnsiTheme="minorHAnsi" w:cstheme="minorHAnsi"/>
          <w:sz w:val="24"/>
          <w:szCs w:val="24"/>
        </w:rPr>
        <w:tab/>
      </w:r>
    </w:p>
    <w:p w14:paraId="774E4953" w14:textId="7B292691" w:rsidR="00A003C5" w:rsidRPr="001058C4" w:rsidRDefault="00A003C5" w:rsidP="00BC6FFE">
      <w:pPr>
        <w:pStyle w:val="EndnoteText"/>
        <w:rPr>
          <w:rFonts w:asciiTheme="minorHAnsi" w:hAnsiTheme="minorHAnsi" w:cstheme="minorHAnsi"/>
          <w:bCs/>
          <w:sz w:val="24"/>
          <w:szCs w:val="24"/>
        </w:rPr>
      </w:pPr>
      <w:r w:rsidRPr="00430384">
        <w:rPr>
          <w:rFonts w:asciiTheme="minorHAnsi" w:hAnsiTheme="minorHAnsi" w:cstheme="minorHAnsi"/>
          <w:b/>
          <w:sz w:val="24"/>
          <w:szCs w:val="24"/>
        </w:rPr>
        <w:t>EPA Category 5</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w:t>
      </w:r>
      <w:proofErr w:type="gramStart"/>
      <w:r w:rsidR="00555CBD">
        <w:rPr>
          <w:rFonts w:asciiTheme="minorHAnsi" w:hAnsiTheme="minorHAnsi" w:cstheme="minorHAnsi"/>
          <w:bCs/>
          <w:sz w:val="24"/>
          <w:szCs w:val="24"/>
        </w:rPr>
        <w:t>w</w:t>
      </w:r>
      <w:r w:rsidRPr="001058C4">
        <w:rPr>
          <w:rFonts w:asciiTheme="minorHAnsi" w:hAnsiTheme="minorHAnsi" w:cstheme="minorHAnsi"/>
          <w:bCs/>
          <w:sz w:val="24"/>
          <w:szCs w:val="24"/>
        </w:rPr>
        <w:t>aters are</w:t>
      </w:r>
      <w:proofErr w:type="gramEnd"/>
      <w:r w:rsidRPr="001058C4">
        <w:rPr>
          <w:rFonts w:asciiTheme="minorHAnsi" w:hAnsiTheme="minorHAnsi" w:cstheme="minorHAnsi"/>
          <w:bCs/>
          <w:sz w:val="24"/>
          <w:szCs w:val="24"/>
        </w:rPr>
        <w:t xml:space="preserve"> impaired or threatened and a TMDL is needed.</w:t>
      </w:r>
    </w:p>
    <w:p w14:paraId="115FDA62" w14:textId="77777777" w:rsidR="00A003C5" w:rsidRPr="001058C4" w:rsidRDefault="00A003C5" w:rsidP="00A003C5">
      <w:pPr>
        <w:pStyle w:val="EndnoteText"/>
        <w:rPr>
          <w:rFonts w:asciiTheme="minorHAnsi" w:hAnsiTheme="minorHAnsi" w:cstheme="minorHAnsi"/>
          <w:bCs/>
          <w:sz w:val="24"/>
          <w:szCs w:val="24"/>
        </w:rPr>
      </w:pPr>
    </w:p>
    <w:p w14:paraId="2549A45D" w14:textId="6156EA89" w:rsidR="00A003C5" w:rsidRPr="001058C4" w:rsidRDefault="00CD610D" w:rsidP="000B4511">
      <w:pPr>
        <w:pStyle w:val="EndnoteText"/>
        <w:ind w:left="1440"/>
        <w:rPr>
          <w:rFonts w:asciiTheme="minorHAnsi" w:hAnsiTheme="minorHAnsi" w:cstheme="minorHAnsi"/>
          <w:bCs/>
          <w:sz w:val="24"/>
          <w:szCs w:val="24"/>
        </w:rPr>
      </w:pPr>
      <w:r w:rsidRPr="00430384">
        <w:rPr>
          <w:rFonts w:asciiTheme="minorHAnsi" w:hAnsiTheme="minorHAnsi" w:cstheme="minorHAnsi"/>
          <w:b/>
          <w:sz w:val="24"/>
          <w:szCs w:val="24"/>
        </w:rPr>
        <w:t>V</w:t>
      </w:r>
      <w:r>
        <w:rPr>
          <w:rFonts w:asciiTheme="minorHAnsi" w:hAnsiTheme="minorHAnsi" w:cstheme="minorHAnsi"/>
          <w:b/>
          <w:sz w:val="24"/>
          <w:szCs w:val="24"/>
        </w:rPr>
        <w:t>A</w:t>
      </w:r>
      <w:r w:rsidR="00A003C5" w:rsidRPr="00430384">
        <w:rPr>
          <w:rFonts w:asciiTheme="minorHAnsi" w:hAnsiTheme="minorHAnsi" w:cstheme="minorHAnsi"/>
          <w:b/>
          <w:sz w:val="24"/>
          <w:szCs w:val="24"/>
        </w:rPr>
        <w:t xml:space="preserve"> Category 5A</w:t>
      </w:r>
      <w:r w:rsidR="00555CBD">
        <w:rPr>
          <w:rFonts w:asciiTheme="minorHAnsi" w:hAnsiTheme="minorHAnsi" w:cstheme="minorHAnsi"/>
          <w:bCs/>
          <w:sz w:val="24"/>
          <w:szCs w:val="24"/>
        </w:rPr>
        <w:t>:</w:t>
      </w:r>
      <w:r w:rsidR="00A003C5" w:rsidRPr="001058C4">
        <w:rPr>
          <w:rFonts w:asciiTheme="minorHAnsi" w:hAnsiTheme="minorHAnsi" w:cstheme="minorHAnsi"/>
          <w:bCs/>
          <w:sz w:val="24"/>
          <w:szCs w:val="24"/>
        </w:rPr>
        <w:t xml:space="preserve"> a water quality standard is not attained. The water is impaired or threatened for one or more designated uses by a pollutant(s) and requires a TMDL (303d list).</w:t>
      </w:r>
    </w:p>
    <w:p w14:paraId="1533578F" w14:textId="77777777" w:rsidR="00A003C5" w:rsidRPr="001058C4" w:rsidRDefault="00A003C5" w:rsidP="00A003C5">
      <w:pPr>
        <w:pStyle w:val="EndnoteText"/>
        <w:ind w:left="1170"/>
        <w:rPr>
          <w:rFonts w:asciiTheme="minorHAnsi" w:hAnsiTheme="minorHAnsi" w:cstheme="minorHAnsi"/>
          <w:bCs/>
          <w:sz w:val="24"/>
          <w:szCs w:val="24"/>
        </w:rPr>
      </w:pPr>
    </w:p>
    <w:p w14:paraId="6DB2BF45" w14:textId="70C473C8" w:rsidR="00A003C5" w:rsidRPr="001058C4" w:rsidRDefault="00A003C5" w:rsidP="000B4511">
      <w:pPr>
        <w:pStyle w:val="EndnoteText"/>
        <w:ind w:left="1440"/>
        <w:rPr>
          <w:rFonts w:asciiTheme="minorHAnsi" w:hAnsiTheme="minorHAnsi" w:cstheme="minorHAnsi"/>
          <w:bCs/>
          <w:sz w:val="24"/>
          <w:szCs w:val="24"/>
        </w:rPr>
      </w:pPr>
      <w:r w:rsidRPr="00430384">
        <w:rPr>
          <w:rFonts w:asciiTheme="minorHAnsi" w:hAnsiTheme="minorHAnsi" w:cstheme="minorHAnsi"/>
          <w:b/>
          <w:sz w:val="24"/>
          <w:szCs w:val="24"/>
        </w:rPr>
        <w:t>V</w:t>
      </w:r>
      <w:r w:rsidR="00CD610D">
        <w:rPr>
          <w:rFonts w:asciiTheme="minorHAnsi" w:hAnsiTheme="minorHAnsi" w:cstheme="minorHAnsi"/>
          <w:b/>
          <w:sz w:val="24"/>
          <w:szCs w:val="24"/>
        </w:rPr>
        <w:t>A</w:t>
      </w:r>
      <w:r w:rsidRPr="00430384">
        <w:rPr>
          <w:rFonts w:asciiTheme="minorHAnsi" w:hAnsiTheme="minorHAnsi" w:cstheme="minorHAnsi"/>
          <w:b/>
          <w:sz w:val="24"/>
          <w:szCs w:val="24"/>
        </w:rPr>
        <w:t xml:space="preserve"> Category 5B</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the water quality standard for shellfish use is not attained</w:t>
      </w:r>
      <w:r w:rsidR="00555CBD">
        <w:rPr>
          <w:rFonts w:asciiTheme="minorHAnsi" w:hAnsiTheme="minorHAnsi" w:cstheme="minorHAnsi"/>
          <w:bCs/>
          <w:sz w:val="24"/>
          <w:szCs w:val="24"/>
        </w:rPr>
        <w:t>, o</w:t>
      </w:r>
      <w:r w:rsidRPr="001058C4">
        <w:rPr>
          <w:rFonts w:asciiTheme="minorHAnsi" w:hAnsiTheme="minorHAnsi" w:cstheme="minorHAnsi"/>
          <w:bCs/>
          <w:sz w:val="24"/>
          <w:szCs w:val="24"/>
        </w:rPr>
        <w:t>ne or more pollutants causing impairment require</w:t>
      </w:r>
      <w:r w:rsidR="00555CBD">
        <w:rPr>
          <w:rFonts w:asciiTheme="minorHAnsi" w:hAnsiTheme="minorHAnsi" w:cstheme="minorHAnsi"/>
          <w:bCs/>
          <w:sz w:val="24"/>
          <w:szCs w:val="24"/>
        </w:rPr>
        <w:t>s</w:t>
      </w:r>
      <w:r w:rsidRPr="001058C4">
        <w:rPr>
          <w:rFonts w:asciiTheme="minorHAnsi" w:hAnsiTheme="minorHAnsi" w:cstheme="minorHAnsi"/>
          <w:bCs/>
          <w:sz w:val="24"/>
          <w:szCs w:val="24"/>
        </w:rPr>
        <w:t xml:space="preserve"> TMDL development</w:t>
      </w:r>
      <w:r w:rsidR="007D7E1C">
        <w:rPr>
          <w:rFonts w:asciiTheme="minorHAnsi" w:hAnsiTheme="minorHAnsi" w:cstheme="minorHAnsi"/>
          <w:bCs/>
          <w:sz w:val="24"/>
          <w:szCs w:val="24"/>
        </w:rPr>
        <w:t xml:space="preserve"> (303d list)</w:t>
      </w:r>
      <w:r w:rsidRPr="001058C4">
        <w:rPr>
          <w:rFonts w:asciiTheme="minorHAnsi" w:hAnsiTheme="minorHAnsi" w:cstheme="minorHAnsi"/>
          <w:bCs/>
          <w:sz w:val="24"/>
          <w:szCs w:val="24"/>
        </w:rPr>
        <w:t>.</w:t>
      </w:r>
    </w:p>
    <w:p w14:paraId="7D60AE5A" w14:textId="77777777" w:rsidR="00A003C5" w:rsidRPr="001058C4" w:rsidRDefault="00A003C5" w:rsidP="00A003C5">
      <w:pPr>
        <w:pStyle w:val="EndnoteText"/>
        <w:keepLines/>
        <w:ind w:left="1166"/>
        <w:rPr>
          <w:rFonts w:asciiTheme="minorHAnsi" w:hAnsiTheme="minorHAnsi" w:cstheme="minorHAnsi"/>
          <w:bCs/>
          <w:sz w:val="24"/>
          <w:szCs w:val="24"/>
        </w:rPr>
      </w:pPr>
    </w:p>
    <w:p w14:paraId="010DAF4E" w14:textId="18F77F68" w:rsidR="00A003C5" w:rsidRPr="001058C4" w:rsidRDefault="00A003C5" w:rsidP="000B4511">
      <w:pPr>
        <w:pStyle w:val="EndnoteText"/>
        <w:keepLines/>
        <w:ind w:left="1440"/>
        <w:rPr>
          <w:rFonts w:asciiTheme="minorHAnsi" w:hAnsiTheme="minorHAnsi" w:cstheme="minorHAnsi"/>
          <w:bCs/>
          <w:sz w:val="24"/>
          <w:szCs w:val="24"/>
        </w:rPr>
      </w:pPr>
      <w:r w:rsidRPr="00430384">
        <w:rPr>
          <w:rFonts w:asciiTheme="minorHAnsi" w:hAnsiTheme="minorHAnsi" w:cstheme="minorHAnsi"/>
          <w:b/>
          <w:sz w:val="24"/>
          <w:szCs w:val="24"/>
        </w:rPr>
        <w:t>V</w:t>
      </w:r>
      <w:r w:rsidR="00DB0A71">
        <w:rPr>
          <w:rFonts w:asciiTheme="minorHAnsi" w:hAnsiTheme="minorHAnsi" w:cstheme="minorHAnsi"/>
          <w:b/>
          <w:sz w:val="24"/>
          <w:szCs w:val="24"/>
        </w:rPr>
        <w:t>A</w:t>
      </w:r>
      <w:r w:rsidRPr="00430384">
        <w:rPr>
          <w:rFonts w:asciiTheme="minorHAnsi" w:hAnsiTheme="minorHAnsi" w:cstheme="minorHAnsi"/>
          <w:b/>
          <w:sz w:val="24"/>
          <w:szCs w:val="24"/>
        </w:rPr>
        <w:t xml:space="preserve"> Category 5C</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the water quality standard is not attained due to “suspected” natural conditions. The water is impaired for one or more designated uses by a pollutant(s) and may require a TMDL (303d list). Water quality standards for these waters may be re-evaluated due to the presence of natural conditions.</w:t>
      </w:r>
    </w:p>
    <w:p w14:paraId="050AF983" w14:textId="77777777" w:rsidR="00A003C5" w:rsidRPr="001058C4" w:rsidRDefault="00A003C5" w:rsidP="00A003C5">
      <w:pPr>
        <w:pStyle w:val="EndnoteText"/>
        <w:keepLines/>
        <w:ind w:left="1166"/>
        <w:rPr>
          <w:rFonts w:asciiTheme="minorHAnsi" w:hAnsiTheme="minorHAnsi" w:cstheme="minorHAnsi"/>
          <w:bCs/>
          <w:sz w:val="24"/>
          <w:szCs w:val="24"/>
        </w:rPr>
      </w:pPr>
    </w:p>
    <w:p w14:paraId="1112D695" w14:textId="7EB6960C" w:rsidR="00A003C5" w:rsidRPr="001058C4" w:rsidRDefault="00A003C5" w:rsidP="000B4511">
      <w:pPr>
        <w:pStyle w:val="EndnoteText"/>
        <w:ind w:left="1440"/>
        <w:rPr>
          <w:rFonts w:asciiTheme="minorHAnsi" w:hAnsiTheme="minorHAnsi" w:cstheme="minorHAnsi"/>
          <w:bCs/>
          <w:sz w:val="24"/>
          <w:szCs w:val="24"/>
        </w:rPr>
      </w:pPr>
      <w:r w:rsidRPr="00430384">
        <w:rPr>
          <w:rFonts w:asciiTheme="minorHAnsi" w:hAnsiTheme="minorHAnsi" w:cstheme="minorHAnsi"/>
          <w:b/>
          <w:sz w:val="24"/>
          <w:szCs w:val="24"/>
        </w:rPr>
        <w:t>V</w:t>
      </w:r>
      <w:r w:rsidR="00CD610D">
        <w:rPr>
          <w:rFonts w:asciiTheme="minorHAnsi" w:hAnsiTheme="minorHAnsi" w:cstheme="minorHAnsi"/>
          <w:b/>
          <w:sz w:val="24"/>
          <w:szCs w:val="24"/>
        </w:rPr>
        <w:t>A</w:t>
      </w:r>
      <w:r w:rsidRPr="00430384">
        <w:rPr>
          <w:rFonts w:asciiTheme="minorHAnsi" w:hAnsiTheme="minorHAnsi" w:cstheme="minorHAnsi"/>
          <w:b/>
          <w:sz w:val="24"/>
          <w:szCs w:val="24"/>
        </w:rPr>
        <w:t xml:space="preserve"> Category 5D</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the water quality standard is not attained where TMDLs for a pollutant(s) have been </w:t>
      </w:r>
      <w:proofErr w:type="gramStart"/>
      <w:r w:rsidRPr="001058C4">
        <w:rPr>
          <w:rFonts w:asciiTheme="minorHAnsi" w:hAnsiTheme="minorHAnsi" w:cstheme="minorHAnsi"/>
          <w:bCs/>
          <w:sz w:val="24"/>
          <w:szCs w:val="24"/>
        </w:rPr>
        <w:t>developed</w:t>
      </w:r>
      <w:proofErr w:type="gramEnd"/>
      <w:r w:rsidRPr="001058C4">
        <w:rPr>
          <w:rFonts w:asciiTheme="minorHAnsi" w:hAnsiTheme="minorHAnsi" w:cstheme="minorHAnsi"/>
          <w:bCs/>
          <w:sz w:val="24"/>
          <w:szCs w:val="24"/>
        </w:rPr>
        <w:t xml:space="preserve"> </w:t>
      </w:r>
      <w:r w:rsidR="00C931E2" w:rsidRPr="64A913E3">
        <w:rPr>
          <w:rFonts w:asciiTheme="minorHAnsi" w:hAnsiTheme="minorHAnsi" w:cstheme="minorBidi"/>
          <w:sz w:val="24"/>
          <w:szCs w:val="24"/>
        </w:rPr>
        <w:t xml:space="preserve">and </w:t>
      </w:r>
      <w:r w:rsidRPr="001058C4">
        <w:rPr>
          <w:rFonts w:asciiTheme="minorHAnsi" w:hAnsiTheme="minorHAnsi" w:cstheme="minorHAnsi"/>
          <w:bCs/>
          <w:sz w:val="24"/>
          <w:szCs w:val="24"/>
        </w:rPr>
        <w:t>one or more pollutants are still causing impairment requiring additional TMDL development</w:t>
      </w:r>
      <w:r w:rsidR="003F1CE7" w:rsidRPr="64A913E3">
        <w:rPr>
          <w:rFonts w:asciiTheme="minorHAnsi" w:hAnsiTheme="minorHAnsi" w:cstheme="minorBidi"/>
          <w:sz w:val="24"/>
          <w:szCs w:val="24"/>
        </w:rPr>
        <w:t xml:space="preserve"> (303d list)</w:t>
      </w:r>
      <w:r w:rsidRPr="64A913E3">
        <w:rPr>
          <w:rFonts w:asciiTheme="minorHAnsi" w:hAnsiTheme="minorHAnsi" w:cstheme="minorBidi"/>
          <w:sz w:val="24"/>
          <w:szCs w:val="24"/>
        </w:rPr>
        <w:t>.</w:t>
      </w:r>
    </w:p>
    <w:p w14:paraId="1ABED5C0" w14:textId="77777777" w:rsidR="00A003C5" w:rsidRPr="001058C4" w:rsidRDefault="00A003C5" w:rsidP="00A003C5">
      <w:pPr>
        <w:pStyle w:val="EndnoteText"/>
        <w:rPr>
          <w:rFonts w:asciiTheme="minorHAnsi" w:hAnsiTheme="minorHAnsi" w:cstheme="minorHAnsi"/>
          <w:bCs/>
          <w:sz w:val="24"/>
          <w:szCs w:val="24"/>
        </w:rPr>
      </w:pPr>
      <w:bookmarkStart w:id="22" w:name="OLE_LINK5"/>
    </w:p>
    <w:p w14:paraId="261AE320" w14:textId="2A0BFAE5" w:rsidR="00A003C5" w:rsidRPr="001058C4" w:rsidRDefault="00A003C5" w:rsidP="000B4511">
      <w:pPr>
        <w:pStyle w:val="EndnoteText"/>
        <w:ind w:left="1440"/>
        <w:rPr>
          <w:rFonts w:asciiTheme="minorHAnsi" w:hAnsiTheme="minorHAnsi" w:cstheme="minorHAnsi"/>
          <w:bCs/>
          <w:sz w:val="24"/>
          <w:szCs w:val="24"/>
        </w:rPr>
      </w:pPr>
      <w:r w:rsidRPr="00430384">
        <w:rPr>
          <w:rFonts w:asciiTheme="minorHAnsi" w:hAnsiTheme="minorHAnsi" w:cstheme="minorHAnsi"/>
          <w:b/>
          <w:sz w:val="24"/>
          <w:szCs w:val="24"/>
        </w:rPr>
        <w:t>V</w:t>
      </w:r>
      <w:r w:rsidR="00CD610D">
        <w:rPr>
          <w:rFonts w:asciiTheme="minorHAnsi" w:hAnsiTheme="minorHAnsi" w:cstheme="minorHAnsi"/>
          <w:b/>
          <w:sz w:val="24"/>
          <w:szCs w:val="24"/>
        </w:rPr>
        <w:t>A</w:t>
      </w:r>
      <w:r w:rsidRPr="00430384">
        <w:rPr>
          <w:rFonts w:asciiTheme="minorHAnsi" w:hAnsiTheme="minorHAnsi" w:cstheme="minorHAnsi"/>
          <w:b/>
          <w:sz w:val="24"/>
          <w:szCs w:val="24"/>
        </w:rPr>
        <w:t xml:space="preserve"> Category 5F</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w:t>
      </w:r>
      <w:bookmarkStart w:id="23" w:name="OLE_LINK3"/>
      <w:r w:rsidRPr="001058C4">
        <w:rPr>
          <w:rFonts w:asciiTheme="minorHAnsi" w:hAnsiTheme="minorHAnsi" w:cstheme="minorHAnsi"/>
          <w:bCs/>
          <w:sz w:val="24"/>
          <w:szCs w:val="24"/>
        </w:rPr>
        <w:t xml:space="preserve">the water quality standard is attained for a pollutant(s) with a TMDL and 303(d) delisting approved but the water remains impaired for additional </w:t>
      </w:r>
      <w:proofErr w:type="gramStart"/>
      <w:r w:rsidRPr="001058C4">
        <w:rPr>
          <w:rFonts w:asciiTheme="minorHAnsi" w:hAnsiTheme="minorHAnsi" w:cstheme="minorHAnsi"/>
          <w:bCs/>
          <w:sz w:val="24"/>
          <w:szCs w:val="24"/>
        </w:rPr>
        <w:t>pollutant</w:t>
      </w:r>
      <w:proofErr w:type="gramEnd"/>
      <w:r w:rsidRPr="001058C4">
        <w:rPr>
          <w:rFonts w:asciiTheme="minorHAnsi" w:hAnsiTheme="minorHAnsi" w:cstheme="minorHAnsi"/>
          <w:bCs/>
          <w:sz w:val="24"/>
          <w:szCs w:val="24"/>
        </w:rPr>
        <w:t>(s) requiring TMDL development</w:t>
      </w:r>
      <w:bookmarkEnd w:id="22"/>
      <w:r w:rsidRPr="001058C4">
        <w:rPr>
          <w:rFonts w:asciiTheme="minorHAnsi" w:hAnsiTheme="minorHAnsi" w:cstheme="minorHAnsi"/>
          <w:bCs/>
          <w:sz w:val="24"/>
          <w:szCs w:val="24"/>
        </w:rPr>
        <w:t>.</w:t>
      </w:r>
      <w:bookmarkEnd w:id="23"/>
    </w:p>
    <w:p w14:paraId="70880D67" w14:textId="77777777" w:rsidR="00A003C5" w:rsidRPr="001058C4" w:rsidRDefault="00A003C5" w:rsidP="00A003C5">
      <w:pPr>
        <w:pStyle w:val="EndnoteText"/>
        <w:ind w:left="1170"/>
        <w:rPr>
          <w:rFonts w:asciiTheme="minorHAnsi" w:hAnsiTheme="minorHAnsi" w:cstheme="minorHAnsi"/>
          <w:bCs/>
          <w:sz w:val="24"/>
          <w:szCs w:val="24"/>
        </w:rPr>
      </w:pPr>
    </w:p>
    <w:p w14:paraId="2E770CE6" w14:textId="47F7BA79" w:rsidR="00A003C5" w:rsidRPr="001058C4" w:rsidRDefault="00A003C5" w:rsidP="000B4511">
      <w:pPr>
        <w:pStyle w:val="EndnoteText"/>
        <w:ind w:left="1440"/>
        <w:rPr>
          <w:rFonts w:asciiTheme="minorHAnsi" w:hAnsiTheme="minorHAnsi" w:cstheme="minorHAnsi"/>
          <w:bCs/>
          <w:sz w:val="24"/>
          <w:szCs w:val="24"/>
        </w:rPr>
      </w:pPr>
      <w:r w:rsidRPr="00430384">
        <w:rPr>
          <w:rFonts w:asciiTheme="minorHAnsi" w:hAnsiTheme="minorHAnsi" w:cstheme="minorHAnsi"/>
          <w:b/>
          <w:sz w:val="24"/>
          <w:szCs w:val="24"/>
        </w:rPr>
        <w:t>V</w:t>
      </w:r>
      <w:r w:rsidR="00CD610D">
        <w:rPr>
          <w:rFonts w:asciiTheme="minorHAnsi" w:hAnsiTheme="minorHAnsi" w:cstheme="minorHAnsi"/>
          <w:b/>
          <w:sz w:val="24"/>
          <w:szCs w:val="24"/>
        </w:rPr>
        <w:t>A</w:t>
      </w:r>
      <w:r w:rsidRPr="00430384">
        <w:rPr>
          <w:rFonts w:asciiTheme="minorHAnsi" w:hAnsiTheme="minorHAnsi" w:cstheme="minorHAnsi"/>
          <w:b/>
          <w:sz w:val="24"/>
          <w:szCs w:val="24"/>
        </w:rPr>
        <w:t xml:space="preserve"> Category 5R</w:t>
      </w:r>
      <w:r w:rsidR="00555CBD">
        <w:rPr>
          <w:rFonts w:asciiTheme="minorHAnsi" w:hAnsiTheme="minorHAnsi" w:cstheme="minorHAnsi"/>
          <w:bCs/>
          <w:sz w:val="24"/>
          <w:szCs w:val="24"/>
        </w:rPr>
        <w:t>:</w:t>
      </w:r>
      <w:r w:rsidRPr="001058C4">
        <w:rPr>
          <w:rFonts w:asciiTheme="minorHAnsi" w:hAnsiTheme="minorHAnsi" w:cstheme="minorHAnsi"/>
          <w:bCs/>
          <w:sz w:val="24"/>
          <w:szCs w:val="24"/>
        </w:rPr>
        <w:t xml:space="preserve"> </w:t>
      </w:r>
      <w:r w:rsidRPr="001058C4">
        <w:rPr>
          <w:rFonts w:asciiTheme="minorHAnsi" w:hAnsiTheme="minorHAnsi" w:cstheme="minorHAnsi"/>
          <w:bCs/>
          <w:iCs/>
          <w:sz w:val="24"/>
          <w:szCs w:val="24"/>
        </w:rPr>
        <w:t xml:space="preserve">the Water Quality Standard is not </w:t>
      </w:r>
      <w:r w:rsidR="00555CBD" w:rsidRPr="001058C4">
        <w:rPr>
          <w:rFonts w:asciiTheme="minorHAnsi" w:hAnsiTheme="minorHAnsi" w:cstheme="minorHAnsi"/>
          <w:bCs/>
          <w:iCs/>
          <w:sz w:val="24"/>
          <w:szCs w:val="24"/>
        </w:rPr>
        <w:t>attained,</w:t>
      </w:r>
      <w:r w:rsidRPr="001058C4">
        <w:rPr>
          <w:rFonts w:asciiTheme="minorHAnsi" w:hAnsiTheme="minorHAnsi" w:cstheme="minorHAnsi"/>
          <w:bCs/>
          <w:iCs/>
          <w:sz w:val="24"/>
          <w:szCs w:val="24"/>
        </w:rPr>
        <w:t xml:space="preserve"> and the water is impaired, and implementation of an EPA-accepted restoration plan is expected to result in attainment. A status update will be </w:t>
      </w:r>
      <w:proofErr w:type="gramStart"/>
      <w:r w:rsidRPr="001058C4">
        <w:rPr>
          <w:rFonts w:asciiTheme="minorHAnsi" w:hAnsiTheme="minorHAnsi" w:cstheme="minorHAnsi"/>
          <w:bCs/>
          <w:iCs/>
          <w:sz w:val="24"/>
          <w:szCs w:val="24"/>
        </w:rPr>
        <w:t>provided</w:t>
      </w:r>
      <w:proofErr w:type="gramEnd"/>
      <w:r w:rsidRPr="001058C4">
        <w:rPr>
          <w:rFonts w:asciiTheme="minorHAnsi" w:hAnsiTheme="minorHAnsi" w:cstheme="minorHAnsi"/>
          <w:bCs/>
          <w:iCs/>
          <w:sz w:val="24"/>
          <w:szCs w:val="24"/>
        </w:rPr>
        <w:t xml:space="preserve"> each 303(d) cycle to evaluate progress.</w:t>
      </w:r>
    </w:p>
    <w:p w14:paraId="28369D5C" w14:textId="59B36CF1" w:rsidR="00A003C5" w:rsidRPr="001058C4" w:rsidRDefault="00434746" w:rsidP="00A003C5">
      <w:pPr>
        <w:pStyle w:val="EndnoteText"/>
        <w:ind w:left="1170"/>
        <w:rPr>
          <w:rFonts w:asciiTheme="minorHAnsi" w:hAnsiTheme="minorHAnsi" w:cstheme="minorHAnsi"/>
          <w:bCs/>
          <w:sz w:val="24"/>
          <w:szCs w:val="24"/>
        </w:rPr>
      </w:pPr>
      <w:r>
        <w:rPr>
          <w:rFonts w:cstheme="minorHAnsi"/>
          <w:noProof/>
          <w14:ligatures w14:val="standardContextual"/>
        </w:rPr>
        <w:lastRenderedPageBreak/>
        <mc:AlternateContent>
          <mc:Choice Requires="wps">
            <w:drawing>
              <wp:anchor distT="0" distB="0" distL="114300" distR="114300" simplePos="0" relativeHeight="251658262" behindDoc="0" locked="0" layoutInCell="1" allowOverlap="1" wp14:anchorId="4BC3F64F" wp14:editId="2E4D7EA8">
                <wp:simplePos x="0" y="0"/>
                <wp:positionH relativeFrom="column">
                  <wp:posOffset>3371850</wp:posOffset>
                </wp:positionH>
                <wp:positionV relativeFrom="paragraph">
                  <wp:posOffset>19050</wp:posOffset>
                </wp:positionV>
                <wp:extent cx="2457450" cy="1419225"/>
                <wp:effectExtent l="19050" t="19050" r="19050" b="28575"/>
                <wp:wrapSquare wrapText="bothSides"/>
                <wp:docPr id="1123635848"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57450" cy="1419225"/>
                        </a:xfrm>
                        <a:prstGeom prst="rect">
                          <a:avLst/>
                        </a:prstGeom>
                        <a:solidFill>
                          <a:srgbClr val="0067A4">
                            <a:alpha val="6000"/>
                          </a:srgbClr>
                        </a:solidFill>
                        <a:ln w="28575">
                          <a:solidFill>
                            <a:srgbClr val="0067A4"/>
                          </a:solidFill>
                        </a:ln>
                        <a:effectLst>
                          <a:softEdge rad="12700"/>
                        </a:effectLst>
                      </wps:spPr>
                      <wps:txbx>
                        <w:txbxContent>
                          <w:p w14:paraId="4A66FBE9" w14:textId="6FD611FE" w:rsidR="00E93D16" w:rsidRPr="00B77415" w:rsidRDefault="00E93D16" w:rsidP="00E93D16">
                            <w:pPr>
                              <w:rPr>
                                <w:color w:val="000000" w:themeColor="text1"/>
                              </w:rPr>
                            </w:pPr>
                            <w:r w:rsidRPr="00B77415">
                              <w:rPr>
                                <w:b/>
                                <w:bCs/>
                                <w:i/>
                                <w:iCs/>
                                <w:color w:val="000000" w:themeColor="text1"/>
                                <w:szCs w:val="24"/>
                              </w:rPr>
                              <w:t>Atmospheric deposition</w:t>
                            </w:r>
                            <w:r w:rsidRPr="00B77415">
                              <w:rPr>
                                <w:i/>
                                <w:iCs/>
                                <w:color w:val="000000" w:themeColor="text1"/>
                                <w:szCs w:val="24"/>
                              </w:rPr>
                              <w:t xml:space="preserve"> is the process whereby precipitation (rain, snow, fog), particles, aerosols, and gases originating from a variety of air pollution sources move from the air (atmosphere) to the earth's surface, including land and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3F64F" id="_x0000_s1028" type="#_x0000_t202" alt="&quot;&quot;" style="position:absolute;left:0;text-align:left;margin-left:265.5pt;margin-top:1.5pt;width:193.5pt;height:111.7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" fillcolor="#0067a4" strokecolor="#0067a4" strokeweight="2.25pt">
                <v:fill opacity="3855f"/>
                <v:textbox>
                  <w:txbxContent>
                    <w:p w14:paraId="4A66FBE9" w14:textId="6FD611FE" w:rsidR="00E93D16" w:rsidRPr="00B77415" w:rsidRDefault="00E93D16" w:rsidP="00E93D16">
                      <w:pPr>
                        <w:rPr>
                          <w:color w:val="000000" w:themeColor="text1"/>
                        </w:rPr>
                      </w:pPr>
                      <w:r w:rsidRPr="00B77415">
                        <w:rPr>
                          <w:b/>
                          <w:bCs/>
                          <w:i/>
                          <w:iCs/>
                          <w:color w:val="000000" w:themeColor="text1"/>
                          <w:szCs w:val="24"/>
                        </w:rPr>
                        <w:t>Atmospheric deposition</w:t>
                      </w:r>
                      <w:r w:rsidRPr="00B77415">
                        <w:rPr>
                          <w:i/>
                          <w:iCs/>
                          <w:color w:val="000000" w:themeColor="text1"/>
                          <w:szCs w:val="24"/>
                        </w:rPr>
                        <w:t xml:space="preserve"> is the process whereby precipitation (rain, snow, fog), particles, aerosols, and gases originating from a variety of air pollution sources move from the air (atmosphere) to the earth's surface, including land and water.</w:t>
                      </w:r>
                    </w:p>
                  </w:txbxContent>
                </v:textbox>
                <w10:wrap type="square"/>
              </v:shape>
            </w:pict>
          </mc:Fallback>
        </mc:AlternateContent>
      </w:r>
    </w:p>
    <w:p w14:paraId="51DDA2B5" w14:textId="67975026" w:rsidR="00415424" w:rsidRDefault="00A003C5" w:rsidP="00120C34">
      <w:pPr>
        <w:pStyle w:val="EndnoteText"/>
        <w:ind w:left="720"/>
        <w:rPr>
          <w:rFonts w:asciiTheme="minorHAnsi" w:hAnsiTheme="minorHAnsi" w:cstheme="minorHAnsi"/>
          <w:bCs/>
          <w:sz w:val="24"/>
          <w:szCs w:val="24"/>
        </w:rPr>
      </w:pPr>
      <w:r w:rsidRPr="00430384">
        <w:rPr>
          <w:rFonts w:asciiTheme="minorHAnsi" w:hAnsiTheme="minorHAnsi" w:cstheme="minorHAnsi"/>
          <w:b/>
          <w:sz w:val="24"/>
          <w:szCs w:val="24"/>
        </w:rPr>
        <w:t>EPA Category 5M</w:t>
      </w:r>
      <w:r w:rsidR="00555CBD" w:rsidRPr="0014381F">
        <w:rPr>
          <w:rFonts w:asciiTheme="minorHAnsi" w:hAnsiTheme="minorHAnsi" w:cstheme="minorHAnsi"/>
          <w:bCs/>
          <w:sz w:val="24"/>
          <w:szCs w:val="24"/>
        </w:rPr>
        <w:t>:</w:t>
      </w:r>
      <w:r w:rsidR="005B2952">
        <w:rPr>
          <w:rFonts w:asciiTheme="minorHAnsi" w:hAnsiTheme="minorHAnsi" w:cstheme="minorHAnsi"/>
          <w:bCs/>
          <w:sz w:val="24"/>
          <w:szCs w:val="24"/>
        </w:rPr>
        <w:t xml:space="preserve"> </w:t>
      </w:r>
      <w:r w:rsidRPr="001058C4">
        <w:rPr>
          <w:rFonts w:asciiTheme="minorHAnsi" w:hAnsiTheme="minorHAnsi" w:cstheme="minorHAnsi"/>
          <w:bCs/>
          <w:sz w:val="24"/>
          <w:szCs w:val="24"/>
        </w:rPr>
        <w:t>the water quality standard is not attained for mercury primarily due to atmospheric deposition.</w:t>
      </w:r>
    </w:p>
    <w:p w14:paraId="05F4E264" w14:textId="156E8076" w:rsidR="00FD1A23" w:rsidRPr="006F279F" w:rsidRDefault="00FD1A23" w:rsidP="001E43E9"/>
    <w:p w14:paraId="41677857" w14:textId="08807C4E" w:rsidR="00A003C5" w:rsidRPr="00021824" w:rsidRDefault="00A003C5" w:rsidP="00021824">
      <w:pPr>
        <w:pStyle w:val="Heading2"/>
      </w:pPr>
      <w:bookmarkStart w:id="24" w:name="_Toc152763297"/>
      <w:bookmarkStart w:id="25" w:name="_Toc155771943"/>
      <w:bookmarkStart w:id="26" w:name="_Toc191900423"/>
      <w:r w:rsidRPr="00021824">
        <w:t>Data Used to Determine Water Quality</w:t>
      </w:r>
      <w:bookmarkEnd w:id="24"/>
      <w:bookmarkEnd w:id="25"/>
      <w:bookmarkEnd w:id="26"/>
    </w:p>
    <w:p w14:paraId="39807946" w14:textId="1BB3BF02" w:rsidR="00A003C5" w:rsidRPr="002E41DD" w:rsidRDefault="00A003C5" w:rsidP="00296F06">
      <w:pPr>
        <w:pStyle w:val="Level1"/>
        <w:widowControl/>
        <w:rPr>
          <w:rFonts w:asciiTheme="minorHAnsi" w:hAnsiTheme="minorHAnsi" w:cstheme="minorHAnsi"/>
          <w:szCs w:val="24"/>
        </w:rPr>
      </w:pPr>
      <w:r w:rsidRPr="002E41DD">
        <w:rPr>
          <w:rFonts w:asciiTheme="minorHAnsi" w:hAnsiTheme="minorHAnsi" w:cstheme="minorHAnsi"/>
          <w:szCs w:val="24"/>
        </w:rPr>
        <w:t xml:space="preserve">There are two basic types of water quality data used in the assessment process. The primary type is “monitored” data approved through the quality assurance/quality control process (QA/QC). The data </w:t>
      </w:r>
      <w:proofErr w:type="gramStart"/>
      <w:r w:rsidRPr="002E41DD">
        <w:rPr>
          <w:rFonts w:asciiTheme="minorHAnsi" w:hAnsiTheme="minorHAnsi" w:cstheme="minorHAnsi"/>
          <w:szCs w:val="24"/>
        </w:rPr>
        <w:t>come</w:t>
      </w:r>
      <w:proofErr w:type="gramEnd"/>
      <w:r w:rsidRPr="002E41DD">
        <w:rPr>
          <w:rFonts w:asciiTheme="minorHAnsi" w:hAnsiTheme="minorHAnsi" w:cstheme="minorHAnsi"/>
          <w:szCs w:val="24"/>
        </w:rPr>
        <w:t xml:space="preserve"> from the analysis of chemical, biological, and/or physical samples collected by DEQ or by individuals and organizations that have been approved by DEQ. </w:t>
      </w:r>
      <w:proofErr w:type="gramStart"/>
      <w:r w:rsidRPr="002E41DD">
        <w:rPr>
          <w:rFonts w:asciiTheme="minorHAnsi" w:hAnsiTheme="minorHAnsi" w:cstheme="minorHAnsi"/>
          <w:szCs w:val="24"/>
        </w:rPr>
        <w:t>These</w:t>
      </w:r>
      <w:proofErr w:type="gramEnd"/>
      <w:r w:rsidRPr="002E41DD">
        <w:rPr>
          <w:rFonts w:asciiTheme="minorHAnsi" w:hAnsiTheme="minorHAnsi" w:cstheme="minorHAnsi"/>
          <w:szCs w:val="24"/>
        </w:rPr>
        <w:t xml:space="preserve"> data </w:t>
      </w:r>
      <w:r w:rsidR="00430384" w:rsidRPr="002E41DD">
        <w:rPr>
          <w:rFonts w:asciiTheme="minorHAnsi" w:hAnsiTheme="minorHAnsi" w:cstheme="minorHAnsi"/>
          <w:szCs w:val="24"/>
        </w:rPr>
        <w:t>are</w:t>
      </w:r>
      <w:r w:rsidRPr="002E41DD">
        <w:rPr>
          <w:rFonts w:asciiTheme="minorHAnsi" w:hAnsiTheme="minorHAnsi" w:cstheme="minorHAnsi"/>
          <w:szCs w:val="24"/>
        </w:rPr>
        <w:t xml:space="preserve"> of the highest quality. Generally, states compile their lists of impaired waters using only monitored data, which are generated using EPA-accepted sampling and analytical methods. All non-DEQ monitoring data submittals used in an assessment, except chemical data submittals from the U.S. Geological Survey (USGS), must include a sampling and analysis protocol for DEQ review. </w:t>
      </w:r>
    </w:p>
    <w:p w14:paraId="10B939D7" w14:textId="77777777" w:rsidR="00A003C5" w:rsidRPr="002E41DD" w:rsidRDefault="00A003C5" w:rsidP="001E43E9"/>
    <w:p w14:paraId="2CECA48E" w14:textId="2D4C9E09" w:rsidR="00A003C5" w:rsidRPr="002E41DD" w:rsidRDefault="00A003C5" w:rsidP="00A003C5">
      <w:pPr>
        <w:pStyle w:val="Level1"/>
        <w:widowControl/>
        <w:rPr>
          <w:rFonts w:asciiTheme="minorHAnsi" w:hAnsiTheme="minorHAnsi" w:cstheme="minorHAnsi"/>
          <w:szCs w:val="24"/>
        </w:rPr>
      </w:pPr>
      <w:r w:rsidRPr="002E41DD">
        <w:rPr>
          <w:rFonts w:asciiTheme="minorHAnsi" w:hAnsiTheme="minorHAnsi" w:cstheme="minorHAnsi"/>
          <w:szCs w:val="24"/>
        </w:rPr>
        <w:t xml:space="preserve">The second type of data used in the assessment is considered “evaluated” data. These physical, chemical, and biological data are primarily obtained from sources without an EPA-approved or DEQ-accepted sampling protocol. These data </w:t>
      </w:r>
      <w:r w:rsidR="00430384" w:rsidRPr="002E41DD">
        <w:rPr>
          <w:rFonts w:asciiTheme="minorHAnsi" w:hAnsiTheme="minorHAnsi" w:cstheme="minorHAnsi"/>
          <w:szCs w:val="24"/>
        </w:rPr>
        <w:t>are</w:t>
      </w:r>
      <w:r w:rsidRPr="002E41DD">
        <w:rPr>
          <w:rFonts w:asciiTheme="minorHAnsi" w:hAnsiTheme="minorHAnsi" w:cstheme="minorHAnsi"/>
          <w:szCs w:val="24"/>
        </w:rPr>
        <w:t xml:space="preserve"> of lower quality than monitored data. Normally, these data are not used directly for listing waters as </w:t>
      </w:r>
      <w:r w:rsidR="00765685" w:rsidRPr="002E41DD">
        <w:rPr>
          <w:rFonts w:asciiTheme="minorHAnsi" w:hAnsiTheme="minorHAnsi" w:cstheme="minorHAnsi"/>
          <w:szCs w:val="24"/>
        </w:rPr>
        <w:t>impaired but</w:t>
      </w:r>
      <w:r w:rsidRPr="002E41DD">
        <w:rPr>
          <w:rFonts w:asciiTheme="minorHAnsi" w:hAnsiTheme="minorHAnsi" w:cstheme="minorHAnsi"/>
          <w:szCs w:val="24"/>
        </w:rPr>
        <w:t xml:space="preserve"> may be used to identify observed effects that may trigger additional follow-up monitoring. </w:t>
      </w:r>
    </w:p>
    <w:p w14:paraId="0D719EF3" w14:textId="77777777" w:rsidR="00A003C5" w:rsidRPr="002E41DD" w:rsidRDefault="00A003C5" w:rsidP="001E43E9">
      <w:pPr>
        <w:rPr>
          <w:rFonts w:cstheme="minorHAnsi"/>
          <w:szCs w:val="24"/>
        </w:rPr>
      </w:pPr>
    </w:p>
    <w:p w14:paraId="19DC6142" w14:textId="2843E6AE" w:rsidR="00A003C5" w:rsidRPr="002E41DD" w:rsidRDefault="00A003C5" w:rsidP="00411A22">
      <w:pPr>
        <w:rPr>
          <w:rFonts w:cstheme="minorHAnsi"/>
          <w:szCs w:val="24"/>
        </w:rPr>
      </w:pPr>
      <w:r w:rsidRPr="002E41DD">
        <w:rPr>
          <w:rFonts w:cstheme="minorHAnsi"/>
          <w:szCs w:val="24"/>
        </w:rPr>
        <w:t xml:space="preserve">Non-DEQ water quality data </w:t>
      </w:r>
      <w:proofErr w:type="gramStart"/>
      <w:r w:rsidRPr="002E41DD">
        <w:rPr>
          <w:rFonts w:cstheme="minorHAnsi"/>
          <w:szCs w:val="24"/>
        </w:rPr>
        <w:t>continue</w:t>
      </w:r>
      <w:proofErr w:type="gramEnd"/>
      <w:r w:rsidRPr="002E41DD">
        <w:rPr>
          <w:rFonts w:cstheme="minorHAnsi"/>
          <w:szCs w:val="24"/>
        </w:rPr>
        <w:t xml:space="preserve"> to be tremendously valuable to the assessment process. The data generated by citizen groups, the private sector, and other governmental agencies extend the reach of DEQ’s monitoring network. </w:t>
      </w:r>
      <w:r w:rsidR="00AB6B44">
        <w:rPr>
          <w:rFonts w:cstheme="minorHAnsi"/>
          <w:szCs w:val="24"/>
        </w:rPr>
        <w:t>DEQ strives to ensure the</w:t>
      </w:r>
      <w:r w:rsidR="00DB4135">
        <w:rPr>
          <w:rFonts w:cstheme="minorHAnsi"/>
          <w:szCs w:val="24"/>
        </w:rPr>
        <w:t xml:space="preserve"> quality and representativeness of “outside” data used in this IR </w:t>
      </w:r>
      <w:r w:rsidR="00413F52">
        <w:rPr>
          <w:rFonts w:cstheme="minorHAnsi"/>
          <w:szCs w:val="24"/>
        </w:rPr>
        <w:t>process and</w:t>
      </w:r>
      <w:r w:rsidRPr="002E41DD">
        <w:rPr>
          <w:rFonts w:cstheme="minorHAnsi"/>
          <w:szCs w:val="24"/>
        </w:rPr>
        <w:t xml:space="preserve"> has made a considerable effort to improve the data quality of outside data providers by reviewing monitoring protocols and holding training events. DEQ</w:t>
      </w:r>
      <w:r w:rsidR="001E7436">
        <w:rPr>
          <w:rFonts w:cstheme="minorHAnsi"/>
          <w:szCs w:val="24"/>
        </w:rPr>
        <w:t xml:space="preserve"> </w:t>
      </w:r>
      <w:r w:rsidR="00556B17">
        <w:rPr>
          <w:rFonts w:cstheme="minorHAnsi"/>
          <w:szCs w:val="24"/>
        </w:rPr>
        <w:t>will continue to provide technical assistance with a goal of expanding the use of approved outside data into future assessments</w:t>
      </w:r>
      <w:r w:rsidR="000F363B">
        <w:rPr>
          <w:rFonts w:cstheme="minorHAnsi"/>
          <w:szCs w:val="24"/>
        </w:rPr>
        <w:t>. It is important to note that use of data collected by non-DEQ organizations is done under the consent of the collecting entity</w:t>
      </w:r>
      <w:r w:rsidR="00E052AD">
        <w:rPr>
          <w:rFonts w:cstheme="minorHAnsi"/>
          <w:szCs w:val="24"/>
        </w:rPr>
        <w:t xml:space="preserve"> and </w:t>
      </w:r>
      <w:r w:rsidR="00B01184">
        <w:rPr>
          <w:rFonts w:cstheme="minorHAnsi"/>
          <w:szCs w:val="24"/>
        </w:rPr>
        <w:t>is</w:t>
      </w:r>
      <w:r w:rsidR="00C909FC">
        <w:rPr>
          <w:rFonts w:cstheme="minorHAnsi"/>
          <w:szCs w:val="24"/>
        </w:rPr>
        <w:t xml:space="preserve"> submitted </w:t>
      </w:r>
      <w:proofErr w:type="gramStart"/>
      <w:r w:rsidR="00C909FC">
        <w:rPr>
          <w:rFonts w:cstheme="minorHAnsi"/>
          <w:szCs w:val="24"/>
        </w:rPr>
        <w:t>consistent</w:t>
      </w:r>
      <w:proofErr w:type="gramEnd"/>
      <w:r w:rsidR="00C909FC">
        <w:rPr>
          <w:rFonts w:cstheme="minorHAnsi"/>
          <w:szCs w:val="24"/>
        </w:rPr>
        <w:t xml:space="preserve"> with data submission guidelines established by DEQ</w:t>
      </w:r>
      <w:r w:rsidR="000F363B">
        <w:rPr>
          <w:rFonts w:cstheme="minorHAnsi"/>
          <w:szCs w:val="24"/>
        </w:rPr>
        <w:t>.</w:t>
      </w:r>
    </w:p>
    <w:p w14:paraId="381778C6" w14:textId="77777777" w:rsidR="00F139D3" w:rsidRDefault="00F139D3" w:rsidP="00E24BF3">
      <w:pPr>
        <w:rPr>
          <w:rFonts w:cstheme="minorHAnsi"/>
          <w:szCs w:val="24"/>
        </w:rPr>
      </w:pPr>
    </w:p>
    <w:p w14:paraId="7822FDEA" w14:textId="77777777" w:rsidR="00892FA8" w:rsidRPr="00F916B7" w:rsidRDefault="00892FA8" w:rsidP="00E24BF3">
      <w:pPr>
        <w:rPr>
          <w:rFonts w:ascii="Times New Roman" w:hAnsi="Times New Roman"/>
          <w:b/>
          <w:szCs w:val="24"/>
        </w:rPr>
      </w:pPr>
    </w:p>
    <w:p w14:paraId="751A6770" w14:textId="77777777" w:rsidR="00C96D2C" w:rsidRDefault="00C96D2C" w:rsidP="002D4928">
      <w:pPr>
        <w:pStyle w:val="Heading1"/>
        <w:sectPr w:rsidR="00C96D2C" w:rsidSect="009079C4">
          <w:footerReference w:type="default" r:id="rId125"/>
          <w:type w:val="continuous"/>
          <w:pgSz w:w="12240" w:h="15840"/>
          <w:pgMar w:top="1440" w:right="1440" w:bottom="720" w:left="1440" w:header="864" w:footer="720" w:gutter="0"/>
          <w:pgNumType w:start="0"/>
          <w:cols w:space="720"/>
          <w:docGrid w:linePitch="360"/>
        </w:sectPr>
      </w:pPr>
      <w:bookmarkStart w:id="27" w:name="_Toc152763299"/>
    </w:p>
    <w:p w14:paraId="7C6E8FCA" w14:textId="4E39C75F" w:rsidR="003B230C" w:rsidRPr="002D4928" w:rsidRDefault="003B230C" w:rsidP="002D4928">
      <w:pPr>
        <w:pStyle w:val="Heading1"/>
      </w:pPr>
      <w:bookmarkStart w:id="28" w:name="_Toc155771945"/>
      <w:bookmarkStart w:id="29" w:name="_Toc191900424"/>
      <w:r w:rsidRPr="002D4928">
        <w:lastRenderedPageBreak/>
        <w:t>STATE BACKGROUND INFORMATION</w:t>
      </w:r>
      <w:bookmarkEnd w:id="27"/>
      <w:bookmarkEnd w:id="28"/>
      <w:bookmarkEnd w:id="29"/>
    </w:p>
    <w:p w14:paraId="388F2661" w14:textId="77777777" w:rsidR="003B230C" w:rsidRPr="003B230C" w:rsidRDefault="003B230C" w:rsidP="003B230C">
      <w:pPr>
        <w:rPr>
          <w:rFonts w:ascii="Times New Roman" w:hAnsi="Times New Roman"/>
          <w:szCs w:val="24"/>
        </w:rPr>
      </w:pPr>
    </w:p>
    <w:p w14:paraId="74223537" w14:textId="572D7DAD" w:rsidR="003B230C" w:rsidRPr="003002DC" w:rsidRDefault="003B230C" w:rsidP="003B4A6F">
      <w:pPr>
        <w:pStyle w:val="Heading2"/>
      </w:pPr>
      <w:bookmarkStart w:id="30" w:name="_Toc152763300"/>
      <w:bookmarkStart w:id="31" w:name="_Toc155771946"/>
      <w:bookmarkStart w:id="32" w:name="_Toc191900425"/>
      <w:r w:rsidRPr="003002DC">
        <w:t>Population</w:t>
      </w:r>
      <w:bookmarkEnd w:id="30"/>
      <w:bookmarkEnd w:id="31"/>
      <w:bookmarkEnd w:id="32"/>
    </w:p>
    <w:p w14:paraId="5F606542" w14:textId="64BF794B" w:rsidR="003B230C" w:rsidRPr="003737E5" w:rsidRDefault="003B230C" w:rsidP="0031073C">
      <w:pPr>
        <w:rPr>
          <w:rFonts w:cstheme="minorBidi"/>
        </w:rPr>
      </w:pPr>
      <w:r w:rsidRPr="20EB7A98">
        <w:rPr>
          <w:rFonts w:cstheme="minorBidi"/>
        </w:rPr>
        <w:t xml:space="preserve">The Commonwealth of Virginia covers </w:t>
      </w:r>
      <w:r w:rsidR="00994416" w:rsidRPr="20EB7A98">
        <w:rPr>
          <w:rFonts w:cstheme="minorBidi"/>
        </w:rPr>
        <w:t>42,</w:t>
      </w:r>
      <w:r w:rsidR="004863D4" w:rsidRPr="20EB7A98">
        <w:rPr>
          <w:rFonts w:cstheme="minorBidi"/>
        </w:rPr>
        <w:t>775</w:t>
      </w:r>
      <w:r w:rsidRPr="20EB7A98">
        <w:rPr>
          <w:rFonts w:cstheme="minorBidi"/>
        </w:rPr>
        <w:t xml:space="preserve"> square miles and ranks 37th among the states in size. This area is divided into six DEQ</w:t>
      </w:r>
      <w:r w:rsidR="00FD1A23" w:rsidRPr="20EB7A98">
        <w:rPr>
          <w:rFonts w:cstheme="minorBidi"/>
        </w:rPr>
        <w:t xml:space="preserve"> </w:t>
      </w:r>
      <w:r w:rsidRPr="20EB7A98">
        <w:rPr>
          <w:rFonts w:cstheme="minorBidi"/>
        </w:rPr>
        <w:t xml:space="preserve">regional offices, with one satellite office. According to the most recent census (2020), the population of the </w:t>
      </w:r>
      <w:r w:rsidR="00833229" w:rsidRPr="20EB7A98">
        <w:rPr>
          <w:rFonts w:cstheme="minorBidi"/>
        </w:rPr>
        <w:t>C</w:t>
      </w:r>
      <w:r w:rsidRPr="20EB7A98">
        <w:rPr>
          <w:rFonts w:cstheme="minorBidi"/>
        </w:rPr>
        <w:t xml:space="preserve">ommonwealth was estimated to be </w:t>
      </w:r>
      <w:r w:rsidRPr="20EB7A98">
        <w:rPr>
          <w:rFonts w:cstheme="minorBidi"/>
          <w:color w:val="000000" w:themeColor="text1"/>
        </w:rPr>
        <w:t xml:space="preserve">8,631,393, </w:t>
      </w:r>
      <w:r w:rsidRPr="20EB7A98">
        <w:rPr>
          <w:rFonts w:cstheme="minorBidi"/>
        </w:rPr>
        <w:t xml:space="preserve">or 2.6% of the total United States population. It </w:t>
      </w:r>
      <w:proofErr w:type="gramStart"/>
      <w:r w:rsidRPr="20EB7A98">
        <w:rPr>
          <w:rFonts w:cstheme="minorBidi"/>
        </w:rPr>
        <w:t>has grown</w:t>
      </w:r>
      <w:proofErr w:type="gramEnd"/>
      <w:r w:rsidRPr="20EB7A98">
        <w:rPr>
          <w:rFonts w:cstheme="minorBidi"/>
        </w:rPr>
        <w:t xml:space="preserve"> approximately 7% between 2010 and 2020, ranking 12th nationally. Approximately 88% of all Virginians live in three metropolitan areas: Northern Virginia, Norfolk</w:t>
      </w:r>
      <w:r w:rsidR="258F191C" w:rsidRPr="4B25B700">
        <w:rPr>
          <w:rFonts w:cstheme="minorBidi"/>
        </w:rPr>
        <w:t>-</w:t>
      </w:r>
      <w:r w:rsidRPr="20EB7A98">
        <w:rPr>
          <w:rFonts w:cstheme="minorBidi"/>
        </w:rPr>
        <w:t xml:space="preserve">Virginia </w:t>
      </w:r>
      <w:r w:rsidRPr="18D8ADFE">
        <w:rPr>
          <w:rFonts w:cstheme="minorBidi"/>
        </w:rPr>
        <w:t>Beach</w:t>
      </w:r>
      <w:r w:rsidR="094F9B39" w:rsidRPr="4B25B700">
        <w:rPr>
          <w:rFonts w:cstheme="minorBidi"/>
        </w:rPr>
        <w:t>-</w:t>
      </w:r>
      <w:r w:rsidRPr="18D8ADFE">
        <w:rPr>
          <w:rFonts w:cstheme="minorBidi"/>
        </w:rPr>
        <w:t>Newport</w:t>
      </w:r>
      <w:r w:rsidRPr="20EB7A98">
        <w:rPr>
          <w:rFonts w:cstheme="minorBidi"/>
        </w:rPr>
        <w:t xml:space="preserve"> News, </w:t>
      </w:r>
      <w:r w:rsidRPr="4B25B700">
        <w:rPr>
          <w:rFonts w:cstheme="minorBidi"/>
        </w:rPr>
        <w:t>Richmond</w:t>
      </w:r>
      <w:r w:rsidR="2AF0ED8A" w:rsidRPr="4B25B700">
        <w:rPr>
          <w:rFonts w:cstheme="minorBidi"/>
        </w:rPr>
        <w:t>-</w:t>
      </w:r>
      <w:r w:rsidRPr="4B25B700">
        <w:rPr>
          <w:rFonts w:cstheme="minorBidi"/>
        </w:rPr>
        <w:t>Petersburg.</w:t>
      </w:r>
      <w:r w:rsidRPr="20EB7A98">
        <w:rPr>
          <w:rFonts w:cstheme="minorBidi"/>
        </w:rPr>
        <w:t xml:space="preserve"> Approximately 12%</w:t>
      </w:r>
      <w:r w:rsidR="00B317B1" w:rsidRPr="20EB7A98">
        <w:rPr>
          <w:rFonts w:cstheme="minorBidi"/>
        </w:rPr>
        <w:t xml:space="preserve"> </w:t>
      </w:r>
      <w:r w:rsidRPr="20EB7A98">
        <w:rPr>
          <w:rFonts w:cstheme="minorBidi"/>
        </w:rPr>
        <w:t>of the population lives in rural areas.</w:t>
      </w:r>
    </w:p>
    <w:p w14:paraId="10196C92" w14:textId="77777777" w:rsidR="003B230C" w:rsidRPr="003737E5" w:rsidRDefault="003B230C" w:rsidP="003B230C">
      <w:pPr>
        <w:jc w:val="both"/>
        <w:rPr>
          <w:rFonts w:cstheme="minorHAnsi"/>
          <w:szCs w:val="24"/>
        </w:rPr>
      </w:pPr>
    </w:p>
    <w:p w14:paraId="174B7341" w14:textId="7E976B95" w:rsidR="003B230C" w:rsidRPr="003002DC" w:rsidRDefault="003B230C" w:rsidP="0011205E">
      <w:pPr>
        <w:pStyle w:val="Heading2"/>
      </w:pPr>
      <w:bookmarkStart w:id="33" w:name="_Toc152763301"/>
      <w:bookmarkStart w:id="34" w:name="_Toc155771947"/>
      <w:bookmarkStart w:id="35" w:name="_Toc191900426"/>
      <w:r w:rsidRPr="003737E5">
        <w:t>Geography</w:t>
      </w:r>
      <w:bookmarkEnd w:id="33"/>
      <w:bookmarkEnd w:id="34"/>
      <w:r w:rsidR="00187F0B">
        <w:t xml:space="preserve"> and Geology</w:t>
      </w:r>
      <w:bookmarkEnd w:id="35"/>
    </w:p>
    <w:p w14:paraId="1B84ECAC" w14:textId="0C219F34" w:rsidR="00BC5C9D" w:rsidRDefault="003B230C" w:rsidP="00ED07B1">
      <w:pPr>
        <w:rPr>
          <w:rFonts w:cstheme="minorHAnsi"/>
          <w:szCs w:val="24"/>
        </w:rPr>
      </w:pPr>
      <w:r w:rsidRPr="003737E5">
        <w:rPr>
          <w:rFonts w:cstheme="minorHAnsi"/>
          <w:szCs w:val="24"/>
        </w:rPr>
        <w:t xml:space="preserve">Virginia is over 400 miles in length along its southern boundary, reaching from the Atlantic Ocean in the east, crossing the eastern continental </w:t>
      </w:r>
      <w:proofErr w:type="gramStart"/>
      <w:r w:rsidRPr="003737E5">
        <w:rPr>
          <w:rFonts w:cstheme="minorHAnsi"/>
          <w:szCs w:val="24"/>
        </w:rPr>
        <w:t>divide</w:t>
      </w:r>
      <w:proofErr w:type="gramEnd"/>
      <w:r w:rsidRPr="003737E5">
        <w:rPr>
          <w:rFonts w:cstheme="minorHAnsi"/>
          <w:szCs w:val="24"/>
        </w:rPr>
        <w:t xml:space="preserve"> into the Mississippi Basin to the west. Along the way, Virginia crosses five physiographic provinces</w:t>
      </w:r>
      <w:r w:rsidR="004E713C">
        <w:rPr>
          <w:rFonts w:cstheme="minorHAnsi"/>
          <w:szCs w:val="24"/>
        </w:rPr>
        <w:t xml:space="preserve"> (Figure 2.2-1)</w:t>
      </w:r>
      <w:r w:rsidR="00136414">
        <w:rPr>
          <w:rFonts w:cstheme="minorHAnsi"/>
          <w:szCs w:val="24"/>
        </w:rPr>
        <w:t xml:space="preserve">, which </w:t>
      </w:r>
      <w:r w:rsidR="005D243F">
        <w:rPr>
          <w:rFonts w:cstheme="minorHAnsi"/>
          <w:szCs w:val="24"/>
        </w:rPr>
        <w:t>affect</w:t>
      </w:r>
      <w:r w:rsidR="00B13A12">
        <w:rPr>
          <w:rFonts w:cstheme="minorHAnsi"/>
          <w:szCs w:val="24"/>
        </w:rPr>
        <w:t xml:space="preserve">s </w:t>
      </w:r>
      <w:r w:rsidR="00136414">
        <w:rPr>
          <w:rFonts w:cstheme="minorHAnsi"/>
          <w:szCs w:val="24"/>
        </w:rPr>
        <w:t>the physical, chemical</w:t>
      </w:r>
      <w:r w:rsidR="005D243F">
        <w:rPr>
          <w:rFonts w:cstheme="minorHAnsi"/>
          <w:szCs w:val="24"/>
        </w:rPr>
        <w:t>,</w:t>
      </w:r>
      <w:r w:rsidR="00136414">
        <w:rPr>
          <w:rFonts w:cstheme="minorHAnsi"/>
          <w:szCs w:val="24"/>
        </w:rPr>
        <w:t xml:space="preserve"> and biological properties of Virginia’s water resources</w:t>
      </w:r>
      <w:r w:rsidRPr="003737E5">
        <w:rPr>
          <w:rFonts w:cstheme="minorHAnsi"/>
          <w:szCs w:val="24"/>
        </w:rPr>
        <w:t xml:space="preserve">. </w:t>
      </w:r>
    </w:p>
    <w:p w14:paraId="777373C4" w14:textId="77777777" w:rsidR="009548F6" w:rsidRDefault="009548F6" w:rsidP="00ED07B1">
      <w:pPr>
        <w:rPr>
          <w:noProof/>
        </w:rPr>
      </w:pPr>
    </w:p>
    <w:p w14:paraId="4A3FE3E9" w14:textId="77777777" w:rsidR="009548F6" w:rsidRDefault="009548F6" w:rsidP="009548F6">
      <w:pPr>
        <w:keepNext/>
      </w:pPr>
      <w:r>
        <w:rPr>
          <w:noProof/>
        </w:rPr>
        <w:drawing>
          <wp:inline distT="0" distB="0" distL="0" distR="0" wp14:anchorId="4C950D94" wp14:editId="300C34C8">
            <wp:extent cx="5485515" cy="2886075"/>
            <wp:effectExtent l="0" t="0" r="1270" b="0"/>
            <wp:docPr id="766044354" name="Picture 766044354" descr="Diagram&#10;&#10;Figure 2.2 1. Map of Virginia’s five physiographic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044354" name="Picture 766044354" descr="Diagram&#10;&#10;Figure 2.2 1. Map of Virginia’s five physiographic regions."/>
                    <pic:cNvPicPr>
                      <a:picLocks noChangeAspect="1" noChangeArrowheads="1"/>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5504488" cy="2896057"/>
                    </a:xfrm>
                    <a:prstGeom prst="rect">
                      <a:avLst/>
                    </a:prstGeom>
                    <a:noFill/>
                    <a:ln>
                      <a:noFill/>
                    </a:ln>
                    <a:extLst>
                      <a:ext uri="{53640926-AAD7-44D8-BBD7-CCE9431645EC}">
                        <a14:shadowObscured xmlns:a14="http://schemas.microsoft.com/office/drawing/2010/main"/>
                      </a:ext>
                    </a:extLst>
                  </pic:spPr>
                </pic:pic>
              </a:graphicData>
            </a:graphic>
          </wp:inline>
        </w:drawing>
      </w:r>
    </w:p>
    <w:p w14:paraId="1C11DB7E" w14:textId="18EB1F83" w:rsidR="00BC5C9D" w:rsidRDefault="009548F6" w:rsidP="009548F6">
      <w:pPr>
        <w:pStyle w:val="Caption"/>
        <w:rPr>
          <w:rFonts w:cstheme="minorHAnsi"/>
          <w:szCs w:val="24"/>
        </w:rPr>
      </w:pPr>
      <w:bookmarkStart w:id="36" w:name="_Toc164175046"/>
      <w:r>
        <w:t xml:space="preserve">Figure </w:t>
      </w:r>
      <w:r w:rsidR="004F13BA">
        <w:fldChar w:fldCharType="begin"/>
      </w:r>
      <w:r w:rsidR="004F13BA">
        <w:instrText xml:space="preserve"> STYLEREF 2 \s </w:instrText>
      </w:r>
      <w:r w:rsidR="004F13BA">
        <w:fldChar w:fldCharType="separate"/>
      </w:r>
      <w:r w:rsidR="00E429BB">
        <w:rPr>
          <w:noProof/>
        </w:rPr>
        <w:t>2.2</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Map of Virginia’s five physiographic regions.</w:t>
      </w:r>
      <w:bookmarkEnd w:id="36"/>
    </w:p>
    <w:p w14:paraId="157D8E8D" w14:textId="77777777" w:rsidR="009548F6" w:rsidRDefault="009548F6" w:rsidP="00ED07B1">
      <w:pPr>
        <w:rPr>
          <w:rFonts w:cstheme="minorHAnsi"/>
          <w:szCs w:val="24"/>
        </w:rPr>
      </w:pPr>
    </w:p>
    <w:p w14:paraId="44914799" w14:textId="71A62977" w:rsidR="003B230C" w:rsidRPr="003737E5" w:rsidRDefault="003B230C" w:rsidP="00ED07B1">
      <w:pPr>
        <w:rPr>
          <w:rFonts w:cstheme="minorHAnsi"/>
          <w:szCs w:val="24"/>
        </w:rPr>
      </w:pPr>
      <w:r w:rsidRPr="003737E5">
        <w:rPr>
          <w:rFonts w:cstheme="minorHAnsi"/>
          <w:szCs w:val="24"/>
        </w:rPr>
        <w:t xml:space="preserve">The southwestern edge of the state touches the margin of the </w:t>
      </w:r>
      <w:r w:rsidR="000820CD">
        <w:rPr>
          <w:rFonts w:cstheme="minorHAnsi"/>
          <w:szCs w:val="24"/>
        </w:rPr>
        <w:t>Appalachian/</w:t>
      </w:r>
      <w:r w:rsidRPr="003737E5">
        <w:rPr>
          <w:rFonts w:cstheme="minorHAnsi"/>
          <w:szCs w:val="24"/>
        </w:rPr>
        <w:t>Cumberland Plateau, characterized by rugged terrain with formations of sandstone and shale.</w:t>
      </w:r>
      <w:r w:rsidR="00ED07B1">
        <w:rPr>
          <w:rFonts w:cstheme="minorHAnsi"/>
          <w:szCs w:val="24"/>
        </w:rPr>
        <w:t xml:space="preserve"> </w:t>
      </w:r>
      <w:r w:rsidRPr="003737E5">
        <w:rPr>
          <w:rFonts w:cstheme="minorHAnsi"/>
          <w:szCs w:val="24"/>
        </w:rPr>
        <w:t xml:space="preserve">The Valley and Ridge province encompasses the long, parallel ridges of the Appalachian Mountain chain in western Virginia. Erosion-resistant quartzites and sandstones form the ridgetops, while streams have carved valleys into the softer limestones and shales. The narrow Blue Ridge Mountain province is made up of hard greenstone, </w:t>
      </w:r>
      <w:r w:rsidR="005B2952" w:rsidRPr="003737E5">
        <w:rPr>
          <w:rFonts w:cstheme="minorHAnsi"/>
          <w:szCs w:val="24"/>
        </w:rPr>
        <w:t>quartzites,</w:t>
      </w:r>
      <w:r w:rsidRPr="003737E5">
        <w:rPr>
          <w:rFonts w:cstheme="minorHAnsi"/>
          <w:szCs w:val="24"/>
        </w:rPr>
        <w:t xml:space="preserve"> granites, igneous</w:t>
      </w:r>
      <w:r w:rsidR="00F71E5A">
        <w:rPr>
          <w:rFonts w:cstheme="minorHAnsi"/>
          <w:szCs w:val="24"/>
        </w:rPr>
        <w:t>,</w:t>
      </w:r>
      <w:r w:rsidRPr="003737E5">
        <w:rPr>
          <w:rFonts w:cstheme="minorHAnsi"/>
          <w:szCs w:val="24"/>
        </w:rPr>
        <w:t xml:space="preserve"> and metamorphic rocks that originated as ancient lava flows. These mountains are among the oldest on earth. East of the Blue Ridge Mountains lies the rolling Piedmont of central Virginia. A complex layer of igneous and metamorphic rocks underlies this area. The Triassic Basins, ancient down</w:t>
      </w:r>
      <w:r w:rsidRPr="003737E5">
        <w:rPr>
          <w:rFonts w:cstheme="minorHAnsi"/>
          <w:szCs w:val="24"/>
        </w:rPr>
        <w:noBreakHyphen/>
        <w:t xml:space="preserve">faulted </w:t>
      </w:r>
      <w:r w:rsidRPr="003737E5">
        <w:rPr>
          <w:rFonts w:cstheme="minorHAnsi"/>
          <w:szCs w:val="24"/>
        </w:rPr>
        <w:lastRenderedPageBreak/>
        <w:t xml:space="preserve">basins filled with sedimentary rocks and igneous </w:t>
      </w:r>
      <w:proofErr w:type="gramStart"/>
      <w:r w:rsidRPr="003737E5">
        <w:rPr>
          <w:rFonts w:cstheme="minorHAnsi"/>
          <w:szCs w:val="24"/>
        </w:rPr>
        <w:t>intrusions</w:t>
      </w:r>
      <w:proofErr w:type="gramEnd"/>
      <w:r w:rsidRPr="003737E5">
        <w:rPr>
          <w:rFonts w:cstheme="minorHAnsi"/>
          <w:szCs w:val="24"/>
        </w:rPr>
        <w:t xml:space="preserve"> are major sub</w:t>
      </w:r>
      <w:r w:rsidRPr="003737E5">
        <w:rPr>
          <w:rFonts w:cstheme="minorHAnsi"/>
          <w:szCs w:val="24"/>
        </w:rPr>
        <w:noBreakHyphen/>
        <w:t xml:space="preserve">units of this province. A distinctive fall line, marked by waterfalls and rapids across the major rivers, divides </w:t>
      </w:r>
      <w:proofErr w:type="gramStart"/>
      <w:r w:rsidRPr="003737E5">
        <w:rPr>
          <w:rFonts w:cstheme="minorHAnsi"/>
          <w:szCs w:val="24"/>
        </w:rPr>
        <w:t>the Piedmont</w:t>
      </w:r>
      <w:proofErr w:type="gramEnd"/>
      <w:r w:rsidRPr="003737E5">
        <w:rPr>
          <w:rFonts w:cstheme="minorHAnsi"/>
          <w:szCs w:val="24"/>
        </w:rPr>
        <w:t xml:space="preserve"> from the Coastal Plain. Virginia's flat Tidewater area consists of deep, unconsolidated deposits of sand, gravel, fossil shells, and clay. The basement formation of granite, exposed at the fall line, is buried under 2,900 feet of sediment at the Atlantic Coast.</w:t>
      </w:r>
    </w:p>
    <w:p w14:paraId="1474A143" w14:textId="77777777" w:rsidR="003B230C" w:rsidRPr="003737E5" w:rsidRDefault="003B230C" w:rsidP="003B230C">
      <w:pPr>
        <w:jc w:val="both"/>
        <w:rPr>
          <w:rFonts w:cstheme="minorHAnsi"/>
          <w:szCs w:val="24"/>
          <w:u w:val="single"/>
        </w:rPr>
      </w:pPr>
    </w:p>
    <w:p w14:paraId="1A7F2606" w14:textId="76C710AF" w:rsidR="003B230C" w:rsidRPr="003002DC" w:rsidRDefault="003B230C" w:rsidP="0011205E">
      <w:pPr>
        <w:pStyle w:val="Heading2"/>
      </w:pPr>
      <w:bookmarkStart w:id="37" w:name="_Toc152763302"/>
      <w:bookmarkStart w:id="38" w:name="_Toc155771948"/>
      <w:bookmarkStart w:id="39" w:name="_Toc191900427"/>
      <w:r w:rsidRPr="003737E5">
        <w:t>Water Resources</w:t>
      </w:r>
      <w:bookmarkEnd w:id="37"/>
      <w:bookmarkEnd w:id="38"/>
      <w:bookmarkEnd w:id="39"/>
      <w:r w:rsidRPr="003737E5">
        <w:t xml:space="preserve"> </w:t>
      </w:r>
    </w:p>
    <w:p w14:paraId="640B65FB" w14:textId="10C2A9BA" w:rsidR="00231914" w:rsidRDefault="003B230C" w:rsidP="00DE3318">
      <w:pPr>
        <w:rPr>
          <w:rFonts w:cstheme="minorHAnsi"/>
          <w:szCs w:val="24"/>
        </w:rPr>
      </w:pPr>
      <w:r w:rsidRPr="003737E5">
        <w:rPr>
          <w:rFonts w:cstheme="minorHAnsi"/>
          <w:szCs w:val="24"/>
        </w:rPr>
        <w:t xml:space="preserve">Virginia has an estimated </w:t>
      </w:r>
      <w:r w:rsidRPr="003737E5">
        <w:rPr>
          <w:rFonts w:cstheme="minorHAnsi"/>
          <w:snapToGrid/>
          <w:szCs w:val="24"/>
        </w:rPr>
        <w:t>100,9</w:t>
      </w:r>
      <w:r w:rsidR="0011116B">
        <w:rPr>
          <w:rFonts w:cstheme="minorHAnsi"/>
          <w:snapToGrid/>
          <w:szCs w:val="24"/>
        </w:rPr>
        <w:t>75</w:t>
      </w:r>
      <w:r w:rsidRPr="003737E5">
        <w:rPr>
          <w:rFonts w:cstheme="minorHAnsi"/>
          <w:snapToGrid/>
          <w:szCs w:val="24"/>
        </w:rPr>
        <w:t xml:space="preserve"> </w:t>
      </w:r>
      <w:r w:rsidRPr="003737E5">
        <w:rPr>
          <w:rFonts w:cstheme="minorHAnsi"/>
          <w:szCs w:val="24"/>
        </w:rPr>
        <w:t>miles of streams and rivers divided into nine major river basins</w:t>
      </w:r>
      <w:r w:rsidR="004863D4">
        <w:rPr>
          <w:rFonts w:cstheme="minorHAnsi"/>
          <w:szCs w:val="24"/>
        </w:rPr>
        <w:t xml:space="preserve"> (Potomac/Shenandoah, James, York, Roanoke/Yadkin, Chowan/Dismal Swamp, Tennessee/Big Sandy, Chesapeake Bay/Atlantic</w:t>
      </w:r>
      <w:r w:rsidR="00DC4802">
        <w:rPr>
          <w:rFonts w:cstheme="minorHAnsi"/>
          <w:szCs w:val="24"/>
        </w:rPr>
        <w:t>/Small Coastal, Rappahannock, and New)</w:t>
      </w:r>
      <w:r w:rsidRPr="003737E5">
        <w:rPr>
          <w:rFonts w:cstheme="minorHAnsi"/>
          <w:szCs w:val="24"/>
        </w:rPr>
        <w:t>. This estimate represents mileage determined by the United States Geological Survey National Hydrography Dataset (NHD</w:t>
      </w:r>
      <w:r w:rsidR="009C58B5">
        <w:rPr>
          <w:rFonts w:cstheme="minorHAnsi"/>
          <w:szCs w:val="24"/>
        </w:rPr>
        <w:t>; 1:24,000</w:t>
      </w:r>
      <w:r w:rsidRPr="003737E5">
        <w:rPr>
          <w:rFonts w:cstheme="minorHAnsi"/>
          <w:szCs w:val="24"/>
        </w:rPr>
        <w:t xml:space="preserve">). </w:t>
      </w:r>
      <w:r w:rsidR="008E7C58">
        <w:rPr>
          <w:rFonts w:cstheme="minorHAnsi"/>
          <w:szCs w:val="24"/>
        </w:rPr>
        <w:t>T</w:t>
      </w:r>
      <w:r w:rsidRPr="003737E5">
        <w:rPr>
          <w:rFonts w:cstheme="minorHAnsi"/>
          <w:szCs w:val="24"/>
        </w:rPr>
        <w:t xml:space="preserve">he </w:t>
      </w:r>
      <w:r w:rsidR="00833229">
        <w:rPr>
          <w:rFonts w:cstheme="minorHAnsi"/>
          <w:szCs w:val="24"/>
        </w:rPr>
        <w:t>C</w:t>
      </w:r>
      <w:r w:rsidRPr="003737E5">
        <w:rPr>
          <w:rFonts w:cstheme="minorHAnsi"/>
          <w:szCs w:val="24"/>
        </w:rPr>
        <w:t xml:space="preserve">ommonwealth </w:t>
      </w:r>
      <w:r w:rsidR="00791DF1" w:rsidRPr="003737E5">
        <w:rPr>
          <w:rFonts w:cstheme="minorHAnsi"/>
          <w:szCs w:val="24"/>
        </w:rPr>
        <w:t>has</w:t>
      </w:r>
      <w:r w:rsidRPr="003737E5">
        <w:rPr>
          <w:rFonts w:cstheme="minorHAnsi"/>
          <w:szCs w:val="24"/>
        </w:rPr>
        <w:t xml:space="preserve"> a combined area of 117,</w:t>
      </w:r>
      <w:r w:rsidR="0015798A">
        <w:rPr>
          <w:rFonts w:cstheme="minorHAnsi"/>
          <w:szCs w:val="24"/>
        </w:rPr>
        <w:t>783</w:t>
      </w:r>
      <w:r w:rsidRPr="003737E5">
        <w:rPr>
          <w:rFonts w:cstheme="minorHAnsi"/>
          <w:szCs w:val="24"/>
        </w:rPr>
        <w:t xml:space="preserve"> acres</w:t>
      </w:r>
      <w:r w:rsidR="008E7C58">
        <w:rPr>
          <w:rFonts w:cstheme="minorHAnsi"/>
          <w:szCs w:val="24"/>
        </w:rPr>
        <w:t xml:space="preserve"> of lakes/reservoirs that are publicly accessible</w:t>
      </w:r>
      <w:r w:rsidRPr="003737E5">
        <w:rPr>
          <w:rFonts w:cstheme="minorHAnsi"/>
          <w:szCs w:val="24"/>
        </w:rPr>
        <w:t>.</w:t>
      </w:r>
      <w:r w:rsidR="0011080D">
        <w:rPr>
          <w:rFonts w:cstheme="minorHAnsi"/>
          <w:szCs w:val="24"/>
        </w:rPr>
        <w:t xml:space="preserve"> </w:t>
      </w:r>
      <w:r w:rsidRPr="003737E5">
        <w:rPr>
          <w:rFonts w:cstheme="minorHAnsi"/>
          <w:szCs w:val="24"/>
        </w:rPr>
        <w:t xml:space="preserve">Of these lakes, 123 are considered “significant lakes” for monitoring purposes, totaling approximately 113,545 acres. </w:t>
      </w:r>
      <w:r w:rsidR="00B46D6C">
        <w:rPr>
          <w:rFonts w:cstheme="minorHAnsi"/>
          <w:szCs w:val="24"/>
        </w:rPr>
        <w:t>H</w:t>
      </w:r>
      <w:r w:rsidRPr="003737E5">
        <w:rPr>
          <w:rFonts w:cstheme="minorHAnsi"/>
          <w:szCs w:val="24"/>
        </w:rPr>
        <w:t>undreds of other smaller, privately owned lakes, reservoirs</w:t>
      </w:r>
      <w:r w:rsidR="00B46D6C">
        <w:rPr>
          <w:rFonts w:cstheme="minorHAnsi"/>
          <w:szCs w:val="24"/>
        </w:rPr>
        <w:t>,</w:t>
      </w:r>
      <w:r w:rsidRPr="003737E5">
        <w:rPr>
          <w:rFonts w:cstheme="minorHAnsi"/>
          <w:szCs w:val="24"/>
        </w:rPr>
        <w:t xml:space="preserve"> and ponds, some of significant size, dot the landscape.</w:t>
      </w:r>
      <w:r w:rsidR="00B46D6C">
        <w:rPr>
          <w:rFonts w:cstheme="minorHAnsi"/>
          <w:szCs w:val="24"/>
        </w:rPr>
        <w:t xml:space="preserve"> </w:t>
      </w:r>
    </w:p>
    <w:p w14:paraId="4BE6C241" w14:textId="77777777" w:rsidR="00231914" w:rsidRDefault="00231914" w:rsidP="00DE3318">
      <w:pPr>
        <w:rPr>
          <w:rFonts w:cstheme="minorHAnsi"/>
          <w:szCs w:val="24"/>
        </w:rPr>
      </w:pPr>
    </w:p>
    <w:p w14:paraId="2427E880" w14:textId="65095147" w:rsidR="00523BEF" w:rsidRPr="00DC73F1" w:rsidRDefault="00EE6B20" w:rsidP="007409EB">
      <w:pPr>
        <w:rPr>
          <w:rFonts w:cstheme="minorHAnsi"/>
          <w:szCs w:val="24"/>
        </w:rPr>
      </w:pPr>
      <w:r w:rsidRPr="00DC73F1">
        <w:rPr>
          <w:rFonts w:cstheme="minorHAnsi"/>
          <w:szCs w:val="24"/>
        </w:rPr>
        <w:t xml:space="preserve">Wetlands are another critical water resource for the Commonwealth. </w:t>
      </w:r>
      <w:r w:rsidR="00E27B0D" w:rsidRPr="00DC73F1">
        <w:rPr>
          <w:rFonts w:cstheme="minorHAnsi"/>
          <w:szCs w:val="24"/>
        </w:rPr>
        <w:t xml:space="preserve">Working with </w:t>
      </w:r>
      <w:r w:rsidR="004C34AA" w:rsidRPr="00DC73F1">
        <w:rPr>
          <w:rFonts w:cstheme="minorHAnsi"/>
          <w:szCs w:val="24"/>
        </w:rPr>
        <w:t xml:space="preserve">the Virginia Institute </w:t>
      </w:r>
      <w:r w:rsidR="00A82C8D" w:rsidRPr="00DC73F1">
        <w:rPr>
          <w:rFonts w:cstheme="minorHAnsi"/>
          <w:szCs w:val="24"/>
        </w:rPr>
        <w:t>of Marine Science (</w:t>
      </w:r>
      <w:r w:rsidR="00DE623C" w:rsidRPr="00DC73F1">
        <w:rPr>
          <w:rFonts w:cstheme="minorHAnsi"/>
          <w:szCs w:val="24"/>
        </w:rPr>
        <w:t>VIMS</w:t>
      </w:r>
      <w:r w:rsidR="00A82C8D" w:rsidRPr="00DC73F1">
        <w:rPr>
          <w:rFonts w:cstheme="minorHAnsi"/>
          <w:szCs w:val="24"/>
        </w:rPr>
        <w:t>)</w:t>
      </w:r>
      <w:r w:rsidR="00DE623C" w:rsidRPr="00DC73F1">
        <w:rPr>
          <w:rFonts w:cstheme="minorHAnsi"/>
          <w:szCs w:val="24"/>
        </w:rPr>
        <w:t xml:space="preserve"> and</w:t>
      </w:r>
      <w:r w:rsidR="00E27B0D" w:rsidRPr="00DC73F1">
        <w:rPr>
          <w:rFonts w:cstheme="minorHAnsi"/>
          <w:szCs w:val="24"/>
        </w:rPr>
        <w:t xml:space="preserve"> u</w:t>
      </w:r>
      <w:r w:rsidR="00981755" w:rsidRPr="00DC73F1">
        <w:rPr>
          <w:rFonts w:cstheme="minorHAnsi"/>
          <w:szCs w:val="24"/>
        </w:rPr>
        <w:t>tilizing the National Fish and Wildlife Wetland Inventory, the</w:t>
      </w:r>
      <w:r w:rsidR="00C936C4" w:rsidRPr="00DC73F1">
        <w:rPr>
          <w:rFonts w:cstheme="minorHAnsi"/>
          <w:szCs w:val="24"/>
        </w:rPr>
        <w:t xml:space="preserve"> </w:t>
      </w:r>
      <w:r w:rsidR="001529A3" w:rsidRPr="00DC73F1">
        <w:rPr>
          <w:rFonts w:cstheme="minorHAnsi"/>
          <w:szCs w:val="24"/>
        </w:rPr>
        <w:t>Tidal Marsh Inventory (TMI)</w:t>
      </w:r>
      <w:r w:rsidR="00511F40" w:rsidRPr="00DC73F1">
        <w:rPr>
          <w:rFonts w:cstheme="minorHAnsi"/>
          <w:szCs w:val="24"/>
        </w:rPr>
        <w:t>, and</w:t>
      </w:r>
      <w:r w:rsidR="001529A3" w:rsidRPr="00DC73F1">
        <w:rPr>
          <w:rFonts w:cstheme="minorHAnsi"/>
          <w:szCs w:val="24"/>
        </w:rPr>
        <w:t xml:space="preserve"> </w:t>
      </w:r>
      <w:r w:rsidR="00C936C4" w:rsidRPr="00DC73F1">
        <w:rPr>
          <w:rFonts w:cstheme="minorHAnsi"/>
          <w:szCs w:val="24"/>
        </w:rPr>
        <w:t>Virginia Coastal Resources Tool</w:t>
      </w:r>
      <w:r w:rsidR="00356DB1" w:rsidRPr="00DC73F1">
        <w:rPr>
          <w:rFonts w:cstheme="minorHAnsi"/>
          <w:szCs w:val="24"/>
        </w:rPr>
        <w:t xml:space="preserve"> (VCRT)</w:t>
      </w:r>
      <w:r w:rsidR="00E8418B" w:rsidRPr="00DC73F1">
        <w:rPr>
          <w:rFonts w:cstheme="minorHAnsi"/>
          <w:szCs w:val="24"/>
        </w:rPr>
        <w:t>, DEQ has summarized the vegetated wetland resources throughout the commonwealth</w:t>
      </w:r>
      <w:r w:rsidR="007E505D" w:rsidRPr="00DC73F1">
        <w:rPr>
          <w:rFonts w:cstheme="minorHAnsi"/>
          <w:szCs w:val="24"/>
        </w:rPr>
        <w:t xml:space="preserve"> (Table 2.3-1)</w:t>
      </w:r>
      <w:r w:rsidR="00E8418B" w:rsidRPr="00DC73F1">
        <w:rPr>
          <w:rFonts w:cstheme="minorHAnsi"/>
          <w:szCs w:val="24"/>
        </w:rPr>
        <w:t>.</w:t>
      </w:r>
      <w:r w:rsidR="00DE623C" w:rsidRPr="00DC73F1">
        <w:rPr>
          <w:rFonts w:cstheme="minorHAnsi"/>
          <w:szCs w:val="24"/>
        </w:rPr>
        <w:t xml:space="preserve"> </w:t>
      </w:r>
      <w:r w:rsidR="002E0119" w:rsidRPr="00DC73F1">
        <w:rPr>
          <w:rFonts w:cstheme="minorHAnsi"/>
          <w:szCs w:val="24"/>
        </w:rPr>
        <w:t>There are approximately 1,000,000 acres of non-tidal vegetated wetlands and 200,000 acres of tidal vegetated wetland throughout the commonwealth</w:t>
      </w:r>
      <w:r w:rsidR="00C07FC2" w:rsidRPr="00DC73F1">
        <w:rPr>
          <w:rFonts w:cstheme="minorHAnsi"/>
          <w:szCs w:val="24"/>
        </w:rPr>
        <w:t>. Virginia has a total of 8,916 miles of tidal shoreline</w:t>
      </w:r>
      <w:r w:rsidR="00356DB1" w:rsidRPr="00DC73F1">
        <w:rPr>
          <w:rFonts w:cstheme="minorHAnsi"/>
          <w:szCs w:val="24"/>
        </w:rPr>
        <w:t xml:space="preserve"> (VCRT)</w:t>
      </w:r>
      <w:r w:rsidR="002E0119" w:rsidRPr="00DC73F1">
        <w:rPr>
          <w:rFonts w:cstheme="minorHAnsi"/>
          <w:szCs w:val="24"/>
        </w:rPr>
        <w:t xml:space="preserve"> with </w:t>
      </w:r>
      <w:r w:rsidR="00A87817" w:rsidRPr="00DC73F1">
        <w:rPr>
          <w:rFonts w:cstheme="minorHAnsi"/>
          <w:szCs w:val="24"/>
        </w:rPr>
        <w:t>approximately</w:t>
      </w:r>
      <w:r w:rsidR="001D1C27" w:rsidRPr="00DC73F1">
        <w:rPr>
          <w:rFonts w:cstheme="minorHAnsi"/>
          <w:szCs w:val="24"/>
        </w:rPr>
        <w:t xml:space="preserve"> 120 miles of Atlantic Ocean coastline</w:t>
      </w:r>
      <w:r w:rsidR="0057213C" w:rsidRPr="00DC73F1">
        <w:rPr>
          <w:rFonts w:cstheme="minorHAnsi"/>
          <w:szCs w:val="24"/>
        </w:rPr>
        <w:t>,</w:t>
      </w:r>
      <w:r w:rsidR="00C52084" w:rsidRPr="00DC73F1">
        <w:rPr>
          <w:rFonts w:cstheme="minorHAnsi"/>
          <w:szCs w:val="24"/>
        </w:rPr>
        <w:t xml:space="preserve"> and </w:t>
      </w:r>
      <w:r w:rsidR="0057213C" w:rsidRPr="00DC73F1">
        <w:rPr>
          <w:rFonts w:cstheme="minorHAnsi"/>
          <w:szCs w:val="24"/>
        </w:rPr>
        <w:t xml:space="preserve">a total of </w:t>
      </w:r>
      <w:r w:rsidR="00C52084" w:rsidRPr="00DC73F1">
        <w:rPr>
          <w:rFonts w:cstheme="minorHAnsi"/>
          <w:szCs w:val="24"/>
        </w:rPr>
        <w:t>2,</w:t>
      </w:r>
      <w:r w:rsidR="00247EDA" w:rsidRPr="00DC73F1">
        <w:rPr>
          <w:rFonts w:cstheme="minorHAnsi"/>
          <w:szCs w:val="24"/>
        </w:rPr>
        <w:t>842</w:t>
      </w:r>
      <w:r w:rsidR="00C52084" w:rsidRPr="00DC73F1">
        <w:rPr>
          <w:rFonts w:cstheme="minorHAnsi"/>
          <w:szCs w:val="24"/>
        </w:rPr>
        <w:t>308 square miles of Chesapeake Bay estuarine waters</w:t>
      </w:r>
      <w:r w:rsidR="00356DB1" w:rsidRPr="00DC73F1">
        <w:rPr>
          <w:rFonts w:cstheme="minorHAnsi"/>
          <w:szCs w:val="24"/>
        </w:rPr>
        <w:t>.</w:t>
      </w:r>
    </w:p>
    <w:p w14:paraId="4E89C00B" w14:textId="62565C57" w:rsidR="008540C4" w:rsidRPr="00DC73F1" w:rsidRDefault="008540C4" w:rsidP="007409EB">
      <w:pPr>
        <w:rPr>
          <w:rFonts w:cstheme="minorHAnsi"/>
          <w:szCs w:val="24"/>
        </w:rPr>
      </w:pPr>
    </w:p>
    <w:p w14:paraId="67923411" w14:textId="4B4D6467" w:rsidR="00012CDB" w:rsidRPr="00DC73F1" w:rsidRDefault="00012CDB" w:rsidP="00012CDB">
      <w:pPr>
        <w:pStyle w:val="Caption"/>
        <w:keepNext/>
      </w:pPr>
      <w:bookmarkStart w:id="40" w:name="_Toc164175148"/>
      <w:r w:rsidRPr="00DC73F1">
        <w:t xml:space="preserve">Table </w:t>
      </w:r>
      <w:r w:rsidR="004F13BA">
        <w:fldChar w:fldCharType="begin"/>
      </w:r>
      <w:r w:rsidR="004F13BA">
        <w:instrText xml:space="preserve"> STYLEREF 2 \s </w:instrText>
      </w:r>
      <w:r w:rsidR="004F13BA">
        <w:fldChar w:fldCharType="separate"/>
      </w:r>
      <w:r w:rsidR="00CD06AE" w:rsidRPr="00DC73F1">
        <w:rPr>
          <w:noProof/>
        </w:rPr>
        <w:t>2.3</w:t>
      </w:r>
      <w:r w:rsidR="004F13BA">
        <w:rPr>
          <w:noProof/>
        </w:rPr>
        <w:fldChar w:fldCharType="end"/>
      </w:r>
      <w:r w:rsidR="00CD06AE" w:rsidRPr="00DC73F1">
        <w:noBreakHyphen/>
      </w:r>
      <w:r w:rsidR="004F13BA">
        <w:fldChar w:fldCharType="begin"/>
      </w:r>
      <w:r w:rsidR="004F13BA">
        <w:instrText xml:space="preserve"> SEQ Table \* ARABIC \s 2 </w:instrText>
      </w:r>
      <w:r w:rsidR="004F13BA">
        <w:fldChar w:fldCharType="separate"/>
      </w:r>
      <w:r w:rsidR="00CD06AE" w:rsidRPr="00DC73F1">
        <w:rPr>
          <w:noProof/>
        </w:rPr>
        <w:t>1</w:t>
      </w:r>
      <w:r w:rsidR="004F13BA">
        <w:rPr>
          <w:noProof/>
        </w:rPr>
        <w:fldChar w:fldCharType="end"/>
      </w:r>
      <w:r w:rsidRPr="00DC73F1">
        <w:t xml:space="preserve">. </w:t>
      </w:r>
      <w:r w:rsidR="00721C69" w:rsidRPr="00DC73F1">
        <w:t>Vegetated w</w:t>
      </w:r>
      <w:r w:rsidRPr="00DC73F1">
        <w:t>etland coverage for Virginia</w:t>
      </w:r>
      <w:bookmarkEnd w:id="40"/>
      <w:r w:rsidR="00791DF1">
        <w:t xml:space="preserve"> </w:t>
      </w:r>
      <w:r w:rsidRPr="00DC73F1">
        <w:t xml:space="preserve">based on the National Fish and Wildlife Service Wetland </w:t>
      </w:r>
      <w:r w:rsidR="00261543" w:rsidRPr="00DC73F1">
        <w:t>Inventory</w:t>
      </w:r>
      <w:r w:rsidR="001F1DE7" w:rsidRPr="00DC73F1">
        <w:t xml:space="preserve"> and the TMI</w:t>
      </w:r>
      <w:r w:rsidRPr="00DC73F1">
        <w:t>.</w:t>
      </w:r>
      <w:r w:rsidR="006B26E5" w:rsidRPr="00DC73F1">
        <w:t xml:space="preserve"> </w:t>
      </w:r>
      <w:r w:rsidR="00E8418B" w:rsidRPr="00DC73F1">
        <w:t>Note values are derived from the</w:t>
      </w:r>
      <w:r w:rsidR="006B26E5" w:rsidRPr="00DC73F1">
        <w:t xml:space="preserve"> National Wetland Inventory</w:t>
      </w:r>
      <w:r w:rsidR="00A1522B" w:rsidRPr="00DC73F1">
        <w:t xml:space="preserve">, except </w:t>
      </w:r>
      <w:r w:rsidR="00721C69" w:rsidRPr="00DC73F1">
        <w:t xml:space="preserve">the </w:t>
      </w:r>
      <w:r w:rsidR="001F1DE7" w:rsidRPr="00DC73F1">
        <w:t>T</w:t>
      </w:r>
      <w:r w:rsidR="00A1522B" w:rsidRPr="00DC73F1">
        <w:t xml:space="preserve">idal </w:t>
      </w:r>
      <w:r w:rsidR="001F1DE7" w:rsidRPr="00DC73F1">
        <w:t>M</w:t>
      </w:r>
      <w:r w:rsidR="00A1522B" w:rsidRPr="00DC73F1">
        <w:t xml:space="preserve">arsh category which was derived from the TMI.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8"/>
        <w:gridCol w:w="2700"/>
      </w:tblGrid>
      <w:tr w:rsidR="00EA07FA" w:rsidRPr="00AD7B55" w14:paraId="66C3AF30" w14:textId="77777777">
        <w:trPr>
          <w:trHeight w:val="360"/>
        </w:trPr>
        <w:tc>
          <w:tcPr>
            <w:tcW w:w="3788" w:type="dxa"/>
            <w:tcBorders>
              <w:top w:val="single" w:sz="12" w:space="0" w:color="auto"/>
              <w:bottom w:val="single" w:sz="4" w:space="0" w:color="auto"/>
            </w:tcBorders>
            <w:vAlign w:val="center"/>
          </w:tcPr>
          <w:p w14:paraId="6155D77F" w14:textId="77777777" w:rsidR="00EA07FA" w:rsidRPr="00A81B98" w:rsidRDefault="00EA07FA">
            <w:pPr>
              <w:rPr>
                <w:rFonts w:cstheme="minorHAnsi"/>
                <w:b/>
                <w:bCs/>
                <w:sz w:val="22"/>
                <w:szCs w:val="22"/>
              </w:rPr>
            </w:pPr>
            <w:r w:rsidRPr="00A81B98">
              <w:rPr>
                <w:rFonts w:cstheme="minorHAnsi"/>
                <w:b/>
                <w:bCs/>
                <w:sz w:val="22"/>
                <w:szCs w:val="22"/>
              </w:rPr>
              <w:t>Wetland Type</w:t>
            </w:r>
          </w:p>
        </w:tc>
        <w:tc>
          <w:tcPr>
            <w:tcW w:w="2700" w:type="dxa"/>
            <w:tcBorders>
              <w:top w:val="single" w:sz="12" w:space="0" w:color="auto"/>
              <w:bottom w:val="single" w:sz="4" w:space="0" w:color="auto"/>
            </w:tcBorders>
            <w:vAlign w:val="center"/>
          </w:tcPr>
          <w:p w14:paraId="3539000C" w14:textId="77777777" w:rsidR="00EA07FA" w:rsidRPr="00A81B98" w:rsidRDefault="00EA07FA" w:rsidP="007C613D">
            <w:pPr>
              <w:jc w:val="center"/>
              <w:rPr>
                <w:rFonts w:cstheme="minorHAnsi"/>
                <w:b/>
                <w:bCs/>
                <w:sz w:val="22"/>
                <w:szCs w:val="22"/>
              </w:rPr>
            </w:pPr>
            <w:r w:rsidRPr="00A81B98">
              <w:rPr>
                <w:rFonts w:cstheme="minorHAnsi"/>
                <w:b/>
                <w:bCs/>
                <w:sz w:val="22"/>
                <w:szCs w:val="22"/>
              </w:rPr>
              <w:t>Acres</w:t>
            </w:r>
          </w:p>
        </w:tc>
      </w:tr>
      <w:tr w:rsidR="00EA07FA" w:rsidRPr="00AD7B55" w14:paraId="1DA5EB01" w14:textId="77777777">
        <w:trPr>
          <w:trHeight w:val="360"/>
        </w:trPr>
        <w:tc>
          <w:tcPr>
            <w:tcW w:w="3788" w:type="dxa"/>
            <w:tcBorders>
              <w:top w:val="single" w:sz="4" w:space="0" w:color="auto"/>
            </w:tcBorders>
            <w:vAlign w:val="center"/>
          </w:tcPr>
          <w:p w14:paraId="7C24B4AD" w14:textId="77777777" w:rsidR="00EA07FA" w:rsidRPr="00A81B98" w:rsidRDefault="00EA07FA">
            <w:pPr>
              <w:rPr>
                <w:rFonts w:cstheme="minorHAnsi"/>
                <w:sz w:val="22"/>
                <w:szCs w:val="22"/>
              </w:rPr>
            </w:pPr>
            <w:r w:rsidRPr="00A81B98">
              <w:rPr>
                <w:rFonts w:cstheme="minorHAnsi"/>
                <w:color w:val="000000"/>
                <w:sz w:val="22"/>
                <w:szCs w:val="22"/>
                <w:shd w:val="clear" w:color="auto" w:fill="FFFFFF"/>
              </w:rPr>
              <w:t>Freshwater Emergent Wetlands</w:t>
            </w:r>
          </w:p>
        </w:tc>
        <w:tc>
          <w:tcPr>
            <w:tcW w:w="2700" w:type="dxa"/>
            <w:tcBorders>
              <w:top w:val="single" w:sz="4" w:space="0" w:color="auto"/>
            </w:tcBorders>
            <w:vAlign w:val="center"/>
          </w:tcPr>
          <w:p w14:paraId="273454CC" w14:textId="77777777" w:rsidR="00EA07FA" w:rsidRPr="00A81B98" w:rsidRDefault="00EA07FA" w:rsidP="007C613D">
            <w:pPr>
              <w:jc w:val="center"/>
              <w:rPr>
                <w:rFonts w:cstheme="minorHAnsi"/>
                <w:sz w:val="22"/>
                <w:szCs w:val="22"/>
              </w:rPr>
            </w:pPr>
            <w:r w:rsidRPr="00A81B98">
              <w:rPr>
                <w:rFonts w:cstheme="minorHAnsi"/>
                <w:color w:val="000000"/>
                <w:sz w:val="22"/>
                <w:szCs w:val="22"/>
                <w:shd w:val="clear" w:color="auto" w:fill="FFFFFF"/>
              </w:rPr>
              <w:t>89,750</w:t>
            </w:r>
          </w:p>
        </w:tc>
      </w:tr>
      <w:tr w:rsidR="00EA07FA" w:rsidRPr="00AD7B55" w14:paraId="5D7D15F7" w14:textId="77777777">
        <w:trPr>
          <w:trHeight w:val="360"/>
        </w:trPr>
        <w:tc>
          <w:tcPr>
            <w:tcW w:w="3788" w:type="dxa"/>
            <w:vAlign w:val="center"/>
          </w:tcPr>
          <w:p w14:paraId="0135577D" w14:textId="77777777" w:rsidR="00EA07FA" w:rsidRPr="00A81B98" w:rsidRDefault="00EA07FA">
            <w:pPr>
              <w:rPr>
                <w:rFonts w:cstheme="minorHAnsi"/>
                <w:sz w:val="22"/>
                <w:szCs w:val="22"/>
              </w:rPr>
            </w:pPr>
            <w:r w:rsidRPr="00A81B98">
              <w:rPr>
                <w:rFonts w:cstheme="minorHAnsi"/>
                <w:color w:val="000000"/>
                <w:sz w:val="22"/>
                <w:szCs w:val="22"/>
                <w:shd w:val="clear" w:color="auto" w:fill="FFFFFF"/>
              </w:rPr>
              <w:t>Freshwater Forested/Shrub Wetlands</w:t>
            </w:r>
          </w:p>
        </w:tc>
        <w:tc>
          <w:tcPr>
            <w:tcW w:w="2700" w:type="dxa"/>
            <w:vAlign w:val="center"/>
          </w:tcPr>
          <w:p w14:paraId="766A0CE1" w14:textId="77777777" w:rsidR="00EA07FA" w:rsidRPr="00A81B98" w:rsidRDefault="00EA07FA" w:rsidP="007C613D">
            <w:pPr>
              <w:jc w:val="center"/>
              <w:rPr>
                <w:rFonts w:cstheme="minorHAnsi"/>
                <w:sz w:val="22"/>
                <w:szCs w:val="22"/>
              </w:rPr>
            </w:pPr>
            <w:r w:rsidRPr="00A81B98">
              <w:rPr>
                <w:rFonts w:cstheme="minorHAnsi"/>
                <w:color w:val="000000"/>
                <w:sz w:val="22"/>
                <w:szCs w:val="22"/>
                <w:shd w:val="clear" w:color="auto" w:fill="FFFFFF"/>
              </w:rPr>
              <w:t>917,830</w:t>
            </w:r>
          </w:p>
        </w:tc>
      </w:tr>
      <w:tr w:rsidR="00EA07FA" w:rsidRPr="00AD7B55" w14:paraId="4C3E0FF2" w14:textId="77777777">
        <w:trPr>
          <w:trHeight w:val="360"/>
        </w:trPr>
        <w:tc>
          <w:tcPr>
            <w:tcW w:w="3788" w:type="dxa"/>
            <w:vAlign w:val="center"/>
          </w:tcPr>
          <w:p w14:paraId="22C07E46" w14:textId="77777777" w:rsidR="00EA07FA" w:rsidRPr="00A81B98" w:rsidRDefault="00EA07FA">
            <w:pPr>
              <w:rPr>
                <w:rFonts w:cstheme="minorHAnsi"/>
                <w:sz w:val="22"/>
                <w:szCs w:val="22"/>
              </w:rPr>
            </w:pPr>
            <w:r w:rsidRPr="00A81B98">
              <w:rPr>
                <w:rFonts w:cstheme="minorHAnsi"/>
                <w:color w:val="000000"/>
                <w:sz w:val="22"/>
                <w:szCs w:val="22"/>
                <w:shd w:val="clear" w:color="auto" w:fill="FFFFFF"/>
              </w:rPr>
              <w:t>Freshwater Pond</w:t>
            </w:r>
          </w:p>
        </w:tc>
        <w:tc>
          <w:tcPr>
            <w:tcW w:w="2700" w:type="dxa"/>
            <w:vAlign w:val="center"/>
          </w:tcPr>
          <w:p w14:paraId="4DB8F93A" w14:textId="77777777" w:rsidR="00EA07FA" w:rsidRPr="00A81B98" w:rsidRDefault="00EA07FA" w:rsidP="007C613D">
            <w:pPr>
              <w:jc w:val="center"/>
              <w:rPr>
                <w:rFonts w:cstheme="minorHAnsi"/>
                <w:sz w:val="22"/>
                <w:szCs w:val="22"/>
              </w:rPr>
            </w:pPr>
            <w:r w:rsidRPr="00A81B98">
              <w:rPr>
                <w:rFonts w:cstheme="minorHAnsi"/>
                <w:color w:val="000000"/>
                <w:sz w:val="22"/>
                <w:szCs w:val="22"/>
                <w:shd w:val="clear" w:color="auto" w:fill="FFFFFF"/>
              </w:rPr>
              <w:t>4,043</w:t>
            </w:r>
          </w:p>
        </w:tc>
      </w:tr>
      <w:tr w:rsidR="00EA07FA" w:rsidRPr="00AD7B55" w14:paraId="5E274E8B" w14:textId="77777777">
        <w:trPr>
          <w:trHeight w:val="360"/>
        </w:trPr>
        <w:tc>
          <w:tcPr>
            <w:tcW w:w="3788" w:type="dxa"/>
            <w:vAlign w:val="center"/>
          </w:tcPr>
          <w:p w14:paraId="03F683A5" w14:textId="77777777" w:rsidR="00EA07FA" w:rsidRPr="00A81B98" w:rsidRDefault="00EA07FA">
            <w:pPr>
              <w:rPr>
                <w:rFonts w:cstheme="minorHAnsi"/>
                <w:sz w:val="22"/>
                <w:szCs w:val="22"/>
              </w:rPr>
            </w:pPr>
            <w:r w:rsidRPr="00A81B98">
              <w:rPr>
                <w:rFonts w:cstheme="minorHAnsi"/>
                <w:sz w:val="22"/>
                <w:szCs w:val="22"/>
              </w:rPr>
              <w:t>Freshwater Lake</w:t>
            </w:r>
          </w:p>
        </w:tc>
        <w:tc>
          <w:tcPr>
            <w:tcW w:w="2700" w:type="dxa"/>
            <w:vAlign w:val="center"/>
          </w:tcPr>
          <w:p w14:paraId="2325046B" w14:textId="77777777" w:rsidR="00EA07FA" w:rsidRPr="00A81B98" w:rsidRDefault="00EA07FA" w:rsidP="007C613D">
            <w:pPr>
              <w:jc w:val="center"/>
              <w:rPr>
                <w:rFonts w:cstheme="minorHAnsi"/>
                <w:sz w:val="22"/>
                <w:szCs w:val="22"/>
              </w:rPr>
            </w:pPr>
            <w:r w:rsidRPr="00A81B98">
              <w:rPr>
                <w:rFonts w:cstheme="minorHAnsi"/>
                <w:sz w:val="22"/>
                <w:szCs w:val="22"/>
              </w:rPr>
              <w:t>608</w:t>
            </w:r>
          </w:p>
        </w:tc>
      </w:tr>
      <w:tr w:rsidR="00EA07FA" w:rsidRPr="00AD7B55" w14:paraId="0133F70F" w14:textId="77777777">
        <w:trPr>
          <w:trHeight w:val="360"/>
        </w:trPr>
        <w:tc>
          <w:tcPr>
            <w:tcW w:w="3788" w:type="dxa"/>
            <w:tcBorders>
              <w:bottom w:val="single" w:sz="4" w:space="0" w:color="auto"/>
            </w:tcBorders>
            <w:vAlign w:val="center"/>
          </w:tcPr>
          <w:p w14:paraId="24FD03E3" w14:textId="77777777" w:rsidR="00EA07FA" w:rsidRPr="00A81B98" w:rsidRDefault="00EA07FA">
            <w:pPr>
              <w:rPr>
                <w:rFonts w:cstheme="minorHAnsi"/>
                <w:i/>
                <w:iCs/>
                <w:sz w:val="22"/>
                <w:szCs w:val="22"/>
              </w:rPr>
            </w:pPr>
            <w:r w:rsidRPr="00A81B98">
              <w:rPr>
                <w:rFonts w:cstheme="minorHAnsi"/>
                <w:i/>
                <w:iCs/>
                <w:sz w:val="22"/>
                <w:szCs w:val="22"/>
              </w:rPr>
              <w:t>Total Non-Tidal Vegetated Wetlands</w:t>
            </w:r>
          </w:p>
        </w:tc>
        <w:tc>
          <w:tcPr>
            <w:tcW w:w="2700" w:type="dxa"/>
            <w:tcBorders>
              <w:bottom w:val="single" w:sz="4" w:space="0" w:color="auto"/>
            </w:tcBorders>
            <w:vAlign w:val="center"/>
          </w:tcPr>
          <w:p w14:paraId="198AE9B1" w14:textId="77777777" w:rsidR="00EA07FA" w:rsidRPr="00A81B98" w:rsidRDefault="00EA07FA" w:rsidP="007C613D">
            <w:pPr>
              <w:jc w:val="center"/>
              <w:rPr>
                <w:rFonts w:cstheme="minorHAnsi"/>
                <w:i/>
                <w:iCs/>
                <w:sz w:val="22"/>
                <w:szCs w:val="22"/>
              </w:rPr>
            </w:pPr>
            <w:r w:rsidRPr="00A81B98">
              <w:rPr>
                <w:rFonts w:cstheme="minorHAnsi"/>
                <w:i/>
                <w:iCs/>
                <w:color w:val="000000"/>
                <w:sz w:val="22"/>
                <w:szCs w:val="22"/>
                <w:shd w:val="clear" w:color="auto" w:fill="FFFFFF"/>
              </w:rPr>
              <w:t>1,012,231</w:t>
            </w:r>
          </w:p>
        </w:tc>
      </w:tr>
      <w:tr w:rsidR="00EA07FA" w:rsidRPr="00AD7B55" w14:paraId="00D69AA7" w14:textId="77777777">
        <w:trPr>
          <w:trHeight w:val="360"/>
        </w:trPr>
        <w:tc>
          <w:tcPr>
            <w:tcW w:w="3788" w:type="dxa"/>
            <w:tcBorders>
              <w:top w:val="single" w:sz="4" w:space="0" w:color="auto"/>
            </w:tcBorders>
            <w:vAlign w:val="center"/>
          </w:tcPr>
          <w:p w14:paraId="4199A010" w14:textId="77777777" w:rsidR="00EA07FA" w:rsidRPr="00A81B98" w:rsidRDefault="00EA07FA">
            <w:pPr>
              <w:rPr>
                <w:rFonts w:cstheme="minorHAnsi"/>
                <w:sz w:val="22"/>
                <w:szCs w:val="22"/>
              </w:rPr>
            </w:pPr>
            <w:r w:rsidRPr="00A81B98">
              <w:rPr>
                <w:rFonts w:cstheme="minorHAnsi"/>
                <w:color w:val="000000"/>
                <w:sz w:val="22"/>
                <w:szCs w:val="22"/>
                <w:shd w:val="clear" w:color="auto" w:fill="FFFFFF"/>
              </w:rPr>
              <w:t>Tidal Marsh (TMI)</w:t>
            </w:r>
          </w:p>
        </w:tc>
        <w:tc>
          <w:tcPr>
            <w:tcW w:w="2700" w:type="dxa"/>
            <w:tcBorders>
              <w:top w:val="single" w:sz="4" w:space="0" w:color="auto"/>
            </w:tcBorders>
            <w:vAlign w:val="center"/>
          </w:tcPr>
          <w:p w14:paraId="3D9E66B2" w14:textId="77777777" w:rsidR="00EA07FA" w:rsidRPr="00A81B98" w:rsidRDefault="00EA07FA" w:rsidP="007C613D">
            <w:pPr>
              <w:jc w:val="center"/>
              <w:rPr>
                <w:rFonts w:cstheme="minorHAnsi"/>
                <w:sz w:val="22"/>
                <w:szCs w:val="22"/>
              </w:rPr>
            </w:pPr>
            <w:r w:rsidRPr="00A81B98">
              <w:rPr>
                <w:rFonts w:cstheme="minorHAnsi"/>
                <w:sz w:val="22"/>
                <w:szCs w:val="22"/>
              </w:rPr>
              <w:t>195,036</w:t>
            </w:r>
          </w:p>
        </w:tc>
      </w:tr>
      <w:tr w:rsidR="00EA07FA" w:rsidRPr="00AD7B55" w14:paraId="7F27A635" w14:textId="77777777">
        <w:trPr>
          <w:trHeight w:val="360"/>
        </w:trPr>
        <w:tc>
          <w:tcPr>
            <w:tcW w:w="3788" w:type="dxa"/>
            <w:vAlign w:val="center"/>
          </w:tcPr>
          <w:p w14:paraId="43F79FEE" w14:textId="1082F30E" w:rsidR="00EA07FA" w:rsidRPr="00A81B98" w:rsidRDefault="00EA07FA">
            <w:pPr>
              <w:rPr>
                <w:rFonts w:cstheme="minorHAnsi"/>
                <w:sz w:val="22"/>
                <w:szCs w:val="22"/>
              </w:rPr>
            </w:pPr>
            <w:r w:rsidRPr="00A81B98">
              <w:rPr>
                <w:rFonts w:cstheme="minorHAnsi"/>
                <w:color w:val="000000"/>
                <w:sz w:val="22"/>
                <w:szCs w:val="22"/>
                <w:shd w:val="clear" w:color="auto" w:fill="FFFFFF"/>
              </w:rPr>
              <w:t>Vegetated Estuarine Intertidal</w:t>
            </w:r>
          </w:p>
        </w:tc>
        <w:tc>
          <w:tcPr>
            <w:tcW w:w="2700" w:type="dxa"/>
            <w:vAlign w:val="center"/>
          </w:tcPr>
          <w:p w14:paraId="0DBF4E33" w14:textId="77777777" w:rsidR="00EA07FA" w:rsidRPr="00A81B98" w:rsidRDefault="00EA07FA" w:rsidP="007C613D">
            <w:pPr>
              <w:jc w:val="center"/>
              <w:rPr>
                <w:rFonts w:cstheme="minorHAnsi"/>
                <w:sz w:val="22"/>
                <w:szCs w:val="22"/>
              </w:rPr>
            </w:pPr>
            <w:r w:rsidRPr="00A81B98">
              <w:rPr>
                <w:rFonts w:cstheme="minorHAnsi"/>
                <w:sz w:val="22"/>
                <w:szCs w:val="22"/>
              </w:rPr>
              <w:t>15,685</w:t>
            </w:r>
          </w:p>
        </w:tc>
      </w:tr>
      <w:tr w:rsidR="00EA07FA" w:rsidRPr="00AD7B55" w14:paraId="71BC9445" w14:textId="77777777">
        <w:trPr>
          <w:trHeight w:val="360"/>
        </w:trPr>
        <w:tc>
          <w:tcPr>
            <w:tcW w:w="3788" w:type="dxa"/>
            <w:tcBorders>
              <w:bottom w:val="single" w:sz="4" w:space="0" w:color="auto"/>
            </w:tcBorders>
            <w:vAlign w:val="center"/>
          </w:tcPr>
          <w:p w14:paraId="2F203B7D" w14:textId="77777777" w:rsidR="00EA07FA" w:rsidRPr="00A81B98" w:rsidRDefault="00EA07FA">
            <w:pPr>
              <w:rPr>
                <w:rFonts w:cstheme="minorHAnsi"/>
                <w:i/>
                <w:iCs/>
                <w:sz w:val="22"/>
                <w:szCs w:val="22"/>
              </w:rPr>
            </w:pPr>
            <w:r w:rsidRPr="00A81B98">
              <w:rPr>
                <w:rFonts w:cstheme="minorHAnsi"/>
                <w:i/>
                <w:iCs/>
                <w:sz w:val="22"/>
                <w:szCs w:val="22"/>
              </w:rPr>
              <w:t>Total Tidal Vegetated Wetlands</w:t>
            </w:r>
          </w:p>
        </w:tc>
        <w:tc>
          <w:tcPr>
            <w:tcW w:w="2700" w:type="dxa"/>
            <w:tcBorders>
              <w:bottom w:val="single" w:sz="4" w:space="0" w:color="auto"/>
            </w:tcBorders>
            <w:vAlign w:val="center"/>
          </w:tcPr>
          <w:p w14:paraId="0296E42F" w14:textId="77777777" w:rsidR="00EA07FA" w:rsidRPr="00A81B98" w:rsidRDefault="00EA07FA" w:rsidP="007C613D">
            <w:pPr>
              <w:jc w:val="center"/>
              <w:rPr>
                <w:rFonts w:cstheme="minorHAnsi"/>
                <w:i/>
                <w:iCs/>
                <w:sz w:val="22"/>
                <w:szCs w:val="22"/>
              </w:rPr>
            </w:pPr>
            <w:r w:rsidRPr="00A81B98">
              <w:rPr>
                <w:rFonts w:cstheme="minorHAnsi"/>
                <w:i/>
                <w:iCs/>
                <w:sz w:val="22"/>
                <w:szCs w:val="22"/>
              </w:rPr>
              <w:t>210,721</w:t>
            </w:r>
          </w:p>
        </w:tc>
      </w:tr>
      <w:tr w:rsidR="00EA07FA" w14:paraId="16DEED51" w14:textId="77777777">
        <w:trPr>
          <w:trHeight w:val="360"/>
        </w:trPr>
        <w:tc>
          <w:tcPr>
            <w:tcW w:w="3788" w:type="dxa"/>
            <w:tcBorders>
              <w:top w:val="single" w:sz="4" w:space="0" w:color="auto"/>
              <w:bottom w:val="single" w:sz="12" w:space="0" w:color="auto"/>
            </w:tcBorders>
            <w:vAlign w:val="center"/>
          </w:tcPr>
          <w:p w14:paraId="6A9119EC" w14:textId="77777777" w:rsidR="00EA07FA" w:rsidRPr="00A81B98" w:rsidRDefault="00EA07FA">
            <w:pPr>
              <w:rPr>
                <w:rFonts w:cstheme="minorHAnsi"/>
                <w:sz w:val="22"/>
                <w:szCs w:val="22"/>
              </w:rPr>
            </w:pPr>
            <w:r w:rsidRPr="00A81B98">
              <w:rPr>
                <w:rFonts w:cstheme="minorHAnsi"/>
                <w:sz w:val="22"/>
                <w:szCs w:val="22"/>
              </w:rPr>
              <w:t>Total Vegetated Wetlands</w:t>
            </w:r>
          </w:p>
        </w:tc>
        <w:tc>
          <w:tcPr>
            <w:tcW w:w="2700" w:type="dxa"/>
            <w:tcBorders>
              <w:top w:val="single" w:sz="4" w:space="0" w:color="auto"/>
              <w:bottom w:val="single" w:sz="12" w:space="0" w:color="auto"/>
            </w:tcBorders>
            <w:vAlign w:val="center"/>
          </w:tcPr>
          <w:p w14:paraId="5B9C5111" w14:textId="6DD922BE" w:rsidR="00EA07FA" w:rsidRPr="00A81B98" w:rsidRDefault="00EA07FA" w:rsidP="007C613D">
            <w:pPr>
              <w:jc w:val="center"/>
              <w:rPr>
                <w:rFonts w:cstheme="minorHAnsi"/>
                <w:sz w:val="22"/>
                <w:szCs w:val="22"/>
              </w:rPr>
            </w:pPr>
            <w:r w:rsidRPr="00A81B98">
              <w:rPr>
                <w:rFonts w:cstheme="minorHAnsi"/>
                <w:sz w:val="22"/>
                <w:szCs w:val="22"/>
              </w:rPr>
              <w:t>1,222,952</w:t>
            </w:r>
          </w:p>
        </w:tc>
      </w:tr>
    </w:tbl>
    <w:p w14:paraId="4098384A" w14:textId="1F31784C" w:rsidR="008A275B" w:rsidRPr="007409EB" w:rsidRDefault="008A275B" w:rsidP="007409EB">
      <w:pPr>
        <w:rPr>
          <w:rFonts w:cstheme="minorHAnsi"/>
          <w:szCs w:val="24"/>
        </w:rPr>
      </w:pPr>
    </w:p>
    <w:p w14:paraId="5DADA919" w14:textId="71C57EA3" w:rsidR="003B230C" w:rsidRPr="008A275B" w:rsidRDefault="003B230C" w:rsidP="008A275B">
      <w:pPr>
        <w:pStyle w:val="Heading2"/>
      </w:pPr>
      <w:bookmarkStart w:id="41" w:name="_Toc152763303"/>
      <w:bookmarkStart w:id="42" w:name="_Toc155771949"/>
      <w:bookmarkStart w:id="43" w:name="_Toc191900428"/>
      <w:r w:rsidRPr="008A275B">
        <w:lastRenderedPageBreak/>
        <w:t>Land Use</w:t>
      </w:r>
      <w:bookmarkEnd w:id="41"/>
      <w:bookmarkEnd w:id="42"/>
      <w:bookmarkEnd w:id="43"/>
    </w:p>
    <w:p w14:paraId="43AC1876" w14:textId="309AB99A" w:rsidR="003B230C" w:rsidRDefault="00065616" w:rsidP="00E567F3">
      <w:pPr>
        <w:rPr>
          <w:rFonts w:cstheme="minorHAnsi"/>
          <w:szCs w:val="24"/>
        </w:rPr>
      </w:pPr>
      <w:r>
        <w:rPr>
          <w:rFonts w:cstheme="minorHAnsi"/>
          <w:szCs w:val="24"/>
        </w:rPr>
        <w:t xml:space="preserve">The effect land use has on water quality </w:t>
      </w:r>
      <w:r w:rsidR="00F70EEC">
        <w:rPr>
          <w:rFonts w:cstheme="minorHAnsi"/>
          <w:szCs w:val="24"/>
        </w:rPr>
        <w:t>differs across land use types.</w:t>
      </w:r>
      <w:r w:rsidR="009A2023">
        <w:rPr>
          <w:rFonts w:cstheme="minorHAnsi"/>
          <w:szCs w:val="24"/>
        </w:rPr>
        <w:t xml:space="preserve"> </w:t>
      </w:r>
      <w:r w:rsidR="00712F59">
        <w:rPr>
          <w:rFonts w:cstheme="minorHAnsi"/>
          <w:szCs w:val="24"/>
        </w:rPr>
        <w:t>Forests and wetlands promote water quality by</w:t>
      </w:r>
      <w:r w:rsidR="007C6B3A">
        <w:rPr>
          <w:rFonts w:cstheme="minorHAnsi"/>
          <w:szCs w:val="24"/>
        </w:rPr>
        <w:t xml:space="preserve"> acting as natural filter, </w:t>
      </w:r>
      <w:r w:rsidR="007C6B3A" w:rsidRPr="003737E5">
        <w:rPr>
          <w:rFonts w:cstheme="minorHAnsi"/>
          <w:szCs w:val="24"/>
        </w:rPr>
        <w:t xml:space="preserve">absorbing </w:t>
      </w:r>
      <w:r w:rsidR="00630FD9" w:rsidRPr="003737E5">
        <w:rPr>
          <w:rFonts w:cstheme="minorHAnsi"/>
          <w:szCs w:val="24"/>
        </w:rPr>
        <w:t>nutrients,</w:t>
      </w:r>
      <w:r w:rsidR="007C6B3A" w:rsidRPr="003737E5">
        <w:rPr>
          <w:rFonts w:cstheme="minorHAnsi"/>
          <w:szCs w:val="24"/>
        </w:rPr>
        <w:t xml:space="preserve"> </w:t>
      </w:r>
      <w:r w:rsidR="007C6B3A">
        <w:rPr>
          <w:rFonts w:cstheme="minorHAnsi"/>
          <w:szCs w:val="24"/>
        </w:rPr>
        <w:t xml:space="preserve">and reducing sediment loads </w:t>
      </w:r>
      <w:r w:rsidR="007C6B3A" w:rsidRPr="003737E5">
        <w:rPr>
          <w:rFonts w:cstheme="minorHAnsi"/>
          <w:szCs w:val="24"/>
        </w:rPr>
        <w:t xml:space="preserve">that would otherwise be washed into nearby </w:t>
      </w:r>
      <w:r w:rsidR="00C23308">
        <w:rPr>
          <w:rFonts w:cstheme="minorHAnsi"/>
          <w:szCs w:val="24"/>
        </w:rPr>
        <w:t>surface waters</w:t>
      </w:r>
      <w:r w:rsidR="00E14DCC">
        <w:rPr>
          <w:rFonts w:cstheme="minorHAnsi"/>
          <w:szCs w:val="24"/>
        </w:rPr>
        <w:t xml:space="preserve">. </w:t>
      </w:r>
      <w:r w:rsidR="003A3E18" w:rsidRPr="004E24CD">
        <w:rPr>
          <w:rFonts w:cstheme="minorHAnsi"/>
          <w:szCs w:val="24"/>
        </w:rPr>
        <w:t>Virginia's landscape is dominated by forests, which cover approximately 50% of the state’s total area (Table 2.4-1)</w:t>
      </w:r>
      <w:r w:rsidR="00D17440">
        <w:rPr>
          <w:rFonts w:cstheme="minorHAnsi"/>
          <w:szCs w:val="24"/>
        </w:rPr>
        <w:t>.</w:t>
      </w:r>
      <w:r w:rsidR="003A3E18" w:rsidRPr="004E24CD">
        <w:rPr>
          <w:rFonts w:cstheme="minorHAnsi"/>
          <w:szCs w:val="24"/>
        </w:rPr>
        <w:t xml:space="preserve"> </w:t>
      </w:r>
      <w:r w:rsidR="00C23308">
        <w:rPr>
          <w:rFonts w:cstheme="minorHAnsi"/>
          <w:szCs w:val="24"/>
        </w:rPr>
        <w:t>W</w:t>
      </w:r>
      <w:r w:rsidR="00163A33">
        <w:rPr>
          <w:rFonts w:cstheme="minorHAnsi"/>
          <w:szCs w:val="24"/>
        </w:rPr>
        <w:t>etlands account for approximately five percent of the Virginia’s land cover</w:t>
      </w:r>
      <w:r w:rsidR="001C41E0">
        <w:rPr>
          <w:rFonts w:cstheme="minorHAnsi"/>
          <w:szCs w:val="24"/>
        </w:rPr>
        <w:t>, and</w:t>
      </w:r>
      <w:r w:rsidR="00926F59">
        <w:rPr>
          <w:rFonts w:cstheme="minorHAnsi"/>
          <w:szCs w:val="24"/>
        </w:rPr>
        <w:t xml:space="preserve"> developed areas</w:t>
      </w:r>
      <w:r w:rsidR="001C41E0">
        <w:rPr>
          <w:rFonts w:cstheme="minorHAnsi"/>
          <w:szCs w:val="24"/>
        </w:rPr>
        <w:t xml:space="preserve"> account for </w:t>
      </w:r>
      <w:r w:rsidR="005113FB">
        <w:rPr>
          <w:rFonts w:cstheme="minorHAnsi"/>
          <w:szCs w:val="24"/>
        </w:rPr>
        <w:t>~</w:t>
      </w:r>
      <w:r w:rsidR="00397D83">
        <w:rPr>
          <w:rFonts w:cstheme="minorHAnsi"/>
          <w:szCs w:val="24"/>
        </w:rPr>
        <w:t>10% of the state’s land cover</w:t>
      </w:r>
      <w:r w:rsidR="001C41E0">
        <w:rPr>
          <w:rFonts w:cstheme="minorHAnsi"/>
          <w:szCs w:val="24"/>
        </w:rPr>
        <w:t>.</w:t>
      </w:r>
    </w:p>
    <w:p w14:paraId="0A64FE15" w14:textId="77777777" w:rsidR="00024DCC" w:rsidRDefault="00024DCC" w:rsidP="00E567F3">
      <w:pPr>
        <w:rPr>
          <w:rFonts w:cstheme="minorHAnsi"/>
          <w:szCs w:val="24"/>
        </w:rPr>
      </w:pPr>
    </w:p>
    <w:p w14:paraId="03A0CE95" w14:textId="5CE4CBD1" w:rsidR="00024DCC" w:rsidRPr="00E567F3" w:rsidRDefault="00024DCC" w:rsidP="00E567F3">
      <w:pPr>
        <w:rPr>
          <w:rFonts w:cstheme="minorHAnsi"/>
          <w:b/>
          <w:szCs w:val="24"/>
        </w:rPr>
      </w:pPr>
      <w:r>
        <w:rPr>
          <w:rFonts w:cstheme="minorHAnsi"/>
          <w:szCs w:val="24"/>
        </w:rPr>
        <w:t xml:space="preserve">Note that the last </w:t>
      </w:r>
      <w:r w:rsidR="00584437">
        <w:rPr>
          <w:rFonts w:cstheme="minorHAnsi"/>
          <w:szCs w:val="24"/>
        </w:rPr>
        <w:t>I</w:t>
      </w:r>
      <w:r>
        <w:rPr>
          <w:rFonts w:cstheme="minorHAnsi"/>
          <w:szCs w:val="24"/>
        </w:rPr>
        <w:t xml:space="preserve">ntegrated </w:t>
      </w:r>
      <w:r w:rsidR="00584437">
        <w:rPr>
          <w:rFonts w:cstheme="minorHAnsi"/>
          <w:szCs w:val="24"/>
        </w:rPr>
        <w:t>R</w:t>
      </w:r>
      <w:r>
        <w:rPr>
          <w:rFonts w:cstheme="minorHAnsi"/>
          <w:szCs w:val="24"/>
        </w:rPr>
        <w:t>eport</w:t>
      </w:r>
      <w:r w:rsidR="00E16A6A">
        <w:rPr>
          <w:rFonts w:cstheme="minorHAnsi"/>
          <w:szCs w:val="24"/>
        </w:rPr>
        <w:t xml:space="preserve"> (202</w:t>
      </w:r>
      <w:r w:rsidR="00584437">
        <w:rPr>
          <w:rFonts w:cstheme="minorHAnsi"/>
          <w:szCs w:val="24"/>
        </w:rPr>
        <w:t>2</w:t>
      </w:r>
      <w:r w:rsidR="00E16A6A">
        <w:rPr>
          <w:rFonts w:cstheme="minorHAnsi"/>
          <w:szCs w:val="24"/>
        </w:rPr>
        <w:t>)</w:t>
      </w:r>
      <w:r>
        <w:rPr>
          <w:rFonts w:cstheme="minorHAnsi"/>
          <w:szCs w:val="24"/>
        </w:rPr>
        <w:t xml:space="preserve"> used land cover data from </w:t>
      </w:r>
      <w:r w:rsidR="00612AF9">
        <w:rPr>
          <w:rFonts w:cstheme="minorHAnsi"/>
          <w:szCs w:val="24"/>
        </w:rPr>
        <w:t xml:space="preserve">different data sources </w:t>
      </w:r>
      <w:r w:rsidR="00C41246">
        <w:rPr>
          <w:rFonts w:cstheme="minorHAnsi"/>
          <w:szCs w:val="24"/>
        </w:rPr>
        <w:t xml:space="preserve">(Virginia Department of Forestry and the US Department of Agriculture) </w:t>
      </w:r>
      <w:r w:rsidR="00612AF9">
        <w:rPr>
          <w:rFonts w:cstheme="minorHAnsi"/>
          <w:szCs w:val="24"/>
        </w:rPr>
        <w:t xml:space="preserve">than the current </w:t>
      </w:r>
      <w:r w:rsidR="00584437">
        <w:rPr>
          <w:rFonts w:cstheme="minorHAnsi"/>
          <w:szCs w:val="24"/>
        </w:rPr>
        <w:t>Integrated Report</w:t>
      </w:r>
      <w:r w:rsidR="002F7292">
        <w:rPr>
          <w:rFonts w:cstheme="minorHAnsi"/>
          <w:szCs w:val="24"/>
        </w:rPr>
        <w:t>, which uses the National Land Cover Dataset</w:t>
      </w:r>
      <w:r w:rsidR="00EA302B">
        <w:rPr>
          <w:rFonts w:cstheme="minorHAnsi"/>
          <w:szCs w:val="24"/>
        </w:rPr>
        <w:t>, provided by the United States Geological Su</w:t>
      </w:r>
      <w:r w:rsidR="00EA302B" w:rsidRPr="00DC73F1">
        <w:rPr>
          <w:rFonts w:cstheme="minorHAnsi"/>
          <w:szCs w:val="24"/>
        </w:rPr>
        <w:t>rvey</w:t>
      </w:r>
      <w:r w:rsidR="00175144" w:rsidRPr="00DC73F1">
        <w:rPr>
          <w:rFonts w:cstheme="minorHAnsi"/>
          <w:szCs w:val="24"/>
        </w:rPr>
        <w:t>.</w:t>
      </w:r>
      <w:r w:rsidR="00E369F0" w:rsidRPr="00DC73F1">
        <w:rPr>
          <w:rFonts w:cstheme="minorHAnsi"/>
          <w:szCs w:val="24"/>
        </w:rPr>
        <w:t xml:space="preserve"> </w:t>
      </w:r>
      <w:r w:rsidR="000629EE" w:rsidRPr="00DC73F1">
        <w:rPr>
          <w:rFonts w:cstheme="minorHAnsi"/>
          <w:szCs w:val="24"/>
        </w:rPr>
        <w:t xml:space="preserve">The </w:t>
      </w:r>
      <w:r w:rsidR="00B73AD7" w:rsidRPr="00DC73F1">
        <w:rPr>
          <w:rFonts w:cstheme="minorHAnsi"/>
          <w:szCs w:val="24"/>
        </w:rPr>
        <w:t xml:space="preserve">land cover </w:t>
      </w:r>
      <w:r w:rsidR="000629EE" w:rsidRPr="00DC73F1">
        <w:rPr>
          <w:rFonts w:cstheme="minorHAnsi"/>
          <w:szCs w:val="24"/>
        </w:rPr>
        <w:t xml:space="preserve">summary </w:t>
      </w:r>
      <w:r w:rsidR="00B73AD7" w:rsidRPr="00DC73F1">
        <w:rPr>
          <w:rFonts w:cstheme="minorHAnsi"/>
          <w:szCs w:val="24"/>
        </w:rPr>
        <w:t xml:space="preserve">was calculated using the </w:t>
      </w:r>
      <w:r w:rsidR="000629EE" w:rsidRPr="00DC73F1">
        <w:rPr>
          <w:rFonts w:cstheme="minorHAnsi"/>
          <w:szCs w:val="24"/>
        </w:rPr>
        <w:t>Commonwealth’s jurisdictional boundary, including its 3 nautical miles territorial limit into the Atlantic Ocean, in ArcGIS Pro.</w:t>
      </w:r>
    </w:p>
    <w:p w14:paraId="087D3FD9" w14:textId="4A10D2CB" w:rsidR="00DE3318" w:rsidRDefault="00DE3318" w:rsidP="005D2374"/>
    <w:p w14:paraId="4F334273" w14:textId="7F7ED726" w:rsidR="001031C7" w:rsidRPr="007D6D1D" w:rsidRDefault="001031C7" w:rsidP="001031C7">
      <w:pPr>
        <w:pStyle w:val="Caption"/>
        <w:keepNext/>
        <w:rPr>
          <w:vanish/>
        </w:rPr>
      </w:pPr>
      <w:bookmarkStart w:id="44" w:name="_Toc164175149"/>
      <w:r w:rsidRPr="006B5E07">
        <w:t xml:space="preserve">Table </w:t>
      </w:r>
      <w:r w:rsidR="004F13BA">
        <w:fldChar w:fldCharType="begin"/>
      </w:r>
      <w:r w:rsidR="004F13BA">
        <w:instrText xml:space="preserve"> STYLEREF 2 \s </w:instrText>
      </w:r>
      <w:r w:rsidR="004F13BA">
        <w:fldChar w:fldCharType="separate"/>
      </w:r>
      <w:r w:rsidR="00CD06AE">
        <w:rPr>
          <w:noProof/>
        </w:rPr>
        <w:t>2.4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w:t>
      </w:r>
      <w:r w:rsidR="004F13BA">
        <w:rPr>
          <w:noProof/>
        </w:rPr>
        <w:fldChar w:fldCharType="end"/>
      </w:r>
      <w:r w:rsidRPr="006B5E07">
        <w:t xml:space="preserve">. </w:t>
      </w:r>
      <w:r w:rsidRPr="00DC73F1">
        <w:t xml:space="preserve">Virginia statewide land </w:t>
      </w:r>
      <w:proofErr w:type="gramStart"/>
      <w:r w:rsidR="00F73EA4" w:rsidRPr="00DC73F1">
        <w:t>cover</w:t>
      </w:r>
      <w:proofErr w:type="gramEnd"/>
      <w:r w:rsidRPr="00DC73F1">
        <w:t xml:space="preserve"> </w:t>
      </w:r>
      <w:proofErr w:type="gramStart"/>
      <w:r w:rsidRPr="00DC73F1">
        <w:t>summary</w:t>
      </w:r>
      <w:bookmarkEnd w:id="44"/>
      <w:proofErr w:type="gramEnd"/>
      <w:r w:rsidR="00791DF1">
        <w:t xml:space="preserve"> </w:t>
      </w:r>
      <w:r w:rsidR="00E871A5" w:rsidRPr="00DC73F1">
        <w:t xml:space="preserve">of selected parameters </w:t>
      </w:r>
      <w:r w:rsidR="00F73EA4" w:rsidRPr="00DC73F1">
        <w:t>from the 2021 National Land Cover Dataset.</w:t>
      </w:r>
      <w:r w:rsidR="00E871A5" w:rsidRPr="00DC73F1">
        <w:t xml:space="preserve"> </w:t>
      </w:r>
      <w:r w:rsidR="009C2C18" w:rsidRPr="00DC73F1">
        <w:rPr>
          <w:rFonts w:cstheme="minorHAnsi"/>
          <w:szCs w:val="24"/>
        </w:rPr>
        <w:t>Further descriptions of land cover classification can be found on the MLRC webpage</w:t>
      </w:r>
      <w:r w:rsidR="009B6DC4" w:rsidRPr="00DC73F1">
        <w:rPr>
          <w:rFonts w:cstheme="minorHAnsi"/>
          <w:szCs w:val="24"/>
        </w:rPr>
        <w:t xml:space="preserve">. </w:t>
      </w:r>
      <w:r w:rsidR="002444C9" w:rsidRPr="00DC73F1">
        <w:t xml:space="preserve">Note </w:t>
      </w:r>
      <w:r w:rsidR="00E871A5" w:rsidRPr="00DC73F1">
        <w:t xml:space="preserve">that not all land cover classifications are </w:t>
      </w:r>
      <w:r w:rsidR="004E6C8E" w:rsidRPr="00DC73F1">
        <w:t xml:space="preserve">shown in this table, </w:t>
      </w:r>
      <w:r w:rsidR="002444C9" w:rsidRPr="00DC73F1">
        <w:t>area</w:t>
      </w:r>
      <w:r w:rsidR="002444C9">
        <w:t xml:space="preserve"> is rounded to </w:t>
      </w:r>
      <w:r w:rsidR="00945607">
        <w:t xml:space="preserve">one </w:t>
      </w:r>
      <w:r w:rsidR="006A09BC">
        <w:t>decimal place, and land cover is rounded to the second decimal place.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2207"/>
        <w:gridCol w:w="2186"/>
        <w:gridCol w:w="2267"/>
      </w:tblGrid>
      <w:tr w:rsidR="004E3C44" w14:paraId="7820C836" w14:textId="77777777" w:rsidTr="00166B29">
        <w:trPr>
          <w:trHeight w:val="360"/>
        </w:trPr>
        <w:tc>
          <w:tcPr>
            <w:tcW w:w="2700" w:type="dxa"/>
            <w:tcBorders>
              <w:top w:val="single" w:sz="12" w:space="0" w:color="auto"/>
              <w:bottom w:val="single" w:sz="4" w:space="0" w:color="auto"/>
            </w:tcBorders>
            <w:vAlign w:val="center"/>
          </w:tcPr>
          <w:p w14:paraId="240CC09B" w14:textId="77777777" w:rsidR="004E3C44" w:rsidRPr="00A83F32" w:rsidRDefault="004E3C44">
            <w:pPr>
              <w:jc w:val="center"/>
              <w:rPr>
                <w:rFonts w:cstheme="minorHAnsi"/>
                <w:b/>
                <w:bCs/>
                <w:sz w:val="22"/>
                <w:szCs w:val="22"/>
              </w:rPr>
            </w:pPr>
            <w:r w:rsidRPr="00A83F32">
              <w:rPr>
                <w:rFonts w:cstheme="minorHAnsi"/>
                <w:b/>
                <w:bCs/>
                <w:sz w:val="22"/>
                <w:szCs w:val="22"/>
              </w:rPr>
              <w:t>Land Cover Classification</w:t>
            </w:r>
          </w:p>
        </w:tc>
        <w:tc>
          <w:tcPr>
            <w:tcW w:w="2207" w:type="dxa"/>
            <w:tcBorders>
              <w:top w:val="single" w:sz="12" w:space="0" w:color="auto"/>
              <w:bottom w:val="single" w:sz="4" w:space="0" w:color="auto"/>
            </w:tcBorders>
            <w:vAlign w:val="center"/>
          </w:tcPr>
          <w:p w14:paraId="1845CB3C" w14:textId="77777777" w:rsidR="004E3C44" w:rsidRPr="00A83F32" w:rsidRDefault="004E3C44">
            <w:pPr>
              <w:jc w:val="center"/>
              <w:rPr>
                <w:rFonts w:cstheme="minorHAnsi"/>
                <w:b/>
                <w:bCs/>
                <w:sz w:val="22"/>
                <w:szCs w:val="22"/>
              </w:rPr>
            </w:pPr>
            <w:r w:rsidRPr="00A83F32">
              <w:rPr>
                <w:rFonts w:cstheme="minorHAnsi"/>
                <w:b/>
                <w:bCs/>
                <w:sz w:val="22"/>
                <w:szCs w:val="22"/>
              </w:rPr>
              <w:t>Subclassification</w:t>
            </w:r>
          </w:p>
        </w:tc>
        <w:tc>
          <w:tcPr>
            <w:tcW w:w="2186" w:type="dxa"/>
            <w:tcBorders>
              <w:top w:val="single" w:sz="12" w:space="0" w:color="auto"/>
              <w:bottom w:val="single" w:sz="4" w:space="0" w:color="auto"/>
            </w:tcBorders>
            <w:vAlign w:val="center"/>
          </w:tcPr>
          <w:p w14:paraId="489276DE" w14:textId="77777777" w:rsidR="004E3C44" w:rsidRPr="00A83F32" w:rsidRDefault="004E3C44">
            <w:pPr>
              <w:jc w:val="center"/>
              <w:rPr>
                <w:rFonts w:cstheme="minorHAnsi"/>
                <w:b/>
                <w:bCs/>
                <w:sz w:val="22"/>
                <w:szCs w:val="22"/>
              </w:rPr>
            </w:pPr>
            <w:r w:rsidRPr="00A83F32">
              <w:rPr>
                <w:rFonts w:cstheme="minorHAnsi"/>
                <w:b/>
                <w:bCs/>
                <w:sz w:val="22"/>
                <w:szCs w:val="22"/>
              </w:rPr>
              <w:t>Area (miles</w:t>
            </w:r>
            <w:r w:rsidRPr="00A83F32">
              <w:rPr>
                <w:rFonts w:cstheme="minorHAnsi"/>
                <w:b/>
                <w:bCs/>
                <w:sz w:val="22"/>
                <w:szCs w:val="22"/>
                <w:vertAlign w:val="superscript"/>
              </w:rPr>
              <w:t>2</w:t>
            </w:r>
            <w:r w:rsidRPr="00A83F32">
              <w:rPr>
                <w:rFonts w:cstheme="minorHAnsi"/>
                <w:b/>
                <w:bCs/>
                <w:sz w:val="22"/>
                <w:szCs w:val="22"/>
              </w:rPr>
              <w:t>)</w:t>
            </w:r>
          </w:p>
        </w:tc>
        <w:tc>
          <w:tcPr>
            <w:tcW w:w="2267" w:type="dxa"/>
            <w:tcBorders>
              <w:top w:val="single" w:sz="12" w:space="0" w:color="auto"/>
              <w:bottom w:val="single" w:sz="4" w:space="0" w:color="auto"/>
            </w:tcBorders>
            <w:vAlign w:val="center"/>
          </w:tcPr>
          <w:p w14:paraId="35E6F3B9" w14:textId="3E16D613" w:rsidR="004E3C44" w:rsidRPr="00A83F32" w:rsidRDefault="004E3C44">
            <w:pPr>
              <w:jc w:val="center"/>
              <w:rPr>
                <w:rFonts w:cstheme="minorHAnsi"/>
                <w:b/>
                <w:bCs/>
                <w:sz w:val="22"/>
                <w:szCs w:val="22"/>
              </w:rPr>
            </w:pPr>
            <w:r w:rsidRPr="00A83F32">
              <w:rPr>
                <w:rFonts w:cstheme="minorHAnsi"/>
                <w:b/>
                <w:bCs/>
                <w:sz w:val="22"/>
                <w:szCs w:val="22"/>
              </w:rPr>
              <w:t>Land Cover (%)</w:t>
            </w:r>
          </w:p>
        </w:tc>
      </w:tr>
      <w:tr w:rsidR="004E3C44" w14:paraId="24FC6E62" w14:textId="77777777">
        <w:trPr>
          <w:trHeight w:val="360"/>
        </w:trPr>
        <w:tc>
          <w:tcPr>
            <w:tcW w:w="2700" w:type="dxa"/>
            <w:tcBorders>
              <w:top w:val="single" w:sz="4" w:space="0" w:color="auto"/>
            </w:tcBorders>
            <w:vAlign w:val="center"/>
          </w:tcPr>
          <w:p w14:paraId="1CADAED0" w14:textId="77777777" w:rsidR="004E3C44" w:rsidRPr="00A83F32" w:rsidRDefault="004E3C44">
            <w:pPr>
              <w:jc w:val="center"/>
              <w:rPr>
                <w:rFonts w:cstheme="minorHAnsi"/>
                <w:sz w:val="22"/>
                <w:szCs w:val="22"/>
              </w:rPr>
            </w:pPr>
            <w:r w:rsidRPr="00A83F32">
              <w:rPr>
                <w:rFonts w:cstheme="minorHAnsi"/>
                <w:sz w:val="22"/>
                <w:szCs w:val="22"/>
              </w:rPr>
              <w:t>Forest</w:t>
            </w:r>
          </w:p>
        </w:tc>
        <w:tc>
          <w:tcPr>
            <w:tcW w:w="2207" w:type="dxa"/>
            <w:tcBorders>
              <w:top w:val="single" w:sz="4" w:space="0" w:color="auto"/>
            </w:tcBorders>
            <w:vAlign w:val="center"/>
          </w:tcPr>
          <w:p w14:paraId="4E182A51" w14:textId="77777777" w:rsidR="004E3C44" w:rsidRPr="00A83F32" w:rsidRDefault="004E3C44">
            <w:pPr>
              <w:jc w:val="center"/>
              <w:rPr>
                <w:rFonts w:cstheme="minorHAnsi"/>
                <w:sz w:val="22"/>
                <w:szCs w:val="22"/>
              </w:rPr>
            </w:pPr>
            <w:r w:rsidRPr="00A83F32">
              <w:rPr>
                <w:rFonts w:cstheme="minorHAnsi"/>
                <w:sz w:val="22"/>
                <w:szCs w:val="22"/>
              </w:rPr>
              <w:t>Deciduous</w:t>
            </w:r>
          </w:p>
        </w:tc>
        <w:tc>
          <w:tcPr>
            <w:tcW w:w="2186" w:type="dxa"/>
            <w:tcBorders>
              <w:top w:val="single" w:sz="4" w:space="0" w:color="auto"/>
            </w:tcBorders>
            <w:vAlign w:val="center"/>
          </w:tcPr>
          <w:p w14:paraId="101C4D94" w14:textId="214B0585" w:rsidR="004E3C44" w:rsidRPr="00A83F32" w:rsidRDefault="004E3C44">
            <w:pPr>
              <w:jc w:val="center"/>
              <w:rPr>
                <w:rFonts w:cstheme="minorHAnsi"/>
                <w:sz w:val="22"/>
                <w:szCs w:val="22"/>
              </w:rPr>
            </w:pPr>
            <w:r w:rsidRPr="00A83F32">
              <w:rPr>
                <w:rFonts w:cstheme="minorHAnsi"/>
                <w:color w:val="000000"/>
                <w:sz w:val="22"/>
                <w:szCs w:val="22"/>
              </w:rPr>
              <w:t>12547.</w:t>
            </w:r>
            <w:r w:rsidR="00FF475C">
              <w:rPr>
                <w:rFonts w:cstheme="minorHAnsi"/>
                <w:color w:val="000000"/>
                <w:sz w:val="22"/>
                <w:szCs w:val="22"/>
              </w:rPr>
              <w:t>3</w:t>
            </w:r>
          </w:p>
        </w:tc>
        <w:tc>
          <w:tcPr>
            <w:tcW w:w="2267" w:type="dxa"/>
            <w:tcBorders>
              <w:top w:val="single" w:sz="4" w:space="0" w:color="auto"/>
            </w:tcBorders>
            <w:vAlign w:val="center"/>
          </w:tcPr>
          <w:p w14:paraId="28D8ECAD" w14:textId="77777777" w:rsidR="004E3C44" w:rsidRPr="00A83F32" w:rsidRDefault="004E3C44">
            <w:pPr>
              <w:jc w:val="center"/>
              <w:rPr>
                <w:rFonts w:cstheme="minorHAnsi"/>
                <w:sz w:val="22"/>
                <w:szCs w:val="22"/>
              </w:rPr>
            </w:pPr>
            <w:r w:rsidRPr="00A83F32">
              <w:rPr>
                <w:rFonts w:cstheme="minorHAnsi"/>
                <w:sz w:val="22"/>
                <w:szCs w:val="22"/>
              </w:rPr>
              <w:t>29.33</w:t>
            </w:r>
          </w:p>
        </w:tc>
      </w:tr>
      <w:tr w:rsidR="004E3C44" w14:paraId="6DEB9D1F" w14:textId="77777777">
        <w:trPr>
          <w:trHeight w:val="360"/>
        </w:trPr>
        <w:tc>
          <w:tcPr>
            <w:tcW w:w="2700" w:type="dxa"/>
            <w:vAlign w:val="center"/>
          </w:tcPr>
          <w:p w14:paraId="03236EA9" w14:textId="77777777" w:rsidR="004E3C44" w:rsidRPr="00A83F32" w:rsidRDefault="004E3C44">
            <w:pPr>
              <w:jc w:val="center"/>
              <w:rPr>
                <w:rFonts w:cstheme="minorHAnsi"/>
                <w:sz w:val="22"/>
                <w:szCs w:val="22"/>
              </w:rPr>
            </w:pPr>
          </w:p>
        </w:tc>
        <w:tc>
          <w:tcPr>
            <w:tcW w:w="2207" w:type="dxa"/>
            <w:vAlign w:val="center"/>
          </w:tcPr>
          <w:p w14:paraId="015900B2" w14:textId="77777777" w:rsidR="004E3C44" w:rsidRPr="00A83F32" w:rsidRDefault="004E3C44">
            <w:pPr>
              <w:jc w:val="center"/>
              <w:rPr>
                <w:rFonts w:cstheme="minorHAnsi"/>
                <w:sz w:val="22"/>
                <w:szCs w:val="22"/>
              </w:rPr>
            </w:pPr>
            <w:r w:rsidRPr="00A83F32">
              <w:rPr>
                <w:rFonts w:cstheme="minorHAnsi"/>
                <w:sz w:val="22"/>
                <w:szCs w:val="22"/>
              </w:rPr>
              <w:t>Evergreen</w:t>
            </w:r>
          </w:p>
        </w:tc>
        <w:tc>
          <w:tcPr>
            <w:tcW w:w="2186" w:type="dxa"/>
            <w:vAlign w:val="center"/>
          </w:tcPr>
          <w:p w14:paraId="4E7C6217" w14:textId="77777777" w:rsidR="004E3C44" w:rsidRPr="00A83F32" w:rsidRDefault="004E3C44">
            <w:pPr>
              <w:jc w:val="center"/>
              <w:rPr>
                <w:rFonts w:cstheme="minorHAnsi"/>
                <w:sz w:val="22"/>
                <w:szCs w:val="22"/>
              </w:rPr>
            </w:pPr>
            <w:r w:rsidRPr="00A83F32">
              <w:rPr>
                <w:rFonts w:cstheme="minorHAnsi"/>
                <w:color w:val="000000"/>
                <w:sz w:val="22"/>
                <w:szCs w:val="22"/>
              </w:rPr>
              <w:t>3792.9</w:t>
            </w:r>
          </w:p>
        </w:tc>
        <w:tc>
          <w:tcPr>
            <w:tcW w:w="2267" w:type="dxa"/>
            <w:vAlign w:val="center"/>
          </w:tcPr>
          <w:p w14:paraId="14CBEA63" w14:textId="77777777" w:rsidR="004E3C44" w:rsidRPr="00A83F32" w:rsidRDefault="004E3C44">
            <w:pPr>
              <w:jc w:val="center"/>
              <w:rPr>
                <w:rFonts w:cstheme="minorHAnsi"/>
                <w:sz w:val="22"/>
                <w:szCs w:val="22"/>
              </w:rPr>
            </w:pPr>
            <w:r w:rsidRPr="00A83F32">
              <w:rPr>
                <w:rFonts w:cstheme="minorHAnsi"/>
                <w:sz w:val="22"/>
                <w:szCs w:val="22"/>
              </w:rPr>
              <w:t>8.87</w:t>
            </w:r>
          </w:p>
        </w:tc>
      </w:tr>
      <w:tr w:rsidR="004E3C44" w14:paraId="5AF4AF1C" w14:textId="77777777">
        <w:trPr>
          <w:trHeight w:val="360"/>
        </w:trPr>
        <w:tc>
          <w:tcPr>
            <w:tcW w:w="2700" w:type="dxa"/>
            <w:vAlign w:val="center"/>
          </w:tcPr>
          <w:p w14:paraId="02F7A135" w14:textId="77777777" w:rsidR="004E3C44" w:rsidRPr="00A83F32" w:rsidRDefault="004E3C44">
            <w:pPr>
              <w:jc w:val="center"/>
              <w:rPr>
                <w:rFonts w:cstheme="minorHAnsi"/>
                <w:sz w:val="22"/>
                <w:szCs w:val="22"/>
              </w:rPr>
            </w:pPr>
          </w:p>
        </w:tc>
        <w:tc>
          <w:tcPr>
            <w:tcW w:w="2207" w:type="dxa"/>
            <w:vAlign w:val="center"/>
          </w:tcPr>
          <w:p w14:paraId="70F013F1" w14:textId="77777777" w:rsidR="004E3C44" w:rsidRPr="00A83F32" w:rsidRDefault="004E3C44">
            <w:pPr>
              <w:jc w:val="center"/>
              <w:rPr>
                <w:rFonts w:cstheme="minorHAnsi"/>
                <w:sz w:val="22"/>
                <w:szCs w:val="22"/>
              </w:rPr>
            </w:pPr>
            <w:r w:rsidRPr="00A83F32">
              <w:rPr>
                <w:rFonts w:cstheme="minorHAnsi"/>
                <w:sz w:val="22"/>
                <w:szCs w:val="22"/>
              </w:rPr>
              <w:t>Mixed</w:t>
            </w:r>
          </w:p>
        </w:tc>
        <w:tc>
          <w:tcPr>
            <w:tcW w:w="2186" w:type="dxa"/>
            <w:vAlign w:val="center"/>
          </w:tcPr>
          <w:p w14:paraId="4539EC67" w14:textId="4331E94C" w:rsidR="004E3C44" w:rsidRPr="00A83F32" w:rsidRDefault="004E3C44">
            <w:pPr>
              <w:jc w:val="center"/>
              <w:rPr>
                <w:rFonts w:cstheme="minorHAnsi"/>
                <w:sz w:val="22"/>
                <w:szCs w:val="22"/>
              </w:rPr>
            </w:pPr>
            <w:r w:rsidRPr="00A83F32">
              <w:rPr>
                <w:rFonts w:cstheme="minorHAnsi"/>
                <w:color w:val="000000"/>
                <w:sz w:val="22"/>
                <w:szCs w:val="22"/>
              </w:rPr>
              <w:t>6260.</w:t>
            </w:r>
            <w:r w:rsidR="00E364CA">
              <w:rPr>
                <w:rFonts w:cstheme="minorHAnsi"/>
                <w:color w:val="000000"/>
                <w:sz w:val="22"/>
                <w:szCs w:val="22"/>
              </w:rPr>
              <w:t>9</w:t>
            </w:r>
          </w:p>
        </w:tc>
        <w:tc>
          <w:tcPr>
            <w:tcW w:w="2267" w:type="dxa"/>
            <w:vAlign w:val="center"/>
          </w:tcPr>
          <w:p w14:paraId="5A2F12E5" w14:textId="77777777" w:rsidR="004E3C44" w:rsidRPr="00A83F32" w:rsidRDefault="004E3C44">
            <w:pPr>
              <w:jc w:val="center"/>
              <w:rPr>
                <w:rFonts w:cstheme="minorHAnsi"/>
                <w:sz w:val="22"/>
                <w:szCs w:val="22"/>
              </w:rPr>
            </w:pPr>
            <w:r w:rsidRPr="00A83F32">
              <w:rPr>
                <w:rFonts w:cstheme="minorHAnsi"/>
                <w:sz w:val="22"/>
                <w:szCs w:val="22"/>
              </w:rPr>
              <w:t>14.64</w:t>
            </w:r>
          </w:p>
        </w:tc>
      </w:tr>
      <w:tr w:rsidR="004E3C44" w14:paraId="15A6F9B9" w14:textId="77777777">
        <w:trPr>
          <w:trHeight w:val="360"/>
        </w:trPr>
        <w:tc>
          <w:tcPr>
            <w:tcW w:w="2700" w:type="dxa"/>
            <w:tcBorders>
              <w:top w:val="single" w:sz="4" w:space="0" w:color="auto"/>
            </w:tcBorders>
            <w:vAlign w:val="center"/>
          </w:tcPr>
          <w:p w14:paraId="318B41A9" w14:textId="77777777" w:rsidR="004E3C44" w:rsidRPr="00A83F32" w:rsidRDefault="004E3C44">
            <w:pPr>
              <w:jc w:val="center"/>
              <w:rPr>
                <w:rFonts w:cstheme="minorHAnsi"/>
                <w:sz w:val="22"/>
                <w:szCs w:val="22"/>
              </w:rPr>
            </w:pPr>
            <w:r w:rsidRPr="00A83F32">
              <w:rPr>
                <w:rFonts w:cstheme="minorHAnsi"/>
                <w:sz w:val="22"/>
                <w:szCs w:val="22"/>
              </w:rPr>
              <w:t>Planted/Cultivated</w:t>
            </w:r>
          </w:p>
        </w:tc>
        <w:tc>
          <w:tcPr>
            <w:tcW w:w="2207" w:type="dxa"/>
            <w:tcBorders>
              <w:top w:val="single" w:sz="4" w:space="0" w:color="auto"/>
            </w:tcBorders>
            <w:vAlign w:val="center"/>
          </w:tcPr>
          <w:p w14:paraId="4662CE48" w14:textId="77777777" w:rsidR="004E3C44" w:rsidRPr="00A83F32" w:rsidRDefault="004E3C44">
            <w:pPr>
              <w:jc w:val="center"/>
              <w:rPr>
                <w:rFonts w:cstheme="minorHAnsi"/>
                <w:sz w:val="22"/>
                <w:szCs w:val="22"/>
              </w:rPr>
            </w:pPr>
            <w:r w:rsidRPr="00A83F32">
              <w:rPr>
                <w:rFonts w:cstheme="minorHAnsi"/>
                <w:sz w:val="22"/>
                <w:szCs w:val="22"/>
              </w:rPr>
              <w:t>Pasture/Hay</w:t>
            </w:r>
          </w:p>
        </w:tc>
        <w:tc>
          <w:tcPr>
            <w:tcW w:w="2186" w:type="dxa"/>
            <w:tcBorders>
              <w:top w:val="single" w:sz="4" w:space="0" w:color="auto"/>
            </w:tcBorders>
            <w:vAlign w:val="center"/>
          </w:tcPr>
          <w:p w14:paraId="57906A7C" w14:textId="5EAECCB3" w:rsidR="004E3C44" w:rsidRPr="00A83F32" w:rsidRDefault="004E3C44">
            <w:pPr>
              <w:jc w:val="center"/>
              <w:rPr>
                <w:rFonts w:cstheme="minorHAnsi"/>
                <w:sz w:val="22"/>
                <w:szCs w:val="22"/>
              </w:rPr>
            </w:pPr>
            <w:r w:rsidRPr="00A83F32">
              <w:rPr>
                <w:rFonts w:cstheme="minorHAnsi"/>
                <w:color w:val="000000"/>
                <w:sz w:val="22"/>
                <w:szCs w:val="22"/>
              </w:rPr>
              <w:t>5781.</w:t>
            </w:r>
            <w:r w:rsidR="009438B2">
              <w:rPr>
                <w:rFonts w:cstheme="minorHAnsi"/>
                <w:color w:val="000000"/>
                <w:sz w:val="22"/>
                <w:szCs w:val="22"/>
              </w:rPr>
              <w:t>3</w:t>
            </w:r>
          </w:p>
        </w:tc>
        <w:tc>
          <w:tcPr>
            <w:tcW w:w="2267" w:type="dxa"/>
            <w:tcBorders>
              <w:top w:val="single" w:sz="4" w:space="0" w:color="auto"/>
            </w:tcBorders>
            <w:vAlign w:val="center"/>
          </w:tcPr>
          <w:p w14:paraId="5A51F814" w14:textId="77777777" w:rsidR="004E3C44" w:rsidRPr="00A83F32" w:rsidRDefault="004E3C44">
            <w:pPr>
              <w:jc w:val="center"/>
              <w:rPr>
                <w:rFonts w:cstheme="minorHAnsi"/>
                <w:sz w:val="22"/>
                <w:szCs w:val="22"/>
              </w:rPr>
            </w:pPr>
            <w:r w:rsidRPr="00A83F32">
              <w:rPr>
                <w:rFonts w:cstheme="minorHAnsi"/>
                <w:sz w:val="22"/>
                <w:szCs w:val="22"/>
              </w:rPr>
              <w:t>13.52</w:t>
            </w:r>
          </w:p>
        </w:tc>
      </w:tr>
      <w:tr w:rsidR="004E3C44" w14:paraId="43430D3E" w14:textId="77777777">
        <w:trPr>
          <w:trHeight w:val="360"/>
        </w:trPr>
        <w:tc>
          <w:tcPr>
            <w:tcW w:w="2700" w:type="dxa"/>
            <w:vAlign w:val="center"/>
          </w:tcPr>
          <w:p w14:paraId="41C6FB9C" w14:textId="77777777" w:rsidR="004E3C44" w:rsidRPr="00A83F32" w:rsidRDefault="004E3C44">
            <w:pPr>
              <w:jc w:val="center"/>
              <w:rPr>
                <w:rFonts w:cstheme="minorHAnsi"/>
                <w:sz w:val="22"/>
                <w:szCs w:val="22"/>
              </w:rPr>
            </w:pPr>
          </w:p>
        </w:tc>
        <w:tc>
          <w:tcPr>
            <w:tcW w:w="2207" w:type="dxa"/>
            <w:vAlign w:val="center"/>
          </w:tcPr>
          <w:p w14:paraId="09AF5B81" w14:textId="77777777" w:rsidR="004E3C44" w:rsidRPr="00A83F32" w:rsidRDefault="004E3C44">
            <w:pPr>
              <w:jc w:val="center"/>
              <w:rPr>
                <w:rFonts w:cstheme="minorHAnsi"/>
                <w:sz w:val="22"/>
                <w:szCs w:val="22"/>
              </w:rPr>
            </w:pPr>
            <w:r w:rsidRPr="00A83F32">
              <w:rPr>
                <w:rFonts w:cstheme="minorHAnsi"/>
                <w:sz w:val="22"/>
                <w:szCs w:val="22"/>
              </w:rPr>
              <w:t>Cultivated Crops</w:t>
            </w:r>
          </w:p>
        </w:tc>
        <w:tc>
          <w:tcPr>
            <w:tcW w:w="2186" w:type="dxa"/>
            <w:vAlign w:val="center"/>
          </w:tcPr>
          <w:p w14:paraId="27561073" w14:textId="77777777" w:rsidR="004E3C44" w:rsidRPr="00A83F32" w:rsidRDefault="004E3C44">
            <w:pPr>
              <w:jc w:val="center"/>
              <w:rPr>
                <w:rFonts w:cstheme="minorHAnsi"/>
                <w:sz w:val="22"/>
                <w:szCs w:val="22"/>
              </w:rPr>
            </w:pPr>
            <w:r w:rsidRPr="00A83F32">
              <w:rPr>
                <w:rFonts w:cstheme="minorHAnsi"/>
                <w:color w:val="000000"/>
                <w:sz w:val="22"/>
                <w:szCs w:val="22"/>
              </w:rPr>
              <w:t>2195.7</w:t>
            </w:r>
          </w:p>
        </w:tc>
        <w:tc>
          <w:tcPr>
            <w:tcW w:w="2267" w:type="dxa"/>
            <w:vAlign w:val="center"/>
          </w:tcPr>
          <w:p w14:paraId="2BC1C22D" w14:textId="77777777" w:rsidR="004E3C44" w:rsidRPr="00A83F32" w:rsidRDefault="004E3C44">
            <w:pPr>
              <w:jc w:val="center"/>
              <w:rPr>
                <w:rFonts w:cstheme="minorHAnsi"/>
                <w:sz w:val="22"/>
                <w:szCs w:val="22"/>
              </w:rPr>
            </w:pPr>
            <w:r w:rsidRPr="00A83F32">
              <w:rPr>
                <w:rFonts w:cstheme="minorHAnsi"/>
                <w:sz w:val="22"/>
                <w:szCs w:val="22"/>
              </w:rPr>
              <w:t>5.13</w:t>
            </w:r>
          </w:p>
        </w:tc>
      </w:tr>
      <w:tr w:rsidR="004E3C44" w14:paraId="345835A9" w14:textId="77777777">
        <w:trPr>
          <w:trHeight w:val="360"/>
        </w:trPr>
        <w:tc>
          <w:tcPr>
            <w:tcW w:w="2700" w:type="dxa"/>
            <w:tcBorders>
              <w:top w:val="single" w:sz="4" w:space="0" w:color="auto"/>
            </w:tcBorders>
            <w:vAlign w:val="center"/>
          </w:tcPr>
          <w:p w14:paraId="7E5FD5A4" w14:textId="77777777" w:rsidR="004E3C44" w:rsidRPr="00A83F32" w:rsidRDefault="004E3C44">
            <w:pPr>
              <w:jc w:val="center"/>
              <w:rPr>
                <w:rFonts w:cstheme="minorHAnsi"/>
                <w:sz w:val="22"/>
                <w:szCs w:val="22"/>
              </w:rPr>
            </w:pPr>
            <w:r w:rsidRPr="00A83F32">
              <w:rPr>
                <w:rFonts w:cstheme="minorHAnsi"/>
                <w:sz w:val="22"/>
                <w:szCs w:val="22"/>
              </w:rPr>
              <w:t>Developed</w:t>
            </w:r>
          </w:p>
        </w:tc>
        <w:tc>
          <w:tcPr>
            <w:tcW w:w="2207" w:type="dxa"/>
            <w:tcBorders>
              <w:top w:val="single" w:sz="4" w:space="0" w:color="auto"/>
            </w:tcBorders>
            <w:vAlign w:val="center"/>
          </w:tcPr>
          <w:p w14:paraId="3D93F7C7" w14:textId="77777777" w:rsidR="004E3C44" w:rsidRPr="00A83F32" w:rsidRDefault="004E3C44">
            <w:pPr>
              <w:jc w:val="center"/>
              <w:rPr>
                <w:rFonts w:cstheme="minorHAnsi"/>
                <w:sz w:val="22"/>
                <w:szCs w:val="22"/>
              </w:rPr>
            </w:pPr>
            <w:r w:rsidRPr="00A83F32">
              <w:rPr>
                <w:rFonts w:cstheme="minorHAnsi"/>
                <w:sz w:val="22"/>
                <w:szCs w:val="22"/>
              </w:rPr>
              <w:t>Open Space</w:t>
            </w:r>
          </w:p>
        </w:tc>
        <w:tc>
          <w:tcPr>
            <w:tcW w:w="2186" w:type="dxa"/>
            <w:tcBorders>
              <w:top w:val="single" w:sz="4" w:space="0" w:color="auto"/>
            </w:tcBorders>
            <w:vAlign w:val="center"/>
          </w:tcPr>
          <w:p w14:paraId="7095693A" w14:textId="106F50AF" w:rsidR="004E3C44" w:rsidRPr="00A83F32" w:rsidRDefault="004E3C44">
            <w:pPr>
              <w:jc w:val="center"/>
              <w:rPr>
                <w:rFonts w:cstheme="minorHAnsi"/>
                <w:sz w:val="22"/>
                <w:szCs w:val="22"/>
              </w:rPr>
            </w:pPr>
            <w:r w:rsidRPr="00A83F32">
              <w:rPr>
                <w:rFonts w:cstheme="minorHAnsi"/>
                <w:color w:val="000000"/>
                <w:sz w:val="22"/>
                <w:szCs w:val="22"/>
              </w:rPr>
              <w:t>2235.</w:t>
            </w:r>
            <w:r w:rsidR="00005B8D">
              <w:rPr>
                <w:rFonts w:cstheme="minorHAnsi"/>
                <w:color w:val="000000"/>
                <w:sz w:val="22"/>
                <w:szCs w:val="22"/>
              </w:rPr>
              <w:t>8</w:t>
            </w:r>
          </w:p>
        </w:tc>
        <w:tc>
          <w:tcPr>
            <w:tcW w:w="2267" w:type="dxa"/>
            <w:tcBorders>
              <w:top w:val="single" w:sz="4" w:space="0" w:color="auto"/>
            </w:tcBorders>
            <w:vAlign w:val="center"/>
          </w:tcPr>
          <w:p w14:paraId="2EF2D167" w14:textId="77777777" w:rsidR="004E3C44" w:rsidRPr="00A83F32" w:rsidRDefault="004E3C44">
            <w:pPr>
              <w:jc w:val="center"/>
              <w:rPr>
                <w:rFonts w:cstheme="minorHAnsi"/>
                <w:sz w:val="22"/>
                <w:szCs w:val="22"/>
              </w:rPr>
            </w:pPr>
            <w:r w:rsidRPr="00A83F32">
              <w:rPr>
                <w:rFonts w:cstheme="minorHAnsi"/>
                <w:sz w:val="22"/>
                <w:szCs w:val="22"/>
              </w:rPr>
              <w:t>5.23</w:t>
            </w:r>
          </w:p>
        </w:tc>
      </w:tr>
      <w:tr w:rsidR="004E3C44" w14:paraId="7A8890ED" w14:textId="77777777">
        <w:trPr>
          <w:trHeight w:val="360"/>
        </w:trPr>
        <w:tc>
          <w:tcPr>
            <w:tcW w:w="2700" w:type="dxa"/>
            <w:vAlign w:val="center"/>
          </w:tcPr>
          <w:p w14:paraId="370F54AF" w14:textId="77777777" w:rsidR="004E3C44" w:rsidRPr="00A83F32" w:rsidRDefault="004E3C44">
            <w:pPr>
              <w:jc w:val="center"/>
              <w:rPr>
                <w:rFonts w:cstheme="minorHAnsi"/>
                <w:sz w:val="22"/>
                <w:szCs w:val="22"/>
              </w:rPr>
            </w:pPr>
          </w:p>
        </w:tc>
        <w:tc>
          <w:tcPr>
            <w:tcW w:w="2207" w:type="dxa"/>
            <w:vAlign w:val="center"/>
          </w:tcPr>
          <w:p w14:paraId="62309191" w14:textId="77777777" w:rsidR="004E3C44" w:rsidRPr="00A83F32" w:rsidRDefault="004E3C44">
            <w:pPr>
              <w:jc w:val="center"/>
              <w:rPr>
                <w:rFonts w:cstheme="minorHAnsi"/>
                <w:sz w:val="22"/>
                <w:szCs w:val="22"/>
              </w:rPr>
            </w:pPr>
            <w:r w:rsidRPr="00A83F32">
              <w:rPr>
                <w:rFonts w:cstheme="minorHAnsi"/>
                <w:sz w:val="22"/>
                <w:szCs w:val="22"/>
              </w:rPr>
              <w:t>Low Intensity</w:t>
            </w:r>
          </w:p>
        </w:tc>
        <w:tc>
          <w:tcPr>
            <w:tcW w:w="2186" w:type="dxa"/>
            <w:vAlign w:val="center"/>
          </w:tcPr>
          <w:p w14:paraId="7C4D5944" w14:textId="77777777" w:rsidR="004E3C44" w:rsidRPr="00A83F32" w:rsidRDefault="004E3C44">
            <w:pPr>
              <w:jc w:val="center"/>
              <w:rPr>
                <w:rFonts w:cstheme="minorHAnsi"/>
                <w:sz w:val="22"/>
                <w:szCs w:val="22"/>
              </w:rPr>
            </w:pPr>
            <w:r w:rsidRPr="00A83F32">
              <w:rPr>
                <w:rFonts w:cstheme="minorHAnsi"/>
                <w:color w:val="000000"/>
                <w:sz w:val="22"/>
                <w:szCs w:val="22"/>
              </w:rPr>
              <w:t>1259.4</w:t>
            </w:r>
          </w:p>
        </w:tc>
        <w:tc>
          <w:tcPr>
            <w:tcW w:w="2267" w:type="dxa"/>
            <w:vAlign w:val="center"/>
          </w:tcPr>
          <w:p w14:paraId="3E666DA1" w14:textId="77777777" w:rsidR="004E3C44" w:rsidRPr="00A83F32" w:rsidRDefault="004E3C44">
            <w:pPr>
              <w:jc w:val="center"/>
              <w:rPr>
                <w:rFonts w:cstheme="minorHAnsi"/>
                <w:sz w:val="22"/>
                <w:szCs w:val="22"/>
              </w:rPr>
            </w:pPr>
            <w:r w:rsidRPr="00A83F32">
              <w:rPr>
                <w:rFonts w:cstheme="minorHAnsi"/>
                <w:sz w:val="22"/>
                <w:szCs w:val="22"/>
              </w:rPr>
              <w:t>2.94</w:t>
            </w:r>
          </w:p>
        </w:tc>
      </w:tr>
      <w:tr w:rsidR="004E3C44" w14:paraId="0AE64D2C" w14:textId="77777777">
        <w:trPr>
          <w:trHeight w:val="360"/>
        </w:trPr>
        <w:tc>
          <w:tcPr>
            <w:tcW w:w="2700" w:type="dxa"/>
            <w:vAlign w:val="center"/>
          </w:tcPr>
          <w:p w14:paraId="642CD353" w14:textId="77777777" w:rsidR="004E3C44" w:rsidRPr="00A83F32" w:rsidRDefault="004E3C44">
            <w:pPr>
              <w:jc w:val="center"/>
              <w:rPr>
                <w:rFonts w:cstheme="minorHAnsi"/>
                <w:sz w:val="22"/>
                <w:szCs w:val="22"/>
              </w:rPr>
            </w:pPr>
          </w:p>
        </w:tc>
        <w:tc>
          <w:tcPr>
            <w:tcW w:w="2207" w:type="dxa"/>
            <w:vAlign w:val="center"/>
          </w:tcPr>
          <w:p w14:paraId="26B4017A" w14:textId="77777777" w:rsidR="004E3C44" w:rsidRPr="00A83F32" w:rsidRDefault="004E3C44">
            <w:pPr>
              <w:jc w:val="center"/>
              <w:rPr>
                <w:rFonts w:cstheme="minorHAnsi"/>
                <w:sz w:val="22"/>
                <w:szCs w:val="22"/>
              </w:rPr>
            </w:pPr>
            <w:r w:rsidRPr="00A83F32">
              <w:rPr>
                <w:rFonts w:cstheme="minorHAnsi"/>
                <w:sz w:val="22"/>
                <w:szCs w:val="22"/>
              </w:rPr>
              <w:t>Medium Intensity</w:t>
            </w:r>
          </w:p>
        </w:tc>
        <w:tc>
          <w:tcPr>
            <w:tcW w:w="2186" w:type="dxa"/>
            <w:vAlign w:val="center"/>
          </w:tcPr>
          <w:p w14:paraId="62A9757E" w14:textId="77777777" w:rsidR="004E3C44" w:rsidRPr="00A83F32" w:rsidRDefault="004E3C44">
            <w:pPr>
              <w:jc w:val="center"/>
              <w:rPr>
                <w:rFonts w:cstheme="minorHAnsi"/>
                <w:sz w:val="22"/>
                <w:szCs w:val="22"/>
              </w:rPr>
            </w:pPr>
            <w:r w:rsidRPr="00A83F32">
              <w:rPr>
                <w:rFonts w:cstheme="minorHAnsi"/>
                <w:color w:val="000000"/>
                <w:sz w:val="22"/>
                <w:szCs w:val="22"/>
              </w:rPr>
              <w:t>621.5</w:t>
            </w:r>
          </w:p>
        </w:tc>
        <w:tc>
          <w:tcPr>
            <w:tcW w:w="2267" w:type="dxa"/>
            <w:vAlign w:val="center"/>
          </w:tcPr>
          <w:p w14:paraId="1A0D4A41" w14:textId="77777777" w:rsidR="004E3C44" w:rsidRPr="00A83F32" w:rsidRDefault="004E3C44">
            <w:pPr>
              <w:jc w:val="center"/>
              <w:rPr>
                <w:rFonts w:cstheme="minorHAnsi"/>
                <w:sz w:val="22"/>
                <w:szCs w:val="22"/>
              </w:rPr>
            </w:pPr>
            <w:r w:rsidRPr="00A83F32">
              <w:rPr>
                <w:rFonts w:cstheme="minorHAnsi"/>
                <w:sz w:val="22"/>
                <w:szCs w:val="22"/>
              </w:rPr>
              <w:t>1.45</w:t>
            </w:r>
          </w:p>
        </w:tc>
      </w:tr>
      <w:tr w:rsidR="004E3C44" w14:paraId="12AF1FB1" w14:textId="77777777">
        <w:trPr>
          <w:trHeight w:val="360"/>
        </w:trPr>
        <w:tc>
          <w:tcPr>
            <w:tcW w:w="2700" w:type="dxa"/>
            <w:tcBorders>
              <w:bottom w:val="single" w:sz="4" w:space="0" w:color="auto"/>
            </w:tcBorders>
            <w:vAlign w:val="center"/>
          </w:tcPr>
          <w:p w14:paraId="402B553F" w14:textId="77777777" w:rsidR="004E3C44" w:rsidRPr="00A83F32" w:rsidRDefault="004E3C44">
            <w:pPr>
              <w:jc w:val="center"/>
              <w:rPr>
                <w:rFonts w:cstheme="minorHAnsi"/>
                <w:sz w:val="22"/>
                <w:szCs w:val="22"/>
              </w:rPr>
            </w:pPr>
          </w:p>
        </w:tc>
        <w:tc>
          <w:tcPr>
            <w:tcW w:w="2207" w:type="dxa"/>
            <w:tcBorders>
              <w:bottom w:val="single" w:sz="4" w:space="0" w:color="auto"/>
            </w:tcBorders>
            <w:vAlign w:val="center"/>
          </w:tcPr>
          <w:p w14:paraId="59721792" w14:textId="77777777" w:rsidR="004E3C44" w:rsidRPr="00A83F32" w:rsidRDefault="004E3C44">
            <w:pPr>
              <w:jc w:val="center"/>
              <w:rPr>
                <w:rFonts w:cstheme="minorHAnsi"/>
                <w:sz w:val="22"/>
                <w:szCs w:val="22"/>
              </w:rPr>
            </w:pPr>
            <w:r w:rsidRPr="00A83F32">
              <w:rPr>
                <w:rFonts w:cstheme="minorHAnsi"/>
                <w:sz w:val="22"/>
                <w:szCs w:val="22"/>
              </w:rPr>
              <w:t>High Intensity</w:t>
            </w:r>
          </w:p>
        </w:tc>
        <w:tc>
          <w:tcPr>
            <w:tcW w:w="2186" w:type="dxa"/>
            <w:tcBorders>
              <w:bottom w:val="single" w:sz="4" w:space="0" w:color="auto"/>
            </w:tcBorders>
            <w:vAlign w:val="center"/>
          </w:tcPr>
          <w:p w14:paraId="08FF1309" w14:textId="77777777" w:rsidR="004E3C44" w:rsidRPr="00A83F32" w:rsidRDefault="004E3C44">
            <w:pPr>
              <w:jc w:val="center"/>
              <w:rPr>
                <w:rFonts w:cstheme="minorHAnsi"/>
                <w:sz w:val="22"/>
                <w:szCs w:val="22"/>
              </w:rPr>
            </w:pPr>
            <w:r w:rsidRPr="00A83F32">
              <w:rPr>
                <w:rFonts w:cstheme="minorHAnsi"/>
                <w:color w:val="000000"/>
                <w:sz w:val="22"/>
                <w:szCs w:val="22"/>
              </w:rPr>
              <w:t>217.4</w:t>
            </w:r>
          </w:p>
        </w:tc>
        <w:tc>
          <w:tcPr>
            <w:tcW w:w="2267" w:type="dxa"/>
            <w:tcBorders>
              <w:bottom w:val="single" w:sz="4" w:space="0" w:color="auto"/>
            </w:tcBorders>
            <w:vAlign w:val="center"/>
          </w:tcPr>
          <w:p w14:paraId="3C89EF53" w14:textId="77777777" w:rsidR="004E3C44" w:rsidRPr="00A83F32" w:rsidRDefault="004E3C44">
            <w:pPr>
              <w:jc w:val="center"/>
              <w:rPr>
                <w:rFonts w:cstheme="minorHAnsi"/>
                <w:sz w:val="22"/>
                <w:szCs w:val="22"/>
              </w:rPr>
            </w:pPr>
            <w:r w:rsidRPr="00A83F32">
              <w:rPr>
                <w:rFonts w:cstheme="minorHAnsi"/>
                <w:sz w:val="22"/>
                <w:szCs w:val="22"/>
              </w:rPr>
              <w:t>0.51</w:t>
            </w:r>
          </w:p>
        </w:tc>
      </w:tr>
      <w:tr w:rsidR="004E3C44" w14:paraId="23C9BCC9" w14:textId="77777777" w:rsidTr="006A09BC">
        <w:trPr>
          <w:trHeight w:val="360"/>
        </w:trPr>
        <w:tc>
          <w:tcPr>
            <w:tcW w:w="2700" w:type="dxa"/>
            <w:tcBorders>
              <w:top w:val="single" w:sz="4" w:space="0" w:color="auto"/>
              <w:bottom w:val="single" w:sz="4" w:space="0" w:color="auto"/>
            </w:tcBorders>
            <w:vAlign w:val="center"/>
          </w:tcPr>
          <w:p w14:paraId="635F894A" w14:textId="77777777" w:rsidR="004E3C44" w:rsidRPr="00A83F32" w:rsidRDefault="004E3C44">
            <w:pPr>
              <w:jc w:val="center"/>
              <w:rPr>
                <w:rFonts w:cstheme="minorHAnsi"/>
                <w:sz w:val="22"/>
                <w:szCs w:val="22"/>
              </w:rPr>
            </w:pPr>
            <w:r w:rsidRPr="00A83F32">
              <w:rPr>
                <w:rFonts w:cstheme="minorHAnsi"/>
                <w:sz w:val="22"/>
                <w:szCs w:val="22"/>
              </w:rPr>
              <w:t>Water</w:t>
            </w:r>
          </w:p>
        </w:tc>
        <w:tc>
          <w:tcPr>
            <w:tcW w:w="2207" w:type="dxa"/>
            <w:tcBorders>
              <w:top w:val="single" w:sz="4" w:space="0" w:color="auto"/>
              <w:bottom w:val="single" w:sz="4" w:space="0" w:color="auto"/>
            </w:tcBorders>
            <w:vAlign w:val="center"/>
          </w:tcPr>
          <w:p w14:paraId="6322BA5E" w14:textId="77777777" w:rsidR="004E3C44" w:rsidRPr="00A83F32" w:rsidRDefault="004E3C44">
            <w:pPr>
              <w:jc w:val="center"/>
              <w:rPr>
                <w:rFonts w:cstheme="minorHAnsi"/>
                <w:sz w:val="22"/>
                <w:szCs w:val="22"/>
              </w:rPr>
            </w:pPr>
            <w:r w:rsidRPr="00A83F32">
              <w:rPr>
                <w:rFonts w:cstheme="minorHAnsi"/>
                <w:sz w:val="22"/>
                <w:szCs w:val="22"/>
              </w:rPr>
              <w:t>Open Water</w:t>
            </w:r>
          </w:p>
        </w:tc>
        <w:tc>
          <w:tcPr>
            <w:tcW w:w="2186" w:type="dxa"/>
            <w:tcBorders>
              <w:top w:val="single" w:sz="4" w:space="0" w:color="auto"/>
              <w:bottom w:val="single" w:sz="4" w:space="0" w:color="auto"/>
            </w:tcBorders>
            <w:vAlign w:val="center"/>
          </w:tcPr>
          <w:p w14:paraId="465483DC" w14:textId="77777777" w:rsidR="004E3C44" w:rsidRPr="00A83F32" w:rsidRDefault="004E3C44">
            <w:pPr>
              <w:jc w:val="center"/>
              <w:rPr>
                <w:rFonts w:cstheme="minorHAnsi"/>
                <w:color w:val="000000"/>
                <w:sz w:val="22"/>
                <w:szCs w:val="22"/>
              </w:rPr>
            </w:pPr>
            <w:r w:rsidRPr="00A83F32">
              <w:rPr>
                <w:rFonts w:cstheme="minorHAnsi"/>
                <w:color w:val="000000"/>
                <w:sz w:val="22"/>
                <w:szCs w:val="22"/>
              </w:rPr>
              <w:t>3211.2</w:t>
            </w:r>
          </w:p>
        </w:tc>
        <w:tc>
          <w:tcPr>
            <w:tcW w:w="2267" w:type="dxa"/>
            <w:tcBorders>
              <w:top w:val="single" w:sz="4" w:space="0" w:color="auto"/>
              <w:bottom w:val="single" w:sz="4" w:space="0" w:color="auto"/>
            </w:tcBorders>
            <w:vAlign w:val="center"/>
          </w:tcPr>
          <w:p w14:paraId="3353755A" w14:textId="77777777" w:rsidR="004E3C44" w:rsidRPr="00A83F32" w:rsidRDefault="004E3C44">
            <w:pPr>
              <w:jc w:val="center"/>
              <w:rPr>
                <w:rFonts w:cstheme="minorHAnsi"/>
                <w:sz w:val="22"/>
                <w:szCs w:val="22"/>
              </w:rPr>
            </w:pPr>
            <w:r w:rsidRPr="00A83F32">
              <w:rPr>
                <w:rFonts w:cstheme="minorHAnsi"/>
                <w:sz w:val="22"/>
                <w:szCs w:val="22"/>
              </w:rPr>
              <w:t>7.51</w:t>
            </w:r>
          </w:p>
        </w:tc>
      </w:tr>
      <w:tr w:rsidR="004E3C44" w14:paraId="0B03CD3E" w14:textId="77777777" w:rsidTr="006A09BC">
        <w:trPr>
          <w:trHeight w:val="360"/>
        </w:trPr>
        <w:tc>
          <w:tcPr>
            <w:tcW w:w="2700" w:type="dxa"/>
            <w:tcBorders>
              <w:top w:val="single" w:sz="4" w:space="0" w:color="auto"/>
              <w:bottom w:val="single" w:sz="12" w:space="0" w:color="auto"/>
            </w:tcBorders>
            <w:vAlign w:val="center"/>
          </w:tcPr>
          <w:p w14:paraId="0D5C429D" w14:textId="77777777" w:rsidR="004E3C44" w:rsidRPr="00A83F32" w:rsidRDefault="004E3C44">
            <w:pPr>
              <w:jc w:val="center"/>
              <w:rPr>
                <w:rFonts w:cstheme="minorHAnsi"/>
                <w:sz w:val="22"/>
                <w:szCs w:val="22"/>
              </w:rPr>
            </w:pPr>
            <w:r w:rsidRPr="00A83F32">
              <w:rPr>
                <w:rFonts w:cstheme="minorHAnsi"/>
                <w:sz w:val="22"/>
                <w:szCs w:val="22"/>
              </w:rPr>
              <w:t>Baren</w:t>
            </w:r>
          </w:p>
        </w:tc>
        <w:tc>
          <w:tcPr>
            <w:tcW w:w="2207" w:type="dxa"/>
            <w:tcBorders>
              <w:top w:val="single" w:sz="4" w:space="0" w:color="auto"/>
              <w:bottom w:val="single" w:sz="12" w:space="0" w:color="auto"/>
            </w:tcBorders>
            <w:vAlign w:val="center"/>
          </w:tcPr>
          <w:p w14:paraId="2774417A" w14:textId="77777777" w:rsidR="004E3C44" w:rsidRPr="00A83F32" w:rsidRDefault="004E3C44">
            <w:pPr>
              <w:jc w:val="center"/>
              <w:rPr>
                <w:rFonts w:cstheme="minorHAnsi"/>
                <w:sz w:val="22"/>
                <w:szCs w:val="22"/>
              </w:rPr>
            </w:pPr>
            <w:r w:rsidRPr="00A83F32">
              <w:rPr>
                <w:rFonts w:cstheme="minorHAnsi"/>
                <w:sz w:val="22"/>
                <w:szCs w:val="22"/>
              </w:rPr>
              <w:t>Barren Land</w:t>
            </w:r>
          </w:p>
        </w:tc>
        <w:tc>
          <w:tcPr>
            <w:tcW w:w="2186" w:type="dxa"/>
            <w:tcBorders>
              <w:top w:val="single" w:sz="4" w:space="0" w:color="auto"/>
              <w:bottom w:val="single" w:sz="12" w:space="0" w:color="auto"/>
            </w:tcBorders>
            <w:vAlign w:val="center"/>
          </w:tcPr>
          <w:p w14:paraId="3200A0E4" w14:textId="77777777" w:rsidR="004E3C44" w:rsidRPr="00A83F32" w:rsidRDefault="004E3C44">
            <w:pPr>
              <w:jc w:val="center"/>
              <w:rPr>
                <w:rFonts w:cstheme="minorHAnsi"/>
                <w:color w:val="000000"/>
                <w:sz w:val="22"/>
                <w:szCs w:val="22"/>
              </w:rPr>
            </w:pPr>
            <w:r w:rsidRPr="00A83F32">
              <w:rPr>
                <w:rFonts w:cstheme="minorHAnsi"/>
                <w:color w:val="000000"/>
                <w:sz w:val="22"/>
                <w:szCs w:val="22"/>
              </w:rPr>
              <w:t>81.1</w:t>
            </w:r>
          </w:p>
        </w:tc>
        <w:tc>
          <w:tcPr>
            <w:tcW w:w="2267" w:type="dxa"/>
            <w:tcBorders>
              <w:top w:val="single" w:sz="4" w:space="0" w:color="auto"/>
              <w:bottom w:val="single" w:sz="12" w:space="0" w:color="auto"/>
            </w:tcBorders>
            <w:vAlign w:val="center"/>
          </w:tcPr>
          <w:p w14:paraId="5D290DD0" w14:textId="77777777" w:rsidR="004E3C44" w:rsidRPr="00A83F32" w:rsidRDefault="004E3C44">
            <w:pPr>
              <w:jc w:val="center"/>
              <w:rPr>
                <w:rFonts w:cstheme="minorHAnsi"/>
                <w:sz w:val="22"/>
                <w:szCs w:val="22"/>
              </w:rPr>
            </w:pPr>
            <w:r w:rsidRPr="00A83F32">
              <w:rPr>
                <w:rFonts w:cstheme="minorHAnsi"/>
                <w:sz w:val="22"/>
                <w:szCs w:val="22"/>
              </w:rPr>
              <w:t>0.19</w:t>
            </w:r>
          </w:p>
        </w:tc>
      </w:tr>
    </w:tbl>
    <w:p w14:paraId="5DD24BDA" w14:textId="77777777" w:rsidR="00791DF1" w:rsidRDefault="00791DF1"/>
    <w:p w14:paraId="1E107097" w14:textId="77777777" w:rsidR="00791DF1" w:rsidRDefault="00791DF1">
      <w:pPr>
        <w:widowControl/>
        <w:spacing w:after="160" w:line="259" w:lineRule="auto"/>
      </w:pPr>
      <w:r>
        <w:br w:type="page"/>
      </w:r>
    </w:p>
    <w:p w14:paraId="1B39A403" w14:textId="0DECEBA5" w:rsidR="00975150" w:rsidRPr="002739AD" w:rsidRDefault="002959F6" w:rsidP="005A7C7F">
      <w:pPr>
        <w:pStyle w:val="Heading1"/>
        <w:rPr>
          <w:rFonts w:cstheme="minorHAnsi"/>
        </w:rPr>
      </w:pPr>
      <w:bookmarkStart w:id="45" w:name="_Toc152763304"/>
      <w:bookmarkStart w:id="46" w:name="_Toc155771950"/>
      <w:bookmarkStart w:id="47" w:name="_Toc191900429"/>
      <w:bookmarkStart w:id="48" w:name="_Toc79208723"/>
      <w:r w:rsidRPr="002739AD">
        <w:rPr>
          <w:rFonts w:cstheme="minorHAnsi"/>
        </w:rPr>
        <w:lastRenderedPageBreak/>
        <w:t>SURFACE WATER MONITORING PROGRAMS</w:t>
      </w:r>
      <w:bookmarkEnd w:id="45"/>
      <w:bookmarkEnd w:id="46"/>
      <w:bookmarkEnd w:id="47"/>
      <w:r w:rsidR="008F7D76">
        <w:rPr>
          <w:rFonts w:cstheme="minorHAnsi"/>
        </w:rPr>
        <w:br/>
      </w:r>
    </w:p>
    <w:p w14:paraId="1B2BA15C" w14:textId="2FF610BD" w:rsidR="00F416F8" w:rsidRDefault="00F416F8" w:rsidP="00413F7B">
      <w:pPr>
        <w:pStyle w:val="Heading2"/>
        <w:rPr>
          <w:rFonts w:eastAsiaTheme="minorEastAsia"/>
        </w:rPr>
      </w:pPr>
      <w:bookmarkStart w:id="49" w:name="_Toc152763305"/>
      <w:bookmarkStart w:id="50" w:name="_Toc155771951"/>
      <w:bookmarkStart w:id="51" w:name="_Toc191900430"/>
      <w:bookmarkEnd w:id="48"/>
      <w:r>
        <w:rPr>
          <w:rFonts w:eastAsiaTheme="minorEastAsia"/>
        </w:rPr>
        <w:t xml:space="preserve">Overview of </w:t>
      </w:r>
      <w:r w:rsidR="008F4DE7">
        <w:rPr>
          <w:rFonts w:eastAsiaTheme="minorEastAsia"/>
        </w:rPr>
        <w:t xml:space="preserve">Water </w:t>
      </w:r>
      <w:r w:rsidR="008F7D76">
        <w:rPr>
          <w:rFonts w:eastAsiaTheme="minorEastAsia"/>
        </w:rPr>
        <w:t>Quality Assessment and Monitoring Programs</w:t>
      </w:r>
      <w:bookmarkEnd w:id="49"/>
      <w:bookmarkEnd w:id="50"/>
      <w:bookmarkEnd w:id="51"/>
    </w:p>
    <w:p w14:paraId="0FF06238" w14:textId="77777777" w:rsidR="000C3975" w:rsidRPr="000C3975" w:rsidRDefault="000C3975" w:rsidP="000C3975">
      <w:pPr>
        <w:rPr>
          <w:rFonts w:eastAsiaTheme="minorEastAsia"/>
        </w:rPr>
      </w:pPr>
      <w:r w:rsidRPr="000C3975">
        <w:rPr>
          <w:rFonts w:eastAsiaTheme="minorEastAsia"/>
        </w:rPr>
        <w:t xml:space="preserve">Virginia’s comprehensive surface water quality monitoring strategy integrates both fixed-site and probabilistic monitoring techniques to improve our understanding of water quality conditions, to increase monitoring efficiency, and to allow the agency to meet the needs of multiple regulatory and water quality management programs. </w:t>
      </w:r>
    </w:p>
    <w:p w14:paraId="13F4AF20" w14:textId="77777777" w:rsidR="000C3975" w:rsidRPr="000C3975" w:rsidRDefault="000C3975" w:rsidP="000C3975">
      <w:pPr>
        <w:rPr>
          <w:rFonts w:eastAsiaTheme="minorEastAsia"/>
        </w:rPr>
      </w:pPr>
    </w:p>
    <w:p w14:paraId="2CEF1B9E" w14:textId="2D807C4D" w:rsidR="000C3975" w:rsidRPr="000C3975" w:rsidRDefault="000C3975" w:rsidP="000C3975">
      <w:pPr>
        <w:rPr>
          <w:rFonts w:eastAsiaTheme="minorEastAsia"/>
        </w:rPr>
      </w:pPr>
      <w:r w:rsidRPr="000C3975">
        <w:rPr>
          <w:rFonts w:eastAsiaTheme="minorEastAsia"/>
        </w:rPr>
        <w:t>Fixed monitoring networks rely on sites that remain in place and are monitored over the course of several years. These data provide consistent, scientifically defensible information on important chemical, physical, and biological characteristics of surface water resources and have many important uses including describing and quantifying water quality conditions, developing long-term trends at specific sites to determine how water quality is changing over time, monitoring for regulatory compliance, supporting watershed modeling efforts, quantifying the success of best management practice implementation, and supporting the Chesapeake Bay Agreement and Watershed Implementation Plan (WIP).</w:t>
      </w:r>
    </w:p>
    <w:p w14:paraId="6C0350B1" w14:textId="77777777" w:rsidR="000C3975" w:rsidRPr="000C3975" w:rsidRDefault="000C3975" w:rsidP="000C3975">
      <w:pPr>
        <w:rPr>
          <w:rFonts w:eastAsiaTheme="minorEastAsia"/>
        </w:rPr>
      </w:pPr>
    </w:p>
    <w:p w14:paraId="563B7D67" w14:textId="77777777" w:rsidR="000C3975" w:rsidRPr="000C3975" w:rsidRDefault="000C3975" w:rsidP="000C3975">
      <w:pPr>
        <w:rPr>
          <w:rFonts w:eastAsiaTheme="minorEastAsia"/>
        </w:rPr>
      </w:pPr>
      <w:r w:rsidRPr="000C3975">
        <w:rPr>
          <w:rFonts w:eastAsiaTheme="minorEastAsia"/>
        </w:rPr>
        <w:t xml:space="preserve">Virginia’s freshwater and estuarine probabilistic monitoring programs provide an important complement to the fixed station network. Probabilistic monitoring data from randomly selected stations </w:t>
      </w:r>
      <w:proofErr w:type="gramStart"/>
      <w:r w:rsidRPr="000C3975">
        <w:rPr>
          <w:rFonts w:eastAsiaTheme="minorEastAsia"/>
        </w:rPr>
        <w:t>provide</w:t>
      </w:r>
      <w:proofErr w:type="gramEnd"/>
      <w:r w:rsidRPr="000C3975">
        <w:rPr>
          <w:rFonts w:eastAsiaTheme="minorEastAsia"/>
        </w:rPr>
        <w:t xml:space="preserve"> an unbiased regional or statewide characterization of water resources with a known degree of statistical confidence. Probabilistic monitoring data </w:t>
      </w:r>
      <w:proofErr w:type="gramStart"/>
      <w:r w:rsidRPr="000C3975">
        <w:rPr>
          <w:rFonts w:eastAsiaTheme="minorEastAsia"/>
        </w:rPr>
        <w:t>have</w:t>
      </w:r>
      <w:proofErr w:type="gramEnd"/>
      <w:r w:rsidRPr="000C3975">
        <w:rPr>
          <w:rFonts w:eastAsiaTheme="minorEastAsia"/>
        </w:rPr>
        <w:t xml:space="preserve"> many applications, such as enabling broad regional assessments of overall ambient conditions, establishing baseline water quality conditions, identifying problem areas for follow-up monitoring, and answering questions about statewide and regional water quality conditions.</w:t>
      </w:r>
    </w:p>
    <w:p w14:paraId="4B16A0A7" w14:textId="77777777" w:rsidR="00871251" w:rsidRDefault="00871251" w:rsidP="000C3975">
      <w:pPr>
        <w:rPr>
          <w:rFonts w:eastAsiaTheme="minorEastAsia"/>
        </w:rPr>
      </w:pPr>
    </w:p>
    <w:p w14:paraId="0333AED4" w14:textId="77777777" w:rsidR="00871251" w:rsidRDefault="000C3975" w:rsidP="000C3975">
      <w:pPr>
        <w:rPr>
          <w:rFonts w:eastAsiaTheme="minorEastAsia"/>
        </w:rPr>
      </w:pPr>
      <w:r w:rsidRPr="000C3975">
        <w:rPr>
          <w:rFonts w:eastAsiaTheme="minorEastAsia"/>
        </w:rPr>
        <w:t xml:space="preserve">A detailed description of the purpose, form, </w:t>
      </w:r>
      <w:r w:rsidR="0061141E" w:rsidRPr="000C3975">
        <w:rPr>
          <w:rFonts w:eastAsiaTheme="minorEastAsia"/>
        </w:rPr>
        <w:t>function,</w:t>
      </w:r>
      <w:r w:rsidRPr="000C3975">
        <w:rPr>
          <w:rFonts w:eastAsiaTheme="minorEastAsia"/>
        </w:rPr>
        <w:t xml:space="preserve"> and evolution of DEQ’s various monitoring programs, plus quality assurance procedures and data management activities, are provided in the agency’s Water Quality Monitoring Strategy.</w:t>
      </w:r>
    </w:p>
    <w:p w14:paraId="1345F0C0" w14:textId="77777777" w:rsidR="00871251" w:rsidRDefault="00871251" w:rsidP="000C3975">
      <w:pPr>
        <w:rPr>
          <w:rFonts w:eastAsiaTheme="minorEastAsia"/>
          <w:b/>
          <w:bCs/>
        </w:rPr>
      </w:pPr>
    </w:p>
    <w:p w14:paraId="7D31ABEB" w14:textId="77777777" w:rsidR="00871251" w:rsidRPr="00871251" w:rsidRDefault="00871251" w:rsidP="00871251">
      <w:pPr>
        <w:pStyle w:val="Heading3"/>
        <w:rPr>
          <w:rFonts w:eastAsiaTheme="minorEastAsia"/>
        </w:rPr>
      </w:pPr>
      <w:r>
        <w:t>Data Summary</w:t>
      </w:r>
    </w:p>
    <w:p w14:paraId="40FE6AC3" w14:textId="3A7655B3" w:rsidR="007160ED" w:rsidRDefault="000C3975" w:rsidP="007160ED">
      <w:pPr>
        <w:rPr>
          <w:rFonts w:eastAsiaTheme="minorEastAsia"/>
        </w:rPr>
      </w:pPr>
      <w:r w:rsidRPr="007160ED">
        <w:rPr>
          <w:rFonts w:eastAsiaTheme="minorEastAsia"/>
        </w:rPr>
        <w:t>Between January 2017 and December 202</w:t>
      </w:r>
      <w:r w:rsidR="00B10EA0">
        <w:rPr>
          <w:rFonts w:eastAsiaTheme="minorEastAsia"/>
        </w:rPr>
        <w:t>2</w:t>
      </w:r>
      <w:r w:rsidRPr="007160ED">
        <w:rPr>
          <w:rFonts w:eastAsiaTheme="minorEastAsia"/>
        </w:rPr>
        <w:t xml:space="preserve"> DEQ staff collected multiple samples at 3,421 water quality monitoring stations. The number of independent observations for the more common parameters, also referred to as conventional parameters, used in this assessment are listed in Table 3.1-1. The number of stations representing a particular type of stream segment, the types of samples collected, the parameters analyzed, and the sampling frequency all vary depending on site conditions and program emphasis. A detailed report </w:t>
      </w:r>
      <w:proofErr w:type="gramStart"/>
      <w:r w:rsidRPr="007160ED">
        <w:rPr>
          <w:rFonts w:eastAsiaTheme="minorEastAsia"/>
        </w:rPr>
        <w:t>of</w:t>
      </w:r>
      <w:proofErr w:type="gramEnd"/>
      <w:r w:rsidRPr="007160ED">
        <w:rPr>
          <w:rFonts w:eastAsiaTheme="minorEastAsia"/>
        </w:rPr>
        <w:t xml:space="preserve"> sample locations, matrices, and parameters is available in the </w:t>
      </w:r>
      <w:bookmarkStart w:id="52" w:name="_Toc150340618"/>
      <w:r w:rsidRPr="007160ED">
        <w:rPr>
          <w:rFonts w:eastAsiaTheme="minorEastAsia"/>
        </w:rPr>
        <w:t>Water Quality Monitoring Plan.</w:t>
      </w:r>
    </w:p>
    <w:p w14:paraId="6E0EABA7" w14:textId="77777777" w:rsidR="00791DF1" w:rsidRDefault="00791DF1" w:rsidP="00B44BCC">
      <w:pPr>
        <w:pStyle w:val="Caption"/>
        <w:jc w:val="both"/>
        <w:rPr>
          <w:rFonts w:eastAsiaTheme="minorEastAsia"/>
        </w:rPr>
      </w:pPr>
    </w:p>
    <w:p w14:paraId="6D838654" w14:textId="77777777" w:rsidR="00791DF1" w:rsidRDefault="00791DF1">
      <w:pPr>
        <w:widowControl/>
        <w:spacing w:after="160" w:line="259" w:lineRule="auto"/>
        <w:rPr>
          <w:rFonts w:eastAsiaTheme="minorEastAsia"/>
          <w:iCs/>
          <w:sz w:val="20"/>
          <w:szCs w:val="18"/>
        </w:rPr>
      </w:pPr>
      <w:r>
        <w:rPr>
          <w:rFonts w:eastAsiaTheme="minorEastAsia"/>
        </w:rPr>
        <w:br w:type="page"/>
      </w:r>
    </w:p>
    <w:p w14:paraId="0453CBC9" w14:textId="4111968E" w:rsidR="000C3975" w:rsidRPr="000C3975" w:rsidRDefault="000C3975" w:rsidP="00791DF1">
      <w:pPr>
        <w:pStyle w:val="Caption"/>
        <w:jc w:val="both"/>
        <w:rPr>
          <w:rFonts w:eastAsiaTheme="minorEastAsia"/>
          <w:b/>
          <w:bCs/>
        </w:rPr>
      </w:pPr>
      <w:bookmarkStart w:id="53" w:name="_Toc164175150"/>
      <w:r w:rsidRPr="00090560">
        <w:rPr>
          <w:rStyle w:val="CaptionChar"/>
        </w:rPr>
        <w:lastRenderedPageBreak/>
        <w:t xml:space="preserve">Table </w:t>
      </w:r>
      <w:r w:rsidR="00CD06AE">
        <w:rPr>
          <w:rStyle w:val="CaptionChar"/>
        </w:rPr>
        <w:fldChar w:fldCharType="begin"/>
      </w:r>
      <w:r w:rsidR="00CD06AE">
        <w:rPr>
          <w:rStyle w:val="CaptionChar"/>
        </w:rPr>
        <w:instrText xml:space="preserve"> STYLEREF 2 \s </w:instrText>
      </w:r>
      <w:r w:rsidR="00CD06AE">
        <w:rPr>
          <w:rStyle w:val="CaptionChar"/>
        </w:rPr>
        <w:fldChar w:fldCharType="separate"/>
      </w:r>
      <w:r w:rsidR="00CD06AE">
        <w:rPr>
          <w:rStyle w:val="CaptionChar"/>
          <w:noProof/>
        </w:rPr>
        <w:t>3.1</w:t>
      </w:r>
      <w:r w:rsidR="00CD06AE">
        <w:rPr>
          <w:rStyle w:val="CaptionChar"/>
        </w:rPr>
        <w:fldChar w:fldCharType="end"/>
      </w:r>
      <w:r w:rsidR="00CD06AE">
        <w:rPr>
          <w:rStyle w:val="CaptionChar"/>
        </w:rPr>
        <w:noBreakHyphen/>
      </w:r>
      <w:r w:rsidR="00CD06AE">
        <w:rPr>
          <w:rStyle w:val="CaptionChar"/>
        </w:rPr>
        <w:fldChar w:fldCharType="begin"/>
      </w:r>
      <w:r w:rsidR="00CD06AE">
        <w:rPr>
          <w:rStyle w:val="CaptionChar"/>
        </w:rPr>
        <w:instrText xml:space="preserve"> SEQ Table \* ARABIC \s 2 </w:instrText>
      </w:r>
      <w:r w:rsidR="00CD06AE">
        <w:rPr>
          <w:rStyle w:val="CaptionChar"/>
        </w:rPr>
        <w:fldChar w:fldCharType="separate"/>
      </w:r>
      <w:r w:rsidR="00CD06AE">
        <w:rPr>
          <w:rStyle w:val="CaptionChar"/>
          <w:noProof/>
        </w:rPr>
        <w:t>1</w:t>
      </w:r>
      <w:r w:rsidR="00CD06AE">
        <w:rPr>
          <w:rStyle w:val="CaptionChar"/>
        </w:rPr>
        <w:fldChar w:fldCharType="end"/>
      </w:r>
      <w:r w:rsidRPr="00090560">
        <w:rPr>
          <w:rStyle w:val="CaptionChar"/>
        </w:rPr>
        <w:t>. Common Physical/Chemical parameters used for water quality assessment</w:t>
      </w:r>
      <w:bookmarkEnd w:id="53"/>
      <w:r w:rsidR="00791DF1">
        <w:rPr>
          <w:rStyle w:val="CaptionChar"/>
        </w:rPr>
        <w:t xml:space="preserve"> </w:t>
      </w:r>
      <w:r w:rsidRPr="00090560">
        <w:rPr>
          <w:rStyle w:val="CaptionChar"/>
        </w:rPr>
        <w:t>and number of observations assessed for the 2017- 202</w:t>
      </w:r>
      <w:r w:rsidR="00E663AA">
        <w:rPr>
          <w:rStyle w:val="CaptionChar"/>
        </w:rPr>
        <w:t>2</w:t>
      </w:r>
      <w:r w:rsidRPr="00090560">
        <w:rPr>
          <w:rStyle w:val="CaptionChar"/>
        </w:rPr>
        <w:t xml:space="preserve"> data window.</w:t>
      </w:r>
      <w:bookmarkEnd w:id="52"/>
      <w:r w:rsidRPr="00090560">
        <w:rPr>
          <w:rStyle w:val="CaptionChar"/>
        </w:rPr>
        <w:t xml:space="preserve"> The NOx parameter represents the concentration of both nitrate and nitrite, and E. coli represents Escherichia coli.</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595"/>
      </w:tblGrid>
      <w:tr w:rsidR="000C3975" w14:paraId="55E047E4" w14:textId="77777777">
        <w:trPr>
          <w:trHeight w:val="360"/>
          <w:tblHeader/>
        </w:trPr>
        <w:tc>
          <w:tcPr>
            <w:tcW w:w="4675" w:type="dxa"/>
            <w:tcBorders>
              <w:top w:val="single" w:sz="12" w:space="0" w:color="auto"/>
              <w:bottom w:val="single" w:sz="4" w:space="0" w:color="auto"/>
            </w:tcBorders>
            <w:vAlign w:val="center"/>
          </w:tcPr>
          <w:p w14:paraId="1DBD9E4F" w14:textId="77777777" w:rsidR="000C3975" w:rsidRPr="00A84F81" w:rsidRDefault="000C3975">
            <w:pPr>
              <w:spacing w:line="20" w:lineRule="atLeast"/>
              <w:jc w:val="center"/>
              <w:rPr>
                <w:rFonts w:eastAsiaTheme="minorEastAsia" w:cstheme="minorHAnsi"/>
                <w:b/>
                <w:bCs/>
                <w:color w:val="000000" w:themeColor="text1"/>
                <w:sz w:val="22"/>
                <w:szCs w:val="22"/>
              </w:rPr>
            </w:pPr>
            <w:r w:rsidRPr="00A84F81">
              <w:rPr>
                <w:rFonts w:eastAsiaTheme="minorEastAsia" w:cstheme="minorHAnsi"/>
                <w:b/>
                <w:bCs/>
                <w:color w:val="000000" w:themeColor="text1"/>
                <w:sz w:val="22"/>
                <w:szCs w:val="22"/>
              </w:rPr>
              <w:t>Parameter (units)</w:t>
            </w:r>
          </w:p>
        </w:tc>
        <w:tc>
          <w:tcPr>
            <w:tcW w:w="4595" w:type="dxa"/>
            <w:tcBorders>
              <w:top w:val="single" w:sz="12" w:space="0" w:color="auto"/>
              <w:bottom w:val="single" w:sz="4" w:space="0" w:color="auto"/>
            </w:tcBorders>
            <w:vAlign w:val="center"/>
          </w:tcPr>
          <w:p w14:paraId="0E6F10B2" w14:textId="77777777" w:rsidR="000C3975" w:rsidRPr="00A84F81" w:rsidRDefault="000C3975">
            <w:pPr>
              <w:spacing w:line="20" w:lineRule="atLeast"/>
              <w:jc w:val="center"/>
              <w:rPr>
                <w:rFonts w:eastAsiaTheme="minorEastAsia" w:cstheme="minorHAnsi"/>
                <w:b/>
                <w:bCs/>
                <w:color w:val="000000" w:themeColor="text1"/>
                <w:sz w:val="22"/>
                <w:szCs w:val="22"/>
              </w:rPr>
            </w:pPr>
            <w:r w:rsidRPr="00A84F81">
              <w:rPr>
                <w:rFonts w:eastAsiaTheme="minorEastAsia" w:cstheme="minorHAnsi"/>
                <w:b/>
                <w:bCs/>
                <w:color w:val="000000" w:themeColor="text1"/>
                <w:sz w:val="22"/>
                <w:szCs w:val="22"/>
              </w:rPr>
              <w:t>Observations</w:t>
            </w:r>
          </w:p>
        </w:tc>
      </w:tr>
      <w:tr w:rsidR="000C3975" w14:paraId="1C559C95" w14:textId="77777777">
        <w:trPr>
          <w:trHeight w:val="360"/>
          <w:tblHeader/>
        </w:trPr>
        <w:tc>
          <w:tcPr>
            <w:tcW w:w="4675" w:type="dxa"/>
            <w:tcBorders>
              <w:top w:val="single" w:sz="4" w:space="0" w:color="auto"/>
            </w:tcBorders>
          </w:tcPr>
          <w:p w14:paraId="1832DDC2"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Temperature (</w:t>
            </w:r>
            <w:r>
              <w:rPr>
                <w:rFonts w:eastAsiaTheme="minorEastAsia" w:cstheme="minorHAnsi"/>
                <w:color w:val="000000" w:themeColor="text1"/>
                <w:sz w:val="22"/>
                <w:szCs w:val="22"/>
              </w:rPr>
              <w:t>Celsius</w:t>
            </w:r>
            <w:r w:rsidRPr="00A84F81">
              <w:rPr>
                <w:rFonts w:eastAsiaTheme="minorEastAsia" w:cstheme="minorHAnsi"/>
                <w:color w:val="000000" w:themeColor="text1"/>
                <w:sz w:val="22"/>
                <w:szCs w:val="22"/>
              </w:rPr>
              <w:t>)</w:t>
            </w:r>
          </w:p>
        </w:tc>
        <w:tc>
          <w:tcPr>
            <w:tcW w:w="4595" w:type="dxa"/>
            <w:tcBorders>
              <w:top w:val="single" w:sz="4" w:space="0" w:color="auto"/>
            </w:tcBorders>
          </w:tcPr>
          <w:p w14:paraId="72720C7A"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110,602</w:t>
            </w:r>
          </w:p>
        </w:tc>
      </w:tr>
      <w:tr w:rsidR="000C3975" w14:paraId="3F81569D" w14:textId="77777777">
        <w:trPr>
          <w:trHeight w:val="360"/>
          <w:tblHeader/>
        </w:trPr>
        <w:tc>
          <w:tcPr>
            <w:tcW w:w="4675" w:type="dxa"/>
          </w:tcPr>
          <w:p w14:paraId="1B64C823"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Dissolved Oxygen (mg/L)</w:t>
            </w:r>
          </w:p>
        </w:tc>
        <w:tc>
          <w:tcPr>
            <w:tcW w:w="4595" w:type="dxa"/>
          </w:tcPr>
          <w:p w14:paraId="045EAF8D"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110,406</w:t>
            </w:r>
          </w:p>
        </w:tc>
      </w:tr>
      <w:tr w:rsidR="000C3975" w14:paraId="1949ABDE" w14:textId="77777777">
        <w:trPr>
          <w:trHeight w:val="360"/>
          <w:tblHeader/>
        </w:trPr>
        <w:tc>
          <w:tcPr>
            <w:tcW w:w="4675" w:type="dxa"/>
          </w:tcPr>
          <w:p w14:paraId="5FE4AD2F"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Salinity (PPT)</w:t>
            </w:r>
          </w:p>
        </w:tc>
        <w:tc>
          <w:tcPr>
            <w:tcW w:w="4595" w:type="dxa"/>
          </w:tcPr>
          <w:p w14:paraId="62D4D058"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102,332</w:t>
            </w:r>
          </w:p>
        </w:tc>
      </w:tr>
      <w:tr w:rsidR="000C3975" w14:paraId="693B7582" w14:textId="77777777">
        <w:trPr>
          <w:trHeight w:val="360"/>
          <w:tblHeader/>
        </w:trPr>
        <w:tc>
          <w:tcPr>
            <w:tcW w:w="4675" w:type="dxa"/>
          </w:tcPr>
          <w:p w14:paraId="3A532CB4"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Specific Conductance (</w:t>
            </w:r>
            <w:r w:rsidRPr="00020499">
              <w:rPr>
                <w:rFonts w:cstheme="minorHAnsi"/>
                <w:snapToGrid/>
                <w:color w:val="000000"/>
                <w:sz w:val="22"/>
                <w:szCs w:val="22"/>
              </w:rPr>
              <w:t>µS/</w:t>
            </w:r>
            <w:r w:rsidRPr="00195073">
              <w:rPr>
                <w:rFonts w:cstheme="minorHAnsi"/>
                <w:snapToGrid/>
                <w:color w:val="000000"/>
                <w:sz w:val="22"/>
                <w:szCs w:val="22"/>
              </w:rPr>
              <w:t>cm</w:t>
            </w:r>
            <w:r w:rsidRPr="00195073">
              <w:rPr>
                <w:rFonts w:eastAsiaTheme="minorEastAsia" w:cstheme="minorHAnsi"/>
                <w:color w:val="000000" w:themeColor="text1"/>
                <w:sz w:val="22"/>
                <w:szCs w:val="22"/>
              </w:rPr>
              <w:t xml:space="preserve"> at 25°C</w:t>
            </w:r>
            <w:r w:rsidRPr="00A84F81">
              <w:rPr>
                <w:rFonts w:eastAsiaTheme="minorEastAsia" w:cstheme="minorHAnsi"/>
                <w:color w:val="000000" w:themeColor="text1"/>
                <w:sz w:val="22"/>
                <w:szCs w:val="22"/>
              </w:rPr>
              <w:t>)</w:t>
            </w:r>
          </w:p>
        </w:tc>
        <w:tc>
          <w:tcPr>
            <w:tcW w:w="4595" w:type="dxa"/>
          </w:tcPr>
          <w:p w14:paraId="23E6D30E"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102,135</w:t>
            </w:r>
          </w:p>
        </w:tc>
      </w:tr>
      <w:tr w:rsidR="000C3975" w14:paraId="2C0F22B0" w14:textId="77777777">
        <w:trPr>
          <w:trHeight w:val="360"/>
          <w:tblHeader/>
        </w:trPr>
        <w:tc>
          <w:tcPr>
            <w:tcW w:w="4675" w:type="dxa"/>
          </w:tcPr>
          <w:p w14:paraId="2917E9A0"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pH (standard units)</w:t>
            </w:r>
          </w:p>
        </w:tc>
        <w:tc>
          <w:tcPr>
            <w:tcW w:w="4595" w:type="dxa"/>
          </w:tcPr>
          <w:p w14:paraId="156A5A19"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101,152</w:t>
            </w:r>
          </w:p>
        </w:tc>
      </w:tr>
      <w:tr w:rsidR="000C3975" w14:paraId="0A71D554" w14:textId="77777777">
        <w:trPr>
          <w:trHeight w:val="360"/>
          <w:tblHeader/>
        </w:trPr>
        <w:tc>
          <w:tcPr>
            <w:tcW w:w="4675" w:type="dxa"/>
          </w:tcPr>
          <w:p w14:paraId="5BB276DA"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Phosphorus (mg/L)</w:t>
            </w:r>
          </w:p>
        </w:tc>
        <w:tc>
          <w:tcPr>
            <w:tcW w:w="4595" w:type="dxa"/>
          </w:tcPr>
          <w:p w14:paraId="68867CE2"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41,859</w:t>
            </w:r>
          </w:p>
        </w:tc>
      </w:tr>
      <w:tr w:rsidR="000C3975" w14:paraId="3446065A" w14:textId="77777777">
        <w:trPr>
          <w:trHeight w:val="360"/>
          <w:tblHeader/>
        </w:trPr>
        <w:tc>
          <w:tcPr>
            <w:tcW w:w="4675" w:type="dxa"/>
          </w:tcPr>
          <w:p w14:paraId="4C11A838"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Nitrogen (mg/L)</w:t>
            </w:r>
          </w:p>
        </w:tc>
        <w:tc>
          <w:tcPr>
            <w:tcW w:w="4595" w:type="dxa"/>
          </w:tcPr>
          <w:p w14:paraId="5C6F48BB"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41,236</w:t>
            </w:r>
          </w:p>
        </w:tc>
      </w:tr>
      <w:tr w:rsidR="000C3975" w14:paraId="03261EC5" w14:textId="77777777">
        <w:trPr>
          <w:trHeight w:val="360"/>
          <w:tblHeader/>
        </w:trPr>
        <w:tc>
          <w:tcPr>
            <w:tcW w:w="4675" w:type="dxa"/>
          </w:tcPr>
          <w:p w14:paraId="7D6E6B0E" w14:textId="77777777" w:rsidR="000C3975" w:rsidRPr="00A84F81" w:rsidRDefault="000C3975">
            <w:pPr>
              <w:spacing w:line="20" w:lineRule="atLeast"/>
              <w:jc w:val="center"/>
              <w:rPr>
                <w:rFonts w:eastAsiaTheme="minorEastAsia" w:cstheme="minorHAnsi"/>
                <w:color w:val="000000" w:themeColor="text1"/>
                <w:sz w:val="22"/>
                <w:szCs w:val="22"/>
              </w:rPr>
            </w:pPr>
            <w:r w:rsidRPr="0082297E">
              <w:rPr>
                <w:rFonts w:eastAsiaTheme="minorEastAsia" w:cstheme="minorHAnsi"/>
                <w:i/>
                <w:iCs/>
                <w:color w:val="000000" w:themeColor="text1"/>
                <w:sz w:val="22"/>
                <w:szCs w:val="22"/>
              </w:rPr>
              <w:t>E. coli</w:t>
            </w:r>
            <w:r w:rsidRPr="00A84F81">
              <w:rPr>
                <w:rFonts w:eastAsiaTheme="minorEastAsia" w:cstheme="minorHAnsi"/>
                <w:color w:val="000000" w:themeColor="text1"/>
                <w:sz w:val="22"/>
                <w:szCs w:val="22"/>
              </w:rPr>
              <w:t xml:space="preserve"> (CFU/100 mL)</w:t>
            </w:r>
          </w:p>
        </w:tc>
        <w:tc>
          <w:tcPr>
            <w:tcW w:w="4595" w:type="dxa"/>
          </w:tcPr>
          <w:p w14:paraId="100DF96A"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36,770</w:t>
            </w:r>
          </w:p>
        </w:tc>
      </w:tr>
      <w:tr w:rsidR="000C3975" w14:paraId="62E71F0E" w14:textId="77777777">
        <w:trPr>
          <w:trHeight w:val="360"/>
          <w:tblHeader/>
        </w:trPr>
        <w:tc>
          <w:tcPr>
            <w:tcW w:w="4675" w:type="dxa"/>
          </w:tcPr>
          <w:p w14:paraId="68771513"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TSS (mg/L)</w:t>
            </w:r>
          </w:p>
        </w:tc>
        <w:tc>
          <w:tcPr>
            <w:tcW w:w="4595" w:type="dxa"/>
          </w:tcPr>
          <w:p w14:paraId="3B706BDF"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21,905</w:t>
            </w:r>
          </w:p>
        </w:tc>
      </w:tr>
      <w:tr w:rsidR="000C3975" w14:paraId="4A4D31E1" w14:textId="77777777">
        <w:trPr>
          <w:trHeight w:val="360"/>
          <w:tblHeader/>
        </w:trPr>
        <w:tc>
          <w:tcPr>
            <w:tcW w:w="4675" w:type="dxa"/>
          </w:tcPr>
          <w:p w14:paraId="579F3C25"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Fecal Coliform (CFU/100 mL)</w:t>
            </w:r>
          </w:p>
        </w:tc>
        <w:tc>
          <w:tcPr>
            <w:tcW w:w="4595" w:type="dxa"/>
          </w:tcPr>
          <w:p w14:paraId="12D32C0A"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18,710</w:t>
            </w:r>
          </w:p>
        </w:tc>
      </w:tr>
      <w:tr w:rsidR="000C3975" w14:paraId="34989EA7" w14:textId="77777777">
        <w:trPr>
          <w:trHeight w:val="360"/>
          <w:tblHeader/>
        </w:trPr>
        <w:tc>
          <w:tcPr>
            <w:tcW w:w="4675" w:type="dxa"/>
          </w:tcPr>
          <w:p w14:paraId="0E7F7210"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Enterococci (CFU/100 mL)</w:t>
            </w:r>
          </w:p>
        </w:tc>
        <w:tc>
          <w:tcPr>
            <w:tcW w:w="4595" w:type="dxa"/>
          </w:tcPr>
          <w:p w14:paraId="4A4783D0"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18,442</w:t>
            </w:r>
          </w:p>
        </w:tc>
      </w:tr>
      <w:tr w:rsidR="000C3975" w14:paraId="372F27B2" w14:textId="77777777">
        <w:trPr>
          <w:trHeight w:val="360"/>
          <w:tblHeader/>
        </w:trPr>
        <w:tc>
          <w:tcPr>
            <w:tcW w:w="4675" w:type="dxa"/>
          </w:tcPr>
          <w:p w14:paraId="5E0B2935"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Ammonia (mg/L)</w:t>
            </w:r>
          </w:p>
        </w:tc>
        <w:tc>
          <w:tcPr>
            <w:tcW w:w="4595" w:type="dxa"/>
          </w:tcPr>
          <w:p w14:paraId="6D38CD76"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14,405</w:t>
            </w:r>
          </w:p>
        </w:tc>
      </w:tr>
      <w:tr w:rsidR="000C3975" w14:paraId="6C4C56B8" w14:textId="77777777">
        <w:trPr>
          <w:trHeight w:val="360"/>
          <w:tblHeader/>
        </w:trPr>
        <w:tc>
          <w:tcPr>
            <w:tcW w:w="4675" w:type="dxa"/>
          </w:tcPr>
          <w:p w14:paraId="2712AD02"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Nitrate (mg/L)</w:t>
            </w:r>
          </w:p>
        </w:tc>
        <w:tc>
          <w:tcPr>
            <w:tcW w:w="4595" w:type="dxa"/>
          </w:tcPr>
          <w:p w14:paraId="1283FB4C"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11,504</w:t>
            </w:r>
          </w:p>
        </w:tc>
      </w:tr>
      <w:tr w:rsidR="000C3975" w14:paraId="32BB570C" w14:textId="77777777">
        <w:trPr>
          <w:trHeight w:val="360"/>
          <w:tblHeader/>
        </w:trPr>
        <w:tc>
          <w:tcPr>
            <w:tcW w:w="4675" w:type="dxa"/>
          </w:tcPr>
          <w:p w14:paraId="47A7AEF4"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Secchi Depth (m)</w:t>
            </w:r>
          </w:p>
        </w:tc>
        <w:tc>
          <w:tcPr>
            <w:tcW w:w="4595" w:type="dxa"/>
          </w:tcPr>
          <w:p w14:paraId="06EFA5E1"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7,396</w:t>
            </w:r>
          </w:p>
        </w:tc>
      </w:tr>
      <w:tr w:rsidR="000C3975" w14:paraId="65A462AE" w14:textId="77777777">
        <w:trPr>
          <w:trHeight w:val="360"/>
          <w:tblHeader/>
        </w:trPr>
        <w:tc>
          <w:tcPr>
            <w:tcW w:w="4675" w:type="dxa"/>
          </w:tcPr>
          <w:p w14:paraId="58072493"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Chloride (mg/L)</w:t>
            </w:r>
          </w:p>
        </w:tc>
        <w:tc>
          <w:tcPr>
            <w:tcW w:w="4595" w:type="dxa"/>
          </w:tcPr>
          <w:p w14:paraId="2513049B"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7,111</w:t>
            </w:r>
          </w:p>
        </w:tc>
      </w:tr>
      <w:tr w:rsidR="000C3975" w14:paraId="6B06EF08" w14:textId="77777777">
        <w:trPr>
          <w:trHeight w:val="360"/>
          <w:tblHeader/>
        </w:trPr>
        <w:tc>
          <w:tcPr>
            <w:tcW w:w="4675" w:type="dxa"/>
          </w:tcPr>
          <w:p w14:paraId="6E6AAC23"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Sulfate (mg/L)</w:t>
            </w:r>
          </w:p>
        </w:tc>
        <w:tc>
          <w:tcPr>
            <w:tcW w:w="4595" w:type="dxa"/>
          </w:tcPr>
          <w:p w14:paraId="0D5AAF62"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7,064</w:t>
            </w:r>
          </w:p>
        </w:tc>
      </w:tr>
      <w:tr w:rsidR="000C3975" w14:paraId="6A0636EE" w14:textId="77777777">
        <w:trPr>
          <w:trHeight w:val="360"/>
          <w:tblHeader/>
        </w:trPr>
        <w:tc>
          <w:tcPr>
            <w:tcW w:w="4675" w:type="dxa"/>
            <w:tcBorders>
              <w:bottom w:val="single" w:sz="12" w:space="0" w:color="auto"/>
            </w:tcBorders>
          </w:tcPr>
          <w:p w14:paraId="040CFB19"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NO</w:t>
            </w:r>
            <w:r w:rsidRPr="00A84F81">
              <w:rPr>
                <w:rFonts w:eastAsiaTheme="minorEastAsia" w:cstheme="minorHAnsi"/>
                <w:color w:val="000000" w:themeColor="text1"/>
                <w:sz w:val="22"/>
                <w:szCs w:val="22"/>
                <w:vertAlign w:val="subscript"/>
              </w:rPr>
              <w:t>x</w:t>
            </w:r>
            <w:r w:rsidRPr="00A84F81">
              <w:rPr>
                <w:rFonts w:eastAsiaTheme="minorEastAsia" w:cstheme="minorHAnsi"/>
                <w:color w:val="000000" w:themeColor="text1"/>
                <w:sz w:val="22"/>
                <w:szCs w:val="22"/>
              </w:rPr>
              <w:t xml:space="preserve"> (mg/L)</w:t>
            </w:r>
          </w:p>
        </w:tc>
        <w:tc>
          <w:tcPr>
            <w:tcW w:w="4595" w:type="dxa"/>
            <w:tcBorders>
              <w:bottom w:val="single" w:sz="12" w:space="0" w:color="auto"/>
            </w:tcBorders>
          </w:tcPr>
          <w:p w14:paraId="0109A4DC" w14:textId="77777777" w:rsidR="000C3975" w:rsidRPr="00A84F81" w:rsidRDefault="000C3975">
            <w:pPr>
              <w:spacing w:line="20" w:lineRule="atLeast"/>
              <w:jc w:val="center"/>
              <w:rPr>
                <w:rFonts w:eastAsiaTheme="minorEastAsia" w:cstheme="minorHAnsi"/>
                <w:color w:val="000000" w:themeColor="text1"/>
                <w:sz w:val="22"/>
                <w:szCs w:val="22"/>
              </w:rPr>
            </w:pPr>
            <w:r w:rsidRPr="00A84F81">
              <w:rPr>
                <w:rFonts w:eastAsiaTheme="minorEastAsia" w:cstheme="minorHAnsi"/>
                <w:color w:val="000000" w:themeColor="text1"/>
                <w:sz w:val="22"/>
                <w:szCs w:val="22"/>
              </w:rPr>
              <w:t>2,430</w:t>
            </w:r>
          </w:p>
        </w:tc>
      </w:tr>
    </w:tbl>
    <w:p w14:paraId="0B762C58" w14:textId="77777777" w:rsidR="000C3975" w:rsidRPr="002739AD" w:rsidRDefault="000C3975" w:rsidP="000C3975">
      <w:pPr>
        <w:spacing w:line="20" w:lineRule="atLeast"/>
        <w:rPr>
          <w:rFonts w:eastAsiaTheme="minorEastAsia" w:cstheme="minorHAnsi"/>
          <w:color w:val="000000" w:themeColor="text1"/>
          <w:szCs w:val="24"/>
        </w:rPr>
      </w:pPr>
    </w:p>
    <w:p w14:paraId="4F8FEFC7" w14:textId="77777777" w:rsidR="000C3975" w:rsidRDefault="000C3975" w:rsidP="000C3975">
      <w:pPr>
        <w:spacing w:line="20" w:lineRule="atLeast"/>
        <w:rPr>
          <w:rFonts w:eastAsiaTheme="minorEastAsia" w:cstheme="minorHAnsi"/>
          <w:color w:val="000000" w:themeColor="text1"/>
          <w:szCs w:val="24"/>
        </w:rPr>
      </w:pPr>
      <w:r w:rsidRPr="002739AD">
        <w:rPr>
          <w:rFonts w:eastAsiaTheme="minorEastAsia" w:cstheme="minorHAnsi"/>
          <w:color w:val="000000" w:themeColor="text1"/>
          <w:szCs w:val="24"/>
        </w:rPr>
        <w:t xml:space="preserve">Each basin summary, found in </w:t>
      </w:r>
      <w:r>
        <w:rPr>
          <w:rFonts w:eastAsiaTheme="minorEastAsia" w:cstheme="minorHAnsi"/>
          <w:color w:val="000000" w:themeColor="text1"/>
          <w:szCs w:val="24"/>
        </w:rPr>
        <w:t>Section</w:t>
      </w:r>
      <w:r w:rsidRPr="002739AD">
        <w:rPr>
          <w:rFonts w:eastAsiaTheme="minorEastAsia" w:cstheme="minorHAnsi"/>
          <w:color w:val="000000" w:themeColor="text1"/>
          <w:szCs w:val="24"/>
        </w:rPr>
        <w:t xml:space="preserve"> 4.3 of this report, lists the </w:t>
      </w:r>
      <w:r>
        <w:rPr>
          <w:rFonts w:eastAsiaTheme="minorEastAsia" w:cstheme="minorHAnsi"/>
          <w:color w:val="000000" w:themeColor="text1"/>
          <w:szCs w:val="24"/>
        </w:rPr>
        <w:t>A</w:t>
      </w:r>
      <w:r w:rsidRPr="002739AD">
        <w:rPr>
          <w:rFonts w:eastAsiaTheme="minorEastAsia" w:cstheme="minorHAnsi"/>
          <w:color w:val="000000" w:themeColor="text1"/>
          <w:szCs w:val="24"/>
        </w:rPr>
        <w:t xml:space="preserve">mbient </w:t>
      </w:r>
      <w:r>
        <w:rPr>
          <w:rFonts w:eastAsiaTheme="minorEastAsia" w:cstheme="minorHAnsi"/>
          <w:color w:val="000000" w:themeColor="text1"/>
          <w:szCs w:val="24"/>
        </w:rPr>
        <w:t>W</w:t>
      </w:r>
      <w:r w:rsidRPr="002739AD">
        <w:rPr>
          <w:rFonts w:eastAsiaTheme="minorEastAsia" w:cstheme="minorHAnsi"/>
          <w:color w:val="000000" w:themeColor="text1"/>
          <w:szCs w:val="24"/>
        </w:rPr>
        <w:t xml:space="preserve">ater </w:t>
      </w:r>
      <w:r>
        <w:rPr>
          <w:rFonts w:eastAsiaTheme="minorEastAsia" w:cstheme="minorHAnsi"/>
          <w:color w:val="000000" w:themeColor="text1"/>
          <w:szCs w:val="24"/>
        </w:rPr>
        <w:t>Q</w:t>
      </w:r>
      <w:r w:rsidRPr="002739AD">
        <w:rPr>
          <w:rFonts w:eastAsiaTheme="minorEastAsia" w:cstheme="minorHAnsi"/>
          <w:color w:val="000000" w:themeColor="text1"/>
          <w:szCs w:val="24"/>
        </w:rPr>
        <w:t xml:space="preserve">uality </w:t>
      </w:r>
      <w:r>
        <w:rPr>
          <w:rFonts w:eastAsiaTheme="minorEastAsia" w:cstheme="minorHAnsi"/>
          <w:color w:val="000000" w:themeColor="text1"/>
          <w:szCs w:val="24"/>
        </w:rPr>
        <w:t>M</w:t>
      </w:r>
      <w:r w:rsidRPr="002739AD">
        <w:rPr>
          <w:rFonts w:eastAsiaTheme="minorEastAsia" w:cstheme="minorHAnsi"/>
          <w:color w:val="000000" w:themeColor="text1"/>
          <w:szCs w:val="24"/>
        </w:rPr>
        <w:t>onitoring (AWQM) and biological (benthic) monitoring summary data within the basin. Summaries of the sampling data collected at each station during the reporting period are provided as an Appendix supplement to this report and can be found on the DEQ water webpage.</w:t>
      </w:r>
    </w:p>
    <w:p w14:paraId="0D6481D9" w14:textId="5FEE8DE4" w:rsidR="00525765" w:rsidRDefault="00525765" w:rsidP="000C3975">
      <w:pPr>
        <w:rPr>
          <w:rFonts w:eastAsiaTheme="minorEastAsia" w:cstheme="minorHAnsi"/>
          <w:color w:val="000000" w:themeColor="text1"/>
          <w:szCs w:val="24"/>
        </w:rPr>
      </w:pPr>
    </w:p>
    <w:p w14:paraId="08CDE925" w14:textId="77777777" w:rsidR="00DC5A1B" w:rsidRPr="00C96D2C" w:rsidRDefault="00DC5A1B" w:rsidP="00D720BA">
      <w:pPr>
        <w:rPr>
          <w:rFonts w:eastAsia="Calibri"/>
        </w:rPr>
        <w:sectPr w:rsidR="00DC5A1B" w:rsidRPr="00C96D2C" w:rsidSect="009079C4">
          <w:pgSz w:w="12240" w:h="15840"/>
          <w:pgMar w:top="1440" w:right="1440" w:bottom="720" w:left="1440" w:header="864" w:footer="720" w:gutter="0"/>
          <w:cols w:space="720"/>
          <w:docGrid w:linePitch="360"/>
        </w:sectPr>
      </w:pPr>
    </w:p>
    <w:p w14:paraId="7F3CE5AB" w14:textId="1DAA9656" w:rsidR="006B5646" w:rsidRPr="00641AB7" w:rsidRDefault="006B5646" w:rsidP="006B5646">
      <w:pPr>
        <w:pStyle w:val="Heading2"/>
        <w:rPr>
          <w:rFonts w:eastAsia="Calibri"/>
        </w:rPr>
      </w:pPr>
      <w:bookmarkStart w:id="54" w:name="_Toc152763306"/>
      <w:bookmarkStart w:id="55" w:name="_Toc155771952"/>
      <w:bookmarkStart w:id="56" w:name="_Toc191900431"/>
      <w:r w:rsidRPr="00641AB7">
        <w:rPr>
          <w:rFonts w:eastAsia="Calibri"/>
        </w:rPr>
        <w:t>Chesapeake Bay Monitoring Programs in Virginia</w:t>
      </w:r>
      <w:bookmarkEnd w:id="54"/>
      <w:bookmarkEnd w:id="55"/>
      <w:bookmarkEnd w:id="56"/>
    </w:p>
    <w:p w14:paraId="5E43C1D0" w14:textId="334639C9" w:rsidR="006B5646" w:rsidRPr="003002DC" w:rsidRDefault="006B5646" w:rsidP="006B5646">
      <w:pPr>
        <w:widowControl/>
        <w:rPr>
          <w:rFonts w:cstheme="minorHAnsi"/>
          <w:snapToGrid/>
          <w:color w:val="000000"/>
          <w:szCs w:val="24"/>
        </w:rPr>
      </w:pPr>
      <w:r w:rsidRPr="003002DC">
        <w:rPr>
          <w:rFonts w:cstheme="minorHAnsi"/>
          <w:snapToGrid/>
          <w:color w:val="000000"/>
          <w:szCs w:val="24"/>
        </w:rPr>
        <w:t>The Virginia Chesapeake Bay Program is an ongoing water quality-monitoring program initially implemented by the Commonwealth of Virginia and its contractors in the summer of 1988 as one component of the overall Federal-Interstate Chesapeake Bay Monitoring Program (CBMP) operating Bay-wide. In Virginia, monitoring is conducted by DEQ, Old Dominion University (ODU), the</w:t>
      </w:r>
      <w:r w:rsidR="004C34AA">
        <w:rPr>
          <w:rFonts w:cstheme="minorHAnsi"/>
          <w:snapToGrid/>
          <w:color w:val="000000"/>
          <w:szCs w:val="24"/>
        </w:rPr>
        <w:t xml:space="preserve"> USGS</w:t>
      </w:r>
      <w:r w:rsidR="00A114CA">
        <w:rPr>
          <w:rFonts w:cstheme="minorHAnsi"/>
          <w:snapToGrid/>
          <w:color w:val="000000"/>
          <w:szCs w:val="24"/>
        </w:rPr>
        <w:t>,</w:t>
      </w:r>
      <w:r w:rsidRPr="003002DC">
        <w:rPr>
          <w:rFonts w:cstheme="minorHAnsi"/>
          <w:snapToGrid/>
          <w:color w:val="000000"/>
          <w:szCs w:val="24"/>
        </w:rPr>
        <w:t xml:space="preserve"> and</w:t>
      </w:r>
      <w:r w:rsidR="00A114CA">
        <w:rPr>
          <w:rFonts w:cstheme="minorHAnsi"/>
          <w:snapToGrid/>
          <w:color w:val="000000"/>
          <w:szCs w:val="24"/>
        </w:rPr>
        <w:t xml:space="preserve"> VIMS</w:t>
      </w:r>
      <w:r w:rsidRPr="003002DC">
        <w:rPr>
          <w:rFonts w:cstheme="minorHAnsi"/>
          <w:snapToGrid/>
          <w:color w:val="000000"/>
          <w:szCs w:val="24"/>
        </w:rPr>
        <w:t xml:space="preserve">. In addition to monitoring for water quality, the CBMP includes long-term monitoring </w:t>
      </w:r>
      <w:r w:rsidR="00486DA5">
        <w:rPr>
          <w:rFonts w:cstheme="minorHAnsi"/>
          <w:snapToGrid/>
          <w:color w:val="000000"/>
          <w:szCs w:val="24"/>
        </w:rPr>
        <w:t xml:space="preserve">of </w:t>
      </w:r>
      <w:r w:rsidRPr="003002DC">
        <w:rPr>
          <w:rFonts w:cstheme="minorHAnsi"/>
          <w:snapToGrid/>
          <w:color w:val="000000"/>
          <w:szCs w:val="24"/>
        </w:rPr>
        <w:t>phytoplankton communities</w:t>
      </w:r>
      <w:r>
        <w:rPr>
          <w:rFonts w:cstheme="minorHAnsi"/>
          <w:snapToGrid/>
          <w:color w:val="000000"/>
          <w:szCs w:val="24"/>
        </w:rPr>
        <w:t xml:space="preserve"> and</w:t>
      </w:r>
      <w:r w:rsidRPr="003002DC">
        <w:rPr>
          <w:rFonts w:cstheme="minorHAnsi"/>
          <w:snapToGrid/>
          <w:color w:val="000000"/>
          <w:szCs w:val="24"/>
        </w:rPr>
        <w:t xml:space="preserve"> benthic communities as well as occasional special monitoring for such things as pathogens, sediment toxics or sediment nutrient fluxes. This comprehensive and coordinated monitoring of basic environmental aspects of the Bay provides extensive information for understanding important ecological inter-relationships. This understanding provides a sound scientific basis for support and development of environmental </w:t>
      </w:r>
      <w:proofErr w:type="gramStart"/>
      <w:r w:rsidRPr="003002DC">
        <w:rPr>
          <w:rFonts w:cstheme="minorHAnsi"/>
          <w:snapToGrid/>
          <w:color w:val="000000"/>
          <w:szCs w:val="24"/>
        </w:rPr>
        <w:t>management actions</w:t>
      </w:r>
      <w:proofErr w:type="gramEnd"/>
      <w:r w:rsidRPr="003002DC">
        <w:rPr>
          <w:rFonts w:cstheme="minorHAnsi"/>
          <w:snapToGrid/>
          <w:color w:val="000000"/>
          <w:szCs w:val="24"/>
        </w:rPr>
        <w:t xml:space="preserve"> within the Chesapeake Bay Watershed. </w:t>
      </w:r>
    </w:p>
    <w:p w14:paraId="686F2998" w14:textId="77777777" w:rsidR="006B5646" w:rsidRPr="003002DC" w:rsidRDefault="006B5646" w:rsidP="008A7801">
      <w:pPr>
        <w:widowControl/>
        <w:rPr>
          <w:rFonts w:cstheme="minorHAnsi"/>
          <w:snapToGrid/>
          <w:color w:val="000000"/>
          <w:szCs w:val="24"/>
        </w:rPr>
      </w:pPr>
    </w:p>
    <w:p w14:paraId="0B9B8EAE" w14:textId="020CECF4" w:rsidR="006B5646" w:rsidRPr="003002DC" w:rsidRDefault="006B5646" w:rsidP="006B5646">
      <w:pPr>
        <w:tabs>
          <w:tab w:val="left" w:pos="-300"/>
          <w:tab w:val="left" w:pos="0"/>
          <w:tab w:val="left" w:pos="720"/>
          <w:tab w:val="left" w:pos="1080"/>
          <w:tab w:val="left" w:pos="2160"/>
        </w:tabs>
        <w:rPr>
          <w:rFonts w:cstheme="minorHAnsi"/>
          <w:snapToGrid/>
          <w:color w:val="000000"/>
          <w:szCs w:val="24"/>
        </w:rPr>
      </w:pPr>
      <w:r w:rsidRPr="003002DC">
        <w:rPr>
          <w:rFonts w:cstheme="minorHAnsi"/>
          <w:snapToGrid/>
          <w:color w:val="000000"/>
          <w:szCs w:val="24"/>
        </w:rPr>
        <w:t>Data collected by DEQ, ODU, VIMS</w:t>
      </w:r>
      <w:r>
        <w:rPr>
          <w:rFonts w:cstheme="minorHAnsi"/>
          <w:snapToGrid/>
          <w:color w:val="000000"/>
          <w:szCs w:val="24"/>
        </w:rPr>
        <w:t>,</w:t>
      </w:r>
      <w:r w:rsidRPr="003002DC">
        <w:rPr>
          <w:rFonts w:cstheme="minorHAnsi"/>
          <w:snapToGrid/>
          <w:color w:val="000000"/>
          <w:szCs w:val="24"/>
        </w:rPr>
        <w:t xml:space="preserve"> and USGS under the 117(e) Chesapeake Bay Monitoring Grant are regularly submitted to </w:t>
      </w:r>
      <w:proofErr w:type="gramStart"/>
      <w:r w:rsidRPr="003002DC">
        <w:rPr>
          <w:rFonts w:cstheme="minorHAnsi"/>
          <w:snapToGrid/>
          <w:color w:val="000000"/>
          <w:szCs w:val="24"/>
        </w:rPr>
        <w:t xml:space="preserve">the </w:t>
      </w:r>
      <w:r w:rsidR="00891639">
        <w:rPr>
          <w:rFonts w:cstheme="minorHAnsi"/>
          <w:snapToGrid/>
          <w:color w:val="000000"/>
          <w:szCs w:val="24"/>
        </w:rPr>
        <w:t>CBP</w:t>
      </w:r>
      <w:proofErr w:type="gramEnd"/>
      <w:r w:rsidRPr="003002DC">
        <w:rPr>
          <w:rFonts w:cstheme="minorHAnsi"/>
          <w:snapToGrid/>
          <w:color w:val="000000"/>
          <w:szCs w:val="24"/>
        </w:rPr>
        <w:t xml:space="preserve"> via the Data Upload and Evaluation Tool (DUET), a program designed to ensure the quality assurance and completeness goals of the Bay Program are met. Data </w:t>
      </w:r>
      <w:proofErr w:type="gramStart"/>
      <w:r w:rsidRPr="003002DC">
        <w:rPr>
          <w:rFonts w:cstheme="minorHAnsi"/>
          <w:snapToGrid/>
          <w:color w:val="000000"/>
          <w:szCs w:val="24"/>
        </w:rPr>
        <w:t>are</w:t>
      </w:r>
      <w:proofErr w:type="gramEnd"/>
      <w:r w:rsidRPr="003002DC">
        <w:rPr>
          <w:rFonts w:cstheme="minorHAnsi"/>
          <w:snapToGrid/>
          <w:color w:val="000000"/>
          <w:szCs w:val="24"/>
        </w:rPr>
        <w:t xml:space="preserve"> available to the public via </w:t>
      </w:r>
      <w:proofErr w:type="gramStart"/>
      <w:r w:rsidRPr="003002DC">
        <w:rPr>
          <w:rFonts w:cstheme="minorHAnsi"/>
          <w:snapToGrid/>
          <w:color w:val="000000"/>
          <w:szCs w:val="24"/>
        </w:rPr>
        <w:t xml:space="preserve">the </w:t>
      </w:r>
      <w:r w:rsidR="00891639">
        <w:rPr>
          <w:rFonts w:cstheme="minorHAnsi"/>
          <w:snapToGrid/>
          <w:color w:val="000000"/>
          <w:szCs w:val="24"/>
        </w:rPr>
        <w:t>CBP’s</w:t>
      </w:r>
      <w:proofErr w:type="gramEnd"/>
      <w:r w:rsidRPr="003002DC">
        <w:rPr>
          <w:rFonts w:cstheme="minorHAnsi"/>
          <w:snapToGrid/>
          <w:color w:val="000000"/>
          <w:szCs w:val="24"/>
        </w:rPr>
        <w:t xml:space="preserve"> websit</w:t>
      </w:r>
      <w:r w:rsidR="00A3353D">
        <w:rPr>
          <w:rFonts w:cstheme="minorHAnsi"/>
          <w:snapToGrid/>
          <w:color w:val="000000"/>
          <w:szCs w:val="24"/>
        </w:rPr>
        <w:t>e.</w:t>
      </w:r>
    </w:p>
    <w:p w14:paraId="69BD503F" w14:textId="77777777" w:rsidR="006B5646" w:rsidRPr="003002DC" w:rsidRDefault="006B5646" w:rsidP="006B5646">
      <w:pPr>
        <w:tabs>
          <w:tab w:val="left" w:pos="-300"/>
          <w:tab w:val="left" w:pos="0"/>
          <w:tab w:val="left" w:pos="720"/>
          <w:tab w:val="left" w:pos="1080"/>
          <w:tab w:val="left" w:pos="2160"/>
        </w:tabs>
        <w:rPr>
          <w:rFonts w:cstheme="minorHAnsi"/>
          <w:snapToGrid/>
          <w:color w:val="000000"/>
          <w:szCs w:val="24"/>
        </w:rPr>
      </w:pPr>
    </w:p>
    <w:p w14:paraId="3E979936" w14:textId="779B86DF" w:rsidR="006B5646" w:rsidRPr="003002DC" w:rsidRDefault="006B5646" w:rsidP="006B5646">
      <w:pPr>
        <w:tabs>
          <w:tab w:val="left" w:pos="-300"/>
          <w:tab w:val="left" w:pos="0"/>
          <w:tab w:val="left" w:pos="720"/>
          <w:tab w:val="left" w:pos="1080"/>
          <w:tab w:val="left" w:pos="2160"/>
        </w:tabs>
        <w:rPr>
          <w:rFonts w:cstheme="minorHAnsi"/>
          <w:snapToGrid/>
          <w:color w:val="000000"/>
          <w:szCs w:val="24"/>
        </w:rPr>
      </w:pPr>
      <w:r w:rsidRPr="003002DC">
        <w:rPr>
          <w:rFonts w:cstheme="minorHAnsi"/>
          <w:snapToGrid/>
          <w:color w:val="000000"/>
          <w:szCs w:val="24"/>
        </w:rPr>
        <w:t xml:space="preserve">The Objectives of the CBMP are to: </w:t>
      </w:r>
    </w:p>
    <w:p w14:paraId="58DD8961" w14:textId="30B957ED" w:rsidR="006B5646" w:rsidRPr="003002DC" w:rsidRDefault="006B5646" w:rsidP="00BD3C37">
      <w:pPr>
        <w:pStyle w:val="ListParagraph"/>
        <w:rPr>
          <w:snapToGrid/>
        </w:rPr>
      </w:pPr>
      <w:r w:rsidRPr="003002DC">
        <w:rPr>
          <w:snapToGrid/>
        </w:rPr>
        <w:t>1) Classify current physicochemical and living resource conditions in the Bay and Tributaries based on defined geographical areas categorized by salinity within the Bay (</w:t>
      </w:r>
      <w:r w:rsidR="00D03C22" w:rsidRPr="003002DC">
        <w:rPr>
          <w:snapToGrid/>
        </w:rPr>
        <w:t>i.e.,</w:t>
      </w:r>
      <w:r w:rsidRPr="003002DC">
        <w:rPr>
          <w:snapToGrid/>
        </w:rPr>
        <w:t xml:space="preserve"> </w:t>
      </w:r>
      <w:proofErr w:type="spellStart"/>
      <w:r w:rsidRPr="0001491C">
        <w:rPr>
          <w:snapToGrid/>
        </w:rPr>
        <w:t>polyhaline</w:t>
      </w:r>
      <w:proofErr w:type="spellEnd"/>
      <w:r w:rsidRPr="0001491C">
        <w:rPr>
          <w:snapToGrid/>
        </w:rPr>
        <w:t>, mesohaline, tidal fresh segments</w:t>
      </w:r>
      <w:r w:rsidRPr="003002DC">
        <w:rPr>
          <w:snapToGrid/>
        </w:rPr>
        <w:t>). Segments are also characterized in relation to water quality criteria developed by the CBMP such as submerged aquatic vegetation habitat goals and living resources habitat dissolved oxygen goals.</w:t>
      </w:r>
    </w:p>
    <w:p w14:paraId="45EC2322" w14:textId="77777777" w:rsidR="006B5646" w:rsidRPr="003002DC" w:rsidRDefault="006B5646" w:rsidP="00BD3C37">
      <w:pPr>
        <w:pStyle w:val="ListParagraph"/>
        <w:rPr>
          <w:snapToGrid/>
        </w:rPr>
      </w:pPr>
    </w:p>
    <w:p w14:paraId="0F0CA17A" w14:textId="77777777" w:rsidR="006B5646" w:rsidRPr="003002DC" w:rsidRDefault="006B5646" w:rsidP="00BD3C37">
      <w:pPr>
        <w:pStyle w:val="ListParagraph"/>
        <w:rPr>
          <w:snapToGrid/>
        </w:rPr>
      </w:pPr>
      <w:r w:rsidRPr="003002DC">
        <w:rPr>
          <w:snapToGrid/>
        </w:rPr>
        <w:t xml:space="preserve">2) Assess ambient water quality conditions against pre-defined State water quality standards and criteria for parameters such as dissolved oxygen, pH, temperature, and ammonia. </w:t>
      </w:r>
    </w:p>
    <w:p w14:paraId="729B7BCA" w14:textId="77777777" w:rsidR="006B5646" w:rsidRPr="003002DC" w:rsidRDefault="006B5646" w:rsidP="00BD3C37">
      <w:pPr>
        <w:pStyle w:val="ListParagraph"/>
        <w:rPr>
          <w:snapToGrid/>
        </w:rPr>
      </w:pPr>
    </w:p>
    <w:p w14:paraId="51E8F69C" w14:textId="23F66FEE" w:rsidR="006B5646" w:rsidRPr="003002DC" w:rsidRDefault="006B5646" w:rsidP="00BD3C37">
      <w:pPr>
        <w:pStyle w:val="ListParagraph"/>
        <w:rPr>
          <w:snapToGrid/>
        </w:rPr>
      </w:pPr>
      <w:r w:rsidRPr="003002DC">
        <w:rPr>
          <w:snapToGrid/>
        </w:rPr>
        <w:t>3) Characterize long-term temporal and spatial trends. Long-term temporal trends are examined to assess the overall success of Bay restoration actions as specified in Watershed Implementation Plan goals (WIPs), and characterizations of spatial patterns are used as a factor to prioritize watersheds which may need more extensive restoration efforts than others.</w:t>
      </w:r>
    </w:p>
    <w:p w14:paraId="71498CD2" w14:textId="77777777" w:rsidR="006B5646" w:rsidRPr="003002DC" w:rsidRDefault="006B5646" w:rsidP="006B5646">
      <w:pPr>
        <w:tabs>
          <w:tab w:val="left" w:pos="-300"/>
          <w:tab w:val="left" w:pos="0"/>
          <w:tab w:val="left" w:pos="720"/>
          <w:tab w:val="left" w:pos="1080"/>
          <w:tab w:val="left" w:pos="2160"/>
        </w:tabs>
        <w:rPr>
          <w:rFonts w:cstheme="minorHAnsi"/>
          <w:snapToGrid/>
          <w:color w:val="000000"/>
          <w:szCs w:val="24"/>
        </w:rPr>
      </w:pPr>
    </w:p>
    <w:p w14:paraId="2DAC3F70" w14:textId="39F3084A" w:rsidR="006B5646" w:rsidRPr="0011205E" w:rsidRDefault="006B5646" w:rsidP="006B5646">
      <w:pPr>
        <w:pStyle w:val="Heading3"/>
      </w:pPr>
      <w:r w:rsidRPr="0011205E">
        <w:t>Chesapeake Bay Mainstem Water Quality Monitoring Program</w:t>
      </w:r>
    </w:p>
    <w:p w14:paraId="61416E44" w14:textId="519F5118" w:rsidR="006B5646" w:rsidRPr="007B0364" w:rsidRDefault="006B5646" w:rsidP="006B5646">
      <w:pPr>
        <w:tabs>
          <w:tab w:val="left" w:pos="-720"/>
          <w:tab w:val="left" w:pos="720"/>
          <w:tab w:val="left" w:pos="1080"/>
        </w:tabs>
        <w:rPr>
          <w:rFonts w:cstheme="minorHAnsi"/>
          <w:color w:val="000000"/>
          <w:szCs w:val="24"/>
        </w:rPr>
      </w:pPr>
      <w:r w:rsidRPr="003002DC">
        <w:rPr>
          <w:rFonts w:cstheme="minorHAnsi"/>
          <w:color w:val="000000"/>
          <w:szCs w:val="24"/>
        </w:rPr>
        <w:t xml:space="preserve">The design of the long-term Chesapeake Bay Mainstem Water Quality Monitoring Program is described in Appendix E of "Chesapeake Bay: A framework for action" </w:t>
      </w:r>
      <w:r w:rsidRPr="00B3275C">
        <w:rPr>
          <w:rFonts w:cstheme="minorHAnsi"/>
          <w:color w:val="000000"/>
          <w:szCs w:val="24"/>
        </w:rPr>
        <w:t>(Chesapeake Bay Program (CBP). 1983b. Chesapeake Bay: A framework for action. Main document and Appendices. US Environmental Protection Agency (EPA), Philadelphia, PA).</w:t>
      </w:r>
      <w:r w:rsidRPr="003002DC">
        <w:rPr>
          <w:rFonts w:cstheme="minorHAnsi"/>
          <w:color w:val="000000"/>
          <w:szCs w:val="24"/>
        </w:rPr>
        <w:t xml:space="preserve"> The Virginia Mainstem Monitoring Program is currently conducted by ODU and consists of 27 sites located from the mouth of the Chesapeake Bay to the Eastern Shore’s Pocomoke Sound. Sampling occurs monthly throughout the year except in June </w:t>
      </w:r>
      <w:r>
        <w:rPr>
          <w:rFonts w:cstheme="minorHAnsi"/>
          <w:color w:val="000000"/>
          <w:szCs w:val="24"/>
        </w:rPr>
        <w:t>through</w:t>
      </w:r>
      <w:r w:rsidRPr="003002DC">
        <w:rPr>
          <w:rFonts w:cstheme="minorHAnsi"/>
          <w:color w:val="000000"/>
          <w:szCs w:val="24"/>
        </w:rPr>
        <w:t xml:space="preserve"> August when sampling occurs twice monthly. Whenever possible, sampling is coordinated with the Maryland mainstem monitoring schedule to provide a synoptic picture of the Bay.</w:t>
      </w:r>
      <w:r w:rsidR="00E84FF6">
        <w:rPr>
          <w:rFonts w:cstheme="minorHAnsi"/>
          <w:color w:val="000000"/>
          <w:szCs w:val="24"/>
        </w:rPr>
        <w:br/>
      </w:r>
    </w:p>
    <w:p w14:paraId="26301CDE" w14:textId="39726F47" w:rsidR="006B5646" w:rsidRPr="0011205E" w:rsidRDefault="006B5646" w:rsidP="006B5646">
      <w:pPr>
        <w:pStyle w:val="Heading3"/>
      </w:pPr>
      <w:r w:rsidRPr="0011205E">
        <w:t>Chesapeake Bay Living Resources Monitoring Program</w:t>
      </w:r>
    </w:p>
    <w:p w14:paraId="1ED03549" w14:textId="2E746A6B" w:rsidR="006B5646" w:rsidRPr="00F7419C" w:rsidRDefault="006B5646" w:rsidP="006B5646">
      <w:pPr>
        <w:widowControl/>
        <w:rPr>
          <w:rFonts w:cstheme="minorBidi"/>
          <w:snapToGrid/>
          <w:color w:val="000000"/>
        </w:rPr>
      </w:pPr>
      <w:proofErr w:type="gramStart"/>
      <w:r w:rsidRPr="6A083CAC">
        <w:rPr>
          <w:rFonts w:cstheme="minorBidi"/>
          <w:snapToGrid/>
          <w:color w:val="000000"/>
        </w:rPr>
        <w:t>The Mainstem</w:t>
      </w:r>
      <w:proofErr w:type="gramEnd"/>
      <w:r w:rsidRPr="6A083CAC">
        <w:rPr>
          <w:rFonts w:cstheme="minorBidi"/>
          <w:snapToGrid/>
          <w:color w:val="000000"/>
        </w:rPr>
        <w:t xml:space="preserve"> Monitoring also contains a living resource component that monitors phytoplankton and benthic organisms. Currently, Virginia only assesses the benthic component of the living resource program. Benthic organisms are important secondary producers, providing key linkages between primary producers (phytoplankton) and higher trophic levels (crabs, bottom feeding fish and water birds). Benthic invertebrates are among the most important components of estuarine ecosystems and may represent the largest standing stock of organic carbon in the Chesapeake Bay. Some benthic organisms, such as hard clams and soft-shell clams, are economically important. Others, such as </w:t>
      </w:r>
      <w:proofErr w:type="spellStart"/>
      <w:r w:rsidRPr="6A083CAC">
        <w:rPr>
          <w:rFonts w:cstheme="minorBidi"/>
          <w:snapToGrid/>
          <w:color w:val="000000"/>
        </w:rPr>
        <w:t>polychaete</w:t>
      </w:r>
      <w:proofErr w:type="spellEnd"/>
      <w:r w:rsidRPr="6A083CAC">
        <w:rPr>
          <w:rFonts w:cstheme="minorBidi"/>
          <w:snapToGrid/>
          <w:color w:val="000000"/>
        </w:rPr>
        <w:t xml:space="preserve"> worms and shrimp-like </w:t>
      </w:r>
      <w:r w:rsidRPr="6A083CAC">
        <w:rPr>
          <w:rFonts w:cstheme="minorBidi"/>
          <w:snapToGrid/>
          <w:color w:val="000000"/>
        </w:rPr>
        <w:lastRenderedPageBreak/>
        <w:t>crustaceans, contribute significantly to the diets of economically important blue crabs and bottom-feeding juvenile and adult fish such as spot, croaker, striped bass, and white perch. In Virginia, 21 fixed</w:t>
      </w:r>
      <w:r w:rsidR="15FDB93A" w:rsidRPr="6A083CAC">
        <w:rPr>
          <w:rFonts w:cstheme="minorBidi"/>
          <w:snapToGrid/>
          <w:color w:val="000000"/>
        </w:rPr>
        <w:t>-</w:t>
      </w:r>
      <w:r w:rsidRPr="6A083CAC">
        <w:rPr>
          <w:rFonts w:cstheme="minorBidi"/>
          <w:snapToGrid/>
          <w:color w:val="000000"/>
        </w:rPr>
        <w:t>point</w:t>
      </w:r>
      <w:r w:rsidRPr="6A083CAC">
        <w:rPr>
          <w:rFonts w:cstheme="minorBidi"/>
          <w:snapToGrid/>
          <w:color w:val="000000"/>
        </w:rPr>
        <w:noBreakHyphen/>
        <w:t xml:space="preserve"> stations are sampled for benthos one time per year (September) and 100 probabilistic sites are sampled once per year over the course of the summer.</w:t>
      </w:r>
      <w:r w:rsidRPr="00F7419C">
        <w:t xml:space="preserve"> </w:t>
      </w:r>
      <w:r w:rsidRPr="6A083CAC">
        <w:rPr>
          <w:rFonts w:cstheme="minorBidi"/>
          <w:snapToGrid/>
          <w:color w:val="000000"/>
        </w:rPr>
        <w:t xml:space="preserve">All data collected by ODU for DEQ’s Chesapeake Bay Program are available through the </w:t>
      </w:r>
      <w:r w:rsidR="00BD64CE" w:rsidRPr="6A083CAC">
        <w:rPr>
          <w:rFonts w:cstheme="minorBidi"/>
          <w:snapToGrid/>
          <w:color w:val="000000"/>
        </w:rPr>
        <w:t>CBP</w:t>
      </w:r>
      <w:r w:rsidRPr="6A083CAC">
        <w:rPr>
          <w:rFonts w:cstheme="minorBidi"/>
          <w:snapToGrid/>
          <w:color w:val="000000"/>
        </w:rPr>
        <w:t xml:space="preserve"> Database: https://www.chesapeakebay.net/what/data.</w:t>
      </w:r>
    </w:p>
    <w:p w14:paraId="3498F3AF" w14:textId="77777777" w:rsidR="006B5646" w:rsidRPr="00F7419C" w:rsidRDefault="006B5646" w:rsidP="006B5646">
      <w:pPr>
        <w:widowControl/>
        <w:rPr>
          <w:rFonts w:cstheme="minorHAnsi"/>
          <w:snapToGrid/>
          <w:color w:val="000000"/>
          <w:szCs w:val="24"/>
        </w:rPr>
      </w:pPr>
    </w:p>
    <w:p w14:paraId="461AAEA9" w14:textId="2C9F9423" w:rsidR="006B5646" w:rsidRPr="003002DC" w:rsidRDefault="006B5646" w:rsidP="006B5646">
      <w:pPr>
        <w:widowControl/>
        <w:rPr>
          <w:rFonts w:cstheme="minorHAnsi"/>
          <w:snapToGrid/>
          <w:color w:val="000000"/>
          <w:szCs w:val="24"/>
        </w:rPr>
      </w:pPr>
      <w:r w:rsidRPr="00F7419C">
        <w:rPr>
          <w:rFonts w:cstheme="minorHAnsi"/>
          <w:snapToGrid/>
          <w:color w:val="000000"/>
          <w:szCs w:val="24"/>
        </w:rPr>
        <w:t>The objectives of the Chesapeake Bay Estuarine Benthic Macroinvertebrate</w:t>
      </w:r>
      <w:r w:rsidRPr="003002DC">
        <w:rPr>
          <w:rFonts w:cstheme="minorHAnsi"/>
          <w:snapToGrid/>
          <w:color w:val="000000"/>
          <w:szCs w:val="24"/>
        </w:rPr>
        <w:t xml:space="preserve"> Monitoring Program are:</w:t>
      </w:r>
    </w:p>
    <w:p w14:paraId="08AB5467" w14:textId="77777777" w:rsidR="006B5646" w:rsidRPr="003002DC" w:rsidRDefault="006B5646" w:rsidP="00EF389D">
      <w:pPr>
        <w:pStyle w:val="ListParagraph"/>
        <w:rPr>
          <w:snapToGrid/>
        </w:rPr>
      </w:pPr>
      <w:r w:rsidRPr="003002DC">
        <w:rPr>
          <w:snapToGrid/>
        </w:rPr>
        <w:t>1) To characterize the health of regional areas of the lower Chesapeake Bay as indicated by the structure of the benthic community.</w:t>
      </w:r>
    </w:p>
    <w:p w14:paraId="2FD1A014" w14:textId="77777777" w:rsidR="006B5646" w:rsidRPr="003002DC" w:rsidRDefault="006B5646" w:rsidP="00EF389D">
      <w:pPr>
        <w:pStyle w:val="ListParagraph"/>
        <w:rPr>
          <w:snapToGrid/>
        </w:rPr>
      </w:pPr>
    </w:p>
    <w:p w14:paraId="17F6DCA2" w14:textId="0EFDE3BD" w:rsidR="006B5646" w:rsidRPr="003002DC" w:rsidRDefault="006B5646" w:rsidP="00EF389D">
      <w:pPr>
        <w:pStyle w:val="ListParagraph"/>
      </w:pPr>
      <w:r w:rsidRPr="003002DC">
        <w:rPr>
          <w:snapToGrid/>
        </w:rPr>
        <w:t>2) To conduct trend analyses on long</w:t>
      </w:r>
      <w:r w:rsidR="7B98C2DC" w:rsidRPr="003002DC">
        <w:rPr>
          <w:snapToGrid/>
        </w:rPr>
        <w:t>-</w:t>
      </w:r>
      <w:r w:rsidRPr="003002DC">
        <w:rPr>
          <w:snapToGrid/>
        </w:rPr>
        <w:t xml:space="preserve">term data, at </w:t>
      </w:r>
      <w:r w:rsidR="48D2A467" w:rsidRPr="003002DC">
        <w:rPr>
          <w:snapToGrid/>
        </w:rPr>
        <w:noBreakHyphen/>
      </w:r>
      <w:r w:rsidRPr="003002DC">
        <w:rPr>
          <w:snapToGrid/>
        </w:rPr>
        <w:t>fixed</w:t>
      </w:r>
      <w:r w:rsidR="48D2A467" w:rsidRPr="003002DC">
        <w:rPr>
          <w:snapToGrid/>
        </w:rPr>
        <w:t>-</w:t>
      </w:r>
      <w:r w:rsidRPr="003002DC">
        <w:rPr>
          <w:snapToGrid/>
        </w:rPr>
        <w:t>point</w:t>
      </w:r>
      <w:r w:rsidRPr="003002DC">
        <w:rPr>
          <w:snapToGrid/>
        </w:rPr>
        <w:noBreakHyphen/>
        <w:t xml:space="preserve"> stations, to relate temporal trends in the benthic communities to changes in water and/or sediment quality. The trend analyses will be updated annually as new data </w:t>
      </w:r>
      <w:proofErr w:type="gramStart"/>
      <w:r w:rsidRPr="003002DC">
        <w:rPr>
          <w:snapToGrid/>
        </w:rPr>
        <w:t>are</w:t>
      </w:r>
      <w:proofErr w:type="gramEnd"/>
      <w:r w:rsidRPr="003002DC">
        <w:rPr>
          <w:snapToGrid/>
        </w:rPr>
        <w:t xml:space="preserve"> available.</w:t>
      </w:r>
    </w:p>
    <w:p w14:paraId="747B039F" w14:textId="77777777" w:rsidR="006B5646" w:rsidRPr="003002DC" w:rsidRDefault="006B5646" w:rsidP="00EF389D">
      <w:pPr>
        <w:pStyle w:val="ListParagraph"/>
        <w:rPr>
          <w:snapToGrid/>
        </w:rPr>
      </w:pPr>
    </w:p>
    <w:p w14:paraId="2E46E39F" w14:textId="05491B03" w:rsidR="006B5646" w:rsidRPr="003002DC" w:rsidRDefault="006B5646" w:rsidP="00EF389D">
      <w:pPr>
        <w:pStyle w:val="ListParagraph"/>
      </w:pPr>
      <w:r w:rsidRPr="003002DC">
        <w:rPr>
          <w:snapToGrid/>
        </w:rPr>
        <w:t xml:space="preserve">3) To warn of environmental degradation by producing </w:t>
      </w:r>
      <w:proofErr w:type="gramStart"/>
      <w:r w:rsidRPr="003002DC">
        <w:rPr>
          <w:snapToGrid/>
        </w:rPr>
        <w:t>an</w:t>
      </w:r>
      <w:proofErr w:type="gramEnd"/>
      <w:r w:rsidRPr="003002DC">
        <w:rPr>
          <w:snapToGrid/>
        </w:rPr>
        <w:t xml:space="preserve"> historical </w:t>
      </w:r>
      <w:r w:rsidR="00791DF1" w:rsidRPr="003002DC">
        <w:rPr>
          <w:snapToGrid/>
        </w:rPr>
        <w:t>database</w:t>
      </w:r>
      <w:r w:rsidRPr="003002DC">
        <w:rPr>
          <w:snapToGrid/>
        </w:rPr>
        <w:t xml:space="preserve"> that will allow annual evaluations of biotic impacts by comparing trends in status within probability-based strata and trends at fixed</w:t>
      </w:r>
      <w:r w:rsidR="57DBFF2D" w:rsidRPr="003002DC">
        <w:rPr>
          <w:snapToGrid/>
        </w:rPr>
        <w:t>-</w:t>
      </w:r>
      <w:r w:rsidRPr="003002DC">
        <w:rPr>
          <w:snapToGrid/>
        </w:rPr>
        <w:t>point</w:t>
      </w:r>
      <w:r w:rsidRPr="003002DC">
        <w:rPr>
          <w:snapToGrid/>
        </w:rPr>
        <w:noBreakHyphen/>
        <w:t xml:space="preserve"> stations to changes in water and/or sediment quality.</w:t>
      </w:r>
    </w:p>
    <w:p w14:paraId="70972426" w14:textId="77777777" w:rsidR="006B5646" w:rsidRPr="003002DC" w:rsidRDefault="006B5646" w:rsidP="006B5646">
      <w:pPr>
        <w:widowControl/>
        <w:rPr>
          <w:rFonts w:cstheme="minorHAnsi"/>
          <w:snapToGrid/>
          <w:color w:val="000000"/>
          <w:szCs w:val="24"/>
        </w:rPr>
      </w:pPr>
    </w:p>
    <w:p w14:paraId="7152BA64" w14:textId="4A05F937" w:rsidR="006B5646" w:rsidRPr="00915E07" w:rsidRDefault="006B5646" w:rsidP="00915E07">
      <w:pPr>
        <w:pStyle w:val="Heading3"/>
      </w:pPr>
      <w:r w:rsidRPr="00915E07">
        <w:t>Shallow Water Monitoring Program</w:t>
      </w:r>
    </w:p>
    <w:p w14:paraId="0DC58073" w14:textId="5BBEDC16" w:rsidR="006B5646" w:rsidRDefault="006B5646" w:rsidP="006B5646">
      <w:pPr>
        <w:widowControl/>
        <w:rPr>
          <w:rFonts w:cstheme="minorHAnsi"/>
          <w:snapToGrid/>
          <w:color w:val="000000"/>
          <w:szCs w:val="24"/>
        </w:rPr>
      </w:pPr>
      <w:r w:rsidRPr="003002DC">
        <w:rPr>
          <w:rFonts w:cstheme="minorHAnsi"/>
          <w:snapToGrid/>
          <w:color w:val="000000"/>
          <w:szCs w:val="24"/>
        </w:rPr>
        <w:t>The near shore monitoring component was initiated as a cooperative agreement with the VIMS</w:t>
      </w:r>
      <w:r w:rsidR="00964FAD">
        <w:rPr>
          <w:rFonts w:cstheme="minorHAnsi"/>
          <w:snapToGrid/>
          <w:color w:val="000000"/>
          <w:szCs w:val="24"/>
        </w:rPr>
        <w:t>.</w:t>
      </w:r>
      <w:r w:rsidRPr="003002DC">
        <w:rPr>
          <w:rFonts w:cstheme="minorHAnsi"/>
          <w:snapToGrid/>
          <w:color w:val="000000"/>
          <w:szCs w:val="24"/>
        </w:rPr>
        <w:t xml:space="preserve"> </w:t>
      </w:r>
      <w:r w:rsidR="007241F4">
        <w:rPr>
          <w:rFonts w:cstheme="minorHAnsi"/>
          <w:snapToGrid/>
          <w:color w:val="000000"/>
          <w:szCs w:val="24"/>
        </w:rPr>
        <w:t>It currently</w:t>
      </w:r>
      <w:r w:rsidR="007241F4" w:rsidRPr="003002DC">
        <w:rPr>
          <w:rFonts w:cstheme="minorHAnsi"/>
          <w:snapToGrid/>
          <w:color w:val="000000"/>
          <w:szCs w:val="24"/>
        </w:rPr>
        <w:t xml:space="preserve"> </w:t>
      </w:r>
      <w:r w:rsidRPr="003002DC">
        <w:rPr>
          <w:rFonts w:cstheme="minorHAnsi"/>
          <w:snapToGrid/>
          <w:color w:val="000000"/>
          <w:szCs w:val="24"/>
        </w:rPr>
        <w:t xml:space="preserve">consists of </w:t>
      </w:r>
      <w:r w:rsidR="008251EA">
        <w:rPr>
          <w:rFonts w:cstheme="minorHAnsi"/>
          <w:snapToGrid/>
          <w:color w:val="000000"/>
          <w:szCs w:val="24"/>
        </w:rPr>
        <w:t xml:space="preserve">1) </w:t>
      </w:r>
      <w:r w:rsidRPr="003002DC">
        <w:rPr>
          <w:rFonts w:cstheme="minorHAnsi"/>
          <w:snapToGrid/>
          <w:color w:val="000000"/>
          <w:szCs w:val="24"/>
        </w:rPr>
        <w:t>the deployment of continuous monitoring devices</w:t>
      </w:r>
      <w:r w:rsidR="008251EA">
        <w:rPr>
          <w:rFonts w:cstheme="minorHAnsi"/>
          <w:snapToGrid/>
          <w:color w:val="000000"/>
          <w:szCs w:val="24"/>
        </w:rPr>
        <w:t>,</w:t>
      </w:r>
      <w:r w:rsidRPr="003002DC">
        <w:rPr>
          <w:rFonts w:cstheme="minorHAnsi"/>
          <w:snapToGrid/>
          <w:color w:val="000000"/>
          <w:szCs w:val="24"/>
        </w:rPr>
        <w:t xml:space="preserve"> and </w:t>
      </w:r>
      <w:r w:rsidR="008251EA">
        <w:rPr>
          <w:rFonts w:cstheme="minorHAnsi"/>
          <w:snapToGrid/>
          <w:color w:val="000000"/>
          <w:szCs w:val="24"/>
        </w:rPr>
        <w:t xml:space="preserve">2) </w:t>
      </w:r>
      <w:proofErr w:type="spellStart"/>
      <w:r w:rsidR="00A14820">
        <w:rPr>
          <w:rFonts w:cstheme="minorHAnsi"/>
          <w:snapToGrid/>
          <w:color w:val="000000"/>
          <w:szCs w:val="24"/>
        </w:rPr>
        <w:t>DataFlow</w:t>
      </w:r>
      <w:proofErr w:type="spellEnd"/>
      <w:r w:rsidR="00A14820">
        <w:rPr>
          <w:rFonts w:cstheme="minorHAnsi"/>
          <w:snapToGrid/>
          <w:color w:val="000000"/>
          <w:szCs w:val="24"/>
        </w:rPr>
        <w:t xml:space="preserve"> cruises </w:t>
      </w:r>
      <w:r w:rsidR="00E55149">
        <w:rPr>
          <w:rFonts w:cstheme="minorHAnsi"/>
          <w:snapToGrid/>
          <w:color w:val="000000"/>
          <w:szCs w:val="24"/>
        </w:rPr>
        <w:t xml:space="preserve">that </w:t>
      </w:r>
      <w:r w:rsidRPr="003002DC">
        <w:rPr>
          <w:rFonts w:cstheme="minorHAnsi"/>
          <w:snapToGrid/>
          <w:color w:val="000000"/>
          <w:szCs w:val="24"/>
        </w:rPr>
        <w:t xml:space="preserve">track throughout the </w:t>
      </w:r>
      <w:proofErr w:type="spellStart"/>
      <w:r w:rsidRPr="003002DC">
        <w:rPr>
          <w:rFonts w:cstheme="minorHAnsi"/>
          <w:snapToGrid/>
          <w:color w:val="000000"/>
          <w:szCs w:val="24"/>
        </w:rPr>
        <w:t>polyhaline</w:t>
      </w:r>
      <w:proofErr w:type="spellEnd"/>
      <w:r w:rsidRPr="003002DC">
        <w:rPr>
          <w:rFonts w:cstheme="minorHAnsi"/>
          <w:snapToGrid/>
          <w:color w:val="000000"/>
          <w:szCs w:val="24"/>
        </w:rPr>
        <w:t>, oligohaline</w:t>
      </w:r>
      <w:r w:rsidR="00E55149">
        <w:rPr>
          <w:rFonts w:cstheme="minorHAnsi"/>
          <w:snapToGrid/>
          <w:color w:val="000000"/>
          <w:szCs w:val="24"/>
        </w:rPr>
        <w:t>,</w:t>
      </w:r>
      <w:r w:rsidRPr="003002DC">
        <w:rPr>
          <w:rFonts w:cstheme="minorHAnsi"/>
          <w:snapToGrid/>
          <w:color w:val="000000"/>
          <w:szCs w:val="24"/>
        </w:rPr>
        <w:t xml:space="preserve"> and mesohaline portions of Virginia’s Chesapeake Bay tributaries or segments of the mainstem from April through September of each year. </w:t>
      </w:r>
      <w:r w:rsidR="00E55149">
        <w:rPr>
          <w:rFonts w:cstheme="minorHAnsi"/>
          <w:snapToGrid/>
          <w:color w:val="000000"/>
          <w:szCs w:val="24"/>
        </w:rPr>
        <w:t xml:space="preserve">See the </w:t>
      </w:r>
      <w:r w:rsidR="006A2BA0" w:rsidRPr="00EC17D4">
        <w:rPr>
          <w:rFonts w:cstheme="minorHAnsi"/>
          <w:snapToGrid/>
          <w:color w:val="000000"/>
          <w:szCs w:val="24"/>
        </w:rPr>
        <w:t>Virginia Estuarine and Coastal Observing</w:t>
      </w:r>
      <w:r w:rsidR="006A2BA0">
        <w:rPr>
          <w:rFonts w:cstheme="minorHAnsi"/>
          <w:snapToGrid/>
          <w:color w:val="000000"/>
          <w:szCs w:val="24"/>
        </w:rPr>
        <w:t xml:space="preserve"> System</w:t>
      </w:r>
      <w:r w:rsidR="006A2BA0" w:rsidRPr="00F7419C">
        <w:rPr>
          <w:rFonts w:cstheme="minorHAnsi"/>
          <w:snapToGrid/>
          <w:color w:val="000000"/>
          <w:szCs w:val="24"/>
        </w:rPr>
        <w:t xml:space="preserve"> </w:t>
      </w:r>
      <w:r w:rsidR="006A2BA0">
        <w:rPr>
          <w:rFonts w:cstheme="minorHAnsi"/>
          <w:snapToGrid/>
          <w:color w:val="000000"/>
          <w:szCs w:val="24"/>
        </w:rPr>
        <w:t>(</w:t>
      </w:r>
      <w:r w:rsidR="00E55149">
        <w:rPr>
          <w:rFonts w:cstheme="minorHAnsi"/>
          <w:snapToGrid/>
          <w:color w:val="000000"/>
          <w:szCs w:val="24"/>
        </w:rPr>
        <w:t>V</w:t>
      </w:r>
      <w:r w:rsidR="00823ED7">
        <w:rPr>
          <w:rFonts w:cstheme="minorHAnsi"/>
          <w:snapToGrid/>
          <w:color w:val="000000"/>
          <w:szCs w:val="24"/>
        </w:rPr>
        <w:t>ECOS</w:t>
      </w:r>
      <w:r w:rsidR="006A2BA0">
        <w:rPr>
          <w:rFonts w:cstheme="minorHAnsi"/>
          <w:snapToGrid/>
          <w:color w:val="000000"/>
          <w:szCs w:val="24"/>
        </w:rPr>
        <w:t>)</w:t>
      </w:r>
      <w:r w:rsidR="00823ED7">
        <w:rPr>
          <w:rFonts w:cstheme="minorHAnsi"/>
          <w:snapToGrid/>
          <w:color w:val="000000"/>
          <w:szCs w:val="24"/>
        </w:rPr>
        <w:t xml:space="preserve"> webpage to learn more about </w:t>
      </w:r>
      <w:proofErr w:type="spellStart"/>
      <w:r w:rsidR="00823ED7">
        <w:rPr>
          <w:rFonts w:cstheme="minorHAnsi"/>
          <w:snapToGrid/>
          <w:color w:val="000000"/>
          <w:szCs w:val="24"/>
        </w:rPr>
        <w:t>DataFlow</w:t>
      </w:r>
      <w:proofErr w:type="spellEnd"/>
      <w:r w:rsidR="00823ED7">
        <w:rPr>
          <w:rFonts w:cstheme="minorHAnsi"/>
          <w:snapToGrid/>
          <w:color w:val="000000"/>
          <w:szCs w:val="24"/>
        </w:rPr>
        <w:t xml:space="preserve"> system</w:t>
      </w:r>
      <w:r w:rsidR="008251EA">
        <w:rPr>
          <w:rFonts w:cstheme="minorHAnsi"/>
          <w:snapToGrid/>
          <w:color w:val="000000"/>
          <w:szCs w:val="24"/>
        </w:rPr>
        <w:t xml:space="preserve"> and continuous </w:t>
      </w:r>
      <w:r w:rsidR="00C02C7D">
        <w:rPr>
          <w:rFonts w:cstheme="minorHAnsi"/>
          <w:snapToGrid/>
          <w:color w:val="000000"/>
          <w:szCs w:val="24"/>
        </w:rPr>
        <w:t>monitoring.</w:t>
      </w:r>
      <w:r w:rsidR="00823ED7">
        <w:rPr>
          <w:rFonts w:cstheme="minorHAnsi"/>
          <w:snapToGrid/>
          <w:color w:val="000000"/>
          <w:szCs w:val="24"/>
        </w:rPr>
        <w:t xml:space="preserve"> </w:t>
      </w:r>
      <w:r w:rsidRPr="003002DC">
        <w:rPr>
          <w:rFonts w:cstheme="minorHAnsi"/>
          <w:snapToGrid/>
          <w:color w:val="000000"/>
          <w:szCs w:val="24"/>
        </w:rPr>
        <w:t xml:space="preserve">The program was designed to rotate through Virginia’s major tributaries and Bay mainstem segments on a three-year basis. </w:t>
      </w:r>
      <w:r>
        <w:rPr>
          <w:rFonts w:cstheme="minorHAnsi"/>
          <w:snapToGrid/>
          <w:color w:val="000000"/>
          <w:szCs w:val="24"/>
        </w:rPr>
        <w:t xml:space="preserve">The program initiated in the York and James systems in 2006 and </w:t>
      </w:r>
      <w:r w:rsidR="003518F4">
        <w:rPr>
          <w:rFonts w:cstheme="minorHAnsi"/>
          <w:snapToGrid/>
          <w:color w:val="000000"/>
          <w:szCs w:val="24"/>
        </w:rPr>
        <w:t xml:space="preserve">by 2021 the rotation had completed </w:t>
      </w:r>
      <w:r>
        <w:rPr>
          <w:rFonts w:cstheme="minorHAnsi"/>
          <w:snapToGrid/>
          <w:color w:val="000000"/>
          <w:szCs w:val="24"/>
        </w:rPr>
        <w:t>all the Virginia Bay segments.</w:t>
      </w:r>
    </w:p>
    <w:p w14:paraId="6CDD6177" w14:textId="77777777" w:rsidR="006B5646" w:rsidRDefault="006B5646" w:rsidP="006B5646">
      <w:pPr>
        <w:widowControl/>
        <w:rPr>
          <w:rFonts w:cstheme="minorHAnsi"/>
          <w:snapToGrid/>
          <w:color w:val="000000"/>
          <w:szCs w:val="24"/>
        </w:rPr>
      </w:pPr>
    </w:p>
    <w:p w14:paraId="03F0FA16" w14:textId="3356D83E" w:rsidR="006B5646" w:rsidRPr="00F7419C" w:rsidRDefault="006B5646" w:rsidP="006B5646">
      <w:pPr>
        <w:widowControl/>
        <w:rPr>
          <w:rFonts w:cstheme="minorHAnsi"/>
          <w:snapToGrid/>
          <w:color w:val="000000"/>
          <w:szCs w:val="24"/>
        </w:rPr>
      </w:pPr>
      <w:r>
        <w:rPr>
          <w:rFonts w:cstheme="minorHAnsi"/>
          <w:snapToGrid/>
          <w:color w:val="000000"/>
          <w:szCs w:val="24"/>
        </w:rPr>
        <w:t xml:space="preserve">Upon completion of </w:t>
      </w:r>
      <w:r w:rsidR="003518F4">
        <w:rPr>
          <w:rFonts w:cstheme="minorHAnsi"/>
          <w:snapToGrid/>
          <w:color w:val="000000"/>
          <w:szCs w:val="24"/>
        </w:rPr>
        <w:t xml:space="preserve">a </w:t>
      </w:r>
      <w:r>
        <w:rPr>
          <w:rFonts w:cstheme="minorHAnsi"/>
          <w:snapToGrid/>
          <w:color w:val="000000"/>
          <w:szCs w:val="24"/>
        </w:rPr>
        <w:t xml:space="preserve">three-year rotation in the Rappahannock River in 2023, the Shallow Water monitoring program </w:t>
      </w:r>
      <w:r w:rsidR="003518F4">
        <w:rPr>
          <w:rFonts w:cstheme="minorHAnsi"/>
          <w:snapToGrid/>
          <w:color w:val="000000"/>
          <w:szCs w:val="24"/>
        </w:rPr>
        <w:t>is being</w:t>
      </w:r>
      <w:r>
        <w:rPr>
          <w:rFonts w:cstheme="minorHAnsi"/>
          <w:snapToGrid/>
          <w:color w:val="000000"/>
          <w:szCs w:val="24"/>
        </w:rPr>
        <w:t xml:space="preserve"> combined with additional projects managed by VIMS to complete an integrated network of long-term </w:t>
      </w:r>
      <w:r w:rsidR="006B345A">
        <w:rPr>
          <w:rFonts w:cstheme="minorHAnsi"/>
          <w:snapToGrid/>
          <w:color w:val="000000"/>
          <w:szCs w:val="24"/>
        </w:rPr>
        <w:t xml:space="preserve">continuous monitoring </w:t>
      </w:r>
      <w:r>
        <w:rPr>
          <w:rFonts w:cstheme="minorHAnsi"/>
          <w:snapToGrid/>
          <w:color w:val="000000"/>
          <w:szCs w:val="24"/>
        </w:rPr>
        <w:t xml:space="preserve">stations maintained year-round along all the main tidal tributaries of Virginia’s Chesapeake Bay. </w:t>
      </w:r>
      <w:r w:rsidR="00DD2297">
        <w:rPr>
          <w:rStyle w:val="ui-provider"/>
        </w:rPr>
        <w:t xml:space="preserve">VIMS will implement a program of opportunistic sampling that collects real-time </w:t>
      </w:r>
      <w:r w:rsidR="00C02C7D">
        <w:rPr>
          <w:rStyle w:val="ui-provider"/>
        </w:rPr>
        <w:t>data and</w:t>
      </w:r>
      <w:r w:rsidR="00DD2297">
        <w:rPr>
          <w:rStyle w:val="ui-provider"/>
        </w:rPr>
        <w:t xml:space="preserve"> will be informed by preplanned satellite imagery and drone flights</w:t>
      </w:r>
      <w:r>
        <w:rPr>
          <w:rFonts w:cstheme="minorHAnsi"/>
          <w:snapToGrid/>
          <w:color w:val="000000"/>
          <w:szCs w:val="24"/>
        </w:rPr>
        <w:t xml:space="preserve">. By incorporating satellite and drone imagery, field samples can be collected over a broader range </w:t>
      </w:r>
      <w:r w:rsidR="003518F4">
        <w:rPr>
          <w:rFonts w:cstheme="minorHAnsi"/>
          <w:snapToGrid/>
          <w:color w:val="000000"/>
          <w:szCs w:val="24"/>
        </w:rPr>
        <w:t>of parameter concentrations</w:t>
      </w:r>
      <w:r w:rsidR="007241F4">
        <w:rPr>
          <w:rFonts w:cstheme="minorHAnsi"/>
          <w:snapToGrid/>
          <w:color w:val="000000"/>
          <w:szCs w:val="24"/>
        </w:rPr>
        <w:t xml:space="preserve">, which can improve </w:t>
      </w:r>
      <w:r>
        <w:rPr>
          <w:rFonts w:cstheme="minorHAnsi"/>
          <w:snapToGrid/>
          <w:color w:val="000000"/>
          <w:szCs w:val="24"/>
        </w:rPr>
        <w:t>sensor and lab determined parameter relationships.</w:t>
      </w:r>
    </w:p>
    <w:p w14:paraId="4EB6C82D" w14:textId="77777777" w:rsidR="006B5646" w:rsidRPr="00F7419C" w:rsidRDefault="006B5646" w:rsidP="006B5646">
      <w:pPr>
        <w:widowControl/>
        <w:rPr>
          <w:rFonts w:cstheme="minorHAnsi"/>
          <w:snapToGrid/>
          <w:color w:val="000000"/>
          <w:szCs w:val="24"/>
        </w:rPr>
      </w:pPr>
    </w:p>
    <w:p w14:paraId="552A4A4D" w14:textId="6F5D1EA8" w:rsidR="006B5646" w:rsidRPr="003002DC" w:rsidRDefault="006B5646" w:rsidP="006B5646">
      <w:pPr>
        <w:widowControl/>
        <w:rPr>
          <w:rFonts w:cstheme="minorHAnsi"/>
          <w:snapToGrid/>
          <w:color w:val="000000"/>
          <w:szCs w:val="24"/>
        </w:rPr>
      </w:pPr>
      <w:r w:rsidRPr="00F7419C">
        <w:rPr>
          <w:rFonts w:cstheme="minorHAnsi"/>
          <w:snapToGrid/>
          <w:color w:val="000000"/>
          <w:szCs w:val="24"/>
        </w:rPr>
        <w:t>All data collected for the Virginia Shallow water monitoring program may be found on the VIMS VECOS website</w:t>
      </w:r>
      <w:r w:rsidR="007241F4">
        <w:rPr>
          <w:rFonts w:cstheme="minorHAnsi"/>
          <w:snapToGrid/>
          <w:color w:val="000000"/>
          <w:szCs w:val="24"/>
        </w:rPr>
        <w:t>.</w:t>
      </w:r>
      <w:r w:rsidR="007B114E">
        <w:rPr>
          <w:rFonts w:cstheme="minorHAnsi"/>
          <w:snapToGrid/>
          <w:color w:val="000000"/>
          <w:szCs w:val="24"/>
        </w:rPr>
        <w:t xml:space="preserve"> </w:t>
      </w:r>
      <w:r w:rsidRPr="00F7419C">
        <w:rPr>
          <w:rFonts w:cstheme="minorHAnsi"/>
          <w:snapToGrid/>
          <w:color w:val="000000"/>
          <w:szCs w:val="24"/>
        </w:rPr>
        <w:t xml:space="preserve">Some aspects of continuous monitoring and dataflow are conducted through </w:t>
      </w:r>
      <w:r w:rsidRPr="00F7419C">
        <w:rPr>
          <w:rFonts w:cstheme="minorHAnsi"/>
          <w:snapToGrid/>
          <w:color w:val="000000"/>
          <w:szCs w:val="24"/>
        </w:rPr>
        <w:lastRenderedPageBreak/>
        <w:t>other non-CBP efforts (</w:t>
      </w:r>
      <w:r w:rsidR="00572201" w:rsidRPr="00F7419C">
        <w:rPr>
          <w:rFonts w:cstheme="minorHAnsi"/>
          <w:snapToGrid/>
          <w:color w:val="000000"/>
          <w:szCs w:val="24"/>
        </w:rPr>
        <w:t>e.g.,</w:t>
      </w:r>
      <w:r w:rsidRPr="00F7419C">
        <w:rPr>
          <w:rFonts w:cstheme="minorHAnsi"/>
          <w:snapToGrid/>
          <w:color w:val="000000"/>
          <w:szCs w:val="24"/>
        </w:rPr>
        <w:t xml:space="preserve"> by Hampton Roads Sanitation District, and National Estuarine Research Reserve) not described here. The data generated by these efforts is also available on the VECOS website and used by DEQ for assessment when available</w:t>
      </w:r>
      <w:r w:rsidRPr="003002DC">
        <w:rPr>
          <w:rFonts w:cstheme="minorHAnsi"/>
          <w:snapToGrid/>
          <w:color w:val="000000"/>
          <w:szCs w:val="24"/>
        </w:rPr>
        <w:t>.</w:t>
      </w:r>
    </w:p>
    <w:p w14:paraId="527151A6" w14:textId="77777777" w:rsidR="006B5646" w:rsidRPr="003002DC" w:rsidRDefault="006B5646" w:rsidP="006B5646">
      <w:pPr>
        <w:widowControl/>
        <w:rPr>
          <w:rFonts w:cstheme="minorHAnsi"/>
          <w:snapToGrid/>
          <w:color w:val="000000"/>
          <w:szCs w:val="24"/>
        </w:rPr>
      </w:pPr>
    </w:p>
    <w:p w14:paraId="605639CD" w14:textId="00479834" w:rsidR="006B5646" w:rsidRPr="00915E07" w:rsidRDefault="006B5646" w:rsidP="00915E07">
      <w:pPr>
        <w:pStyle w:val="Heading3"/>
      </w:pPr>
      <w:r w:rsidRPr="00915E07">
        <w:t>Non-tidal Network</w:t>
      </w:r>
    </w:p>
    <w:p w14:paraId="3B29E9D0" w14:textId="28E794D6" w:rsidR="006B5646" w:rsidRPr="00EC301D" w:rsidRDefault="006B5646" w:rsidP="006B5646">
      <w:pPr>
        <w:tabs>
          <w:tab w:val="left" w:pos="-720"/>
          <w:tab w:val="left" w:pos="720"/>
          <w:tab w:val="left" w:pos="1080"/>
        </w:tabs>
        <w:rPr>
          <w:rFonts w:cstheme="minorHAnsi"/>
          <w:color w:val="000000"/>
          <w:szCs w:val="24"/>
          <w:u w:val="single"/>
        </w:rPr>
      </w:pPr>
      <w:r w:rsidRPr="003002DC">
        <w:rPr>
          <w:rFonts w:cstheme="minorHAnsi"/>
          <w:snapToGrid/>
          <w:color w:val="000000"/>
          <w:szCs w:val="24"/>
        </w:rPr>
        <w:t xml:space="preserve">The River Input Monitoring Program (RIM) was initiated in Virginia on July 1, 1988, to characterize the status and trends of nutrients and sediment loads to the Bay from the non-tidal watersheds of the major Bay tributaries. The program initially consisted of routine, monthly </w:t>
      </w:r>
      <w:r w:rsidR="00572201" w:rsidRPr="003002DC">
        <w:rPr>
          <w:rFonts w:cstheme="minorHAnsi"/>
          <w:snapToGrid/>
          <w:color w:val="000000"/>
          <w:szCs w:val="24"/>
        </w:rPr>
        <w:t>monitoring,</w:t>
      </w:r>
      <w:r w:rsidRPr="003002DC">
        <w:rPr>
          <w:rFonts w:cstheme="minorHAnsi"/>
          <w:snapToGrid/>
          <w:color w:val="000000"/>
          <w:szCs w:val="24"/>
        </w:rPr>
        <w:t xml:space="preserve"> and storm events at one site at each of the Fall Lines of </w:t>
      </w:r>
      <w:proofErr w:type="gramStart"/>
      <w:r w:rsidRPr="003002DC">
        <w:rPr>
          <w:rFonts w:cstheme="minorHAnsi"/>
          <w:snapToGrid/>
          <w:color w:val="000000"/>
          <w:szCs w:val="24"/>
        </w:rPr>
        <w:t>the James</w:t>
      </w:r>
      <w:proofErr w:type="gramEnd"/>
      <w:r w:rsidRPr="003002DC">
        <w:rPr>
          <w:rFonts w:cstheme="minorHAnsi"/>
          <w:snapToGrid/>
          <w:color w:val="000000"/>
          <w:szCs w:val="24"/>
        </w:rPr>
        <w:t>, Rappahannock, Appomattox, Mattaponi</w:t>
      </w:r>
      <w:r w:rsidR="0025090F">
        <w:rPr>
          <w:rFonts w:cstheme="minorHAnsi"/>
          <w:snapToGrid/>
          <w:color w:val="000000"/>
          <w:szCs w:val="24"/>
        </w:rPr>
        <w:t>,</w:t>
      </w:r>
      <w:r w:rsidRPr="003002DC">
        <w:rPr>
          <w:rFonts w:cstheme="minorHAnsi"/>
          <w:snapToGrid/>
          <w:color w:val="000000"/>
          <w:szCs w:val="24"/>
        </w:rPr>
        <w:t xml:space="preserve"> and Pamunkey Rivers. Since that time the non-tidal monitoring program has been expanded to include sites beyond just the fall-line stations in the North and South Forks of the Shenandoah River, the North Anna River, the Chickahominy River, the Rapidan River, the Smith River, and Rivanna River. In 2012, USGS began </w:t>
      </w:r>
      <w:r w:rsidR="00994419" w:rsidRPr="003002DC">
        <w:rPr>
          <w:rFonts w:cstheme="minorHAnsi"/>
          <w:snapToGrid/>
          <w:color w:val="000000"/>
          <w:szCs w:val="24"/>
        </w:rPr>
        <w:t>target</w:t>
      </w:r>
      <w:r w:rsidR="00994419">
        <w:rPr>
          <w:rFonts w:cstheme="minorHAnsi"/>
          <w:snapToGrid/>
          <w:color w:val="000000"/>
          <w:szCs w:val="24"/>
        </w:rPr>
        <w:t>ing</w:t>
      </w:r>
      <w:r w:rsidR="00994419" w:rsidRPr="003002DC">
        <w:rPr>
          <w:rFonts w:cstheme="minorHAnsi"/>
          <w:snapToGrid/>
          <w:color w:val="000000"/>
          <w:szCs w:val="24"/>
        </w:rPr>
        <w:t xml:space="preserve"> </w:t>
      </w:r>
      <w:r w:rsidRPr="003002DC">
        <w:rPr>
          <w:rFonts w:cstheme="minorHAnsi"/>
          <w:snapToGrid/>
          <w:color w:val="000000"/>
          <w:szCs w:val="24"/>
        </w:rPr>
        <w:t>storm sampling at sites already monitored routinely on the Appomattox, Rappahannock</w:t>
      </w:r>
      <w:r>
        <w:rPr>
          <w:rFonts w:cstheme="minorHAnsi"/>
          <w:snapToGrid/>
          <w:color w:val="000000"/>
          <w:szCs w:val="24"/>
        </w:rPr>
        <w:t>,</w:t>
      </w:r>
      <w:r w:rsidRPr="003002DC">
        <w:rPr>
          <w:rFonts w:cstheme="minorHAnsi"/>
          <w:snapToGrid/>
          <w:color w:val="000000"/>
          <w:szCs w:val="24"/>
        </w:rPr>
        <w:t xml:space="preserve"> and </w:t>
      </w:r>
      <w:r w:rsidRPr="00F7419C">
        <w:rPr>
          <w:rFonts w:cstheme="minorHAnsi"/>
          <w:snapToGrid/>
          <w:color w:val="000000"/>
          <w:szCs w:val="24"/>
        </w:rPr>
        <w:t>Mattaponi Rivers and implemented a new site for routine and storm sampling on Polecat Creek for a total of 36 sites in Virginia.</w:t>
      </w:r>
      <w:r w:rsidRPr="00F7419C">
        <w:rPr>
          <w:rFonts w:cstheme="minorHAnsi"/>
          <w:color w:val="000000"/>
          <w:szCs w:val="24"/>
        </w:rPr>
        <w:t xml:space="preserve"> USGS </w:t>
      </w:r>
      <w:r w:rsidR="00317F4D">
        <w:rPr>
          <w:rFonts w:cstheme="minorHAnsi"/>
          <w:color w:val="000000"/>
          <w:szCs w:val="24"/>
        </w:rPr>
        <w:t>use</w:t>
      </w:r>
      <w:r w:rsidR="00317F4D" w:rsidRPr="00F7419C">
        <w:rPr>
          <w:rFonts w:cstheme="minorHAnsi"/>
          <w:color w:val="000000"/>
          <w:szCs w:val="24"/>
        </w:rPr>
        <w:t xml:space="preserve"> </w:t>
      </w:r>
      <w:r w:rsidRPr="00F7419C">
        <w:rPr>
          <w:rFonts w:cstheme="minorHAnsi"/>
          <w:color w:val="000000"/>
          <w:szCs w:val="24"/>
        </w:rPr>
        <w:t xml:space="preserve">these data to run status and trends through </w:t>
      </w:r>
      <w:r w:rsidRPr="00F7419C">
        <w:rPr>
          <w:rFonts w:cstheme="minorHAnsi"/>
          <w:color w:val="000000"/>
          <w:szCs w:val="24"/>
          <w:shd w:val="clear" w:color="auto" w:fill="FFFFFF"/>
        </w:rPr>
        <w:t>a WRTDS as developed by Hirsch et al</w:t>
      </w:r>
      <w:r w:rsidR="006E465F">
        <w:rPr>
          <w:rFonts w:cstheme="minorHAnsi"/>
          <w:color w:val="000000"/>
          <w:szCs w:val="24"/>
          <w:shd w:val="clear" w:color="auto" w:fill="FFFFFF"/>
        </w:rPr>
        <w:t>.</w:t>
      </w:r>
      <w:r w:rsidR="006E465F">
        <w:rPr>
          <w:rFonts w:cstheme="minorHAnsi"/>
          <w:color w:val="000000"/>
          <w:szCs w:val="24"/>
          <w:shd w:val="clear" w:color="auto" w:fill="FFFFFF"/>
          <w:vertAlign w:val="superscript"/>
        </w:rPr>
        <w:t xml:space="preserve"> </w:t>
      </w:r>
      <w:r w:rsidR="006E465F">
        <w:rPr>
          <w:rFonts w:cstheme="minorHAnsi"/>
          <w:color w:val="000000"/>
          <w:szCs w:val="24"/>
          <w:shd w:val="clear" w:color="auto" w:fill="FFFFFF"/>
        </w:rPr>
        <w:t>2010</w:t>
      </w:r>
      <w:r w:rsidRPr="00F7419C">
        <w:rPr>
          <w:rFonts w:cstheme="minorHAnsi"/>
          <w:color w:val="000000"/>
          <w:szCs w:val="24"/>
          <w:shd w:val="clear" w:color="auto" w:fill="FFFFFF"/>
        </w:rPr>
        <w:t xml:space="preserve"> and Moyer et al</w:t>
      </w:r>
      <w:r w:rsidR="006E465F">
        <w:rPr>
          <w:rFonts w:cstheme="minorHAnsi"/>
          <w:color w:val="000000"/>
          <w:szCs w:val="24"/>
          <w:shd w:val="clear" w:color="auto" w:fill="FFFFFF"/>
        </w:rPr>
        <w:t>.</w:t>
      </w:r>
      <w:r w:rsidR="007F21FD">
        <w:rPr>
          <w:rFonts w:cstheme="minorHAnsi"/>
          <w:color w:val="000000"/>
          <w:szCs w:val="24"/>
          <w:shd w:val="clear" w:color="auto" w:fill="FFFFFF"/>
        </w:rPr>
        <w:t xml:space="preserve"> </w:t>
      </w:r>
      <w:r w:rsidR="006E465F">
        <w:rPr>
          <w:rFonts w:cstheme="minorHAnsi"/>
          <w:color w:val="000000"/>
          <w:szCs w:val="24"/>
          <w:shd w:val="clear" w:color="auto" w:fill="FFFFFF"/>
        </w:rPr>
        <w:t>2012</w:t>
      </w:r>
      <w:r w:rsidRPr="00F7419C">
        <w:rPr>
          <w:rFonts w:cstheme="minorHAnsi"/>
          <w:color w:val="000000"/>
          <w:szCs w:val="24"/>
          <w:shd w:val="clear" w:color="auto" w:fill="FFFFFF"/>
        </w:rPr>
        <w:t xml:space="preserve">. </w:t>
      </w:r>
      <w:r w:rsidRPr="00F7419C">
        <w:rPr>
          <w:rFonts w:cstheme="minorHAnsi"/>
          <w:color w:val="000000"/>
          <w:szCs w:val="24"/>
        </w:rPr>
        <w:t>USGS results for the WRTDS modeling are available on their Chesapeake Bay Webpage</w:t>
      </w:r>
      <w:r w:rsidR="00EC301D">
        <w:t>.</w:t>
      </w:r>
      <w:r w:rsidR="00EC301D" w:rsidRPr="00537490">
        <w:rPr>
          <w:rFonts w:cstheme="minorHAnsi"/>
          <w:color w:val="000000"/>
          <w:szCs w:val="24"/>
        </w:rPr>
        <w:t xml:space="preserve"> </w:t>
      </w:r>
      <w:r>
        <w:rPr>
          <w:rFonts w:cstheme="minorHAnsi"/>
          <w:snapToGrid/>
          <w:color w:val="000000"/>
          <w:szCs w:val="24"/>
        </w:rPr>
        <w:t>USGS has also installed instrumentation that continuously monitor</w:t>
      </w:r>
      <w:r w:rsidR="00994419">
        <w:rPr>
          <w:rFonts w:cstheme="minorHAnsi"/>
          <w:snapToGrid/>
          <w:color w:val="000000"/>
          <w:szCs w:val="24"/>
        </w:rPr>
        <w:t>s</w:t>
      </w:r>
      <w:r>
        <w:rPr>
          <w:rFonts w:cstheme="minorHAnsi"/>
          <w:snapToGrid/>
          <w:color w:val="000000"/>
          <w:szCs w:val="24"/>
        </w:rPr>
        <w:t xml:space="preserve"> pH, water temperature, dissolved oxygen, specific </w:t>
      </w:r>
      <w:r w:rsidR="003D1F3E">
        <w:rPr>
          <w:rFonts w:cstheme="minorHAnsi"/>
          <w:snapToGrid/>
          <w:color w:val="000000"/>
          <w:szCs w:val="24"/>
        </w:rPr>
        <w:t>conductance,</w:t>
      </w:r>
      <w:r>
        <w:rPr>
          <w:rFonts w:cstheme="minorHAnsi"/>
          <w:snapToGrid/>
          <w:color w:val="000000"/>
          <w:szCs w:val="24"/>
        </w:rPr>
        <w:t xml:space="preserve"> and turbidity at </w:t>
      </w:r>
      <w:r w:rsidR="00500E07">
        <w:rPr>
          <w:rFonts w:cstheme="minorHAnsi"/>
          <w:snapToGrid/>
          <w:color w:val="000000"/>
          <w:szCs w:val="24"/>
        </w:rPr>
        <w:t>eight</w:t>
      </w:r>
      <w:r>
        <w:rPr>
          <w:rFonts w:cstheme="minorHAnsi"/>
          <w:snapToGrid/>
          <w:color w:val="000000"/>
          <w:szCs w:val="24"/>
        </w:rPr>
        <w:t xml:space="preserve"> nontidal network sites and continuous nitrate is measured at </w:t>
      </w:r>
      <w:r w:rsidR="00500E07">
        <w:rPr>
          <w:rFonts w:cstheme="minorHAnsi"/>
          <w:snapToGrid/>
          <w:color w:val="000000"/>
          <w:szCs w:val="24"/>
        </w:rPr>
        <w:t>seven</w:t>
      </w:r>
      <w:r>
        <w:rPr>
          <w:rFonts w:cstheme="minorHAnsi"/>
          <w:snapToGrid/>
          <w:color w:val="000000"/>
          <w:szCs w:val="24"/>
        </w:rPr>
        <w:t xml:space="preserve"> of those </w:t>
      </w:r>
      <w:r w:rsidR="00500E07">
        <w:rPr>
          <w:rFonts w:cstheme="minorHAnsi"/>
          <w:snapToGrid/>
          <w:color w:val="000000"/>
          <w:szCs w:val="24"/>
        </w:rPr>
        <w:t>eight</w:t>
      </w:r>
      <w:r>
        <w:rPr>
          <w:rFonts w:cstheme="minorHAnsi"/>
          <w:snapToGrid/>
          <w:color w:val="000000"/>
          <w:szCs w:val="24"/>
        </w:rPr>
        <w:t>.</w:t>
      </w:r>
    </w:p>
    <w:p w14:paraId="51FBA1C9" w14:textId="77777777" w:rsidR="006B5646" w:rsidRPr="003002DC" w:rsidRDefault="006B5646" w:rsidP="006B5646">
      <w:pPr>
        <w:widowControl/>
        <w:tabs>
          <w:tab w:val="left" w:pos="3510"/>
          <w:tab w:val="left" w:pos="7110"/>
          <w:tab w:val="left" w:pos="8280"/>
        </w:tabs>
        <w:rPr>
          <w:rFonts w:cstheme="minorHAnsi"/>
          <w:b/>
          <w:snapToGrid/>
          <w:color w:val="000000"/>
          <w:szCs w:val="24"/>
        </w:rPr>
      </w:pPr>
    </w:p>
    <w:p w14:paraId="3D7A71F6" w14:textId="20BF0D34" w:rsidR="006B5646" w:rsidRDefault="006B5646" w:rsidP="006B5646">
      <w:pPr>
        <w:tabs>
          <w:tab w:val="left" w:pos="-720"/>
          <w:tab w:val="left" w:pos="720"/>
          <w:tab w:val="left" w:pos="1080"/>
        </w:tabs>
        <w:rPr>
          <w:rFonts w:cstheme="minorHAnsi"/>
          <w:color w:val="000000"/>
          <w:szCs w:val="24"/>
        </w:rPr>
      </w:pPr>
      <w:r w:rsidRPr="003002DC">
        <w:rPr>
          <w:rFonts w:cstheme="minorHAnsi"/>
          <w:color w:val="000000"/>
          <w:szCs w:val="24"/>
        </w:rPr>
        <w:t>Site selection</w:t>
      </w:r>
      <w:r w:rsidR="00DE2EC5">
        <w:rPr>
          <w:rFonts w:cstheme="minorHAnsi"/>
          <w:color w:val="000000"/>
          <w:szCs w:val="24"/>
        </w:rPr>
        <w:t>s</w:t>
      </w:r>
      <w:r w:rsidRPr="003002DC">
        <w:rPr>
          <w:rFonts w:cstheme="minorHAnsi"/>
          <w:color w:val="000000"/>
          <w:szCs w:val="24"/>
        </w:rPr>
        <w:t xml:space="preserve"> for the non-tidal network are based </w:t>
      </w:r>
      <w:r w:rsidR="00F46AF3" w:rsidRPr="003002DC">
        <w:rPr>
          <w:rFonts w:cstheme="minorHAnsi"/>
          <w:color w:val="000000"/>
          <w:szCs w:val="24"/>
        </w:rPr>
        <w:t>on</w:t>
      </w:r>
      <w:r w:rsidRPr="003002DC">
        <w:rPr>
          <w:rFonts w:cstheme="minorHAnsi"/>
          <w:color w:val="000000"/>
          <w:szCs w:val="24"/>
        </w:rPr>
        <w:t xml:space="preserve"> 1) location to the outlet of rivers draining the </w:t>
      </w:r>
      <w:r w:rsidR="00D677AA">
        <w:rPr>
          <w:rFonts w:cstheme="minorHAnsi"/>
          <w:color w:val="000000"/>
          <w:szCs w:val="24"/>
        </w:rPr>
        <w:t>major river basin</w:t>
      </w:r>
      <w:r w:rsidR="00F46AF3">
        <w:rPr>
          <w:rFonts w:cstheme="minorHAnsi"/>
          <w:color w:val="000000"/>
          <w:szCs w:val="24"/>
        </w:rPr>
        <w:t>,</w:t>
      </w:r>
      <w:r w:rsidRPr="003002DC">
        <w:rPr>
          <w:rFonts w:cstheme="minorHAnsi"/>
          <w:color w:val="000000"/>
          <w:szCs w:val="24"/>
        </w:rPr>
        <w:t xml:space="preserve"> 2) locations delivering the largest amounts of nutrients and sediment to the Chesapeake Bay or its </w:t>
      </w:r>
      <w:r w:rsidR="00B353E2" w:rsidRPr="003002DC">
        <w:rPr>
          <w:rFonts w:cstheme="minorHAnsi"/>
          <w:color w:val="000000"/>
          <w:szCs w:val="24"/>
        </w:rPr>
        <w:t>tributaries</w:t>
      </w:r>
      <w:r w:rsidR="00B353E2">
        <w:rPr>
          <w:rFonts w:cstheme="minorHAnsi"/>
          <w:color w:val="000000"/>
          <w:szCs w:val="24"/>
        </w:rPr>
        <w:t>,</w:t>
      </w:r>
      <w:r w:rsidRPr="003002DC">
        <w:rPr>
          <w:rFonts w:cstheme="minorHAnsi"/>
          <w:color w:val="000000"/>
          <w:szCs w:val="24"/>
        </w:rPr>
        <w:t xml:space="preserve"> and 3) importance to watershed modeling efforts for closing areas of large data gaps such as the </w:t>
      </w:r>
      <w:r w:rsidR="00B353E2">
        <w:rPr>
          <w:rFonts w:cstheme="minorHAnsi"/>
          <w:color w:val="000000"/>
          <w:szCs w:val="24"/>
        </w:rPr>
        <w:t>c</w:t>
      </w:r>
      <w:r w:rsidRPr="003002DC">
        <w:rPr>
          <w:rFonts w:cstheme="minorHAnsi"/>
          <w:color w:val="000000"/>
          <w:szCs w:val="24"/>
        </w:rPr>
        <w:t xml:space="preserve">oastal </w:t>
      </w:r>
      <w:r w:rsidR="00B353E2">
        <w:rPr>
          <w:rFonts w:cstheme="minorHAnsi"/>
          <w:color w:val="000000"/>
          <w:szCs w:val="24"/>
        </w:rPr>
        <w:t>p</w:t>
      </w:r>
      <w:r w:rsidRPr="003002DC">
        <w:rPr>
          <w:rFonts w:cstheme="minorHAnsi"/>
          <w:color w:val="000000"/>
          <w:szCs w:val="24"/>
        </w:rPr>
        <w:t xml:space="preserve">lain. </w:t>
      </w:r>
    </w:p>
    <w:p w14:paraId="1D72D152" w14:textId="77777777" w:rsidR="006B5646" w:rsidRDefault="006B5646" w:rsidP="006B5646">
      <w:pPr>
        <w:tabs>
          <w:tab w:val="left" w:pos="-720"/>
          <w:tab w:val="left" w:pos="720"/>
          <w:tab w:val="left" w:pos="1080"/>
        </w:tabs>
        <w:rPr>
          <w:rFonts w:cstheme="minorHAnsi"/>
          <w:color w:val="000000"/>
          <w:szCs w:val="24"/>
        </w:rPr>
      </w:pPr>
    </w:p>
    <w:p w14:paraId="5DA650CD" w14:textId="68A52741" w:rsidR="00B83D1F" w:rsidRDefault="009C41CA" w:rsidP="00B83D1F">
      <w:pPr>
        <w:pStyle w:val="Heading2"/>
        <w:rPr>
          <w:rFonts w:eastAsia="Calibri"/>
        </w:rPr>
      </w:pPr>
      <w:bookmarkStart w:id="57" w:name="_Toc152763307"/>
      <w:bookmarkStart w:id="58" w:name="_Toc155771953"/>
      <w:bookmarkStart w:id="59" w:name="_Toc191900432"/>
      <w:r w:rsidRPr="00B83D1F">
        <w:rPr>
          <w:rFonts w:eastAsia="Calibri"/>
        </w:rPr>
        <w:t>B</w:t>
      </w:r>
      <w:r w:rsidR="00E5694F" w:rsidRPr="00B83D1F">
        <w:rPr>
          <w:rFonts w:eastAsia="Calibri"/>
        </w:rPr>
        <w:t>EACH</w:t>
      </w:r>
      <w:r w:rsidRPr="00B83D1F">
        <w:rPr>
          <w:rFonts w:eastAsia="Calibri"/>
        </w:rPr>
        <w:t xml:space="preserve"> Monitoring Program – Virginia Department of Health</w:t>
      </w:r>
      <w:bookmarkEnd w:id="57"/>
      <w:bookmarkEnd w:id="58"/>
      <w:bookmarkEnd w:id="59"/>
      <w:r w:rsidRPr="00B83D1F">
        <w:rPr>
          <w:rFonts w:eastAsia="Calibri"/>
        </w:rPr>
        <w:t xml:space="preserve"> </w:t>
      </w:r>
    </w:p>
    <w:p w14:paraId="778495B0" w14:textId="532EC146" w:rsidR="000C1DD2" w:rsidRPr="00AF6102" w:rsidRDefault="00BD7485" w:rsidP="00367422">
      <w:pPr>
        <w:pStyle w:val="Heading3"/>
      </w:pPr>
      <w:r>
        <w:rPr>
          <w:rFonts w:eastAsia="Calibri"/>
        </w:rPr>
        <w:t>Introduction</w:t>
      </w:r>
      <w:r w:rsidR="00FF2DD9" w:rsidRPr="00B83D1F">
        <w:t xml:space="preserve"> </w:t>
      </w:r>
    </w:p>
    <w:p w14:paraId="346F7C0C" w14:textId="6B95CBC5" w:rsidR="000C1DD2" w:rsidRPr="000C1DD2" w:rsidRDefault="000C1DD2" w:rsidP="000C1DD2">
      <w:pPr>
        <w:rPr>
          <w:rFonts w:cstheme="minorHAnsi"/>
          <w:color w:val="000000" w:themeColor="text1"/>
          <w:szCs w:val="24"/>
        </w:rPr>
      </w:pPr>
      <w:r w:rsidRPr="002E27F8">
        <w:rPr>
          <w:rFonts w:cstheme="minorHAnsi"/>
          <w:color w:val="000000" w:themeColor="text1"/>
          <w:szCs w:val="24"/>
        </w:rPr>
        <w:t>Virginia’s BEACH Monitoring Program</w:t>
      </w:r>
      <w:r w:rsidRPr="000C1DD2">
        <w:rPr>
          <w:rFonts w:cstheme="minorHAnsi"/>
          <w:color w:val="000000" w:themeColor="text1"/>
          <w:szCs w:val="24"/>
        </w:rPr>
        <w:t xml:space="preserve"> </w:t>
      </w:r>
      <w:r w:rsidR="00C53A85">
        <w:rPr>
          <w:rFonts w:cstheme="minorHAnsi"/>
          <w:color w:val="000000" w:themeColor="text1"/>
          <w:szCs w:val="24"/>
        </w:rPr>
        <w:t xml:space="preserve">(BEACH Program) </w:t>
      </w:r>
      <w:r w:rsidRPr="000C1DD2">
        <w:rPr>
          <w:rFonts w:cstheme="minorHAnsi"/>
          <w:color w:val="000000" w:themeColor="text1"/>
          <w:szCs w:val="24"/>
        </w:rPr>
        <w:t xml:space="preserve">was initiated in 2002 by the Waterborne Hazards Control Programs of the VDH. In addition to the immediate reporting and public notification requirements relative to swimming advisories, results obtained by the VDH are communicated to DEQ for inclusion in the agency’s biennial IR. The specific 305(b) assessment methodologies for using (1) swimming advisories and/or (2) the </w:t>
      </w:r>
      <w:r w:rsidR="009D1D45">
        <w:rPr>
          <w:rFonts w:cstheme="minorHAnsi"/>
          <w:color w:val="000000" w:themeColor="text1"/>
          <w:szCs w:val="24"/>
        </w:rPr>
        <w:t>E</w:t>
      </w:r>
      <w:r w:rsidRPr="000C1DD2">
        <w:rPr>
          <w:rFonts w:cstheme="minorHAnsi"/>
          <w:color w:val="000000" w:themeColor="text1"/>
          <w:szCs w:val="24"/>
        </w:rPr>
        <w:t>nterococci concentration data from the BEACH Program were discussed by VDH and DEQ. The final decision on appropriate methodologies is incorporated into the 2024 Assessment Guidance Manual for the I</w:t>
      </w:r>
      <w:r w:rsidR="002C4469">
        <w:rPr>
          <w:rFonts w:cstheme="minorHAnsi"/>
          <w:color w:val="000000" w:themeColor="text1"/>
          <w:szCs w:val="24"/>
        </w:rPr>
        <w:t>ntegrated Report</w:t>
      </w:r>
      <w:r w:rsidRPr="000C1DD2">
        <w:rPr>
          <w:rFonts w:cstheme="minorHAnsi"/>
          <w:color w:val="000000" w:themeColor="text1"/>
          <w:szCs w:val="24"/>
        </w:rPr>
        <w:t>.</w:t>
      </w:r>
    </w:p>
    <w:p w14:paraId="33F69C9F" w14:textId="77777777" w:rsidR="000C1DD2" w:rsidRPr="000C1DD2" w:rsidRDefault="000C1DD2" w:rsidP="000C1DD2">
      <w:pPr>
        <w:rPr>
          <w:rFonts w:cstheme="minorHAnsi"/>
          <w:color w:val="000000" w:themeColor="text1"/>
          <w:szCs w:val="24"/>
        </w:rPr>
      </w:pPr>
    </w:p>
    <w:p w14:paraId="16E34573" w14:textId="4CB1C862" w:rsidR="000C1DD2" w:rsidRPr="000C1DD2" w:rsidRDefault="000C1DD2" w:rsidP="00672CE3">
      <w:pPr>
        <w:rPr>
          <w:rFonts w:cstheme="minorHAnsi"/>
          <w:color w:val="000000" w:themeColor="text1"/>
          <w:szCs w:val="24"/>
        </w:rPr>
      </w:pPr>
      <w:r w:rsidRPr="000C1DD2">
        <w:rPr>
          <w:rFonts w:cstheme="minorHAnsi"/>
          <w:color w:val="000000" w:themeColor="text1"/>
          <w:szCs w:val="24"/>
        </w:rPr>
        <w:t>The BEACH Program in Virginia is designed to provide seasonal monitoring of coastal and Chesapeake Bay beaches within the Commonwealth</w:t>
      </w:r>
      <w:r w:rsidR="008E1E6F">
        <w:rPr>
          <w:rFonts w:cstheme="minorHAnsi"/>
          <w:color w:val="000000" w:themeColor="text1"/>
          <w:szCs w:val="24"/>
        </w:rPr>
        <w:t xml:space="preserve">, with the </w:t>
      </w:r>
      <w:proofErr w:type="gramStart"/>
      <w:r w:rsidR="008E1E6F" w:rsidRPr="00DC5925">
        <w:rPr>
          <w:rFonts w:cstheme="minorHAnsi"/>
          <w:snapToGrid/>
          <w:color w:val="000000"/>
          <w:szCs w:val="24"/>
        </w:rPr>
        <w:t>purpose</w:t>
      </w:r>
      <w:proofErr w:type="gramEnd"/>
      <w:r w:rsidR="008E1E6F" w:rsidRPr="00DC5925">
        <w:rPr>
          <w:rFonts w:cstheme="minorHAnsi"/>
          <w:snapToGrid/>
          <w:color w:val="000000"/>
          <w:szCs w:val="24"/>
        </w:rPr>
        <w:t xml:space="preserve"> </w:t>
      </w:r>
      <w:r w:rsidR="008E1E6F">
        <w:rPr>
          <w:rFonts w:cstheme="minorHAnsi"/>
          <w:snapToGrid/>
          <w:color w:val="000000"/>
          <w:szCs w:val="24"/>
        </w:rPr>
        <w:t>being</w:t>
      </w:r>
      <w:r w:rsidR="008E1E6F" w:rsidRPr="00DC5925">
        <w:rPr>
          <w:rFonts w:cstheme="minorHAnsi"/>
          <w:snapToGrid/>
          <w:color w:val="000000"/>
          <w:szCs w:val="24"/>
        </w:rPr>
        <w:t xml:space="preserve"> to monitor for indicators of fecal contamination of coastal beaches to reduce the risk of swimmers contracting disease or infection</w:t>
      </w:r>
      <w:r w:rsidRPr="000C1DD2">
        <w:rPr>
          <w:rFonts w:cstheme="minorHAnsi"/>
          <w:color w:val="000000" w:themeColor="text1"/>
          <w:szCs w:val="24"/>
        </w:rPr>
        <w:t xml:space="preserve">. A public bathing beach is defined by the Public Beach Conservation and Development Act (Code of Virginia, Title 10.1, §10.1-705) as “a sandy beach located on a tidal </w:t>
      </w:r>
      <w:r w:rsidRPr="000C1DD2">
        <w:rPr>
          <w:rFonts w:cstheme="minorHAnsi"/>
          <w:color w:val="000000" w:themeColor="text1"/>
          <w:szCs w:val="24"/>
        </w:rPr>
        <w:lastRenderedPageBreak/>
        <w:t xml:space="preserve">shoreline suitable for bathing in a county, city or town and open to indefinite public use.” Based on these characteristics, public beaches were identified prior to December of 2003, by which time their locations were communicated to EPA for the National List of Beaches. As of July 2004, </w:t>
      </w:r>
      <w:r w:rsidR="00C53A85">
        <w:rPr>
          <w:rFonts w:cstheme="minorHAnsi"/>
          <w:color w:val="000000" w:themeColor="text1"/>
          <w:szCs w:val="24"/>
        </w:rPr>
        <w:t>listed</w:t>
      </w:r>
      <w:r w:rsidR="00C53A85" w:rsidRPr="000C1DD2">
        <w:rPr>
          <w:rFonts w:cstheme="minorHAnsi"/>
          <w:color w:val="000000" w:themeColor="text1"/>
          <w:szCs w:val="24"/>
        </w:rPr>
        <w:t xml:space="preserve"> </w:t>
      </w:r>
      <w:r w:rsidRPr="000C1DD2">
        <w:rPr>
          <w:rFonts w:cstheme="minorHAnsi"/>
          <w:color w:val="000000" w:themeColor="text1"/>
          <w:szCs w:val="24"/>
        </w:rPr>
        <w:t>beaches were being monitored by the BEACH P</w:t>
      </w:r>
      <w:r w:rsidR="00F70F77">
        <w:rPr>
          <w:rFonts w:cstheme="minorHAnsi"/>
          <w:color w:val="000000" w:themeColor="text1"/>
          <w:szCs w:val="24"/>
        </w:rPr>
        <w:t xml:space="preserve">rogram. </w:t>
      </w:r>
      <w:r w:rsidRPr="000C1DD2">
        <w:rPr>
          <w:rFonts w:cstheme="minorHAnsi"/>
          <w:color w:val="000000" w:themeColor="text1"/>
          <w:szCs w:val="24"/>
        </w:rPr>
        <w:t>Currently, 49 beaches (60 sites total) in Virginia are monitored by the BEACH Program. The rationale for identifying and enumerating individual beaches is discussed below, in the section on ‘siting.’ The localities participating in this program include the cities of Virginia Beach, Norfolk, Hampton, and Newport News, as well as the counties of Mathews, York, Gloucester, Northampton, and Accomack.</w:t>
      </w:r>
    </w:p>
    <w:p w14:paraId="52F42FF8" w14:textId="38BB845B" w:rsidR="002959F6" w:rsidRPr="003913EA" w:rsidRDefault="002959F6" w:rsidP="00E1796B">
      <w:pPr>
        <w:widowControl/>
        <w:rPr>
          <w:rFonts w:cstheme="minorHAnsi"/>
          <w:snapToGrid/>
          <w:color w:val="000000"/>
          <w:szCs w:val="24"/>
        </w:rPr>
      </w:pPr>
    </w:p>
    <w:p w14:paraId="61060E55" w14:textId="120A20AE" w:rsidR="002959F6" w:rsidRPr="00BD7485" w:rsidRDefault="002959F6" w:rsidP="00BD7485">
      <w:pPr>
        <w:pStyle w:val="Heading3"/>
      </w:pPr>
      <w:r w:rsidRPr="00BD7485">
        <w:t>Monitoring Design and Station Siting</w:t>
      </w:r>
    </w:p>
    <w:p w14:paraId="5A97C071" w14:textId="1480EEC5" w:rsidR="002959F6" w:rsidRPr="00132070" w:rsidRDefault="00132070" w:rsidP="0A5BE548">
      <w:pPr>
        <w:widowControl/>
        <w:rPr>
          <w:rFonts w:cstheme="minorBidi"/>
          <w:snapToGrid/>
          <w:color w:val="000000"/>
        </w:rPr>
      </w:pPr>
      <w:r w:rsidRPr="0A5BE548">
        <w:rPr>
          <w:rFonts w:cstheme="minorBidi"/>
          <w:color w:val="000000" w:themeColor="text1"/>
        </w:rPr>
        <w:t xml:space="preserve">The number of sampling stations at a beach is based on EPA guidance available at the following </w:t>
      </w:r>
      <w:r w:rsidR="000446D2" w:rsidRPr="0A5BE548">
        <w:rPr>
          <w:rFonts w:cstheme="minorBidi"/>
          <w:color w:val="000000" w:themeColor="text1"/>
        </w:rPr>
        <w:t>EPA Water Topics webpage</w:t>
      </w:r>
      <w:r w:rsidRPr="0A5BE548">
        <w:rPr>
          <w:rFonts w:cstheme="minorBidi"/>
          <w:color w:val="000000" w:themeColor="text1"/>
        </w:rPr>
        <w:t xml:space="preserve">. The rationale for </w:t>
      </w:r>
      <w:proofErr w:type="gramStart"/>
      <w:r w:rsidRPr="0A5BE548">
        <w:rPr>
          <w:rFonts w:cstheme="minorBidi"/>
          <w:color w:val="000000" w:themeColor="text1"/>
        </w:rPr>
        <w:t>siting</w:t>
      </w:r>
      <w:proofErr w:type="gramEnd"/>
      <w:r w:rsidRPr="0A5BE548">
        <w:rPr>
          <w:rFonts w:cstheme="minorBidi"/>
          <w:color w:val="000000" w:themeColor="text1"/>
        </w:rPr>
        <w:t xml:space="preserve"> and enumerating individual beaches is based on beach size and whether (1) it is small and is treated as a single entity for swimming advisories, or (2) if it is more extensive and individual sections may be placed under advisory independently.</w:t>
      </w:r>
      <w:r>
        <w:br/>
      </w:r>
    </w:p>
    <w:p w14:paraId="67F3D06D" w14:textId="537AD73F" w:rsidR="00BD7485" w:rsidRDefault="00BD7485" w:rsidP="00BD7485">
      <w:pPr>
        <w:pStyle w:val="Caption"/>
        <w:keepNext/>
      </w:pPr>
      <w:bookmarkStart w:id="60" w:name="_Toc164175151"/>
      <w:r>
        <w:t xml:space="preserve">Table </w:t>
      </w:r>
      <w:r w:rsidR="004F13BA">
        <w:fldChar w:fldCharType="begin"/>
      </w:r>
      <w:r w:rsidR="004F13BA">
        <w:instrText xml:space="preserve"> STYLEREF 2 \s </w:instrText>
      </w:r>
      <w:r w:rsidR="004F13BA">
        <w:fldChar w:fldCharType="separate"/>
      </w:r>
      <w:r w:rsidR="00CD06AE">
        <w:rPr>
          <w:noProof/>
        </w:rPr>
        <w:t>3.3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w:t>
      </w:r>
      <w:r w:rsidR="004F13BA">
        <w:rPr>
          <w:noProof/>
        </w:rPr>
        <w:fldChar w:fldCharType="end"/>
      </w:r>
      <w:r w:rsidR="004076BC">
        <w:t xml:space="preserve">. Location of </w:t>
      </w:r>
      <w:r w:rsidR="00E76186">
        <w:t xml:space="preserve">BEACH </w:t>
      </w:r>
      <w:r w:rsidR="00C53A85">
        <w:t xml:space="preserve">Program </w:t>
      </w:r>
      <w:r w:rsidR="00E76186">
        <w:t>sampling stations.</w:t>
      </w:r>
      <w:bookmarkEnd w:id="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Location of BEACH sampling stations."/>
        <w:tblDescription w:val="Location of BEACH sampling stations."/>
      </w:tblPr>
      <w:tblGrid>
        <w:gridCol w:w="6925"/>
        <w:gridCol w:w="2165"/>
      </w:tblGrid>
      <w:tr w:rsidR="00AD3C26" w:rsidRPr="00DB7FDB" w14:paraId="753285AA" w14:textId="77777777" w:rsidTr="0018186E">
        <w:trPr>
          <w:trHeight w:val="360"/>
        </w:trPr>
        <w:tc>
          <w:tcPr>
            <w:tcW w:w="6925" w:type="dxa"/>
            <w:tcBorders>
              <w:top w:val="single" w:sz="12" w:space="0" w:color="auto"/>
              <w:bottom w:val="single" w:sz="4" w:space="0" w:color="auto"/>
            </w:tcBorders>
            <w:vAlign w:val="center"/>
          </w:tcPr>
          <w:p w14:paraId="62CD67CA" w14:textId="77777777" w:rsidR="00AD3C26" w:rsidRPr="00DB7FDB" w:rsidRDefault="00AD3C26" w:rsidP="0018186E">
            <w:pPr>
              <w:rPr>
                <w:rFonts w:cstheme="minorHAnsi"/>
                <w:b/>
                <w:bCs/>
                <w:sz w:val="22"/>
                <w:szCs w:val="22"/>
              </w:rPr>
            </w:pPr>
            <w:r w:rsidRPr="00DB7FDB">
              <w:rPr>
                <w:rFonts w:cstheme="minorHAnsi"/>
                <w:b/>
                <w:bCs/>
                <w:sz w:val="22"/>
                <w:szCs w:val="22"/>
              </w:rPr>
              <w:t>Locale</w:t>
            </w:r>
          </w:p>
        </w:tc>
        <w:tc>
          <w:tcPr>
            <w:tcW w:w="2165" w:type="dxa"/>
            <w:tcBorders>
              <w:top w:val="single" w:sz="12" w:space="0" w:color="auto"/>
              <w:bottom w:val="single" w:sz="4" w:space="0" w:color="auto"/>
            </w:tcBorders>
            <w:vAlign w:val="center"/>
          </w:tcPr>
          <w:p w14:paraId="7D13A1C9" w14:textId="77777777" w:rsidR="00AD3C26" w:rsidRPr="00DB7FDB" w:rsidRDefault="00AD3C26" w:rsidP="0018186E">
            <w:pPr>
              <w:jc w:val="center"/>
              <w:rPr>
                <w:rFonts w:cstheme="minorHAnsi"/>
                <w:b/>
                <w:bCs/>
                <w:sz w:val="22"/>
                <w:szCs w:val="22"/>
              </w:rPr>
            </w:pPr>
            <w:r w:rsidRPr="00DB7FDB">
              <w:rPr>
                <w:rFonts w:cstheme="minorHAnsi"/>
                <w:b/>
                <w:bCs/>
                <w:sz w:val="22"/>
                <w:szCs w:val="22"/>
              </w:rPr>
              <w:t>Beaches</w:t>
            </w:r>
          </w:p>
        </w:tc>
      </w:tr>
      <w:tr w:rsidR="00AD3C26" w:rsidRPr="00DB7FDB" w14:paraId="15073756" w14:textId="77777777" w:rsidTr="0018186E">
        <w:trPr>
          <w:trHeight w:val="360"/>
        </w:trPr>
        <w:tc>
          <w:tcPr>
            <w:tcW w:w="6925" w:type="dxa"/>
            <w:tcBorders>
              <w:top w:val="single" w:sz="4" w:space="0" w:color="auto"/>
            </w:tcBorders>
            <w:vAlign w:val="center"/>
          </w:tcPr>
          <w:p w14:paraId="2E3ECF75" w14:textId="77777777" w:rsidR="00AD3C26" w:rsidRPr="00DB7FDB" w:rsidRDefault="00AD3C26" w:rsidP="0018186E">
            <w:pPr>
              <w:rPr>
                <w:rFonts w:cstheme="minorHAnsi"/>
                <w:sz w:val="22"/>
                <w:szCs w:val="22"/>
              </w:rPr>
            </w:pPr>
            <w:r w:rsidRPr="00DB7FDB">
              <w:rPr>
                <w:rFonts w:cstheme="minorHAnsi"/>
                <w:snapToGrid/>
                <w:color w:val="000000"/>
                <w:sz w:val="22"/>
                <w:szCs w:val="22"/>
              </w:rPr>
              <w:t>Virginia Beach</w:t>
            </w:r>
          </w:p>
        </w:tc>
        <w:tc>
          <w:tcPr>
            <w:tcW w:w="2165" w:type="dxa"/>
            <w:tcBorders>
              <w:top w:val="single" w:sz="4" w:space="0" w:color="auto"/>
            </w:tcBorders>
            <w:vAlign w:val="center"/>
          </w:tcPr>
          <w:p w14:paraId="3AA9895B" w14:textId="77777777" w:rsidR="00AD3C26" w:rsidRPr="00DB7FDB" w:rsidRDefault="00AD3C26" w:rsidP="0018186E">
            <w:pPr>
              <w:jc w:val="center"/>
              <w:rPr>
                <w:rFonts w:cstheme="minorHAnsi"/>
                <w:sz w:val="22"/>
                <w:szCs w:val="22"/>
              </w:rPr>
            </w:pPr>
            <w:r w:rsidRPr="00DB7FDB">
              <w:rPr>
                <w:rFonts w:cstheme="minorHAnsi"/>
                <w:sz w:val="22"/>
                <w:szCs w:val="22"/>
              </w:rPr>
              <w:t>22</w:t>
            </w:r>
          </w:p>
        </w:tc>
      </w:tr>
      <w:tr w:rsidR="00AD3C26" w:rsidRPr="00DB7FDB" w14:paraId="32570881" w14:textId="77777777" w:rsidTr="0018186E">
        <w:trPr>
          <w:trHeight w:val="360"/>
        </w:trPr>
        <w:tc>
          <w:tcPr>
            <w:tcW w:w="6925" w:type="dxa"/>
            <w:vAlign w:val="center"/>
          </w:tcPr>
          <w:p w14:paraId="50E29876" w14:textId="77777777" w:rsidR="00AD3C26" w:rsidRPr="00DB7FDB" w:rsidRDefault="00AD3C26" w:rsidP="0018186E">
            <w:pPr>
              <w:rPr>
                <w:rFonts w:cstheme="minorHAnsi"/>
                <w:sz w:val="22"/>
                <w:szCs w:val="22"/>
              </w:rPr>
            </w:pPr>
            <w:r w:rsidRPr="00DB7FDB">
              <w:rPr>
                <w:rFonts w:cstheme="minorHAnsi"/>
                <w:snapToGrid/>
                <w:color w:val="000000"/>
                <w:sz w:val="22"/>
                <w:szCs w:val="22"/>
              </w:rPr>
              <w:t>Norfolk Department of Public Health</w:t>
            </w:r>
          </w:p>
        </w:tc>
        <w:tc>
          <w:tcPr>
            <w:tcW w:w="2165" w:type="dxa"/>
            <w:vAlign w:val="center"/>
          </w:tcPr>
          <w:p w14:paraId="1FFFC5E1" w14:textId="77777777" w:rsidR="00AD3C26" w:rsidRPr="00DB7FDB" w:rsidRDefault="00AD3C26" w:rsidP="0018186E">
            <w:pPr>
              <w:jc w:val="center"/>
              <w:rPr>
                <w:rFonts w:cstheme="minorHAnsi"/>
                <w:sz w:val="22"/>
                <w:szCs w:val="22"/>
              </w:rPr>
            </w:pPr>
            <w:r w:rsidRPr="00DB7FDB">
              <w:rPr>
                <w:rFonts w:cstheme="minorHAnsi"/>
                <w:sz w:val="22"/>
                <w:szCs w:val="22"/>
              </w:rPr>
              <w:t>10</w:t>
            </w:r>
          </w:p>
        </w:tc>
      </w:tr>
      <w:tr w:rsidR="00AD3C26" w:rsidRPr="00DB7FDB" w14:paraId="592381ED" w14:textId="77777777" w:rsidTr="0018186E">
        <w:trPr>
          <w:trHeight w:val="360"/>
        </w:trPr>
        <w:tc>
          <w:tcPr>
            <w:tcW w:w="6925" w:type="dxa"/>
            <w:vAlign w:val="center"/>
          </w:tcPr>
          <w:p w14:paraId="4FEE0671" w14:textId="77777777" w:rsidR="00AD3C26" w:rsidRPr="00DB7FDB" w:rsidRDefault="00AD3C26" w:rsidP="0018186E">
            <w:pPr>
              <w:rPr>
                <w:rFonts w:cstheme="minorHAnsi"/>
                <w:sz w:val="22"/>
                <w:szCs w:val="22"/>
              </w:rPr>
            </w:pPr>
            <w:r w:rsidRPr="00DB7FDB">
              <w:rPr>
                <w:rFonts w:cstheme="minorHAnsi"/>
                <w:snapToGrid/>
                <w:color w:val="000000"/>
                <w:sz w:val="22"/>
                <w:szCs w:val="22"/>
              </w:rPr>
              <w:t>Eastern Shore Health District (Accomack, Northampton)</w:t>
            </w:r>
          </w:p>
        </w:tc>
        <w:tc>
          <w:tcPr>
            <w:tcW w:w="2165" w:type="dxa"/>
            <w:vAlign w:val="center"/>
          </w:tcPr>
          <w:p w14:paraId="797A051F" w14:textId="77777777" w:rsidR="00AD3C26" w:rsidRPr="00DB7FDB" w:rsidRDefault="00AD3C26" w:rsidP="0018186E">
            <w:pPr>
              <w:jc w:val="center"/>
              <w:rPr>
                <w:rFonts w:cstheme="minorHAnsi"/>
                <w:sz w:val="22"/>
                <w:szCs w:val="22"/>
              </w:rPr>
            </w:pPr>
            <w:r w:rsidRPr="00DB7FDB">
              <w:rPr>
                <w:rFonts w:cstheme="minorHAnsi"/>
                <w:sz w:val="22"/>
                <w:szCs w:val="22"/>
              </w:rPr>
              <w:t>5</w:t>
            </w:r>
          </w:p>
        </w:tc>
      </w:tr>
      <w:tr w:rsidR="00AD3C26" w:rsidRPr="00DB7FDB" w14:paraId="791C72F2" w14:textId="77777777" w:rsidTr="0018186E">
        <w:trPr>
          <w:trHeight w:val="360"/>
        </w:trPr>
        <w:tc>
          <w:tcPr>
            <w:tcW w:w="6925" w:type="dxa"/>
            <w:vAlign w:val="center"/>
          </w:tcPr>
          <w:p w14:paraId="423C511E" w14:textId="77777777" w:rsidR="00AD3C26" w:rsidRPr="00DB7FDB" w:rsidRDefault="00AD3C26" w:rsidP="0018186E">
            <w:pPr>
              <w:rPr>
                <w:rFonts w:cstheme="minorHAnsi"/>
                <w:sz w:val="22"/>
                <w:szCs w:val="22"/>
              </w:rPr>
            </w:pPr>
            <w:r w:rsidRPr="00DB7FDB">
              <w:rPr>
                <w:rFonts w:cstheme="minorHAnsi"/>
                <w:snapToGrid/>
                <w:color w:val="000000"/>
                <w:sz w:val="22"/>
                <w:szCs w:val="22"/>
              </w:rPr>
              <w:t>Peninsula Health District (Newport News, York County/Yorktown)</w:t>
            </w:r>
          </w:p>
        </w:tc>
        <w:tc>
          <w:tcPr>
            <w:tcW w:w="2165" w:type="dxa"/>
            <w:vAlign w:val="center"/>
          </w:tcPr>
          <w:p w14:paraId="1F00B495" w14:textId="77777777" w:rsidR="00AD3C26" w:rsidRPr="00DB7FDB" w:rsidRDefault="00AD3C26" w:rsidP="0018186E">
            <w:pPr>
              <w:jc w:val="center"/>
              <w:rPr>
                <w:rFonts w:cstheme="minorHAnsi"/>
                <w:sz w:val="22"/>
                <w:szCs w:val="22"/>
              </w:rPr>
            </w:pPr>
            <w:r w:rsidRPr="00DB7FDB">
              <w:rPr>
                <w:rFonts w:cstheme="minorHAnsi"/>
                <w:sz w:val="22"/>
                <w:szCs w:val="22"/>
              </w:rPr>
              <w:t>5</w:t>
            </w:r>
          </w:p>
        </w:tc>
      </w:tr>
      <w:tr w:rsidR="00AD3C26" w:rsidRPr="00DB7FDB" w14:paraId="1FC42180" w14:textId="77777777" w:rsidTr="0018186E">
        <w:trPr>
          <w:trHeight w:val="360"/>
        </w:trPr>
        <w:tc>
          <w:tcPr>
            <w:tcW w:w="6925" w:type="dxa"/>
            <w:vAlign w:val="center"/>
          </w:tcPr>
          <w:p w14:paraId="53729E4E" w14:textId="77777777" w:rsidR="00AD3C26" w:rsidRPr="00DB7FDB" w:rsidRDefault="00AD3C26" w:rsidP="0018186E">
            <w:pPr>
              <w:rPr>
                <w:rFonts w:cstheme="minorHAnsi"/>
                <w:sz w:val="22"/>
                <w:szCs w:val="22"/>
              </w:rPr>
            </w:pPr>
            <w:r w:rsidRPr="00DB7FDB">
              <w:rPr>
                <w:rFonts w:cstheme="minorHAnsi"/>
                <w:snapToGrid/>
                <w:color w:val="000000"/>
                <w:sz w:val="22"/>
                <w:szCs w:val="22"/>
              </w:rPr>
              <w:t>Hampton City Department of Health</w:t>
            </w:r>
          </w:p>
        </w:tc>
        <w:tc>
          <w:tcPr>
            <w:tcW w:w="2165" w:type="dxa"/>
            <w:vAlign w:val="center"/>
          </w:tcPr>
          <w:p w14:paraId="6F3001DB" w14:textId="31C90228" w:rsidR="00AD3C26" w:rsidRPr="00DB7FDB" w:rsidRDefault="005926EA" w:rsidP="0018186E">
            <w:pPr>
              <w:jc w:val="center"/>
              <w:rPr>
                <w:rFonts w:cstheme="minorHAnsi"/>
                <w:sz w:val="22"/>
                <w:szCs w:val="22"/>
              </w:rPr>
            </w:pPr>
            <w:r w:rsidRPr="00DB7FDB">
              <w:rPr>
                <w:rFonts w:cstheme="minorHAnsi"/>
                <w:sz w:val="22"/>
                <w:szCs w:val="22"/>
              </w:rPr>
              <w:t>5</w:t>
            </w:r>
          </w:p>
        </w:tc>
      </w:tr>
      <w:tr w:rsidR="00AD3C26" w:rsidRPr="00DB7FDB" w14:paraId="7D0CDD4C" w14:textId="77777777" w:rsidTr="0018186E">
        <w:trPr>
          <w:trHeight w:val="360"/>
        </w:trPr>
        <w:tc>
          <w:tcPr>
            <w:tcW w:w="6925" w:type="dxa"/>
            <w:tcBorders>
              <w:bottom w:val="single" w:sz="2" w:space="0" w:color="auto"/>
            </w:tcBorders>
            <w:vAlign w:val="center"/>
          </w:tcPr>
          <w:p w14:paraId="4245F78D" w14:textId="77777777" w:rsidR="00AD3C26" w:rsidRPr="00DB7FDB" w:rsidRDefault="00AD3C26" w:rsidP="0018186E">
            <w:pPr>
              <w:rPr>
                <w:rFonts w:cstheme="minorHAnsi"/>
                <w:sz w:val="22"/>
                <w:szCs w:val="22"/>
              </w:rPr>
            </w:pPr>
            <w:r w:rsidRPr="00DB7FDB">
              <w:rPr>
                <w:rFonts w:cstheme="minorHAnsi"/>
                <w:snapToGrid/>
                <w:color w:val="000000"/>
                <w:sz w:val="22"/>
                <w:szCs w:val="22"/>
              </w:rPr>
              <w:t>Three Rivers Health District (Gloucester, Mathews)</w:t>
            </w:r>
          </w:p>
        </w:tc>
        <w:tc>
          <w:tcPr>
            <w:tcW w:w="2165" w:type="dxa"/>
            <w:tcBorders>
              <w:bottom w:val="single" w:sz="2" w:space="0" w:color="auto"/>
            </w:tcBorders>
            <w:vAlign w:val="center"/>
          </w:tcPr>
          <w:p w14:paraId="1136C414" w14:textId="77777777" w:rsidR="00AD3C26" w:rsidRPr="00DB7FDB" w:rsidRDefault="00AD3C26" w:rsidP="0018186E">
            <w:pPr>
              <w:jc w:val="center"/>
              <w:rPr>
                <w:rFonts w:cstheme="minorHAnsi"/>
                <w:sz w:val="22"/>
                <w:szCs w:val="22"/>
              </w:rPr>
            </w:pPr>
            <w:r w:rsidRPr="00DB7FDB">
              <w:rPr>
                <w:rFonts w:cstheme="minorHAnsi"/>
                <w:sz w:val="22"/>
                <w:szCs w:val="22"/>
              </w:rPr>
              <w:t>2</w:t>
            </w:r>
          </w:p>
        </w:tc>
      </w:tr>
      <w:tr w:rsidR="00AD3C26" w:rsidRPr="00DB7FDB" w14:paraId="155BAD8B" w14:textId="77777777" w:rsidTr="0018186E">
        <w:trPr>
          <w:trHeight w:val="360"/>
        </w:trPr>
        <w:tc>
          <w:tcPr>
            <w:tcW w:w="6925" w:type="dxa"/>
            <w:tcBorders>
              <w:top w:val="single" w:sz="2" w:space="0" w:color="auto"/>
              <w:bottom w:val="single" w:sz="12" w:space="0" w:color="auto"/>
            </w:tcBorders>
            <w:vAlign w:val="center"/>
          </w:tcPr>
          <w:p w14:paraId="2C4C0132" w14:textId="77777777" w:rsidR="00AD3C26" w:rsidRPr="00DB7FDB" w:rsidRDefault="00AD3C26" w:rsidP="0018186E">
            <w:pPr>
              <w:rPr>
                <w:rFonts w:cstheme="minorHAnsi"/>
                <w:b/>
                <w:bCs/>
                <w:sz w:val="22"/>
                <w:szCs w:val="22"/>
              </w:rPr>
            </w:pPr>
            <w:r w:rsidRPr="00DB7FDB">
              <w:rPr>
                <w:rFonts w:cstheme="minorHAnsi"/>
                <w:b/>
                <w:bCs/>
                <w:sz w:val="22"/>
                <w:szCs w:val="22"/>
              </w:rPr>
              <w:t>Total</w:t>
            </w:r>
          </w:p>
        </w:tc>
        <w:tc>
          <w:tcPr>
            <w:tcW w:w="2165" w:type="dxa"/>
            <w:tcBorders>
              <w:top w:val="single" w:sz="2" w:space="0" w:color="auto"/>
              <w:bottom w:val="single" w:sz="12" w:space="0" w:color="auto"/>
            </w:tcBorders>
            <w:vAlign w:val="center"/>
          </w:tcPr>
          <w:p w14:paraId="7AD69694" w14:textId="360B8CBF" w:rsidR="00AD3C26" w:rsidRPr="00DB7FDB" w:rsidRDefault="00AD3C26" w:rsidP="0018186E">
            <w:pPr>
              <w:jc w:val="center"/>
              <w:rPr>
                <w:rFonts w:cstheme="minorHAnsi"/>
                <w:b/>
                <w:bCs/>
                <w:sz w:val="22"/>
                <w:szCs w:val="22"/>
              </w:rPr>
            </w:pPr>
            <w:r w:rsidRPr="00DB7FDB">
              <w:rPr>
                <w:rFonts w:cstheme="minorHAnsi"/>
                <w:b/>
                <w:bCs/>
                <w:sz w:val="22"/>
                <w:szCs w:val="22"/>
              </w:rPr>
              <w:t>4</w:t>
            </w:r>
            <w:r w:rsidR="006624CE" w:rsidRPr="00DB7FDB">
              <w:rPr>
                <w:rFonts w:cstheme="minorHAnsi"/>
                <w:b/>
                <w:bCs/>
                <w:sz w:val="22"/>
                <w:szCs w:val="22"/>
              </w:rPr>
              <w:t>9</w:t>
            </w:r>
          </w:p>
        </w:tc>
      </w:tr>
    </w:tbl>
    <w:p w14:paraId="0B9ABF9D" w14:textId="77777777" w:rsidR="002959F6" w:rsidRPr="00DB7FDB" w:rsidRDefault="002959F6" w:rsidP="002959F6">
      <w:pPr>
        <w:widowControl/>
        <w:jc w:val="both"/>
        <w:rPr>
          <w:rFonts w:cstheme="minorHAnsi"/>
          <w:snapToGrid/>
          <w:color w:val="000000"/>
          <w:sz w:val="22"/>
          <w:szCs w:val="22"/>
        </w:rPr>
      </w:pPr>
    </w:p>
    <w:p w14:paraId="28B48B99" w14:textId="17D851F0" w:rsidR="00515B00" w:rsidRPr="00515B00" w:rsidRDefault="00515B00" w:rsidP="00515B00">
      <w:pPr>
        <w:rPr>
          <w:rFonts w:cstheme="minorHAnsi"/>
          <w:color w:val="000000" w:themeColor="text1"/>
          <w:szCs w:val="24"/>
        </w:rPr>
      </w:pPr>
      <w:r w:rsidRPr="00515B00">
        <w:rPr>
          <w:rFonts w:cstheme="minorHAnsi"/>
          <w:color w:val="000000" w:themeColor="text1"/>
          <w:szCs w:val="24"/>
        </w:rPr>
        <w:t xml:space="preserve">Samples are taken in the middle of a typical bathing area. If the beach is short, samples are taken at a point corresponding to each lifeguard chair or one sample for every 500 meters of beach. Sample results from several sites at the same beach may be united into a single arithmetic </w:t>
      </w:r>
      <w:r w:rsidR="008620EA">
        <w:rPr>
          <w:rFonts w:cstheme="minorHAnsi"/>
          <w:color w:val="000000" w:themeColor="text1"/>
          <w:szCs w:val="24"/>
        </w:rPr>
        <w:t>mean</w:t>
      </w:r>
      <w:r w:rsidRPr="00515B00">
        <w:rPr>
          <w:rFonts w:cstheme="minorHAnsi"/>
          <w:color w:val="000000" w:themeColor="text1"/>
          <w:szCs w:val="24"/>
        </w:rPr>
        <w:t xml:space="preserve"> for comparison with the Beach Action Value and evaluation for swimming advisories, see below. If the beach is long (</w:t>
      </w:r>
      <w:r w:rsidR="00385FC8">
        <w:rPr>
          <w:rFonts w:cstheme="minorHAnsi"/>
          <w:color w:val="000000" w:themeColor="text1"/>
          <w:szCs w:val="24"/>
        </w:rPr>
        <w:t>&gt;</w:t>
      </w:r>
      <w:r w:rsidRPr="00515B00">
        <w:rPr>
          <w:rFonts w:cstheme="minorHAnsi"/>
          <w:color w:val="000000" w:themeColor="text1"/>
          <w:szCs w:val="24"/>
        </w:rPr>
        <w:t xml:space="preserve"> 5 miles) samples are spread out along the entire beach (e.g., Virginia Beach, which is 24 miles long, has 22 stations spaced at least one mile</w:t>
      </w:r>
      <w:r w:rsidR="00871987">
        <w:rPr>
          <w:rFonts w:cstheme="minorHAnsi"/>
          <w:color w:val="000000" w:themeColor="text1"/>
          <w:szCs w:val="24"/>
        </w:rPr>
        <w:t xml:space="preserve"> </w:t>
      </w:r>
      <w:r w:rsidRPr="00515B00">
        <w:rPr>
          <w:rFonts w:cstheme="minorHAnsi"/>
          <w:color w:val="000000" w:themeColor="text1"/>
          <w:szCs w:val="24"/>
        </w:rPr>
        <w:t xml:space="preserve">apart). Locations of sites are identified by </w:t>
      </w:r>
      <w:r w:rsidR="00B05392">
        <w:rPr>
          <w:rFonts w:cstheme="minorHAnsi"/>
          <w:color w:val="000000" w:themeColor="text1"/>
          <w:szCs w:val="24"/>
        </w:rPr>
        <w:t xml:space="preserve">GPS </w:t>
      </w:r>
      <w:r w:rsidRPr="00515B00">
        <w:rPr>
          <w:rFonts w:cstheme="minorHAnsi"/>
          <w:color w:val="000000" w:themeColor="text1"/>
          <w:szCs w:val="24"/>
        </w:rPr>
        <w:t xml:space="preserve">coordinates and remain uniform from year to year </w:t>
      </w:r>
      <w:r w:rsidR="00385FC8" w:rsidRPr="00515B00">
        <w:rPr>
          <w:rFonts w:cstheme="minorHAnsi"/>
          <w:color w:val="000000" w:themeColor="text1"/>
          <w:szCs w:val="24"/>
        </w:rPr>
        <w:t>to</w:t>
      </w:r>
      <w:r w:rsidRPr="00515B00">
        <w:rPr>
          <w:rFonts w:cstheme="minorHAnsi"/>
          <w:color w:val="000000" w:themeColor="text1"/>
          <w:szCs w:val="24"/>
        </w:rPr>
        <w:t xml:space="preserve"> maintain a permanent, long-term database on beach water</w:t>
      </w:r>
      <w:r w:rsidR="00871987">
        <w:rPr>
          <w:rFonts w:cstheme="minorHAnsi"/>
          <w:color w:val="000000" w:themeColor="text1"/>
          <w:szCs w:val="24"/>
        </w:rPr>
        <w:t xml:space="preserve"> </w:t>
      </w:r>
      <w:r w:rsidRPr="00515B00">
        <w:rPr>
          <w:rFonts w:cstheme="minorHAnsi"/>
          <w:color w:val="000000" w:themeColor="text1"/>
          <w:szCs w:val="24"/>
        </w:rPr>
        <w:t xml:space="preserve">quality. </w:t>
      </w:r>
    </w:p>
    <w:p w14:paraId="315C265A" w14:textId="77777777" w:rsidR="00515B00" w:rsidRPr="00515B00" w:rsidRDefault="00515B00" w:rsidP="00515B00">
      <w:pPr>
        <w:rPr>
          <w:rFonts w:cstheme="minorHAnsi"/>
          <w:color w:val="000000" w:themeColor="text1"/>
          <w:szCs w:val="24"/>
        </w:rPr>
      </w:pPr>
    </w:p>
    <w:p w14:paraId="37382642" w14:textId="6C78C932" w:rsidR="00515B00" w:rsidRPr="00515B00" w:rsidRDefault="00515B00" w:rsidP="00515B00">
      <w:pPr>
        <w:rPr>
          <w:rFonts w:cstheme="minorHAnsi"/>
          <w:color w:val="000000" w:themeColor="text1"/>
          <w:szCs w:val="24"/>
        </w:rPr>
      </w:pPr>
      <w:r w:rsidRPr="00515B00">
        <w:rPr>
          <w:rFonts w:cstheme="minorHAnsi"/>
          <w:color w:val="000000" w:themeColor="text1"/>
          <w:szCs w:val="24"/>
        </w:rPr>
        <w:t>The most updated</w:t>
      </w:r>
      <w:r w:rsidR="00012CEA">
        <w:rPr>
          <w:rFonts w:cstheme="minorHAnsi"/>
          <w:color w:val="000000" w:themeColor="text1"/>
          <w:szCs w:val="24"/>
        </w:rPr>
        <w:t xml:space="preserve"> </w:t>
      </w:r>
      <w:r w:rsidR="00012CEA" w:rsidRPr="00515B00">
        <w:rPr>
          <w:rFonts w:cstheme="minorHAnsi"/>
          <w:color w:val="000000" w:themeColor="text1"/>
          <w:szCs w:val="24"/>
        </w:rPr>
        <w:t>BEACH Program</w:t>
      </w:r>
      <w:r w:rsidRPr="00515B00">
        <w:rPr>
          <w:rFonts w:cstheme="minorHAnsi"/>
          <w:color w:val="000000" w:themeColor="text1"/>
          <w:szCs w:val="24"/>
        </w:rPr>
        <w:t xml:space="preserve"> information, including maps of sampling sites, historical results, and swimming advisories, may be found on the </w:t>
      </w:r>
      <w:r w:rsidRPr="00863C72">
        <w:rPr>
          <w:rFonts w:cstheme="minorHAnsi"/>
          <w:color w:val="000000" w:themeColor="text1"/>
          <w:szCs w:val="24"/>
        </w:rPr>
        <w:t xml:space="preserve">VDH BEACH Monitoring website. </w:t>
      </w:r>
      <w:r w:rsidRPr="00515B00">
        <w:rPr>
          <w:rFonts w:cstheme="minorHAnsi"/>
          <w:color w:val="000000" w:themeColor="text1"/>
          <w:szCs w:val="24"/>
        </w:rPr>
        <w:t>Beach monitoring results are exported from the Beach Monitoring and Notification</w:t>
      </w:r>
      <w:r w:rsidR="00012CEA">
        <w:rPr>
          <w:rFonts w:cstheme="minorHAnsi"/>
          <w:color w:val="000000" w:themeColor="text1"/>
          <w:szCs w:val="24"/>
        </w:rPr>
        <w:t xml:space="preserve"> </w:t>
      </w:r>
      <w:r w:rsidRPr="00515B00">
        <w:rPr>
          <w:rFonts w:cstheme="minorHAnsi"/>
          <w:color w:val="000000" w:themeColor="text1"/>
          <w:szCs w:val="24"/>
        </w:rPr>
        <w:t xml:space="preserve">database weekly during the season and posted to the </w:t>
      </w:r>
      <w:r w:rsidR="00F637E1">
        <w:rPr>
          <w:rFonts w:cstheme="minorHAnsi"/>
          <w:color w:val="000000" w:themeColor="text1"/>
          <w:szCs w:val="24"/>
        </w:rPr>
        <w:t>VDH Water</w:t>
      </w:r>
      <w:r w:rsidR="00642ED3">
        <w:rPr>
          <w:rFonts w:cstheme="minorHAnsi"/>
          <w:color w:val="000000" w:themeColor="text1"/>
          <w:szCs w:val="24"/>
        </w:rPr>
        <w:t>borne Hazards Statistics webpage</w:t>
      </w:r>
      <w:r w:rsidR="00D8723A">
        <w:rPr>
          <w:rFonts w:cstheme="minorHAnsi"/>
          <w:color w:val="000000" w:themeColor="text1"/>
          <w:szCs w:val="24"/>
        </w:rPr>
        <w:t xml:space="preserve">. </w:t>
      </w:r>
    </w:p>
    <w:p w14:paraId="6852467F" w14:textId="77777777" w:rsidR="002959F6" w:rsidRPr="003913EA" w:rsidRDefault="002959F6" w:rsidP="002959F6">
      <w:pPr>
        <w:widowControl/>
        <w:rPr>
          <w:rFonts w:cstheme="minorHAnsi"/>
          <w:snapToGrid/>
          <w:color w:val="000000"/>
          <w:szCs w:val="24"/>
        </w:rPr>
      </w:pPr>
    </w:p>
    <w:p w14:paraId="169E5702" w14:textId="423F3F4D" w:rsidR="002959F6" w:rsidRPr="004076BC" w:rsidRDefault="008A4B44" w:rsidP="004076BC">
      <w:pPr>
        <w:pStyle w:val="Heading3"/>
      </w:pPr>
      <w:r w:rsidRPr="004076BC">
        <w:lastRenderedPageBreak/>
        <w:t>Sampling</w:t>
      </w:r>
    </w:p>
    <w:p w14:paraId="5161B380" w14:textId="0A39AD73" w:rsidR="00A04F3B" w:rsidRPr="003913EA" w:rsidRDefault="00A04F3B" w:rsidP="00A04F3B">
      <w:pPr>
        <w:widowControl/>
        <w:rPr>
          <w:rFonts w:cstheme="minorHAnsi"/>
          <w:snapToGrid/>
          <w:color w:val="000000"/>
          <w:szCs w:val="24"/>
        </w:rPr>
      </w:pPr>
      <w:r w:rsidRPr="003913EA">
        <w:rPr>
          <w:rFonts w:cstheme="minorHAnsi"/>
          <w:snapToGrid/>
          <w:color w:val="000000"/>
          <w:szCs w:val="24"/>
        </w:rPr>
        <w:t xml:space="preserve">The fecal indicator organism used for estuarine and marine beaches are bacteria of the genus Enterococcus. Laboratory analysis of </w:t>
      </w:r>
      <w:r w:rsidR="009D1D45">
        <w:rPr>
          <w:rFonts w:cstheme="minorHAnsi"/>
          <w:snapToGrid/>
          <w:color w:val="000000"/>
          <w:szCs w:val="24"/>
        </w:rPr>
        <w:t>E</w:t>
      </w:r>
      <w:r w:rsidRPr="003913EA">
        <w:rPr>
          <w:rFonts w:cstheme="minorHAnsi"/>
          <w:snapToGrid/>
          <w:color w:val="000000"/>
          <w:szCs w:val="24"/>
        </w:rPr>
        <w:t xml:space="preserve">nterococci in beach water samples is conducted using EPA approved methods. Additional measurements of air and water temperature, turbidity, dissolved oxygen, </w:t>
      </w:r>
      <w:r w:rsidR="00CD6949" w:rsidRPr="003913EA">
        <w:rPr>
          <w:rFonts w:cstheme="minorHAnsi"/>
          <w:snapToGrid/>
          <w:color w:val="000000"/>
          <w:szCs w:val="24"/>
        </w:rPr>
        <w:t>pH,</w:t>
      </w:r>
      <w:r w:rsidRPr="003913EA">
        <w:rPr>
          <w:rFonts w:cstheme="minorHAnsi"/>
          <w:snapToGrid/>
          <w:color w:val="000000"/>
          <w:szCs w:val="24"/>
        </w:rPr>
        <w:t xml:space="preserve"> and salinity are also taken at beach sites during each visit. </w:t>
      </w:r>
    </w:p>
    <w:p w14:paraId="493120A4" w14:textId="77777777" w:rsidR="00A04F3B" w:rsidRDefault="00A04F3B" w:rsidP="008A4B44">
      <w:pPr>
        <w:widowControl/>
        <w:rPr>
          <w:rFonts w:cstheme="minorHAnsi"/>
          <w:snapToGrid/>
          <w:color w:val="000000"/>
          <w:szCs w:val="24"/>
        </w:rPr>
      </w:pPr>
    </w:p>
    <w:p w14:paraId="520FC1B0" w14:textId="765503AB" w:rsidR="00923CB5" w:rsidRDefault="002959F6" w:rsidP="00923CB5">
      <w:pPr>
        <w:widowControl/>
        <w:rPr>
          <w:rFonts w:cstheme="minorHAnsi"/>
          <w:snapToGrid/>
          <w:color w:val="000000"/>
          <w:szCs w:val="24"/>
        </w:rPr>
      </w:pPr>
      <w:r w:rsidRPr="003913EA">
        <w:rPr>
          <w:rFonts w:cstheme="minorHAnsi"/>
          <w:snapToGrid/>
          <w:color w:val="000000"/>
          <w:szCs w:val="24"/>
        </w:rPr>
        <w:t>Beaches are sampled for fecal indicator bacteria on a weekly basis from mid-May through September. When the Water Quality Standard at a specific beach is exceeded, or when the results of bacterial analysis are inconclusive, follow-up sampling is repeated as soon as possible.</w:t>
      </w:r>
      <w:r w:rsidR="008A4B44">
        <w:rPr>
          <w:rFonts w:cstheme="minorHAnsi"/>
          <w:snapToGrid/>
          <w:color w:val="000000"/>
          <w:szCs w:val="24"/>
        </w:rPr>
        <w:t xml:space="preserve"> </w:t>
      </w:r>
      <w:r w:rsidR="00923CB5" w:rsidRPr="00923CB5">
        <w:rPr>
          <w:rFonts w:cstheme="minorHAnsi"/>
          <w:snapToGrid/>
          <w:color w:val="000000"/>
          <w:szCs w:val="24"/>
        </w:rPr>
        <w:t xml:space="preserve">As per EPA guidance, samples are collected 0.3 meters below the surface in knee-deep water. Samples are collected on the regular weekly monitoring day, </w:t>
      </w:r>
      <w:r w:rsidR="007664BB" w:rsidRPr="00923CB5">
        <w:rPr>
          <w:rFonts w:cstheme="minorHAnsi"/>
          <w:snapToGrid/>
          <w:color w:val="000000"/>
          <w:szCs w:val="24"/>
        </w:rPr>
        <w:t>rain,</w:t>
      </w:r>
      <w:r w:rsidR="00923CB5" w:rsidRPr="00923CB5">
        <w:rPr>
          <w:rFonts w:cstheme="minorHAnsi"/>
          <w:snapToGrid/>
          <w:color w:val="000000"/>
          <w:szCs w:val="24"/>
        </w:rPr>
        <w:t xml:space="preserve"> or shine, unless conditions are dangerous to sampling staff. Samples are placed on ice and are delivered to the laboratory for processing within six hours of collection. Samples are collected and transported in the same way at all sites. All samples are grab samples, using sterile bottles that are supplied by the laboratory performing analysis. If a decision is made not to sample (e.g., storms make sampling unsafe for field staff overflow) the beach is placed under a beach warning and electronic notifications are issued to indicate sampling and results will not be available to the public for that </w:t>
      </w:r>
      <w:r w:rsidR="00C14383" w:rsidRPr="00923CB5">
        <w:rPr>
          <w:rFonts w:cstheme="minorHAnsi"/>
          <w:snapToGrid/>
          <w:color w:val="000000"/>
          <w:szCs w:val="24"/>
        </w:rPr>
        <w:t>week</w:t>
      </w:r>
      <w:r w:rsidR="00923CB5" w:rsidRPr="00923CB5">
        <w:rPr>
          <w:rFonts w:cstheme="minorHAnsi"/>
          <w:snapToGrid/>
          <w:color w:val="000000"/>
          <w:szCs w:val="24"/>
        </w:rPr>
        <w:t>. When results exceed the Beach Action Value, samples are collected and analyzed daily through Thursday, with results relayed by Friday afternoon for weekend patrons. Repeat sampling for beaches under advisory resume the following week on the normal monitoring day.</w:t>
      </w:r>
    </w:p>
    <w:p w14:paraId="460BAB9F" w14:textId="77777777" w:rsidR="002959F6" w:rsidRPr="003913EA" w:rsidRDefault="002959F6" w:rsidP="008A4B44">
      <w:pPr>
        <w:widowControl/>
        <w:rPr>
          <w:rFonts w:cstheme="minorHAnsi"/>
          <w:snapToGrid/>
          <w:color w:val="000000"/>
          <w:szCs w:val="24"/>
        </w:rPr>
      </w:pPr>
    </w:p>
    <w:p w14:paraId="31D23840" w14:textId="6C0CA6DF" w:rsidR="005C5433" w:rsidRPr="003913EA" w:rsidRDefault="00504217" w:rsidP="00A04F3B">
      <w:pPr>
        <w:widowControl/>
        <w:rPr>
          <w:rFonts w:cstheme="minorHAnsi"/>
          <w:snapToGrid/>
          <w:color w:val="000000"/>
          <w:szCs w:val="24"/>
        </w:rPr>
      </w:pPr>
      <w:r w:rsidRPr="00504217">
        <w:rPr>
          <w:rFonts w:cstheme="minorHAnsi"/>
          <w:snapToGrid/>
          <w:color w:val="000000"/>
          <w:szCs w:val="24"/>
        </w:rPr>
        <w:t>Beach monitoring sites are considered permanent, fixed sites of the VDH BEACH Monitoring and Notification Program. As mentioned above, the sampling is conducted from mid-May through Labor Day at most beach sites, with Norfolk and Virginia Beach beaches completing monitoring by the end of September.</w:t>
      </w:r>
      <w:r>
        <w:rPr>
          <w:rFonts w:cstheme="minorHAnsi"/>
          <w:snapToGrid/>
          <w:color w:val="000000"/>
          <w:szCs w:val="24"/>
        </w:rPr>
        <w:br/>
      </w:r>
    </w:p>
    <w:p w14:paraId="63E65274" w14:textId="02408B04" w:rsidR="002959F6" w:rsidRPr="004076BC" w:rsidRDefault="002959F6" w:rsidP="004076BC">
      <w:pPr>
        <w:pStyle w:val="Heading3"/>
      </w:pPr>
      <w:r w:rsidRPr="004076BC">
        <w:t>Quality Assurance</w:t>
      </w:r>
    </w:p>
    <w:p w14:paraId="32994366" w14:textId="273BCD03" w:rsidR="002959F6" w:rsidRDefault="00AB35A7" w:rsidP="00504D20">
      <w:pPr>
        <w:widowControl/>
        <w:rPr>
          <w:rFonts w:cstheme="minorHAnsi"/>
          <w:snapToGrid/>
          <w:color w:val="000000"/>
          <w:szCs w:val="24"/>
        </w:rPr>
      </w:pPr>
      <w:r>
        <w:rPr>
          <w:rFonts w:cstheme="minorHAnsi"/>
          <w:snapToGrid/>
          <w:color w:val="000000"/>
          <w:szCs w:val="24"/>
        </w:rPr>
        <w:t xml:space="preserve">The </w:t>
      </w:r>
      <w:r w:rsidR="00504D20" w:rsidRPr="00504D20">
        <w:rPr>
          <w:rFonts w:cstheme="minorHAnsi"/>
          <w:snapToGrid/>
          <w:color w:val="000000"/>
          <w:szCs w:val="24"/>
        </w:rPr>
        <w:t xml:space="preserve">VDH’s Quality Assurance Project Plan was updated and approved by EPA in 2021 with a Quality Management Plan approved in 2023. Sampling methods are based on sections 9060 and 9060B of Standard Methods for the Examination of Water and Wastewater (APHA 2012). Standard procedures for laboratory analyses of water samples for </w:t>
      </w:r>
      <w:r w:rsidR="009D1D45">
        <w:rPr>
          <w:rFonts w:cstheme="minorHAnsi"/>
          <w:snapToGrid/>
          <w:color w:val="000000"/>
          <w:szCs w:val="24"/>
        </w:rPr>
        <w:t>E</w:t>
      </w:r>
      <w:r w:rsidR="00504D20" w:rsidRPr="00504D20">
        <w:rPr>
          <w:rFonts w:cstheme="minorHAnsi"/>
          <w:snapToGrid/>
          <w:color w:val="000000"/>
          <w:szCs w:val="24"/>
        </w:rPr>
        <w:t xml:space="preserve">nterococci are produced by the laboratories performing the service and are also included in the Quality Assurance Project Plan. Annual training is provided for all field personnel and their supervisors. </w:t>
      </w:r>
    </w:p>
    <w:p w14:paraId="0B271510" w14:textId="77777777" w:rsidR="00A04F3B" w:rsidRPr="003913EA" w:rsidRDefault="00A04F3B" w:rsidP="002959F6">
      <w:pPr>
        <w:widowControl/>
        <w:rPr>
          <w:rFonts w:eastAsia="Calibri" w:cstheme="minorHAnsi"/>
          <w:snapToGrid/>
          <w:szCs w:val="24"/>
        </w:rPr>
      </w:pPr>
    </w:p>
    <w:p w14:paraId="3CBB7194" w14:textId="2316A049" w:rsidR="002959F6" w:rsidRPr="004076BC" w:rsidRDefault="002959F6" w:rsidP="004076BC">
      <w:pPr>
        <w:pStyle w:val="Heading3"/>
      </w:pPr>
      <w:r w:rsidRPr="004076BC">
        <w:t>Data Management</w:t>
      </w:r>
    </w:p>
    <w:p w14:paraId="21CC3BF5" w14:textId="62DD1374" w:rsidR="00D8386F" w:rsidRPr="00D8386F" w:rsidRDefault="00AB35A7" w:rsidP="00D8386F">
      <w:pPr>
        <w:rPr>
          <w:rFonts w:cstheme="minorHAnsi"/>
          <w:color w:val="000000" w:themeColor="text1"/>
          <w:szCs w:val="24"/>
        </w:rPr>
      </w:pPr>
      <w:r>
        <w:rPr>
          <w:rFonts w:cstheme="minorHAnsi"/>
          <w:color w:val="000000" w:themeColor="text1"/>
          <w:szCs w:val="24"/>
        </w:rPr>
        <w:t xml:space="preserve">The </w:t>
      </w:r>
      <w:r w:rsidR="00D8386F" w:rsidRPr="00D8386F">
        <w:rPr>
          <w:rFonts w:cstheme="minorHAnsi"/>
          <w:color w:val="000000" w:themeColor="text1"/>
          <w:szCs w:val="24"/>
        </w:rPr>
        <w:t xml:space="preserve">VDH receives weekly results from laboratories by email. Timely data submission is emphasized so that the VDH BEACH Monitoring database, website, and social media page can be updated as soon as results are available. Timely data submission is mostly critical when exceedances of the Beach Action Value occur, and swimming advisories need to be issued. Upon receipt of results, VDH local health district staff enters laboratory results into a VDH database. </w:t>
      </w:r>
    </w:p>
    <w:p w14:paraId="4CAD0AD8" w14:textId="77777777" w:rsidR="00CC7BCD" w:rsidRPr="00D8386F" w:rsidRDefault="00CC7BCD" w:rsidP="002959F6">
      <w:pPr>
        <w:widowControl/>
        <w:rPr>
          <w:rFonts w:cstheme="minorHAnsi"/>
          <w:snapToGrid/>
          <w:color w:val="000000"/>
          <w:szCs w:val="24"/>
        </w:rPr>
      </w:pPr>
    </w:p>
    <w:p w14:paraId="295254AC" w14:textId="2160A3CF" w:rsidR="00CC7BCD" w:rsidRPr="000205F9" w:rsidRDefault="00CC7BCD" w:rsidP="000205F9">
      <w:pPr>
        <w:pStyle w:val="Heading3"/>
      </w:pPr>
      <w:r w:rsidRPr="000205F9">
        <w:lastRenderedPageBreak/>
        <w:t>Data Assessment</w:t>
      </w:r>
      <w:r w:rsidR="002E6E8E" w:rsidRPr="000205F9">
        <w:t xml:space="preserve"> and Reporting</w:t>
      </w:r>
    </w:p>
    <w:p w14:paraId="18D71DD8" w14:textId="62CF6A15" w:rsidR="00CC7BCD" w:rsidRPr="009321D4" w:rsidRDefault="00CC7BCD" w:rsidP="00641AB7">
      <w:pPr>
        <w:pStyle w:val="Heading4"/>
      </w:pPr>
      <w:r w:rsidRPr="009321D4">
        <w:t>Swimming advisories</w:t>
      </w:r>
    </w:p>
    <w:p w14:paraId="3E8E5909" w14:textId="18B6D1BF" w:rsidR="00EB739A" w:rsidRPr="004F12BA" w:rsidRDefault="00AA56B6" w:rsidP="004F12BA">
      <w:pPr>
        <w:widowControl/>
        <w:rPr>
          <w:rFonts w:cstheme="minorHAnsi"/>
          <w:snapToGrid/>
          <w:color w:val="000000"/>
          <w:szCs w:val="24"/>
        </w:rPr>
      </w:pPr>
      <w:r w:rsidRPr="00AA56B6">
        <w:rPr>
          <w:rFonts w:cstheme="minorHAnsi"/>
          <w:snapToGrid/>
          <w:color w:val="000000"/>
          <w:szCs w:val="24"/>
        </w:rPr>
        <w:t xml:space="preserve">During the 2024 assessment period, VDH compared beach water sample results with the Beach Action Value (BAV) for </w:t>
      </w:r>
      <w:r w:rsidR="000B5965">
        <w:rPr>
          <w:rFonts w:cstheme="minorHAnsi"/>
          <w:snapToGrid/>
          <w:color w:val="000000"/>
          <w:szCs w:val="24"/>
        </w:rPr>
        <w:t>E</w:t>
      </w:r>
      <w:r w:rsidRPr="00AA56B6">
        <w:rPr>
          <w:rFonts w:cstheme="minorHAnsi"/>
          <w:snapToGrid/>
          <w:color w:val="000000"/>
          <w:szCs w:val="24"/>
        </w:rPr>
        <w:t xml:space="preserve">nterococci. The results from several simultaneously collected samples at the same beach may be united into a single arithmetic average for comparison with the BAV, and for subsequent evaluation for issuing swimming advisories. The BAV for </w:t>
      </w:r>
      <w:r w:rsidR="009D1D45">
        <w:rPr>
          <w:rFonts w:cstheme="minorHAnsi"/>
          <w:snapToGrid/>
          <w:color w:val="000000"/>
          <w:szCs w:val="24"/>
        </w:rPr>
        <w:t>E</w:t>
      </w:r>
      <w:r w:rsidRPr="00AA56B6">
        <w:rPr>
          <w:rFonts w:cstheme="minorHAnsi"/>
          <w:snapToGrid/>
          <w:color w:val="000000"/>
          <w:szCs w:val="24"/>
        </w:rPr>
        <w:t>nterococci is 104 most probable number (MPN)/100</w:t>
      </w:r>
      <w:r w:rsidR="00AC6A1E">
        <w:rPr>
          <w:rFonts w:cstheme="minorHAnsi"/>
          <w:snapToGrid/>
          <w:color w:val="000000"/>
          <w:szCs w:val="24"/>
        </w:rPr>
        <w:t xml:space="preserve"> </w:t>
      </w:r>
      <w:proofErr w:type="spellStart"/>
      <w:r w:rsidRPr="00AA56B6">
        <w:rPr>
          <w:rFonts w:cstheme="minorHAnsi"/>
          <w:snapToGrid/>
          <w:color w:val="000000"/>
          <w:szCs w:val="24"/>
        </w:rPr>
        <w:t>m</w:t>
      </w:r>
      <w:r w:rsidR="00AC6A1E">
        <w:rPr>
          <w:rFonts w:cstheme="minorHAnsi"/>
          <w:snapToGrid/>
          <w:color w:val="000000"/>
          <w:szCs w:val="24"/>
        </w:rPr>
        <w:t>L</w:t>
      </w:r>
      <w:r w:rsidRPr="00AA56B6">
        <w:rPr>
          <w:rFonts w:cstheme="minorHAnsi"/>
          <w:snapToGrid/>
          <w:color w:val="000000"/>
          <w:szCs w:val="24"/>
        </w:rPr>
        <w:t>.</w:t>
      </w:r>
      <w:proofErr w:type="spellEnd"/>
      <w:r w:rsidRPr="00AA56B6">
        <w:rPr>
          <w:rFonts w:cstheme="minorHAnsi"/>
          <w:snapToGrid/>
          <w:color w:val="000000"/>
          <w:szCs w:val="24"/>
        </w:rPr>
        <w:t xml:space="preserve"> Sample results equal to or greater than 104 are placed under a swimming advisory. One sample exceedance of the BAV is sufficient to issue a swimming advisory. Additional information regarding the VDH BAV is available </w:t>
      </w:r>
      <w:proofErr w:type="gramStart"/>
      <w:r w:rsidRPr="00AA56B6">
        <w:rPr>
          <w:rFonts w:cstheme="minorHAnsi"/>
          <w:snapToGrid/>
          <w:color w:val="000000"/>
          <w:szCs w:val="24"/>
        </w:rPr>
        <w:t xml:space="preserve">at </w:t>
      </w:r>
      <w:r w:rsidR="007B40D3" w:rsidRPr="00626D47">
        <w:t>Virginia</w:t>
      </w:r>
      <w:proofErr w:type="gramEnd"/>
      <w:r w:rsidR="007B40D3" w:rsidRPr="00626D47">
        <w:t xml:space="preserve"> Administrative Code</w:t>
      </w:r>
      <w:r w:rsidR="00626D47">
        <w:t xml:space="preserve">, </w:t>
      </w:r>
      <w:r w:rsidR="007B40D3" w:rsidRPr="00626D47">
        <w:t>Title 12 Health - Agency 5</w:t>
      </w:r>
      <w:r w:rsidR="00626D47">
        <w:t>,</w:t>
      </w:r>
      <w:r w:rsidR="007B40D3" w:rsidRPr="00626D47">
        <w:t xml:space="preserve"> Department of Health - Chapter 135 Recreational Advisories</w:t>
      </w:r>
      <w:r w:rsidRPr="00AA56B6">
        <w:rPr>
          <w:rFonts w:cstheme="minorHAnsi"/>
          <w:snapToGrid/>
          <w:color w:val="000000"/>
          <w:szCs w:val="24"/>
        </w:rPr>
        <w:t>.</w:t>
      </w:r>
      <w:r w:rsidR="004F12BA">
        <w:rPr>
          <w:rFonts w:cstheme="minorHAnsi"/>
          <w:snapToGrid/>
          <w:color w:val="000000"/>
          <w:szCs w:val="24"/>
        </w:rPr>
        <w:t xml:space="preserve"> </w:t>
      </w:r>
      <w:r w:rsidR="00EB739A" w:rsidRPr="00EB739A">
        <w:rPr>
          <w:rFonts w:cstheme="minorHAnsi"/>
          <w:color w:val="000000" w:themeColor="text1"/>
          <w:szCs w:val="24"/>
        </w:rPr>
        <w:t>If there is an exceedance of the BAV, the beach is posted with a swimming advisory sign and procedures for contacting the locality where the beach is located are followed. A press release is issued locally to notify the public, and a follow-up water sample is collected and delivered to the lab as soon as possible. Procedures for this process are documented in the VDH’s Quality Assurance Project Plan.</w:t>
      </w:r>
    </w:p>
    <w:p w14:paraId="71CB55A4" w14:textId="77777777" w:rsidR="00CC7BCD" w:rsidRPr="00F04546" w:rsidRDefault="00CC7BCD" w:rsidP="00CC7BCD">
      <w:pPr>
        <w:widowControl/>
        <w:rPr>
          <w:rFonts w:cstheme="minorHAnsi"/>
          <w:b/>
          <w:i/>
          <w:snapToGrid/>
          <w:color w:val="000000"/>
          <w:szCs w:val="24"/>
        </w:rPr>
      </w:pPr>
    </w:p>
    <w:p w14:paraId="6DEFE40E" w14:textId="5E888966" w:rsidR="00CC7BCD" w:rsidRPr="00F04546" w:rsidRDefault="00CC7BCD" w:rsidP="00D6216B">
      <w:pPr>
        <w:pStyle w:val="Heading4"/>
        <w:rPr>
          <w:b w:val="0"/>
          <w:snapToGrid/>
        </w:rPr>
      </w:pPr>
      <w:r w:rsidRPr="00F04546">
        <w:rPr>
          <w:snapToGrid/>
        </w:rPr>
        <w:t>305(b)/303(d) Assessment and Reporting</w:t>
      </w:r>
    </w:p>
    <w:p w14:paraId="270CDD08" w14:textId="2B5C515B" w:rsidR="00CC7BCD" w:rsidRPr="00F04546" w:rsidRDefault="00CC7BCD" w:rsidP="00CC7BCD">
      <w:pPr>
        <w:widowControl/>
        <w:rPr>
          <w:rFonts w:cstheme="minorHAnsi"/>
          <w:snapToGrid/>
          <w:color w:val="000000"/>
          <w:szCs w:val="24"/>
        </w:rPr>
      </w:pPr>
      <w:r w:rsidRPr="00F04546">
        <w:rPr>
          <w:rFonts w:cstheme="minorHAnsi"/>
          <w:snapToGrid/>
          <w:color w:val="000000"/>
          <w:szCs w:val="24"/>
        </w:rPr>
        <w:t xml:space="preserve">As previously stated, the specific 305(b) assessment methodologies for using (1) swimming advisories and/or (2) the </w:t>
      </w:r>
      <w:r w:rsidR="009D1D45">
        <w:rPr>
          <w:rFonts w:cstheme="minorHAnsi"/>
          <w:snapToGrid/>
          <w:color w:val="000000"/>
          <w:szCs w:val="24"/>
        </w:rPr>
        <w:t>E</w:t>
      </w:r>
      <w:r w:rsidRPr="00F04546">
        <w:rPr>
          <w:rFonts w:cstheme="minorHAnsi"/>
          <w:snapToGrid/>
          <w:color w:val="000000"/>
          <w:szCs w:val="24"/>
        </w:rPr>
        <w:t>nterococci concentration data from the BEACH Program were discussed by VDH and DEQ. The final decision on appropriate methodologies is incorporated into the 202</w:t>
      </w:r>
      <w:r w:rsidR="00D25C08">
        <w:rPr>
          <w:rFonts w:cstheme="minorHAnsi"/>
          <w:snapToGrid/>
          <w:color w:val="000000"/>
          <w:szCs w:val="24"/>
        </w:rPr>
        <w:t>4</w:t>
      </w:r>
      <w:r w:rsidRPr="00F04546">
        <w:rPr>
          <w:rFonts w:cstheme="minorHAnsi"/>
          <w:snapToGrid/>
          <w:color w:val="000000"/>
          <w:szCs w:val="24"/>
        </w:rPr>
        <w:t xml:space="preserve"> Assessment Guidance Manual for the Integrated 305(b)/303(d) Report.</w:t>
      </w:r>
    </w:p>
    <w:p w14:paraId="33883DC5" w14:textId="77777777" w:rsidR="00CC7BCD" w:rsidRPr="00F04546" w:rsidRDefault="00CC7BCD" w:rsidP="001E43E9">
      <w:pPr>
        <w:widowControl/>
        <w:rPr>
          <w:rFonts w:eastAsia="Calibri" w:cstheme="minorHAnsi"/>
          <w:snapToGrid/>
          <w:color w:val="000000"/>
          <w:szCs w:val="24"/>
        </w:rPr>
      </w:pPr>
    </w:p>
    <w:p w14:paraId="4FAA85D3" w14:textId="77D286B7" w:rsidR="00CC7BCD" w:rsidRPr="00F04546" w:rsidRDefault="00CC7BCD" w:rsidP="00D6216B">
      <w:pPr>
        <w:pStyle w:val="Heading4"/>
        <w:rPr>
          <w:rFonts w:eastAsia="Calibri"/>
          <w:b w:val="0"/>
          <w:snapToGrid/>
        </w:rPr>
      </w:pPr>
      <w:r w:rsidRPr="009321D4">
        <w:t>Reporting</w:t>
      </w:r>
    </w:p>
    <w:p w14:paraId="35EC1686" w14:textId="60C24DA7" w:rsidR="005D5B37" w:rsidRPr="005D5B37" w:rsidRDefault="005D5B37" w:rsidP="005D5B37">
      <w:pPr>
        <w:rPr>
          <w:rFonts w:cstheme="minorHAnsi"/>
          <w:color w:val="000000" w:themeColor="text1"/>
          <w:szCs w:val="24"/>
        </w:rPr>
      </w:pPr>
      <w:r w:rsidRPr="005D5B37">
        <w:rPr>
          <w:rFonts w:cstheme="minorHAnsi"/>
          <w:color w:val="000000" w:themeColor="text1"/>
          <w:szCs w:val="24"/>
        </w:rPr>
        <w:t>If sample results exceed the BAV, the beach is posted with a swimming advisory sign, the public is notified through press releases to local newspapers, and an advisory is posted on the</w:t>
      </w:r>
      <w:r w:rsidRPr="003D364C">
        <w:rPr>
          <w:rFonts w:cstheme="minorHAnsi"/>
          <w:szCs w:val="24"/>
        </w:rPr>
        <w:t xml:space="preserve"> VDH Beach Advisory Map</w:t>
      </w:r>
      <w:r w:rsidRPr="005D5B37">
        <w:rPr>
          <w:rFonts w:cstheme="minorHAnsi"/>
          <w:color w:val="000000" w:themeColor="text1"/>
          <w:szCs w:val="24"/>
        </w:rPr>
        <w:t xml:space="preserve"> and on </w:t>
      </w:r>
      <w:proofErr w:type="gramStart"/>
      <w:r w:rsidRPr="005D5B37">
        <w:rPr>
          <w:rFonts w:cstheme="minorHAnsi"/>
          <w:color w:val="000000" w:themeColor="text1"/>
          <w:szCs w:val="24"/>
        </w:rPr>
        <w:t>the @</w:t>
      </w:r>
      <w:proofErr w:type="gramEnd"/>
      <w:r w:rsidRPr="005D5B37">
        <w:rPr>
          <w:rFonts w:cstheme="minorHAnsi"/>
          <w:color w:val="000000" w:themeColor="text1"/>
          <w:szCs w:val="24"/>
        </w:rPr>
        <w:t>VDHBeach X social media page.</w:t>
      </w:r>
      <w:r w:rsidR="003D364C">
        <w:rPr>
          <w:rFonts w:cstheme="minorHAnsi"/>
          <w:color w:val="000000" w:themeColor="text1"/>
          <w:szCs w:val="24"/>
        </w:rPr>
        <w:t xml:space="preserve"> </w:t>
      </w:r>
      <w:r w:rsidRPr="005D5B37">
        <w:rPr>
          <w:rFonts w:cstheme="minorHAnsi"/>
          <w:color w:val="000000" w:themeColor="text1"/>
          <w:szCs w:val="24"/>
        </w:rPr>
        <w:t>Sample results and public notification data are submitted to EPA annually</w:t>
      </w:r>
      <w:r w:rsidR="00AA2002">
        <w:rPr>
          <w:rFonts w:cstheme="minorHAnsi"/>
          <w:color w:val="000000" w:themeColor="text1"/>
          <w:szCs w:val="24"/>
        </w:rPr>
        <w:t xml:space="preserve">. </w:t>
      </w:r>
      <w:r w:rsidRPr="005D5B37">
        <w:rPr>
          <w:rFonts w:cstheme="minorHAnsi"/>
          <w:color w:val="000000" w:themeColor="text1"/>
          <w:szCs w:val="24"/>
        </w:rPr>
        <w:t xml:space="preserve">Data collected by the BEACH Program </w:t>
      </w:r>
      <w:proofErr w:type="gramStart"/>
      <w:r w:rsidRPr="005D5B37">
        <w:rPr>
          <w:rFonts w:cstheme="minorHAnsi"/>
          <w:color w:val="000000" w:themeColor="text1"/>
          <w:szCs w:val="24"/>
        </w:rPr>
        <w:t>are</w:t>
      </w:r>
      <w:proofErr w:type="gramEnd"/>
      <w:r w:rsidRPr="005D5B37">
        <w:rPr>
          <w:rFonts w:cstheme="minorHAnsi"/>
          <w:color w:val="000000" w:themeColor="text1"/>
          <w:szCs w:val="24"/>
        </w:rPr>
        <w:t xml:space="preserve"> available to DEQ for use in the agency’s biennial Integrated 305(b)/303(d) Report via email request or download from the </w:t>
      </w:r>
      <w:r w:rsidRPr="00083039">
        <w:rPr>
          <w:rFonts w:cstheme="minorHAnsi"/>
          <w:szCs w:val="24"/>
        </w:rPr>
        <w:t>Beach Monitoring Statistics</w:t>
      </w:r>
      <w:r w:rsidRPr="005D5B37">
        <w:rPr>
          <w:rFonts w:cstheme="minorHAnsi"/>
          <w:szCs w:val="24"/>
        </w:rPr>
        <w:t xml:space="preserve"> page</w:t>
      </w:r>
      <w:r w:rsidRPr="005D5B37">
        <w:rPr>
          <w:rFonts w:cstheme="minorHAnsi"/>
          <w:color w:val="000000" w:themeColor="text1"/>
          <w:szCs w:val="24"/>
        </w:rPr>
        <w:t>.</w:t>
      </w:r>
    </w:p>
    <w:p w14:paraId="2FBD1BD6" w14:textId="77777777" w:rsidR="00F04546" w:rsidRPr="00F04546" w:rsidRDefault="00F04546" w:rsidP="00CC7BCD">
      <w:pPr>
        <w:widowControl/>
        <w:rPr>
          <w:rFonts w:eastAsia="Calibri" w:cstheme="minorHAnsi"/>
          <w:snapToGrid/>
          <w:szCs w:val="24"/>
        </w:rPr>
      </w:pPr>
    </w:p>
    <w:p w14:paraId="60196678" w14:textId="124A4C70" w:rsidR="00CC7BCD" w:rsidRPr="00F04546" w:rsidRDefault="0017386D" w:rsidP="00D6216B">
      <w:pPr>
        <w:pStyle w:val="Heading4"/>
        <w:rPr>
          <w:rFonts w:eastAsia="Calibri"/>
          <w:b w:val="0"/>
          <w:snapToGrid/>
        </w:rPr>
      </w:pPr>
      <w:r w:rsidRPr="00F04546">
        <w:rPr>
          <w:rFonts w:eastAsia="Calibri"/>
          <w:snapToGrid/>
        </w:rPr>
        <w:t xml:space="preserve">General Support and </w:t>
      </w:r>
      <w:r w:rsidR="00CC7BCD" w:rsidRPr="009321D4">
        <w:t>Programmatic</w:t>
      </w:r>
      <w:r w:rsidR="00CC7BCD" w:rsidRPr="00F04546">
        <w:rPr>
          <w:rFonts w:eastAsia="Calibri"/>
          <w:snapToGrid/>
        </w:rPr>
        <w:t xml:space="preserve"> Evaluation</w:t>
      </w:r>
    </w:p>
    <w:p w14:paraId="283FD9BF" w14:textId="6D9405C3" w:rsidR="006F279F" w:rsidRPr="00E510C7" w:rsidRDefault="0017386D" w:rsidP="002959F6">
      <w:pPr>
        <w:widowControl/>
      </w:pPr>
      <w:r w:rsidRPr="00F04546">
        <w:rPr>
          <w:rFonts w:cstheme="minorHAnsi"/>
          <w:snapToGrid/>
          <w:color w:val="000000"/>
          <w:szCs w:val="24"/>
        </w:rPr>
        <w:t xml:space="preserve">The BEACH Program is </w:t>
      </w:r>
      <w:r>
        <w:rPr>
          <w:rFonts w:cstheme="minorHAnsi"/>
          <w:snapToGrid/>
          <w:color w:val="000000"/>
          <w:szCs w:val="24"/>
        </w:rPr>
        <w:t>funded by a federal grant.</w:t>
      </w:r>
      <w:r w:rsidRPr="00F04546">
        <w:rPr>
          <w:rFonts w:cstheme="minorHAnsi"/>
          <w:snapToGrid/>
          <w:color w:val="000000"/>
          <w:szCs w:val="24"/>
        </w:rPr>
        <w:t xml:space="preserve"> </w:t>
      </w:r>
      <w:r>
        <w:rPr>
          <w:rFonts w:cstheme="minorHAnsi"/>
          <w:snapToGrid/>
          <w:color w:val="000000"/>
          <w:szCs w:val="24"/>
        </w:rPr>
        <w:t>Yearly budgets and</w:t>
      </w:r>
      <w:r w:rsidR="00CC7BCD" w:rsidRPr="00F04546">
        <w:rPr>
          <w:rFonts w:cstheme="minorHAnsi"/>
          <w:snapToGrid/>
          <w:color w:val="000000"/>
          <w:szCs w:val="24"/>
        </w:rPr>
        <w:t xml:space="preserve"> reviews of the proposals, progress reports, and database submissions are mechanisms for programmatic evaluation by EPA. </w:t>
      </w:r>
      <w:r w:rsidR="00AB35A7">
        <w:rPr>
          <w:rFonts w:cstheme="minorHAnsi"/>
          <w:snapToGrid/>
          <w:color w:val="000000"/>
          <w:szCs w:val="24"/>
        </w:rPr>
        <w:t xml:space="preserve">The </w:t>
      </w:r>
      <w:r w:rsidR="00453555" w:rsidRPr="00F04546">
        <w:rPr>
          <w:rFonts w:cstheme="minorHAnsi"/>
          <w:snapToGrid/>
          <w:color w:val="000000"/>
          <w:szCs w:val="24"/>
        </w:rPr>
        <w:t xml:space="preserve">VDH participates in monthly conference calls and annual meetings with EPA to review the BEACH Program in Virginia. </w:t>
      </w:r>
      <w:r w:rsidR="00CC7BCD" w:rsidRPr="00F04546">
        <w:rPr>
          <w:rFonts w:cstheme="minorHAnsi"/>
          <w:snapToGrid/>
          <w:color w:val="000000"/>
          <w:szCs w:val="24"/>
        </w:rPr>
        <w:t>Within VDH, there is routine communication between the Division of Shellfish Safety and Waterborne Hazards and the participating health districts, and weekly reviews of data from each participating health district are performed by VDH’s BEACH Coordinator and support staff. Future changes in methodol</w:t>
      </w:r>
      <w:r w:rsidR="00CC7BCD" w:rsidRPr="00B359F1">
        <w:rPr>
          <w:rFonts w:cstheme="minorHAnsi"/>
          <w:snapToGrid/>
          <w:color w:val="000000"/>
          <w:szCs w:val="24"/>
        </w:rPr>
        <w:t>ogies will depend upon EPA recommendations, and expansion of the current program may occur in response to the opening of new public beaches or their identification by local health districts.</w:t>
      </w:r>
      <w:r w:rsidR="00B359F1" w:rsidRPr="00B359F1">
        <w:rPr>
          <w:rFonts w:cstheme="minorHAnsi"/>
          <w:color w:val="000000" w:themeColor="text1"/>
          <w:szCs w:val="24"/>
        </w:rPr>
        <w:t xml:space="preserve"> </w:t>
      </w:r>
    </w:p>
    <w:p w14:paraId="5018F808" w14:textId="77777777" w:rsidR="00317F4D" w:rsidRDefault="00317F4D" w:rsidP="002959F6">
      <w:pPr>
        <w:widowControl/>
        <w:rPr>
          <w:rFonts w:cstheme="minorHAnsi"/>
        </w:rPr>
      </w:pPr>
    </w:p>
    <w:p w14:paraId="140B3BDB" w14:textId="77777777" w:rsidR="00317F4D" w:rsidRPr="004F12BA" w:rsidRDefault="00317F4D" w:rsidP="002959F6">
      <w:pPr>
        <w:widowControl/>
        <w:rPr>
          <w:rFonts w:cstheme="minorHAnsi"/>
          <w:snapToGrid/>
          <w:color w:val="000000"/>
          <w:szCs w:val="24"/>
        </w:rPr>
      </w:pPr>
    </w:p>
    <w:p w14:paraId="0E415D34" w14:textId="37A438B5" w:rsidR="000234AF" w:rsidRPr="00E243FE" w:rsidRDefault="000234AF" w:rsidP="00E243FE">
      <w:pPr>
        <w:pStyle w:val="Heading2"/>
        <w:rPr>
          <w:rFonts w:eastAsia="Calibri"/>
        </w:rPr>
      </w:pPr>
      <w:bookmarkStart w:id="61" w:name="_Toc152763308"/>
      <w:bookmarkStart w:id="62" w:name="_Toc155771954"/>
      <w:bookmarkStart w:id="63" w:name="_Toc191900433"/>
      <w:r w:rsidRPr="00E243FE">
        <w:rPr>
          <w:rFonts w:eastAsia="Calibri"/>
        </w:rPr>
        <w:lastRenderedPageBreak/>
        <w:t>Citizen and O</w:t>
      </w:r>
      <w:r w:rsidR="00F6269D" w:rsidRPr="00E243FE">
        <w:rPr>
          <w:rFonts w:eastAsia="Calibri"/>
        </w:rPr>
        <w:t>utside</w:t>
      </w:r>
      <w:r w:rsidRPr="00E243FE">
        <w:rPr>
          <w:rFonts w:eastAsia="Calibri"/>
        </w:rPr>
        <w:t>-Agency Water Quality Monitoring Program</w:t>
      </w:r>
      <w:r w:rsidR="00F6269D" w:rsidRPr="00E243FE">
        <w:rPr>
          <w:rFonts w:eastAsia="Calibri"/>
        </w:rPr>
        <w:t>s</w:t>
      </w:r>
      <w:bookmarkEnd w:id="61"/>
      <w:bookmarkEnd w:id="62"/>
      <w:bookmarkEnd w:id="63"/>
    </w:p>
    <w:p w14:paraId="773D9454" w14:textId="09077DFB" w:rsidR="001B0E50" w:rsidRPr="000234AF" w:rsidRDefault="001B0E50" w:rsidP="001B0E50">
      <w:pPr>
        <w:widowControl/>
        <w:rPr>
          <w:rFonts w:cstheme="minorHAnsi"/>
          <w:snapToGrid/>
          <w:color w:val="000000"/>
          <w:szCs w:val="24"/>
        </w:rPr>
      </w:pPr>
      <w:r w:rsidRPr="000234AF">
        <w:rPr>
          <w:rFonts w:cstheme="minorHAnsi"/>
          <w:snapToGrid/>
          <w:color w:val="000000"/>
          <w:szCs w:val="24"/>
        </w:rPr>
        <w:t xml:space="preserve">Citizen water quality monitoring has been a stewardship activity in Virginia for many years. As both the volume and quality of water monitoring data collected by entities other than DEQ has increased, so has the </w:t>
      </w:r>
      <w:r w:rsidR="00453555">
        <w:rPr>
          <w:rFonts w:cstheme="minorHAnsi"/>
          <w:snapToGrid/>
          <w:color w:val="000000"/>
          <w:szCs w:val="24"/>
        </w:rPr>
        <w:t>interest</w:t>
      </w:r>
      <w:r w:rsidR="00453555" w:rsidRPr="000234AF">
        <w:rPr>
          <w:rFonts w:cstheme="minorHAnsi"/>
          <w:snapToGrid/>
          <w:color w:val="000000"/>
          <w:szCs w:val="24"/>
        </w:rPr>
        <w:t xml:space="preserve"> </w:t>
      </w:r>
      <w:r w:rsidRPr="000234AF">
        <w:rPr>
          <w:rFonts w:cstheme="minorHAnsi"/>
          <w:snapToGrid/>
          <w:color w:val="000000"/>
          <w:szCs w:val="24"/>
        </w:rPr>
        <w:t xml:space="preserve">by many of these organizations to </w:t>
      </w:r>
      <w:r w:rsidR="00453555">
        <w:rPr>
          <w:rFonts w:cstheme="minorHAnsi"/>
          <w:snapToGrid/>
          <w:color w:val="000000"/>
          <w:szCs w:val="24"/>
        </w:rPr>
        <w:t>see</w:t>
      </w:r>
      <w:r w:rsidR="00453555" w:rsidRPr="000234AF">
        <w:rPr>
          <w:rFonts w:cstheme="minorHAnsi"/>
          <w:snapToGrid/>
          <w:color w:val="000000"/>
          <w:szCs w:val="24"/>
        </w:rPr>
        <w:t xml:space="preserve"> </w:t>
      </w:r>
      <w:r w:rsidR="00453555">
        <w:rPr>
          <w:rFonts w:cstheme="minorHAnsi"/>
          <w:snapToGrid/>
          <w:color w:val="000000"/>
          <w:szCs w:val="24"/>
        </w:rPr>
        <w:t xml:space="preserve">DEQ expand use of </w:t>
      </w:r>
      <w:r w:rsidRPr="000234AF">
        <w:rPr>
          <w:rFonts w:cstheme="minorHAnsi"/>
          <w:snapToGrid/>
          <w:color w:val="000000"/>
          <w:szCs w:val="24"/>
        </w:rPr>
        <w:t>submitted data</w:t>
      </w:r>
      <w:r w:rsidR="00453555">
        <w:rPr>
          <w:rFonts w:cstheme="minorHAnsi"/>
          <w:snapToGrid/>
          <w:color w:val="000000"/>
          <w:szCs w:val="24"/>
        </w:rPr>
        <w:t xml:space="preserve"> in Virginia’s water quality assessments. </w:t>
      </w:r>
      <w:r w:rsidRPr="000234AF">
        <w:rPr>
          <w:rFonts w:cstheme="minorHAnsi"/>
          <w:snapToGrid/>
          <w:color w:val="000000"/>
          <w:szCs w:val="24"/>
        </w:rPr>
        <w:t xml:space="preserve">Since 1999, the agency has encouraged citizen water quality monitoring by providing technical and, when possible, financial support. In addition to support for citizen monitoring, the agency has been actively attempting to expand our partnerships </w:t>
      </w:r>
      <w:r>
        <w:rPr>
          <w:rFonts w:cstheme="minorHAnsi"/>
          <w:snapToGrid/>
          <w:color w:val="000000"/>
          <w:szCs w:val="24"/>
        </w:rPr>
        <w:t>with other</w:t>
      </w:r>
      <w:r w:rsidRPr="000234AF">
        <w:rPr>
          <w:rFonts w:cstheme="minorHAnsi"/>
          <w:snapToGrid/>
          <w:color w:val="000000"/>
          <w:szCs w:val="24"/>
        </w:rPr>
        <w:t xml:space="preserve"> water quality monitoring programs.</w:t>
      </w:r>
      <w:r w:rsidR="008A2142">
        <w:rPr>
          <w:rFonts w:cstheme="minorHAnsi"/>
          <w:snapToGrid/>
          <w:color w:val="000000"/>
          <w:szCs w:val="24"/>
        </w:rPr>
        <w:t xml:space="preserve"> </w:t>
      </w:r>
      <w:r w:rsidR="00B6140A">
        <w:rPr>
          <w:rFonts w:cstheme="minorHAnsi"/>
          <w:snapToGrid/>
          <w:color w:val="000000"/>
          <w:szCs w:val="24"/>
        </w:rPr>
        <w:t>A more in-depth description of</w:t>
      </w:r>
      <w:r w:rsidR="00684657">
        <w:rPr>
          <w:rFonts w:cstheme="minorHAnsi"/>
          <w:snapToGrid/>
          <w:color w:val="000000"/>
          <w:szCs w:val="24"/>
        </w:rPr>
        <w:t xml:space="preserve"> the </w:t>
      </w:r>
      <w:r w:rsidR="00B6140A">
        <w:rPr>
          <w:rFonts w:cstheme="minorHAnsi"/>
          <w:snapToGrid/>
          <w:color w:val="000000"/>
          <w:szCs w:val="24"/>
        </w:rPr>
        <w:t>C</w:t>
      </w:r>
      <w:r w:rsidR="00684657">
        <w:rPr>
          <w:rFonts w:cstheme="minorHAnsi"/>
          <w:snapToGrid/>
          <w:color w:val="000000"/>
          <w:szCs w:val="24"/>
        </w:rPr>
        <w:t xml:space="preserve">itizen </w:t>
      </w:r>
      <w:r w:rsidR="00153191">
        <w:rPr>
          <w:rFonts w:cstheme="minorHAnsi"/>
          <w:snapToGrid/>
          <w:color w:val="000000"/>
          <w:szCs w:val="24"/>
        </w:rPr>
        <w:t>M</w:t>
      </w:r>
      <w:r w:rsidR="00684657">
        <w:rPr>
          <w:rFonts w:cstheme="minorHAnsi"/>
          <w:snapToGrid/>
          <w:color w:val="000000"/>
          <w:szCs w:val="24"/>
        </w:rPr>
        <w:t xml:space="preserve">onitoring program at DEQ is available </w:t>
      </w:r>
      <w:r w:rsidR="00FF7293">
        <w:rPr>
          <w:rFonts w:cstheme="minorHAnsi"/>
          <w:snapToGrid/>
          <w:color w:val="000000"/>
          <w:szCs w:val="24"/>
        </w:rPr>
        <w:t xml:space="preserve">in the </w:t>
      </w:r>
      <w:r w:rsidR="00153191">
        <w:rPr>
          <w:rFonts w:cstheme="minorHAnsi"/>
          <w:snapToGrid/>
          <w:color w:val="000000"/>
          <w:szCs w:val="24"/>
        </w:rPr>
        <w:t>C</w:t>
      </w:r>
      <w:r w:rsidR="00FF7293">
        <w:rPr>
          <w:rFonts w:cstheme="minorHAnsi"/>
          <w:snapToGrid/>
          <w:color w:val="000000"/>
          <w:szCs w:val="24"/>
        </w:rPr>
        <w:t xml:space="preserve">itizen </w:t>
      </w:r>
      <w:r w:rsidR="00153191">
        <w:rPr>
          <w:rFonts w:cstheme="minorHAnsi"/>
          <w:snapToGrid/>
          <w:color w:val="000000"/>
          <w:szCs w:val="24"/>
        </w:rPr>
        <w:t>Mo</w:t>
      </w:r>
      <w:r w:rsidR="00FF7293">
        <w:rPr>
          <w:rFonts w:cstheme="minorHAnsi"/>
          <w:snapToGrid/>
          <w:color w:val="000000"/>
          <w:szCs w:val="24"/>
        </w:rPr>
        <w:t xml:space="preserve">nitoring </w:t>
      </w:r>
      <w:r w:rsidR="00153191">
        <w:rPr>
          <w:rFonts w:cstheme="minorHAnsi"/>
          <w:snapToGrid/>
          <w:color w:val="000000"/>
          <w:szCs w:val="24"/>
        </w:rPr>
        <w:t>M</w:t>
      </w:r>
      <w:r w:rsidR="00FF7293">
        <w:rPr>
          <w:rFonts w:cstheme="minorHAnsi"/>
          <w:snapToGrid/>
          <w:color w:val="000000"/>
          <w:szCs w:val="24"/>
        </w:rPr>
        <w:t xml:space="preserve">ethods </w:t>
      </w:r>
      <w:r w:rsidR="00153191">
        <w:rPr>
          <w:rFonts w:cstheme="minorHAnsi"/>
          <w:snapToGrid/>
          <w:color w:val="000000"/>
          <w:szCs w:val="24"/>
        </w:rPr>
        <w:t>M</w:t>
      </w:r>
      <w:r w:rsidR="00FF7293">
        <w:rPr>
          <w:rFonts w:cstheme="minorHAnsi"/>
          <w:snapToGrid/>
          <w:color w:val="000000"/>
          <w:szCs w:val="24"/>
        </w:rPr>
        <w:t xml:space="preserve">anual found at DEQ’s </w:t>
      </w:r>
      <w:r w:rsidR="00153191">
        <w:rPr>
          <w:rFonts w:cstheme="minorHAnsi"/>
          <w:snapToGrid/>
          <w:color w:val="000000"/>
          <w:szCs w:val="24"/>
        </w:rPr>
        <w:t>C</w:t>
      </w:r>
      <w:r w:rsidR="00FF7293">
        <w:rPr>
          <w:rFonts w:cstheme="minorHAnsi"/>
          <w:snapToGrid/>
          <w:color w:val="000000"/>
          <w:szCs w:val="24"/>
        </w:rPr>
        <w:t xml:space="preserve">itizen </w:t>
      </w:r>
      <w:r w:rsidR="00153191">
        <w:rPr>
          <w:rFonts w:cstheme="minorHAnsi"/>
          <w:snapToGrid/>
          <w:color w:val="000000"/>
          <w:szCs w:val="24"/>
        </w:rPr>
        <w:t>M</w:t>
      </w:r>
      <w:r w:rsidR="00FF7293">
        <w:rPr>
          <w:rFonts w:cstheme="minorHAnsi"/>
          <w:snapToGrid/>
          <w:color w:val="000000"/>
          <w:szCs w:val="24"/>
        </w:rPr>
        <w:t xml:space="preserve">onitoring webpage. </w:t>
      </w:r>
    </w:p>
    <w:p w14:paraId="5943CCC9" w14:textId="77777777" w:rsidR="001B0E50" w:rsidRPr="000234AF" w:rsidRDefault="001B0E50" w:rsidP="001B0E50">
      <w:pPr>
        <w:widowControl/>
        <w:rPr>
          <w:rFonts w:cstheme="minorHAnsi"/>
          <w:snapToGrid/>
          <w:color w:val="000000"/>
          <w:szCs w:val="24"/>
        </w:rPr>
      </w:pPr>
    </w:p>
    <w:p w14:paraId="6D9AA9D9" w14:textId="77777777" w:rsidR="005B2952" w:rsidRDefault="001B0E50" w:rsidP="001B0E50">
      <w:pPr>
        <w:widowControl/>
        <w:rPr>
          <w:rFonts w:cstheme="minorHAnsi"/>
          <w:snapToGrid/>
          <w:color w:val="000000"/>
          <w:szCs w:val="24"/>
        </w:rPr>
      </w:pPr>
      <w:r w:rsidRPr="000234AF">
        <w:rPr>
          <w:rFonts w:cstheme="minorHAnsi"/>
          <w:snapToGrid/>
          <w:color w:val="000000"/>
          <w:szCs w:val="24"/>
        </w:rPr>
        <w:t xml:space="preserve">DEQ currently has contacts with over 200 </w:t>
      </w:r>
      <w:proofErr w:type="gramStart"/>
      <w:r w:rsidRPr="000234AF">
        <w:rPr>
          <w:rFonts w:cstheme="minorHAnsi"/>
          <w:snapToGrid/>
          <w:color w:val="000000"/>
          <w:szCs w:val="24"/>
        </w:rPr>
        <w:t>citizen</w:t>
      </w:r>
      <w:proofErr w:type="gramEnd"/>
      <w:r w:rsidRPr="000234AF">
        <w:rPr>
          <w:rFonts w:cstheme="minorHAnsi"/>
          <w:snapToGrid/>
          <w:color w:val="000000"/>
          <w:szCs w:val="24"/>
        </w:rPr>
        <w:t xml:space="preserve"> and other monitoring organizations. During this 202</w:t>
      </w:r>
      <w:r>
        <w:rPr>
          <w:rFonts w:cstheme="minorHAnsi"/>
          <w:snapToGrid/>
          <w:color w:val="000000"/>
          <w:szCs w:val="24"/>
        </w:rPr>
        <w:t>4</w:t>
      </w:r>
      <w:r w:rsidRPr="000234AF">
        <w:rPr>
          <w:rFonts w:cstheme="minorHAnsi"/>
          <w:snapToGrid/>
          <w:color w:val="000000"/>
          <w:szCs w:val="24"/>
        </w:rPr>
        <w:t xml:space="preserve"> assessment cycle (data from 201</w:t>
      </w:r>
      <w:r>
        <w:rPr>
          <w:rFonts w:cstheme="minorHAnsi"/>
          <w:snapToGrid/>
          <w:color w:val="000000"/>
          <w:szCs w:val="24"/>
        </w:rPr>
        <w:t>7</w:t>
      </w:r>
      <w:r w:rsidRPr="000234AF">
        <w:rPr>
          <w:rFonts w:cstheme="minorHAnsi"/>
          <w:snapToGrid/>
          <w:color w:val="000000"/>
          <w:szCs w:val="24"/>
        </w:rPr>
        <w:t>-202</w:t>
      </w:r>
      <w:r>
        <w:rPr>
          <w:rFonts w:cstheme="minorHAnsi"/>
          <w:snapToGrid/>
          <w:color w:val="000000"/>
          <w:szCs w:val="24"/>
        </w:rPr>
        <w:t>2</w:t>
      </w:r>
      <w:r w:rsidRPr="000234AF">
        <w:rPr>
          <w:rFonts w:cstheme="minorHAnsi"/>
          <w:snapToGrid/>
          <w:color w:val="000000"/>
          <w:szCs w:val="24"/>
        </w:rPr>
        <w:t xml:space="preserve">), DEQ received data from </w:t>
      </w:r>
      <w:r>
        <w:rPr>
          <w:rFonts w:cstheme="minorHAnsi"/>
          <w:snapToGrid/>
          <w:color w:val="000000"/>
          <w:szCs w:val="24"/>
        </w:rPr>
        <w:t>78</w:t>
      </w:r>
      <w:r w:rsidRPr="000234AF">
        <w:rPr>
          <w:rFonts w:cstheme="minorHAnsi"/>
          <w:snapToGrid/>
          <w:color w:val="000000"/>
          <w:szCs w:val="24"/>
        </w:rPr>
        <w:t xml:space="preserve"> citizen monitoring groups, representing 1,</w:t>
      </w:r>
      <w:r>
        <w:rPr>
          <w:rFonts w:cstheme="minorHAnsi"/>
          <w:snapToGrid/>
          <w:color w:val="000000"/>
          <w:szCs w:val="24"/>
        </w:rPr>
        <w:t>812</w:t>
      </w:r>
      <w:r w:rsidRPr="000234AF">
        <w:rPr>
          <w:rFonts w:cstheme="minorHAnsi"/>
          <w:snapToGrid/>
          <w:color w:val="000000"/>
          <w:szCs w:val="24"/>
        </w:rPr>
        <w:t xml:space="preserve"> monitoring locations. The agency also received data from 1</w:t>
      </w:r>
      <w:r>
        <w:rPr>
          <w:rFonts w:cstheme="minorHAnsi"/>
          <w:snapToGrid/>
          <w:color w:val="000000"/>
          <w:szCs w:val="24"/>
        </w:rPr>
        <w:t>3</w:t>
      </w:r>
      <w:r w:rsidRPr="000234AF">
        <w:rPr>
          <w:rFonts w:cstheme="minorHAnsi"/>
          <w:snapToGrid/>
          <w:color w:val="000000"/>
          <w:szCs w:val="24"/>
        </w:rPr>
        <w:t xml:space="preserve"> local, state</w:t>
      </w:r>
      <w:r>
        <w:rPr>
          <w:rFonts w:cstheme="minorHAnsi"/>
          <w:snapToGrid/>
          <w:color w:val="000000"/>
          <w:szCs w:val="24"/>
        </w:rPr>
        <w:t>,</w:t>
      </w:r>
      <w:r w:rsidRPr="000234AF">
        <w:rPr>
          <w:rFonts w:cstheme="minorHAnsi"/>
          <w:snapToGrid/>
          <w:color w:val="000000"/>
          <w:szCs w:val="24"/>
        </w:rPr>
        <w:t xml:space="preserve"> and federal government organizations external to DEQ (referred to hereafter as outside agencies). Data submitted by outside agencies represented an additional </w:t>
      </w:r>
      <w:r>
        <w:rPr>
          <w:rFonts w:cstheme="minorHAnsi"/>
          <w:snapToGrid/>
          <w:color w:val="000000"/>
          <w:szCs w:val="24"/>
        </w:rPr>
        <w:t>351</w:t>
      </w:r>
      <w:r w:rsidRPr="000234AF">
        <w:rPr>
          <w:rFonts w:cstheme="minorHAnsi"/>
          <w:snapToGrid/>
          <w:color w:val="000000"/>
          <w:szCs w:val="24"/>
        </w:rPr>
        <w:t xml:space="preserve"> sites. The 2</w:t>
      </w:r>
      <w:r>
        <w:rPr>
          <w:rFonts w:cstheme="minorHAnsi"/>
          <w:snapToGrid/>
          <w:color w:val="000000"/>
          <w:szCs w:val="24"/>
        </w:rPr>
        <w:t>,</w:t>
      </w:r>
      <w:r w:rsidRPr="000234AF">
        <w:rPr>
          <w:rFonts w:cstheme="minorHAnsi"/>
          <w:snapToGrid/>
          <w:color w:val="000000"/>
          <w:szCs w:val="24"/>
        </w:rPr>
        <w:t>1</w:t>
      </w:r>
      <w:r>
        <w:rPr>
          <w:rFonts w:cstheme="minorHAnsi"/>
          <w:snapToGrid/>
          <w:color w:val="000000"/>
          <w:szCs w:val="24"/>
        </w:rPr>
        <w:t>63</w:t>
      </w:r>
      <w:r w:rsidRPr="000234AF">
        <w:rPr>
          <w:rFonts w:cstheme="minorHAnsi"/>
          <w:snapToGrid/>
          <w:color w:val="000000"/>
          <w:szCs w:val="24"/>
        </w:rPr>
        <w:t xml:space="preserve"> monitoring sites sampled by citizen and outside-agency groups were distributed across the entire state (Figure 3.</w:t>
      </w:r>
      <w:r w:rsidR="00A32B30">
        <w:rPr>
          <w:rFonts w:cstheme="minorHAnsi"/>
          <w:snapToGrid/>
          <w:color w:val="000000"/>
          <w:szCs w:val="24"/>
        </w:rPr>
        <w:t>4</w:t>
      </w:r>
      <w:r w:rsidRPr="000234AF">
        <w:rPr>
          <w:rFonts w:cstheme="minorHAnsi"/>
          <w:snapToGrid/>
          <w:color w:val="000000"/>
          <w:szCs w:val="24"/>
        </w:rPr>
        <w:t>-1).</w:t>
      </w:r>
    </w:p>
    <w:p w14:paraId="6894CB36" w14:textId="77777777" w:rsidR="001B0E50" w:rsidRDefault="001B0E50" w:rsidP="001B0E50">
      <w:pPr>
        <w:widowControl/>
        <w:rPr>
          <w:rFonts w:cstheme="minorHAnsi"/>
          <w:snapToGrid/>
          <w:color w:val="000000"/>
          <w:szCs w:val="24"/>
        </w:rPr>
      </w:pPr>
    </w:p>
    <w:p w14:paraId="19141E4D" w14:textId="6172CCE3" w:rsidR="005B2952" w:rsidRPr="000234AF" w:rsidRDefault="005B2952" w:rsidP="001B0E50">
      <w:pPr>
        <w:widowControl/>
        <w:rPr>
          <w:rFonts w:cstheme="minorHAnsi"/>
          <w:snapToGrid/>
          <w:color w:val="000000"/>
          <w:szCs w:val="24"/>
        </w:rPr>
        <w:sectPr w:rsidR="005B2952" w:rsidRPr="000234AF" w:rsidSect="009079C4">
          <w:type w:val="continuous"/>
          <w:pgSz w:w="12240" w:h="15840"/>
          <w:pgMar w:top="1440" w:right="1440" w:bottom="720" w:left="1440" w:header="864" w:footer="720" w:gutter="0"/>
          <w:cols w:space="720"/>
          <w:docGrid w:linePitch="360"/>
        </w:sectPr>
      </w:pPr>
    </w:p>
    <w:p w14:paraId="33DB3D4D" w14:textId="77777777" w:rsidR="001B0E50" w:rsidRDefault="001B0E50" w:rsidP="005B2952">
      <w:pPr>
        <w:keepNext/>
        <w:widowControl/>
      </w:pPr>
    </w:p>
    <w:p w14:paraId="7CCB77D4" w14:textId="77777777" w:rsidR="001B0E50" w:rsidRDefault="001B0E50" w:rsidP="001B0E50">
      <w:pPr>
        <w:pStyle w:val="Caption"/>
      </w:pPr>
    </w:p>
    <w:p w14:paraId="4DF8AB6B" w14:textId="6AA1D800" w:rsidR="00041FEA" w:rsidRDefault="004A0E66" w:rsidP="00041FEA">
      <w:pPr>
        <w:pStyle w:val="Caption"/>
        <w:keepNext/>
      </w:pPr>
      <w:r>
        <w:rPr>
          <w:noProof/>
        </w:rPr>
        <w:drawing>
          <wp:inline distT="0" distB="0" distL="0" distR="0" wp14:anchorId="3A59A1DB" wp14:editId="7FE7A611">
            <wp:extent cx="8686800" cy="4470400"/>
            <wp:effectExtent l="0" t="0" r="0" b="6350"/>
            <wp:docPr id="131145317" name="Picture 131145317" descr="Chart, scatter chart&#10;&#10;Figure 3.4 1. Citizen and outside-agency monitoring sites represented by data submitted for the 2024 Integrate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5317" name="Picture 131145317" descr="Chart, scatter chart&#10;&#10;Figure 3.4 1. Citizen and outside-agency monitoring sites represented by data submitted for the 2024 Integrated Report."/>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8686800" cy="4470400"/>
                    </a:xfrm>
                    <a:prstGeom prst="rect">
                      <a:avLst/>
                    </a:prstGeom>
                    <a:noFill/>
                    <a:ln>
                      <a:noFill/>
                    </a:ln>
                  </pic:spPr>
                </pic:pic>
              </a:graphicData>
            </a:graphic>
          </wp:inline>
        </w:drawing>
      </w:r>
    </w:p>
    <w:p w14:paraId="7DB29281" w14:textId="10BA8B8C" w:rsidR="00681C6D" w:rsidRPr="00681C6D" w:rsidRDefault="00041FEA" w:rsidP="0A5BE548">
      <w:pPr>
        <w:pStyle w:val="Caption"/>
        <w:rPr>
          <w:rFonts w:eastAsia="Calibri" w:cstheme="minorBidi"/>
          <w:snapToGrid/>
          <w:color w:val="000000"/>
        </w:rPr>
      </w:pPr>
      <w:bookmarkStart w:id="64" w:name="_Toc164175047"/>
      <w:bookmarkStart w:id="65" w:name="_Toc152766222"/>
      <w:r>
        <w:t xml:space="preserve">Figure </w:t>
      </w:r>
      <w:r w:rsidR="004F13BA">
        <w:fldChar w:fldCharType="begin"/>
      </w:r>
      <w:r w:rsidR="004F13BA">
        <w:instrText xml:space="preserve"> STYLEREF 2 \s </w:instrText>
      </w:r>
      <w:r w:rsidR="004F13BA">
        <w:fldChar w:fldCharType="separate"/>
      </w:r>
      <w:r w:rsidR="00E429BB">
        <w:rPr>
          <w:noProof/>
        </w:rPr>
        <w:t>3.4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xml:space="preserve">. </w:t>
      </w:r>
      <w:r w:rsidRPr="0A5BE548">
        <w:rPr>
          <w:rFonts w:eastAsia="Calibri" w:cstheme="minorBidi"/>
          <w:snapToGrid/>
          <w:color w:val="000000"/>
        </w:rPr>
        <w:t>Citizen and outside-agency monitoring sites</w:t>
      </w:r>
      <w:r w:rsidR="6C1A32EF" w:rsidRPr="0A5BE548">
        <w:rPr>
          <w:rFonts w:eastAsia="Calibri" w:cstheme="minorBidi"/>
          <w:snapToGrid/>
          <w:color w:val="000000"/>
        </w:rPr>
        <w:t xml:space="preserve"> </w:t>
      </w:r>
      <w:bookmarkEnd w:id="64"/>
      <w:r w:rsidRPr="0A5BE548">
        <w:rPr>
          <w:rFonts w:eastAsia="Calibri" w:cstheme="minorBidi"/>
          <w:snapToGrid/>
          <w:color w:val="000000"/>
        </w:rPr>
        <w:t>represented by data submitted for the 2024 Integrated Report.</w:t>
      </w:r>
      <w:bookmarkEnd w:id="65"/>
    </w:p>
    <w:p w14:paraId="0213C8EB" w14:textId="77777777" w:rsidR="00727726" w:rsidRDefault="00727726" w:rsidP="00727726">
      <w:pPr>
        <w:rPr>
          <w:rFonts w:eastAsia="Calibri"/>
        </w:rPr>
      </w:pPr>
    </w:p>
    <w:p w14:paraId="118769BE" w14:textId="77777777" w:rsidR="00727726" w:rsidRPr="00727726" w:rsidRDefault="00727726" w:rsidP="00727726">
      <w:pPr>
        <w:rPr>
          <w:rFonts w:eastAsia="Calibri"/>
        </w:rPr>
      </w:pPr>
    </w:p>
    <w:p w14:paraId="1AC7DAF4" w14:textId="77777777" w:rsidR="001B0E50" w:rsidRPr="000234AF" w:rsidRDefault="001B0E50" w:rsidP="004A0E66">
      <w:pPr>
        <w:widowControl/>
        <w:rPr>
          <w:rFonts w:cstheme="minorHAnsi"/>
          <w:snapToGrid/>
          <w:color w:val="000000"/>
          <w:szCs w:val="24"/>
        </w:rPr>
        <w:sectPr w:rsidR="001B0E50" w:rsidRPr="000234AF" w:rsidSect="009079C4">
          <w:headerReference w:type="default" r:id="rId128"/>
          <w:pgSz w:w="15840" w:h="12240" w:orient="landscape"/>
          <w:pgMar w:top="1440" w:right="1440" w:bottom="1440" w:left="720" w:header="864" w:footer="720" w:gutter="0"/>
          <w:cols w:space="720"/>
          <w:docGrid w:linePitch="360"/>
        </w:sectPr>
      </w:pPr>
    </w:p>
    <w:p w14:paraId="002782A2" w14:textId="0C7A0F57" w:rsidR="001B0E50" w:rsidRPr="00E243FE" w:rsidRDefault="001B0E50" w:rsidP="00E243FE">
      <w:pPr>
        <w:pStyle w:val="Heading3"/>
      </w:pPr>
      <w:r w:rsidRPr="00E243FE">
        <w:lastRenderedPageBreak/>
        <w:t>Quality Assurance and data submission requirements</w:t>
      </w:r>
    </w:p>
    <w:p w14:paraId="06CB38FA" w14:textId="4F511509" w:rsidR="001B0E50" w:rsidRPr="000234AF" w:rsidRDefault="001B0E50" w:rsidP="001B0E50">
      <w:pPr>
        <w:widowControl/>
        <w:rPr>
          <w:rFonts w:cstheme="minorHAnsi"/>
          <w:snapToGrid/>
          <w:color w:val="000000"/>
          <w:szCs w:val="24"/>
        </w:rPr>
      </w:pPr>
      <w:proofErr w:type="gramStart"/>
      <w:r w:rsidRPr="000234AF">
        <w:rPr>
          <w:rFonts w:cstheme="minorHAnsi"/>
          <w:snapToGrid/>
          <w:color w:val="000000"/>
          <w:szCs w:val="24"/>
        </w:rPr>
        <w:t>The majority of</w:t>
      </w:r>
      <w:proofErr w:type="gramEnd"/>
      <w:r w:rsidRPr="000234AF">
        <w:rPr>
          <w:rFonts w:cstheme="minorHAnsi"/>
          <w:snapToGrid/>
          <w:color w:val="000000"/>
          <w:szCs w:val="24"/>
        </w:rPr>
        <w:t xml:space="preserve"> data submitted in this assessment cycle were collected under documented protocols, standard operating procedures, and using methods as approved or recognized by DEQ for water quality assessment. Such datasets </w:t>
      </w:r>
      <w:proofErr w:type="gramStart"/>
      <w:r w:rsidRPr="000234AF">
        <w:rPr>
          <w:rFonts w:cstheme="minorHAnsi"/>
          <w:snapToGrid/>
          <w:color w:val="000000"/>
          <w:szCs w:val="24"/>
        </w:rPr>
        <w:t>met</w:t>
      </w:r>
      <w:proofErr w:type="gramEnd"/>
      <w:r w:rsidRPr="000234AF">
        <w:rPr>
          <w:rFonts w:cstheme="minorHAnsi"/>
          <w:snapToGrid/>
          <w:color w:val="000000"/>
          <w:szCs w:val="24"/>
        </w:rPr>
        <w:t xml:space="preserve"> Level II or Level III QA/QC criteria, as described below and in Table </w:t>
      </w:r>
      <w:r w:rsidR="00AB0562">
        <w:rPr>
          <w:rFonts w:cstheme="minorHAnsi"/>
          <w:snapToGrid/>
          <w:color w:val="000000"/>
          <w:szCs w:val="24"/>
        </w:rPr>
        <w:t>3.4-</w:t>
      </w:r>
      <w:r w:rsidRPr="000234AF">
        <w:rPr>
          <w:rFonts w:cstheme="minorHAnsi"/>
          <w:snapToGrid/>
          <w:color w:val="000000"/>
          <w:szCs w:val="24"/>
        </w:rPr>
        <w:t>1. Data collected using unconfirmed protocols (Level I data) or where sampling occurred on waters not publicly accessible, such as on private lakes</w:t>
      </w:r>
      <w:r w:rsidR="00A64C8F">
        <w:rPr>
          <w:rFonts w:cstheme="minorHAnsi"/>
          <w:snapToGrid/>
          <w:color w:val="000000"/>
          <w:szCs w:val="24"/>
        </w:rPr>
        <w:t>,</w:t>
      </w:r>
      <w:r w:rsidRPr="000234AF">
        <w:rPr>
          <w:rFonts w:cstheme="minorHAnsi"/>
          <w:snapToGrid/>
          <w:color w:val="000000"/>
          <w:szCs w:val="24"/>
        </w:rPr>
        <w:t xml:space="preserve"> are not used by DEQ for assessment. Additional information on how submitted data </w:t>
      </w:r>
      <w:r>
        <w:rPr>
          <w:rFonts w:cstheme="minorHAnsi"/>
          <w:snapToGrid/>
          <w:color w:val="000000"/>
          <w:szCs w:val="24"/>
        </w:rPr>
        <w:t>were</w:t>
      </w:r>
      <w:r w:rsidRPr="000234AF">
        <w:rPr>
          <w:rFonts w:cstheme="minorHAnsi"/>
          <w:snapToGrid/>
          <w:color w:val="000000"/>
          <w:szCs w:val="24"/>
        </w:rPr>
        <w:t xml:space="preserve"> assessed is available in the 202</w:t>
      </w:r>
      <w:r>
        <w:rPr>
          <w:rFonts w:cstheme="minorHAnsi"/>
          <w:snapToGrid/>
          <w:color w:val="000000"/>
          <w:szCs w:val="24"/>
        </w:rPr>
        <w:t>4</w:t>
      </w:r>
      <w:r w:rsidRPr="000234AF">
        <w:rPr>
          <w:rFonts w:cstheme="minorHAnsi"/>
          <w:snapToGrid/>
          <w:color w:val="000000"/>
          <w:szCs w:val="24"/>
        </w:rPr>
        <w:t xml:space="preserve"> Water Quality Assessment Guidance Manual</w:t>
      </w:r>
      <w:r w:rsidR="00D072C4">
        <w:rPr>
          <w:rFonts w:cstheme="minorHAnsi"/>
          <w:snapToGrid/>
          <w:color w:val="000000"/>
          <w:szCs w:val="24"/>
        </w:rPr>
        <w:t>.</w:t>
      </w:r>
    </w:p>
    <w:p w14:paraId="3D55842C" w14:textId="77777777" w:rsidR="001B0E50" w:rsidRPr="000234AF" w:rsidRDefault="001B0E50" w:rsidP="001B0E50">
      <w:pPr>
        <w:widowControl/>
        <w:rPr>
          <w:rFonts w:cstheme="minorHAnsi"/>
          <w:snapToGrid/>
          <w:color w:val="000000"/>
          <w:szCs w:val="24"/>
        </w:rPr>
      </w:pPr>
    </w:p>
    <w:p w14:paraId="14BC5A6E" w14:textId="4DDD6B0C" w:rsidR="001B0E50" w:rsidRPr="000234AF" w:rsidRDefault="00F54C42" w:rsidP="001B0E50">
      <w:pPr>
        <w:widowControl/>
        <w:rPr>
          <w:rFonts w:cstheme="minorHAnsi"/>
          <w:snapToGrid/>
          <w:color w:val="000000"/>
          <w:szCs w:val="24"/>
        </w:rPr>
      </w:pPr>
      <w:r w:rsidRPr="000234AF">
        <w:rPr>
          <w:rFonts w:cstheme="minorHAnsi"/>
          <w:snapToGrid/>
          <w:color w:val="000000"/>
          <w:szCs w:val="24"/>
        </w:rPr>
        <w:t>To</w:t>
      </w:r>
      <w:r w:rsidR="001B0E50" w:rsidRPr="000234AF">
        <w:rPr>
          <w:rFonts w:cstheme="minorHAnsi"/>
          <w:snapToGrid/>
          <w:color w:val="000000"/>
          <w:szCs w:val="24"/>
        </w:rPr>
        <w:t xml:space="preserve"> assist citizen water quality monitoring groups with developing their monitoring programs, the agency developed the Virginia Citizen Water Quality Monitoring Methods Manual. The manual provides guidance on acceptable QA/QC procedures and protocols. In addition to adhering to the procedures described in the manual and in this section, a data use authorization form must be submitted at the same time, or before data are submitted to DEQ, and data format requirements must be followed. The Virginia Citizen Water Quality Monitoring Methods Manual, as well as further information on QA</w:t>
      </w:r>
      <w:r w:rsidR="003D6C33">
        <w:rPr>
          <w:rFonts w:cstheme="minorHAnsi"/>
          <w:snapToGrid/>
          <w:color w:val="000000"/>
          <w:szCs w:val="24"/>
        </w:rPr>
        <w:t>/</w:t>
      </w:r>
      <w:r w:rsidR="001B0E50" w:rsidRPr="000234AF">
        <w:rPr>
          <w:rFonts w:cstheme="minorHAnsi"/>
          <w:snapToGrid/>
          <w:color w:val="000000"/>
          <w:szCs w:val="24"/>
        </w:rPr>
        <w:t xml:space="preserve">QC procedures and data submission requirements are available </w:t>
      </w:r>
      <w:proofErr w:type="gramStart"/>
      <w:r w:rsidR="001B0E50" w:rsidRPr="000234AF">
        <w:rPr>
          <w:rFonts w:cstheme="minorHAnsi"/>
          <w:snapToGrid/>
          <w:color w:val="000000"/>
          <w:szCs w:val="24"/>
        </w:rPr>
        <w:t>at</w:t>
      </w:r>
      <w:proofErr w:type="gramEnd"/>
      <w:r w:rsidR="001B0E50" w:rsidRPr="000234AF">
        <w:rPr>
          <w:rFonts w:cstheme="minorHAnsi"/>
          <w:snapToGrid/>
          <w:color w:val="000000"/>
          <w:szCs w:val="24"/>
        </w:rPr>
        <w:t xml:space="preserve"> the </w:t>
      </w:r>
      <w:r w:rsidR="00393CCD">
        <w:rPr>
          <w:rFonts w:cstheme="minorHAnsi"/>
          <w:snapToGrid/>
          <w:color w:val="000000"/>
          <w:szCs w:val="24"/>
        </w:rPr>
        <w:t>C</w:t>
      </w:r>
      <w:r w:rsidR="001B0E50" w:rsidRPr="000234AF">
        <w:rPr>
          <w:rFonts w:cstheme="minorHAnsi"/>
          <w:snapToGrid/>
          <w:color w:val="000000"/>
          <w:szCs w:val="24"/>
        </w:rPr>
        <w:t xml:space="preserve">itizen </w:t>
      </w:r>
      <w:r w:rsidR="00393CCD">
        <w:rPr>
          <w:rFonts w:cstheme="minorHAnsi"/>
          <w:snapToGrid/>
          <w:color w:val="000000"/>
          <w:szCs w:val="24"/>
        </w:rPr>
        <w:t>M</w:t>
      </w:r>
      <w:r w:rsidR="001B0E50" w:rsidRPr="000234AF">
        <w:rPr>
          <w:rFonts w:cstheme="minorHAnsi"/>
          <w:snapToGrid/>
          <w:color w:val="000000"/>
          <w:szCs w:val="24"/>
        </w:rPr>
        <w:t>onitoring page of the DEQ website</w:t>
      </w:r>
      <w:r w:rsidR="00393CCD">
        <w:rPr>
          <w:rFonts w:cstheme="minorHAnsi"/>
          <w:snapToGrid/>
          <w:color w:val="000000"/>
          <w:szCs w:val="24"/>
        </w:rPr>
        <w:t>.</w:t>
      </w:r>
    </w:p>
    <w:p w14:paraId="18E5D8F9" w14:textId="77777777" w:rsidR="001B0E50" w:rsidRPr="000234AF" w:rsidRDefault="001B0E50" w:rsidP="001B0E50">
      <w:pPr>
        <w:widowControl/>
        <w:rPr>
          <w:rFonts w:cstheme="minorHAnsi"/>
          <w:snapToGrid/>
          <w:color w:val="000000"/>
          <w:szCs w:val="24"/>
        </w:rPr>
      </w:pPr>
    </w:p>
    <w:p w14:paraId="6ACACC55" w14:textId="77777777" w:rsidR="001767B7" w:rsidRDefault="001B0E50" w:rsidP="004F12BA">
      <w:pPr>
        <w:widowControl/>
        <w:rPr>
          <w:rFonts w:cstheme="minorHAnsi"/>
          <w:snapToGrid/>
          <w:color w:val="000000"/>
          <w:szCs w:val="24"/>
        </w:rPr>
      </w:pPr>
      <w:r w:rsidRPr="000234AF">
        <w:rPr>
          <w:rFonts w:cstheme="minorHAnsi"/>
          <w:snapToGrid/>
          <w:color w:val="000000"/>
          <w:szCs w:val="24"/>
        </w:rPr>
        <w:t xml:space="preserve">In Virginia, DEQ has developed three levels of data quality for </w:t>
      </w:r>
      <w:proofErr w:type="gramStart"/>
      <w:r w:rsidRPr="000234AF">
        <w:rPr>
          <w:rFonts w:cstheme="minorHAnsi"/>
          <w:snapToGrid/>
          <w:color w:val="000000"/>
          <w:szCs w:val="24"/>
        </w:rPr>
        <w:t>citizen</w:t>
      </w:r>
      <w:proofErr w:type="gramEnd"/>
      <w:r w:rsidRPr="000234AF">
        <w:rPr>
          <w:rFonts w:cstheme="minorHAnsi"/>
          <w:snapToGrid/>
          <w:color w:val="000000"/>
          <w:szCs w:val="24"/>
        </w:rPr>
        <w:t xml:space="preserve"> and </w:t>
      </w:r>
      <w:r>
        <w:rPr>
          <w:rFonts w:cstheme="minorHAnsi"/>
          <w:snapToGrid/>
          <w:color w:val="000000"/>
          <w:szCs w:val="24"/>
        </w:rPr>
        <w:t>outside agencies. These levels are</w:t>
      </w:r>
      <w:r w:rsidRPr="000234AF">
        <w:rPr>
          <w:rFonts w:cstheme="minorHAnsi"/>
          <w:snapToGrid/>
          <w:color w:val="000000"/>
          <w:szCs w:val="24"/>
        </w:rPr>
        <w:t xml:space="preserve"> based </w:t>
      </w:r>
      <w:r>
        <w:rPr>
          <w:rFonts w:cstheme="minorHAnsi"/>
          <w:snapToGrid/>
          <w:color w:val="000000"/>
          <w:szCs w:val="24"/>
        </w:rPr>
        <w:t>on</w:t>
      </w:r>
      <w:r w:rsidRPr="000234AF">
        <w:rPr>
          <w:rFonts w:cstheme="minorHAnsi"/>
          <w:snapToGrid/>
          <w:color w:val="000000"/>
          <w:szCs w:val="24"/>
        </w:rPr>
        <w:t xml:space="preserve"> </w:t>
      </w:r>
      <w:r>
        <w:rPr>
          <w:rFonts w:cstheme="minorHAnsi"/>
          <w:snapToGrid/>
          <w:color w:val="000000"/>
          <w:szCs w:val="24"/>
        </w:rPr>
        <w:t>the</w:t>
      </w:r>
      <w:r w:rsidRPr="000234AF">
        <w:rPr>
          <w:rFonts w:cstheme="minorHAnsi"/>
          <w:snapToGrid/>
          <w:color w:val="000000"/>
          <w:szCs w:val="24"/>
        </w:rPr>
        <w:t xml:space="preserve"> </w:t>
      </w:r>
      <w:r>
        <w:rPr>
          <w:rFonts w:cstheme="minorHAnsi"/>
          <w:snapToGrid/>
          <w:color w:val="000000"/>
          <w:szCs w:val="24"/>
        </w:rPr>
        <w:t>data</w:t>
      </w:r>
      <w:r w:rsidR="002E4ABF">
        <w:rPr>
          <w:rFonts w:cstheme="minorHAnsi"/>
          <w:snapToGrid/>
          <w:color w:val="000000"/>
          <w:szCs w:val="24"/>
        </w:rPr>
        <w:t xml:space="preserve"> QA/QC</w:t>
      </w:r>
      <w:r w:rsidRPr="000234AF">
        <w:rPr>
          <w:rFonts w:cstheme="minorHAnsi"/>
          <w:snapToGrid/>
          <w:color w:val="000000"/>
          <w:szCs w:val="24"/>
        </w:rPr>
        <w:t xml:space="preserve"> and the authorized uses of the data </w:t>
      </w:r>
      <w:r>
        <w:rPr>
          <w:rFonts w:cstheme="minorHAnsi"/>
          <w:snapToGrid/>
          <w:color w:val="000000"/>
          <w:szCs w:val="24"/>
        </w:rPr>
        <w:t>indicated by the submitters</w:t>
      </w:r>
      <w:r w:rsidRPr="000234AF">
        <w:rPr>
          <w:rFonts w:cstheme="minorHAnsi"/>
          <w:snapToGrid/>
          <w:color w:val="000000"/>
          <w:szCs w:val="24"/>
        </w:rPr>
        <w:t xml:space="preserve">. In addition to agency needs, collected data may also be used to educate the community, to assist local governments in land use planning, to supplement data for university and professional studies, and to </w:t>
      </w:r>
      <w:r>
        <w:rPr>
          <w:rFonts w:cstheme="minorHAnsi"/>
          <w:snapToGrid/>
          <w:color w:val="000000"/>
          <w:szCs w:val="24"/>
        </w:rPr>
        <w:t>inform water quality protection and improvement projects. For example, the data have been used by</w:t>
      </w:r>
      <w:r w:rsidRPr="000234AF">
        <w:rPr>
          <w:rFonts w:cstheme="minorHAnsi"/>
          <w:snapToGrid/>
          <w:color w:val="000000"/>
          <w:szCs w:val="24"/>
        </w:rPr>
        <w:t xml:space="preserve"> local soil and water conservation districts in prioritizing watershed work for best management practices. Data levels assigned by DEQ may be used by others to evaluate whether a given dataset is appropriate to meet project objectives. The levels increase in rank from Level I to Level III based on increasing levels of DEQ QA/QC </w:t>
      </w:r>
      <w:r>
        <w:rPr>
          <w:rFonts w:cstheme="minorHAnsi"/>
          <w:snapToGrid/>
          <w:color w:val="000000"/>
          <w:szCs w:val="24"/>
        </w:rPr>
        <w:t>requirements (Table 3.</w:t>
      </w:r>
      <w:r w:rsidR="00AB0562">
        <w:rPr>
          <w:rFonts w:cstheme="minorHAnsi"/>
          <w:snapToGrid/>
          <w:color w:val="000000"/>
          <w:szCs w:val="24"/>
        </w:rPr>
        <w:t>4</w:t>
      </w:r>
      <w:r>
        <w:rPr>
          <w:rFonts w:cstheme="minorHAnsi"/>
          <w:snapToGrid/>
          <w:color w:val="000000"/>
          <w:szCs w:val="24"/>
        </w:rPr>
        <w:t>-1)</w:t>
      </w:r>
      <w:r w:rsidRPr="000234AF">
        <w:rPr>
          <w:rFonts w:cstheme="minorHAnsi"/>
          <w:snapToGrid/>
          <w:color w:val="000000"/>
          <w:szCs w:val="24"/>
        </w:rPr>
        <w:t xml:space="preserve">. </w:t>
      </w:r>
    </w:p>
    <w:p w14:paraId="4781C517" w14:textId="77777777" w:rsidR="00C44884" w:rsidRDefault="00C44884" w:rsidP="004F12BA">
      <w:pPr>
        <w:widowControl/>
        <w:rPr>
          <w:rFonts w:cstheme="minorHAnsi"/>
          <w:snapToGrid/>
          <w:color w:val="000000"/>
          <w:szCs w:val="24"/>
        </w:rPr>
      </w:pPr>
    </w:p>
    <w:p w14:paraId="21433B2D" w14:textId="4747E97A" w:rsidR="001767B7" w:rsidRPr="00CD594B" w:rsidRDefault="00C44884" w:rsidP="00CD594B">
      <w:pPr>
        <w:sectPr w:rsidR="001767B7" w:rsidRPr="00CD594B" w:rsidSect="009079C4">
          <w:pgSz w:w="12240" w:h="15840"/>
          <w:pgMar w:top="1440" w:right="1440" w:bottom="1440" w:left="1440" w:header="864" w:footer="720" w:gutter="0"/>
          <w:cols w:space="720"/>
          <w:docGrid w:linePitch="360"/>
        </w:sectPr>
      </w:pPr>
      <w:r>
        <w:t xml:space="preserve">In 2022, DEQ partnered with the Chesapeake Monitoring Cooperative (CMC) and VIMS to launch the </w:t>
      </w:r>
      <w:r w:rsidRPr="00B138FF">
        <w:t>Virginia Data Explorer</w:t>
      </w:r>
      <w:r>
        <w:t xml:space="preserve"> (VDE), an online portal for Virginia citizen and non-agency water monitoring data. The VDE is a Virginia-specific extension of CMC’s Chesapeake Data Explorer that allows Virginia groups to manage and share their monitoring data, including data from waters outside of the Chesapeake Bay Watershed. Monitoring groups can upload data in bulk or use the online data entry form to share and manage data. Users and visitors can view sampling locations, data summaries, and visualizations with an interactive map on the homepage. An online query builder allows visitors to download datasets of interest.</w:t>
      </w:r>
      <w:r w:rsidR="001E7EB7">
        <w:t xml:space="preserve"> </w:t>
      </w:r>
      <w:r>
        <w:t xml:space="preserve">The VDE has become DEQ’s primary data repository for groups who share their data with DEQ. Groups not yet registered in the VDE who wish to share their data with DEQ must first contact </w:t>
      </w:r>
      <w:hyperlink r:id="rId129" w:history="1">
        <w:r w:rsidRPr="00BA5F25">
          <w:rPr>
            <w:rStyle w:val="Hyperlink"/>
          </w:rPr>
          <w:t>CitizenWater@deq.virginia.gov</w:t>
        </w:r>
      </w:hyperlink>
      <w:r>
        <w:t xml:space="preserve">. Once a monitoring plan has been reviewed and initial data quality requirements are met, groups can complete the online registration to begin uploading data. New groups not familiar with DEQ’s data quality requirements are encouraged to visit DEQ’s </w:t>
      </w:r>
      <w:r w:rsidRPr="004B6815">
        <w:t>Citizen Monitoring website</w:t>
      </w:r>
      <w:r>
        <w:t xml:space="preserve"> and consult the </w:t>
      </w:r>
      <w:r w:rsidRPr="004B6815">
        <w:t>Citizen Monitoring Methods Manual</w:t>
      </w:r>
      <w:r>
        <w:t xml:space="preserve">. </w:t>
      </w:r>
    </w:p>
    <w:p w14:paraId="77579F85" w14:textId="573127D4" w:rsidR="00041FEA" w:rsidRDefault="00041FEA" w:rsidP="00041FEA">
      <w:pPr>
        <w:pStyle w:val="Caption"/>
        <w:keepNext/>
      </w:pPr>
      <w:bookmarkStart w:id="66" w:name="_Toc164175152"/>
      <w:r>
        <w:lastRenderedPageBreak/>
        <w:t xml:space="preserve">Table </w:t>
      </w:r>
      <w:r w:rsidR="004F13BA">
        <w:fldChar w:fldCharType="begin"/>
      </w:r>
      <w:r w:rsidR="004F13BA">
        <w:instrText xml:space="preserve"> STYLEREF 2 \s </w:instrText>
      </w:r>
      <w:r w:rsidR="004F13BA">
        <w:fldChar w:fldCharType="separate"/>
      </w:r>
      <w:r w:rsidR="00CD06AE">
        <w:rPr>
          <w:noProof/>
        </w:rPr>
        <w:t>3.4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w:t>
      </w:r>
      <w:r w:rsidR="004F13BA">
        <w:rPr>
          <w:noProof/>
        </w:rPr>
        <w:fldChar w:fldCharType="end"/>
      </w:r>
      <w:r>
        <w:t xml:space="preserve">. </w:t>
      </w:r>
      <w:r w:rsidRPr="000234AF">
        <w:rPr>
          <w:rFonts w:cstheme="minorHAnsi"/>
          <w:snapToGrid/>
          <w:color w:val="000000"/>
          <w:szCs w:val="24"/>
        </w:rPr>
        <w:t>Quality assurance and quality control criteria for citizen and outside-agency data.</w:t>
      </w:r>
      <w:bookmarkEnd w:id="66"/>
    </w:p>
    <w:tbl>
      <w:tblPr>
        <w:tblW w:w="10015" w:type="dxa"/>
        <w:tblLayout w:type="fixed"/>
        <w:tblLook w:val="0000" w:firstRow="0" w:lastRow="0" w:firstColumn="0" w:lastColumn="0" w:noHBand="0" w:noVBand="0"/>
        <w:tblCaption w:val="Table 3.4-1: Quality assurance and quality control criteria for citizen and outside-agency data."/>
        <w:tblDescription w:val="Quality assurance and quality control criteria for citizen and outside-agency data."/>
      </w:tblPr>
      <w:tblGrid>
        <w:gridCol w:w="1579"/>
        <w:gridCol w:w="2995"/>
        <w:gridCol w:w="5441"/>
      </w:tblGrid>
      <w:tr w:rsidR="001B0E50" w:rsidRPr="000234AF" w14:paraId="14CAE32E" w14:textId="77777777" w:rsidTr="00130FD9">
        <w:trPr>
          <w:trHeight w:val="248"/>
        </w:trPr>
        <w:tc>
          <w:tcPr>
            <w:tcW w:w="1579" w:type="dxa"/>
            <w:tcBorders>
              <w:top w:val="single" w:sz="4" w:space="0" w:color="auto"/>
              <w:bottom w:val="single" w:sz="4" w:space="0" w:color="auto"/>
            </w:tcBorders>
            <w:vAlign w:val="center"/>
          </w:tcPr>
          <w:p w14:paraId="3CAE71C7" w14:textId="77777777" w:rsidR="001B0E50" w:rsidRPr="00041FEA" w:rsidRDefault="001B0E50" w:rsidP="006A79F8">
            <w:pPr>
              <w:widowControl/>
              <w:jc w:val="center"/>
              <w:rPr>
                <w:rFonts w:cstheme="minorHAnsi"/>
                <w:b/>
                <w:snapToGrid/>
                <w:color w:val="000000"/>
                <w:sz w:val="22"/>
                <w:szCs w:val="22"/>
              </w:rPr>
            </w:pPr>
            <w:r w:rsidRPr="00041FEA">
              <w:rPr>
                <w:rFonts w:cstheme="minorHAnsi"/>
                <w:b/>
                <w:snapToGrid/>
                <w:color w:val="000000"/>
                <w:sz w:val="22"/>
                <w:szCs w:val="22"/>
              </w:rPr>
              <w:t>Level</w:t>
            </w:r>
          </w:p>
        </w:tc>
        <w:tc>
          <w:tcPr>
            <w:tcW w:w="2995" w:type="dxa"/>
            <w:tcBorders>
              <w:top w:val="single" w:sz="4" w:space="0" w:color="auto"/>
              <w:bottom w:val="single" w:sz="4" w:space="0" w:color="auto"/>
            </w:tcBorders>
            <w:vAlign w:val="center"/>
          </w:tcPr>
          <w:p w14:paraId="0B4FB1DE" w14:textId="77777777" w:rsidR="001B0E50" w:rsidRPr="00041FEA" w:rsidRDefault="001B0E50" w:rsidP="006A79F8">
            <w:pPr>
              <w:widowControl/>
              <w:jc w:val="center"/>
              <w:rPr>
                <w:rFonts w:cstheme="minorHAnsi"/>
                <w:b/>
                <w:snapToGrid/>
                <w:color w:val="000000"/>
                <w:sz w:val="22"/>
                <w:szCs w:val="22"/>
              </w:rPr>
            </w:pPr>
            <w:r w:rsidRPr="00041FEA">
              <w:rPr>
                <w:rFonts w:cstheme="minorHAnsi"/>
                <w:b/>
                <w:snapToGrid/>
                <w:color w:val="000000"/>
                <w:sz w:val="22"/>
                <w:szCs w:val="22"/>
              </w:rPr>
              <w:t>Appropriate Data Uses</w:t>
            </w:r>
          </w:p>
        </w:tc>
        <w:tc>
          <w:tcPr>
            <w:tcW w:w="5441" w:type="dxa"/>
            <w:tcBorders>
              <w:top w:val="single" w:sz="4" w:space="0" w:color="auto"/>
              <w:bottom w:val="single" w:sz="4" w:space="0" w:color="auto"/>
            </w:tcBorders>
            <w:vAlign w:val="center"/>
          </w:tcPr>
          <w:p w14:paraId="0B674B92" w14:textId="77777777" w:rsidR="001B0E50" w:rsidRPr="00041FEA" w:rsidRDefault="001B0E50" w:rsidP="006A79F8">
            <w:pPr>
              <w:widowControl/>
              <w:jc w:val="center"/>
              <w:rPr>
                <w:rFonts w:cstheme="minorHAnsi"/>
                <w:b/>
                <w:snapToGrid/>
                <w:color w:val="000000"/>
                <w:sz w:val="22"/>
                <w:szCs w:val="22"/>
              </w:rPr>
            </w:pPr>
            <w:r w:rsidRPr="00041FEA">
              <w:rPr>
                <w:rFonts w:cstheme="minorHAnsi"/>
                <w:b/>
                <w:snapToGrid/>
                <w:color w:val="000000"/>
                <w:sz w:val="22"/>
                <w:szCs w:val="22"/>
              </w:rPr>
              <w:t>QA/QC Requirements</w:t>
            </w:r>
          </w:p>
        </w:tc>
      </w:tr>
      <w:tr w:rsidR="001B0E50" w:rsidRPr="000234AF" w14:paraId="0368BF46" w14:textId="77777777" w:rsidTr="00130FD9">
        <w:trPr>
          <w:trHeight w:val="1689"/>
        </w:trPr>
        <w:tc>
          <w:tcPr>
            <w:tcW w:w="1579" w:type="dxa"/>
            <w:tcBorders>
              <w:top w:val="single" w:sz="4" w:space="0" w:color="auto"/>
              <w:bottom w:val="single" w:sz="4" w:space="0" w:color="auto"/>
            </w:tcBorders>
            <w:vAlign w:val="center"/>
          </w:tcPr>
          <w:p w14:paraId="467A0599" w14:textId="77777777" w:rsidR="001B0E50" w:rsidRPr="00041FEA" w:rsidRDefault="001B0E50">
            <w:pPr>
              <w:widowControl/>
              <w:ind w:firstLine="720"/>
              <w:rPr>
                <w:rFonts w:cstheme="minorHAnsi"/>
                <w:b/>
                <w:bCs/>
                <w:snapToGrid/>
                <w:color w:val="000000"/>
                <w:sz w:val="22"/>
                <w:szCs w:val="22"/>
              </w:rPr>
            </w:pPr>
            <w:r w:rsidRPr="00041FEA">
              <w:rPr>
                <w:rFonts w:cstheme="minorHAnsi"/>
                <w:b/>
                <w:bCs/>
                <w:snapToGrid/>
                <w:color w:val="000000"/>
                <w:sz w:val="22"/>
                <w:szCs w:val="22"/>
              </w:rPr>
              <w:t>III</w:t>
            </w:r>
          </w:p>
        </w:tc>
        <w:tc>
          <w:tcPr>
            <w:tcW w:w="2995" w:type="dxa"/>
            <w:tcBorders>
              <w:top w:val="single" w:sz="4" w:space="0" w:color="auto"/>
              <w:bottom w:val="single" w:sz="4" w:space="0" w:color="auto"/>
            </w:tcBorders>
          </w:tcPr>
          <w:p w14:paraId="523586AA" w14:textId="77777777" w:rsidR="001B0E50" w:rsidRPr="00041FEA" w:rsidRDefault="001B0E50">
            <w:pPr>
              <w:widowControl/>
              <w:numPr>
                <w:ilvl w:val="0"/>
                <w:numId w:val="4"/>
              </w:numPr>
              <w:spacing w:after="200"/>
              <w:rPr>
                <w:rFonts w:cstheme="minorHAnsi"/>
                <w:snapToGrid/>
                <w:color w:val="000000"/>
                <w:sz w:val="22"/>
                <w:szCs w:val="22"/>
              </w:rPr>
            </w:pPr>
            <w:r w:rsidRPr="00041FEA">
              <w:rPr>
                <w:rFonts w:cstheme="minorHAnsi"/>
                <w:snapToGrid/>
                <w:color w:val="000000"/>
                <w:sz w:val="22"/>
                <w:szCs w:val="22"/>
              </w:rPr>
              <w:t xml:space="preserve">List or </w:t>
            </w:r>
            <w:proofErr w:type="gramStart"/>
            <w:r w:rsidRPr="00041FEA">
              <w:rPr>
                <w:rFonts w:cstheme="minorHAnsi"/>
                <w:snapToGrid/>
                <w:color w:val="000000"/>
                <w:sz w:val="22"/>
                <w:szCs w:val="22"/>
              </w:rPr>
              <w:t>delist</w:t>
            </w:r>
            <w:proofErr w:type="gramEnd"/>
            <w:r w:rsidRPr="00041FEA">
              <w:rPr>
                <w:rFonts w:cstheme="minorHAnsi"/>
                <w:snapToGrid/>
                <w:color w:val="000000"/>
                <w:sz w:val="22"/>
                <w:szCs w:val="22"/>
              </w:rPr>
              <w:t xml:space="preserve"> waters on the 303(d) Impaired Waters list</w:t>
            </w:r>
          </w:p>
          <w:p w14:paraId="6A7BF78E" w14:textId="77777777" w:rsidR="001B0E50" w:rsidRPr="00041FEA" w:rsidRDefault="001B0E50">
            <w:pPr>
              <w:widowControl/>
              <w:numPr>
                <w:ilvl w:val="0"/>
                <w:numId w:val="2"/>
              </w:numPr>
              <w:spacing w:after="200"/>
              <w:rPr>
                <w:rFonts w:cstheme="minorHAnsi"/>
                <w:snapToGrid/>
                <w:color w:val="000000"/>
                <w:sz w:val="22"/>
                <w:szCs w:val="22"/>
              </w:rPr>
            </w:pPr>
            <w:r w:rsidRPr="00041FEA">
              <w:rPr>
                <w:rFonts w:cstheme="minorHAnsi"/>
                <w:snapToGrid/>
                <w:color w:val="000000"/>
                <w:sz w:val="22"/>
                <w:szCs w:val="22"/>
              </w:rPr>
              <w:t>Assess waters for 305(b) Report</w:t>
            </w:r>
          </w:p>
          <w:p w14:paraId="30D4ED96" w14:textId="77777777" w:rsidR="001B0E50" w:rsidRPr="00041FEA" w:rsidRDefault="001B0E50">
            <w:pPr>
              <w:widowControl/>
              <w:numPr>
                <w:ilvl w:val="0"/>
                <w:numId w:val="2"/>
              </w:numPr>
              <w:spacing w:after="200"/>
              <w:rPr>
                <w:rFonts w:cstheme="minorHAnsi"/>
                <w:snapToGrid/>
                <w:color w:val="000000"/>
                <w:sz w:val="22"/>
                <w:szCs w:val="22"/>
              </w:rPr>
            </w:pPr>
            <w:proofErr w:type="gramStart"/>
            <w:r w:rsidRPr="00041FEA">
              <w:rPr>
                <w:rFonts w:cstheme="minorHAnsi"/>
                <w:snapToGrid/>
                <w:color w:val="000000"/>
                <w:sz w:val="22"/>
                <w:szCs w:val="22"/>
              </w:rPr>
              <w:t>Use with</w:t>
            </w:r>
            <w:proofErr w:type="gramEnd"/>
            <w:r w:rsidRPr="00041FEA">
              <w:rPr>
                <w:rFonts w:cstheme="minorHAnsi"/>
                <w:snapToGrid/>
                <w:color w:val="000000"/>
                <w:sz w:val="22"/>
                <w:szCs w:val="22"/>
              </w:rPr>
              <w:t xml:space="preserve"> DEQ data for TMDL development</w:t>
            </w:r>
          </w:p>
          <w:p w14:paraId="73AB55A7" w14:textId="77777777" w:rsidR="001B0E50" w:rsidRPr="00041FEA" w:rsidRDefault="001B0E50">
            <w:pPr>
              <w:widowControl/>
              <w:numPr>
                <w:ilvl w:val="0"/>
                <w:numId w:val="12"/>
              </w:numPr>
              <w:tabs>
                <w:tab w:val="clear" w:pos="360"/>
              </w:tabs>
              <w:spacing w:after="200"/>
              <w:rPr>
                <w:rFonts w:cstheme="minorHAnsi"/>
                <w:snapToGrid/>
                <w:color w:val="000000"/>
                <w:sz w:val="22"/>
                <w:szCs w:val="22"/>
              </w:rPr>
            </w:pPr>
            <w:r w:rsidRPr="00041FEA">
              <w:rPr>
                <w:rFonts w:cstheme="minorHAnsi"/>
                <w:snapToGrid/>
                <w:color w:val="000000"/>
                <w:sz w:val="22"/>
                <w:szCs w:val="22"/>
              </w:rPr>
              <w:t>All uses listed in Levels I and II</w:t>
            </w:r>
          </w:p>
        </w:tc>
        <w:tc>
          <w:tcPr>
            <w:tcW w:w="5441" w:type="dxa"/>
            <w:tcBorders>
              <w:top w:val="single" w:sz="4" w:space="0" w:color="auto"/>
              <w:bottom w:val="single" w:sz="4" w:space="0" w:color="auto"/>
            </w:tcBorders>
          </w:tcPr>
          <w:p w14:paraId="0F01D06C" w14:textId="77777777" w:rsidR="001B0E50" w:rsidRPr="00041FEA" w:rsidRDefault="001B0E50">
            <w:pPr>
              <w:widowControl/>
              <w:numPr>
                <w:ilvl w:val="0"/>
                <w:numId w:val="6"/>
              </w:numPr>
              <w:spacing w:after="200"/>
              <w:rPr>
                <w:rFonts w:cstheme="minorHAnsi"/>
                <w:snapToGrid/>
                <w:color w:val="000000"/>
                <w:sz w:val="22"/>
                <w:szCs w:val="22"/>
              </w:rPr>
            </w:pPr>
            <w:r w:rsidRPr="00041FEA">
              <w:rPr>
                <w:rFonts w:cstheme="minorHAnsi"/>
                <w:snapToGrid/>
                <w:color w:val="000000"/>
                <w:sz w:val="22"/>
                <w:szCs w:val="22"/>
              </w:rPr>
              <w:t xml:space="preserve">DEQ-approved Quality Assurance Project Plan (QAPP) and field or lab Standard Operating Procedures (SOP). </w:t>
            </w:r>
          </w:p>
          <w:p w14:paraId="53A57050" w14:textId="77777777" w:rsidR="001B0E50" w:rsidRPr="00041FEA" w:rsidRDefault="001B0E50">
            <w:pPr>
              <w:widowControl/>
              <w:numPr>
                <w:ilvl w:val="0"/>
                <w:numId w:val="6"/>
              </w:numPr>
              <w:spacing w:after="200"/>
              <w:rPr>
                <w:rFonts w:cstheme="minorHAnsi"/>
                <w:snapToGrid/>
                <w:color w:val="000000"/>
                <w:sz w:val="22"/>
                <w:szCs w:val="22"/>
              </w:rPr>
            </w:pPr>
            <w:r w:rsidRPr="00041FEA">
              <w:rPr>
                <w:rFonts w:cstheme="minorHAnsi"/>
                <w:snapToGrid/>
                <w:color w:val="000000"/>
                <w:sz w:val="22"/>
                <w:szCs w:val="22"/>
              </w:rPr>
              <w:t>Field and/or laboratory audit required.</w:t>
            </w:r>
          </w:p>
          <w:p w14:paraId="0CD285EE" w14:textId="77777777" w:rsidR="001B0E50" w:rsidRPr="00041FEA" w:rsidRDefault="001B0E50">
            <w:pPr>
              <w:widowControl/>
              <w:numPr>
                <w:ilvl w:val="0"/>
                <w:numId w:val="9"/>
              </w:numPr>
              <w:spacing w:after="200"/>
              <w:rPr>
                <w:rFonts w:cstheme="minorHAnsi"/>
                <w:snapToGrid/>
                <w:color w:val="000000"/>
                <w:sz w:val="22"/>
                <w:szCs w:val="22"/>
              </w:rPr>
            </w:pPr>
            <w:proofErr w:type="gramStart"/>
            <w:r w:rsidRPr="00041FEA">
              <w:rPr>
                <w:rFonts w:cstheme="minorHAnsi"/>
                <w:snapToGrid/>
                <w:color w:val="000000"/>
                <w:sz w:val="22"/>
                <w:szCs w:val="22"/>
              </w:rPr>
              <w:t>Group</w:t>
            </w:r>
            <w:proofErr w:type="gramEnd"/>
            <w:r w:rsidRPr="00041FEA">
              <w:rPr>
                <w:rFonts w:cstheme="minorHAnsi"/>
                <w:snapToGrid/>
                <w:color w:val="000000"/>
                <w:sz w:val="22"/>
                <w:szCs w:val="22"/>
              </w:rPr>
              <w:t xml:space="preserve"> provides calibration and quality control associated information </w:t>
            </w:r>
            <w:proofErr w:type="gramStart"/>
            <w:r w:rsidRPr="00041FEA">
              <w:rPr>
                <w:rFonts w:cstheme="minorHAnsi"/>
                <w:snapToGrid/>
                <w:color w:val="000000"/>
                <w:sz w:val="22"/>
                <w:szCs w:val="22"/>
              </w:rPr>
              <w:t>to</w:t>
            </w:r>
            <w:proofErr w:type="gramEnd"/>
            <w:r w:rsidRPr="00041FEA">
              <w:rPr>
                <w:rFonts w:cstheme="minorHAnsi"/>
                <w:snapToGrid/>
                <w:color w:val="000000"/>
                <w:sz w:val="22"/>
                <w:szCs w:val="22"/>
              </w:rPr>
              <w:t xml:space="preserve"> DEQ when submitting data. This information must meet the specific criteria stated in the QAPP.</w:t>
            </w:r>
          </w:p>
        </w:tc>
      </w:tr>
      <w:tr w:rsidR="001B0E50" w:rsidRPr="000234AF" w14:paraId="3122593A" w14:textId="77777777" w:rsidTr="00130FD9">
        <w:trPr>
          <w:trHeight w:val="1286"/>
        </w:trPr>
        <w:tc>
          <w:tcPr>
            <w:tcW w:w="1579" w:type="dxa"/>
            <w:tcBorders>
              <w:top w:val="single" w:sz="4" w:space="0" w:color="auto"/>
              <w:bottom w:val="single" w:sz="4" w:space="0" w:color="auto"/>
            </w:tcBorders>
            <w:vAlign w:val="center"/>
          </w:tcPr>
          <w:p w14:paraId="647EA2AA" w14:textId="77777777" w:rsidR="001B0E50" w:rsidRPr="00041FEA" w:rsidRDefault="001B0E50">
            <w:pPr>
              <w:widowControl/>
              <w:ind w:firstLine="720"/>
              <w:rPr>
                <w:rFonts w:cstheme="minorHAnsi"/>
                <w:b/>
                <w:bCs/>
                <w:snapToGrid/>
                <w:color w:val="000000"/>
                <w:sz w:val="22"/>
                <w:szCs w:val="22"/>
              </w:rPr>
            </w:pPr>
            <w:r w:rsidRPr="00041FEA">
              <w:rPr>
                <w:rFonts w:cstheme="minorHAnsi"/>
                <w:b/>
                <w:bCs/>
                <w:snapToGrid/>
                <w:color w:val="000000"/>
                <w:sz w:val="22"/>
                <w:szCs w:val="22"/>
              </w:rPr>
              <w:t>II</w:t>
            </w:r>
          </w:p>
        </w:tc>
        <w:tc>
          <w:tcPr>
            <w:tcW w:w="2995" w:type="dxa"/>
            <w:tcBorders>
              <w:top w:val="single" w:sz="4" w:space="0" w:color="auto"/>
              <w:bottom w:val="single" w:sz="4" w:space="0" w:color="auto"/>
            </w:tcBorders>
          </w:tcPr>
          <w:p w14:paraId="69334379" w14:textId="15135DCC" w:rsidR="001B0E50" w:rsidRPr="00041FEA" w:rsidRDefault="001B0E50">
            <w:pPr>
              <w:widowControl/>
              <w:numPr>
                <w:ilvl w:val="0"/>
                <w:numId w:val="2"/>
              </w:numPr>
              <w:spacing w:after="200"/>
              <w:rPr>
                <w:rFonts w:cstheme="minorHAnsi"/>
                <w:snapToGrid/>
                <w:color w:val="000000"/>
                <w:sz w:val="22"/>
                <w:szCs w:val="22"/>
              </w:rPr>
            </w:pPr>
            <w:r w:rsidRPr="00041FEA">
              <w:rPr>
                <w:rFonts w:cstheme="minorHAnsi"/>
                <w:snapToGrid/>
                <w:color w:val="000000"/>
                <w:sz w:val="22"/>
                <w:szCs w:val="22"/>
              </w:rPr>
              <w:t xml:space="preserve">Identify waters for DEQ follow up </w:t>
            </w:r>
            <w:r w:rsidR="006A79F8" w:rsidRPr="00041FEA">
              <w:rPr>
                <w:rFonts w:cstheme="minorHAnsi"/>
                <w:snapToGrid/>
                <w:color w:val="000000"/>
                <w:sz w:val="22"/>
                <w:szCs w:val="22"/>
              </w:rPr>
              <w:t>monitoring.</w:t>
            </w:r>
          </w:p>
          <w:p w14:paraId="6EB0727D" w14:textId="77777777" w:rsidR="001B0E50" w:rsidRPr="00041FEA" w:rsidRDefault="001B0E50">
            <w:pPr>
              <w:widowControl/>
              <w:numPr>
                <w:ilvl w:val="0"/>
                <w:numId w:val="2"/>
              </w:numPr>
              <w:spacing w:after="200"/>
              <w:rPr>
                <w:rFonts w:cstheme="minorHAnsi"/>
                <w:snapToGrid/>
                <w:color w:val="000000"/>
                <w:sz w:val="22"/>
                <w:szCs w:val="22"/>
              </w:rPr>
            </w:pPr>
            <w:r w:rsidRPr="00041FEA">
              <w:rPr>
                <w:rFonts w:cstheme="minorHAnsi"/>
                <w:snapToGrid/>
                <w:color w:val="000000"/>
                <w:sz w:val="22"/>
                <w:szCs w:val="22"/>
              </w:rPr>
              <w:t>Track performance of TMDL implementation</w:t>
            </w:r>
          </w:p>
          <w:p w14:paraId="02251715" w14:textId="77777777" w:rsidR="001B0E50" w:rsidRPr="00041FEA" w:rsidRDefault="001B0E50">
            <w:pPr>
              <w:widowControl/>
              <w:numPr>
                <w:ilvl w:val="0"/>
                <w:numId w:val="2"/>
              </w:numPr>
              <w:spacing w:after="200"/>
              <w:rPr>
                <w:rFonts w:cstheme="minorHAnsi"/>
                <w:snapToGrid/>
                <w:color w:val="000000"/>
                <w:sz w:val="22"/>
                <w:szCs w:val="22"/>
              </w:rPr>
            </w:pPr>
            <w:r w:rsidRPr="00041FEA">
              <w:rPr>
                <w:rFonts w:cstheme="minorHAnsi"/>
                <w:snapToGrid/>
                <w:color w:val="000000"/>
                <w:sz w:val="22"/>
                <w:szCs w:val="22"/>
              </w:rPr>
              <w:t>All uses listed in Level I</w:t>
            </w:r>
          </w:p>
        </w:tc>
        <w:tc>
          <w:tcPr>
            <w:tcW w:w="5441" w:type="dxa"/>
            <w:tcBorders>
              <w:top w:val="single" w:sz="4" w:space="0" w:color="auto"/>
              <w:bottom w:val="single" w:sz="4" w:space="0" w:color="auto"/>
            </w:tcBorders>
          </w:tcPr>
          <w:p w14:paraId="63F322DF" w14:textId="77777777" w:rsidR="001B0E50" w:rsidRPr="00041FEA" w:rsidRDefault="001B0E50">
            <w:pPr>
              <w:widowControl/>
              <w:numPr>
                <w:ilvl w:val="0"/>
                <w:numId w:val="6"/>
              </w:numPr>
              <w:spacing w:after="200"/>
              <w:rPr>
                <w:rFonts w:cstheme="minorHAnsi"/>
                <w:snapToGrid/>
                <w:color w:val="000000"/>
                <w:sz w:val="22"/>
                <w:szCs w:val="22"/>
              </w:rPr>
            </w:pPr>
            <w:r w:rsidRPr="00041FEA">
              <w:rPr>
                <w:rFonts w:cstheme="minorHAnsi"/>
                <w:snapToGrid/>
                <w:color w:val="000000"/>
                <w:sz w:val="22"/>
                <w:szCs w:val="22"/>
              </w:rPr>
              <w:t>DEQ-approved Quality Assurance Project Plan and approved field or lab SOPs.</w:t>
            </w:r>
          </w:p>
          <w:p w14:paraId="018D9F3B" w14:textId="57436BC0" w:rsidR="001B0E50" w:rsidRPr="00041FEA" w:rsidRDefault="003A5EE5">
            <w:pPr>
              <w:widowControl/>
              <w:numPr>
                <w:ilvl w:val="0"/>
                <w:numId w:val="10"/>
              </w:numPr>
              <w:spacing w:after="200"/>
              <w:rPr>
                <w:rFonts w:cstheme="minorHAnsi"/>
                <w:snapToGrid/>
                <w:color w:val="000000"/>
                <w:sz w:val="22"/>
                <w:szCs w:val="22"/>
              </w:rPr>
            </w:pPr>
            <w:r>
              <w:rPr>
                <w:rFonts w:cstheme="minorHAnsi"/>
                <w:snapToGrid/>
                <w:color w:val="000000"/>
                <w:sz w:val="22"/>
                <w:szCs w:val="22"/>
              </w:rPr>
              <w:t>T</w:t>
            </w:r>
            <w:r w:rsidR="001B0E50" w:rsidRPr="00041FEA">
              <w:rPr>
                <w:rFonts w:cstheme="minorHAnsi"/>
                <w:snapToGrid/>
                <w:color w:val="000000"/>
                <w:sz w:val="22"/>
                <w:szCs w:val="22"/>
              </w:rPr>
              <w:t xml:space="preserve">here may be deviation from an approved method if it can be demonstrated that the method collects data of similar quality to an approved method. </w:t>
            </w:r>
          </w:p>
        </w:tc>
      </w:tr>
      <w:tr w:rsidR="001B0E50" w:rsidRPr="000234AF" w14:paraId="39EF264B" w14:textId="77777777" w:rsidTr="00130FD9">
        <w:trPr>
          <w:trHeight w:val="2263"/>
        </w:trPr>
        <w:tc>
          <w:tcPr>
            <w:tcW w:w="1579" w:type="dxa"/>
            <w:tcBorders>
              <w:top w:val="single" w:sz="4" w:space="0" w:color="auto"/>
              <w:bottom w:val="single" w:sz="4" w:space="0" w:color="auto"/>
            </w:tcBorders>
            <w:vAlign w:val="center"/>
          </w:tcPr>
          <w:p w14:paraId="0DC5C1CB" w14:textId="77777777" w:rsidR="001B0E50" w:rsidRPr="00041FEA" w:rsidRDefault="001B0E50">
            <w:pPr>
              <w:widowControl/>
              <w:ind w:firstLine="720"/>
              <w:rPr>
                <w:rFonts w:cstheme="minorHAnsi"/>
                <w:b/>
                <w:bCs/>
                <w:snapToGrid/>
                <w:color w:val="000000"/>
                <w:sz w:val="22"/>
                <w:szCs w:val="22"/>
              </w:rPr>
            </w:pPr>
            <w:r w:rsidRPr="00041FEA">
              <w:rPr>
                <w:rFonts w:cstheme="minorHAnsi"/>
                <w:b/>
                <w:bCs/>
                <w:snapToGrid/>
                <w:color w:val="000000"/>
                <w:sz w:val="22"/>
                <w:szCs w:val="22"/>
              </w:rPr>
              <w:t>I</w:t>
            </w:r>
          </w:p>
        </w:tc>
        <w:tc>
          <w:tcPr>
            <w:tcW w:w="2995" w:type="dxa"/>
            <w:tcBorders>
              <w:top w:val="single" w:sz="4" w:space="0" w:color="auto"/>
              <w:bottom w:val="single" w:sz="4" w:space="0" w:color="auto"/>
            </w:tcBorders>
          </w:tcPr>
          <w:p w14:paraId="76A83ECE" w14:textId="77777777" w:rsidR="001B0E50" w:rsidRPr="00041FEA" w:rsidRDefault="001B0E50">
            <w:pPr>
              <w:widowControl/>
              <w:numPr>
                <w:ilvl w:val="0"/>
                <w:numId w:val="2"/>
              </w:numPr>
              <w:spacing w:after="200"/>
              <w:rPr>
                <w:rFonts w:cstheme="minorHAnsi"/>
                <w:snapToGrid/>
                <w:color w:val="000000"/>
                <w:sz w:val="22"/>
                <w:szCs w:val="22"/>
              </w:rPr>
            </w:pPr>
            <w:r w:rsidRPr="00041FEA">
              <w:rPr>
                <w:rFonts w:cstheme="minorHAnsi"/>
                <w:snapToGrid/>
                <w:color w:val="000000"/>
                <w:sz w:val="22"/>
                <w:szCs w:val="22"/>
              </w:rPr>
              <w:t xml:space="preserve">Education </w:t>
            </w:r>
          </w:p>
          <w:p w14:paraId="2F7E53EB" w14:textId="77777777" w:rsidR="001B0E50" w:rsidRPr="00041FEA" w:rsidRDefault="001B0E50">
            <w:pPr>
              <w:widowControl/>
              <w:numPr>
                <w:ilvl w:val="0"/>
                <w:numId w:val="2"/>
              </w:numPr>
              <w:spacing w:after="200"/>
              <w:rPr>
                <w:rFonts w:cstheme="minorHAnsi"/>
                <w:snapToGrid/>
                <w:color w:val="000000"/>
                <w:sz w:val="22"/>
                <w:szCs w:val="22"/>
              </w:rPr>
            </w:pPr>
            <w:r w:rsidRPr="00041FEA">
              <w:rPr>
                <w:rFonts w:cstheme="minorHAnsi"/>
                <w:snapToGrid/>
                <w:color w:val="000000"/>
                <w:sz w:val="22"/>
                <w:szCs w:val="22"/>
              </w:rPr>
              <w:t>Baseline Conditions</w:t>
            </w:r>
          </w:p>
          <w:p w14:paraId="1C662FF8" w14:textId="77777777" w:rsidR="001B0E50" w:rsidRPr="00041FEA" w:rsidRDefault="001B0E50">
            <w:pPr>
              <w:widowControl/>
              <w:numPr>
                <w:ilvl w:val="0"/>
                <w:numId w:val="3"/>
              </w:numPr>
              <w:spacing w:after="200"/>
              <w:rPr>
                <w:rFonts w:cstheme="minorHAnsi"/>
                <w:snapToGrid/>
                <w:color w:val="000000"/>
                <w:sz w:val="22"/>
                <w:szCs w:val="22"/>
              </w:rPr>
            </w:pPr>
            <w:r w:rsidRPr="00041FEA">
              <w:rPr>
                <w:rFonts w:cstheme="minorHAnsi"/>
                <w:snapToGrid/>
                <w:color w:val="000000"/>
                <w:sz w:val="22"/>
                <w:szCs w:val="22"/>
              </w:rPr>
              <w:t>Notification of Possible Pollution Events</w:t>
            </w:r>
          </w:p>
          <w:p w14:paraId="174B0F85" w14:textId="77777777" w:rsidR="001B0E50" w:rsidRPr="00041FEA" w:rsidRDefault="001B0E50">
            <w:pPr>
              <w:widowControl/>
              <w:numPr>
                <w:ilvl w:val="0"/>
                <w:numId w:val="2"/>
              </w:numPr>
              <w:spacing w:after="200"/>
              <w:rPr>
                <w:rFonts w:cstheme="minorHAnsi"/>
                <w:snapToGrid/>
                <w:color w:val="000000"/>
                <w:sz w:val="22"/>
                <w:szCs w:val="22"/>
              </w:rPr>
            </w:pPr>
            <w:r w:rsidRPr="00041FEA">
              <w:rPr>
                <w:rFonts w:cstheme="minorHAnsi"/>
                <w:snapToGrid/>
                <w:color w:val="000000"/>
                <w:sz w:val="22"/>
                <w:szCs w:val="22"/>
              </w:rPr>
              <w:t>Local Land Use Decisions</w:t>
            </w:r>
          </w:p>
          <w:p w14:paraId="359F0D4D" w14:textId="77777777" w:rsidR="001B0E50" w:rsidRPr="00041FEA" w:rsidRDefault="001B0E50">
            <w:pPr>
              <w:widowControl/>
              <w:numPr>
                <w:ilvl w:val="0"/>
                <w:numId w:val="8"/>
              </w:numPr>
              <w:tabs>
                <w:tab w:val="clear" w:pos="360"/>
              </w:tabs>
              <w:spacing w:after="200"/>
              <w:rPr>
                <w:rFonts w:cstheme="minorHAnsi"/>
                <w:snapToGrid/>
                <w:color w:val="000000"/>
                <w:sz w:val="22"/>
                <w:szCs w:val="22"/>
              </w:rPr>
            </w:pPr>
            <w:r w:rsidRPr="00041FEA">
              <w:rPr>
                <w:rFonts w:cstheme="minorHAnsi"/>
                <w:snapToGrid/>
                <w:color w:val="000000"/>
                <w:sz w:val="22"/>
                <w:szCs w:val="22"/>
              </w:rPr>
              <w:t>Special Studies</w:t>
            </w:r>
          </w:p>
        </w:tc>
        <w:tc>
          <w:tcPr>
            <w:tcW w:w="5441" w:type="dxa"/>
            <w:tcBorders>
              <w:top w:val="single" w:sz="4" w:space="0" w:color="auto"/>
              <w:bottom w:val="single" w:sz="4" w:space="0" w:color="auto"/>
            </w:tcBorders>
          </w:tcPr>
          <w:p w14:paraId="31CE0E5A" w14:textId="0DD34BA5" w:rsidR="001B0E50" w:rsidRPr="00041FEA" w:rsidRDefault="001B0E50">
            <w:pPr>
              <w:widowControl/>
              <w:numPr>
                <w:ilvl w:val="0"/>
                <w:numId w:val="5"/>
              </w:numPr>
              <w:spacing w:after="200"/>
              <w:rPr>
                <w:rFonts w:cstheme="minorHAnsi"/>
                <w:snapToGrid/>
                <w:color w:val="000000"/>
                <w:sz w:val="22"/>
                <w:szCs w:val="22"/>
              </w:rPr>
            </w:pPr>
            <w:r w:rsidRPr="00041FEA">
              <w:rPr>
                <w:rFonts w:cstheme="minorHAnsi"/>
                <w:snapToGrid/>
                <w:color w:val="000000"/>
                <w:sz w:val="22"/>
                <w:szCs w:val="22"/>
              </w:rPr>
              <w:t>No QAPP or SOP required by DEQ.</w:t>
            </w:r>
          </w:p>
          <w:p w14:paraId="49096232" w14:textId="77777777" w:rsidR="001B0E50" w:rsidRPr="00041FEA" w:rsidRDefault="001B0E50">
            <w:pPr>
              <w:widowControl/>
              <w:numPr>
                <w:ilvl w:val="0"/>
                <w:numId w:val="5"/>
              </w:numPr>
              <w:spacing w:after="200"/>
              <w:rPr>
                <w:rFonts w:cstheme="minorHAnsi"/>
                <w:snapToGrid/>
                <w:color w:val="000000"/>
                <w:sz w:val="22"/>
                <w:szCs w:val="22"/>
              </w:rPr>
            </w:pPr>
            <w:r w:rsidRPr="00041FEA">
              <w:rPr>
                <w:rFonts w:cstheme="minorHAnsi"/>
                <w:snapToGrid/>
                <w:color w:val="000000"/>
                <w:sz w:val="22"/>
                <w:szCs w:val="22"/>
              </w:rPr>
              <w:t>Uniform methodology recommended.</w:t>
            </w:r>
          </w:p>
          <w:p w14:paraId="0808E74B" w14:textId="4067448D" w:rsidR="001B0E50" w:rsidRPr="00041FEA" w:rsidRDefault="001B0E50">
            <w:pPr>
              <w:widowControl/>
              <w:numPr>
                <w:ilvl w:val="0"/>
                <w:numId w:val="7"/>
              </w:numPr>
              <w:spacing w:after="200"/>
              <w:rPr>
                <w:rFonts w:cstheme="minorHAnsi"/>
                <w:snapToGrid/>
                <w:color w:val="000000"/>
                <w:sz w:val="22"/>
                <w:szCs w:val="22"/>
              </w:rPr>
            </w:pPr>
            <w:r w:rsidRPr="00041FEA">
              <w:rPr>
                <w:rFonts w:cstheme="minorHAnsi"/>
                <w:snapToGrid/>
                <w:color w:val="000000"/>
                <w:sz w:val="22"/>
                <w:szCs w:val="22"/>
              </w:rPr>
              <w:t>QAPP, SOPs</w:t>
            </w:r>
            <w:r w:rsidR="00436CB8">
              <w:rPr>
                <w:rFonts w:cstheme="minorHAnsi"/>
                <w:snapToGrid/>
                <w:color w:val="000000"/>
                <w:sz w:val="22"/>
                <w:szCs w:val="22"/>
              </w:rPr>
              <w:t>,</w:t>
            </w:r>
            <w:r w:rsidRPr="00041FEA">
              <w:rPr>
                <w:rFonts w:cstheme="minorHAnsi"/>
                <w:snapToGrid/>
                <w:color w:val="000000"/>
                <w:sz w:val="22"/>
                <w:szCs w:val="22"/>
              </w:rPr>
              <w:t xml:space="preserve"> or lab methods do not meet DEQ quality assurance/quality control requirements or, </w:t>
            </w:r>
          </w:p>
          <w:p w14:paraId="589DD487" w14:textId="77777777" w:rsidR="001B0E50" w:rsidRPr="00041FEA" w:rsidRDefault="001B0E50">
            <w:pPr>
              <w:widowControl/>
              <w:numPr>
                <w:ilvl w:val="0"/>
                <w:numId w:val="11"/>
              </w:numPr>
              <w:spacing w:after="200"/>
              <w:rPr>
                <w:rFonts w:cstheme="minorHAnsi"/>
                <w:snapToGrid/>
                <w:color w:val="000000"/>
                <w:sz w:val="22"/>
                <w:szCs w:val="22"/>
              </w:rPr>
            </w:pPr>
            <w:r w:rsidRPr="00041FEA">
              <w:rPr>
                <w:rFonts w:cstheme="minorHAnsi"/>
                <w:snapToGrid/>
                <w:color w:val="000000"/>
                <w:sz w:val="22"/>
                <w:szCs w:val="22"/>
              </w:rPr>
              <w:t xml:space="preserve">There is no numeric Virginia Water Quality Standard for the parameter*. </w:t>
            </w:r>
          </w:p>
        </w:tc>
      </w:tr>
    </w:tbl>
    <w:p w14:paraId="400F4DC7" w14:textId="51BD1657" w:rsidR="0007042C" w:rsidRPr="004B32DF" w:rsidRDefault="001B0E50" w:rsidP="0007042C">
      <w:pPr>
        <w:widowControl/>
        <w:rPr>
          <w:rFonts w:cstheme="minorHAnsi"/>
          <w:snapToGrid/>
          <w:color w:val="000000"/>
          <w:sz w:val="20"/>
        </w:rPr>
      </w:pPr>
      <w:r w:rsidRPr="00897462">
        <w:rPr>
          <w:rFonts w:cstheme="minorHAnsi"/>
          <w:b/>
          <w:snapToGrid/>
          <w:color w:val="000000"/>
          <w:sz w:val="20"/>
        </w:rPr>
        <w:t>*</w:t>
      </w:r>
      <w:r w:rsidRPr="000234AF">
        <w:rPr>
          <w:rFonts w:cstheme="minorHAnsi"/>
          <w:snapToGrid/>
          <w:color w:val="000000"/>
          <w:szCs w:val="24"/>
        </w:rPr>
        <w:t xml:space="preserve"> </w:t>
      </w:r>
      <w:r>
        <w:rPr>
          <w:rFonts w:cstheme="minorHAnsi"/>
          <w:snapToGrid/>
          <w:color w:val="000000"/>
          <w:sz w:val="20"/>
        </w:rPr>
        <w:t xml:space="preserve">There are no numeric criteria in the Virginia Water Quality Standard regulations for the following commonly monitored parameters: nitrate (except for waterbodies used for drinking water purposes), nitrite, Total Kjeldahl Nitrogen (TKN), orthophosphate, suspended solids, total nitrogen, </w:t>
      </w:r>
      <w:r w:rsidRPr="00961541">
        <w:rPr>
          <w:rFonts w:cstheme="minorHAnsi"/>
          <w:snapToGrid/>
          <w:color w:val="000000"/>
          <w:sz w:val="20"/>
        </w:rPr>
        <w:t>total phosphorus (except for lakes), water clarity (turbidity, Secchi depth). Information about water Quality Standards is available at</w:t>
      </w:r>
      <w:r w:rsidR="00F43776" w:rsidRPr="00961541">
        <w:rPr>
          <w:sz w:val="20"/>
        </w:rPr>
        <w:t xml:space="preserve"> the DEQ Water Quality Standards </w:t>
      </w:r>
      <w:r w:rsidR="00FF3164" w:rsidRPr="00961541">
        <w:rPr>
          <w:sz w:val="20"/>
        </w:rPr>
        <w:t>webpage</w:t>
      </w:r>
      <w:r w:rsidRPr="00961541">
        <w:rPr>
          <w:rFonts w:cstheme="minorHAnsi"/>
          <w:snapToGrid/>
          <w:color w:val="000000"/>
          <w:sz w:val="20"/>
        </w:rPr>
        <w:t>. Data on parameters for which there is no standard may be used as Level II if used for agency business that does not require a standard (e.g., tracking TMDL Implementation</w:t>
      </w:r>
      <w:r w:rsidRPr="004B32DF">
        <w:rPr>
          <w:rFonts w:cstheme="minorHAnsi"/>
          <w:snapToGrid/>
          <w:color w:val="000000"/>
          <w:sz w:val="20"/>
        </w:rPr>
        <w:t xml:space="preserve"> performance).</w:t>
      </w:r>
    </w:p>
    <w:p w14:paraId="4D5667F7" w14:textId="77777777" w:rsidR="0007042C" w:rsidRPr="0007042C" w:rsidRDefault="0007042C" w:rsidP="0007042C">
      <w:pPr>
        <w:widowControl/>
        <w:rPr>
          <w:rFonts w:cstheme="minorHAnsi"/>
          <w:snapToGrid/>
          <w:color w:val="000000"/>
          <w:sz w:val="20"/>
        </w:rPr>
        <w:sectPr w:rsidR="0007042C" w:rsidRPr="0007042C" w:rsidSect="009079C4">
          <w:pgSz w:w="12240" w:h="15840"/>
          <w:pgMar w:top="1440" w:right="1440" w:bottom="1440" w:left="1440" w:header="864" w:footer="720" w:gutter="0"/>
          <w:cols w:space="720"/>
          <w:docGrid w:linePitch="360"/>
        </w:sectPr>
      </w:pPr>
    </w:p>
    <w:p w14:paraId="7F412454" w14:textId="6A9383C8" w:rsidR="001B0E50" w:rsidRPr="00BE3938" w:rsidRDefault="001B0E50" w:rsidP="00BE3938">
      <w:pPr>
        <w:pStyle w:val="Heading3"/>
      </w:pPr>
      <w:r w:rsidRPr="00BE3938">
        <w:lastRenderedPageBreak/>
        <w:t>Citizen Monitoring</w:t>
      </w:r>
      <w:r w:rsidR="005D5473">
        <w:t xml:space="preserve"> Summary</w:t>
      </w:r>
    </w:p>
    <w:p w14:paraId="011B9E5C" w14:textId="1D6C6A75" w:rsidR="001B0E50" w:rsidRDefault="007C65A8" w:rsidP="001B0E50">
      <w:pPr>
        <w:widowControl/>
        <w:rPr>
          <w:rFonts w:cstheme="minorHAnsi"/>
          <w:snapToGrid/>
          <w:color w:val="000000"/>
          <w:szCs w:val="24"/>
        </w:rPr>
      </w:pPr>
      <w:r>
        <w:rPr>
          <w:rFonts w:cstheme="minorHAnsi"/>
          <w:snapToGrid/>
          <w:color w:val="000000"/>
          <w:szCs w:val="24"/>
        </w:rPr>
        <w:t>Residents</w:t>
      </w:r>
      <w:r w:rsidR="001B0E50" w:rsidRPr="000234AF">
        <w:rPr>
          <w:rFonts w:cstheme="minorHAnsi"/>
          <w:snapToGrid/>
          <w:color w:val="000000"/>
          <w:szCs w:val="24"/>
        </w:rPr>
        <w:t xml:space="preserve"> of the Commonwealth monitor streams, lakes, and estuaries for a variety of </w:t>
      </w:r>
      <w:r w:rsidR="001B0E50">
        <w:rPr>
          <w:rFonts w:cstheme="minorHAnsi"/>
          <w:snapToGrid/>
          <w:color w:val="000000"/>
          <w:szCs w:val="24"/>
        </w:rPr>
        <w:t xml:space="preserve">physical, chemical, and biological characteristics (i.e., </w:t>
      </w:r>
      <w:r w:rsidR="001B0E50" w:rsidRPr="000234AF">
        <w:rPr>
          <w:rFonts w:cstheme="minorHAnsi"/>
          <w:snapToGrid/>
          <w:color w:val="000000"/>
          <w:szCs w:val="24"/>
        </w:rPr>
        <w:t>parameters</w:t>
      </w:r>
      <w:r w:rsidR="001B0E50">
        <w:rPr>
          <w:rFonts w:cstheme="minorHAnsi"/>
          <w:snapToGrid/>
          <w:color w:val="000000"/>
          <w:szCs w:val="24"/>
        </w:rPr>
        <w:t>)</w:t>
      </w:r>
      <w:r w:rsidR="001B0E50" w:rsidRPr="000234AF">
        <w:rPr>
          <w:rFonts w:cstheme="minorHAnsi"/>
          <w:snapToGrid/>
          <w:color w:val="000000"/>
          <w:szCs w:val="24"/>
        </w:rPr>
        <w:t xml:space="preserve"> depending upon the goals of their programs. Common</w:t>
      </w:r>
      <w:r w:rsidR="001B0E50">
        <w:rPr>
          <w:rFonts w:cstheme="minorHAnsi"/>
          <w:snapToGrid/>
          <w:color w:val="000000"/>
          <w:szCs w:val="24"/>
        </w:rPr>
        <w:t>ly</w:t>
      </w:r>
      <w:r w:rsidR="001B0E50" w:rsidRPr="000234AF">
        <w:rPr>
          <w:rFonts w:cstheme="minorHAnsi"/>
          <w:snapToGrid/>
          <w:color w:val="000000"/>
          <w:szCs w:val="24"/>
        </w:rPr>
        <w:t xml:space="preserve"> measure</w:t>
      </w:r>
      <w:r w:rsidR="001B0E50">
        <w:rPr>
          <w:rFonts w:cstheme="minorHAnsi"/>
          <w:snapToGrid/>
          <w:color w:val="000000"/>
          <w:szCs w:val="24"/>
        </w:rPr>
        <w:t>d parameters</w:t>
      </w:r>
      <w:r w:rsidR="001B0E50" w:rsidRPr="000234AF">
        <w:rPr>
          <w:rFonts w:cstheme="minorHAnsi"/>
          <w:snapToGrid/>
          <w:color w:val="000000"/>
          <w:szCs w:val="24"/>
        </w:rPr>
        <w:t xml:space="preserve"> </w:t>
      </w:r>
      <w:r w:rsidR="00041FEA" w:rsidRPr="000234AF">
        <w:rPr>
          <w:rFonts w:cstheme="minorHAnsi"/>
          <w:snapToGrid/>
          <w:color w:val="000000"/>
          <w:szCs w:val="24"/>
        </w:rPr>
        <w:t>include</w:t>
      </w:r>
      <w:r w:rsidR="001B0E50" w:rsidRPr="000234AF">
        <w:rPr>
          <w:rFonts w:cstheme="minorHAnsi"/>
          <w:snapToGrid/>
          <w:color w:val="000000"/>
          <w:szCs w:val="24"/>
        </w:rPr>
        <w:t xml:space="preserve"> water temperature, pH, dissolved oxygen, nutrients (various forms of nitrogen and phosphorus), </w:t>
      </w:r>
      <w:r w:rsidR="001B0E50">
        <w:rPr>
          <w:rFonts w:cstheme="minorHAnsi"/>
          <w:snapToGrid/>
          <w:color w:val="000000"/>
          <w:szCs w:val="24"/>
        </w:rPr>
        <w:t>and</w:t>
      </w:r>
      <w:r w:rsidR="001B0E50" w:rsidRPr="000234AF">
        <w:rPr>
          <w:rFonts w:cstheme="minorHAnsi"/>
          <w:snapToGrid/>
          <w:color w:val="000000"/>
          <w:szCs w:val="24"/>
        </w:rPr>
        <w:t xml:space="preserve"> suspended solids. Biological </w:t>
      </w:r>
      <w:r w:rsidR="00041FEA" w:rsidRPr="000234AF">
        <w:rPr>
          <w:rFonts w:cstheme="minorHAnsi"/>
          <w:snapToGrid/>
          <w:color w:val="000000"/>
          <w:szCs w:val="24"/>
        </w:rPr>
        <w:t xml:space="preserve">parameters </w:t>
      </w:r>
      <w:r w:rsidR="00041FEA">
        <w:rPr>
          <w:rFonts w:cstheme="minorHAnsi"/>
          <w:snapToGrid/>
          <w:color w:val="000000"/>
          <w:szCs w:val="24"/>
        </w:rPr>
        <w:t>often</w:t>
      </w:r>
      <w:r w:rsidR="001B0E50">
        <w:rPr>
          <w:rFonts w:cstheme="minorHAnsi"/>
          <w:snapToGrid/>
          <w:color w:val="000000"/>
          <w:szCs w:val="24"/>
        </w:rPr>
        <w:t xml:space="preserve"> </w:t>
      </w:r>
      <w:r w:rsidR="001B0E50" w:rsidRPr="000234AF">
        <w:rPr>
          <w:rFonts w:cstheme="minorHAnsi"/>
          <w:snapToGrid/>
          <w:color w:val="000000"/>
          <w:szCs w:val="24"/>
        </w:rPr>
        <w:t xml:space="preserve">include benthic macroinvertebrates, </w:t>
      </w:r>
      <w:r w:rsidR="001B0E50" w:rsidRPr="000234AF">
        <w:rPr>
          <w:rFonts w:cstheme="minorHAnsi"/>
          <w:i/>
          <w:snapToGrid/>
          <w:color w:val="000000"/>
          <w:szCs w:val="24"/>
        </w:rPr>
        <w:t>E. coli</w:t>
      </w:r>
      <w:r w:rsidR="001B0E50" w:rsidRPr="000234AF">
        <w:rPr>
          <w:rFonts w:cstheme="minorHAnsi"/>
          <w:snapToGrid/>
          <w:color w:val="000000"/>
          <w:szCs w:val="24"/>
        </w:rPr>
        <w:t>,</w:t>
      </w:r>
      <w:r w:rsidR="001B0E50">
        <w:rPr>
          <w:rFonts w:cstheme="minorHAnsi"/>
          <w:snapToGrid/>
          <w:color w:val="000000"/>
          <w:szCs w:val="24"/>
        </w:rPr>
        <w:t xml:space="preserve"> and</w:t>
      </w:r>
      <w:r w:rsidR="001B0E50" w:rsidRPr="000234AF">
        <w:rPr>
          <w:rFonts w:cstheme="minorHAnsi"/>
          <w:snapToGrid/>
          <w:color w:val="000000"/>
          <w:szCs w:val="24"/>
        </w:rPr>
        <w:t xml:space="preserve"> chlorophyll</w:t>
      </w:r>
      <w:r w:rsidR="00E37644">
        <w:rPr>
          <w:rFonts w:cstheme="minorHAnsi"/>
          <w:snapToGrid/>
          <w:color w:val="000000"/>
          <w:szCs w:val="24"/>
        </w:rPr>
        <w:t xml:space="preserve"> </w:t>
      </w:r>
      <w:r w:rsidR="001B0E50" w:rsidRPr="000234AF">
        <w:rPr>
          <w:rFonts w:cstheme="minorHAnsi"/>
          <w:i/>
          <w:snapToGrid/>
          <w:color w:val="000000"/>
          <w:szCs w:val="24"/>
        </w:rPr>
        <w:t>a</w:t>
      </w:r>
      <w:r w:rsidR="001B0E50" w:rsidRPr="000234AF">
        <w:rPr>
          <w:rFonts w:cstheme="minorHAnsi"/>
          <w:snapToGrid/>
          <w:color w:val="000000"/>
          <w:szCs w:val="24"/>
        </w:rPr>
        <w:t xml:space="preserve">. </w:t>
      </w:r>
      <w:r w:rsidR="001B0E50">
        <w:rPr>
          <w:rFonts w:cstheme="minorHAnsi"/>
          <w:snapToGrid/>
          <w:color w:val="000000"/>
          <w:szCs w:val="24"/>
        </w:rPr>
        <w:t>T</w:t>
      </w:r>
      <w:r w:rsidR="001B0E50" w:rsidRPr="000234AF">
        <w:rPr>
          <w:rFonts w:cstheme="minorHAnsi"/>
          <w:snapToGrid/>
          <w:color w:val="000000"/>
          <w:szCs w:val="24"/>
        </w:rPr>
        <w:t>hese parameters are</w:t>
      </w:r>
      <w:r w:rsidR="001B0E50">
        <w:rPr>
          <w:rFonts w:cstheme="minorHAnsi"/>
          <w:snapToGrid/>
          <w:color w:val="000000"/>
          <w:szCs w:val="24"/>
        </w:rPr>
        <w:t xml:space="preserve"> also</w:t>
      </w:r>
      <w:r w:rsidR="001B0E50" w:rsidRPr="000234AF">
        <w:rPr>
          <w:rFonts w:cstheme="minorHAnsi"/>
          <w:snapToGrid/>
          <w:color w:val="000000"/>
          <w:szCs w:val="24"/>
        </w:rPr>
        <w:t xml:space="preserve"> routinely monitored by DEQ.</w:t>
      </w:r>
      <w:r w:rsidR="001B0E50">
        <w:rPr>
          <w:rFonts w:cstheme="minorHAnsi"/>
          <w:snapToGrid/>
          <w:color w:val="000000"/>
          <w:szCs w:val="24"/>
        </w:rPr>
        <w:t xml:space="preserve"> </w:t>
      </w:r>
    </w:p>
    <w:p w14:paraId="5D6595B9" w14:textId="77777777" w:rsidR="001B0E50" w:rsidRPr="000234AF" w:rsidRDefault="001B0E50" w:rsidP="001B0E50">
      <w:pPr>
        <w:widowControl/>
        <w:rPr>
          <w:rFonts w:cstheme="minorHAnsi"/>
          <w:snapToGrid/>
          <w:color w:val="000000"/>
          <w:szCs w:val="24"/>
        </w:rPr>
      </w:pPr>
    </w:p>
    <w:p w14:paraId="08A13AF4" w14:textId="77777777" w:rsidR="005B2952" w:rsidRDefault="001B0E50" w:rsidP="001B0E50">
      <w:pPr>
        <w:widowControl/>
        <w:rPr>
          <w:rFonts w:cstheme="minorHAnsi"/>
          <w:snapToGrid/>
          <w:color w:val="000000"/>
          <w:szCs w:val="24"/>
        </w:rPr>
      </w:pPr>
      <w:r w:rsidRPr="000234AF">
        <w:rPr>
          <w:rFonts w:cstheme="minorHAnsi"/>
          <w:snapToGrid/>
          <w:color w:val="000000"/>
          <w:szCs w:val="24"/>
        </w:rPr>
        <w:t>For the 202</w:t>
      </w:r>
      <w:r>
        <w:rPr>
          <w:rFonts w:cstheme="minorHAnsi"/>
          <w:snapToGrid/>
          <w:color w:val="000000"/>
          <w:szCs w:val="24"/>
        </w:rPr>
        <w:t>4</w:t>
      </w:r>
      <w:r w:rsidRPr="000234AF">
        <w:rPr>
          <w:rFonts w:cstheme="minorHAnsi"/>
          <w:snapToGrid/>
          <w:color w:val="000000"/>
          <w:szCs w:val="24"/>
        </w:rPr>
        <w:t xml:space="preserve"> assessment report cycle (data from 201</w:t>
      </w:r>
      <w:r>
        <w:rPr>
          <w:rFonts w:cstheme="minorHAnsi"/>
          <w:snapToGrid/>
          <w:color w:val="000000"/>
          <w:szCs w:val="24"/>
        </w:rPr>
        <w:t>7</w:t>
      </w:r>
      <w:r w:rsidRPr="000234AF">
        <w:rPr>
          <w:rFonts w:cstheme="minorHAnsi"/>
          <w:snapToGrid/>
          <w:color w:val="000000"/>
          <w:szCs w:val="24"/>
        </w:rPr>
        <w:t>-202</w:t>
      </w:r>
      <w:r>
        <w:rPr>
          <w:rFonts w:cstheme="minorHAnsi"/>
          <w:snapToGrid/>
          <w:color w:val="000000"/>
          <w:szCs w:val="24"/>
        </w:rPr>
        <w:t>2</w:t>
      </w:r>
      <w:r w:rsidRPr="000234AF">
        <w:rPr>
          <w:rFonts w:cstheme="minorHAnsi"/>
          <w:snapToGrid/>
          <w:color w:val="000000"/>
          <w:szCs w:val="24"/>
        </w:rPr>
        <w:t>), DEQ received citizen monitoring data from 1,</w:t>
      </w:r>
      <w:r>
        <w:rPr>
          <w:rFonts w:cstheme="minorHAnsi"/>
          <w:snapToGrid/>
          <w:color w:val="000000"/>
          <w:szCs w:val="24"/>
        </w:rPr>
        <w:t>812</w:t>
      </w:r>
      <w:r w:rsidRPr="000234AF">
        <w:rPr>
          <w:rFonts w:cstheme="minorHAnsi"/>
          <w:snapToGrid/>
          <w:color w:val="000000"/>
          <w:szCs w:val="24"/>
        </w:rPr>
        <w:t xml:space="preserve"> monitoring sites and 2</w:t>
      </w:r>
      <w:r>
        <w:rPr>
          <w:rFonts w:cstheme="minorHAnsi"/>
          <w:snapToGrid/>
          <w:color w:val="000000"/>
          <w:szCs w:val="24"/>
        </w:rPr>
        <w:t>2</w:t>
      </w:r>
      <w:r w:rsidRPr="000234AF">
        <w:rPr>
          <w:rFonts w:cstheme="minorHAnsi"/>
          <w:snapToGrid/>
          <w:color w:val="000000"/>
          <w:szCs w:val="24"/>
        </w:rPr>
        <w:t>,</w:t>
      </w:r>
      <w:r>
        <w:rPr>
          <w:rFonts w:cstheme="minorHAnsi"/>
          <w:snapToGrid/>
          <w:color w:val="000000"/>
          <w:szCs w:val="24"/>
        </w:rPr>
        <w:t>463</w:t>
      </w:r>
      <w:r w:rsidRPr="000234AF">
        <w:rPr>
          <w:rFonts w:cstheme="minorHAnsi"/>
          <w:snapToGrid/>
          <w:color w:val="000000"/>
          <w:szCs w:val="24"/>
        </w:rPr>
        <w:t xml:space="preserve"> sampling events (i.e.</w:t>
      </w:r>
      <w:r>
        <w:rPr>
          <w:rFonts w:cstheme="minorHAnsi"/>
          <w:snapToGrid/>
          <w:color w:val="000000"/>
          <w:szCs w:val="24"/>
        </w:rPr>
        <w:t>,</w:t>
      </w:r>
      <w:r w:rsidRPr="000234AF">
        <w:rPr>
          <w:rFonts w:cstheme="minorHAnsi"/>
          <w:snapToGrid/>
          <w:color w:val="000000"/>
          <w:szCs w:val="24"/>
        </w:rPr>
        <w:t xml:space="preserve"> separate site visits for monitoring). Data from these sampling events were used to assess </w:t>
      </w:r>
      <w:r w:rsidR="00390A16" w:rsidRPr="00032E50">
        <w:rPr>
          <w:rFonts w:cstheme="minorHAnsi"/>
          <w:snapToGrid/>
          <w:color w:val="000000"/>
          <w:szCs w:val="24"/>
        </w:rPr>
        <w:t>2,333</w:t>
      </w:r>
      <w:r w:rsidRPr="00032E50">
        <w:rPr>
          <w:rFonts w:cstheme="minorHAnsi"/>
          <w:snapToGrid/>
          <w:color w:val="000000"/>
          <w:szCs w:val="24"/>
        </w:rPr>
        <w:t xml:space="preserve"> miles of non-tidal freshwater streams, </w:t>
      </w:r>
      <w:r w:rsidR="009C17D0" w:rsidRPr="00032E50">
        <w:rPr>
          <w:rFonts w:cstheme="minorHAnsi"/>
          <w:snapToGrid/>
          <w:color w:val="000000"/>
          <w:szCs w:val="24"/>
        </w:rPr>
        <w:t>74</w:t>
      </w:r>
      <w:r w:rsidRPr="00032E50">
        <w:rPr>
          <w:rFonts w:cstheme="minorHAnsi"/>
          <w:snapToGrid/>
          <w:color w:val="000000"/>
          <w:szCs w:val="24"/>
        </w:rPr>
        <w:t xml:space="preserve"> square miles of tidal estuaries, and </w:t>
      </w:r>
      <w:r w:rsidR="00BB1030" w:rsidRPr="00032E50">
        <w:rPr>
          <w:rFonts w:cstheme="minorHAnsi"/>
          <w:snapToGrid/>
          <w:color w:val="000000"/>
          <w:szCs w:val="24"/>
        </w:rPr>
        <w:t>21,737</w:t>
      </w:r>
      <w:r w:rsidRPr="000234AF">
        <w:rPr>
          <w:rFonts w:cstheme="minorHAnsi"/>
          <w:snapToGrid/>
          <w:color w:val="000000"/>
          <w:szCs w:val="24"/>
        </w:rPr>
        <w:t xml:space="preserve"> acres of lakes (Table 3.</w:t>
      </w:r>
      <w:r w:rsidR="00E45AB3">
        <w:rPr>
          <w:rFonts w:cstheme="minorHAnsi"/>
          <w:snapToGrid/>
          <w:color w:val="000000"/>
          <w:szCs w:val="24"/>
        </w:rPr>
        <w:t>4</w:t>
      </w:r>
      <w:r w:rsidRPr="000234AF">
        <w:rPr>
          <w:rFonts w:cstheme="minorHAnsi"/>
          <w:snapToGrid/>
          <w:color w:val="000000"/>
          <w:szCs w:val="24"/>
        </w:rPr>
        <w:t xml:space="preserve">-2). Data were submitted from </w:t>
      </w:r>
      <w:r>
        <w:rPr>
          <w:rFonts w:cstheme="minorHAnsi"/>
          <w:snapToGrid/>
          <w:color w:val="000000"/>
          <w:szCs w:val="24"/>
        </w:rPr>
        <w:t>78</w:t>
      </w:r>
      <w:r w:rsidRPr="000234AF">
        <w:rPr>
          <w:rFonts w:cstheme="minorHAnsi"/>
          <w:snapToGrid/>
          <w:color w:val="000000"/>
          <w:szCs w:val="24"/>
        </w:rPr>
        <w:t xml:space="preserve"> citizen monitoring groups across the Commonwealth for the current assessment cycle (Table 3.</w:t>
      </w:r>
      <w:r w:rsidR="00E45AB3">
        <w:rPr>
          <w:rFonts w:cstheme="minorHAnsi"/>
          <w:snapToGrid/>
          <w:color w:val="000000"/>
          <w:szCs w:val="24"/>
        </w:rPr>
        <w:t>4</w:t>
      </w:r>
      <w:r w:rsidRPr="000234AF">
        <w:rPr>
          <w:rFonts w:cstheme="minorHAnsi"/>
          <w:snapToGrid/>
          <w:color w:val="000000"/>
          <w:szCs w:val="24"/>
        </w:rPr>
        <w:t>-3).</w:t>
      </w:r>
    </w:p>
    <w:p w14:paraId="1D2DB22D" w14:textId="2C5F537F" w:rsidR="001B0E50" w:rsidRPr="000234AF" w:rsidRDefault="001B0E50" w:rsidP="001B0E50">
      <w:pPr>
        <w:widowControl/>
        <w:rPr>
          <w:rFonts w:cstheme="minorHAnsi"/>
          <w:snapToGrid/>
          <w:color w:val="000000"/>
          <w:szCs w:val="24"/>
        </w:rPr>
      </w:pPr>
    </w:p>
    <w:p w14:paraId="7D192543" w14:textId="77777777" w:rsidR="001B0E50" w:rsidRPr="000234AF" w:rsidRDefault="001B0E50" w:rsidP="001B0E50">
      <w:pPr>
        <w:widowControl/>
        <w:spacing w:after="200" w:line="276" w:lineRule="auto"/>
        <w:rPr>
          <w:rFonts w:cstheme="minorHAnsi"/>
          <w:snapToGrid/>
          <w:szCs w:val="24"/>
        </w:rPr>
        <w:sectPr w:rsidR="001B0E50" w:rsidRPr="000234AF" w:rsidSect="009079C4">
          <w:pgSz w:w="12240" w:h="15840"/>
          <w:pgMar w:top="1440" w:right="1440" w:bottom="1440" w:left="1440" w:header="864" w:footer="720" w:gutter="0"/>
          <w:cols w:space="720"/>
          <w:docGrid w:linePitch="360"/>
        </w:sectPr>
      </w:pPr>
    </w:p>
    <w:p w14:paraId="6862AF9D" w14:textId="6CE1CE2C" w:rsidR="0025660F" w:rsidRPr="00D237D4" w:rsidRDefault="00FD248F" w:rsidP="0025660F">
      <w:pPr>
        <w:pStyle w:val="Caption"/>
        <w:keepNext/>
      </w:pPr>
      <w:bookmarkStart w:id="67" w:name="_Toc164175153"/>
      <w:r>
        <w:lastRenderedPageBreak/>
        <w:t xml:space="preserve">Table </w:t>
      </w:r>
      <w:r w:rsidR="004F13BA">
        <w:fldChar w:fldCharType="begin"/>
      </w:r>
      <w:r w:rsidR="004F13BA">
        <w:instrText xml:space="preserve"> STYLEREF 2 \s </w:instrText>
      </w:r>
      <w:r w:rsidR="004F13BA">
        <w:fldChar w:fldCharType="separate"/>
      </w:r>
      <w:r w:rsidR="00CD06AE">
        <w:rPr>
          <w:noProof/>
        </w:rPr>
        <w:t>3.4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w:t>
      </w:r>
      <w:r w:rsidR="004F13BA">
        <w:rPr>
          <w:noProof/>
        </w:rPr>
        <w:fldChar w:fldCharType="end"/>
      </w:r>
      <w:r>
        <w:t>.</w:t>
      </w:r>
      <w:r w:rsidRPr="0A5BE548">
        <w:rPr>
          <w:rFonts w:cstheme="minorBidi"/>
          <w:snapToGrid/>
          <w:color w:val="000000"/>
        </w:rPr>
        <w:t xml:space="preserve"> Summary of data submissions by citizen organizations and outside agencies</w:t>
      </w:r>
      <w:bookmarkEnd w:id="67"/>
      <w:r w:rsidRPr="0A5BE548">
        <w:rPr>
          <w:rFonts w:cstheme="minorBidi"/>
          <w:snapToGrid/>
          <w:color w:val="000000"/>
        </w:rPr>
        <w:t>. Note: results for outside agencies differ from those in previous reports because this report includes Virginia Department of Health Shellfish Safety Data, which were excluded in past summaries but were used in previous assessments.</w:t>
      </w:r>
      <w:r w:rsidR="00010F46" w:rsidRPr="0A5BE548">
        <w:rPr>
          <w:rFonts w:cstheme="minorBidi"/>
          <w:snapToGrid/>
          <w:color w:val="000000"/>
        </w:rPr>
        <w:t xml:space="preserve"> Values are rounded to the nearest whole number</w:t>
      </w:r>
      <w:r w:rsidR="00AD77A9" w:rsidRPr="0A5BE548">
        <w:rPr>
          <w:rFonts w:cstheme="minorBidi"/>
          <w:snapToGrid/>
          <w:color w:val="000000"/>
        </w:rPr>
        <w:t>.</w:t>
      </w:r>
    </w:p>
    <w:tbl>
      <w:tblPr>
        <w:tblStyle w:val="ListTable2"/>
        <w:tblW w:w="13680" w:type="dxa"/>
        <w:tblBorders>
          <w:top w:val="none" w:sz="0" w:space="0" w:color="auto"/>
          <w:bottom w:val="none" w:sz="0" w:space="0" w:color="auto"/>
          <w:insideH w:val="none" w:sz="0" w:space="0" w:color="auto"/>
        </w:tblBorders>
        <w:tblLayout w:type="fixed"/>
        <w:tblLook w:val="06A0" w:firstRow="1" w:lastRow="0" w:firstColumn="1" w:lastColumn="0" w:noHBand="1" w:noVBand="1"/>
        <w:tblCaption w:val="Table of Summary of data submissions by citizen organizations and outside agencies"/>
        <w:tblDescription w:val="Summary of data submissions by citizen organizations and outside agencies."/>
      </w:tblPr>
      <w:tblGrid>
        <w:gridCol w:w="2249"/>
        <w:gridCol w:w="1871"/>
        <w:gridCol w:w="1683"/>
        <w:gridCol w:w="1836"/>
        <w:gridCol w:w="1601"/>
        <w:gridCol w:w="1332"/>
        <w:gridCol w:w="1992"/>
        <w:gridCol w:w="1116"/>
      </w:tblGrid>
      <w:tr w:rsidR="00D536CE" w:rsidRPr="000234AF" w14:paraId="0373B6F0" w14:textId="77777777" w:rsidTr="00701325">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822" w:type="pct"/>
            <w:tcBorders>
              <w:top w:val="single" w:sz="4" w:space="0" w:color="auto"/>
              <w:bottom w:val="single" w:sz="4" w:space="0" w:color="auto"/>
            </w:tcBorders>
            <w:noWrap/>
            <w:vAlign w:val="center"/>
            <w:hideMark/>
          </w:tcPr>
          <w:p w14:paraId="402B4AC4" w14:textId="1EB5B013" w:rsidR="00D536CE" w:rsidRPr="00067E5C" w:rsidRDefault="00D536CE" w:rsidP="00D536CE">
            <w:pPr>
              <w:widowControl/>
              <w:jc w:val="center"/>
              <w:rPr>
                <w:rFonts w:cstheme="minorHAnsi"/>
                <w:b w:val="0"/>
                <w:bCs w:val="0"/>
                <w:snapToGrid/>
                <w:color w:val="000000"/>
                <w:sz w:val="22"/>
                <w:szCs w:val="22"/>
              </w:rPr>
            </w:pPr>
            <w:r w:rsidRPr="00067E5C">
              <w:rPr>
                <w:rFonts w:cstheme="minorHAnsi"/>
                <w:snapToGrid/>
                <w:color w:val="000000"/>
                <w:sz w:val="22"/>
                <w:szCs w:val="22"/>
              </w:rPr>
              <w:t>Group Type</w:t>
            </w:r>
          </w:p>
        </w:tc>
        <w:tc>
          <w:tcPr>
            <w:tcW w:w="684" w:type="pct"/>
            <w:tcBorders>
              <w:top w:val="single" w:sz="4" w:space="0" w:color="auto"/>
              <w:bottom w:val="single" w:sz="4" w:space="0" w:color="auto"/>
            </w:tcBorders>
            <w:noWrap/>
            <w:vAlign w:val="center"/>
            <w:hideMark/>
          </w:tcPr>
          <w:p w14:paraId="57E01845" w14:textId="516D80E3" w:rsidR="00D536CE" w:rsidRPr="00067E5C" w:rsidRDefault="00D536CE" w:rsidP="00D536CE">
            <w:pPr>
              <w:widowControl/>
              <w:jc w:val="center"/>
              <w:cnfStyle w:val="100000000000" w:firstRow="1" w:lastRow="0" w:firstColumn="0" w:lastColumn="0" w:oddVBand="0" w:evenVBand="0" w:oddHBand="0" w:evenHBand="0" w:firstRowFirstColumn="0" w:firstRowLastColumn="0" w:lastRowFirstColumn="0" w:lastRowLastColumn="0"/>
              <w:rPr>
                <w:rFonts w:cstheme="minorHAnsi"/>
                <w:b w:val="0"/>
                <w:bCs w:val="0"/>
                <w:snapToGrid/>
                <w:color w:val="000000"/>
                <w:sz w:val="22"/>
                <w:szCs w:val="22"/>
              </w:rPr>
            </w:pPr>
            <w:r w:rsidRPr="00067E5C">
              <w:rPr>
                <w:rFonts w:cstheme="minorHAnsi"/>
                <w:snapToGrid/>
                <w:color w:val="000000"/>
                <w:sz w:val="22"/>
                <w:szCs w:val="22"/>
              </w:rPr>
              <w:t>Integrated Report Year</w:t>
            </w:r>
          </w:p>
        </w:tc>
        <w:tc>
          <w:tcPr>
            <w:tcW w:w="615" w:type="pct"/>
            <w:tcBorders>
              <w:top w:val="single" w:sz="4" w:space="0" w:color="auto"/>
              <w:bottom w:val="single" w:sz="4" w:space="0" w:color="auto"/>
            </w:tcBorders>
            <w:noWrap/>
            <w:vAlign w:val="center"/>
            <w:hideMark/>
          </w:tcPr>
          <w:p w14:paraId="4B0FEB74" w14:textId="38E28D1C" w:rsidR="00D536CE" w:rsidRPr="00067E5C" w:rsidRDefault="00D536CE" w:rsidP="00D536CE">
            <w:pPr>
              <w:widowControl/>
              <w:jc w:val="center"/>
              <w:cnfStyle w:val="100000000000" w:firstRow="1" w:lastRow="0" w:firstColumn="0" w:lastColumn="0" w:oddVBand="0" w:evenVBand="0" w:oddHBand="0" w:evenHBand="0" w:firstRowFirstColumn="0" w:firstRowLastColumn="0" w:lastRowFirstColumn="0" w:lastRowLastColumn="0"/>
              <w:rPr>
                <w:rFonts w:cstheme="minorHAnsi"/>
                <w:b w:val="0"/>
                <w:bCs w:val="0"/>
                <w:snapToGrid/>
                <w:color w:val="000000"/>
                <w:sz w:val="22"/>
                <w:szCs w:val="22"/>
              </w:rPr>
            </w:pPr>
            <w:r w:rsidRPr="00067E5C">
              <w:rPr>
                <w:rFonts w:cstheme="minorHAnsi"/>
                <w:snapToGrid/>
                <w:color w:val="000000"/>
                <w:sz w:val="22"/>
                <w:szCs w:val="22"/>
              </w:rPr>
              <w:t>Monitoring Years</w:t>
            </w:r>
          </w:p>
        </w:tc>
        <w:tc>
          <w:tcPr>
            <w:tcW w:w="671" w:type="pct"/>
            <w:tcBorders>
              <w:top w:val="single" w:sz="4" w:space="0" w:color="auto"/>
              <w:bottom w:val="single" w:sz="4" w:space="0" w:color="auto"/>
            </w:tcBorders>
            <w:noWrap/>
            <w:vAlign w:val="center"/>
            <w:hideMark/>
          </w:tcPr>
          <w:p w14:paraId="3CC8998E" w14:textId="14FAED0B" w:rsidR="00D536CE" w:rsidRPr="00067E5C" w:rsidRDefault="00D536CE" w:rsidP="00D536CE">
            <w:pPr>
              <w:widowControl/>
              <w:jc w:val="center"/>
              <w:cnfStyle w:val="100000000000" w:firstRow="1" w:lastRow="0" w:firstColumn="0" w:lastColumn="0" w:oddVBand="0" w:evenVBand="0" w:oddHBand="0" w:evenHBand="0" w:firstRowFirstColumn="0" w:firstRowLastColumn="0" w:lastRowFirstColumn="0" w:lastRowLastColumn="0"/>
              <w:rPr>
                <w:rFonts w:cstheme="minorHAnsi"/>
                <w:b w:val="0"/>
                <w:bCs w:val="0"/>
                <w:snapToGrid/>
                <w:color w:val="000000"/>
                <w:sz w:val="22"/>
                <w:szCs w:val="22"/>
              </w:rPr>
            </w:pPr>
            <w:r w:rsidRPr="00067E5C">
              <w:rPr>
                <w:rFonts w:cstheme="minorHAnsi"/>
                <w:snapToGrid/>
                <w:color w:val="000000"/>
                <w:sz w:val="22"/>
                <w:szCs w:val="22"/>
              </w:rPr>
              <w:t>Stations Submitted</w:t>
            </w:r>
          </w:p>
        </w:tc>
        <w:tc>
          <w:tcPr>
            <w:tcW w:w="585" w:type="pct"/>
            <w:tcBorders>
              <w:top w:val="single" w:sz="4" w:space="0" w:color="auto"/>
              <w:bottom w:val="single" w:sz="4" w:space="0" w:color="auto"/>
            </w:tcBorders>
            <w:noWrap/>
            <w:vAlign w:val="center"/>
            <w:hideMark/>
          </w:tcPr>
          <w:p w14:paraId="76B7C34F" w14:textId="1F65882A" w:rsidR="00D536CE" w:rsidRPr="00067E5C" w:rsidRDefault="00D536CE" w:rsidP="00D536CE">
            <w:pPr>
              <w:widowControl/>
              <w:jc w:val="center"/>
              <w:cnfStyle w:val="100000000000" w:firstRow="1" w:lastRow="0" w:firstColumn="0" w:lastColumn="0" w:oddVBand="0" w:evenVBand="0" w:oddHBand="0" w:evenHBand="0" w:firstRowFirstColumn="0" w:firstRowLastColumn="0" w:lastRowFirstColumn="0" w:lastRowLastColumn="0"/>
              <w:rPr>
                <w:rFonts w:cstheme="minorHAnsi"/>
                <w:b w:val="0"/>
                <w:bCs w:val="0"/>
                <w:snapToGrid/>
                <w:color w:val="000000"/>
                <w:sz w:val="22"/>
                <w:szCs w:val="22"/>
              </w:rPr>
            </w:pPr>
            <w:r w:rsidRPr="00067E5C">
              <w:rPr>
                <w:rFonts w:cstheme="minorHAnsi"/>
                <w:snapToGrid/>
                <w:color w:val="000000"/>
                <w:sz w:val="22"/>
                <w:szCs w:val="22"/>
              </w:rPr>
              <w:t>Sampling Events</w:t>
            </w:r>
          </w:p>
        </w:tc>
        <w:tc>
          <w:tcPr>
            <w:tcW w:w="487" w:type="pct"/>
            <w:tcBorders>
              <w:top w:val="single" w:sz="4" w:space="0" w:color="auto"/>
              <w:bottom w:val="single" w:sz="4" w:space="0" w:color="auto"/>
            </w:tcBorders>
            <w:noWrap/>
            <w:vAlign w:val="center"/>
            <w:hideMark/>
          </w:tcPr>
          <w:p w14:paraId="02CCAF08" w14:textId="57C9019F" w:rsidR="00D536CE" w:rsidRPr="00067E5C" w:rsidRDefault="00D536CE" w:rsidP="00D536CE">
            <w:pPr>
              <w:widowControl/>
              <w:jc w:val="center"/>
              <w:cnfStyle w:val="100000000000" w:firstRow="1" w:lastRow="0" w:firstColumn="0" w:lastColumn="0" w:oddVBand="0" w:evenVBand="0" w:oddHBand="0" w:evenHBand="0" w:firstRowFirstColumn="0" w:firstRowLastColumn="0" w:lastRowFirstColumn="0" w:lastRowLastColumn="0"/>
              <w:rPr>
                <w:rFonts w:cstheme="minorHAnsi"/>
                <w:b w:val="0"/>
                <w:bCs w:val="0"/>
                <w:snapToGrid/>
                <w:color w:val="000000"/>
                <w:sz w:val="22"/>
                <w:szCs w:val="22"/>
              </w:rPr>
            </w:pPr>
            <w:r w:rsidRPr="00067E5C">
              <w:rPr>
                <w:rFonts w:cstheme="minorHAnsi"/>
                <w:snapToGrid/>
                <w:color w:val="000000"/>
                <w:sz w:val="22"/>
                <w:szCs w:val="22"/>
              </w:rPr>
              <w:t>Stream Miles</w:t>
            </w:r>
          </w:p>
        </w:tc>
        <w:tc>
          <w:tcPr>
            <w:tcW w:w="728" w:type="pct"/>
            <w:tcBorders>
              <w:top w:val="single" w:sz="4" w:space="0" w:color="auto"/>
              <w:bottom w:val="single" w:sz="4" w:space="0" w:color="auto"/>
            </w:tcBorders>
            <w:noWrap/>
            <w:vAlign w:val="center"/>
            <w:hideMark/>
          </w:tcPr>
          <w:p w14:paraId="016366CE" w14:textId="7CF82D7D" w:rsidR="00D536CE" w:rsidRPr="00067E5C" w:rsidRDefault="00D536CE" w:rsidP="00D536CE">
            <w:pPr>
              <w:widowControl/>
              <w:jc w:val="center"/>
              <w:cnfStyle w:val="100000000000" w:firstRow="1" w:lastRow="0" w:firstColumn="0" w:lastColumn="0" w:oddVBand="0" w:evenVBand="0" w:oddHBand="0" w:evenHBand="0" w:firstRowFirstColumn="0" w:firstRowLastColumn="0" w:lastRowFirstColumn="0" w:lastRowLastColumn="0"/>
              <w:rPr>
                <w:rFonts w:cstheme="minorHAnsi"/>
                <w:b w:val="0"/>
                <w:bCs w:val="0"/>
                <w:snapToGrid/>
                <w:color w:val="000000"/>
                <w:sz w:val="22"/>
                <w:szCs w:val="22"/>
              </w:rPr>
            </w:pPr>
            <w:r w:rsidRPr="00067E5C">
              <w:rPr>
                <w:rFonts w:cstheme="minorHAnsi"/>
                <w:snapToGrid/>
                <w:color w:val="000000"/>
                <w:sz w:val="22"/>
                <w:szCs w:val="22"/>
              </w:rPr>
              <w:t>Estuary Square Miles</w:t>
            </w:r>
          </w:p>
        </w:tc>
        <w:tc>
          <w:tcPr>
            <w:tcW w:w="408" w:type="pct"/>
            <w:tcBorders>
              <w:top w:val="single" w:sz="4" w:space="0" w:color="auto"/>
              <w:bottom w:val="single" w:sz="4" w:space="0" w:color="auto"/>
            </w:tcBorders>
            <w:noWrap/>
            <w:vAlign w:val="center"/>
            <w:hideMark/>
          </w:tcPr>
          <w:p w14:paraId="5D6B9659" w14:textId="182B09A5" w:rsidR="00D536CE" w:rsidRPr="00067E5C" w:rsidRDefault="00D536CE" w:rsidP="00D536CE">
            <w:pPr>
              <w:widowControl/>
              <w:jc w:val="center"/>
              <w:cnfStyle w:val="100000000000" w:firstRow="1" w:lastRow="0" w:firstColumn="0" w:lastColumn="0" w:oddVBand="0" w:evenVBand="0" w:oddHBand="0" w:evenHBand="0" w:firstRowFirstColumn="0" w:firstRowLastColumn="0" w:lastRowFirstColumn="0" w:lastRowLastColumn="0"/>
              <w:rPr>
                <w:rFonts w:cstheme="minorHAnsi"/>
                <w:b w:val="0"/>
                <w:bCs w:val="0"/>
                <w:snapToGrid/>
                <w:color w:val="000000"/>
                <w:sz w:val="22"/>
                <w:szCs w:val="22"/>
              </w:rPr>
            </w:pPr>
            <w:r w:rsidRPr="00067E5C">
              <w:rPr>
                <w:rFonts w:cstheme="minorHAnsi"/>
                <w:snapToGrid/>
                <w:color w:val="000000"/>
                <w:sz w:val="22"/>
                <w:szCs w:val="22"/>
              </w:rPr>
              <w:t>Lake Acres</w:t>
            </w:r>
          </w:p>
        </w:tc>
      </w:tr>
      <w:tr w:rsidR="00415FFE" w:rsidRPr="000234AF" w14:paraId="4F8CA319" w14:textId="77777777" w:rsidTr="00701325">
        <w:trPr>
          <w:trHeight w:val="432"/>
        </w:trPr>
        <w:tc>
          <w:tcPr>
            <w:cnfStyle w:val="001000000000" w:firstRow="0" w:lastRow="0" w:firstColumn="1" w:lastColumn="0" w:oddVBand="0" w:evenVBand="0" w:oddHBand="0" w:evenHBand="0" w:firstRowFirstColumn="0" w:firstRowLastColumn="0" w:lastRowFirstColumn="0" w:lastRowLastColumn="0"/>
            <w:tcW w:w="822" w:type="pct"/>
            <w:tcBorders>
              <w:top w:val="single" w:sz="4" w:space="0" w:color="auto"/>
            </w:tcBorders>
            <w:noWrap/>
            <w:vAlign w:val="center"/>
            <w:hideMark/>
          </w:tcPr>
          <w:p w14:paraId="093DB70F" w14:textId="7DE21290" w:rsidR="00415FFE" w:rsidRPr="00067E5C" w:rsidRDefault="00415FFE" w:rsidP="00415FFE">
            <w:pPr>
              <w:widowControl/>
              <w:jc w:val="center"/>
              <w:rPr>
                <w:rFonts w:cstheme="minorHAnsi"/>
                <w:snapToGrid/>
                <w:color w:val="000000"/>
                <w:sz w:val="22"/>
                <w:szCs w:val="22"/>
              </w:rPr>
            </w:pPr>
            <w:r w:rsidRPr="007B6268">
              <w:rPr>
                <w:rFonts w:cstheme="minorHAnsi"/>
                <w:b w:val="0"/>
                <w:bCs w:val="0"/>
                <w:snapToGrid/>
                <w:color w:val="000000"/>
                <w:sz w:val="22"/>
                <w:szCs w:val="22"/>
              </w:rPr>
              <w:t>Citizen Organizations</w:t>
            </w:r>
          </w:p>
        </w:tc>
        <w:tc>
          <w:tcPr>
            <w:tcW w:w="684" w:type="pct"/>
            <w:tcBorders>
              <w:top w:val="single" w:sz="4" w:space="0" w:color="auto"/>
            </w:tcBorders>
            <w:noWrap/>
            <w:vAlign w:val="center"/>
          </w:tcPr>
          <w:p w14:paraId="1FA471D3" w14:textId="6717DE95" w:rsidR="00415FFE" w:rsidRPr="00067E5C" w:rsidRDefault="00415FFE"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067E5C">
              <w:rPr>
                <w:rFonts w:cstheme="minorHAnsi"/>
                <w:snapToGrid/>
                <w:color w:val="000000"/>
                <w:sz w:val="22"/>
                <w:szCs w:val="22"/>
              </w:rPr>
              <w:t>2024</w:t>
            </w:r>
          </w:p>
        </w:tc>
        <w:tc>
          <w:tcPr>
            <w:tcW w:w="615" w:type="pct"/>
            <w:tcBorders>
              <w:top w:val="single" w:sz="4" w:space="0" w:color="auto"/>
            </w:tcBorders>
            <w:noWrap/>
            <w:vAlign w:val="center"/>
          </w:tcPr>
          <w:p w14:paraId="02AF680C" w14:textId="19C2EFB2" w:rsidR="00415FFE" w:rsidRPr="00067E5C" w:rsidRDefault="00415FFE"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067E5C">
              <w:rPr>
                <w:rFonts w:cstheme="minorHAnsi"/>
                <w:snapToGrid/>
                <w:color w:val="000000"/>
                <w:sz w:val="22"/>
                <w:szCs w:val="22"/>
              </w:rPr>
              <w:t>2017-2022</w:t>
            </w:r>
          </w:p>
        </w:tc>
        <w:tc>
          <w:tcPr>
            <w:tcW w:w="671" w:type="pct"/>
            <w:tcBorders>
              <w:top w:val="single" w:sz="4" w:space="0" w:color="auto"/>
            </w:tcBorders>
            <w:noWrap/>
            <w:vAlign w:val="center"/>
          </w:tcPr>
          <w:p w14:paraId="1E375746" w14:textId="667232EA" w:rsidR="00415FFE" w:rsidRPr="00067E5C" w:rsidRDefault="00415FFE"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067E5C">
              <w:rPr>
                <w:rFonts w:cstheme="minorHAnsi"/>
                <w:snapToGrid/>
                <w:color w:val="000000"/>
                <w:sz w:val="22"/>
                <w:szCs w:val="22"/>
              </w:rPr>
              <w:t>1,812</w:t>
            </w:r>
          </w:p>
        </w:tc>
        <w:tc>
          <w:tcPr>
            <w:tcW w:w="585" w:type="pct"/>
            <w:tcBorders>
              <w:top w:val="single" w:sz="4" w:space="0" w:color="auto"/>
            </w:tcBorders>
            <w:noWrap/>
            <w:vAlign w:val="center"/>
          </w:tcPr>
          <w:p w14:paraId="4C1BD3C6" w14:textId="46181E23" w:rsidR="00415FFE" w:rsidRPr="00067E5C" w:rsidRDefault="00415FFE"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067E5C">
              <w:rPr>
                <w:rFonts w:cstheme="minorHAnsi"/>
                <w:snapToGrid/>
                <w:color w:val="000000"/>
                <w:sz w:val="22"/>
                <w:szCs w:val="22"/>
              </w:rPr>
              <w:t>22,463</w:t>
            </w:r>
          </w:p>
        </w:tc>
        <w:tc>
          <w:tcPr>
            <w:tcW w:w="487" w:type="pct"/>
            <w:tcBorders>
              <w:top w:val="single" w:sz="4" w:space="0" w:color="auto"/>
            </w:tcBorders>
            <w:noWrap/>
            <w:vAlign w:val="center"/>
          </w:tcPr>
          <w:p w14:paraId="62983E60" w14:textId="3C50AC25" w:rsidR="00415FFE" w:rsidRPr="00AD77A9" w:rsidRDefault="00DE33D8"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AD77A9">
              <w:rPr>
                <w:rFonts w:cstheme="minorHAnsi"/>
                <w:snapToGrid/>
                <w:color w:val="000000"/>
                <w:sz w:val="22"/>
                <w:szCs w:val="22"/>
              </w:rPr>
              <w:t>2</w:t>
            </w:r>
            <w:r w:rsidR="006247B2" w:rsidRPr="00AD77A9">
              <w:rPr>
                <w:rFonts w:cstheme="minorHAnsi"/>
                <w:snapToGrid/>
                <w:color w:val="000000"/>
                <w:sz w:val="22"/>
                <w:szCs w:val="22"/>
              </w:rPr>
              <w:t>,</w:t>
            </w:r>
            <w:r w:rsidRPr="00AD77A9">
              <w:rPr>
                <w:rFonts w:cstheme="minorHAnsi"/>
                <w:snapToGrid/>
                <w:color w:val="000000"/>
                <w:sz w:val="22"/>
                <w:szCs w:val="22"/>
              </w:rPr>
              <w:t>33</w:t>
            </w:r>
            <w:r w:rsidR="00BF6DAD" w:rsidRPr="00AD77A9">
              <w:rPr>
                <w:rFonts w:cstheme="minorHAnsi"/>
                <w:snapToGrid/>
                <w:color w:val="000000"/>
                <w:sz w:val="22"/>
                <w:szCs w:val="22"/>
              </w:rPr>
              <w:t>3</w:t>
            </w:r>
          </w:p>
        </w:tc>
        <w:tc>
          <w:tcPr>
            <w:tcW w:w="728" w:type="pct"/>
            <w:tcBorders>
              <w:top w:val="single" w:sz="4" w:space="0" w:color="auto"/>
            </w:tcBorders>
            <w:noWrap/>
            <w:vAlign w:val="center"/>
          </w:tcPr>
          <w:p w14:paraId="059DD4DA" w14:textId="6799DE44" w:rsidR="00415FFE" w:rsidRPr="00AD77A9" w:rsidRDefault="002A4DEC"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AD77A9">
              <w:rPr>
                <w:rFonts w:cstheme="minorHAnsi"/>
                <w:snapToGrid/>
                <w:color w:val="000000"/>
                <w:sz w:val="22"/>
                <w:szCs w:val="22"/>
              </w:rPr>
              <w:t>74</w:t>
            </w:r>
          </w:p>
        </w:tc>
        <w:tc>
          <w:tcPr>
            <w:tcW w:w="408" w:type="pct"/>
            <w:tcBorders>
              <w:top w:val="single" w:sz="4" w:space="0" w:color="auto"/>
            </w:tcBorders>
            <w:noWrap/>
            <w:vAlign w:val="center"/>
          </w:tcPr>
          <w:p w14:paraId="12FB58DC" w14:textId="743C7F5A" w:rsidR="00415FFE" w:rsidRPr="00067E5C" w:rsidRDefault="008A306E"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Pr>
                <w:rFonts w:cstheme="minorHAnsi"/>
                <w:snapToGrid/>
                <w:color w:val="000000"/>
                <w:sz w:val="22"/>
                <w:szCs w:val="22"/>
              </w:rPr>
              <w:t>21</w:t>
            </w:r>
            <w:r w:rsidR="00811A57">
              <w:rPr>
                <w:rFonts w:cstheme="minorHAnsi"/>
                <w:snapToGrid/>
                <w:color w:val="000000"/>
                <w:sz w:val="22"/>
                <w:szCs w:val="22"/>
              </w:rPr>
              <w:t>,</w:t>
            </w:r>
            <w:r w:rsidR="00541F14">
              <w:rPr>
                <w:rFonts w:cstheme="minorHAnsi"/>
                <w:snapToGrid/>
                <w:color w:val="000000"/>
                <w:sz w:val="22"/>
                <w:szCs w:val="22"/>
              </w:rPr>
              <w:t>737</w:t>
            </w:r>
          </w:p>
        </w:tc>
      </w:tr>
      <w:tr w:rsidR="00415FFE" w:rsidRPr="000234AF" w14:paraId="0584DF2E" w14:textId="77777777" w:rsidTr="00701325">
        <w:trPr>
          <w:trHeight w:val="432"/>
        </w:trPr>
        <w:tc>
          <w:tcPr>
            <w:cnfStyle w:val="001000000000" w:firstRow="0" w:lastRow="0" w:firstColumn="1" w:lastColumn="0" w:oddVBand="0" w:evenVBand="0" w:oddHBand="0" w:evenHBand="0" w:firstRowFirstColumn="0" w:firstRowLastColumn="0" w:lastRowFirstColumn="0" w:lastRowLastColumn="0"/>
            <w:tcW w:w="822" w:type="pct"/>
            <w:tcBorders>
              <w:bottom w:val="single" w:sz="4" w:space="0" w:color="auto"/>
            </w:tcBorders>
            <w:noWrap/>
            <w:vAlign w:val="center"/>
          </w:tcPr>
          <w:p w14:paraId="4E2EBDA6" w14:textId="2CD2C097" w:rsidR="00415FFE" w:rsidRPr="00067E5C" w:rsidRDefault="00415FFE" w:rsidP="00415FFE">
            <w:pPr>
              <w:widowControl/>
              <w:jc w:val="center"/>
              <w:rPr>
                <w:rFonts w:cstheme="minorHAnsi"/>
                <w:snapToGrid/>
                <w:color w:val="000000"/>
                <w:sz w:val="22"/>
                <w:szCs w:val="22"/>
              </w:rPr>
            </w:pPr>
            <w:r w:rsidRPr="007B6268">
              <w:rPr>
                <w:rFonts w:cstheme="minorHAnsi"/>
                <w:b w:val="0"/>
                <w:bCs w:val="0"/>
                <w:snapToGrid/>
                <w:color w:val="000000"/>
                <w:sz w:val="22"/>
                <w:szCs w:val="22"/>
              </w:rPr>
              <w:t>Outside Agencies</w:t>
            </w:r>
          </w:p>
        </w:tc>
        <w:tc>
          <w:tcPr>
            <w:tcW w:w="684" w:type="pct"/>
            <w:tcBorders>
              <w:bottom w:val="single" w:sz="4" w:space="0" w:color="auto"/>
            </w:tcBorders>
            <w:noWrap/>
            <w:vAlign w:val="center"/>
          </w:tcPr>
          <w:p w14:paraId="722E5DD2" w14:textId="40CD50E6" w:rsidR="00415FFE" w:rsidRPr="00067E5C" w:rsidRDefault="00415FFE"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067E5C">
              <w:rPr>
                <w:rFonts w:cstheme="minorHAnsi"/>
                <w:snapToGrid/>
                <w:color w:val="000000"/>
                <w:sz w:val="22"/>
                <w:szCs w:val="22"/>
              </w:rPr>
              <w:t>2024</w:t>
            </w:r>
          </w:p>
        </w:tc>
        <w:tc>
          <w:tcPr>
            <w:tcW w:w="615" w:type="pct"/>
            <w:tcBorders>
              <w:bottom w:val="single" w:sz="4" w:space="0" w:color="auto"/>
            </w:tcBorders>
            <w:noWrap/>
            <w:vAlign w:val="center"/>
          </w:tcPr>
          <w:p w14:paraId="77D23D4B" w14:textId="2396B3E5" w:rsidR="00415FFE" w:rsidRPr="00067E5C" w:rsidRDefault="00415FFE"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067E5C">
              <w:rPr>
                <w:rFonts w:cstheme="minorHAnsi"/>
                <w:snapToGrid/>
                <w:color w:val="000000"/>
                <w:sz w:val="22"/>
                <w:szCs w:val="22"/>
              </w:rPr>
              <w:t>2017-2022</w:t>
            </w:r>
          </w:p>
        </w:tc>
        <w:tc>
          <w:tcPr>
            <w:tcW w:w="671" w:type="pct"/>
            <w:tcBorders>
              <w:bottom w:val="single" w:sz="4" w:space="0" w:color="auto"/>
            </w:tcBorders>
            <w:noWrap/>
            <w:vAlign w:val="center"/>
          </w:tcPr>
          <w:p w14:paraId="578657C3" w14:textId="3A26646F" w:rsidR="00415FFE" w:rsidRPr="00067E5C" w:rsidRDefault="00415FFE"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067E5C">
              <w:rPr>
                <w:rFonts w:cstheme="minorHAnsi"/>
                <w:snapToGrid/>
                <w:color w:val="000000"/>
                <w:sz w:val="22"/>
                <w:szCs w:val="22"/>
              </w:rPr>
              <w:t>351</w:t>
            </w:r>
          </w:p>
        </w:tc>
        <w:tc>
          <w:tcPr>
            <w:tcW w:w="585" w:type="pct"/>
            <w:tcBorders>
              <w:bottom w:val="single" w:sz="4" w:space="0" w:color="auto"/>
            </w:tcBorders>
            <w:noWrap/>
            <w:vAlign w:val="center"/>
          </w:tcPr>
          <w:p w14:paraId="57E1B4DF" w14:textId="71FB837C" w:rsidR="00415FFE" w:rsidRPr="00067E5C" w:rsidRDefault="00415FFE"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067E5C">
              <w:rPr>
                <w:rFonts w:cstheme="minorHAnsi"/>
                <w:snapToGrid/>
                <w:color w:val="000000"/>
                <w:sz w:val="22"/>
                <w:szCs w:val="22"/>
              </w:rPr>
              <w:t>6,625</w:t>
            </w:r>
          </w:p>
        </w:tc>
        <w:tc>
          <w:tcPr>
            <w:tcW w:w="487" w:type="pct"/>
            <w:tcBorders>
              <w:bottom w:val="single" w:sz="4" w:space="0" w:color="auto"/>
            </w:tcBorders>
            <w:noWrap/>
            <w:vAlign w:val="center"/>
          </w:tcPr>
          <w:p w14:paraId="08E4B179" w14:textId="7C365C20" w:rsidR="00415FFE" w:rsidRPr="00AD77A9" w:rsidRDefault="00100EB9"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AD77A9">
              <w:rPr>
                <w:rFonts w:cstheme="minorHAnsi"/>
                <w:snapToGrid/>
                <w:color w:val="000000"/>
                <w:sz w:val="22"/>
                <w:szCs w:val="22"/>
              </w:rPr>
              <w:t>268</w:t>
            </w:r>
          </w:p>
        </w:tc>
        <w:tc>
          <w:tcPr>
            <w:tcW w:w="728" w:type="pct"/>
            <w:tcBorders>
              <w:bottom w:val="single" w:sz="4" w:space="0" w:color="auto"/>
            </w:tcBorders>
            <w:noWrap/>
            <w:vAlign w:val="center"/>
          </w:tcPr>
          <w:p w14:paraId="487915FF" w14:textId="5DB202B2" w:rsidR="00415FFE" w:rsidRPr="00AD77A9" w:rsidRDefault="00F9261C"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032E50">
              <w:rPr>
                <w:rFonts w:cstheme="minorHAnsi"/>
                <w:snapToGrid/>
                <w:color w:val="000000"/>
                <w:sz w:val="22"/>
                <w:szCs w:val="22"/>
              </w:rPr>
              <w:t>3</w:t>
            </w:r>
          </w:p>
        </w:tc>
        <w:tc>
          <w:tcPr>
            <w:tcW w:w="408" w:type="pct"/>
            <w:tcBorders>
              <w:bottom w:val="single" w:sz="4" w:space="0" w:color="auto"/>
            </w:tcBorders>
            <w:noWrap/>
            <w:vAlign w:val="center"/>
          </w:tcPr>
          <w:p w14:paraId="684DA376" w14:textId="0E364702" w:rsidR="00415FFE" w:rsidRPr="00067E5C" w:rsidRDefault="00DE125D" w:rsidP="00415FF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Pr>
                <w:rFonts w:cstheme="minorHAnsi"/>
                <w:snapToGrid/>
                <w:color w:val="000000"/>
                <w:sz w:val="22"/>
                <w:szCs w:val="22"/>
              </w:rPr>
              <w:t>597</w:t>
            </w:r>
          </w:p>
        </w:tc>
      </w:tr>
    </w:tbl>
    <w:p w14:paraId="2C1111EF" w14:textId="77777777" w:rsidR="001B0E50" w:rsidRPr="000234AF" w:rsidRDefault="001B0E50" w:rsidP="005B2952">
      <w:pPr>
        <w:widowControl/>
        <w:ind w:firstLine="720"/>
        <w:rPr>
          <w:rFonts w:cstheme="minorHAnsi"/>
          <w:snapToGrid/>
          <w:color w:val="000000"/>
          <w:szCs w:val="24"/>
        </w:rPr>
      </w:pPr>
    </w:p>
    <w:p w14:paraId="378D59FC" w14:textId="1E9C6317" w:rsidR="001B0E50" w:rsidRPr="000234AF" w:rsidRDefault="005B2952" w:rsidP="005B2952">
      <w:pPr>
        <w:widowControl/>
        <w:spacing w:after="160" w:line="259" w:lineRule="auto"/>
        <w:rPr>
          <w:rFonts w:cstheme="minorHAnsi"/>
          <w:snapToGrid/>
          <w:color w:val="000000"/>
          <w:szCs w:val="24"/>
        </w:rPr>
      </w:pPr>
      <w:r>
        <w:rPr>
          <w:rFonts w:cstheme="minorHAnsi"/>
          <w:snapToGrid/>
          <w:color w:val="000000"/>
          <w:szCs w:val="24"/>
        </w:rPr>
        <w:br w:type="page"/>
      </w:r>
    </w:p>
    <w:p w14:paraId="44C1EF04" w14:textId="77777777" w:rsidR="001B0E50" w:rsidRPr="005F2DD9" w:rsidRDefault="001B0E50" w:rsidP="001B0E50">
      <w:pPr>
        <w:widowControl/>
        <w:tabs>
          <w:tab w:val="left" w:pos="2899"/>
        </w:tabs>
        <w:rPr>
          <w:rFonts w:cstheme="minorHAnsi"/>
          <w:snapToGrid/>
          <w:color w:val="000000"/>
          <w:szCs w:val="24"/>
        </w:rPr>
        <w:sectPr w:rsidR="001B0E50" w:rsidRPr="005F2DD9" w:rsidSect="009079C4">
          <w:headerReference w:type="default" r:id="rId130"/>
          <w:footerReference w:type="default" r:id="rId131"/>
          <w:pgSz w:w="15840" w:h="12240" w:orient="landscape"/>
          <w:pgMar w:top="1440" w:right="1440" w:bottom="1440" w:left="720" w:header="864" w:footer="720" w:gutter="0"/>
          <w:cols w:space="720"/>
          <w:docGrid w:linePitch="360"/>
        </w:sectPr>
      </w:pPr>
    </w:p>
    <w:p w14:paraId="343BCE03" w14:textId="351A9441" w:rsidR="00A575C3" w:rsidRPr="00D237D4" w:rsidRDefault="00420BDF" w:rsidP="00A575C3">
      <w:pPr>
        <w:pStyle w:val="Caption"/>
        <w:keepNext/>
      </w:pPr>
      <w:bookmarkStart w:id="68" w:name="_Toc164175154"/>
      <w:r>
        <w:lastRenderedPageBreak/>
        <w:t xml:space="preserve">Table </w:t>
      </w:r>
      <w:r w:rsidR="004F13BA">
        <w:fldChar w:fldCharType="begin"/>
      </w:r>
      <w:r w:rsidR="004F13BA">
        <w:instrText xml:space="preserve"> STYLEREF 2 \s </w:instrText>
      </w:r>
      <w:r w:rsidR="004F13BA">
        <w:fldChar w:fldCharType="separate"/>
      </w:r>
      <w:r w:rsidR="00CD06AE">
        <w:rPr>
          <w:noProof/>
        </w:rPr>
        <w:t>3.4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3</w:t>
      </w:r>
      <w:r w:rsidR="004F13BA">
        <w:rPr>
          <w:noProof/>
        </w:rPr>
        <w:fldChar w:fldCharType="end"/>
      </w:r>
      <w:r>
        <w:t xml:space="preserve">. </w:t>
      </w:r>
      <w:r w:rsidRPr="0A5BE548">
        <w:rPr>
          <w:rFonts w:cstheme="minorBidi"/>
          <w:snapToGrid/>
          <w:color w:val="000000"/>
        </w:rPr>
        <w:t>List of 78 groups that submitted data for the 2024 report cycle</w:t>
      </w:r>
      <w:bookmarkEnd w:id="68"/>
      <w:r w:rsidRPr="0A5BE548">
        <w:rPr>
          <w:rFonts w:cstheme="minorBidi"/>
          <w:snapToGrid/>
          <w:color w:val="000000"/>
        </w:rPr>
        <w:t xml:space="preserve"> (2017-2022). SWCD: Soil and Water Conservation District, IWLA: Isaac Walton League of America.</w:t>
      </w:r>
    </w:p>
    <w:tbl>
      <w:tblPr>
        <w:tblStyle w:val="TableGrid"/>
        <w:tblW w:w="13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List of 78 groups that submitted data for the 2024 report cycle (2017-2022). SWCD: Soil and Water Conservation District, IWLA: Isaac Walton League of America."/>
        <w:tblDescription w:val="List of 78 groups that submitted data for the 2024 report cycle (2017-2022). SWCD: Soil and Water Conservation District, IWLA: Isaac Walton League of America."/>
      </w:tblPr>
      <w:tblGrid>
        <w:gridCol w:w="4675"/>
        <w:gridCol w:w="4590"/>
        <w:gridCol w:w="4410"/>
      </w:tblGrid>
      <w:tr w:rsidR="00420BDF" w14:paraId="18357A30" w14:textId="77777777" w:rsidTr="009705D4">
        <w:trPr>
          <w:trHeight w:val="288"/>
        </w:trPr>
        <w:tc>
          <w:tcPr>
            <w:tcW w:w="4675" w:type="dxa"/>
            <w:tcBorders>
              <w:top w:val="single" w:sz="12" w:space="0" w:color="auto"/>
            </w:tcBorders>
          </w:tcPr>
          <w:p w14:paraId="03EB8DBB" w14:textId="77777777" w:rsidR="00420BDF" w:rsidRDefault="00420BDF" w:rsidP="00420BDF">
            <w:pPr>
              <w:jc w:val="center"/>
            </w:pPr>
            <w:r w:rsidRPr="00F61064">
              <w:rPr>
                <w:rFonts w:ascii="Calibri" w:eastAsia="Calibri" w:hAnsi="Calibri"/>
                <w:snapToGrid/>
                <w:kern w:val="2"/>
                <w:sz w:val="22"/>
                <w:szCs w:val="22"/>
                <w14:ligatures w14:val="standardContextual"/>
              </w:rPr>
              <w:t>Alliance for the Chesapeake Bay</w:t>
            </w:r>
          </w:p>
        </w:tc>
        <w:tc>
          <w:tcPr>
            <w:tcW w:w="4590" w:type="dxa"/>
            <w:tcBorders>
              <w:top w:val="single" w:sz="12" w:space="0" w:color="auto"/>
            </w:tcBorders>
          </w:tcPr>
          <w:p w14:paraId="7EA8EE6F" w14:textId="77777777" w:rsidR="00420BDF" w:rsidRDefault="00420BDF" w:rsidP="00420BDF">
            <w:pPr>
              <w:jc w:val="center"/>
            </w:pPr>
            <w:r w:rsidRPr="00F61064">
              <w:rPr>
                <w:rFonts w:ascii="Calibri" w:eastAsia="Calibri" w:hAnsi="Calibri"/>
                <w:snapToGrid/>
                <w:kern w:val="2"/>
                <w:sz w:val="22"/>
                <w:szCs w:val="22"/>
                <w14:ligatures w14:val="standardContextual"/>
              </w:rPr>
              <w:t>Back Bay Restoration Foundation</w:t>
            </w:r>
          </w:p>
        </w:tc>
        <w:tc>
          <w:tcPr>
            <w:tcW w:w="4410" w:type="dxa"/>
            <w:tcBorders>
              <w:top w:val="single" w:sz="12" w:space="0" w:color="auto"/>
            </w:tcBorders>
          </w:tcPr>
          <w:p w14:paraId="31D01EAC" w14:textId="77777777" w:rsidR="00420BDF" w:rsidRDefault="00420BDF" w:rsidP="00420BDF">
            <w:pPr>
              <w:jc w:val="center"/>
            </w:pPr>
            <w:r w:rsidRPr="00F61064">
              <w:rPr>
                <w:rFonts w:ascii="Calibri" w:eastAsia="Calibri" w:hAnsi="Calibri"/>
                <w:snapToGrid/>
                <w:kern w:val="2"/>
                <w:sz w:val="22"/>
                <w:szCs w:val="22"/>
                <w14:ligatures w14:val="standardContextual"/>
              </w:rPr>
              <w:t>Beagle Ridge Master Naturalists</w:t>
            </w:r>
          </w:p>
        </w:tc>
      </w:tr>
      <w:tr w:rsidR="00420BDF" w14:paraId="772A13AE" w14:textId="77777777" w:rsidTr="00243B7F">
        <w:trPr>
          <w:trHeight w:val="288"/>
        </w:trPr>
        <w:tc>
          <w:tcPr>
            <w:tcW w:w="4675" w:type="dxa"/>
          </w:tcPr>
          <w:p w14:paraId="569D44C6" w14:textId="77777777" w:rsidR="00420BDF" w:rsidRDefault="00420BDF" w:rsidP="00420BDF">
            <w:pPr>
              <w:jc w:val="center"/>
            </w:pPr>
            <w:r w:rsidRPr="00F61064">
              <w:rPr>
                <w:rFonts w:ascii="Calibri" w:eastAsia="Calibri" w:hAnsi="Calibri"/>
                <w:snapToGrid/>
                <w:kern w:val="2"/>
                <w:sz w:val="22"/>
                <w:szCs w:val="22"/>
                <w14:ligatures w14:val="standardContextual"/>
              </w:rPr>
              <w:t>Central Virginia Master Naturalists</w:t>
            </w:r>
          </w:p>
        </w:tc>
        <w:tc>
          <w:tcPr>
            <w:tcW w:w="4590" w:type="dxa"/>
          </w:tcPr>
          <w:p w14:paraId="6A6448C1" w14:textId="77777777" w:rsidR="00420BDF" w:rsidRDefault="00420BDF" w:rsidP="00420BDF">
            <w:pPr>
              <w:jc w:val="center"/>
            </w:pPr>
            <w:r w:rsidRPr="00F61064">
              <w:rPr>
                <w:rFonts w:ascii="Calibri" w:eastAsia="Calibri" w:hAnsi="Calibri"/>
                <w:snapToGrid/>
                <w:kern w:val="2"/>
                <w:sz w:val="22"/>
                <w:szCs w:val="22"/>
                <w14:ligatures w14:val="standardContextual"/>
              </w:rPr>
              <w:t>Chesapeake Bay Governor's School</w:t>
            </w:r>
          </w:p>
        </w:tc>
        <w:tc>
          <w:tcPr>
            <w:tcW w:w="4410" w:type="dxa"/>
          </w:tcPr>
          <w:p w14:paraId="2447F260" w14:textId="77777777" w:rsidR="00420BDF" w:rsidRDefault="00420BDF" w:rsidP="00420BDF">
            <w:pPr>
              <w:jc w:val="center"/>
            </w:pPr>
            <w:r w:rsidRPr="00F61064">
              <w:rPr>
                <w:rFonts w:ascii="Calibri" w:eastAsia="Calibri" w:hAnsi="Calibri"/>
                <w:snapToGrid/>
                <w:kern w:val="2"/>
                <w:sz w:val="22"/>
                <w:szCs w:val="22"/>
                <w14:ligatures w14:val="standardContextual"/>
              </w:rPr>
              <w:t xml:space="preserve">Chesterfield </w:t>
            </w:r>
            <w:proofErr w:type="spellStart"/>
            <w:r w:rsidRPr="00F61064">
              <w:rPr>
                <w:rFonts w:ascii="Calibri" w:eastAsia="Calibri" w:hAnsi="Calibri"/>
                <w:snapToGrid/>
                <w:kern w:val="2"/>
                <w:sz w:val="22"/>
                <w:szCs w:val="22"/>
                <w14:ligatures w14:val="standardContextual"/>
              </w:rPr>
              <w:t>WaterTrends</w:t>
            </w:r>
            <w:proofErr w:type="spellEnd"/>
          </w:p>
        </w:tc>
      </w:tr>
      <w:tr w:rsidR="00420BDF" w14:paraId="261BDB61" w14:textId="77777777" w:rsidTr="00243B7F">
        <w:trPr>
          <w:trHeight w:val="288"/>
        </w:trPr>
        <w:tc>
          <w:tcPr>
            <w:tcW w:w="4675" w:type="dxa"/>
          </w:tcPr>
          <w:p w14:paraId="2441ED01" w14:textId="77777777" w:rsidR="00420BDF" w:rsidRDefault="00420BDF" w:rsidP="00420BDF">
            <w:pPr>
              <w:jc w:val="center"/>
            </w:pPr>
            <w:r w:rsidRPr="00F61064">
              <w:rPr>
                <w:rFonts w:ascii="Calibri" w:eastAsia="Calibri" w:hAnsi="Calibri"/>
                <w:snapToGrid/>
                <w:kern w:val="2"/>
                <w:sz w:val="22"/>
                <w:szCs w:val="22"/>
                <w14:ligatures w14:val="standardContextual"/>
              </w:rPr>
              <w:t>Chickahominy Indian Tribe - Eastern Division</w:t>
            </w:r>
          </w:p>
        </w:tc>
        <w:tc>
          <w:tcPr>
            <w:tcW w:w="4590" w:type="dxa"/>
          </w:tcPr>
          <w:p w14:paraId="102DFD55" w14:textId="77777777" w:rsidR="00420BDF" w:rsidRDefault="00420BDF" w:rsidP="00420BDF">
            <w:pPr>
              <w:jc w:val="center"/>
            </w:pPr>
            <w:r w:rsidRPr="00F61064">
              <w:rPr>
                <w:rFonts w:ascii="Calibri" w:eastAsia="Calibri" w:hAnsi="Calibri"/>
                <w:snapToGrid/>
                <w:kern w:val="2"/>
                <w:sz w:val="22"/>
                <w:szCs w:val="22"/>
                <w14:ligatures w14:val="standardContextual"/>
              </w:rPr>
              <w:t>Chincoteague Field Station</w:t>
            </w:r>
          </w:p>
        </w:tc>
        <w:tc>
          <w:tcPr>
            <w:tcW w:w="4410" w:type="dxa"/>
          </w:tcPr>
          <w:p w14:paraId="4F5C61AC" w14:textId="77777777" w:rsidR="00420BDF" w:rsidRDefault="00420BDF" w:rsidP="00420BDF">
            <w:pPr>
              <w:jc w:val="center"/>
            </w:pPr>
            <w:r w:rsidRPr="00F61064">
              <w:rPr>
                <w:rFonts w:ascii="Calibri" w:eastAsia="Calibri" w:hAnsi="Calibri"/>
                <w:snapToGrid/>
                <w:kern w:val="2"/>
                <w:sz w:val="22"/>
                <w:szCs w:val="22"/>
                <w14:ligatures w14:val="standardContextual"/>
              </w:rPr>
              <w:t>Christiansburg/Montgomery Chapter IWLA</w:t>
            </w:r>
          </w:p>
        </w:tc>
      </w:tr>
      <w:tr w:rsidR="00420BDF" w14:paraId="62AA84DD" w14:textId="77777777" w:rsidTr="00243B7F">
        <w:trPr>
          <w:trHeight w:val="288"/>
        </w:trPr>
        <w:tc>
          <w:tcPr>
            <w:tcW w:w="4675" w:type="dxa"/>
          </w:tcPr>
          <w:p w14:paraId="15BBCE31" w14:textId="77777777" w:rsidR="00420BDF" w:rsidRDefault="00420BDF" w:rsidP="00420BDF">
            <w:pPr>
              <w:jc w:val="center"/>
            </w:pPr>
            <w:r w:rsidRPr="00F61064">
              <w:rPr>
                <w:rFonts w:ascii="Calibri" w:eastAsia="Calibri" w:hAnsi="Calibri"/>
                <w:snapToGrid/>
                <w:kern w:val="2"/>
                <w:sz w:val="22"/>
                <w:szCs w:val="22"/>
                <w14:ligatures w14:val="standardContextual"/>
              </w:rPr>
              <w:t>Clean Valley Council</w:t>
            </w:r>
          </w:p>
        </w:tc>
        <w:tc>
          <w:tcPr>
            <w:tcW w:w="4590" w:type="dxa"/>
          </w:tcPr>
          <w:p w14:paraId="60E1D8E2" w14:textId="77777777" w:rsidR="00420BDF" w:rsidRDefault="00420BDF" w:rsidP="00420BDF">
            <w:pPr>
              <w:jc w:val="center"/>
            </w:pPr>
            <w:r w:rsidRPr="00F61064">
              <w:rPr>
                <w:rFonts w:ascii="Calibri" w:eastAsia="Calibri" w:hAnsi="Calibri"/>
                <w:snapToGrid/>
                <w:kern w:val="2"/>
                <w:sz w:val="22"/>
                <w:szCs w:val="22"/>
                <w14:ligatures w14:val="standardContextual"/>
              </w:rPr>
              <w:t>Clinch Water Watch</w:t>
            </w:r>
          </w:p>
        </w:tc>
        <w:tc>
          <w:tcPr>
            <w:tcW w:w="4410" w:type="dxa"/>
          </w:tcPr>
          <w:p w14:paraId="534A40F3" w14:textId="77777777" w:rsidR="00420BDF" w:rsidRDefault="00420BDF" w:rsidP="00420BDF">
            <w:pPr>
              <w:jc w:val="center"/>
            </w:pPr>
            <w:r w:rsidRPr="00F61064">
              <w:rPr>
                <w:rFonts w:ascii="Calibri" w:eastAsia="Calibri" w:hAnsi="Calibri"/>
                <w:snapToGrid/>
                <w:kern w:val="2"/>
                <w:sz w:val="22"/>
                <w:szCs w:val="22"/>
                <w14:ligatures w14:val="standardContextual"/>
              </w:rPr>
              <w:t>Cowpasture River Preservation Association</w:t>
            </w:r>
          </w:p>
        </w:tc>
      </w:tr>
      <w:tr w:rsidR="00420BDF" w14:paraId="6DBAA6E1" w14:textId="77777777" w:rsidTr="00243B7F">
        <w:trPr>
          <w:trHeight w:val="288"/>
        </w:trPr>
        <w:tc>
          <w:tcPr>
            <w:tcW w:w="4675" w:type="dxa"/>
          </w:tcPr>
          <w:p w14:paraId="42B80347" w14:textId="77777777" w:rsidR="00420BDF" w:rsidRDefault="00420BDF" w:rsidP="00420BDF">
            <w:pPr>
              <w:jc w:val="center"/>
            </w:pPr>
            <w:r w:rsidRPr="00F61064">
              <w:rPr>
                <w:rFonts w:ascii="Calibri" w:eastAsia="Calibri" w:hAnsi="Calibri"/>
                <w:snapToGrid/>
                <w:kern w:val="2"/>
                <w:sz w:val="22"/>
                <w:szCs w:val="22"/>
                <w14:ligatures w14:val="standardContextual"/>
              </w:rPr>
              <w:t>Culpeper SWCD</w:t>
            </w:r>
          </w:p>
        </w:tc>
        <w:tc>
          <w:tcPr>
            <w:tcW w:w="4590" w:type="dxa"/>
          </w:tcPr>
          <w:p w14:paraId="28629156" w14:textId="77777777" w:rsidR="00420BDF" w:rsidRDefault="00420BDF" w:rsidP="00420BDF">
            <w:pPr>
              <w:jc w:val="center"/>
            </w:pPr>
            <w:r w:rsidRPr="00F61064">
              <w:rPr>
                <w:rFonts w:ascii="Calibri" w:eastAsia="Calibri" w:hAnsi="Calibri"/>
                <w:snapToGrid/>
                <w:kern w:val="2"/>
                <w:sz w:val="22"/>
                <w:szCs w:val="22"/>
                <w14:ligatures w14:val="standardContextual"/>
              </w:rPr>
              <w:t>Dan River Basin Association</w:t>
            </w:r>
          </w:p>
        </w:tc>
        <w:tc>
          <w:tcPr>
            <w:tcW w:w="4410" w:type="dxa"/>
          </w:tcPr>
          <w:p w14:paraId="686E6236" w14:textId="77777777" w:rsidR="00420BDF" w:rsidRDefault="00420BDF" w:rsidP="00420BDF">
            <w:pPr>
              <w:jc w:val="center"/>
            </w:pPr>
            <w:r w:rsidRPr="00F61064">
              <w:rPr>
                <w:rFonts w:ascii="Calibri" w:eastAsia="Calibri" w:hAnsi="Calibri"/>
                <w:snapToGrid/>
                <w:kern w:val="2"/>
                <w:sz w:val="22"/>
                <w:szCs w:val="22"/>
                <w14:ligatures w14:val="standardContextual"/>
              </w:rPr>
              <w:t>Dominion Christian School</w:t>
            </w:r>
          </w:p>
        </w:tc>
      </w:tr>
      <w:tr w:rsidR="00420BDF" w14:paraId="5ED02545" w14:textId="77777777" w:rsidTr="00243B7F">
        <w:trPr>
          <w:trHeight w:val="288"/>
        </w:trPr>
        <w:tc>
          <w:tcPr>
            <w:tcW w:w="4675" w:type="dxa"/>
          </w:tcPr>
          <w:p w14:paraId="2CA0E9D8" w14:textId="77777777" w:rsidR="00420BDF" w:rsidRDefault="00420BDF" w:rsidP="00420BDF">
            <w:pPr>
              <w:jc w:val="center"/>
            </w:pPr>
            <w:r w:rsidRPr="00F61064">
              <w:rPr>
                <w:rFonts w:ascii="Calibri" w:eastAsia="Calibri" w:hAnsi="Calibri"/>
                <w:snapToGrid/>
                <w:kern w:val="2"/>
                <w:sz w:val="22"/>
                <w:szCs w:val="22"/>
                <w14:ligatures w14:val="standardContextual"/>
              </w:rPr>
              <w:t>Ferrum College Stream Team</w:t>
            </w:r>
          </w:p>
        </w:tc>
        <w:tc>
          <w:tcPr>
            <w:tcW w:w="4590" w:type="dxa"/>
          </w:tcPr>
          <w:p w14:paraId="3437D0B9" w14:textId="77777777" w:rsidR="00420BDF" w:rsidRDefault="00420BDF" w:rsidP="00420BDF">
            <w:pPr>
              <w:jc w:val="center"/>
            </w:pPr>
            <w:r w:rsidRPr="00F61064">
              <w:rPr>
                <w:rFonts w:ascii="Calibri" w:eastAsia="Calibri" w:hAnsi="Calibri"/>
                <w:snapToGrid/>
                <w:kern w:val="2"/>
                <w:sz w:val="22"/>
                <w:szCs w:val="22"/>
                <w14:ligatures w14:val="standardContextual"/>
              </w:rPr>
              <w:t>Franklin County High School</w:t>
            </w:r>
          </w:p>
        </w:tc>
        <w:tc>
          <w:tcPr>
            <w:tcW w:w="4410" w:type="dxa"/>
          </w:tcPr>
          <w:p w14:paraId="5C4F0719" w14:textId="77777777" w:rsidR="00420BDF" w:rsidRDefault="00420BDF" w:rsidP="00420BDF">
            <w:pPr>
              <w:jc w:val="center"/>
            </w:pPr>
            <w:r w:rsidRPr="00F61064">
              <w:rPr>
                <w:rFonts w:ascii="Calibri" w:eastAsia="Calibri" w:hAnsi="Calibri"/>
                <w:snapToGrid/>
                <w:kern w:val="2"/>
                <w:sz w:val="22"/>
                <w:szCs w:val="22"/>
                <w14:ligatures w14:val="standardContextual"/>
              </w:rPr>
              <w:t xml:space="preserve">Friends of </w:t>
            </w:r>
            <w:proofErr w:type="spellStart"/>
            <w:r w:rsidRPr="00F61064">
              <w:rPr>
                <w:rFonts w:ascii="Calibri" w:eastAsia="Calibri" w:hAnsi="Calibri"/>
                <w:snapToGrid/>
                <w:kern w:val="2"/>
                <w:sz w:val="22"/>
                <w:szCs w:val="22"/>
                <w14:ligatures w14:val="standardContextual"/>
              </w:rPr>
              <w:t>Accotink</w:t>
            </w:r>
            <w:proofErr w:type="spellEnd"/>
            <w:r w:rsidRPr="00F61064">
              <w:rPr>
                <w:rFonts w:ascii="Calibri" w:eastAsia="Calibri" w:hAnsi="Calibri"/>
                <w:snapToGrid/>
                <w:kern w:val="2"/>
                <w:sz w:val="22"/>
                <w:szCs w:val="22"/>
                <w14:ligatures w14:val="standardContextual"/>
              </w:rPr>
              <w:t xml:space="preserve"> Creek</w:t>
            </w:r>
          </w:p>
        </w:tc>
      </w:tr>
      <w:tr w:rsidR="00420BDF" w14:paraId="51879AE2" w14:textId="77777777" w:rsidTr="00243B7F">
        <w:trPr>
          <w:trHeight w:val="288"/>
        </w:trPr>
        <w:tc>
          <w:tcPr>
            <w:tcW w:w="4675" w:type="dxa"/>
          </w:tcPr>
          <w:p w14:paraId="7232A413" w14:textId="77777777" w:rsidR="00420BDF" w:rsidRDefault="00420BDF" w:rsidP="00420BDF">
            <w:pPr>
              <w:jc w:val="center"/>
            </w:pPr>
            <w:r w:rsidRPr="00F61064">
              <w:rPr>
                <w:rFonts w:ascii="Calibri" w:eastAsia="Calibri" w:hAnsi="Calibri"/>
                <w:snapToGrid/>
                <w:kern w:val="2"/>
                <w:sz w:val="22"/>
                <w:szCs w:val="22"/>
                <w14:ligatures w14:val="standardContextual"/>
              </w:rPr>
              <w:t>Friends of Dragon Run</w:t>
            </w:r>
          </w:p>
        </w:tc>
        <w:tc>
          <w:tcPr>
            <w:tcW w:w="4590" w:type="dxa"/>
          </w:tcPr>
          <w:p w14:paraId="1BCD6F35" w14:textId="77777777" w:rsidR="00420BDF" w:rsidRDefault="00420BDF" w:rsidP="00420BDF">
            <w:pPr>
              <w:jc w:val="center"/>
            </w:pPr>
            <w:r w:rsidRPr="00F61064">
              <w:rPr>
                <w:rFonts w:ascii="Calibri" w:eastAsia="Calibri" w:hAnsi="Calibri"/>
                <w:snapToGrid/>
                <w:kern w:val="2"/>
                <w:sz w:val="22"/>
                <w:szCs w:val="22"/>
                <w14:ligatures w14:val="standardContextual"/>
              </w:rPr>
              <w:t>Friends of the Middle River</w:t>
            </w:r>
          </w:p>
        </w:tc>
        <w:tc>
          <w:tcPr>
            <w:tcW w:w="4410" w:type="dxa"/>
          </w:tcPr>
          <w:p w14:paraId="332FF2EF" w14:textId="77777777" w:rsidR="00420BDF" w:rsidRDefault="00420BDF" w:rsidP="00420BDF">
            <w:pPr>
              <w:jc w:val="center"/>
            </w:pPr>
            <w:r w:rsidRPr="00F61064">
              <w:rPr>
                <w:rFonts w:ascii="Calibri" w:eastAsia="Calibri" w:hAnsi="Calibri"/>
                <w:snapToGrid/>
                <w:kern w:val="2"/>
                <w:sz w:val="22"/>
                <w:szCs w:val="22"/>
                <w14:ligatures w14:val="standardContextual"/>
              </w:rPr>
              <w:t>Friends of the North Fork</w:t>
            </w:r>
          </w:p>
        </w:tc>
      </w:tr>
      <w:tr w:rsidR="00420BDF" w14:paraId="3D3AE730" w14:textId="77777777" w:rsidTr="00243B7F">
        <w:trPr>
          <w:trHeight w:val="288"/>
        </w:trPr>
        <w:tc>
          <w:tcPr>
            <w:tcW w:w="4675" w:type="dxa"/>
          </w:tcPr>
          <w:p w14:paraId="5A4DA4B2" w14:textId="77777777" w:rsidR="00420BDF" w:rsidRDefault="00420BDF" w:rsidP="00420BDF">
            <w:pPr>
              <w:jc w:val="center"/>
            </w:pPr>
            <w:r w:rsidRPr="00F61064">
              <w:rPr>
                <w:rFonts w:ascii="Calibri" w:eastAsia="Calibri" w:hAnsi="Calibri"/>
                <w:snapToGrid/>
                <w:kern w:val="2"/>
                <w:sz w:val="22"/>
                <w:szCs w:val="22"/>
                <w14:ligatures w14:val="standardContextual"/>
              </w:rPr>
              <w:t>Friends of the Rappahannock</w:t>
            </w:r>
          </w:p>
        </w:tc>
        <w:tc>
          <w:tcPr>
            <w:tcW w:w="4590" w:type="dxa"/>
          </w:tcPr>
          <w:p w14:paraId="6FB41D46" w14:textId="77777777" w:rsidR="00420BDF" w:rsidRDefault="00420BDF" w:rsidP="00420BDF">
            <w:pPr>
              <w:jc w:val="center"/>
            </w:pPr>
            <w:r w:rsidRPr="00F61064">
              <w:rPr>
                <w:rFonts w:ascii="Calibri" w:eastAsia="Calibri" w:hAnsi="Calibri"/>
                <w:snapToGrid/>
                <w:kern w:val="2"/>
                <w:sz w:val="22"/>
                <w:szCs w:val="22"/>
                <w14:ligatures w14:val="standardContextual"/>
              </w:rPr>
              <w:t>Friends of the Shenandoah River</w:t>
            </w:r>
          </w:p>
        </w:tc>
        <w:tc>
          <w:tcPr>
            <w:tcW w:w="4410" w:type="dxa"/>
          </w:tcPr>
          <w:p w14:paraId="6BD3F3BF" w14:textId="77777777" w:rsidR="00420BDF" w:rsidRDefault="00420BDF" w:rsidP="00420BDF">
            <w:pPr>
              <w:jc w:val="center"/>
            </w:pPr>
            <w:r w:rsidRPr="00F61064">
              <w:rPr>
                <w:rFonts w:ascii="Calibri" w:eastAsia="Calibri" w:hAnsi="Calibri"/>
                <w:snapToGrid/>
                <w:kern w:val="2"/>
                <w:sz w:val="22"/>
                <w:szCs w:val="22"/>
                <w14:ligatures w14:val="standardContextual"/>
              </w:rPr>
              <w:t>G2 Associates</w:t>
            </w:r>
          </w:p>
        </w:tc>
      </w:tr>
      <w:tr w:rsidR="00420BDF" w14:paraId="4EE45C21" w14:textId="77777777" w:rsidTr="00243B7F">
        <w:trPr>
          <w:trHeight w:val="288"/>
        </w:trPr>
        <w:tc>
          <w:tcPr>
            <w:tcW w:w="4675" w:type="dxa"/>
          </w:tcPr>
          <w:p w14:paraId="17C3FF92" w14:textId="77777777" w:rsidR="00420BDF" w:rsidRDefault="00420BDF" w:rsidP="00420BDF">
            <w:pPr>
              <w:jc w:val="center"/>
            </w:pPr>
            <w:r w:rsidRPr="00F61064">
              <w:rPr>
                <w:rFonts w:ascii="Calibri" w:eastAsia="Calibri" w:hAnsi="Calibri"/>
                <w:snapToGrid/>
                <w:kern w:val="2"/>
                <w:sz w:val="22"/>
                <w:szCs w:val="22"/>
                <w14:ligatures w14:val="standardContextual"/>
              </w:rPr>
              <w:t>George Mason High School</w:t>
            </w:r>
          </w:p>
        </w:tc>
        <w:tc>
          <w:tcPr>
            <w:tcW w:w="4590" w:type="dxa"/>
          </w:tcPr>
          <w:p w14:paraId="5530436D" w14:textId="77777777" w:rsidR="00420BDF" w:rsidRDefault="00420BDF" w:rsidP="00420BDF">
            <w:pPr>
              <w:jc w:val="center"/>
            </w:pPr>
            <w:r w:rsidRPr="00F61064">
              <w:rPr>
                <w:rFonts w:ascii="Calibri" w:eastAsia="Calibri" w:hAnsi="Calibri"/>
                <w:snapToGrid/>
                <w:kern w:val="2"/>
                <w:sz w:val="22"/>
                <w:szCs w:val="22"/>
                <w14:ligatures w14:val="standardContextual"/>
              </w:rPr>
              <w:t>Goose Creek Association</w:t>
            </w:r>
          </w:p>
        </w:tc>
        <w:tc>
          <w:tcPr>
            <w:tcW w:w="4410" w:type="dxa"/>
          </w:tcPr>
          <w:p w14:paraId="3797A010" w14:textId="77777777" w:rsidR="00420BDF" w:rsidRDefault="00420BDF" w:rsidP="00420BDF">
            <w:pPr>
              <w:jc w:val="center"/>
            </w:pPr>
            <w:r w:rsidRPr="00F61064">
              <w:rPr>
                <w:rFonts w:ascii="Calibri" w:eastAsia="Calibri" w:hAnsi="Calibri"/>
                <w:snapToGrid/>
                <w:kern w:val="2"/>
                <w:sz w:val="22"/>
                <w:szCs w:val="22"/>
                <w14:ligatures w14:val="standardContextual"/>
              </w:rPr>
              <w:t>Green Aquia</w:t>
            </w:r>
          </w:p>
        </w:tc>
      </w:tr>
      <w:tr w:rsidR="00420BDF" w14:paraId="241B0CB2" w14:textId="77777777" w:rsidTr="00243B7F">
        <w:trPr>
          <w:trHeight w:val="288"/>
        </w:trPr>
        <w:tc>
          <w:tcPr>
            <w:tcW w:w="4675" w:type="dxa"/>
          </w:tcPr>
          <w:p w14:paraId="29AF416B" w14:textId="77777777" w:rsidR="00420BDF" w:rsidRDefault="00420BDF" w:rsidP="00420BDF">
            <w:pPr>
              <w:jc w:val="center"/>
            </w:pPr>
            <w:r w:rsidRPr="00F61064">
              <w:rPr>
                <w:rFonts w:ascii="Calibri" w:eastAsia="Calibri" w:hAnsi="Calibri"/>
                <w:snapToGrid/>
                <w:kern w:val="2"/>
                <w:sz w:val="22"/>
                <w:szCs w:val="22"/>
                <w14:ligatures w14:val="standardContextual"/>
              </w:rPr>
              <w:t>Henrico Area Water Quality Samplers</w:t>
            </w:r>
          </w:p>
        </w:tc>
        <w:tc>
          <w:tcPr>
            <w:tcW w:w="4590" w:type="dxa"/>
          </w:tcPr>
          <w:p w14:paraId="436D8122" w14:textId="77777777" w:rsidR="00420BDF" w:rsidRDefault="00420BDF" w:rsidP="00420BDF">
            <w:pPr>
              <w:jc w:val="center"/>
            </w:pPr>
            <w:r w:rsidRPr="00F61064">
              <w:rPr>
                <w:rFonts w:ascii="Calibri" w:eastAsia="Calibri" w:hAnsi="Calibri"/>
                <w:snapToGrid/>
                <w:kern w:val="2"/>
                <w:sz w:val="22"/>
                <w:szCs w:val="22"/>
                <w14:ligatures w14:val="standardContextual"/>
              </w:rPr>
              <w:t>Hickory Creek Team</w:t>
            </w:r>
          </w:p>
        </w:tc>
        <w:tc>
          <w:tcPr>
            <w:tcW w:w="4410" w:type="dxa"/>
          </w:tcPr>
          <w:p w14:paraId="5AFFD855" w14:textId="77777777" w:rsidR="00420BDF" w:rsidRDefault="00420BDF" w:rsidP="00420BDF">
            <w:pPr>
              <w:jc w:val="center"/>
            </w:pPr>
            <w:r w:rsidRPr="00F61064">
              <w:rPr>
                <w:rFonts w:ascii="Calibri" w:eastAsia="Calibri" w:hAnsi="Calibri"/>
                <w:snapToGrid/>
                <w:kern w:val="2"/>
                <w:sz w:val="22"/>
                <w:szCs w:val="22"/>
                <w14:ligatures w14:val="standardContextual"/>
              </w:rPr>
              <w:t>Historic Rivers Master Naturalists</w:t>
            </w:r>
          </w:p>
        </w:tc>
      </w:tr>
      <w:tr w:rsidR="00420BDF" w14:paraId="3D60A3F4" w14:textId="77777777" w:rsidTr="00243B7F">
        <w:trPr>
          <w:trHeight w:val="288"/>
        </w:trPr>
        <w:tc>
          <w:tcPr>
            <w:tcW w:w="4675" w:type="dxa"/>
          </w:tcPr>
          <w:p w14:paraId="3CC2DE02" w14:textId="77777777" w:rsidR="00420BDF" w:rsidRDefault="00420BDF" w:rsidP="00420BDF">
            <w:pPr>
              <w:jc w:val="center"/>
            </w:pPr>
            <w:r w:rsidRPr="00F61064">
              <w:rPr>
                <w:rFonts w:ascii="Calibri" w:eastAsia="Calibri" w:hAnsi="Calibri"/>
                <w:snapToGrid/>
                <w:kern w:val="2"/>
                <w:sz w:val="22"/>
                <w:szCs w:val="22"/>
                <w14:ligatures w14:val="standardContextual"/>
              </w:rPr>
              <w:t>Indian Run Team</w:t>
            </w:r>
          </w:p>
        </w:tc>
        <w:tc>
          <w:tcPr>
            <w:tcW w:w="4590" w:type="dxa"/>
          </w:tcPr>
          <w:p w14:paraId="1ACBC84C" w14:textId="77777777" w:rsidR="00420BDF" w:rsidRDefault="00420BDF" w:rsidP="00420BDF">
            <w:pPr>
              <w:jc w:val="center"/>
            </w:pPr>
            <w:r w:rsidRPr="00F61064">
              <w:rPr>
                <w:rFonts w:ascii="Calibri" w:eastAsia="Calibri" w:hAnsi="Calibri"/>
                <w:snapToGrid/>
                <w:kern w:val="2"/>
                <w:sz w:val="22"/>
                <w:szCs w:val="22"/>
                <w14:ligatures w14:val="standardContextual"/>
              </w:rPr>
              <w:t>James City County</w:t>
            </w:r>
          </w:p>
        </w:tc>
        <w:tc>
          <w:tcPr>
            <w:tcW w:w="4410" w:type="dxa"/>
          </w:tcPr>
          <w:p w14:paraId="16CFCFB9" w14:textId="77777777" w:rsidR="00420BDF" w:rsidRDefault="00420BDF" w:rsidP="00420BDF">
            <w:pPr>
              <w:jc w:val="center"/>
            </w:pPr>
            <w:r w:rsidRPr="00F61064">
              <w:rPr>
                <w:rFonts w:ascii="Calibri" w:eastAsia="Calibri" w:hAnsi="Calibri"/>
                <w:snapToGrid/>
                <w:kern w:val="2"/>
                <w:sz w:val="22"/>
                <w:szCs w:val="22"/>
                <w14:ligatures w14:val="standardContextual"/>
              </w:rPr>
              <w:t>James River Association</w:t>
            </w:r>
          </w:p>
        </w:tc>
      </w:tr>
      <w:tr w:rsidR="00420BDF" w14:paraId="4BA609AD" w14:textId="77777777" w:rsidTr="00243B7F">
        <w:trPr>
          <w:trHeight w:val="288"/>
        </w:trPr>
        <w:tc>
          <w:tcPr>
            <w:tcW w:w="4675" w:type="dxa"/>
          </w:tcPr>
          <w:p w14:paraId="3F7EA6E0" w14:textId="77777777" w:rsidR="00420BDF" w:rsidRDefault="00420BDF" w:rsidP="00420BDF">
            <w:pPr>
              <w:jc w:val="center"/>
            </w:pPr>
            <w:r w:rsidRPr="00F61064">
              <w:rPr>
                <w:rFonts w:ascii="Calibri" w:eastAsia="Calibri" w:hAnsi="Calibri"/>
                <w:snapToGrid/>
                <w:kern w:val="2"/>
                <w:sz w:val="22"/>
                <w:szCs w:val="22"/>
                <w14:ligatures w14:val="standardContextual"/>
              </w:rPr>
              <w:t>James River Master Naturalists</w:t>
            </w:r>
          </w:p>
        </w:tc>
        <w:tc>
          <w:tcPr>
            <w:tcW w:w="4590" w:type="dxa"/>
          </w:tcPr>
          <w:p w14:paraId="78D4B40A" w14:textId="77777777" w:rsidR="00420BDF" w:rsidRDefault="00420BDF" w:rsidP="00420BDF">
            <w:pPr>
              <w:jc w:val="center"/>
            </w:pPr>
            <w:r w:rsidRPr="00F61064">
              <w:rPr>
                <w:rFonts w:ascii="Calibri" w:eastAsia="Calibri" w:hAnsi="Calibri"/>
                <w:snapToGrid/>
                <w:kern w:val="2"/>
                <w:sz w:val="22"/>
                <w:szCs w:val="22"/>
                <w14:ligatures w14:val="standardContextual"/>
              </w:rPr>
              <w:t>John Marshall SWCD</w:t>
            </w:r>
          </w:p>
        </w:tc>
        <w:tc>
          <w:tcPr>
            <w:tcW w:w="4410" w:type="dxa"/>
          </w:tcPr>
          <w:p w14:paraId="130BED94" w14:textId="77777777" w:rsidR="00420BDF" w:rsidRDefault="00420BDF" w:rsidP="00420BDF">
            <w:pPr>
              <w:jc w:val="center"/>
            </w:pPr>
            <w:r w:rsidRPr="00F61064">
              <w:rPr>
                <w:rFonts w:ascii="Calibri" w:eastAsia="Calibri" w:hAnsi="Calibri"/>
                <w:snapToGrid/>
                <w:kern w:val="2"/>
                <w:sz w:val="22"/>
                <w:szCs w:val="22"/>
                <w14:ligatures w14:val="standardContextual"/>
              </w:rPr>
              <w:t>Jumping Run Team</w:t>
            </w:r>
          </w:p>
        </w:tc>
      </w:tr>
      <w:tr w:rsidR="00420BDF" w14:paraId="36B1DB7B" w14:textId="77777777" w:rsidTr="00243B7F">
        <w:trPr>
          <w:trHeight w:val="288"/>
        </w:trPr>
        <w:tc>
          <w:tcPr>
            <w:tcW w:w="4675" w:type="dxa"/>
          </w:tcPr>
          <w:p w14:paraId="3BCE138E" w14:textId="77777777" w:rsidR="00420BDF" w:rsidRDefault="00420BDF" w:rsidP="00420BDF">
            <w:pPr>
              <w:jc w:val="center"/>
            </w:pPr>
            <w:r w:rsidRPr="00F61064">
              <w:rPr>
                <w:rFonts w:ascii="Calibri" w:eastAsia="Calibri" w:hAnsi="Calibri"/>
                <w:snapToGrid/>
                <w:kern w:val="2"/>
                <w:sz w:val="22"/>
                <w:szCs w:val="22"/>
                <w14:ligatures w14:val="standardContextual"/>
              </w:rPr>
              <w:t>LCHS Envirothon</w:t>
            </w:r>
          </w:p>
        </w:tc>
        <w:tc>
          <w:tcPr>
            <w:tcW w:w="4590" w:type="dxa"/>
          </w:tcPr>
          <w:p w14:paraId="6BD10307" w14:textId="77777777" w:rsidR="00420BDF" w:rsidRDefault="00420BDF" w:rsidP="00420BDF">
            <w:pPr>
              <w:jc w:val="center"/>
            </w:pPr>
            <w:r w:rsidRPr="00F61064">
              <w:rPr>
                <w:rFonts w:ascii="Calibri" w:eastAsia="Calibri" w:hAnsi="Calibri"/>
                <w:snapToGrid/>
                <w:kern w:val="2"/>
                <w:sz w:val="22"/>
                <w:szCs w:val="22"/>
                <w14:ligatures w14:val="standardContextual"/>
              </w:rPr>
              <w:t>Lake Anna Civic Association</w:t>
            </w:r>
          </w:p>
        </w:tc>
        <w:tc>
          <w:tcPr>
            <w:tcW w:w="4410" w:type="dxa"/>
          </w:tcPr>
          <w:p w14:paraId="4C6E1895" w14:textId="77777777" w:rsidR="00420BDF" w:rsidRDefault="00420BDF" w:rsidP="00420BDF">
            <w:pPr>
              <w:jc w:val="center"/>
            </w:pPr>
            <w:r w:rsidRPr="00F61064">
              <w:rPr>
                <w:rFonts w:ascii="Calibri" w:eastAsia="Calibri" w:hAnsi="Calibri"/>
                <w:snapToGrid/>
                <w:kern w:val="2"/>
                <w:sz w:val="22"/>
                <w:szCs w:val="22"/>
                <w14:ligatures w14:val="standardContextual"/>
              </w:rPr>
              <w:t>Langley HS Ecology Club Group</w:t>
            </w:r>
          </w:p>
        </w:tc>
      </w:tr>
      <w:tr w:rsidR="00420BDF" w14:paraId="36220E82" w14:textId="77777777" w:rsidTr="00243B7F">
        <w:trPr>
          <w:trHeight w:val="288"/>
        </w:trPr>
        <w:tc>
          <w:tcPr>
            <w:tcW w:w="4675" w:type="dxa"/>
          </w:tcPr>
          <w:p w14:paraId="603DBEDF" w14:textId="77777777" w:rsidR="00420BDF" w:rsidRDefault="00420BDF" w:rsidP="00420BDF">
            <w:pPr>
              <w:jc w:val="center"/>
            </w:pPr>
            <w:r w:rsidRPr="00F61064">
              <w:rPr>
                <w:rFonts w:ascii="Calibri" w:eastAsia="Calibri" w:hAnsi="Calibri"/>
                <w:snapToGrid/>
                <w:kern w:val="2"/>
                <w:sz w:val="22"/>
                <w:szCs w:val="22"/>
                <w14:ligatures w14:val="standardContextual"/>
              </w:rPr>
              <w:t>Lewis Ginter Botanical Gardens</w:t>
            </w:r>
          </w:p>
        </w:tc>
        <w:tc>
          <w:tcPr>
            <w:tcW w:w="4590" w:type="dxa"/>
          </w:tcPr>
          <w:p w14:paraId="3BD04BE6" w14:textId="77777777" w:rsidR="00420BDF" w:rsidRDefault="00420BDF" w:rsidP="00420BDF">
            <w:pPr>
              <w:jc w:val="center"/>
            </w:pPr>
            <w:r w:rsidRPr="00F61064">
              <w:rPr>
                <w:rFonts w:ascii="Calibri" w:eastAsia="Calibri" w:hAnsi="Calibri"/>
                <w:snapToGrid/>
                <w:kern w:val="2"/>
                <w:sz w:val="22"/>
                <w:szCs w:val="22"/>
                <w14:ligatures w14:val="standardContextual"/>
              </w:rPr>
              <w:t>Loudon Wildlife Conservancy</w:t>
            </w:r>
          </w:p>
        </w:tc>
        <w:tc>
          <w:tcPr>
            <w:tcW w:w="4410" w:type="dxa"/>
          </w:tcPr>
          <w:p w14:paraId="40FC9D0F" w14:textId="77777777" w:rsidR="00420BDF" w:rsidRDefault="00420BDF" w:rsidP="00420BDF">
            <w:pPr>
              <w:jc w:val="center"/>
            </w:pPr>
            <w:r w:rsidRPr="00F61064">
              <w:rPr>
                <w:rFonts w:ascii="Calibri" w:eastAsia="Calibri" w:hAnsi="Calibri"/>
                <w:snapToGrid/>
                <w:kern w:val="2"/>
                <w:sz w:val="22"/>
                <w:szCs w:val="22"/>
                <w14:ligatures w14:val="standardContextual"/>
              </w:rPr>
              <w:t>Lynnhaven River Now</w:t>
            </w:r>
          </w:p>
        </w:tc>
      </w:tr>
      <w:tr w:rsidR="00420BDF" w14:paraId="165FF9B3" w14:textId="77777777" w:rsidTr="00243B7F">
        <w:trPr>
          <w:trHeight w:val="288"/>
        </w:trPr>
        <w:tc>
          <w:tcPr>
            <w:tcW w:w="4675" w:type="dxa"/>
          </w:tcPr>
          <w:p w14:paraId="539364B2" w14:textId="77777777" w:rsidR="00420BDF" w:rsidRDefault="00420BDF" w:rsidP="00420BDF">
            <w:pPr>
              <w:jc w:val="center"/>
            </w:pPr>
            <w:r w:rsidRPr="00F61064">
              <w:rPr>
                <w:rFonts w:ascii="Calibri" w:eastAsia="Calibri" w:hAnsi="Calibri"/>
                <w:snapToGrid/>
                <w:kern w:val="2"/>
                <w:sz w:val="22"/>
                <w:szCs w:val="22"/>
                <w14:ligatures w14:val="standardContextual"/>
              </w:rPr>
              <w:t>Mariners' Museum and Park</w:t>
            </w:r>
          </w:p>
        </w:tc>
        <w:tc>
          <w:tcPr>
            <w:tcW w:w="4590" w:type="dxa"/>
          </w:tcPr>
          <w:p w14:paraId="588AE7D7" w14:textId="77777777" w:rsidR="00420BDF" w:rsidRDefault="00420BDF" w:rsidP="00420BDF">
            <w:pPr>
              <w:jc w:val="center"/>
            </w:pPr>
            <w:r w:rsidRPr="00F61064">
              <w:rPr>
                <w:rFonts w:ascii="Calibri" w:eastAsia="Calibri" w:hAnsi="Calibri"/>
                <w:snapToGrid/>
                <w:kern w:val="2"/>
                <w:sz w:val="22"/>
                <w:szCs w:val="22"/>
                <w14:ligatures w14:val="standardContextual"/>
              </w:rPr>
              <w:t>Maury River Water Monitors</w:t>
            </w:r>
          </w:p>
        </w:tc>
        <w:tc>
          <w:tcPr>
            <w:tcW w:w="4410" w:type="dxa"/>
          </w:tcPr>
          <w:p w14:paraId="63ED0183" w14:textId="77777777" w:rsidR="00420BDF" w:rsidRDefault="00420BDF" w:rsidP="00420BDF">
            <w:pPr>
              <w:jc w:val="center"/>
            </w:pPr>
            <w:proofErr w:type="spellStart"/>
            <w:r w:rsidRPr="00F61064">
              <w:rPr>
                <w:rFonts w:ascii="Calibri" w:eastAsia="Calibri" w:hAnsi="Calibri"/>
                <w:snapToGrid/>
                <w:kern w:val="2"/>
                <w:sz w:val="22"/>
                <w:szCs w:val="22"/>
                <w14:ligatures w14:val="standardContextual"/>
              </w:rPr>
              <w:t>Maymont</w:t>
            </w:r>
            <w:proofErr w:type="spellEnd"/>
            <w:r w:rsidRPr="00F61064">
              <w:rPr>
                <w:rFonts w:ascii="Calibri" w:eastAsia="Calibri" w:hAnsi="Calibri"/>
                <w:snapToGrid/>
                <w:kern w:val="2"/>
                <w:sz w:val="22"/>
                <w:szCs w:val="22"/>
                <w14:ligatures w14:val="standardContextual"/>
              </w:rPr>
              <w:t xml:space="preserve"> Foundation</w:t>
            </w:r>
          </w:p>
        </w:tc>
      </w:tr>
      <w:tr w:rsidR="00420BDF" w14:paraId="0860AA36" w14:textId="77777777" w:rsidTr="00243B7F">
        <w:trPr>
          <w:trHeight w:val="288"/>
        </w:trPr>
        <w:tc>
          <w:tcPr>
            <w:tcW w:w="4675" w:type="dxa"/>
          </w:tcPr>
          <w:p w14:paraId="7AFB0C35" w14:textId="77777777" w:rsidR="00420BDF" w:rsidRDefault="00420BDF" w:rsidP="00420BDF">
            <w:pPr>
              <w:jc w:val="center"/>
            </w:pPr>
            <w:r w:rsidRPr="00F61064">
              <w:rPr>
                <w:rFonts w:ascii="Calibri" w:eastAsia="Calibri" w:hAnsi="Calibri"/>
                <w:snapToGrid/>
                <w:kern w:val="2"/>
                <w:sz w:val="22"/>
                <w:szCs w:val="22"/>
                <w14:ligatures w14:val="standardContextual"/>
              </w:rPr>
              <w:t>Middle Peninsula Master Naturalists</w:t>
            </w:r>
          </w:p>
        </w:tc>
        <w:tc>
          <w:tcPr>
            <w:tcW w:w="4590" w:type="dxa"/>
          </w:tcPr>
          <w:p w14:paraId="0C1058B3" w14:textId="77777777" w:rsidR="00420BDF" w:rsidRDefault="00420BDF" w:rsidP="00420BDF">
            <w:pPr>
              <w:jc w:val="center"/>
            </w:pPr>
            <w:r w:rsidRPr="00F61064">
              <w:rPr>
                <w:rFonts w:ascii="Calibri" w:eastAsia="Calibri" w:hAnsi="Calibri"/>
                <w:snapToGrid/>
                <w:kern w:val="2"/>
                <w:sz w:val="22"/>
                <w:szCs w:val="22"/>
                <w14:ligatures w14:val="standardContextual"/>
              </w:rPr>
              <w:t>Nansemond River Preservation Alliance</w:t>
            </w:r>
          </w:p>
        </w:tc>
        <w:tc>
          <w:tcPr>
            <w:tcW w:w="4410" w:type="dxa"/>
          </w:tcPr>
          <w:p w14:paraId="6A277FD9" w14:textId="77777777" w:rsidR="00420BDF" w:rsidRDefault="00420BDF" w:rsidP="00420BDF">
            <w:pPr>
              <w:jc w:val="center"/>
            </w:pPr>
            <w:r w:rsidRPr="00F61064">
              <w:rPr>
                <w:rFonts w:ascii="Calibri" w:eastAsia="Calibri" w:hAnsi="Calibri"/>
                <w:snapToGrid/>
                <w:kern w:val="2"/>
                <w:sz w:val="22"/>
                <w:szCs w:val="22"/>
                <w14:ligatures w14:val="standardContextual"/>
              </w:rPr>
              <w:t>New River Valley Master Naturalists</w:t>
            </w:r>
          </w:p>
        </w:tc>
      </w:tr>
      <w:tr w:rsidR="00420BDF" w14:paraId="78B7427C" w14:textId="77777777" w:rsidTr="00243B7F">
        <w:trPr>
          <w:trHeight w:val="288"/>
        </w:trPr>
        <w:tc>
          <w:tcPr>
            <w:tcW w:w="4675" w:type="dxa"/>
          </w:tcPr>
          <w:p w14:paraId="7F6E8F30" w14:textId="77777777" w:rsidR="00420BDF" w:rsidRDefault="00420BDF" w:rsidP="00420BDF">
            <w:pPr>
              <w:jc w:val="center"/>
            </w:pPr>
            <w:r w:rsidRPr="00F61064">
              <w:rPr>
                <w:rFonts w:ascii="Calibri" w:eastAsia="Calibri" w:hAnsi="Calibri"/>
                <w:snapToGrid/>
                <w:kern w:val="2"/>
                <w:sz w:val="22"/>
                <w:szCs w:val="22"/>
                <w14:ligatures w14:val="standardContextual"/>
              </w:rPr>
              <w:t>North Ridge Citizens' Association</w:t>
            </w:r>
          </w:p>
        </w:tc>
        <w:tc>
          <w:tcPr>
            <w:tcW w:w="4590" w:type="dxa"/>
          </w:tcPr>
          <w:p w14:paraId="4F781FC5" w14:textId="77777777" w:rsidR="00420BDF" w:rsidRDefault="00420BDF" w:rsidP="00420BDF">
            <w:pPr>
              <w:jc w:val="center"/>
            </w:pPr>
            <w:r w:rsidRPr="00F61064">
              <w:rPr>
                <w:rFonts w:ascii="Calibri" w:eastAsia="Calibri" w:hAnsi="Calibri"/>
                <w:snapToGrid/>
                <w:kern w:val="2"/>
                <w:sz w:val="22"/>
                <w:szCs w:val="22"/>
                <w14:ligatures w14:val="standardContextual"/>
              </w:rPr>
              <w:t>Northern Neck Master Naturalists</w:t>
            </w:r>
          </w:p>
        </w:tc>
        <w:tc>
          <w:tcPr>
            <w:tcW w:w="4410" w:type="dxa"/>
          </w:tcPr>
          <w:p w14:paraId="4E67A1CE" w14:textId="77777777" w:rsidR="00420BDF" w:rsidRDefault="00420BDF" w:rsidP="00420BDF">
            <w:pPr>
              <w:jc w:val="center"/>
            </w:pPr>
            <w:r w:rsidRPr="00F61064">
              <w:rPr>
                <w:rFonts w:ascii="Calibri" w:eastAsia="Calibri" w:hAnsi="Calibri"/>
                <w:snapToGrid/>
                <w:kern w:val="2"/>
                <w:sz w:val="22"/>
                <w:szCs w:val="22"/>
                <w14:ligatures w14:val="standardContextual"/>
              </w:rPr>
              <w:t>Northern Virginia Community College</w:t>
            </w:r>
          </w:p>
        </w:tc>
      </w:tr>
      <w:tr w:rsidR="00420BDF" w14:paraId="045601EE" w14:textId="77777777" w:rsidTr="00243B7F">
        <w:trPr>
          <w:trHeight w:val="288"/>
        </w:trPr>
        <w:tc>
          <w:tcPr>
            <w:tcW w:w="4675" w:type="dxa"/>
          </w:tcPr>
          <w:p w14:paraId="297E8968" w14:textId="77777777" w:rsidR="00420BDF" w:rsidRDefault="00420BDF" w:rsidP="00420BDF">
            <w:pPr>
              <w:jc w:val="center"/>
            </w:pPr>
            <w:r w:rsidRPr="00F61064">
              <w:rPr>
                <w:rFonts w:ascii="Calibri" w:eastAsia="Calibri" w:hAnsi="Calibri"/>
                <w:snapToGrid/>
                <w:kern w:val="2"/>
                <w:sz w:val="22"/>
                <w:szCs w:val="22"/>
                <w14:ligatures w14:val="standardContextual"/>
              </w:rPr>
              <w:t>Northern Virginia SWCD</w:t>
            </w:r>
          </w:p>
        </w:tc>
        <w:tc>
          <w:tcPr>
            <w:tcW w:w="4590" w:type="dxa"/>
          </w:tcPr>
          <w:p w14:paraId="766A2615" w14:textId="77777777" w:rsidR="00420BDF" w:rsidRDefault="00420BDF" w:rsidP="00420BDF">
            <w:pPr>
              <w:jc w:val="center"/>
            </w:pPr>
            <w:r w:rsidRPr="00F61064">
              <w:rPr>
                <w:rFonts w:ascii="Calibri" w:eastAsia="Calibri" w:hAnsi="Calibri"/>
                <w:snapToGrid/>
                <w:kern w:val="2"/>
                <w:sz w:val="22"/>
                <w:szCs w:val="22"/>
                <w14:ligatures w14:val="standardContextual"/>
              </w:rPr>
              <w:t>Northern Virginia Trout Unlimited</w:t>
            </w:r>
          </w:p>
        </w:tc>
        <w:tc>
          <w:tcPr>
            <w:tcW w:w="4410" w:type="dxa"/>
          </w:tcPr>
          <w:p w14:paraId="6143E285" w14:textId="77777777" w:rsidR="00420BDF" w:rsidRDefault="00420BDF" w:rsidP="00420BDF">
            <w:pPr>
              <w:jc w:val="center"/>
            </w:pPr>
            <w:r w:rsidRPr="00F61064">
              <w:rPr>
                <w:rFonts w:ascii="Calibri" w:eastAsia="Calibri" w:hAnsi="Calibri"/>
                <w:snapToGrid/>
                <w:kern w:val="2"/>
                <w:sz w:val="22"/>
                <w:szCs w:val="22"/>
                <w14:ligatures w14:val="standardContextual"/>
              </w:rPr>
              <w:t>Oakbrook Stewards of Creation</w:t>
            </w:r>
          </w:p>
        </w:tc>
      </w:tr>
      <w:tr w:rsidR="00420BDF" w14:paraId="4BD79DAE" w14:textId="77777777" w:rsidTr="00243B7F">
        <w:trPr>
          <w:trHeight w:val="288"/>
        </w:trPr>
        <w:tc>
          <w:tcPr>
            <w:tcW w:w="4675" w:type="dxa"/>
          </w:tcPr>
          <w:p w14:paraId="7294B35E" w14:textId="77777777" w:rsidR="00420BDF" w:rsidRDefault="00420BDF" w:rsidP="00420BDF">
            <w:pPr>
              <w:jc w:val="center"/>
            </w:pPr>
            <w:r w:rsidRPr="00F61064">
              <w:rPr>
                <w:rFonts w:ascii="Calibri" w:eastAsia="Calibri" w:hAnsi="Calibri"/>
                <w:snapToGrid/>
                <w:kern w:val="2"/>
                <w:sz w:val="22"/>
                <w:szCs w:val="22"/>
                <w14:ligatures w14:val="standardContextual"/>
              </w:rPr>
              <w:t>Ocean Lakes Monitors</w:t>
            </w:r>
          </w:p>
        </w:tc>
        <w:tc>
          <w:tcPr>
            <w:tcW w:w="4590" w:type="dxa"/>
          </w:tcPr>
          <w:p w14:paraId="4DB207EC" w14:textId="77777777" w:rsidR="00420BDF" w:rsidRDefault="00420BDF" w:rsidP="00420BDF">
            <w:pPr>
              <w:jc w:val="center"/>
            </w:pPr>
            <w:r w:rsidRPr="00F61064">
              <w:rPr>
                <w:rFonts w:ascii="Calibri" w:eastAsia="Calibri" w:hAnsi="Calibri"/>
                <w:snapToGrid/>
                <w:kern w:val="2"/>
                <w:sz w:val="22"/>
                <w:szCs w:val="22"/>
                <w14:ligatures w14:val="standardContextual"/>
              </w:rPr>
              <w:t>Peninsula Chapter Virginia Master Naturalists</w:t>
            </w:r>
          </w:p>
        </w:tc>
        <w:tc>
          <w:tcPr>
            <w:tcW w:w="4410" w:type="dxa"/>
          </w:tcPr>
          <w:p w14:paraId="41E6BC6E" w14:textId="77777777" w:rsidR="00420BDF" w:rsidRDefault="00420BDF" w:rsidP="00420BDF">
            <w:pPr>
              <w:jc w:val="center"/>
            </w:pPr>
            <w:r w:rsidRPr="00F61064">
              <w:rPr>
                <w:rFonts w:ascii="Calibri" w:eastAsia="Calibri" w:hAnsi="Calibri"/>
                <w:snapToGrid/>
                <w:kern w:val="2"/>
                <w:sz w:val="22"/>
                <w:szCs w:val="22"/>
                <w14:ligatures w14:val="standardContextual"/>
              </w:rPr>
              <w:t>Piedmont Environmental Council</w:t>
            </w:r>
          </w:p>
        </w:tc>
      </w:tr>
      <w:tr w:rsidR="00420BDF" w14:paraId="390A9CC4" w14:textId="77777777" w:rsidTr="00243B7F">
        <w:trPr>
          <w:trHeight w:val="288"/>
        </w:trPr>
        <w:tc>
          <w:tcPr>
            <w:tcW w:w="4675" w:type="dxa"/>
          </w:tcPr>
          <w:p w14:paraId="29C8EE42" w14:textId="77777777" w:rsidR="00420BDF" w:rsidRDefault="00420BDF" w:rsidP="00420BDF">
            <w:pPr>
              <w:jc w:val="center"/>
            </w:pPr>
            <w:r w:rsidRPr="00F61064">
              <w:rPr>
                <w:rFonts w:ascii="Calibri" w:eastAsia="Calibri" w:hAnsi="Calibri"/>
                <w:snapToGrid/>
                <w:kern w:val="2"/>
                <w:sz w:val="22"/>
                <w:szCs w:val="22"/>
                <w14:ligatures w14:val="standardContextual"/>
              </w:rPr>
              <w:t>Potomac Riverkeeper</w:t>
            </w:r>
          </w:p>
        </w:tc>
        <w:tc>
          <w:tcPr>
            <w:tcW w:w="4590" w:type="dxa"/>
          </w:tcPr>
          <w:p w14:paraId="1C692FD9" w14:textId="77777777" w:rsidR="00420BDF" w:rsidRDefault="00420BDF" w:rsidP="00420BDF">
            <w:pPr>
              <w:jc w:val="center"/>
            </w:pPr>
            <w:r w:rsidRPr="00F61064">
              <w:rPr>
                <w:rFonts w:ascii="Calibri" w:eastAsia="Calibri" w:hAnsi="Calibri"/>
                <w:snapToGrid/>
                <w:kern w:val="2"/>
                <w:sz w:val="22"/>
                <w:szCs w:val="22"/>
                <w14:ligatures w14:val="standardContextual"/>
              </w:rPr>
              <w:t>Prince William County SWCD</w:t>
            </w:r>
          </w:p>
        </w:tc>
        <w:tc>
          <w:tcPr>
            <w:tcW w:w="4410" w:type="dxa"/>
          </w:tcPr>
          <w:p w14:paraId="0A5D5175" w14:textId="77777777" w:rsidR="00420BDF" w:rsidRDefault="00420BDF" w:rsidP="00420BDF">
            <w:pPr>
              <w:jc w:val="center"/>
            </w:pPr>
            <w:r w:rsidRPr="00F61064">
              <w:rPr>
                <w:rFonts w:ascii="Calibri" w:eastAsia="Calibri" w:hAnsi="Calibri"/>
                <w:snapToGrid/>
                <w:kern w:val="2"/>
                <w:sz w:val="22"/>
                <w:szCs w:val="22"/>
                <w14:ligatures w14:val="standardContextual"/>
              </w:rPr>
              <w:t>Rappahannock Chapter IWLA</w:t>
            </w:r>
          </w:p>
        </w:tc>
      </w:tr>
      <w:tr w:rsidR="00420BDF" w14:paraId="687C1F78" w14:textId="77777777" w:rsidTr="00243B7F">
        <w:trPr>
          <w:trHeight w:val="288"/>
        </w:trPr>
        <w:tc>
          <w:tcPr>
            <w:tcW w:w="4675" w:type="dxa"/>
          </w:tcPr>
          <w:p w14:paraId="672CEBEF" w14:textId="77777777" w:rsidR="00420BDF" w:rsidRDefault="00420BDF" w:rsidP="00420BDF">
            <w:pPr>
              <w:jc w:val="center"/>
            </w:pPr>
            <w:r w:rsidRPr="00F61064">
              <w:rPr>
                <w:rFonts w:ascii="Calibri" w:eastAsia="Calibri" w:hAnsi="Calibri"/>
                <w:snapToGrid/>
                <w:kern w:val="2"/>
                <w:sz w:val="22"/>
                <w:szCs w:val="22"/>
                <w14:ligatures w14:val="standardContextual"/>
              </w:rPr>
              <w:t>Reedy Creek Coalition</w:t>
            </w:r>
          </w:p>
        </w:tc>
        <w:tc>
          <w:tcPr>
            <w:tcW w:w="4590" w:type="dxa"/>
          </w:tcPr>
          <w:p w14:paraId="41641CC5" w14:textId="77777777" w:rsidR="00420BDF" w:rsidRDefault="00420BDF" w:rsidP="00420BDF">
            <w:pPr>
              <w:jc w:val="center"/>
            </w:pPr>
            <w:r w:rsidRPr="00F61064">
              <w:rPr>
                <w:rFonts w:ascii="Calibri" w:eastAsia="Calibri" w:hAnsi="Calibri"/>
                <w:snapToGrid/>
                <w:kern w:val="2"/>
                <w:sz w:val="22"/>
                <w:szCs w:val="22"/>
                <w14:ligatures w14:val="standardContextual"/>
              </w:rPr>
              <w:t>Reston Association</w:t>
            </w:r>
          </w:p>
        </w:tc>
        <w:tc>
          <w:tcPr>
            <w:tcW w:w="4410" w:type="dxa"/>
          </w:tcPr>
          <w:p w14:paraId="38B08F74" w14:textId="77777777" w:rsidR="00420BDF" w:rsidRDefault="00420BDF" w:rsidP="00420BDF">
            <w:pPr>
              <w:jc w:val="center"/>
            </w:pPr>
            <w:r w:rsidRPr="00F61064">
              <w:rPr>
                <w:rFonts w:ascii="Calibri" w:eastAsia="Calibri" w:hAnsi="Calibri"/>
                <w:snapToGrid/>
                <w:kern w:val="2"/>
                <w:sz w:val="22"/>
                <w:szCs w:val="22"/>
                <w14:ligatures w14:val="standardContextual"/>
              </w:rPr>
              <w:t>Rivanna Conservation Alliance</w:t>
            </w:r>
          </w:p>
        </w:tc>
      </w:tr>
      <w:tr w:rsidR="00420BDF" w14:paraId="6D7540F9" w14:textId="77777777" w:rsidTr="00243B7F">
        <w:trPr>
          <w:trHeight w:val="288"/>
        </w:trPr>
        <w:tc>
          <w:tcPr>
            <w:tcW w:w="4675" w:type="dxa"/>
          </w:tcPr>
          <w:p w14:paraId="7CD01F9F" w14:textId="77777777" w:rsidR="00420BDF" w:rsidRDefault="00420BDF" w:rsidP="00420BDF">
            <w:pPr>
              <w:jc w:val="center"/>
            </w:pPr>
            <w:r w:rsidRPr="00F61064">
              <w:rPr>
                <w:rFonts w:ascii="Calibri" w:eastAsia="Calibri" w:hAnsi="Calibri"/>
                <w:snapToGrid/>
                <w:kern w:val="2"/>
                <w:sz w:val="22"/>
                <w:szCs w:val="22"/>
                <w14:ligatures w14:val="standardContextual"/>
              </w:rPr>
              <w:t>Riverdance Team</w:t>
            </w:r>
          </w:p>
        </w:tc>
        <w:tc>
          <w:tcPr>
            <w:tcW w:w="4590" w:type="dxa"/>
          </w:tcPr>
          <w:p w14:paraId="575A1F94" w14:textId="77777777" w:rsidR="00420BDF" w:rsidRDefault="00420BDF" w:rsidP="00420BDF">
            <w:pPr>
              <w:jc w:val="center"/>
            </w:pPr>
            <w:r w:rsidRPr="00F61064">
              <w:rPr>
                <w:rFonts w:ascii="Calibri" w:eastAsia="Calibri" w:hAnsi="Calibri"/>
                <w:snapToGrid/>
                <w:kern w:val="2"/>
                <w:sz w:val="22"/>
                <w:szCs w:val="22"/>
                <w14:ligatures w14:val="standardContextual"/>
              </w:rPr>
              <w:t>Riverine Master Naturalists</w:t>
            </w:r>
          </w:p>
        </w:tc>
        <w:tc>
          <w:tcPr>
            <w:tcW w:w="4410" w:type="dxa"/>
          </w:tcPr>
          <w:p w14:paraId="377A64AE" w14:textId="77777777" w:rsidR="00420BDF" w:rsidRDefault="00420BDF" w:rsidP="00420BDF">
            <w:pPr>
              <w:jc w:val="center"/>
            </w:pPr>
            <w:r w:rsidRPr="00F61064">
              <w:rPr>
                <w:rFonts w:ascii="Calibri" w:eastAsia="Calibri" w:hAnsi="Calibri"/>
                <w:snapToGrid/>
                <w:kern w:val="2"/>
                <w:sz w:val="22"/>
                <w:szCs w:val="22"/>
                <w14:ligatures w14:val="standardContextual"/>
              </w:rPr>
              <w:t>Roanoke River Project</w:t>
            </w:r>
          </w:p>
        </w:tc>
      </w:tr>
      <w:tr w:rsidR="00420BDF" w14:paraId="720037D4" w14:textId="77777777" w:rsidTr="00243B7F">
        <w:trPr>
          <w:trHeight w:val="288"/>
        </w:trPr>
        <w:tc>
          <w:tcPr>
            <w:tcW w:w="4675" w:type="dxa"/>
          </w:tcPr>
          <w:p w14:paraId="464A8186" w14:textId="77777777" w:rsidR="00420BDF" w:rsidRDefault="00420BDF" w:rsidP="00420BDF">
            <w:pPr>
              <w:jc w:val="center"/>
            </w:pPr>
            <w:r w:rsidRPr="00F61064">
              <w:rPr>
                <w:rFonts w:ascii="Calibri" w:eastAsia="Calibri" w:hAnsi="Calibri"/>
                <w:snapToGrid/>
                <w:kern w:val="2"/>
                <w:sz w:val="22"/>
                <w:szCs w:val="22"/>
                <w14:ligatures w14:val="standardContextual"/>
              </w:rPr>
              <w:t>Rockbridge Water Monitors</w:t>
            </w:r>
          </w:p>
        </w:tc>
        <w:tc>
          <w:tcPr>
            <w:tcW w:w="4590" w:type="dxa"/>
          </w:tcPr>
          <w:p w14:paraId="3357CF44" w14:textId="77777777" w:rsidR="00420BDF" w:rsidRDefault="00420BDF" w:rsidP="00420BDF">
            <w:pPr>
              <w:jc w:val="center"/>
            </w:pPr>
            <w:r w:rsidRPr="00F61064">
              <w:rPr>
                <w:rFonts w:ascii="Calibri" w:eastAsia="Calibri" w:hAnsi="Calibri"/>
                <w:snapToGrid/>
                <w:kern w:val="2"/>
                <w:sz w:val="22"/>
                <w:szCs w:val="22"/>
                <w14:ligatures w14:val="standardContextual"/>
              </w:rPr>
              <w:t>Shenandoah University</w:t>
            </w:r>
          </w:p>
        </w:tc>
        <w:tc>
          <w:tcPr>
            <w:tcW w:w="4410" w:type="dxa"/>
          </w:tcPr>
          <w:p w14:paraId="4AB73886" w14:textId="77777777" w:rsidR="00420BDF" w:rsidRDefault="00420BDF" w:rsidP="00420BDF">
            <w:pPr>
              <w:jc w:val="center"/>
            </w:pPr>
            <w:r w:rsidRPr="00F61064">
              <w:rPr>
                <w:rFonts w:ascii="Calibri" w:eastAsia="Calibri" w:hAnsi="Calibri"/>
                <w:snapToGrid/>
                <w:kern w:val="2"/>
                <w:sz w:val="22"/>
                <w:szCs w:val="22"/>
                <w14:ligatures w14:val="standardContextual"/>
              </w:rPr>
              <w:t>Smith Mountain Lake Association</w:t>
            </w:r>
          </w:p>
        </w:tc>
      </w:tr>
      <w:tr w:rsidR="00420BDF" w14:paraId="237553BD" w14:textId="77777777" w:rsidTr="00243B7F">
        <w:trPr>
          <w:trHeight w:val="288"/>
        </w:trPr>
        <w:tc>
          <w:tcPr>
            <w:tcW w:w="4675" w:type="dxa"/>
          </w:tcPr>
          <w:p w14:paraId="0D6AC757" w14:textId="77777777" w:rsidR="00420BDF" w:rsidRDefault="00420BDF" w:rsidP="00420BDF">
            <w:pPr>
              <w:jc w:val="center"/>
            </w:pPr>
            <w:proofErr w:type="spellStart"/>
            <w:r w:rsidRPr="00F61064">
              <w:rPr>
                <w:rFonts w:ascii="Calibri" w:eastAsia="Calibri" w:hAnsi="Calibri"/>
                <w:snapToGrid/>
                <w:kern w:val="2"/>
                <w:sz w:val="22"/>
                <w:szCs w:val="22"/>
                <w14:ligatures w14:val="standardContextual"/>
              </w:rPr>
              <w:t>SurfRider</w:t>
            </w:r>
            <w:proofErr w:type="spellEnd"/>
            <w:r w:rsidRPr="00F61064">
              <w:rPr>
                <w:rFonts w:ascii="Calibri" w:eastAsia="Calibri" w:hAnsi="Calibri"/>
                <w:snapToGrid/>
                <w:kern w:val="2"/>
                <w:sz w:val="22"/>
                <w:szCs w:val="22"/>
                <w14:ligatures w14:val="standardContextual"/>
              </w:rPr>
              <w:t xml:space="preserve"> Foundation</w:t>
            </w:r>
          </w:p>
        </w:tc>
        <w:tc>
          <w:tcPr>
            <w:tcW w:w="4590" w:type="dxa"/>
          </w:tcPr>
          <w:p w14:paraId="546E09E1" w14:textId="77777777" w:rsidR="00420BDF" w:rsidRDefault="00420BDF" w:rsidP="00420BDF">
            <w:pPr>
              <w:jc w:val="center"/>
            </w:pPr>
            <w:r w:rsidRPr="00F61064">
              <w:rPr>
                <w:rFonts w:ascii="Calibri" w:eastAsia="Calibri" w:hAnsi="Calibri"/>
                <w:snapToGrid/>
                <w:kern w:val="2"/>
                <w:sz w:val="22"/>
                <w:szCs w:val="22"/>
                <w14:ligatures w14:val="standardContextual"/>
              </w:rPr>
              <w:t>The Conservation Fund Freshwater Institute</w:t>
            </w:r>
          </w:p>
        </w:tc>
        <w:tc>
          <w:tcPr>
            <w:tcW w:w="4410" w:type="dxa"/>
          </w:tcPr>
          <w:p w14:paraId="1C7DDC33" w14:textId="77777777" w:rsidR="00420BDF" w:rsidRDefault="00420BDF" w:rsidP="00420BDF">
            <w:pPr>
              <w:jc w:val="center"/>
            </w:pPr>
            <w:r w:rsidRPr="00F61064">
              <w:rPr>
                <w:rFonts w:ascii="Calibri" w:eastAsia="Calibri" w:hAnsi="Calibri"/>
                <w:snapToGrid/>
                <w:kern w:val="2"/>
                <w:sz w:val="22"/>
                <w:szCs w:val="22"/>
                <w14:ligatures w14:val="standardContextual"/>
              </w:rPr>
              <w:t>Timberlake Homeowners Association</w:t>
            </w:r>
          </w:p>
        </w:tc>
      </w:tr>
      <w:tr w:rsidR="00420BDF" w14:paraId="49FDE627" w14:textId="77777777" w:rsidTr="009705D4">
        <w:trPr>
          <w:trHeight w:val="288"/>
        </w:trPr>
        <w:tc>
          <w:tcPr>
            <w:tcW w:w="4675" w:type="dxa"/>
          </w:tcPr>
          <w:p w14:paraId="671A50E0" w14:textId="77777777" w:rsidR="00420BDF" w:rsidRDefault="00420BDF" w:rsidP="00420BDF">
            <w:pPr>
              <w:jc w:val="center"/>
            </w:pPr>
            <w:proofErr w:type="spellStart"/>
            <w:r w:rsidRPr="00F61064">
              <w:rPr>
                <w:rFonts w:ascii="Calibri" w:eastAsia="Calibri" w:hAnsi="Calibri"/>
                <w:snapToGrid/>
                <w:kern w:val="2"/>
                <w:sz w:val="22"/>
                <w:szCs w:val="22"/>
                <w14:ligatures w14:val="standardContextual"/>
              </w:rPr>
              <w:t>Trantwood</w:t>
            </w:r>
            <w:proofErr w:type="spellEnd"/>
            <w:r w:rsidRPr="00F61064">
              <w:rPr>
                <w:rFonts w:ascii="Calibri" w:eastAsia="Calibri" w:hAnsi="Calibri"/>
                <w:snapToGrid/>
                <w:kern w:val="2"/>
                <w:sz w:val="22"/>
                <w:szCs w:val="22"/>
                <w14:ligatures w14:val="standardContextual"/>
              </w:rPr>
              <w:t xml:space="preserve"> Lake Corporation</w:t>
            </w:r>
          </w:p>
        </w:tc>
        <w:tc>
          <w:tcPr>
            <w:tcW w:w="4590" w:type="dxa"/>
          </w:tcPr>
          <w:p w14:paraId="779D8BB2" w14:textId="77777777" w:rsidR="00420BDF" w:rsidRDefault="00420BDF" w:rsidP="00420BDF">
            <w:pPr>
              <w:jc w:val="center"/>
            </w:pPr>
            <w:r w:rsidRPr="00F61064">
              <w:rPr>
                <w:rFonts w:ascii="Calibri" w:eastAsia="Calibri" w:hAnsi="Calibri"/>
                <w:snapToGrid/>
                <w:kern w:val="2"/>
                <w:sz w:val="22"/>
                <w:szCs w:val="22"/>
                <w14:ligatures w14:val="standardContextual"/>
              </w:rPr>
              <w:t>UVA Trout Sensitivity Study</w:t>
            </w:r>
          </w:p>
        </w:tc>
        <w:tc>
          <w:tcPr>
            <w:tcW w:w="4410" w:type="dxa"/>
          </w:tcPr>
          <w:p w14:paraId="72052233" w14:textId="77777777" w:rsidR="00420BDF" w:rsidRDefault="00420BDF" w:rsidP="00420BDF">
            <w:pPr>
              <w:jc w:val="center"/>
            </w:pPr>
            <w:r w:rsidRPr="00F61064">
              <w:rPr>
                <w:rFonts w:ascii="Calibri" w:eastAsia="Calibri" w:hAnsi="Calibri"/>
                <w:snapToGrid/>
                <w:kern w:val="2"/>
                <w:sz w:val="22"/>
                <w:szCs w:val="22"/>
                <w14:ligatures w14:val="standardContextual"/>
              </w:rPr>
              <w:t>Virginia Aquarium and Marine Science Center</w:t>
            </w:r>
          </w:p>
        </w:tc>
      </w:tr>
      <w:tr w:rsidR="00420BDF" w14:paraId="7C46E189" w14:textId="77777777" w:rsidTr="009705D4">
        <w:trPr>
          <w:trHeight w:val="288"/>
        </w:trPr>
        <w:tc>
          <w:tcPr>
            <w:tcW w:w="4675" w:type="dxa"/>
            <w:tcBorders>
              <w:bottom w:val="single" w:sz="12" w:space="0" w:color="auto"/>
            </w:tcBorders>
          </w:tcPr>
          <w:p w14:paraId="2C73481A" w14:textId="77777777" w:rsidR="00420BDF" w:rsidRDefault="00420BDF" w:rsidP="00420BDF">
            <w:pPr>
              <w:jc w:val="center"/>
            </w:pPr>
            <w:r w:rsidRPr="00F61064">
              <w:rPr>
                <w:rFonts w:ascii="Calibri" w:eastAsia="Calibri" w:hAnsi="Calibri"/>
                <w:snapToGrid/>
                <w:kern w:val="2"/>
                <w:sz w:val="22"/>
                <w:szCs w:val="22"/>
                <w14:ligatures w14:val="standardContextual"/>
              </w:rPr>
              <w:t>Virginia Save Our Streams (IWLA)</w:t>
            </w:r>
          </w:p>
        </w:tc>
        <w:tc>
          <w:tcPr>
            <w:tcW w:w="4590" w:type="dxa"/>
            <w:tcBorders>
              <w:bottom w:val="single" w:sz="12" w:space="0" w:color="auto"/>
            </w:tcBorders>
          </w:tcPr>
          <w:p w14:paraId="5DA1D06E" w14:textId="77777777" w:rsidR="00420BDF" w:rsidRDefault="00420BDF" w:rsidP="00420BDF">
            <w:pPr>
              <w:jc w:val="center"/>
            </w:pPr>
            <w:r w:rsidRPr="00F61064">
              <w:rPr>
                <w:rFonts w:ascii="Calibri" w:eastAsia="Calibri" w:hAnsi="Calibri"/>
                <w:snapToGrid/>
                <w:kern w:val="2"/>
                <w:sz w:val="22"/>
                <w:szCs w:val="22"/>
                <w14:ligatures w14:val="standardContextual"/>
              </w:rPr>
              <w:t>Virginia State University</w:t>
            </w:r>
          </w:p>
        </w:tc>
        <w:tc>
          <w:tcPr>
            <w:tcW w:w="4410" w:type="dxa"/>
            <w:tcBorders>
              <w:bottom w:val="single" w:sz="12" w:space="0" w:color="auto"/>
            </w:tcBorders>
          </w:tcPr>
          <w:p w14:paraId="23C5F4A3" w14:textId="77777777" w:rsidR="00420BDF" w:rsidRDefault="00420BDF" w:rsidP="00420BDF">
            <w:pPr>
              <w:jc w:val="center"/>
            </w:pPr>
            <w:r w:rsidRPr="00F61064">
              <w:rPr>
                <w:rFonts w:ascii="Calibri" w:eastAsia="Calibri" w:hAnsi="Calibri"/>
                <w:snapToGrid/>
                <w:kern w:val="2"/>
                <w:sz w:val="22"/>
                <w:szCs w:val="22"/>
                <w14:ligatures w14:val="standardContextual"/>
              </w:rPr>
              <w:t>Virginia Tech 2021 Conservation Biology Class</w:t>
            </w:r>
          </w:p>
        </w:tc>
      </w:tr>
    </w:tbl>
    <w:p w14:paraId="65A7C483" w14:textId="77777777" w:rsidR="00420BDF" w:rsidRPr="00F872DD" w:rsidRDefault="00420BDF" w:rsidP="001B0E50">
      <w:pPr>
        <w:widowControl/>
        <w:tabs>
          <w:tab w:val="left" w:pos="285"/>
        </w:tabs>
        <w:rPr>
          <w:rFonts w:cstheme="minorHAnsi"/>
          <w:snapToGrid/>
          <w:color w:val="000000"/>
          <w:szCs w:val="24"/>
        </w:rPr>
        <w:sectPr w:rsidR="00420BDF" w:rsidRPr="00F872DD" w:rsidSect="009079C4">
          <w:headerReference w:type="default" r:id="rId132"/>
          <w:pgSz w:w="15840" w:h="12240" w:orient="landscape"/>
          <w:pgMar w:top="1440" w:right="1440" w:bottom="1440" w:left="720" w:header="864" w:footer="720" w:gutter="0"/>
          <w:cols w:space="720"/>
          <w:docGrid w:linePitch="360"/>
        </w:sectPr>
      </w:pPr>
    </w:p>
    <w:p w14:paraId="702AD2CB" w14:textId="2B2AD09B" w:rsidR="001B0E50" w:rsidRPr="00C55956" w:rsidRDefault="001B0E50" w:rsidP="00C55956">
      <w:pPr>
        <w:pStyle w:val="Heading3"/>
      </w:pPr>
      <w:r w:rsidRPr="00C55956">
        <w:lastRenderedPageBreak/>
        <w:t>Outside Agency Monitoring</w:t>
      </w:r>
    </w:p>
    <w:p w14:paraId="35E5A398" w14:textId="48A8045F" w:rsidR="001B0E50" w:rsidRPr="000234AF" w:rsidRDefault="001B0E50" w:rsidP="001B0E50">
      <w:pPr>
        <w:widowControl/>
        <w:rPr>
          <w:rFonts w:cstheme="minorHAnsi"/>
          <w:snapToGrid/>
          <w:color w:val="000000"/>
          <w:szCs w:val="24"/>
        </w:rPr>
      </w:pPr>
      <w:r w:rsidRPr="000234AF">
        <w:rPr>
          <w:rFonts w:cstheme="minorHAnsi"/>
          <w:snapToGrid/>
          <w:color w:val="000000"/>
          <w:szCs w:val="24"/>
        </w:rPr>
        <w:t xml:space="preserve">By broadening the scope of data solicitation beyond citizen monitoring, DEQ is receiving water quality data from an expanding pool of government, private industry, and other non-citizen, professional organizations (referred to here as outside agencies). The guidelines for accepting these </w:t>
      </w:r>
      <w:proofErr w:type="gramStart"/>
      <w:r w:rsidRPr="000234AF">
        <w:rPr>
          <w:rFonts w:cstheme="minorHAnsi"/>
          <w:snapToGrid/>
          <w:color w:val="000000"/>
          <w:szCs w:val="24"/>
        </w:rPr>
        <w:t>datasets</w:t>
      </w:r>
      <w:proofErr w:type="gramEnd"/>
      <w:r w:rsidRPr="000234AF">
        <w:rPr>
          <w:rFonts w:cstheme="minorHAnsi"/>
          <w:snapToGrid/>
          <w:color w:val="000000"/>
          <w:szCs w:val="24"/>
        </w:rPr>
        <w:t xml:space="preserve"> are the same as with citizen monitoring data. Each organization must show documented sample collection and testing protocols and pass routine inspections and laboratory audits by the agency. Depending on the sampling methods and test procedures, the data can either be used directly for assessment or provide locations to establish future DEQ sampling sites.</w:t>
      </w:r>
    </w:p>
    <w:p w14:paraId="45C1BCC9" w14:textId="77777777" w:rsidR="001B0E50" w:rsidRPr="000234AF" w:rsidRDefault="001B0E50" w:rsidP="001B0E50">
      <w:pPr>
        <w:widowControl/>
        <w:rPr>
          <w:rFonts w:cstheme="minorHAnsi"/>
          <w:snapToGrid/>
          <w:color w:val="000000"/>
          <w:szCs w:val="24"/>
        </w:rPr>
      </w:pPr>
    </w:p>
    <w:p w14:paraId="34743832" w14:textId="2CB21B03" w:rsidR="001B0E50" w:rsidRPr="000234AF" w:rsidRDefault="001B0E50" w:rsidP="001B0E50">
      <w:pPr>
        <w:widowControl/>
        <w:rPr>
          <w:rFonts w:cstheme="minorHAnsi"/>
          <w:snapToGrid/>
          <w:color w:val="000000"/>
          <w:szCs w:val="24"/>
        </w:rPr>
      </w:pPr>
      <w:r w:rsidRPr="000234AF">
        <w:rPr>
          <w:rFonts w:cstheme="minorHAnsi"/>
          <w:snapToGrid/>
          <w:color w:val="000000"/>
          <w:szCs w:val="24"/>
        </w:rPr>
        <w:t xml:space="preserve">Prior to the 2004 assessment report, DEQ received </w:t>
      </w:r>
      <w:r w:rsidR="005434AA">
        <w:rPr>
          <w:rFonts w:cstheme="minorHAnsi"/>
          <w:snapToGrid/>
          <w:color w:val="000000"/>
          <w:szCs w:val="24"/>
        </w:rPr>
        <w:t xml:space="preserve">and assessed </w:t>
      </w:r>
      <w:r w:rsidRPr="000234AF">
        <w:rPr>
          <w:rFonts w:cstheme="minorHAnsi"/>
          <w:snapToGrid/>
          <w:color w:val="000000"/>
          <w:szCs w:val="24"/>
        </w:rPr>
        <w:t>water quality monitoring data from the USGS. The data collected by the USGS follows strict adherence to EPA sampling methods and analytical procedures that are fully approved by DEQ.</w:t>
      </w:r>
      <w:r w:rsidR="00C0335E">
        <w:rPr>
          <w:rFonts w:cstheme="minorHAnsi"/>
          <w:snapToGrid/>
          <w:color w:val="000000"/>
          <w:szCs w:val="24"/>
        </w:rPr>
        <w:t xml:space="preserve"> </w:t>
      </w:r>
      <w:r w:rsidRPr="000234AF">
        <w:rPr>
          <w:rFonts w:cstheme="minorHAnsi"/>
          <w:snapToGrid/>
          <w:color w:val="000000"/>
          <w:szCs w:val="24"/>
        </w:rPr>
        <w:t>A total of 1</w:t>
      </w:r>
      <w:r>
        <w:rPr>
          <w:rFonts w:cstheme="minorHAnsi"/>
          <w:snapToGrid/>
          <w:color w:val="000000"/>
          <w:szCs w:val="24"/>
        </w:rPr>
        <w:t>3</w:t>
      </w:r>
      <w:r w:rsidR="00255B9C">
        <w:rPr>
          <w:rFonts w:cstheme="minorHAnsi"/>
          <w:snapToGrid/>
          <w:color w:val="000000"/>
          <w:szCs w:val="24"/>
        </w:rPr>
        <w:t xml:space="preserve"> </w:t>
      </w:r>
      <w:r w:rsidRPr="000234AF">
        <w:rPr>
          <w:rFonts w:cstheme="minorHAnsi"/>
          <w:snapToGrid/>
          <w:color w:val="000000"/>
          <w:szCs w:val="24"/>
        </w:rPr>
        <w:t xml:space="preserve">federal, state, and </w:t>
      </w:r>
      <w:r w:rsidR="00C55956" w:rsidRPr="000234AF">
        <w:rPr>
          <w:rFonts w:cstheme="minorHAnsi"/>
          <w:snapToGrid/>
          <w:color w:val="000000"/>
          <w:szCs w:val="24"/>
        </w:rPr>
        <w:t xml:space="preserve">local </w:t>
      </w:r>
      <w:r w:rsidR="00C55956" w:rsidRPr="002B02A1">
        <w:rPr>
          <w:rFonts w:cstheme="minorHAnsi"/>
          <w:snapToGrid/>
          <w:color w:val="000000"/>
          <w:szCs w:val="24"/>
        </w:rPr>
        <w:t>agencies</w:t>
      </w:r>
      <w:r w:rsidRPr="000234AF">
        <w:rPr>
          <w:rFonts w:cstheme="minorHAnsi"/>
          <w:snapToGrid/>
          <w:color w:val="000000"/>
          <w:szCs w:val="24"/>
        </w:rPr>
        <w:t xml:space="preserve"> submitted data for the 202</w:t>
      </w:r>
      <w:r>
        <w:rPr>
          <w:rFonts w:cstheme="minorHAnsi"/>
          <w:snapToGrid/>
          <w:color w:val="000000"/>
          <w:szCs w:val="24"/>
        </w:rPr>
        <w:t>4</w:t>
      </w:r>
      <w:r w:rsidRPr="000234AF">
        <w:rPr>
          <w:rFonts w:cstheme="minorHAnsi"/>
          <w:snapToGrid/>
          <w:color w:val="000000"/>
          <w:szCs w:val="24"/>
        </w:rPr>
        <w:t xml:space="preserve"> report (Table 3.</w:t>
      </w:r>
      <w:r w:rsidR="00AE3A03">
        <w:rPr>
          <w:rFonts w:cstheme="minorHAnsi"/>
          <w:snapToGrid/>
          <w:color w:val="000000"/>
          <w:szCs w:val="24"/>
        </w:rPr>
        <w:t>4</w:t>
      </w:r>
      <w:r w:rsidRPr="000234AF">
        <w:rPr>
          <w:rFonts w:cstheme="minorHAnsi"/>
          <w:snapToGrid/>
          <w:color w:val="000000"/>
          <w:szCs w:val="24"/>
        </w:rPr>
        <w:t xml:space="preserve">-4). </w:t>
      </w:r>
    </w:p>
    <w:p w14:paraId="699CB373" w14:textId="77777777" w:rsidR="001B0E50" w:rsidRPr="000234AF" w:rsidRDefault="001B0E50" w:rsidP="001B0E50">
      <w:pPr>
        <w:widowControl/>
        <w:rPr>
          <w:rFonts w:cstheme="minorHAnsi"/>
          <w:snapToGrid/>
          <w:color w:val="000000"/>
          <w:szCs w:val="24"/>
        </w:rPr>
      </w:pPr>
    </w:p>
    <w:p w14:paraId="2B1A1EBA" w14:textId="4DFF031D" w:rsidR="001B0E50" w:rsidRDefault="001B0E50" w:rsidP="001B0E50">
      <w:pPr>
        <w:widowControl/>
        <w:rPr>
          <w:rFonts w:cstheme="minorHAnsi"/>
          <w:snapToGrid/>
          <w:color w:val="000000"/>
          <w:szCs w:val="24"/>
        </w:rPr>
      </w:pPr>
      <w:r w:rsidRPr="000234AF">
        <w:rPr>
          <w:rFonts w:cstheme="minorHAnsi"/>
          <w:snapToGrid/>
          <w:color w:val="000000"/>
          <w:szCs w:val="24"/>
        </w:rPr>
        <w:t>For the 202</w:t>
      </w:r>
      <w:r>
        <w:rPr>
          <w:rFonts w:cstheme="minorHAnsi"/>
          <w:snapToGrid/>
          <w:color w:val="000000"/>
          <w:szCs w:val="24"/>
        </w:rPr>
        <w:t>4</w:t>
      </w:r>
      <w:r w:rsidRPr="000234AF">
        <w:rPr>
          <w:rFonts w:cstheme="minorHAnsi"/>
          <w:snapToGrid/>
          <w:color w:val="000000"/>
          <w:szCs w:val="24"/>
        </w:rPr>
        <w:t xml:space="preserve"> assessment report (data from years </w:t>
      </w:r>
      <w:r w:rsidRPr="00774EED">
        <w:rPr>
          <w:rFonts w:cstheme="minorHAnsi"/>
          <w:snapToGrid/>
          <w:color w:val="000000"/>
          <w:szCs w:val="24"/>
        </w:rPr>
        <w:t xml:space="preserve">2017-2024), DEQ received data representing 351 monitoring sites and 6,625 sampling events collected by outside agencies. Data from these sampling events were used to assess </w:t>
      </w:r>
      <w:r w:rsidR="009E5D5E">
        <w:rPr>
          <w:rFonts w:cstheme="minorHAnsi"/>
          <w:snapToGrid/>
          <w:color w:val="000000"/>
          <w:szCs w:val="24"/>
        </w:rPr>
        <w:t>268</w:t>
      </w:r>
      <w:r w:rsidRPr="00774EED">
        <w:rPr>
          <w:rFonts w:cstheme="minorHAnsi"/>
          <w:snapToGrid/>
          <w:color w:val="000000"/>
          <w:szCs w:val="24"/>
        </w:rPr>
        <w:t xml:space="preserve"> miles of non-tidal freshwater streams, </w:t>
      </w:r>
      <w:r w:rsidR="009E5D5E">
        <w:rPr>
          <w:rFonts w:cstheme="minorHAnsi"/>
          <w:snapToGrid/>
          <w:color w:val="000000"/>
          <w:szCs w:val="24"/>
        </w:rPr>
        <w:t>3</w:t>
      </w:r>
      <w:r w:rsidRPr="00774EED">
        <w:rPr>
          <w:rFonts w:cstheme="minorHAnsi"/>
          <w:snapToGrid/>
          <w:color w:val="000000"/>
          <w:szCs w:val="24"/>
        </w:rPr>
        <w:t xml:space="preserve"> square miles of tidal estuaries, and </w:t>
      </w:r>
      <w:r w:rsidR="00375E87">
        <w:rPr>
          <w:rFonts w:cstheme="minorHAnsi"/>
          <w:snapToGrid/>
          <w:color w:val="000000"/>
          <w:szCs w:val="24"/>
        </w:rPr>
        <w:t>597</w:t>
      </w:r>
      <w:r w:rsidRPr="00774EED">
        <w:rPr>
          <w:rFonts w:cstheme="minorHAnsi"/>
          <w:snapToGrid/>
          <w:color w:val="000000"/>
          <w:szCs w:val="24"/>
        </w:rPr>
        <w:t>acres of lakes (</w:t>
      </w:r>
      <w:r w:rsidRPr="000234AF">
        <w:rPr>
          <w:rFonts w:cstheme="minorHAnsi"/>
          <w:snapToGrid/>
          <w:color w:val="000000"/>
          <w:szCs w:val="24"/>
        </w:rPr>
        <w:t>Table 3.</w:t>
      </w:r>
      <w:r w:rsidR="00173D6E">
        <w:rPr>
          <w:rFonts w:cstheme="minorHAnsi"/>
          <w:snapToGrid/>
          <w:color w:val="000000"/>
          <w:szCs w:val="24"/>
        </w:rPr>
        <w:t>4</w:t>
      </w:r>
      <w:r w:rsidRPr="000234AF">
        <w:rPr>
          <w:rFonts w:cstheme="minorHAnsi"/>
          <w:snapToGrid/>
          <w:color w:val="000000"/>
          <w:szCs w:val="24"/>
        </w:rPr>
        <w:t>-2).</w:t>
      </w:r>
    </w:p>
    <w:p w14:paraId="2AF02554" w14:textId="77777777" w:rsidR="00ED2F36" w:rsidRDefault="00ED2F36" w:rsidP="001B0E50">
      <w:pPr>
        <w:widowControl/>
        <w:rPr>
          <w:rFonts w:cstheme="minorHAnsi"/>
          <w:snapToGrid/>
          <w:color w:val="000000"/>
          <w:szCs w:val="24"/>
        </w:rPr>
      </w:pPr>
    </w:p>
    <w:p w14:paraId="59D4E2B4" w14:textId="02A9198F" w:rsidR="000653DD" w:rsidRPr="00D237D4" w:rsidRDefault="00ED2F36" w:rsidP="000653DD">
      <w:pPr>
        <w:pStyle w:val="Caption"/>
        <w:keepNext/>
      </w:pPr>
      <w:bookmarkStart w:id="69" w:name="_Toc164175155"/>
      <w:r>
        <w:t xml:space="preserve">Table </w:t>
      </w:r>
      <w:r w:rsidR="004F13BA">
        <w:fldChar w:fldCharType="begin"/>
      </w:r>
      <w:r w:rsidR="004F13BA">
        <w:instrText xml:space="preserve"> STYLEREF 2 \s </w:instrText>
      </w:r>
      <w:r w:rsidR="004F13BA">
        <w:fldChar w:fldCharType="separate"/>
      </w:r>
      <w:r w:rsidR="00CD06AE">
        <w:rPr>
          <w:noProof/>
        </w:rPr>
        <w:t>3.4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4</w:t>
      </w:r>
      <w:r w:rsidR="004F13BA">
        <w:rPr>
          <w:noProof/>
        </w:rPr>
        <w:fldChar w:fldCharType="end"/>
      </w:r>
      <w:r>
        <w:t xml:space="preserve">. </w:t>
      </w:r>
      <w:r w:rsidRPr="0A5BE548">
        <w:rPr>
          <w:rFonts w:cstheme="minorBidi"/>
          <w:snapToGrid/>
          <w:color w:val="000000"/>
        </w:rPr>
        <w:t>Outside agency organizations that submitted data for the 2024 report cycle</w:t>
      </w:r>
      <w:bookmarkEnd w:id="69"/>
      <w:r w:rsidRPr="0A5BE548">
        <w:rPr>
          <w:rFonts w:cstheme="minorBidi"/>
          <w:snapToGrid/>
          <w:color w:val="000000"/>
        </w:rPr>
        <w:t xml:space="preserve"> (2017-2022). NPS: National Parks Service.</w:t>
      </w:r>
    </w:p>
    <w:tbl>
      <w:tblPr>
        <w:tblStyle w:val="TableGrid"/>
        <w:tblW w:w="1098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Outside agency organizations that submitted data for the 2024 report cycle (2017-2022). NPS: National Parks Service."/>
        <w:tblDescription w:val="Outside agency organizations that submitted data for the 2024 report cycle (2017-2022). NPS: National Parks Service."/>
      </w:tblPr>
      <w:tblGrid>
        <w:gridCol w:w="5760"/>
        <w:gridCol w:w="5220"/>
      </w:tblGrid>
      <w:tr w:rsidR="00ED2F36" w14:paraId="24C35E07" w14:textId="77777777" w:rsidTr="007A3A0C">
        <w:trPr>
          <w:trHeight w:val="288"/>
        </w:trPr>
        <w:tc>
          <w:tcPr>
            <w:tcW w:w="5760" w:type="dxa"/>
            <w:tcBorders>
              <w:top w:val="single" w:sz="12" w:space="0" w:color="auto"/>
            </w:tcBorders>
          </w:tcPr>
          <w:p w14:paraId="5709EF67" w14:textId="77777777" w:rsidR="00ED2F36" w:rsidRDefault="00ED2F36">
            <w:pPr>
              <w:jc w:val="center"/>
            </w:pPr>
            <w:r w:rsidRPr="00996AC9">
              <w:rPr>
                <w:rFonts w:ascii="Calibri" w:eastAsia="Calibri" w:hAnsi="Calibri"/>
                <w:snapToGrid/>
                <w:kern w:val="2"/>
                <w:sz w:val="22"/>
                <w:szCs w:val="22"/>
                <w14:ligatures w14:val="standardContextual"/>
              </w:rPr>
              <w:t>Caledon State Park</w:t>
            </w:r>
          </w:p>
        </w:tc>
        <w:tc>
          <w:tcPr>
            <w:tcW w:w="5220" w:type="dxa"/>
            <w:tcBorders>
              <w:top w:val="single" w:sz="12" w:space="0" w:color="auto"/>
            </w:tcBorders>
          </w:tcPr>
          <w:p w14:paraId="33321E5B" w14:textId="77777777" w:rsidR="00ED2F36" w:rsidRDefault="00ED2F36">
            <w:pPr>
              <w:jc w:val="center"/>
            </w:pPr>
            <w:r w:rsidRPr="00996AC9">
              <w:rPr>
                <w:rFonts w:ascii="Calibri" w:eastAsia="Calibri" w:hAnsi="Calibri"/>
                <w:snapToGrid/>
                <w:kern w:val="2"/>
                <w:sz w:val="22"/>
                <w:szCs w:val="22"/>
                <w14:ligatures w14:val="standardContextual"/>
              </w:rPr>
              <w:t>City of Suffolk</w:t>
            </w:r>
          </w:p>
        </w:tc>
      </w:tr>
      <w:tr w:rsidR="00ED2F36" w14:paraId="28737CEA" w14:textId="77777777" w:rsidTr="0029393D">
        <w:trPr>
          <w:trHeight w:val="288"/>
        </w:trPr>
        <w:tc>
          <w:tcPr>
            <w:tcW w:w="5760" w:type="dxa"/>
          </w:tcPr>
          <w:p w14:paraId="75FB0BA1" w14:textId="77777777" w:rsidR="00ED2F36" w:rsidRDefault="00ED2F36">
            <w:pPr>
              <w:jc w:val="center"/>
            </w:pPr>
            <w:r w:rsidRPr="00996AC9">
              <w:rPr>
                <w:rFonts w:ascii="Calibri" w:eastAsia="Calibri" w:hAnsi="Calibri"/>
                <w:snapToGrid/>
                <w:kern w:val="2"/>
                <w:sz w:val="22"/>
                <w:szCs w:val="22"/>
                <w14:ligatures w14:val="standardContextual"/>
              </w:rPr>
              <w:t>DCR Beach Program</w:t>
            </w:r>
          </w:p>
        </w:tc>
        <w:tc>
          <w:tcPr>
            <w:tcW w:w="5220" w:type="dxa"/>
          </w:tcPr>
          <w:p w14:paraId="3AFA1E91" w14:textId="77777777" w:rsidR="00ED2F36" w:rsidRDefault="00ED2F36">
            <w:pPr>
              <w:jc w:val="center"/>
            </w:pPr>
            <w:r w:rsidRPr="00996AC9">
              <w:rPr>
                <w:rFonts w:ascii="Calibri" w:eastAsia="Calibri" w:hAnsi="Calibri"/>
                <w:snapToGrid/>
                <w:kern w:val="2"/>
                <w:sz w:val="22"/>
                <w:szCs w:val="22"/>
                <w14:ligatures w14:val="standardContextual"/>
              </w:rPr>
              <w:t>Maryland Department of the Environment</w:t>
            </w:r>
          </w:p>
        </w:tc>
      </w:tr>
      <w:tr w:rsidR="00ED2F36" w14:paraId="6C7BC6BD" w14:textId="77777777" w:rsidTr="0029393D">
        <w:trPr>
          <w:trHeight w:val="288"/>
        </w:trPr>
        <w:tc>
          <w:tcPr>
            <w:tcW w:w="5760" w:type="dxa"/>
          </w:tcPr>
          <w:p w14:paraId="718BE77C" w14:textId="77777777" w:rsidR="00ED2F36" w:rsidRDefault="00ED2F36">
            <w:pPr>
              <w:jc w:val="center"/>
            </w:pPr>
            <w:r w:rsidRPr="00996AC9">
              <w:rPr>
                <w:rFonts w:ascii="Calibri" w:eastAsia="Calibri" w:hAnsi="Calibri"/>
                <w:snapToGrid/>
                <w:kern w:val="2"/>
                <w:sz w:val="22"/>
                <w:szCs w:val="22"/>
                <w14:ligatures w14:val="standardContextual"/>
              </w:rPr>
              <w:t>NPS Appomattox Court House National Historical Park Water Quality</w:t>
            </w:r>
          </w:p>
        </w:tc>
        <w:tc>
          <w:tcPr>
            <w:tcW w:w="5220" w:type="dxa"/>
          </w:tcPr>
          <w:p w14:paraId="1F3C6F05" w14:textId="77777777" w:rsidR="00ED2F36" w:rsidRDefault="00ED2F36">
            <w:pPr>
              <w:jc w:val="center"/>
            </w:pPr>
            <w:r w:rsidRPr="00996AC9">
              <w:rPr>
                <w:rFonts w:ascii="Calibri" w:eastAsia="Calibri" w:hAnsi="Calibri"/>
                <w:snapToGrid/>
                <w:kern w:val="2"/>
                <w:sz w:val="22"/>
                <w:szCs w:val="22"/>
                <w14:ligatures w14:val="standardContextual"/>
              </w:rPr>
              <w:t>NPS Booker T. Washington National Monument Water Quality</w:t>
            </w:r>
          </w:p>
        </w:tc>
      </w:tr>
      <w:tr w:rsidR="00ED2F36" w14:paraId="2F1D9448" w14:textId="77777777" w:rsidTr="0029393D">
        <w:trPr>
          <w:trHeight w:val="288"/>
        </w:trPr>
        <w:tc>
          <w:tcPr>
            <w:tcW w:w="5760" w:type="dxa"/>
          </w:tcPr>
          <w:p w14:paraId="63843C24" w14:textId="77777777" w:rsidR="00ED2F36" w:rsidRDefault="00ED2F36">
            <w:pPr>
              <w:jc w:val="center"/>
            </w:pPr>
            <w:r w:rsidRPr="00996AC9">
              <w:rPr>
                <w:rFonts w:ascii="Calibri" w:eastAsia="Calibri" w:hAnsi="Calibri"/>
                <w:snapToGrid/>
                <w:kern w:val="2"/>
                <w:sz w:val="22"/>
                <w:szCs w:val="22"/>
                <w14:ligatures w14:val="standardContextual"/>
              </w:rPr>
              <w:t>NPS Fredericksburg &amp; Spotsylvania National Military Park</w:t>
            </w:r>
          </w:p>
        </w:tc>
        <w:tc>
          <w:tcPr>
            <w:tcW w:w="5220" w:type="dxa"/>
          </w:tcPr>
          <w:p w14:paraId="6304181A" w14:textId="77777777" w:rsidR="00ED2F36" w:rsidRDefault="00ED2F36">
            <w:pPr>
              <w:jc w:val="center"/>
            </w:pPr>
            <w:r w:rsidRPr="00996AC9">
              <w:rPr>
                <w:rFonts w:ascii="Calibri" w:eastAsia="Calibri" w:hAnsi="Calibri"/>
                <w:snapToGrid/>
                <w:kern w:val="2"/>
                <w:sz w:val="22"/>
                <w:szCs w:val="22"/>
                <w14:ligatures w14:val="standardContextual"/>
              </w:rPr>
              <w:t>NPS George Washington National Birthplace Monument</w:t>
            </w:r>
          </w:p>
        </w:tc>
      </w:tr>
      <w:tr w:rsidR="00ED2F36" w14:paraId="0079D680" w14:textId="77777777" w:rsidTr="0029393D">
        <w:trPr>
          <w:trHeight w:val="288"/>
        </w:trPr>
        <w:tc>
          <w:tcPr>
            <w:tcW w:w="5760" w:type="dxa"/>
          </w:tcPr>
          <w:p w14:paraId="1CCE6B25" w14:textId="483A3E4A" w:rsidR="00ED2F36" w:rsidRDefault="00ED2F36">
            <w:pPr>
              <w:jc w:val="center"/>
            </w:pPr>
            <w:r w:rsidRPr="00996AC9">
              <w:rPr>
                <w:rFonts w:ascii="Calibri" w:eastAsia="Calibri" w:hAnsi="Calibri"/>
                <w:snapToGrid/>
                <w:kern w:val="2"/>
                <w:sz w:val="22"/>
                <w:szCs w:val="22"/>
                <w14:ligatures w14:val="standardContextual"/>
              </w:rPr>
              <w:t xml:space="preserve">NPS Richmond National Battlefield Park </w:t>
            </w:r>
            <w:r w:rsidR="00E96ECE">
              <w:rPr>
                <w:rFonts w:ascii="Calibri" w:eastAsia="Calibri" w:hAnsi="Calibri"/>
                <w:snapToGrid/>
                <w:kern w:val="2"/>
                <w:sz w:val="22"/>
                <w:szCs w:val="22"/>
                <w14:ligatures w14:val="standardContextual"/>
              </w:rPr>
              <w:t>Water Quality</w:t>
            </w:r>
          </w:p>
        </w:tc>
        <w:tc>
          <w:tcPr>
            <w:tcW w:w="5220" w:type="dxa"/>
          </w:tcPr>
          <w:p w14:paraId="35F12DE1" w14:textId="77777777" w:rsidR="00ED2F36" w:rsidRDefault="00ED2F36">
            <w:pPr>
              <w:jc w:val="center"/>
            </w:pPr>
            <w:r w:rsidRPr="00996AC9">
              <w:rPr>
                <w:rFonts w:ascii="Calibri" w:eastAsia="Calibri" w:hAnsi="Calibri"/>
                <w:snapToGrid/>
                <w:kern w:val="2"/>
                <w:sz w:val="22"/>
                <w:szCs w:val="22"/>
                <w14:ligatures w14:val="standardContextual"/>
              </w:rPr>
              <w:t>Occoquan Watershed Monitoring Laboratory</w:t>
            </w:r>
          </w:p>
        </w:tc>
      </w:tr>
      <w:tr w:rsidR="00ED2F36" w14:paraId="6BEA859C" w14:textId="77777777" w:rsidTr="007A3A0C">
        <w:trPr>
          <w:trHeight w:val="288"/>
        </w:trPr>
        <w:tc>
          <w:tcPr>
            <w:tcW w:w="5760" w:type="dxa"/>
          </w:tcPr>
          <w:p w14:paraId="5D26A418" w14:textId="77777777" w:rsidR="00ED2F36" w:rsidRDefault="00ED2F36">
            <w:pPr>
              <w:jc w:val="center"/>
            </w:pPr>
            <w:r w:rsidRPr="00996AC9">
              <w:rPr>
                <w:rFonts w:ascii="Calibri" w:eastAsia="Calibri" w:hAnsi="Calibri"/>
                <w:snapToGrid/>
                <w:kern w:val="2"/>
                <w:sz w:val="22"/>
                <w:szCs w:val="22"/>
                <w14:ligatures w14:val="standardContextual"/>
              </w:rPr>
              <w:t>United States Forestry Service</w:t>
            </w:r>
          </w:p>
        </w:tc>
        <w:tc>
          <w:tcPr>
            <w:tcW w:w="5220" w:type="dxa"/>
          </w:tcPr>
          <w:p w14:paraId="2E722462" w14:textId="77777777" w:rsidR="00ED2F36" w:rsidRDefault="00ED2F36">
            <w:pPr>
              <w:jc w:val="center"/>
            </w:pPr>
            <w:r w:rsidRPr="00996AC9">
              <w:rPr>
                <w:rFonts w:ascii="Calibri" w:eastAsia="Calibri" w:hAnsi="Calibri"/>
                <w:snapToGrid/>
                <w:kern w:val="2"/>
                <w:sz w:val="22"/>
                <w:szCs w:val="22"/>
                <w14:ligatures w14:val="standardContextual"/>
              </w:rPr>
              <w:t>United States Geological Survey</w:t>
            </w:r>
          </w:p>
        </w:tc>
      </w:tr>
      <w:tr w:rsidR="00ED2F36" w14:paraId="3419F654" w14:textId="77777777" w:rsidTr="007A3A0C">
        <w:trPr>
          <w:trHeight w:val="288"/>
        </w:trPr>
        <w:tc>
          <w:tcPr>
            <w:tcW w:w="5760" w:type="dxa"/>
            <w:tcBorders>
              <w:bottom w:val="single" w:sz="12" w:space="0" w:color="auto"/>
            </w:tcBorders>
          </w:tcPr>
          <w:p w14:paraId="1F14B2DA" w14:textId="77777777" w:rsidR="00ED2F36" w:rsidRDefault="00ED2F36">
            <w:pPr>
              <w:jc w:val="center"/>
            </w:pPr>
            <w:r w:rsidRPr="00996AC9">
              <w:rPr>
                <w:rFonts w:ascii="Calibri" w:eastAsia="Calibri" w:hAnsi="Calibri"/>
                <w:snapToGrid/>
                <w:kern w:val="2"/>
                <w:sz w:val="22"/>
                <w:szCs w:val="22"/>
                <w14:ligatures w14:val="standardContextual"/>
              </w:rPr>
              <w:t>VDH Beach Program</w:t>
            </w:r>
          </w:p>
        </w:tc>
        <w:tc>
          <w:tcPr>
            <w:tcW w:w="5220" w:type="dxa"/>
            <w:tcBorders>
              <w:bottom w:val="single" w:sz="12" w:space="0" w:color="auto"/>
            </w:tcBorders>
          </w:tcPr>
          <w:p w14:paraId="781E0E5D" w14:textId="77777777" w:rsidR="00ED2F36" w:rsidRDefault="00ED2F36">
            <w:pPr>
              <w:jc w:val="center"/>
            </w:pPr>
          </w:p>
        </w:tc>
      </w:tr>
    </w:tbl>
    <w:p w14:paraId="0C882FB3" w14:textId="77777777" w:rsidR="00071CCE" w:rsidRDefault="00071CCE" w:rsidP="00071CCE">
      <w:pPr>
        <w:tabs>
          <w:tab w:val="center" w:pos="5400"/>
        </w:tabs>
        <w:rPr>
          <w:rFonts w:cstheme="minorHAnsi"/>
          <w:szCs w:val="24"/>
        </w:rPr>
      </w:pPr>
    </w:p>
    <w:p w14:paraId="2C4E5320" w14:textId="77777777" w:rsidR="00FA7208" w:rsidRPr="00C55956" w:rsidRDefault="00FA7208" w:rsidP="00FA7208">
      <w:pPr>
        <w:pStyle w:val="Heading3"/>
      </w:pPr>
      <w:r w:rsidRPr="00C55956">
        <w:t>Current Efforts to Support Citizen and Non-Agency Surface Water Quality Monitoring</w:t>
      </w:r>
    </w:p>
    <w:p w14:paraId="3545910E" w14:textId="77777777" w:rsidR="00AE6BF3" w:rsidRDefault="00FA7208" w:rsidP="00FA7208">
      <w:pPr>
        <w:tabs>
          <w:tab w:val="center" w:pos="5400"/>
        </w:tabs>
        <w:rPr>
          <w:rFonts w:cstheme="minorHAnsi"/>
          <w:snapToGrid/>
          <w:color w:val="000000"/>
          <w:szCs w:val="24"/>
        </w:rPr>
      </w:pPr>
      <w:r w:rsidRPr="000234AF">
        <w:rPr>
          <w:rFonts w:cstheme="minorHAnsi"/>
          <w:snapToGrid/>
          <w:color w:val="000000"/>
          <w:szCs w:val="24"/>
        </w:rPr>
        <w:t xml:space="preserve">DEQ is continuously working to provide opportunities for community involvement in water monitoring and in the water quality assessment process. DEQ </w:t>
      </w:r>
      <w:r>
        <w:rPr>
          <w:rFonts w:cstheme="minorHAnsi"/>
          <w:snapToGrid/>
          <w:color w:val="000000"/>
          <w:szCs w:val="24"/>
        </w:rPr>
        <w:t>continues to</w:t>
      </w:r>
      <w:r w:rsidRPr="000234AF">
        <w:rPr>
          <w:rFonts w:cstheme="minorHAnsi"/>
          <w:snapToGrid/>
          <w:color w:val="000000"/>
          <w:szCs w:val="24"/>
        </w:rPr>
        <w:t xml:space="preserve"> utilize </w:t>
      </w:r>
      <w:r>
        <w:rPr>
          <w:rFonts w:cstheme="minorHAnsi"/>
          <w:snapToGrid/>
          <w:color w:val="000000"/>
          <w:szCs w:val="24"/>
        </w:rPr>
        <w:t xml:space="preserve">new </w:t>
      </w:r>
      <w:r w:rsidRPr="000234AF">
        <w:rPr>
          <w:rFonts w:cstheme="minorHAnsi"/>
          <w:snapToGrid/>
          <w:color w:val="000000"/>
          <w:szCs w:val="24"/>
        </w:rPr>
        <w:t xml:space="preserve">data that </w:t>
      </w:r>
      <w:proofErr w:type="gramStart"/>
      <w:r w:rsidRPr="000234AF">
        <w:rPr>
          <w:rFonts w:cstheme="minorHAnsi"/>
          <w:snapToGrid/>
          <w:color w:val="000000"/>
          <w:szCs w:val="24"/>
        </w:rPr>
        <w:t>were</w:t>
      </w:r>
      <w:proofErr w:type="gramEnd"/>
      <w:r w:rsidRPr="000234AF">
        <w:rPr>
          <w:rFonts w:cstheme="minorHAnsi"/>
          <w:snapToGrid/>
          <w:color w:val="000000"/>
          <w:szCs w:val="24"/>
        </w:rPr>
        <w:t xml:space="preserve"> previously unavailable or unknown to the agency. DEQ values the contributions of outside agency monitoring staff and citizen volunteers and will continue to support their monitoring efforts. With assistance from these organizations, DEQ continues to increase the monitoring coverage in Virginia</w:t>
      </w:r>
      <w:r>
        <w:rPr>
          <w:rFonts w:cstheme="minorHAnsi"/>
          <w:snapToGrid/>
          <w:color w:val="000000"/>
          <w:szCs w:val="24"/>
        </w:rPr>
        <w:t>.</w:t>
      </w:r>
      <w:r w:rsidR="005434AA">
        <w:rPr>
          <w:rFonts w:cstheme="minorHAnsi"/>
          <w:snapToGrid/>
          <w:color w:val="000000"/>
          <w:szCs w:val="24"/>
        </w:rPr>
        <w:t xml:space="preserve"> </w:t>
      </w:r>
      <w:r w:rsidR="005434AA" w:rsidRPr="000234AF">
        <w:rPr>
          <w:rFonts w:cstheme="minorHAnsi"/>
          <w:snapToGrid/>
          <w:color w:val="000000"/>
          <w:szCs w:val="24"/>
        </w:rPr>
        <w:t>For information on conducting water monitoring, submitting data to the agency, receiving agency funding for monitoring or recommending waters for monitoring by DEQ, please visit our citizen monitoring webpage</w:t>
      </w:r>
      <w:r w:rsidR="006C1EEC">
        <w:rPr>
          <w:rFonts w:cstheme="minorHAnsi"/>
          <w:snapToGrid/>
          <w:color w:val="000000"/>
          <w:szCs w:val="24"/>
        </w:rPr>
        <w:t>.</w:t>
      </w:r>
    </w:p>
    <w:p w14:paraId="0333BB6F" w14:textId="77777777" w:rsidR="005B2952" w:rsidRDefault="005B2952" w:rsidP="00FA7208">
      <w:pPr>
        <w:tabs>
          <w:tab w:val="center" w:pos="5400"/>
        </w:tabs>
        <w:rPr>
          <w:rFonts w:cstheme="minorHAnsi"/>
          <w:snapToGrid/>
          <w:color w:val="000000"/>
          <w:szCs w:val="24"/>
        </w:rPr>
      </w:pPr>
    </w:p>
    <w:p w14:paraId="3B9D2216" w14:textId="56F81360" w:rsidR="005B2952" w:rsidRPr="00071CCE" w:rsidRDefault="005B2952" w:rsidP="00FA7208">
      <w:pPr>
        <w:tabs>
          <w:tab w:val="center" w:pos="5400"/>
        </w:tabs>
        <w:rPr>
          <w:rFonts w:cstheme="minorHAnsi"/>
          <w:szCs w:val="24"/>
        </w:rPr>
        <w:sectPr w:rsidR="005B2952" w:rsidRPr="00071CCE" w:rsidSect="009079C4">
          <w:headerReference w:type="default" r:id="rId133"/>
          <w:pgSz w:w="12240" w:h="15840" w:code="1"/>
          <w:pgMar w:top="720" w:right="720" w:bottom="1080" w:left="720" w:header="720" w:footer="720" w:gutter="0"/>
          <w:cols w:space="720"/>
          <w:docGrid w:linePitch="360"/>
        </w:sectPr>
      </w:pPr>
    </w:p>
    <w:p w14:paraId="244A94BE" w14:textId="1E80C622" w:rsidR="009C41CA" w:rsidRPr="00242C56" w:rsidRDefault="4D24C7D5" w:rsidP="577E7B74">
      <w:pPr>
        <w:pStyle w:val="Heading1"/>
        <w:rPr>
          <w:rFonts w:cstheme="minorBidi"/>
        </w:rPr>
      </w:pPr>
      <w:bookmarkStart w:id="70" w:name="_Toc152763309"/>
      <w:bookmarkStart w:id="71" w:name="_Toc155771955"/>
      <w:bookmarkStart w:id="72" w:name="_Toc191900434"/>
      <w:r w:rsidRPr="577E7B74">
        <w:rPr>
          <w:rStyle w:val="normaltextrun"/>
          <w:rFonts w:asciiTheme="minorHAnsi" w:hAnsiTheme="minorHAnsi" w:cstheme="minorBidi"/>
          <w:sz w:val="28"/>
          <w:szCs w:val="28"/>
        </w:rPr>
        <w:lastRenderedPageBreak/>
        <w:t>SURFACE</w:t>
      </w:r>
      <w:r w:rsidRPr="577E7B74">
        <w:rPr>
          <w:rFonts w:cstheme="minorBidi"/>
        </w:rPr>
        <w:t xml:space="preserve"> WATER QUALITY ASSESSMENT</w:t>
      </w:r>
      <w:bookmarkEnd w:id="70"/>
      <w:bookmarkEnd w:id="71"/>
      <w:bookmarkEnd w:id="72"/>
    </w:p>
    <w:p w14:paraId="5C38FAB0" w14:textId="77777777" w:rsidR="009C41CA" w:rsidRPr="00430384" w:rsidRDefault="009C41CA" w:rsidP="009C41CA">
      <w:pPr>
        <w:rPr>
          <w:rFonts w:cstheme="minorHAnsi"/>
          <w:szCs w:val="24"/>
        </w:rPr>
      </w:pPr>
    </w:p>
    <w:p w14:paraId="13A7593A" w14:textId="5DC0540E" w:rsidR="008F1EAB" w:rsidRPr="0032722D" w:rsidRDefault="008F1EAB" w:rsidP="00C430B8">
      <w:pPr>
        <w:rPr>
          <w:rStyle w:val="normaltextrun"/>
        </w:rPr>
      </w:pPr>
      <w:r w:rsidRPr="0032722D">
        <w:rPr>
          <w:rStyle w:val="normaltextrun"/>
        </w:rPr>
        <w:t xml:space="preserve">This </w:t>
      </w:r>
      <w:r w:rsidR="00B72B64">
        <w:rPr>
          <w:rStyle w:val="normaltextrun"/>
        </w:rPr>
        <w:t>C</w:t>
      </w:r>
      <w:r w:rsidRPr="0032722D">
        <w:rPr>
          <w:rStyle w:val="normaltextrun"/>
        </w:rPr>
        <w:t xml:space="preserve">hapter describes DEQ’s process for assessing the water quality of Virginia’s streams, </w:t>
      </w:r>
      <w:r w:rsidR="001D5559" w:rsidRPr="0032722D">
        <w:rPr>
          <w:rStyle w:val="normaltextrun"/>
        </w:rPr>
        <w:t>lakes,</w:t>
      </w:r>
      <w:r w:rsidRPr="0032722D">
        <w:rPr>
          <w:rStyle w:val="normaltextrun"/>
        </w:rPr>
        <w:t xml:space="preserve"> and estuaries. Assessment results are provided as an overall statewide summary (</w:t>
      </w:r>
      <w:r w:rsidR="00C41EF7">
        <w:rPr>
          <w:rStyle w:val="normaltextrun"/>
        </w:rPr>
        <w:t>S</w:t>
      </w:r>
      <w:r w:rsidRPr="0032722D">
        <w:rPr>
          <w:rStyle w:val="normaltextrun"/>
        </w:rPr>
        <w:t xml:space="preserve">ection 4.2) as well as broken down by </w:t>
      </w:r>
      <w:proofErr w:type="gramStart"/>
      <w:r w:rsidRPr="0032722D">
        <w:rPr>
          <w:rStyle w:val="normaltextrun"/>
        </w:rPr>
        <w:t>major</w:t>
      </w:r>
      <w:proofErr w:type="gramEnd"/>
      <w:r w:rsidRPr="0032722D">
        <w:rPr>
          <w:rStyle w:val="normaltextrun"/>
        </w:rPr>
        <w:t xml:space="preserve"> river basin (</w:t>
      </w:r>
      <w:r w:rsidR="00C41EF7">
        <w:rPr>
          <w:rStyle w:val="normaltextrun"/>
        </w:rPr>
        <w:t>S</w:t>
      </w:r>
      <w:r w:rsidRPr="0032722D">
        <w:rPr>
          <w:rStyle w:val="normaltextrun"/>
        </w:rPr>
        <w:t>ection 4.3). Chapter 4 also includes</w:t>
      </w:r>
      <w:r w:rsidR="0032722D" w:rsidRPr="0032722D">
        <w:rPr>
          <w:rStyle w:val="normaltextrun"/>
        </w:rPr>
        <w:t xml:space="preserve"> </w:t>
      </w:r>
      <w:r w:rsidRPr="0032722D">
        <w:rPr>
          <w:rStyle w:val="normaltextrun"/>
        </w:rPr>
        <w:t>an overall “snapshot” of water quality captured by DEQ’s freshwater probabilistic monitoring (</w:t>
      </w:r>
      <w:r w:rsidR="00C41EF7">
        <w:rPr>
          <w:rStyle w:val="normaltextrun"/>
        </w:rPr>
        <w:t>S</w:t>
      </w:r>
      <w:r w:rsidRPr="0032722D">
        <w:rPr>
          <w:rStyle w:val="normaltextrun"/>
        </w:rPr>
        <w:t>ection 4.4), a summary of the weight-of-evidence assessments conducted in Virginia’s estuaries (</w:t>
      </w:r>
      <w:r w:rsidR="00C41EF7">
        <w:rPr>
          <w:rStyle w:val="normaltextrun"/>
        </w:rPr>
        <w:t>S</w:t>
      </w:r>
      <w:r w:rsidRPr="0032722D">
        <w:rPr>
          <w:rStyle w:val="normaltextrun"/>
        </w:rPr>
        <w:t>ection 4.5), and the assessment of the aquatic life designated uses in the Chesapeake Bay (</w:t>
      </w:r>
      <w:r w:rsidR="00C41EF7">
        <w:rPr>
          <w:rStyle w:val="normaltextrun"/>
        </w:rPr>
        <w:t>S</w:t>
      </w:r>
      <w:r w:rsidRPr="0032722D">
        <w:rPr>
          <w:rStyle w:val="normaltextrun"/>
        </w:rPr>
        <w:t>ection 4.6). </w:t>
      </w:r>
    </w:p>
    <w:p w14:paraId="1616B7C0"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009404A4" w14:textId="094BD88C" w:rsidR="008F1EAB" w:rsidRPr="001C7923" w:rsidRDefault="008F1EAB" w:rsidP="001C7923">
      <w:pPr>
        <w:pStyle w:val="Heading2"/>
      </w:pPr>
      <w:bookmarkStart w:id="73" w:name="_Toc152763310"/>
      <w:bookmarkStart w:id="74" w:name="_Toc155771956"/>
      <w:bookmarkStart w:id="75" w:name="_Toc191900435"/>
      <w:r w:rsidRPr="001C7923">
        <w:rPr>
          <w:rStyle w:val="normaltextrun"/>
          <w:rFonts w:asciiTheme="minorHAnsi" w:hAnsiTheme="minorHAnsi"/>
        </w:rPr>
        <w:t>Assessment Methodology</w:t>
      </w:r>
      <w:bookmarkEnd w:id="73"/>
      <w:bookmarkEnd w:id="74"/>
      <w:bookmarkEnd w:id="75"/>
      <w:r w:rsidRPr="001C7923">
        <w:rPr>
          <w:rStyle w:val="eop"/>
        </w:rPr>
        <w:t> </w:t>
      </w:r>
    </w:p>
    <w:p w14:paraId="4982AA6B" w14:textId="2A67FB81" w:rsidR="008F1EAB" w:rsidRDefault="00626AF2" w:rsidP="008F1EAB">
      <w:pPr>
        <w:pStyle w:val="paragraph"/>
        <w:spacing w:before="0" w:beforeAutospacing="0" w:after="0" w:afterAutospacing="0"/>
        <w:textAlignment w:val="baseline"/>
        <w:rPr>
          <w:rFonts w:ascii="Segoe UI" w:hAnsi="Segoe UI" w:cs="Segoe UI"/>
          <w:sz w:val="18"/>
          <w:szCs w:val="18"/>
        </w:rPr>
      </w:pPr>
      <w:r>
        <w:rPr>
          <w:rStyle w:val="normaltextrun"/>
          <w:rFonts w:cs="Calibri"/>
        </w:rPr>
        <w:t>Revisions to</w:t>
      </w:r>
      <w:r w:rsidR="008F1EAB">
        <w:rPr>
          <w:rStyle w:val="normaltextrun"/>
          <w:rFonts w:cs="Calibri"/>
        </w:rPr>
        <w:t xml:space="preserve"> the assessment guidance manual </w:t>
      </w:r>
      <w:r>
        <w:rPr>
          <w:rStyle w:val="normaltextrun"/>
          <w:rFonts w:cs="Calibri"/>
        </w:rPr>
        <w:t>since the last assessment cycle</w:t>
      </w:r>
      <w:r w:rsidR="008F1EAB">
        <w:rPr>
          <w:rStyle w:val="normaltextrun"/>
          <w:rFonts w:cs="Calibri"/>
        </w:rPr>
        <w:t xml:space="preserve"> have improved assessment methodologies, quality, and </w:t>
      </w:r>
      <w:r w:rsidR="008F1EAB" w:rsidRPr="00263036">
        <w:rPr>
          <w:rStyle w:val="normaltextrun"/>
          <w:rFonts w:cs="Calibri"/>
        </w:rPr>
        <w:t>consistency.</w:t>
      </w:r>
      <w:r w:rsidR="00355C58" w:rsidRPr="00263036">
        <w:rPr>
          <w:rStyle w:val="normaltextrun"/>
          <w:rFonts w:cs="Calibri"/>
        </w:rPr>
        <w:t xml:space="preserve"> </w:t>
      </w:r>
      <w:r w:rsidR="00AD6630">
        <w:rPr>
          <w:rStyle w:val="normaltextrun"/>
          <w:rFonts w:cs="Calibri"/>
        </w:rPr>
        <w:t>A</w:t>
      </w:r>
      <w:r w:rsidR="008F1EAB" w:rsidRPr="00263036">
        <w:rPr>
          <w:rStyle w:val="normaltextrun"/>
          <w:rFonts w:cs="Calibri"/>
        </w:rPr>
        <w:t xml:space="preserve">dditionally, the assessment guidance manual </w:t>
      </w:r>
      <w:r w:rsidR="008F1EAB" w:rsidRPr="00AD6630">
        <w:rPr>
          <w:rStyle w:val="normaltextrun"/>
          <w:rFonts w:asciiTheme="minorHAnsi" w:hAnsiTheme="minorHAnsi" w:cstheme="minorHAnsi"/>
        </w:rPr>
        <w:t xml:space="preserve">provides the </w:t>
      </w:r>
      <w:proofErr w:type="gramStart"/>
      <w:r w:rsidR="008F1EAB" w:rsidRPr="00AD6630">
        <w:rPr>
          <w:rStyle w:val="normaltextrun"/>
          <w:rFonts w:asciiTheme="minorHAnsi" w:hAnsiTheme="minorHAnsi" w:cstheme="minorHAnsi"/>
        </w:rPr>
        <w:t>public</w:t>
      </w:r>
      <w:proofErr w:type="gramEnd"/>
      <w:r w:rsidR="008F1EAB" w:rsidRPr="00AD6630">
        <w:rPr>
          <w:rStyle w:val="normaltextrun"/>
          <w:rFonts w:asciiTheme="minorHAnsi" w:hAnsiTheme="minorHAnsi" w:cstheme="minorHAnsi"/>
        </w:rPr>
        <w:t xml:space="preserve"> an opportunity to review and comment on the assessment </w:t>
      </w:r>
      <w:r w:rsidR="0041063B" w:rsidRPr="00AD6630">
        <w:rPr>
          <w:rStyle w:val="normaltextrun"/>
          <w:rFonts w:asciiTheme="minorHAnsi" w:hAnsiTheme="minorHAnsi" w:cstheme="minorHAnsi"/>
        </w:rPr>
        <w:t>thresholds</w:t>
      </w:r>
      <w:r w:rsidR="00AD6630" w:rsidRPr="00AD6630">
        <w:rPr>
          <w:rStyle w:val="CommentReference"/>
          <w:rFonts w:asciiTheme="minorHAnsi" w:hAnsiTheme="minorHAnsi" w:cstheme="minorHAnsi"/>
          <w:snapToGrid w:val="0"/>
          <w:sz w:val="24"/>
          <w:szCs w:val="24"/>
        </w:rPr>
        <w:t xml:space="preserve"> an</w:t>
      </w:r>
      <w:r w:rsidR="008F1EAB" w:rsidRPr="00AD6630">
        <w:rPr>
          <w:rStyle w:val="normaltextrun"/>
          <w:rFonts w:asciiTheme="minorHAnsi" w:hAnsiTheme="minorHAnsi" w:cstheme="minorHAnsi"/>
        </w:rPr>
        <w:t>d</w:t>
      </w:r>
      <w:r w:rsidR="008F1EAB" w:rsidRPr="00263036">
        <w:rPr>
          <w:rStyle w:val="normaltextrun"/>
          <w:rFonts w:cs="Calibri"/>
        </w:rPr>
        <w:t xml:space="preserve"> methodologies used by DEQ to determine designated use attainment. The Draft 2024 Water Quality Assessment Guidance Manual was public noticed in March 2023, and DEQ received public comments through April 2023. DEQ released </w:t>
      </w:r>
      <w:r w:rsidR="008F1EAB" w:rsidRPr="00924F82">
        <w:rPr>
          <w:rStyle w:val="normaltextrun"/>
          <w:rFonts w:cs="Calibri"/>
        </w:rPr>
        <w:t xml:space="preserve">the </w:t>
      </w:r>
      <w:r w:rsidR="00C545D5" w:rsidRPr="00924F82">
        <w:rPr>
          <w:rStyle w:val="normaltextrun"/>
          <w:rFonts w:cs="Calibri"/>
        </w:rPr>
        <w:t>Final 2024 Water Quality Assessment Guida</w:t>
      </w:r>
      <w:r w:rsidR="00C545D5" w:rsidRPr="00EE7A20">
        <w:rPr>
          <w:rStyle w:val="normaltextrun"/>
          <w:rFonts w:cs="Calibri"/>
        </w:rPr>
        <w:t>nce Manual</w:t>
      </w:r>
      <w:r w:rsidR="008F1EAB" w:rsidRPr="00EE7A20">
        <w:rPr>
          <w:rStyle w:val="normaltextrun"/>
          <w:rFonts w:cs="Calibri"/>
        </w:rPr>
        <w:t xml:space="preserve"> in </w:t>
      </w:r>
      <w:r w:rsidR="00263036" w:rsidRPr="00EE7A20">
        <w:rPr>
          <w:rStyle w:val="normaltextrun"/>
          <w:rFonts w:cs="Calibri"/>
        </w:rPr>
        <w:t xml:space="preserve">November 2023. </w:t>
      </w:r>
      <w:r w:rsidR="00070481" w:rsidRPr="00601AA1">
        <w:rPr>
          <w:rStyle w:val="normaltextrun"/>
          <w:rFonts w:cs="Calibri"/>
        </w:rPr>
        <w:t>Please visit this document for a more detailed</w:t>
      </w:r>
      <w:r w:rsidR="006D7BFC" w:rsidRPr="00601AA1">
        <w:rPr>
          <w:rStyle w:val="normaltextrun"/>
          <w:rFonts w:cs="Calibri"/>
        </w:rPr>
        <w:t xml:space="preserve"> </w:t>
      </w:r>
      <w:r w:rsidR="00E73C77" w:rsidRPr="00601AA1">
        <w:rPr>
          <w:rStyle w:val="normaltextrun"/>
          <w:rFonts w:cs="Calibri"/>
        </w:rPr>
        <w:t>description</w:t>
      </w:r>
      <w:r w:rsidR="006D7BFC" w:rsidRPr="00601AA1">
        <w:rPr>
          <w:rStyle w:val="normaltextrun"/>
          <w:rFonts w:cs="Calibri"/>
        </w:rPr>
        <w:t xml:space="preserve"> o</w:t>
      </w:r>
      <w:r w:rsidR="00E73C77" w:rsidRPr="00601AA1">
        <w:rPr>
          <w:rStyle w:val="normaltextrun"/>
          <w:rFonts w:cs="Calibri"/>
        </w:rPr>
        <w:t>f</w:t>
      </w:r>
      <w:r w:rsidR="006D7BFC" w:rsidRPr="00601AA1">
        <w:rPr>
          <w:rStyle w:val="normaltextrun"/>
          <w:rFonts w:cs="Calibri"/>
        </w:rPr>
        <w:t xml:space="preserve"> assessment procedures and methods to be used </w:t>
      </w:r>
      <w:r w:rsidR="00E73C77" w:rsidRPr="00601AA1">
        <w:rPr>
          <w:rStyle w:val="normaltextrun"/>
          <w:rFonts w:cs="Calibri"/>
        </w:rPr>
        <w:t>in the development of this report.</w:t>
      </w:r>
      <w:r w:rsidR="00E73C77">
        <w:rPr>
          <w:rStyle w:val="normaltextrun"/>
          <w:rFonts w:cs="Calibri"/>
        </w:rPr>
        <w:t xml:space="preserve"> </w:t>
      </w:r>
    </w:p>
    <w:p w14:paraId="34D0B678"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45F4F89A" w14:textId="394DAA34" w:rsidR="008F1EAB" w:rsidRPr="00C41EF7" w:rsidRDefault="008F1EAB" w:rsidP="00C41EF7">
      <w:pPr>
        <w:pStyle w:val="Heading3"/>
      </w:pPr>
      <w:r w:rsidRPr="00C41EF7">
        <w:rPr>
          <w:rStyle w:val="normaltextrun"/>
          <w:rFonts w:asciiTheme="minorHAnsi" w:hAnsiTheme="minorHAnsi"/>
        </w:rPr>
        <w:t>Ten Percent Rule</w:t>
      </w:r>
      <w:r w:rsidRPr="00C41EF7">
        <w:rPr>
          <w:rStyle w:val="eop"/>
        </w:rPr>
        <w:t> </w:t>
      </w:r>
    </w:p>
    <w:p w14:paraId="0616A895" w14:textId="4D6A00BF" w:rsidR="00DA24B7" w:rsidRPr="0025211B" w:rsidRDefault="008F1EAB" w:rsidP="008F1EAB">
      <w:pPr>
        <w:pStyle w:val="paragraph"/>
        <w:spacing w:before="0" w:beforeAutospacing="0" w:after="0" w:afterAutospacing="0"/>
        <w:textAlignment w:val="baseline"/>
        <w:rPr>
          <w:rStyle w:val="normaltextrun"/>
          <w:rFonts w:cs="Calibri"/>
        </w:rPr>
      </w:pPr>
      <w:r>
        <w:rPr>
          <w:rStyle w:val="normaltextrun"/>
          <w:rFonts w:cs="Calibri"/>
        </w:rPr>
        <w:t xml:space="preserve">State and federal law requires DEQ to produce a biennial report on the condition of its waters to Virginia’s </w:t>
      </w:r>
      <w:r w:rsidR="007C65A8">
        <w:rPr>
          <w:rStyle w:val="normaltextrun"/>
          <w:rFonts w:cs="Calibri"/>
        </w:rPr>
        <w:t>residents</w:t>
      </w:r>
      <w:r>
        <w:rPr>
          <w:rStyle w:val="normaltextrun"/>
          <w:rFonts w:cs="Calibri"/>
        </w:rPr>
        <w:t xml:space="preserve"> and the EPA. The waters are evaluated in terms of whether the appropriate designated uses are met. The primary designated uses are: 1) wildlife, 2) aquatic life, 3) fish consumption, 4) shellfish harvest, 5) recreation (primary and secondary contact)</w:t>
      </w:r>
      <w:r w:rsidR="00B37BE5">
        <w:rPr>
          <w:rStyle w:val="normaltextrun"/>
          <w:rFonts w:cs="Calibri"/>
        </w:rPr>
        <w:t>,</w:t>
      </w:r>
      <w:r>
        <w:rPr>
          <w:rStyle w:val="normaltextrun"/>
          <w:rFonts w:cs="Calibri"/>
        </w:rPr>
        <w:t xml:space="preserve"> </w:t>
      </w:r>
      <w:r w:rsidRPr="0025211B">
        <w:rPr>
          <w:rStyle w:val="normaltextrun"/>
          <w:rFonts w:cs="Calibri"/>
        </w:rPr>
        <w:t xml:space="preserve">and 6) public water supply use. There are additional </w:t>
      </w:r>
      <w:r w:rsidR="00FE09EC">
        <w:rPr>
          <w:rStyle w:val="normaltextrun"/>
          <w:rFonts w:cs="Calibri"/>
        </w:rPr>
        <w:t xml:space="preserve">aquatic life </w:t>
      </w:r>
      <w:r w:rsidR="00647E01" w:rsidRPr="00E96432">
        <w:rPr>
          <w:rFonts w:ascii="Calibri" w:hAnsi="Calibri" w:cs="Calibri"/>
        </w:rPr>
        <w:t>Chesapeake Bay specific designated use</w:t>
      </w:r>
      <w:r w:rsidR="002A45BE">
        <w:rPr>
          <w:rFonts w:ascii="Calibri" w:hAnsi="Calibri" w:cs="Calibri"/>
        </w:rPr>
        <w:t>s</w:t>
      </w:r>
      <w:r w:rsidRPr="0025211B">
        <w:rPr>
          <w:rStyle w:val="normaltextrun"/>
          <w:rFonts w:cs="Calibri"/>
        </w:rPr>
        <w:t xml:space="preserve"> associated with the Chesapeake Bay.</w:t>
      </w:r>
    </w:p>
    <w:p w14:paraId="051DEEF3" w14:textId="77777777" w:rsidR="00DA24B7" w:rsidRPr="0025211B" w:rsidRDefault="00DA24B7" w:rsidP="008F1EAB">
      <w:pPr>
        <w:pStyle w:val="paragraph"/>
        <w:spacing w:before="0" w:beforeAutospacing="0" w:after="0" w:afterAutospacing="0"/>
        <w:textAlignment w:val="baseline"/>
        <w:rPr>
          <w:rStyle w:val="normaltextrun"/>
          <w:rFonts w:cs="Calibri"/>
        </w:rPr>
      </w:pPr>
    </w:p>
    <w:p w14:paraId="066B16E5" w14:textId="13FD6A85" w:rsidR="00BB0BD8" w:rsidRDefault="008F1EAB" w:rsidP="008F1EAB">
      <w:pPr>
        <w:pStyle w:val="paragraph"/>
        <w:spacing w:before="0" w:beforeAutospacing="0" w:after="0" w:afterAutospacing="0"/>
        <w:textAlignment w:val="baseline"/>
        <w:rPr>
          <w:rStyle w:val="normaltextrun"/>
          <w:rFonts w:cs="Calibri"/>
        </w:rPr>
      </w:pPr>
      <w:r w:rsidRPr="0025211B">
        <w:rPr>
          <w:rStyle w:val="normaltextrun"/>
          <w:rFonts w:cs="Calibri"/>
        </w:rPr>
        <w:t>DEQ employs the “Percent Method” to assess</w:t>
      </w:r>
      <w:r w:rsidR="005C3DDB" w:rsidRPr="0025211B">
        <w:rPr>
          <w:rStyle w:val="normaltextrun"/>
          <w:rFonts w:cs="Calibri"/>
        </w:rPr>
        <w:t xml:space="preserve"> </w:t>
      </w:r>
      <w:r w:rsidR="00BB0BD8" w:rsidRPr="0025211B">
        <w:rPr>
          <w:rStyle w:val="normaltextrun"/>
          <w:rFonts w:cs="Calibri"/>
        </w:rPr>
        <w:t xml:space="preserve">the impact of </w:t>
      </w:r>
      <w:r w:rsidR="00DB1D8B" w:rsidRPr="0025211B">
        <w:rPr>
          <w:rStyle w:val="normaltextrun"/>
          <w:rFonts w:cs="Calibri"/>
        </w:rPr>
        <w:t>a select group of parameters</w:t>
      </w:r>
      <w:r w:rsidR="00D42541" w:rsidRPr="0025211B">
        <w:rPr>
          <w:rStyle w:val="normaltextrun"/>
          <w:rFonts w:cs="Calibri"/>
        </w:rPr>
        <w:t>, termed conventional parameters</w:t>
      </w:r>
      <w:r w:rsidR="00DB1D8B" w:rsidRPr="0025211B">
        <w:rPr>
          <w:rStyle w:val="normaltextrun"/>
          <w:rFonts w:cs="Calibri"/>
        </w:rPr>
        <w:t xml:space="preserve">, </w:t>
      </w:r>
      <w:r w:rsidR="00D42541" w:rsidRPr="0025211B">
        <w:rPr>
          <w:rStyle w:val="normaltextrun"/>
          <w:rFonts w:cs="Calibri"/>
        </w:rPr>
        <w:t xml:space="preserve">on waters for two uses: aquatic life use and recreation use. </w:t>
      </w:r>
      <w:r w:rsidR="00DB1D8B" w:rsidRPr="0025211B">
        <w:rPr>
          <w:rStyle w:val="normaltextrun"/>
          <w:rFonts w:cs="Calibri"/>
        </w:rPr>
        <w:t xml:space="preserve">Conventional parameters </w:t>
      </w:r>
      <w:r w:rsidR="0036631C">
        <w:rPr>
          <w:rStyle w:val="normaltextrun"/>
          <w:rFonts w:cs="Calibri"/>
        </w:rPr>
        <w:t>are</w:t>
      </w:r>
      <w:r w:rsidR="008236AC" w:rsidRPr="0025211B">
        <w:rPr>
          <w:rStyle w:val="normaltextrun"/>
          <w:rFonts w:cs="Calibri"/>
        </w:rPr>
        <w:t xml:space="preserve"> DO, pH, and temperature.</w:t>
      </w:r>
      <w:r w:rsidR="008236AC">
        <w:rPr>
          <w:rStyle w:val="normaltextrun"/>
          <w:rFonts w:cs="Calibri"/>
        </w:rPr>
        <w:t xml:space="preserve"> </w:t>
      </w:r>
    </w:p>
    <w:p w14:paraId="1EAC2C7C" w14:textId="770CA573" w:rsidR="008F1EAB" w:rsidRDefault="008F1EAB" w:rsidP="008F1EAB">
      <w:pPr>
        <w:pStyle w:val="paragraph"/>
        <w:spacing w:before="0" w:beforeAutospacing="0" w:after="0" w:afterAutospacing="0"/>
        <w:textAlignment w:val="baseline"/>
        <w:rPr>
          <w:rFonts w:ascii="Segoe UI" w:hAnsi="Segoe UI" w:cs="Segoe UI"/>
          <w:sz w:val="18"/>
          <w:szCs w:val="18"/>
        </w:rPr>
      </w:pPr>
    </w:p>
    <w:p w14:paraId="4E3352C2" w14:textId="51E5AB96"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rPr>
        <w:t xml:space="preserve">Previous EPA national guidance recommended that states use an assessment method based on assumptions about the kind and frequency of data needed to support an assessment. The objective of assessment is to determine whether </w:t>
      </w:r>
      <w:proofErr w:type="gramStart"/>
      <w:r>
        <w:rPr>
          <w:rStyle w:val="normaltextrun"/>
          <w:rFonts w:cs="Calibri"/>
        </w:rPr>
        <w:t>waters are</w:t>
      </w:r>
      <w:proofErr w:type="gramEnd"/>
      <w:r>
        <w:rPr>
          <w:rStyle w:val="normaltextrun"/>
          <w:rFonts w:cs="Calibri"/>
        </w:rPr>
        <w:t xml:space="preserve"> fully supporting or impaired for the designated uses of an assessment unit (AU). </w:t>
      </w:r>
      <w:r w:rsidR="00E6652D">
        <w:rPr>
          <w:rStyle w:val="normaltextrun"/>
          <w:rFonts w:cs="Calibri"/>
        </w:rPr>
        <w:t xml:space="preserve">The </w:t>
      </w:r>
      <w:r w:rsidR="00D2395E">
        <w:rPr>
          <w:rStyle w:val="normaltextrun"/>
          <w:rFonts w:cs="Calibri"/>
        </w:rPr>
        <w:t>ten percent rule</w:t>
      </w:r>
      <w:r>
        <w:rPr>
          <w:rStyle w:val="normaltextrun"/>
          <w:rFonts w:cs="Calibri"/>
        </w:rPr>
        <w:t xml:space="preserve"> is used for determining full support or impairment for </w:t>
      </w:r>
      <w:r w:rsidR="00B6437B">
        <w:rPr>
          <w:rStyle w:val="normaltextrun"/>
          <w:rFonts w:cs="Calibri"/>
        </w:rPr>
        <w:t xml:space="preserve">field </w:t>
      </w:r>
      <w:r>
        <w:rPr>
          <w:rStyle w:val="normaltextrun"/>
          <w:rFonts w:cs="Calibri"/>
        </w:rPr>
        <w:t>parameters</w:t>
      </w:r>
      <w:r w:rsidR="00375515">
        <w:rPr>
          <w:rStyle w:val="normaltextrun"/>
          <w:rFonts w:cs="Calibri"/>
        </w:rPr>
        <w:t xml:space="preserve"> like </w:t>
      </w:r>
      <w:r w:rsidR="00B6437B">
        <w:rPr>
          <w:rStyle w:val="normaltextrun"/>
          <w:rFonts w:cs="Calibri"/>
        </w:rPr>
        <w:t>DO</w:t>
      </w:r>
      <w:r>
        <w:rPr>
          <w:rStyle w:val="normaltextrun"/>
          <w:rFonts w:cs="Calibri"/>
        </w:rPr>
        <w:t>, pH, and temperature</w:t>
      </w:r>
      <w:r w:rsidR="00043E83">
        <w:rPr>
          <w:rStyle w:val="normaltextrun"/>
          <w:rFonts w:cs="Calibri"/>
        </w:rPr>
        <w:t xml:space="preserve"> and </w:t>
      </w:r>
      <w:r w:rsidR="000330E8">
        <w:rPr>
          <w:rStyle w:val="normaltextrun"/>
          <w:rFonts w:cs="Calibri"/>
        </w:rPr>
        <w:t>bacteria</w:t>
      </w:r>
      <w:r w:rsidR="00E46761">
        <w:rPr>
          <w:rStyle w:val="normaltextrun"/>
          <w:rFonts w:cs="Calibri"/>
        </w:rPr>
        <w:t>l</w:t>
      </w:r>
      <w:r w:rsidR="000330E8">
        <w:rPr>
          <w:rStyle w:val="normaltextrun"/>
          <w:rFonts w:cs="Calibri"/>
        </w:rPr>
        <w:t xml:space="preserve"> indicators</w:t>
      </w:r>
      <w:r>
        <w:rPr>
          <w:rStyle w:val="normaltextrun"/>
          <w:rFonts w:cs="Calibri"/>
        </w:rPr>
        <w:t>. Generally, datasets with an exceedance rate that is greater than 10% and at least 2 exceedances are considered impaired. This percentage rule is governed by the fact that sampling is associated with unknown equipment and human error, as well as an acknowledgment that designated uses are not impacted by infrequent, short-term exceedances of water quality standards.</w:t>
      </w:r>
      <w:r>
        <w:rPr>
          <w:rStyle w:val="eop"/>
          <w:rFonts w:ascii="Calibri" w:hAnsi="Calibri" w:cs="Calibri"/>
        </w:rPr>
        <w:t> </w:t>
      </w:r>
      <w:r w:rsidR="00442137">
        <w:rPr>
          <w:rStyle w:val="eop"/>
          <w:rFonts w:ascii="Calibri" w:hAnsi="Calibri" w:cs="Calibri"/>
        </w:rPr>
        <w:t xml:space="preserve">The </w:t>
      </w:r>
      <w:r w:rsidR="00C433F5">
        <w:rPr>
          <w:rStyle w:val="eop"/>
          <w:rFonts w:ascii="Calibri" w:hAnsi="Calibri" w:cs="Calibri"/>
        </w:rPr>
        <w:t xml:space="preserve">ten percent rule is not applied to </w:t>
      </w:r>
      <w:r w:rsidR="00AC22F1">
        <w:rPr>
          <w:rStyle w:val="eop"/>
          <w:rFonts w:ascii="Calibri" w:hAnsi="Calibri" w:cs="Calibri"/>
        </w:rPr>
        <w:t xml:space="preserve">the assessment of </w:t>
      </w:r>
      <w:r w:rsidR="00C433F5">
        <w:rPr>
          <w:rStyle w:val="eop"/>
          <w:rFonts w:ascii="Calibri" w:hAnsi="Calibri" w:cs="Calibri"/>
        </w:rPr>
        <w:t>toxic parameters as contained in 9VAC25-260</w:t>
      </w:r>
      <w:r w:rsidR="00723920">
        <w:rPr>
          <w:rStyle w:val="eop"/>
          <w:rFonts w:ascii="Calibri" w:hAnsi="Calibri" w:cs="Calibri"/>
        </w:rPr>
        <w:t>-140</w:t>
      </w:r>
      <w:r w:rsidR="00AC22F1">
        <w:rPr>
          <w:rStyle w:val="eop"/>
          <w:rFonts w:ascii="Calibri" w:hAnsi="Calibri" w:cs="Calibri"/>
        </w:rPr>
        <w:t xml:space="preserve"> as the WQS regulation establishes allowable exceedance thresholds for these </w:t>
      </w:r>
      <w:r w:rsidR="00D15A3C">
        <w:rPr>
          <w:rStyle w:val="eop"/>
          <w:rFonts w:ascii="Calibri" w:hAnsi="Calibri" w:cs="Calibri"/>
        </w:rPr>
        <w:t>pollutants.</w:t>
      </w:r>
    </w:p>
    <w:p w14:paraId="21FAC1C8"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lastRenderedPageBreak/>
        <w:t> </w:t>
      </w:r>
    </w:p>
    <w:p w14:paraId="2BE8DF50" w14:textId="1FC90528" w:rsidR="008F1EAB" w:rsidRPr="00C41EF7" w:rsidRDefault="008F1EAB" w:rsidP="00C41EF7">
      <w:pPr>
        <w:pStyle w:val="Heading3"/>
      </w:pPr>
      <w:r w:rsidRPr="00C41EF7">
        <w:rPr>
          <w:rStyle w:val="normaltextrun"/>
          <w:rFonts w:asciiTheme="minorHAnsi" w:hAnsiTheme="minorHAnsi"/>
        </w:rPr>
        <w:t>Rules Used to Assess Support of Designated Uses</w:t>
      </w:r>
      <w:r w:rsidRPr="00C41EF7">
        <w:rPr>
          <w:rStyle w:val="eop"/>
        </w:rPr>
        <w:t> </w:t>
      </w:r>
    </w:p>
    <w:p w14:paraId="1FCBC8BF" w14:textId="2B2C0675"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rPr>
        <w:t xml:space="preserve">Virginia bases its water quality assessment on the ability of the waters to support the associated designated uses. The specific decision rules and procedures are described in the Final 2024 Water Quality Assessment Guidance Manual. Designated use support is established on the waters meeting the criteria for each use as defined in the numeric and/or narrative water quality standards. The following is a general description of the criteria used to determine the quality of the waters relating to each of the designated uses and associated categories. A full list of EPA and Virginia categories can be found in </w:t>
      </w:r>
      <w:r w:rsidR="00953D04">
        <w:rPr>
          <w:rStyle w:val="normaltextrun"/>
          <w:rFonts w:cs="Calibri"/>
        </w:rPr>
        <w:t>S</w:t>
      </w:r>
      <w:r>
        <w:rPr>
          <w:rStyle w:val="normaltextrun"/>
          <w:rFonts w:cs="Calibri"/>
        </w:rPr>
        <w:t xml:space="preserve">ection </w:t>
      </w:r>
      <w:r w:rsidR="00B65A6C">
        <w:rPr>
          <w:rStyle w:val="normaltextrun"/>
          <w:rFonts w:cs="Calibri"/>
        </w:rPr>
        <w:t>1.2.1</w:t>
      </w:r>
      <w:r>
        <w:rPr>
          <w:rStyle w:val="normaltextrun"/>
          <w:rFonts w:cs="Calibri"/>
        </w:rPr>
        <w:t xml:space="preserve">. Additional information </w:t>
      </w:r>
      <w:r w:rsidRPr="000628F9">
        <w:rPr>
          <w:rStyle w:val="normaltextrun"/>
          <w:rFonts w:asciiTheme="minorHAnsi" w:hAnsiTheme="minorHAnsi" w:cstheme="minorHAnsi"/>
        </w:rPr>
        <w:t xml:space="preserve">related to the degree of use support can be found </w:t>
      </w:r>
      <w:proofErr w:type="gramStart"/>
      <w:r w:rsidRPr="000628F9">
        <w:rPr>
          <w:rStyle w:val="normaltextrun"/>
          <w:rFonts w:asciiTheme="minorHAnsi" w:hAnsiTheme="minorHAnsi" w:cstheme="minorHAnsi"/>
        </w:rPr>
        <w:t>at</w:t>
      </w:r>
      <w:proofErr w:type="gramEnd"/>
      <w:r w:rsidRPr="000628F9">
        <w:rPr>
          <w:rStyle w:val="normaltextrun"/>
          <w:rFonts w:asciiTheme="minorHAnsi" w:hAnsiTheme="minorHAnsi" w:cstheme="minorHAnsi"/>
        </w:rPr>
        <w:t xml:space="preserve"> the DEQ water quality standards web</w:t>
      </w:r>
      <w:r w:rsidR="00A25B88">
        <w:rPr>
          <w:rStyle w:val="normaltextrun"/>
          <w:rFonts w:asciiTheme="minorHAnsi" w:hAnsiTheme="minorHAnsi" w:cstheme="minorHAnsi"/>
        </w:rPr>
        <w:t>page.</w:t>
      </w:r>
    </w:p>
    <w:p w14:paraId="67E10234"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3E1E7549"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b/>
          <w:bCs/>
          <w:i/>
          <w:iCs/>
          <w:color w:val="000000"/>
        </w:rPr>
        <w:t>Not Assessed</w:t>
      </w:r>
      <w:r>
        <w:rPr>
          <w:rStyle w:val="eop"/>
          <w:rFonts w:ascii="Calibri" w:hAnsi="Calibri" w:cs="Calibri"/>
          <w:color w:val="000000"/>
        </w:rPr>
        <w:t> </w:t>
      </w:r>
    </w:p>
    <w:p w14:paraId="318636AE" w14:textId="77777777" w:rsidR="008F1EAB" w:rsidRDefault="008F1EAB" w:rsidP="009A4BDE">
      <w:pPr>
        <w:rPr>
          <w:rFonts w:ascii="Segoe UI" w:hAnsi="Segoe UI" w:cs="Segoe UI"/>
          <w:sz w:val="18"/>
          <w:szCs w:val="18"/>
        </w:rPr>
      </w:pPr>
      <w:r>
        <w:rPr>
          <w:rStyle w:val="normaltextrun"/>
          <w:rFonts w:cs="Calibri"/>
        </w:rPr>
        <w:t xml:space="preserve">Waters with no data for any </w:t>
      </w:r>
      <w:proofErr w:type="gramStart"/>
      <w:r>
        <w:rPr>
          <w:rStyle w:val="normaltextrun"/>
          <w:rFonts w:cs="Calibri"/>
        </w:rPr>
        <w:t>uses</w:t>
      </w:r>
      <w:proofErr w:type="gramEnd"/>
      <w:r>
        <w:rPr>
          <w:rStyle w:val="normaltextrun"/>
          <w:rFonts w:cs="Calibri"/>
        </w:rPr>
        <w:t xml:space="preserve"> or with only a single sample (</w:t>
      </w:r>
      <w:r w:rsidRPr="000D0E8E">
        <w:rPr>
          <w:rStyle w:val="normaltextrun"/>
          <w:rFonts w:cs="Calibri"/>
        </w:rPr>
        <w:t>conventional</w:t>
      </w:r>
      <w:r>
        <w:rPr>
          <w:rStyle w:val="normaltextrun"/>
          <w:rFonts w:cs="Calibri"/>
        </w:rPr>
        <w:t xml:space="preserve"> parameters only) (Category 3A).</w:t>
      </w:r>
      <w:r>
        <w:rPr>
          <w:rStyle w:val="eop"/>
          <w:rFonts w:ascii="Calibri" w:hAnsi="Calibri" w:cs="Calibri"/>
        </w:rPr>
        <w:t> </w:t>
      </w:r>
    </w:p>
    <w:p w14:paraId="04EC7DCB"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7FA27A48"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b/>
          <w:bCs/>
          <w:i/>
          <w:iCs/>
          <w:color w:val="000000"/>
        </w:rPr>
        <w:t>Insufficient Information</w:t>
      </w:r>
      <w:r>
        <w:rPr>
          <w:rStyle w:val="eop"/>
          <w:rFonts w:ascii="Calibri" w:hAnsi="Calibri" w:cs="Calibri"/>
          <w:color w:val="000000"/>
        </w:rPr>
        <w:t> </w:t>
      </w:r>
    </w:p>
    <w:p w14:paraId="173A1C70" w14:textId="2DF0AC84" w:rsidR="008F1EAB" w:rsidRPr="009A4BDE" w:rsidRDefault="008F1EAB" w:rsidP="009A4BDE">
      <w:pPr>
        <w:rPr>
          <w:sz w:val="18"/>
          <w:szCs w:val="18"/>
        </w:rPr>
      </w:pPr>
      <w:r w:rsidRPr="009A4BDE">
        <w:rPr>
          <w:rStyle w:val="normaltextrun"/>
          <w:rFonts w:asciiTheme="minorHAnsi" w:hAnsiTheme="minorHAnsi" w:cstheme="minorHAnsi"/>
        </w:rPr>
        <w:t xml:space="preserve">Waters that have a single exceedance in a small dataset (2-9 samples for conventional parameters) are </w:t>
      </w:r>
      <w:r w:rsidRPr="009A4BDE">
        <w:t xml:space="preserve">considered insufficient data (Category 3B). Additionally, waters will be classified as insufficient data (Category 3B) where </w:t>
      </w:r>
      <w:r w:rsidR="00032263">
        <w:t xml:space="preserve">benthic index scores conflict with DEQ </w:t>
      </w:r>
      <w:r w:rsidR="00B43148">
        <w:t>biologist’s</w:t>
      </w:r>
      <w:r w:rsidRPr="009A4BDE">
        <w:t xml:space="preserve"> </w:t>
      </w:r>
      <w:r w:rsidR="00032263">
        <w:t>best</w:t>
      </w:r>
      <w:r w:rsidR="00032263" w:rsidRPr="009A4BDE">
        <w:t xml:space="preserve"> </w:t>
      </w:r>
      <w:r w:rsidRPr="009A4BDE">
        <w:t xml:space="preserve">professional judgment </w:t>
      </w:r>
      <w:r w:rsidR="00B43148">
        <w:t xml:space="preserve">and are unable to </w:t>
      </w:r>
      <w:r w:rsidRPr="009A4BDE">
        <w:t xml:space="preserve">determine if </w:t>
      </w:r>
      <w:r w:rsidR="00B43148">
        <w:t>the aquatic life</w:t>
      </w:r>
      <w:r w:rsidRPr="009A4BDE">
        <w:t xml:space="preserve"> use is met. Waters where the data are not QA/QC approved but the data review indicates potential degradation are categorized as insufficient data but having observed effects (Category 3C). Waters where the data are not QA/QC approved but the assessment results indicate acceptable water quality will be considered insufficient data with no observed effects (Category 3D). Waters that were previously categorized as fully supporting a designated use (Category 2) will default to Category 3 after two assessment cycles of no new data. An additional Category 3 was added for the 2024 cycle. Category 3E are waters of concern to the state and data exist, but no water quality standard has been established for the pollutant. The waterbody either exceeds a state screening</w:t>
      </w:r>
      <w:r w:rsidRPr="009A4BDE">
        <w:rPr>
          <w:rStyle w:val="normaltextrun"/>
          <w:rFonts w:asciiTheme="minorHAnsi" w:hAnsiTheme="minorHAnsi" w:cstheme="minorHAnsi"/>
        </w:rPr>
        <w:t xml:space="preserve"> value, failed a toxicity test or the pollutant has been identified as a most probable stressor and had a TMDL equation assigned during development of an EPA approved TMDL.</w:t>
      </w:r>
      <w:r w:rsidRPr="009A4BDE">
        <w:rPr>
          <w:rStyle w:val="eop"/>
          <w:rFonts w:cstheme="minorHAnsi"/>
        </w:rPr>
        <w:t> </w:t>
      </w:r>
    </w:p>
    <w:p w14:paraId="2B61A6F7"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5C4F26FF"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b/>
          <w:bCs/>
          <w:i/>
          <w:iCs/>
          <w:color w:val="000000"/>
        </w:rPr>
        <w:t>Fully Supporting</w:t>
      </w:r>
      <w:r>
        <w:rPr>
          <w:rStyle w:val="eop"/>
          <w:rFonts w:ascii="Calibri" w:hAnsi="Calibri" w:cs="Calibri"/>
          <w:color w:val="000000"/>
        </w:rPr>
        <w:t> </w:t>
      </w:r>
    </w:p>
    <w:p w14:paraId="6397F999"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rPr>
        <w:t xml:space="preserve">The following is a description of the types of data and the acceptable criteria used to assess waters as fully supporting designated uses. These waters would be placed in Category 2A or 2C unless </w:t>
      </w:r>
      <w:r>
        <w:rPr>
          <w:rStyle w:val="normaltextrun"/>
          <w:rFonts w:cs="Calibri"/>
          <w:u w:val="single"/>
        </w:rPr>
        <w:t>all</w:t>
      </w:r>
      <w:r>
        <w:rPr>
          <w:rStyle w:val="normaltextrun"/>
          <w:rFonts w:cs="Calibri"/>
        </w:rPr>
        <w:t xml:space="preserve"> designated uses are fully supporting, upon which the water would be placed in Category 1.</w:t>
      </w:r>
      <w:r>
        <w:rPr>
          <w:rStyle w:val="eop"/>
          <w:rFonts w:ascii="Calibri" w:hAnsi="Calibri" w:cs="Calibri"/>
        </w:rPr>
        <w:t> </w:t>
      </w:r>
    </w:p>
    <w:p w14:paraId="584F512D"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75EA0914" w14:textId="51B07032"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sidRPr="000D0E8E">
        <w:rPr>
          <w:rStyle w:val="normaltextrun"/>
          <w:rFonts w:cs="Calibri"/>
          <w:i/>
          <w:iCs/>
        </w:rPr>
        <w:t>Conventional</w:t>
      </w:r>
      <w:r>
        <w:rPr>
          <w:rStyle w:val="normaltextrun"/>
          <w:rFonts w:cs="Calibri"/>
          <w:i/>
          <w:iCs/>
        </w:rPr>
        <w:t xml:space="preserve"> Parameters:</w:t>
      </w:r>
    </w:p>
    <w:p w14:paraId="2E6B4D63" w14:textId="6B19E7F4" w:rsidR="008F1EAB" w:rsidRDefault="008F1EAB" w:rsidP="008F1EAB">
      <w:pPr>
        <w:pStyle w:val="paragraph"/>
        <w:spacing w:before="0" w:beforeAutospacing="0" w:after="0" w:afterAutospacing="0"/>
        <w:ind w:left="720"/>
        <w:textAlignment w:val="baseline"/>
        <w:rPr>
          <w:rFonts w:ascii="Segoe UI" w:hAnsi="Segoe UI" w:cs="Segoe UI"/>
          <w:sz w:val="18"/>
          <w:szCs w:val="18"/>
        </w:rPr>
      </w:pPr>
      <w:proofErr w:type="gramStart"/>
      <w:r>
        <w:rPr>
          <w:rStyle w:val="normaltextrun"/>
          <w:rFonts w:cs="Calibri"/>
        </w:rPr>
        <w:t>Waters</w:t>
      </w:r>
      <w:proofErr w:type="gramEnd"/>
      <w:r>
        <w:rPr>
          <w:rStyle w:val="normaltextrun"/>
          <w:rFonts w:cs="Calibri"/>
        </w:rPr>
        <w:t xml:space="preserve"> that are fully supporting their designated uses can have up to 10.5% exceedances of water quality criteria for conventional parameters dissolved oxygen, temperature</w:t>
      </w:r>
      <w:r w:rsidR="001A6521">
        <w:rPr>
          <w:rStyle w:val="normaltextrun"/>
          <w:rFonts w:cs="Calibri"/>
        </w:rPr>
        <w:t>,</w:t>
      </w:r>
      <w:r>
        <w:rPr>
          <w:rStyle w:val="normaltextrun"/>
          <w:rFonts w:cs="Calibri"/>
        </w:rPr>
        <w:t xml:space="preserve"> and pH (aquatic life use) without negatively affecting designated uses. Natural variability can cause exceedances of these criteria in the 0-10.5% range and still fully support the aquatic life designated use. All data assessed as fully supporting must be </w:t>
      </w:r>
      <w:proofErr w:type="gramStart"/>
      <w:r>
        <w:rPr>
          <w:rStyle w:val="normaltextrun"/>
          <w:rFonts w:cs="Calibri"/>
        </w:rPr>
        <w:t>QA/QC approved</w:t>
      </w:r>
      <w:proofErr w:type="gramEnd"/>
      <w:r>
        <w:rPr>
          <w:rStyle w:val="normaltextrun"/>
          <w:rFonts w:cs="Calibri"/>
        </w:rPr>
        <w:t>.</w:t>
      </w:r>
      <w:r>
        <w:rPr>
          <w:rStyle w:val="eop"/>
          <w:rFonts w:ascii="Calibri" w:hAnsi="Calibri" w:cs="Calibri"/>
        </w:rPr>
        <w:t> </w:t>
      </w:r>
    </w:p>
    <w:p w14:paraId="65849206"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lastRenderedPageBreak/>
        <w:t> </w:t>
      </w:r>
    </w:p>
    <w:p w14:paraId="29E2DFD3" w14:textId="62F6CEF1"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 xml:space="preserve">Numerical criteria for dissolved oxygen, pH and temperature do not apply at &lt; 7Q10 flow conditions. 7Q10 is the lowest flow averaged (arithmetic mean) over a period of seven consecutive days that can be statistically expected to occur once every 10 climatic years (a climatic year begins April 1 and ends March 31). Data for these parameters that are from flow conditions below 7Q10 will not be used to make assessment decisions per </w:t>
      </w:r>
      <w:r w:rsidRPr="00FD0F86">
        <w:rPr>
          <w:rStyle w:val="normaltextrun"/>
          <w:rFonts w:cs="Calibri"/>
        </w:rPr>
        <w:t>9VAC25-260-50</w:t>
      </w:r>
      <w:r>
        <w:rPr>
          <w:rStyle w:val="normaltextrun"/>
          <w:rFonts w:cs="Calibri"/>
        </w:rPr>
        <w:t>.</w:t>
      </w:r>
      <w:r>
        <w:rPr>
          <w:rStyle w:val="eop"/>
          <w:rFonts w:ascii="Calibri" w:hAnsi="Calibri" w:cs="Calibri"/>
        </w:rPr>
        <w:t> </w:t>
      </w:r>
    </w:p>
    <w:p w14:paraId="7FB16DDA"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54D039FB"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Bacteria:</w:t>
      </w:r>
      <w:r>
        <w:rPr>
          <w:rStyle w:val="eop"/>
          <w:rFonts w:ascii="Calibri" w:hAnsi="Calibri" w:cs="Calibri"/>
        </w:rPr>
        <w:t> </w:t>
      </w:r>
    </w:p>
    <w:p w14:paraId="534D40B4" w14:textId="4C51B1FB"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 xml:space="preserve">An </w:t>
      </w:r>
      <w:r>
        <w:rPr>
          <w:rStyle w:val="normaltextrun"/>
          <w:rFonts w:cs="Calibri"/>
          <w:i/>
          <w:iCs/>
        </w:rPr>
        <w:t>E. coli</w:t>
      </w:r>
      <w:r>
        <w:rPr>
          <w:rStyle w:val="normaltextrun"/>
          <w:rFonts w:cs="Calibri"/>
        </w:rPr>
        <w:t xml:space="preserve"> or </w:t>
      </w:r>
      <w:r w:rsidR="009D1D45">
        <w:rPr>
          <w:rStyle w:val="normaltextrun"/>
          <w:rFonts w:cs="Calibri"/>
        </w:rPr>
        <w:t>E</w:t>
      </w:r>
      <w:r>
        <w:rPr>
          <w:rStyle w:val="normaltextrun"/>
          <w:rFonts w:cs="Calibri"/>
        </w:rPr>
        <w:t xml:space="preserve">nterococci dataset collected in the two most recent years of the assessment data window with 10 or more samples, no geometric mean </w:t>
      </w:r>
      <w:r w:rsidR="002F0C15">
        <w:rPr>
          <w:rStyle w:val="normaltextrun"/>
          <w:rFonts w:cs="Calibri"/>
        </w:rPr>
        <w:t>exceedances,</w:t>
      </w:r>
      <w:r>
        <w:rPr>
          <w:rStyle w:val="normaltextrun"/>
          <w:rFonts w:cs="Calibri"/>
        </w:rPr>
        <w:t xml:space="preserve"> and a Statistical Threshold Value (STV) exceedance rate of less than 10% in a 90-day period is considered fully supporting the </w:t>
      </w:r>
      <w:proofErr w:type="gramStart"/>
      <w:r>
        <w:rPr>
          <w:rStyle w:val="normaltextrun"/>
          <w:rFonts w:cs="Calibri"/>
        </w:rPr>
        <w:t>recreation</w:t>
      </w:r>
      <w:proofErr w:type="gramEnd"/>
      <w:r>
        <w:rPr>
          <w:rStyle w:val="normaltextrun"/>
          <w:rFonts w:cs="Calibri"/>
        </w:rPr>
        <w:t xml:space="preserve"> use. Both the geometric mean and STV criteria must be met for the water to be considered fully supporting.</w:t>
      </w:r>
      <w:r>
        <w:rPr>
          <w:rStyle w:val="eop"/>
          <w:rFonts w:ascii="Calibri" w:hAnsi="Calibri" w:cs="Calibri"/>
        </w:rPr>
        <w:t> </w:t>
      </w:r>
    </w:p>
    <w:p w14:paraId="55B81028"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1150B569"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Toxic Pollutants:</w:t>
      </w:r>
      <w:r>
        <w:rPr>
          <w:rStyle w:val="eop"/>
          <w:rFonts w:ascii="Calibri" w:hAnsi="Calibri" w:cs="Calibri"/>
        </w:rPr>
        <w:t> </w:t>
      </w:r>
    </w:p>
    <w:p w14:paraId="604C3FAE" w14:textId="26715ECE"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 xml:space="preserve">For toxic pollutant assessment in free-flowing streams, waters where there are two or more samples and no exceedances of aquatic life criteria within a running 3-year period, using grab samples or Semipermeable Membrane Device (SPMD) data, are considered fully supporting for aquatic life and wildlife use. For public water supply and human health-related criteria in other surface waters, two or more samples and no exceedances during the reporting period, using grab samples or SPMD data, are considered fully supporting for Public Water Supply (PWS) and/or fish consumption use. For </w:t>
      </w:r>
      <w:r w:rsidR="006A33AB">
        <w:rPr>
          <w:rStyle w:val="normaltextrun"/>
          <w:rFonts w:cs="Calibri"/>
        </w:rPr>
        <w:t>probabilistic benthic</w:t>
      </w:r>
      <w:r>
        <w:rPr>
          <w:rStyle w:val="normaltextrun"/>
          <w:rFonts w:cs="Calibri"/>
        </w:rPr>
        <w:t xml:space="preserve"> assessment</w:t>
      </w:r>
      <w:r w:rsidR="006A33AB">
        <w:rPr>
          <w:rStyle w:val="normaltextrun"/>
          <w:rFonts w:cs="Calibri"/>
        </w:rPr>
        <w:t>s</w:t>
      </w:r>
      <w:r>
        <w:rPr>
          <w:rStyle w:val="normaltextrun"/>
          <w:rFonts w:cs="Calibri"/>
        </w:rPr>
        <w:t xml:space="preserve"> in estuarine waters, where there are several types of toxic data available, a “weight of evidence” approach is used.</w:t>
      </w:r>
      <w:r>
        <w:rPr>
          <w:rStyle w:val="eop"/>
          <w:rFonts w:ascii="Calibri" w:hAnsi="Calibri" w:cs="Calibri"/>
        </w:rPr>
        <w:t> </w:t>
      </w:r>
    </w:p>
    <w:p w14:paraId="6833DB70"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287640BD"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Fish Tissue Contamination:</w:t>
      </w:r>
      <w:r>
        <w:rPr>
          <w:rStyle w:val="eop"/>
          <w:rFonts w:ascii="Calibri" w:hAnsi="Calibri" w:cs="Calibri"/>
        </w:rPr>
        <w:t> </w:t>
      </w:r>
    </w:p>
    <w:p w14:paraId="5B9E5F76" w14:textId="77777777"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 xml:space="preserve">Waters with two or more samples, with no exceedances of the fish tissue screening </w:t>
      </w:r>
      <w:proofErr w:type="gramStart"/>
      <w:r>
        <w:rPr>
          <w:rStyle w:val="normaltextrun"/>
          <w:rFonts w:cs="Calibri"/>
        </w:rPr>
        <w:t>values</w:t>
      </w:r>
      <w:proofErr w:type="gramEnd"/>
      <w:r>
        <w:rPr>
          <w:rStyle w:val="normaltextrun"/>
          <w:rFonts w:cs="Calibri"/>
        </w:rPr>
        <w:t xml:space="preserve"> are considered fully supporting.</w:t>
      </w:r>
      <w:r>
        <w:rPr>
          <w:rStyle w:val="eop"/>
          <w:rFonts w:ascii="Calibri" w:hAnsi="Calibri" w:cs="Calibri"/>
        </w:rPr>
        <w:t> </w:t>
      </w:r>
    </w:p>
    <w:p w14:paraId="65C112AC"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3AF64466"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Biological Evaluation</w:t>
      </w:r>
      <w:r>
        <w:rPr>
          <w:rStyle w:val="normaltextrun"/>
          <w:rFonts w:cs="Calibri"/>
        </w:rPr>
        <w:t>:</w:t>
      </w:r>
      <w:r>
        <w:rPr>
          <w:rStyle w:val="eop"/>
          <w:rFonts w:ascii="Calibri" w:hAnsi="Calibri" w:cs="Calibri"/>
        </w:rPr>
        <w:t> </w:t>
      </w:r>
    </w:p>
    <w:p w14:paraId="14AAD6D2" w14:textId="36481512"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For free-flowing stream biological community assessment, data for the overall assessment period are rated as not impaired where no biological assemblage (e.g., macro-invertebrates) has been modified beyond the natural range of reference conditions based on the Virginia Stream Condition Index (VSCI) or the Virginia Coastal Plain Macroinvertebrate Index (VCPMI) methodology.</w:t>
      </w:r>
    </w:p>
    <w:p w14:paraId="790000FD"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1032EDCA"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Fish Consumption Advisories:</w:t>
      </w:r>
      <w:r>
        <w:rPr>
          <w:rStyle w:val="eop"/>
          <w:rFonts w:ascii="Calibri" w:hAnsi="Calibri" w:cs="Calibri"/>
        </w:rPr>
        <w:t> </w:t>
      </w:r>
    </w:p>
    <w:p w14:paraId="0CD905E0" w14:textId="76C06E79" w:rsidR="008F1EAB" w:rsidRDefault="00A84F64"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Waters where VDH has not issued any fish consumption advisories and fish tissue data meet toxics criteria</w:t>
      </w:r>
      <w:r w:rsidR="008F1EAB">
        <w:rPr>
          <w:rStyle w:val="normaltextrun"/>
          <w:rFonts w:cs="Calibri"/>
        </w:rPr>
        <w:t xml:space="preserve"> are assessed as fully supporting for the fish consumption use.</w:t>
      </w:r>
      <w:r w:rsidR="008F1EAB">
        <w:rPr>
          <w:rStyle w:val="eop"/>
          <w:rFonts w:ascii="Calibri" w:hAnsi="Calibri" w:cs="Calibri"/>
        </w:rPr>
        <w:t> </w:t>
      </w:r>
    </w:p>
    <w:p w14:paraId="6194D01A" w14:textId="5F36352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25005488"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Shellfishing Advisories</w:t>
      </w:r>
      <w:r>
        <w:rPr>
          <w:rStyle w:val="normaltextrun"/>
          <w:rFonts w:cs="Calibri"/>
        </w:rPr>
        <w:t>:</w:t>
      </w:r>
      <w:r>
        <w:rPr>
          <w:rStyle w:val="eop"/>
          <w:rFonts w:ascii="Calibri" w:hAnsi="Calibri" w:cs="Calibri"/>
        </w:rPr>
        <w:t> </w:t>
      </w:r>
    </w:p>
    <w:p w14:paraId="18B7AC24" w14:textId="4A6BB44F"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 xml:space="preserve">Growing areas are considered fully supporting (Category 2A) for the shellfish consumption use where no restriction or prohibition (condemnation) on shellfish harvesting is imposed as indicated by the </w:t>
      </w:r>
      <w:r w:rsidR="002A7ED3">
        <w:rPr>
          <w:rStyle w:val="normaltextrun"/>
          <w:rFonts w:cs="Calibri"/>
        </w:rPr>
        <w:t>Division</w:t>
      </w:r>
      <w:r>
        <w:rPr>
          <w:rStyle w:val="normaltextrun"/>
          <w:rFonts w:cs="Calibri"/>
        </w:rPr>
        <w:t xml:space="preserve"> of Shellfish Sanitation (DSS) summary </w:t>
      </w:r>
      <w:r>
        <w:rPr>
          <w:rStyle w:val="normaltextrun"/>
          <w:rFonts w:cs="Calibri"/>
        </w:rPr>
        <w:lastRenderedPageBreak/>
        <w:t xml:space="preserve">dated December 2022. The </w:t>
      </w:r>
      <w:proofErr w:type="spellStart"/>
      <w:r>
        <w:rPr>
          <w:rStyle w:val="normaltextrun"/>
          <w:rFonts w:cs="Calibri"/>
        </w:rPr>
        <w:t>shellfishing</w:t>
      </w:r>
      <w:proofErr w:type="spellEnd"/>
      <w:r>
        <w:rPr>
          <w:rStyle w:val="normaltextrun"/>
          <w:rFonts w:cs="Calibri"/>
        </w:rPr>
        <w:t xml:space="preserve"> use should be considered fully supporting (Category 2B) when harvesting is limited because of seasonal or conditional closures per VDH </w:t>
      </w:r>
      <w:r w:rsidR="002A7ED3">
        <w:rPr>
          <w:rStyle w:val="normaltextrun"/>
          <w:rFonts w:cs="Calibri"/>
        </w:rPr>
        <w:t>Division</w:t>
      </w:r>
      <w:r>
        <w:rPr>
          <w:rStyle w:val="normaltextrun"/>
          <w:rFonts w:cs="Calibri"/>
        </w:rPr>
        <w:t xml:space="preserve"> of Shellfish Sanitation.</w:t>
      </w:r>
    </w:p>
    <w:p w14:paraId="5953A689"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eop"/>
          <w:rFonts w:ascii="Calibri" w:hAnsi="Calibri" w:cs="Calibri"/>
        </w:rPr>
        <w:t> </w:t>
      </w:r>
    </w:p>
    <w:p w14:paraId="7928BE37"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Beach Closures/Advisories:</w:t>
      </w:r>
      <w:r>
        <w:rPr>
          <w:rStyle w:val="eop"/>
          <w:rFonts w:ascii="Calibri" w:hAnsi="Calibri" w:cs="Calibri"/>
        </w:rPr>
        <w:t> </w:t>
      </w:r>
    </w:p>
    <w:p w14:paraId="2B164C20" w14:textId="77777777"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Beach waters are assessed as fully supporting the recreation use when no VDH beach closures were issued and/or geometric mean exceedances occurred, based on QA/QC approved sampling data, during the assessment period.</w:t>
      </w:r>
      <w:r>
        <w:rPr>
          <w:rStyle w:val="eop"/>
          <w:rFonts w:ascii="Calibri" w:hAnsi="Calibri" w:cs="Calibri"/>
        </w:rPr>
        <w:t> </w:t>
      </w:r>
    </w:p>
    <w:p w14:paraId="1173431E"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0DE2810F"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Public Water Supply Source Closures:</w:t>
      </w:r>
      <w:r>
        <w:rPr>
          <w:rStyle w:val="eop"/>
          <w:rFonts w:ascii="Calibri" w:hAnsi="Calibri" w:cs="Calibri"/>
        </w:rPr>
        <w:t> </w:t>
      </w:r>
    </w:p>
    <w:p w14:paraId="457DE7E7" w14:textId="77777777"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 xml:space="preserve">If no VDH public water supply source closures were issued based on sampling data during the assessment period, waters are considered fully </w:t>
      </w:r>
      <w:proofErr w:type="gramStart"/>
      <w:r>
        <w:rPr>
          <w:rStyle w:val="normaltextrun"/>
          <w:rFonts w:cs="Calibri"/>
        </w:rPr>
        <w:t>supporting</w:t>
      </w:r>
      <w:proofErr w:type="gramEnd"/>
      <w:r>
        <w:rPr>
          <w:rStyle w:val="normaltextrun"/>
          <w:rFonts w:cs="Calibri"/>
        </w:rPr>
        <w:t xml:space="preserve"> the public water supply use.</w:t>
      </w:r>
      <w:r>
        <w:rPr>
          <w:rStyle w:val="eop"/>
          <w:rFonts w:ascii="Calibri" w:hAnsi="Calibri" w:cs="Calibri"/>
        </w:rPr>
        <w:t> </w:t>
      </w:r>
    </w:p>
    <w:p w14:paraId="0A365F64"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2F623F7"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Swimming Advisories due to Harmful Algal Blooms (HABs):</w:t>
      </w:r>
      <w:r>
        <w:rPr>
          <w:rStyle w:val="eop"/>
          <w:rFonts w:ascii="Calibri" w:hAnsi="Calibri" w:cs="Calibri"/>
        </w:rPr>
        <w:t> </w:t>
      </w:r>
    </w:p>
    <w:p w14:paraId="17CEB41E" w14:textId="77777777"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No advisories in the two most recent years in the assessment window in a waterbody that previously had an advisory or impairment.</w:t>
      </w:r>
      <w:r>
        <w:rPr>
          <w:rStyle w:val="eop"/>
          <w:rFonts w:ascii="Calibri" w:hAnsi="Calibri" w:cs="Calibri"/>
        </w:rPr>
        <w:t> </w:t>
      </w:r>
    </w:p>
    <w:p w14:paraId="6FE0A043"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1771217B"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b/>
          <w:bCs/>
          <w:i/>
          <w:iCs/>
          <w:color w:val="000000"/>
        </w:rPr>
        <w:t>Previous Use of Fully Supporting with an Observed Effect</w:t>
      </w:r>
      <w:r>
        <w:rPr>
          <w:rStyle w:val="eop"/>
          <w:rFonts w:ascii="Calibri" w:hAnsi="Calibri" w:cs="Calibri"/>
          <w:color w:val="000000"/>
        </w:rPr>
        <w:t> </w:t>
      </w:r>
    </w:p>
    <w:p w14:paraId="6A1E17F7" w14:textId="63A21CA2"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rPr>
        <w:t>Many of the waters that had previously been categorized as Category 2B will now fall under Category 3E which are waters of concern to the state and data exist, but no water quality standard has been established for the pollutant. Additionally, the waterbody either exceeds a state screening value, failed a toxicity test or the pollutant has been identified as a most probable stressor and had a TMDL equation assigned during development of an EPA approved TMDL.</w:t>
      </w:r>
    </w:p>
    <w:p w14:paraId="1F8A45FC"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16AB9390"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b/>
          <w:bCs/>
          <w:i/>
          <w:iCs/>
          <w:color w:val="000000"/>
        </w:rPr>
        <w:t>Pollutant Caused Impaired or Threatened Waters Not Needing a TMDL</w:t>
      </w:r>
      <w:r>
        <w:rPr>
          <w:rStyle w:val="eop"/>
          <w:rFonts w:ascii="Calibri" w:hAnsi="Calibri" w:cs="Calibri"/>
          <w:color w:val="000000"/>
        </w:rPr>
        <w:t> </w:t>
      </w:r>
    </w:p>
    <w:p w14:paraId="4F48CBEF"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rPr>
        <w:t>Impaired or threatened waters not needing a TMDL are listed in the federal Category 4. These are waters that are impaired, but a TMDL has been developed and approved by EPA (Category 4A), waters where other pollutant control requirements are reasonably expected to result in attainment of designated use(s) (Category 4B) and waters that are naturally impaired (Category 4C).</w:t>
      </w:r>
      <w:r>
        <w:rPr>
          <w:rStyle w:val="eop"/>
          <w:rFonts w:ascii="Calibri" w:hAnsi="Calibri" w:cs="Calibri"/>
        </w:rPr>
        <w:t> </w:t>
      </w:r>
    </w:p>
    <w:p w14:paraId="36C47ABF"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2AA5D2F2"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b/>
          <w:bCs/>
          <w:i/>
          <w:iCs/>
          <w:color w:val="000000"/>
        </w:rPr>
        <w:t>Pollutant Caused Impaired or Threatened Waters Needing a TMDL</w:t>
      </w:r>
      <w:r>
        <w:rPr>
          <w:rStyle w:val="eop"/>
          <w:rFonts w:ascii="Calibri" w:hAnsi="Calibri" w:cs="Calibri"/>
          <w:color w:val="000000"/>
        </w:rPr>
        <w:t> </w:t>
      </w:r>
    </w:p>
    <w:p w14:paraId="369A546C" w14:textId="58413AC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normaltextrun"/>
          <w:rFonts w:cs="Calibri"/>
        </w:rPr>
        <w:t xml:space="preserve">Those waters impaired or threatened by </w:t>
      </w:r>
      <w:proofErr w:type="gramStart"/>
      <w:r>
        <w:rPr>
          <w:rStyle w:val="normaltextrun"/>
          <w:rFonts w:cs="Calibri"/>
        </w:rPr>
        <w:t>pollutant</w:t>
      </w:r>
      <w:proofErr w:type="gramEnd"/>
      <w:r>
        <w:rPr>
          <w:rStyle w:val="normaltextrun"/>
          <w:rFonts w:cs="Calibri"/>
        </w:rPr>
        <w:t>(s) and needing a TMDL are included in the 303(d) list. These waters are placed in the federal Category 5 (needing a TMDL) and the Virginia sub-categories of 5A, 5B, 5D and possibly 5C. The following is a description of the types of QA/QC-approved data and the acceptable criteria used to assess waters as impaired or threatened for the designated uses.</w:t>
      </w:r>
      <w:r>
        <w:rPr>
          <w:rStyle w:val="eop"/>
          <w:rFonts w:ascii="Calibri" w:hAnsi="Calibri" w:cs="Calibri"/>
        </w:rPr>
        <w:t> </w:t>
      </w:r>
    </w:p>
    <w:p w14:paraId="59A58A26"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3EB1C89E"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sidRPr="00460F99">
        <w:rPr>
          <w:rStyle w:val="normaltextrun"/>
          <w:rFonts w:cs="Calibri"/>
          <w:i/>
          <w:iCs/>
        </w:rPr>
        <w:t>Conventional</w:t>
      </w:r>
      <w:r>
        <w:rPr>
          <w:rStyle w:val="normaltextrun"/>
          <w:rFonts w:cs="Calibri"/>
          <w:i/>
          <w:iCs/>
        </w:rPr>
        <w:t xml:space="preserve"> Parameters</w:t>
      </w:r>
      <w:r>
        <w:rPr>
          <w:rStyle w:val="normaltextrun"/>
          <w:rFonts w:cs="Calibri"/>
        </w:rPr>
        <w:t>:</w:t>
      </w:r>
      <w:r>
        <w:rPr>
          <w:rStyle w:val="eop"/>
          <w:rFonts w:ascii="Calibri" w:hAnsi="Calibri" w:cs="Calibri"/>
        </w:rPr>
        <w:t> </w:t>
      </w:r>
    </w:p>
    <w:p w14:paraId="456A360E" w14:textId="77777777"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 xml:space="preserve">Waters with long-term or chronic pollutant-related problems based on the assessment of monitored data are considered impaired and needing a TMDL. For a conventional parameter dataset, generally at least two exceedances of water quality standards and exceedances &gt;10.5% are considered impaired and needing </w:t>
      </w:r>
      <w:proofErr w:type="gramStart"/>
      <w:r>
        <w:rPr>
          <w:rStyle w:val="normaltextrun"/>
          <w:rFonts w:cs="Calibri"/>
        </w:rPr>
        <w:t>a TMDL</w:t>
      </w:r>
      <w:proofErr w:type="gramEnd"/>
      <w:r>
        <w:rPr>
          <w:rStyle w:val="normaltextrun"/>
          <w:rFonts w:cs="Calibri"/>
        </w:rPr>
        <w:t>.</w:t>
      </w:r>
      <w:r>
        <w:rPr>
          <w:rStyle w:val="eop"/>
          <w:rFonts w:ascii="Calibri" w:hAnsi="Calibri" w:cs="Calibri"/>
        </w:rPr>
        <w:t> </w:t>
      </w:r>
    </w:p>
    <w:p w14:paraId="16A89D11"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lastRenderedPageBreak/>
        <w:t> </w:t>
      </w:r>
    </w:p>
    <w:p w14:paraId="5D9E50D1"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Bacteria:</w:t>
      </w:r>
      <w:r>
        <w:rPr>
          <w:rStyle w:val="eop"/>
          <w:rFonts w:ascii="Calibri" w:hAnsi="Calibri" w:cs="Calibri"/>
        </w:rPr>
        <w:t> </w:t>
      </w:r>
    </w:p>
    <w:p w14:paraId="1D8F523F" w14:textId="07530CD3"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 xml:space="preserve">Waters with </w:t>
      </w:r>
      <w:r>
        <w:rPr>
          <w:rStyle w:val="normaltextrun"/>
          <w:rFonts w:cs="Calibri"/>
          <w:i/>
          <w:iCs/>
        </w:rPr>
        <w:t>E. coli</w:t>
      </w:r>
      <w:r>
        <w:rPr>
          <w:rStyle w:val="normaltextrun"/>
          <w:rFonts w:cs="Calibri"/>
        </w:rPr>
        <w:t xml:space="preserve"> or </w:t>
      </w:r>
      <w:r w:rsidR="009D1D45">
        <w:rPr>
          <w:rStyle w:val="normaltextrun"/>
          <w:rFonts w:cs="Calibri"/>
        </w:rPr>
        <w:t>E</w:t>
      </w:r>
      <w:r>
        <w:rPr>
          <w:rStyle w:val="normaltextrun"/>
          <w:rFonts w:cs="Calibri"/>
        </w:rPr>
        <w:t xml:space="preserve">nterococci datasets collected in the two most recent years of the assessment data window that have 10 or more samples in a 90-day period and one or more exceedances of the geometric mean are considered impaired. In addition, waters with </w:t>
      </w:r>
      <w:r>
        <w:rPr>
          <w:rStyle w:val="normaltextrun"/>
          <w:rFonts w:cs="Calibri"/>
          <w:i/>
          <w:iCs/>
        </w:rPr>
        <w:t xml:space="preserve">E. </w:t>
      </w:r>
      <w:proofErr w:type="gramStart"/>
      <w:r>
        <w:rPr>
          <w:rStyle w:val="normaltextrun"/>
          <w:rFonts w:cs="Calibri"/>
          <w:i/>
          <w:iCs/>
        </w:rPr>
        <w:t>coli</w:t>
      </w:r>
      <w:proofErr w:type="gramEnd"/>
      <w:r>
        <w:rPr>
          <w:rStyle w:val="normaltextrun"/>
          <w:rFonts w:cs="Calibri"/>
          <w:i/>
          <w:iCs/>
        </w:rPr>
        <w:t xml:space="preserve"> </w:t>
      </w:r>
      <w:r>
        <w:rPr>
          <w:rStyle w:val="normaltextrun"/>
          <w:rFonts w:cs="Calibri"/>
        </w:rPr>
        <w:t xml:space="preserve">or </w:t>
      </w:r>
      <w:r w:rsidR="009D1D45">
        <w:rPr>
          <w:rStyle w:val="normaltextrun"/>
          <w:rFonts w:cs="Calibri"/>
        </w:rPr>
        <w:t>E</w:t>
      </w:r>
      <w:r>
        <w:rPr>
          <w:rStyle w:val="normaltextrun"/>
          <w:rFonts w:cs="Calibri"/>
        </w:rPr>
        <w:t xml:space="preserve">nterococci datasets collected in the two most recent years of the assessment data window that have two or more samples and an STV exceedance rate greater than 10% in a 90-day period are considered impaired. Both criteria are used to </w:t>
      </w:r>
      <w:proofErr w:type="gramStart"/>
      <w:r>
        <w:rPr>
          <w:rStyle w:val="normaltextrun"/>
          <w:rFonts w:cs="Calibri"/>
        </w:rPr>
        <w:t>assess the recreation</w:t>
      </w:r>
      <w:proofErr w:type="gramEnd"/>
      <w:r>
        <w:rPr>
          <w:rStyle w:val="normaltextrun"/>
          <w:rFonts w:cs="Calibri"/>
        </w:rPr>
        <w:t xml:space="preserve"> use, but only one </w:t>
      </w:r>
      <w:r w:rsidR="00557664">
        <w:rPr>
          <w:rStyle w:val="advancedproofingissue"/>
          <w:rFonts w:ascii="Calibri" w:hAnsi="Calibri" w:cs="Calibri"/>
        </w:rPr>
        <w:t>must</w:t>
      </w:r>
      <w:r>
        <w:rPr>
          <w:rStyle w:val="normaltextrun"/>
          <w:rFonts w:cs="Calibri"/>
        </w:rPr>
        <w:t xml:space="preserve"> fail for a water to be impaired.</w:t>
      </w:r>
      <w:r>
        <w:rPr>
          <w:rStyle w:val="eop"/>
          <w:rFonts w:ascii="Calibri" w:hAnsi="Calibri" w:cs="Calibri"/>
        </w:rPr>
        <w:t> </w:t>
      </w:r>
    </w:p>
    <w:p w14:paraId="1E52F914"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702A44F6"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Toxic Pollutants:</w:t>
      </w:r>
      <w:r>
        <w:rPr>
          <w:rStyle w:val="eop"/>
          <w:rFonts w:ascii="Calibri" w:hAnsi="Calibri" w:cs="Calibri"/>
        </w:rPr>
        <w:t> </w:t>
      </w:r>
    </w:p>
    <w:p w14:paraId="20A48343" w14:textId="35246FE6"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 xml:space="preserve">Virginia will </w:t>
      </w:r>
      <w:r w:rsidR="00867CA4">
        <w:rPr>
          <w:rStyle w:val="normaltextrun"/>
          <w:rFonts w:cs="Calibri"/>
        </w:rPr>
        <w:t xml:space="preserve">assess </w:t>
      </w:r>
      <w:r>
        <w:rPr>
          <w:rStyle w:val="normaltextrun"/>
          <w:rFonts w:cs="Calibri"/>
        </w:rPr>
        <w:t xml:space="preserve">waters </w:t>
      </w:r>
      <w:r w:rsidR="00867CA4">
        <w:rPr>
          <w:rStyle w:val="normaltextrun"/>
          <w:rFonts w:cs="Calibri"/>
        </w:rPr>
        <w:t xml:space="preserve">as </w:t>
      </w:r>
      <w:r>
        <w:rPr>
          <w:rStyle w:val="normaltextrun"/>
          <w:rFonts w:cs="Calibri"/>
        </w:rPr>
        <w:t xml:space="preserve">impaired for </w:t>
      </w:r>
      <w:r w:rsidR="00867CA4">
        <w:rPr>
          <w:rStyle w:val="normaltextrun"/>
          <w:rFonts w:cs="Calibri"/>
        </w:rPr>
        <w:t xml:space="preserve">the </w:t>
      </w:r>
      <w:r>
        <w:rPr>
          <w:rStyle w:val="normaltextrun"/>
          <w:rFonts w:cs="Calibri"/>
        </w:rPr>
        <w:t>aquatic life use and included in Category 5A if</w:t>
      </w:r>
      <w:r w:rsidR="00867CA4">
        <w:rPr>
          <w:rStyle w:val="normaltextrun"/>
          <w:rFonts w:cs="Calibri"/>
        </w:rPr>
        <w:t xml:space="preserve">: </w:t>
      </w:r>
      <w:r>
        <w:rPr>
          <w:rStyle w:val="normaltextrun"/>
          <w:rFonts w:cs="Calibri"/>
        </w:rPr>
        <w:t>1) an acute criterion is exceeded two or more times within a three-year period based on either grab samples or samples collected with a 30-day semi-permeable membrane device (SPMD) or if 2) a chronic criterion is exceeded two or more times within a three-year period based on either multiple grab samples collected within two separate four-day periods or multiple samples collected with a 30-day semi-permeable membrane device (SPMD). For public water supply or human health criteria in other surface waters, two or more exceedances of the same criteria within the reporting period using grab samples or SPMD data are considered impaired and needing a TMDL for PWS or fish consumption use. For toxic pollutant assessment in estuarine waters, where there are several types of toxic data available, a “weight of evidence” approach is used.</w:t>
      </w:r>
      <w:r>
        <w:rPr>
          <w:rStyle w:val="eop"/>
          <w:rFonts w:ascii="Calibri" w:hAnsi="Calibri" w:cs="Calibri"/>
        </w:rPr>
        <w:t> </w:t>
      </w:r>
    </w:p>
    <w:p w14:paraId="624C5869"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25E8A164"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Fish Tissue Contamination:</w:t>
      </w:r>
      <w:r>
        <w:rPr>
          <w:rStyle w:val="eop"/>
          <w:rFonts w:ascii="Calibri" w:hAnsi="Calibri" w:cs="Calibri"/>
        </w:rPr>
        <w:t> </w:t>
      </w:r>
    </w:p>
    <w:p w14:paraId="68844CB9" w14:textId="09CF3CC2"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Waters exceeding the same toxic human health criteria-based tissue value (TV), listed in Appendix E-1 of the Final 2024 Water Quality Assessment Guidance Manual, in two or more samples are considered impaired for fish consumption.</w:t>
      </w:r>
    </w:p>
    <w:p w14:paraId="3680356A"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F8E0609"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Biological Data</w:t>
      </w:r>
      <w:r>
        <w:rPr>
          <w:rStyle w:val="normaltextrun"/>
          <w:rFonts w:cs="Calibri"/>
        </w:rPr>
        <w:t>:</w:t>
      </w:r>
      <w:r>
        <w:rPr>
          <w:rStyle w:val="eop"/>
          <w:rFonts w:ascii="Calibri" w:hAnsi="Calibri" w:cs="Calibri"/>
        </w:rPr>
        <w:t> </w:t>
      </w:r>
    </w:p>
    <w:p w14:paraId="368A8201" w14:textId="48D04F80"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 xml:space="preserve">For free-flowing waters where the biological community VSCI or CPMI survey data are confirmed to be impaired and </w:t>
      </w:r>
      <w:proofErr w:type="gramStart"/>
      <w:r>
        <w:rPr>
          <w:rStyle w:val="normaltextrun"/>
          <w:rFonts w:cs="Calibri"/>
        </w:rPr>
        <w:t>needing</w:t>
      </w:r>
      <w:proofErr w:type="gramEnd"/>
      <w:r>
        <w:rPr>
          <w:rStyle w:val="normaltextrun"/>
          <w:rFonts w:cs="Calibri"/>
        </w:rPr>
        <w:t xml:space="preserve"> </w:t>
      </w:r>
      <w:proofErr w:type="gramStart"/>
      <w:r>
        <w:rPr>
          <w:rStyle w:val="normaltextrun"/>
          <w:rFonts w:cs="Calibri"/>
        </w:rPr>
        <w:t>a TMDL</w:t>
      </w:r>
      <w:proofErr w:type="gramEnd"/>
      <w:r>
        <w:rPr>
          <w:rStyle w:val="normaltextrun"/>
          <w:rFonts w:cs="Calibri"/>
        </w:rPr>
        <w:t>. Based on professional judgment and/or other supplemental data, a second survey may be required to confirm moderate impairment and pollutant related causes. In this case, the initial assessment would reserve judgement and follow-up monitoring scheduled.</w:t>
      </w:r>
      <w:r>
        <w:rPr>
          <w:rStyle w:val="eop"/>
          <w:rFonts w:ascii="Calibri" w:hAnsi="Calibri" w:cs="Calibri"/>
        </w:rPr>
        <w:t> </w:t>
      </w:r>
    </w:p>
    <w:p w14:paraId="7AAA2837"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CD5CD99"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Fish Advisories:</w:t>
      </w:r>
      <w:r>
        <w:rPr>
          <w:rStyle w:val="eop"/>
          <w:rFonts w:ascii="Calibri" w:hAnsi="Calibri" w:cs="Calibri"/>
        </w:rPr>
        <w:t> </w:t>
      </w:r>
    </w:p>
    <w:p w14:paraId="613D5E17" w14:textId="77777777"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VDH fish consumption prohibitions and/or advisories, where fish consumption is specifically limited, are considered evidence of non-attainment of the designated use and are therefore considered impaired.</w:t>
      </w:r>
      <w:r>
        <w:rPr>
          <w:rStyle w:val="eop"/>
          <w:rFonts w:ascii="Calibri" w:hAnsi="Calibri" w:cs="Calibri"/>
        </w:rPr>
        <w:t> </w:t>
      </w:r>
    </w:p>
    <w:p w14:paraId="0A4F8DC6"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28FE8A3F"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Shellfish Advisories</w:t>
      </w:r>
      <w:r>
        <w:rPr>
          <w:rStyle w:val="normaltextrun"/>
          <w:rFonts w:cs="Calibri"/>
        </w:rPr>
        <w:t>:</w:t>
      </w:r>
      <w:r>
        <w:rPr>
          <w:rStyle w:val="eop"/>
          <w:rFonts w:ascii="Calibri" w:hAnsi="Calibri" w:cs="Calibri"/>
        </w:rPr>
        <w:t> </w:t>
      </w:r>
    </w:p>
    <w:p w14:paraId="480A57E5" w14:textId="2384307A"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 xml:space="preserve">Those growing areas, as indicated by the DSS summary dated December 2022 that have been classified as prohibited or restricted (condemnations) based on bacteria data are considered impaired. Restricted areas that have been administratively condemned due </w:t>
      </w:r>
      <w:r>
        <w:rPr>
          <w:rStyle w:val="normaltextrun"/>
          <w:rFonts w:cs="Calibri"/>
        </w:rPr>
        <w:lastRenderedPageBreak/>
        <w:t>solely to the presence of a VPDES permitted outfall or administrative closure where no data is available will not be assessed as the shellfish use has been administratively removed.</w:t>
      </w:r>
    </w:p>
    <w:p w14:paraId="4FDAD132"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18983F50"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Beach Closures/Advisories:</w:t>
      </w:r>
      <w:r>
        <w:rPr>
          <w:rStyle w:val="eop"/>
          <w:rFonts w:ascii="Calibri" w:hAnsi="Calibri" w:cs="Calibri"/>
        </w:rPr>
        <w:t> </w:t>
      </w:r>
    </w:p>
    <w:p w14:paraId="23C192DE" w14:textId="77777777"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One or more geometric mean exceedances, one or more beach closures of one week or more duration, or two or more swimming advisories of one week or more duration due to bacteria contamination, and, based on QA/QC approved data within the assessment cycle, there is a medium to high probability that the closure/advisory will recur (based on best professional judgment) are considered evidence of impaired recreation use and a TMDL is needed.</w:t>
      </w:r>
      <w:r>
        <w:rPr>
          <w:rStyle w:val="eop"/>
          <w:rFonts w:ascii="Calibri" w:hAnsi="Calibri" w:cs="Calibri"/>
        </w:rPr>
        <w:t> </w:t>
      </w:r>
    </w:p>
    <w:p w14:paraId="542C07F8"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383A8D36"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Public Water Supply Source Closure</w:t>
      </w:r>
      <w:r>
        <w:rPr>
          <w:rStyle w:val="normaltextrun"/>
          <w:rFonts w:cs="Calibri"/>
        </w:rPr>
        <w:t>:</w:t>
      </w:r>
      <w:r>
        <w:rPr>
          <w:rStyle w:val="eop"/>
          <w:rFonts w:ascii="Calibri" w:hAnsi="Calibri" w:cs="Calibri"/>
        </w:rPr>
        <w:t> </w:t>
      </w:r>
    </w:p>
    <w:p w14:paraId="39481B79" w14:textId="77777777" w:rsidR="008F1EAB" w:rsidRDefault="008F1EAB" w:rsidP="008F1EAB">
      <w:pPr>
        <w:pStyle w:val="paragraph"/>
        <w:spacing w:before="0" w:beforeAutospacing="0" w:after="0" w:afterAutospacing="0"/>
        <w:ind w:left="720"/>
        <w:textAlignment w:val="baseline"/>
        <w:rPr>
          <w:rFonts w:ascii="Segoe UI" w:hAnsi="Segoe UI" w:cs="Segoe UI"/>
          <w:sz w:val="18"/>
          <w:szCs w:val="18"/>
        </w:rPr>
      </w:pPr>
      <w:r>
        <w:rPr>
          <w:rStyle w:val="normaltextrun"/>
          <w:rFonts w:cs="Calibri"/>
        </w:rPr>
        <w:t>One or more VDH public water supply source closures within the assessment cycle with a medium to high probability that the pollution will recur indicate non-attainment and a TMDL is needed. There are plans to implement pollution reduction measures or controls.</w:t>
      </w:r>
      <w:r>
        <w:rPr>
          <w:rStyle w:val="eop"/>
          <w:rFonts w:ascii="Calibri" w:hAnsi="Calibri" w:cs="Calibri"/>
        </w:rPr>
        <w:t> </w:t>
      </w:r>
    </w:p>
    <w:p w14:paraId="1E52B60B"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61E899A"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Swimming Advisories due to Harmful Algal Blooms (HABs):</w:t>
      </w:r>
      <w:r>
        <w:rPr>
          <w:rStyle w:val="eop"/>
          <w:rFonts w:ascii="Calibri" w:hAnsi="Calibri" w:cs="Calibri"/>
        </w:rPr>
        <w:t> </w:t>
      </w:r>
    </w:p>
    <w:p w14:paraId="3C91CF55" w14:textId="188AEDFB" w:rsidR="008F1EAB" w:rsidRDefault="008F1EAB" w:rsidP="008F1EAB">
      <w:pPr>
        <w:pStyle w:val="paragraph"/>
        <w:spacing w:before="0" w:beforeAutospacing="0" w:after="0" w:afterAutospacing="0"/>
        <w:ind w:left="720"/>
        <w:textAlignment w:val="baseline"/>
        <w:rPr>
          <w:rFonts w:ascii="Segoe UI" w:hAnsi="Segoe UI" w:cs="Segoe UI"/>
          <w:sz w:val="18"/>
          <w:szCs w:val="18"/>
        </w:rPr>
      </w:pPr>
      <w:proofErr w:type="gramStart"/>
      <w:r>
        <w:rPr>
          <w:rStyle w:val="normaltextrun"/>
          <w:rFonts w:cs="Calibri"/>
        </w:rPr>
        <w:t>A water</w:t>
      </w:r>
      <w:proofErr w:type="gramEnd"/>
      <w:r>
        <w:rPr>
          <w:rStyle w:val="normaltextrun"/>
          <w:rFonts w:cs="Calibri"/>
        </w:rPr>
        <w:t xml:space="preserve"> is considered impaired for </w:t>
      </w:r>
      <w:proofErr w:type="gramStart"/>
      <w:r>
        <w:rPr>
          <w:rStyle w:val="normaltextrun"/>
          <w:rFonts w:cs="Calibri"/>
        </w:rPr>
        <w:t>the recreation</w:t>
      </w:r>
      <w:proofErr w:type="gramEnd"/>
      <w:r>
        <w:rPr>
          <w:rStyle w:val="normaltextrun"/>
          <w:rFonts w:cs="Calibri"/>
        </w:rPr>
        <w:t xml:space="preserve"> use if a VDH advisory </w:t>
      </w:r>
      <w:r w:rsidR="00C65475">
        <w:rPr>
          <w:rStyle w:val="normaltextrun"/>
          <w:rFonts w:cs="Calibri"/>
        </w:rPr>
        <w:t xml:space="preserve">persists past the minimum follow-up sampling events in the two most recent </w:t>
      </w:r>
      <w:r w:rsidR="00DA1E63">
        <w:rPr>
          <w:rStyle w:val="normaltextrun"/>
          <w:rFonts w:cs="Calibri"/>
        </w:rPr>
        <w:t>years of the assessment window.</w:t>
      </w:r>
    </w:p>
    <w:p w14:paraId="40CBC96B" w14:textId="77777777" w:rsidR="008F1EAB" w:rsidRDefault="008F1EAB" w:rsidP="008F1EA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4FAEA08" w14:textId="77777777" w:rsidR="008F1EAB" w:rsidRDefault="008F1EAB" w:rsidP="008F1EAB">
      <w:pPr>
        <w:pStyle w:val="paragraph"/>
        <w:spacing w:before="0" w:beforeAutospacing="0" w:after="0" w:afterAutospacing="0"/>
        <w:ind w:firstLine="720"/>
        <w:textAlignment w:val="baseline"/>
        <w:rPr>
          <w:rFonts w:ascii="Segoe UI" w:hAnsi="Segoe UI" w:cs="Segoe UI"/>
          <w:sz w:val="18"/>
          <w:szCs w:val="18"/>
        </w:rPr>
      </w:pPr>
      <w:r>
        <w:rPr>
          <w:rStyle w:val="normaltextrun"/>
          <w:rFonts w:cs="Calibri"/>
          <w:i/>
          <w:iCs/>
        </w:rPr>
        <w:t>Chesapeake Bay Aquatic Life:</w:t>
      </w:r>
      <w:r>
        <w:rPr>
          <w:rStyle w:val="eop"/>
          <w:rFonts w:ascii="Calibri" w:hAnsi="Calibri" w:cs="Calibri"/>
        </w:rPr>
        <w:t> </w:t>
      </w:r>
    </w:p>
    <w:p w14:paraId="55E7A44E" w14:textId="77777777" w:rsidR="00510C84" w:rsidRDefault="008F1EAB" w:rsidP="008F1EAB">
      <w:pPr>
        <w:pStyle w:val="paragraph"/>
        <w:spacing w:before="0" w:beforeAutospacing="0" w:after="0" w:afterAutospacing="0"/>
        <w:ind w:left="720"/>
        <w:textAlignment w:val="baseline"/>
        <w:rPr>
          <w:rStyle w:val="normaltextrun"/>
          <w:rFonts w:cs="Calibri"/>
        </w:rPr>
      </w:pPr>
      <w:r>
        <w:rPr>
          <w:rStyle w:val="normaltextrun"/>
          <w:rFonts w:cs="Calibri"/>
        </w:rPr>
        <w:t>See section 4.5 or section 6.4 of the Final 2024 Water Quality Assessment Guidance Manual.</w:t>
      </w:r>
    </w:p>
    <w:p w14:paraId="6992FFD9" w14:textId="77777777" w:rsidR="00510C84" w:rsidRDefault="00510C84" w:rsidP="008F1EAB">
      <w:pPr>
        <w:pStyle w:val="paragraph"/>
        <w:spacing w:before="0" w:beforeAutospacing="0" w:after="0" w:afterAutospacing="0"/>
        <w:ind w:left="720"/>
        <w:textAlignment w:val="baseline"/>
        <w:rPr>
          <w:rStyle w:val="normaltextrun"/>
          <w:rFonts w:cs="Calibri"/>
        </w:rPr>
      </w:pPr>
    </w:p>
    <w:p w14:paraId="08F11EC9" w14:textId="476E0784" w:rsidR="008F1EAB" w:rsidRDefault="008F1EAB" w:rsidP="008F1EAB">
      <w:pPr>
        <w:pStyle w:val="paragraph"/>
        <w:spacing w:before="0" w:beforeAutospacing="0" w:after="0" w:afterAutospacing="0"/>
        <w:ind w:left="720"/>
        <w:textAlignment w:val="baseline"/>
        <w:rPr>
          <w:rFonts w:ascii="Segoe UI" w:hAnsi="Segoe UI" w:cs="Segoe UI"/>
          <w:sz w:val="18"/>
          <w:szCs w:val="18"/>
        </w:rPr>
      </w:pPr>
    </w:p>
    <w:p w14:paraId="7292A062" w14:textId="77777777" w:rsidR="00C96D2C" w:rsidRDefault="00C96D2C" w:rsidP="00C96D2C">
      <w:pPr>
        <w:pStyle w:val="Heading2"/>
        <w:numPr>
          <w:ilvl w:val="0"/>
          <w:numId w:val="0"/>
        </w:numPr>
        <w:sectPr w:rsidR="00C96D2C" w:rsidSect="009079C4">
          <w:footerReference w:type="even" r:id="rId134"/>
          <w:pgSz w:w="12240" w:h="15840" w:code="1"/>
          <w:pgMar w:top="1152" w:right="1440" w:bottom="720" w:left="1440" w:header="720" w:footer="720" w:gutter="0"/>
          <w:cols w:space="720"/>
        </w:sectPr>
      </w:pPr>
    </w:p>
    <w:p w14:paraId="7DA09AC4" w14:textId="68B4B07E" w:rsidR="00B35C3A" w:rsidRDefault="00651737" w:rsidP="00651737">
      <w:pPr>
        <w:pStyle w:val="Heading2"/>
      </w:pPr>
      <w:bookmarkStart w:id="76" w:name="_Toc152763311"/>
      <w:bookmarkStart w:id="77" w:name="_Toc155771957"/>
      <w:bookmarkStart w:id="78" w:name="_Toc191900436"/>
      <w:r>
        <w:lastRenderedPageBreak/>
        <w:t>S</w:t>
      </w:r>
      <w:r w:rsidR="00AA20E0">
        <w:t>tatewide Water Quality Assessment Results</w:t>
      </w:r>
      <w:bookmarkEnd w:id="76"/>
      <w:bookmarkEnd w:id="77"/>
      <w:bookmarkEnd w:id="78"/>
    </w:p>
    <w:p w14:paraId="1979B9C8" w14:textId="75E34E1A" w:rsidR="002E2AC5" w:rsidRPr="00274BFF" w:rsidRDefault="00866148" w:rsidP="002E2AC5">
      <w:pPr>
        <w:pStyle w:val="Heading3"/>
      </w:pPr>
      <w:r>
        <w:t>Designated Use Attainment</w:t>
      </w:r>
      <w:r w:rsidR="0088511C">
        <w:t xml:space="preserve"> Summary</w:t>
      </w:r>
    </w:p>
    <w:p w14:paraId="1DA3B8FF" w14:textId="3AE727A3" w:rsidR="00E07AC7" w:rsidRPr="00274BFF" w:rsidRDefault="002E2AC5" w:rsidP="00B941EB">
      <w:r w:rsidRPr="00653DDB">
        <w:t xml:space="preserve">The overall water quality </w:t>
      </w:r>
      <w:r w:rsidR="007E3079">
        <w:t xml:space="preserve">assessment </w:t>
      </w:r>
      <w:r w:rsidRPr="00653DDB">
        <w:t>for</w:t>
      </w:r>
      <w:r w:rsidR="00E7149E">
        <w:t xml:space="preserve"> a</w:t>
      </w:r>
      <w:r w:rsidR="007E3079">
        <w:t xml:space="preserve"> given waterbody </w:t>
      </w:r>
      <w:r w:rsidRPr="00653DDB">
        <w:t>is determined based on whether it</w:t>
      </w:r>
      <w:r w:rsidR="0074046C">
        <w:t xml:space="preserve"> is supporting its</w:t>
      </w:r>
      <w:r w:rsidRPr="00653DDB">
        <w:t xml:space="preserve"> designated uses as described in Virginia’s water quality standards. Table 4.2-1 briefly describes the primary designated </w:t>
      </w:r>
      <w:r w:rsidR="00301F22" w:rsidRPr="00653DDB">
        <w:t>uses,</w:t>
      </w:r>
      <w:r w:rsidRPr="00653DDB">
        <w:t xml:space="preserve"> and the parameters used in this assessment to demonstrate their attainment. </w:t>
      </w:r>
      <w:r w:rsidRPr="00485CC2">
        <w:t xml:space="preserve">Several additional aquatic life </w:t>
      </w:r>
      <w:r w:rsidR="007E2B00" w:rsidRPr="00485CC2">
        <w:rPr>
          <w:rFonts w:ascii="Calibri" w:hAnsi="Calibri" w:cs="Calibri"/>
          <w:snapToGrid/>
          <w:szCs w:val="24"/>
        </w:rPr>
        <w:t>designated use</w:t>
      </w:r>
      <w:r w:rsidR="00E059DA" w:rsidRPr="00485CC2">
        <w:rPr>
          <w:rFonts w:ascii="Calibri" w:hAnsi="Calibri" w:cs="Calibri"/>
          <w:snapToGrid/>
          <w:szCs w:val="24"/>
        </w:rPr>
        <w:t>s</w:t>
      </w:r>
      <w:r w:rsidR="004C73DE" w:rsidRPr="00485CC2">
        <w:rPr>
          <w:rFonts w:ascii="Calibri" w:hAnsi="Calibri" w:cs="Calibri"/>
          <w:snapToGrid/>
          <w:szCs w:val="24"/>
        </w:rPr>
        <w:t xml:space="preserve"> that</w:t>
      </w:r>
      <w:r w:rsidRPr="00485CC2">
        <w:t xml:space="preserve"> have been adopted for the Chesapeake Bay and </w:t>
      </w:r>
      <w:r w:rsidR="004962EF" w:rsidRPr="00485CC2">
        <w:t xml:space="preserve">its </w:t>
      </w:r>
      <w:r w:rsidRPr="00485CC2">
        <w:t>tidal tributaries.</w:t>
      </w:r>
      <w:r w:rsidRPr="00653DDB">
        <w:t xml:space="preserve"> Additional information about the </w:t>
      </w:r>
      <w:r w:rsidR="00AE07AA" w:rsidRPr="00AE07AA">
        <w:t>Chesapeake Bay specific designated uses</w:t>
      </w:r>
      <w:r w:rsidR="00AE07AA">
        <w:t xml:space="preserve"> </w:t>
      </w:r>
      <w:r w:rsidRPr="00653DDB">
        <w:t xml:space="preserve">can be found in </w:t>
      </w:r>
      <w:r w:rsidR="00EB63F9">
        <w:t>Section</w:t>
      </w:r>
      <w:r w:rsidRPr="00653DDB">
        <w:t xml:space="preserve"> 4.6.</w:t>
      </w:r>
      <w:r w:rsidR="00E07AC7">
        <w:br/>
      </w:r>
    </w:p>
    <w:p w14:paraId="0D54A82D" w14:textId="10A1678C" w:rsidR="006A22C6" w:rsidRDefault="006A22C6" w:rsidP="006A22C6">
      <w:pPr>
        <w:pStyle w:val="Caption"/>
        <w:keepNext/>
      </w:pPr>
      <w:bookmarkStart w:id="79" w:name="_Toc164175156"/>
      <w:r>
        <w:t xml:space="preserve">Table </w:t>
      </w:r>
      <w:r w:rsidR="004F13BA">
        <w:fldChar w:fldCharType="begin"/>
      </w:r>
      <w:r w:rsidR="004F13BA">
        <w:instrText xml:space="preserve"> STYLEREF 2 \s </w:instrText>
      </w:r>
      <w:r w:rsidR="004F13BA">
        <w:fldChar w:fldCharType="separate"/>
      </w:r>
      <w:r w:rsidR="00CD06AE">
        <w:rPr>
          <w:noProof/>
        </w:rPr>
        <w:t>4.2</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w:t>
      </w:r>
      <w:r w:rsidR="004F13BA">
        <w:rPr>
          <w:noProof/>
        </w:rPr>
        <w:fldChar w:fldCharType="end"/>
      </w:r>
      <w:r>
        <w:t>. Designated use descriptions and indicators.</w:t>
      </w:r>
      <w:bookmarkEnd w:id="79"/>
      <w:r>
        <w:t xml:space="preserve"> </w:t>
      </w:r>
    </w:p>
    <w:tbl>
      <w:tblPr>
        <w:tblW w:w="9360" w:type="dxa"/>
        <w:tblCellMar>
          <w:top w:w="14" w:type="dxa"/>
          <w:left w:w="115" w:type="dxa"/>
          <w:bottom w:w="14" w:type="dxa"/>
          <w:right w:w="115" w:type="dxa"/>
        </w:tblCellMar>
        <w:tblLook w:val="0000" w:firstRow="0" w:lastRow="0" w:firstColumn="0" w:lastColumn="0" w:noHBand="0" w:noVBand="0"/>
        <w:tblCaption w:val="Table of Designated Use Descriptions and Indicators"/>
        <w:tblDescription w:val="Designated Use Descriptions and Indicators"/>
      </w:tblPr>
      <w:tblGrid>
        <w:gridCol w:w="2511"/>
        <w:gridCol w:w="6849"/>
      </w:tblGrid>
      <w:tr w:rsidR="002E2AC5" w:rsidRPr="009B51FC" w14:paraId="759791B4" w14:textId="77777777" w:rsidTr="00903841">
        <w:trPr>
          <w:cantSplit/>
          <w:trHeight w:val="360"/>
          <w:tblHeader/>
        </w:trPr>
        <w:tc>
          <w:tcPr>
            <w:tcW w:w="2511" w:type="dxa"/>
            <w:tcBorders>
              <w:top w:val="single" w:sz="7" w:space="0" w:color="000000"/>
              <w:left w:val="single" w:sz="7" w:space="0" w:color="000000"/>
              <w:bottom w:val="single" w:sz="7" w:space="0" w:color="000000"/>
              <w:right w:val="single" w:sz="7" w:space="0" w:color="000000"/>
            </w:tcBorders>
          </w:tcPr>
          <w:p w14:paraId="46C682EC" w14:textId="66661CC7" w:rsidR="002E2AC5" w:rsidRPr="00903841" w:rsidRDefault="0098517B" w:rsidP="00903841">
            <w:pPr>
              <w:widowControl/>
              <w:spacing w:after="58"/>
              <w:jc w:val="center"/>
              <w:rPr>
                <w:rFonts w:cstheme="minorHAnsi"/>
                <w:b/>
                <w:bCs/>
                <w:sz w:val="22"/>
                <w:szCs w:val="22"/>
              </w:rPr>
            </w:pPr>
            <w:r w:rsidRPr="00903841">
              <w:rPr>
                <w:rFonts w:cstheme="minorHAnsi"/>
                <w:b/>
                <w:bCs/>
                <w:sz w:val="22"/>
                <w:szCs w:val="22"/>
              </w:rPr>
              <w:t>Designated Use</w:t>
            </w:r>
          </w:p>
        </w:tc>
        <w:tc>
          <w:tcPr>
            <w:tcW w:w="6849" w:type="dxa"/>
            <w:tcBorders>
              <w:top w:val="single" w:sz="7" w:space="0" w:color="000000"/>
              <w:left w:val="single" w:sz="7" w:space="0" w:color="000000"/>
              <w:bottom w:val="single" w:sz="7" w:space="0" w:color="000000"/>
              <w:right w:val="single" w:sz="7" w:space="0" w:color="000000"/>
            </w:tcBorders>
          </w:tcPr>
          <w:p w14:paraId="438F9017" w14:textId="12738C12" w:rsidR="002E2AC5" w:rsidRPr="00903841" w:rsidRDefault="0098517B">
            <w:pPr>
              <w:widowControl/>
              <w:spacing w:after="58"/>
              <w:rPr>
                <w:rFonts w:cstheme="minorHAnsi"/>
                <w:b/>
                <w:bCs/>
                <w:sz w:val="22"/>
                <w:szCs w:val="22"/>
              </w:rPr>
            </w:pPr>
            <w:r w:rsidRPr="00903841">
              <w:rPr>
                <w:rFonts w:cstheme="minorHAnsi"/>
                <w:b/>
                <w:bCs/>
                <w:sz w:val="22"/>
                <w:szCs w:val="22"/>
              </w:rPr>
              <w:t>Use Descriptions and In</w:t>
            </w:r>
            <w:r w:rsidR="00903841" w:rsidRPr="00903841">
              <w:rPr>
                <w:rFonts w:cstheme="minorHAnsi"/>
                <w:b/>
                <w:bCs/>
                <w:sz w:val="22"/>
                <w:szCs w:val="22"/>
              </w:rPr>
              <w:t>dicators</w:t>
            </w:r>
          </w:p>
        </w:tc>
      </w:tr>
      <w:tr w:rsidR="002E2AC5" w:rsidRPr="009B51FC" w14:paraId="5C1450CC" w14:textId="77777777" w:rsidTr="007643AC">
        <w:trPr>
          <w:cantSplit/>
          <w:trHeight w:val="288"/>
        </w:trPr>
        <w:tc>
          <w:tcPr>
            <w:tcW w:w="2511" w:type="dxa"/>
            <w:vMerge w:val="restart"/>
            <w:tcBorders>
              <w:top w:val="single" w:sz="7" w:space="0" w:color="000000"/>
              <w:left w:val="single" w:sz="7" w:space="0" w:color="000000"/>
              <w:right w:val="single" w:sz="7" w:space="0" w:color="000000"/>
            </w:tcBorders>
            <w:shd w:val="clear" w:color="auto" w:fill="EEECE1"/>
            <w:vAlign w:val="center"/>
          </w:tcPr>
          <w:p w14:paraId="52BD8DF1" w14:textId="77777777" w:rsidR="002E2AC5" w:rsidRPr="007643AC" w:rsidRDefault="002E2AC5">
            <w:pPr>
              <w:spacing w:line="120" w:lineRule="exact"/>
              <w:jc w:val="center"/>
              <w:rPr>
                <w:rFonts w:cstheme="minorHAnsi"/>
                <w:b/>
                <w:sz w:val="22"/>
                <w:szCs w:val="22"/>
              </w:rPr>
            </w:pPr>
          </w:p>
          <w:p w14:paraId="4CFB3197" w14:textId="77777777" w:rsidR="002E2AC5" w:rsidRPr="007643AC" w:rsidRDefault="002E2AC5">
            <w:pPr>
              <w:spacing w:after="58"/>
              <w:jc w:val="center"/>
              <w:rPr>
                <w:rFonts w:cstheme="minorHAnsi"/>
                <w:b/>
                <w:sz w:val="22"/>
                <w:szCs w:val="22"/>
              </w:rPr>
            </w:pPr>
            <w:r w:rsidRPr="007643AC">
              <w:rPr>
                <w:rFonts w:cstheme="minorHAnsi"/>
                <w:b/>
                <w:sz w:val="22"/>
                <w:szCs w:val="22"/>
              </w:rPr>
              <w:t>Aquatic Life Use,</w:t>
            </w:r>
          </w:p>
          <w:p w14:paraId="5BAA3BEE" w14:textId="038065D1" w:rsidR="002E2AC5" w:rsidRPr="007643AC" w:rsidRDefault="002E2AC5">
            <w:pPr>
              <w:widowControl/>
              <w:spacing w:after="58"/>
              <w:jc w:val="center"/>
              <w:rPr>
                <w:rFonts w:cstheme="minorHAnsi"/>
                <w:b/>
                <w:sz w:val="22"/>
                <w:szCs w:val="22"/>
              </w:rPr>
            </w:pPr>
            <w:r w:rsidRPr="007643AC">
              <w:rPr>
                <w:rFonts w:cstheme="minorHAnsi"/>
                <w:b/>
                <w:sz w:val="22"/>
                <w:szCs w:val="22"/>
              </w:rPr>
              <w:t xml:space="preserve">Chesapeake Bay </w:t>
            </w:r>
            <w:r w:rsidR="001632F8">
              <w:rPr>
                <w:rFonts w:cstheme="minorHAnsi"/>
                <w:b/>
                <w:sz w:val="22"/>
                <w:szCs w:val="22"/>
              </w:rPr>
              <w:t>Specific Designated Uses</w:t>
            </w:r>
          </w:p>
        </w:tc>
        <w:tc>
          <w:tcPr>
            <w:tcW w:w="6849" w:type="dxa"/>
            <w:tcBorders>
              <w:top w:val="single" w:sz="7" w:space="0" w:color="000000"/>
              <w:left w:val="single" w:sz="7" w:space="0" w:color="000000"/>
              <w:bottom w:val="single" w:sz="7" w:space="0" w:color="000000"/>
              <w:right w:val="single" w:sz="7" w:space="0" w:color="000000"/>
            </w:tcBorders>
            <w:shd w:val="clear" w:color="auto" w:fill="EEECE1"/>
            <w:vAlign w:val="center"/>
          </w:tcPr>
          <w:p w14:paraId="2CC9FDA4" w14:textId="77777777" w:rsidR="002E2AC5" w:rsidRPr="007643AC" w:rsidRDefault="002E2AC5">
            <w:pPr>
              <w:widowControl/>
              <w:spacing w:after="58"/>
              <w:rPr>
                <w:rFonts w:cstheme="minorHAnsi"/>
                <w:sz w:val="22"/>
                <w:szCs w:val="22"/>
              </w:rPr>
            </w:pPr>
            <w:r w:rsidRPr="007643AC">
              <w:rPr>
                <w:rFonts w:cstheme="minorHAnsi"/>
                <w:sz w:val="22"/>
                <w:szCs w:val="22"/>
              </w:rPr>
              <w:t>Description: The propagation, growth, and protection of a balanced indigenous population of aquatic life that may be expected to inhabit a waterbody</w:t>
            </w:r>
          </w:p>
        </w:tc>
      </w:tr>
      <w:tr w:rsidR="002E2AC5" w:rsidRPr="009B51FC" w14:paraId="4CEC047B" w14:textId="77777777" w:rsidTr="007643AC">
        <w:trPr>
          <w:cantSplit/>
          <w:trHeight w:val="288"/>
        </w:trPr>
        <w:tc>
          <w:tcPr>
            <w:tcW w:w="2511" w:type="dxa"/>
            <w:vMerge/>
            <w:tcBorders>
              <w:left w:val="single" w:sz="7" w:space="0" w:color="000000"/>
              <w:bottom w:val="single" w:sz="7" w:space="0" w:color="000000"/>
              <w:right w:val="single" w:sz="7" w:space="0" w:color="000000"/>
            </w:tcBorders>
            <w:shd w:val="clear" w:color="auto" w:fill="EEECE1"/>
            <w:vAlign w:val="center"/>
          </w:tcPr>
          <w:p w14:paraId="126C823F" w14:textId="77777777" w:rsidR="002E2AC5" w:rsidRPr="007643AC" w:rsidRDefault="002E2AC5">
            <w:pPr>
              <w:spacing w:line="120" w:lineRule="exact"/>
              <w:jc w:val="center"/>
              <w:rPr>
                <w:rFonts w:cstheme="minorHAnsi"/>
                <w:b/>
                <w:sz w:val="22"/>
                <w:szCs w:val="22"/>
              </w:rPr>
            </w:pPr>
          </w:p>
        </w:tc>
        <w:tc>
          <w:tcPr>
            <w:tcW w:w="6849" w:type="dxa"/>
            <w:tcBorders>
              <w:top w:val="single" w:sz="7" w:space="0" w:color="000000"/>
              <w:left w:val="single" w:sz="7" w:space="0" w:color="000000"/>
              <w:bottom w:val="single" w:sz="7" w:space="0" w:color="000000"/>
              <w:right w:val="single" w:sz="7" w:space="0" w:color="000000"/>
            </w:tcBorders>
            <w:shd w:val="clear" w:color="auto" w:fill="EEECE1"/>
            <w:vAlign w:val="center"/>
          </w:tcPr>
          <w:p w14:paraId="67CD6015" w14:textId="1E4CB08C" w:rsidR="002E2AC5" w:rsidRPr="007643AC" w:rsidRDefault="002E2AC5">
            <w:pPr>
              <w:widowControl/>
              <w:spacing w:after="58"/>
              <w:rPr>
                <w:rFonts w:cstheme="minorHAnsi"/>
                <w:sz w:val="22"/>
                <w:szCs w:val="22"/>
              </w:rPr>
            </w:pPr>
            <w:r w:rsidRPr="007643AC">
              <w:rPr>
                <w:rFonts w:cstheme="minorHAnsi"/>
                <w:sz w:val="22"/>
                <w:szCs w:val="22"/>
              </w:rPr>
              <w:t xml:space="preserve">Indicators: Dissolved oxygen, pH, temperature, chlorophyll </w:t>
            </w:r>
            <w:r w:rsidRPr="00637A3C">
              <w:rPr>
                <w:rFonts w:cstheme="minorHAnsi"/>
                <w:i/>
                <w:iCs/>
                <w:sz w:val="22"/>
                <w:szCs w:val="22"/>
              </w:rPr>
              <w:t>a</w:t>
            </w:r>
            <w:r w:rsidRPr="007643AC">
              <w:rPr>
                <w:rFonts w:cstheme="minorHAnsi"/>
                <w:sz w:val="22"/>
                <w:szCs w:val="22"/>
              </w:rPr>
              <w:t>*, nutrients*, water column and sediment toxics, toxicity tests, benthics, submerged aquatic vegetation</w:t>
            </w:r>
            <w:r w:rsidR="0027743B">
              <w:rPr>
                <w:rFonts w:cstheme="minorHAnsi"/>
                <w:sz w:val="22"/>
                <w:szCs w:val="22"/>
              </w:rPr>
              <w:t xml:space="preserve">, </w:t>
            </w:r>
            <w:r w:rsidR="00B32A0D">
              <w:rPr>
                <w:rFonts w:cstheme="minorHAnsi"/>
                <w:sz w:val="22"/>
                <w:szCs w:val="22"/>
              </w:rPr>
              <w:t xml:space="preserve">and </w:t>
            </w:r>
            <w:r w:rsidR="0027743B">
              <w:rPr>
                <w:rFonts w:cstheme="minorHAnsi"/>
                <w:sz w:val="22"/>
                <w:szCs w:val="22"/>
              </w:rPr>
              <w:t>water clarity</w:t>
            </w:r>
            <w:r w:rsidR="00B32A0D">
              <w:rPr>
                <w:rFonts w:cstheme="minorHAnsi"/>
                <w:sz w:val="22"/>
                <w:szCs w:val="22"/>
              </w:rPr>
              <w:t>.</w:t>
            </w:r>
          </w:p>
        </w:tc>
      </w:tr>
      <w:tr w:rsidR="002E2AC5" w:rsidRPr="009B51FC" w14:paraId="092E9FF4" w14:textId="77777777">
        <w:trPr>
          <w:cantSplit/>
          <w:trHeight w:val="288"/>
        </w:trPr>
        <w:tc>
          <w:tcPr>
            <w:tcW w:w="2511" w:type="dxa"/>
            <w:vMerge w:val="restart"/>
            <w:tcBorders>
              <w:top w:val="single" w:sz="7" w:space="0" w:color="000000"/>
              <w:left w:val="single" w:sz="7" w:space="0" w:color="000000"/>
              <w:right w:val="single" w:sz="7" w:space="0" w:color="000000"/>
            </w:tcBorders>
            <w:vAlign w:val="center"/>
          </w:tcPr>
          <w:p w14:paraId="1574D062" w14:textId="77777777" w:rsidR="002E2AC5" w:rsidRPr="007643AC" w:rsidRDefault="002E2AC5">
            <w:pPr>
              <w:spacing w:line="120" w:lineRule="exact"/>
              <w:jc w:val="center"/>
              <w:rPr>
                <w:rFonts w:cstheme="minorHAnsi"/>
                <w:b/>
                <w:sz w:val="22"/>
                <w:szCs w:val="22"/>
              </w:rPr>
            </w:pPr>
          </w:p>
          <w:p w14:paraId="3D6AF015" w14:textId="77777777" w:rsidR="002E2AC5" w:rsidRPr="007643AC" w:rsidRDefault="002E2AC5">
            <w:pPr>
              <w:widowControl/>
              <w:spacing w:after="58"/>
              <w:jc w:val="center"/>
              <w:rPr>
                <w:rFonts w:cstheme="minorHAnsi"/>
                <w:b/>
                <w:sz w:val="22"/>
                <w:szCs w:val="22"/>
              </w:rPr>
            </w:pPr>
            <w:r w:rsidRPr="007643AC">
              <w:rPr>
                <w:rFonts w:cstheme="minorHAnsi"/>
                <w:b/>
                <w:sz w:val="22"/>
                <w:szCs w:val="22"/>
              </w:rPr>
              <w:t>Fish Consumption Use</w:t>
            </w:r>
          </w:p>
        </w:tc>
        <w:tc>
          <w:tcPr>
            <w:tcW w:w="6849" w:type="dxa"/>
            <w:tcBorders>
              <w:top w:val="single" w:sz="7" w:space="0" w:color="000000"/>
              <w:left w:val="single" w:sz="7" w:space="0" w:color="000000"/>
              <w:bottom w:val="single" w:sz="7" w:space="0" w:color="000000"/>
              <w:right w:val="single" w:sz="7" w:space="0" w:color="000000"/>
            </w:tcBorders>
            <w:vAlign w:val="center"/>
          </w:tcPr>
          <w:p w14:paraId="4A891D1C" w14:textId="77777777" w:rsidR="002E2AC5" w:rsidRPr="007643AC" w:rsidRDefault="002E2AC5">
            <w:pPr>
              <w:widowControl/>
              <w:spacing w:after="58"/>
              <w:rPr>
                <w:rFonts w:cstheme="minorHAnsi"/>
                <w:sz w:val="22"/>
                <w:szCs w:val="22"/>
              </w:rPr>
            </w:pPr>
            <w:r w:rsidRPr="007643AC">
              <w:rPr>
                <w:rFonts w:cstheme="minorHAnsi"/>
                <w:sz w:val="22"/>
                <w:szCs w:val="22"/>
              </w:rPr>
              <w:t>Description: Game and marketable fish species that are safe for human health</w:t>
            </w:r>
          </w:p>
        </w:tc>
      </w:tr>
      <w:tr w:rsidR="002E2AC5" w:rsidRPr="009B51FC" w14:paraId="3F7F3A43" w14:textId="77777777">
        <w:trPr>
          <w:cantSplit/>
          <w:trHeight w:val="288"/>
        </w:trPr>
        <w:tc>
          <w:tcPr>
            <w:tcW w:w="2511" w:type="dxa"/>
            <w:vMerge/>
            <w:tcBorders>
              <w:left w:val="single" w:sz="7" w:space="0" w:color="000000"/>
              <w:bottom w:val="single" w:sz="7" w:space="0" w:color="000000"/>
              <w:right w:val="single" w:sz="7" w:space="0" w:color="000000"/>
            </w:tcBorders>
            <w:vAlign w:val="center"/>
          </w:tcPr>
          <w:p w14:paraId="5CBB12E1" w14:textId="77777777" w:rsidR="002E2AC5" w:rsidRPr="007643AC" w:rsidRDefault="002E2AC5">
            <w:pPr>
              <w:spacing w:line="120" w:lineRule="exact"/>
              <w:jc w:val="center"/>
              <w:rPr>
                <w:rFonts w:cstheme="minorHAnsi"/>
                <w:b/>
                <w:sz w:val="22"/>
                <w:szCs w:val="22"/>
              </w:rPr>
            </w:pPr>
          </w:p>
        </w:tc>
        <w:tc>
          <w:tcPr>
            <w:tcW w:w="6849" w:type="dxa"/>
            <w:tcBorders>
              <w:top w:val="single" w:sz="7" w:space="0" w:color="000000"/>
              <w:left w:val="single" w:sz="7" w:space="0" w:color="000000"/>
              <w:bottom w:val="single" w:sz="7" w:space="0" w:color="000000"/>
              <w:right w:val="single" w:sz="7" w:space="0" w:color="000000"/>
            </w:tcBorders>
            <w:vAlign w:val="center"/>
          </w:tcPr>
          <w:p w14:paraId="0FD02745" w14:textId="6D8FF766" w:rsidR="002E2AC5" w:rsidRPr="007643AC" w:rsidRDefault="002E2AC5">
            <w:pPr>
              <w:widowControl/>
              <w:spacing w:after="58"/>
              <w:rPr>
                <w:rFonts w:cstheme="minorHAnsi"/>
                <w:sz w:val="22"/>
                <w:szCs w:val="22"/>
              </w:rPr>
            </w:pPr>
            <w:r w:rsidRPr="007643AC">
              <w:rPr>
                <w:rFonts w:cstheme="minorHAnsi"/>
                <w:sz w:val="22"/>
                <w:szCs w:val="22"/>
              </w:rPr>
              <w:t xml:space="preserve">Indicators: VDH </w:t>
            </w:r>
            <w:r w:rsidR="002574F1">
              <w:rPr>
                <w:rFonts w:cstheme="minorHAnsi"/>
                <w:sz w:val="22"/>
                <w:szCs w:val="22"/>
              </w:rPr>
              <w:t>consumption</w:t>
            </w:r>
            <w:r w:rsidRPr="007643AC">
              <w:rPr>
                <w:rFonts w:cstheme="minorHAnsi"/>
                <w:sz w:val="22"/>
                <w:szCs w:val="22"/>
              </w:rPr>
              <w:t xml:space="preserve"> </w:t>
            </w:r>
            <w:r w:rsidR="00FF54CB">
              <w:rPr>
                <w:rFonts w:cstheme="minorHAnsi"/>
                <w:sz w:val="22"/>
                <w:szCs w:val="22"/>
              </w:rPr>
              <w:t>advisories</w:t>
            </w:r>
            <w:r w:rsidRPr="007643AC">
              <w:rPr>
                <w:rFonts w:cstheme="minorHAnsi"/>
                <w:sz w:val="22"/>
                <w:szCs w:val="22"/>
              </w:rPr>
              <w:t xml:space="preserve"> fish tissue toxics, water column toxics</w:t>
            </w:r>
          </w:p>
        </w:tc>
      </w:tr>
      <w:tr w:rsidR="002E2AC5" w:rsidRPr="009B51FC" w14:paraId="462EF26D" w14:textId="77777777" w:rsidTr="007643AC">
        <w:trPr>
          <w:cantSplit/>
          <w:trHeight w:val="288"/>
        </w:trPr>
        <w:tc>
          <w:tcPr>
            <w:tcW w:w="2511" w:type="dxa"/>
            <w:vMerge w:val="restart"/>
            <w:tcBorders>
              <w:top w:val="single" w:sz="7" w:space="0" w:color="000000"/>
              <w:left w:val="single" w:sz="7" w:space="0" w:color="000000"/>
              <w:right w:val="single" w:sz="7" w:space="0" w:color="000000"/>
            </w:tcBorders>
            <w:shd w:val="clear" w:color="auto" w:fill="EEECE1"/>
            <w:vAlign w:val="center"/>
          </w:tcPr>
          <w:p w14:paraId="0EEAFF06" w14:textId="77777777" w:rsidR="002E2AC5" w:rsidRPr="007643AC" w:rsidRDefault="002E2AC5">
            <w:pPr>
              <w:spacing w:line="120" w:lineRule="exact"/>
              <w:jc w:val="center"/>
              <w:rPr>
                <w:rFonts w:cstheme="minorHAnsi"/>
                <w:b/>
                <w:sz w:val="22"/>
                <w:szCs w:val="22"/>
              </w:rPr>
            </w:pPr>
          </w:p>
          <w:p w14:paraId="6846451F" w14:textId="77777777" w:rsidR="002E2AC5" w:rsidRPr="007643AC" w:rsidRDefault="002E2AC5">
            <w:pPr>
              <w:widowControl/>
              <w:spacing w:after="58"/>
              <w:jc w:val="center"/>
              <w:rPr>
                <w:rFonts w:cstheme="minorHAnsi"/>
                <w:b/>
                <w:sz w:val="22"/>
                <w:szCs w:val="22"/>
              </w:rPr>
            </w:pPr>
            <w:r w:rsidRPr="007643AC">
              <w:rPr>
                <w:rFonts w:cstheme="minorHAnsi"/>
                <w:b/>
                <w:sz w:val="22"/>
                <w:szCs w:val="22"/>
              </w:rPr>
              <w:t>Shellfishing Use</w:t>
            </w:r>
          </w:p>
        </w:tc>
        <w:tc>
          <w:tcPr>
            <w:tcW w:w="6849" w:type="dxa"/>
            <w:tcBorders>
              <w:top w:val="single" w:sz="7" w:space="0" w:color="000000"/>
              <w:left w:val="single" w:sz="7" w:space="0" w:color="000000"/>
              <w:bottom w:val="single" w:sz="7" w:space="0" w:color="000000"/>
              <w:right w:val="single" w:sz="7" w:space="0" w:color="000000"/>
            </w:tcBorders>
            <w:shd w:val="clear" w:color="auto" w:fill="EEECE1"/>
            <w:vAlign w:val="center"/>
          </w:tcPr>
          <w:p w14:paraId="6AD69C16" w14:textId="77777777" w:rsidR="002E2AC5" w:rsidRPr="007643AC" w:rsidRDefault="002E2AC5">
            <w:pPr>
              <w:widowControl/>
              <w:rPr>
                <w:rFonts w:cstheme="minorHAnsi"/>
                <w:sz w:val="22"/>
                <w:szCs w:val="22"/>
              </w:rPr>
            </w:pPr>
            <w:r w:rsidRPr="007643AC">
              <w:rPr>
                <w:rFonts w:cstheme="minorHAnsi"/>
                <w:sz w:val="22"/>
                <w:szCs w:val="22"/>
              </w:rPr>
              <w:t>Description: Marketable shellfish (clams, oysters, mussels) that are safe for human health</w:t>
            </w:r>
          </w:p>
        </w:tc>
      </w:tr>
      <w:tr w:rsidR="002E2AC5" w:rsidRPr="009B51FC" w14:paraId="2ECDD8BF" w14:textId="77777777" w:rsidTr="007643AC">
        <w:trPr>
          <w:cantSplit/>
          <w:trHeight w:val="288"/>
        </w:trPr>
        <w:tc>
          <w:tcPr>
            <w:tcW w:w="2511" w:type="dxa"/>
            <w:vMerge/>
            <w:tcBorders>
              <w:left w:val="single" w:sz="7" w:space="0" w:color="000000"/>
              <w:bottom w:val="single" w:sz="7" w:space="0" w:color="000000"/>
              <w:right w:val="single" w:sz="7" w:space="0" w:color="000000"/>
            </w:tcBorders>
            <w:shd w:val="clear" w:color="auto" w:fill="EEECE1"/>
            <w:vAlign w:val="center"/>
          </w:tcPr>
          <w:p w14:paraId="121711F2" w14:textId="77777777" w:rsidR="002E2AC5" w:rsidRPr="007643AC" w:rsidRDefault="002E2AC5">
            <w:pPr>
              <w:spacing w:line="120" w:lineRule="exact"/>
              <w:jc w:val="center"/>
              <w:rPr>
                <w:rFonts w:cstheme="minorHAnsi"/>
                <w:b/>
                <w:sz w:val="22"/>
                <w:szCs w:val="22"/>
              </w:rPr>
            </w:pPr>
          </w:p>
        </w:tc>
        <w:tc>
          <w:tcPr>
            <w:tcW w:w="6849" w:type="dxa"/>
            <w:tcBorders>
              <w:top w:val="single" w:sz="7" w:space="0" w:color="000000"/>
              <w:left w:val="single" w:sz="7" w:space="0" w:color="000000"/>
              <w:bottom w:val="single" w:sz="7" w:space="0" w:color="000000"/>
              <w:right w:val="single" w:sz="7" w:space="0" w:color="000000"/>
            </w:tcBorders>
            <w:shd w:val="clear" w:color="auto" w:fill="EEECE1"/>
            <w:vAlign w:val="center"/>
          </w:tcPr>
          <w:p w14:paraId="1A183C4B" w14:textId="45CAE9C7" w:rsidR="002E2AC5" w:rsidRPr="007643AC" w:rsidRDefault="002E2AC5">
            <w:pPr>
              <w:widowControl/>
              <w:spacing w:after="58"/>
              <w:rPr>
                <w:rFonts w:cstheme="minorHAnsi"/>
                <w:sz w:val="22"/>
                <w:szCs w:val="22"/>
              </w:rPr>
            </w:pPr>
            <w:r w:rsidRPr="007643AC">
              <w:rPr>
                <w:rFonts w:cstheme="minorHAnsi"/>
                <w:sz w:val="22"/>
                <w:szCs w:val="22"/>
              </w:rPr>
              <w:t xml:space="preserve">Indicators: VDH </w:t>
            </w:r>
            <w:r w:rsidR="00483CBC">
              <w:rPr>
                <w:rFonts w:cstheme="minorHAnsi"/>
                <w:sz w:val="22"/>
                <w:szCs w:val="22"/>
              </w:rPr>
              <w:t xml:space="preserve">consumption </w:t>
            </w:r>
            <w:r w:rsidR="00FF54CB">
              <w:rPr>
                <w:rFonts w:cstheme="minorHAnsi"/>
                <w:sz w:val="22"/>
                <w:szCs w:val="22"/>
              </w:rPr>
              <w:t>advisories</w:t>
            </w:r>
          </w:p>
        </w:tc>
      </w:tr>
      <w:tr w:rsidR="002E2AC5" w:rsidRPr="009B51FC" w14:paraId="17D474E4" w14:textId="77777777">
        <w:trPr>
          <w:cantSplit/>
          <w:trHeight w:val="288"/>
        </w:trPr>
        <w:tc>
          <w:tcPr>
            <w:tcW w:w="2511" w:type="dxa"/>
            <w:vMerge w:val="restart"/>
            <w:tcBorders>
              <w:top w:val="single" w:sz="7" w:space="0" w:color="000000"/>
              <w:left w:val="single" w:sz="7" w:space="0" w:color="000000"/>
              <w:right w:val="single" w:sz="7" w:space="0" w:color="000000"/>
            </w:tcBorders>
            <w:vAlign w:val="center"/>
          </w:tcPr>
          <w:p w14:paraId="2A00E683" w14:textId="77777777" w:rsidR="002E2AC5" w:rsidRPr="007643AC" w:rsidRDefault="002E2AC5">
            <w:pPr>
              <w:spacing w:line="120" w:lineRule="exact"/>
              <w:jc w:val="center"/>
              <w:rPr>
                <w:rFonts w:cstheme="minorHAnsi"/>
                <w:b/>
                <w:sz w:val="22"/>
                <w:szCs w:val="22"/>
              </w:rPr>
            </w:pPr>
          </w:p>
          <w:p w14:paraId="7F98023B" w14:textId="77777777" w:rsidR="002E2AC5" w:rsidRPr="007643AC" w:rsidRDefault="002E2AC5">
            <w:pPr>
              <w:widowControl/>
              <w:spacing w:after="58"/>
              <w:jc w:val="center"/>
              <w:rPr>
                <w:rFonts w:cstheme="minorHAnsi"/>
                <w:b/>
                <w:sz w:val="22"/>
                <w:szCs w:val="22"/>
              </w:rPr>
            </w:pPr>
            <w:r w:rsidRPr="007643AC">
              <w:rPr>
                <w:rFonts w:cstheme="minorHAnsi"/>
                <w:b/>
                <w:sz w:val="22"/>
                <w:szCs w:val="22"/>
              </w:rPr>
              <w:t>Recreation (Swimming) Use</w:t>
            </w:r>
          </w:p>
        </w:tc>
        <w:tc>
          <w:tcPr>
            <w:tcW w:w="6849" w:type="dxa"/>
            <w:tcBorders>
              <w:top w:val="single" w:sz="7" w:space="0" w:color="000000"/>
              <w:left w:val="single" w:sz="7" w:space="0" w:color="000000"/>
              <w:bottom w:val="single" w:sz="7" w:space="0" w:color="000000"/>
              <w:right w:val="single" w:sz="7" w:space="0" w:color="000000"/>
            </w:tcBorders>
            <w:vAlign w:val="center"/>
          </w:tcPr>
          <w:p w14:paraId="059A9F0D" w14:textId="77777777" w:rsidR="002E2AC5" w:rsidRPr="007643AC" w:rsidRDefault="002E2AC5">
            <w:pPr>
              <w:widowControl/>
              <w:spacing w:after="58"/>
              <w:rPr>
                <w:rFonts w:cstheme="minorHAnsi"/>
                <w:sz w:val="22"/>
                <w:szCs w:val="22"/>
              </w:rPr>
            </w:pPr>
            <w:r w:rsidRPr="007643AC">
              <w:rPr>
                <w:rFonts w:cstheme="minorHAnsi"/>
                <w:sz w:val="22"/>
                <w:szCs w:val="22"/>
              </w:rPr>
              <w:t>Description: Swimming, boating, and other recreational activities</w:t>
            </w:r>
          </w:p>
        </w:tc>
      </w:tr>
      <w:tr w:rsidR="002E2AC5" w:rsidRPr="009B51FC" w14:paraId="5B0D013A" w14:textId="77777777">
        <w:trPr>
          <w:cantSplit/>
          <w:trHeight w:val="288"/>
        </w:trPr>
        <w:tc>
          <w:tcPr>
            <w:tcW w:w="2511" w:type="dxa"/>
            <w:vMerge/>
            <w:tcBorders>
              <w:top w:val="single" w:sz="7" w:space="0" w:color="000000"/>
              <w:left w:val="single" w:sz="7" w:space="0" w:color="000000"/>
              <w:right w:val="single" w:sz="7" w:space="0" w:color="000000"/>
            </w:tcBorders>
            <w:vAlign w:val="center"/>
          </w:tcPr>
          <w:p w14:paraId="4C950706" w14:textId="77777777" w:rsidR="002E2AC5" w:rsidRPr="007643AC" w:rsidRDefault="002E2AC5">
            <w:pPr>
              <w:spacing w:line="120" w:lineRule="exact"/>
              <w:jc w:val="center"/>
              <w:rPr>
                <w:rFonts w:cstheme="minorHAnsi"/>
                <w:b/>
                <w:sz w:val="22"/>
                <w:szCs w:val="22"/>
              </w:rPr>
            </w:pPr>
          </w:p>
        </w:tc>
        <w:tc>
          <w:tcPr>
            <w:tcW w:w="6849" w:type="dxa"/>
            <w:tcBorders>
              <w:top w:val="single" w:sz="7" w:space="0" w:color="000000"/>
              <w:left w:val="single" w:sz="7" w:space="0" w:color="000000"/>
              <w:bottom w:val="single" w:sz="7" w:space="0" w:color="000000"/>
              <w:right w:val="single" w:sz="7" w:space="0" w:color="000000"/>
            </w:tcBorders>
            <w:vAlign w:val="center"/>
          </w:tcPr>
          <w:p w14:paraId="0C3B53DD" w14:textId="32E4F5EE" w:rsidR="002E2AC5" w:rsidRPr="007643AC" w:rsidRDefault="002E2AC5">
            <w:pPr>
              <w:widowControl/>
              <w:spacing w:after="58"/>
              <w:rPr>
                <w:rFonts w:cstheme="minorHAnsi"/>
                <w:sz w:val="22"/>
                <w:szCs w:val="22"/>
              </w:rPr>
            </w:pPr>
            <w:r w:rsidRPr="007643AC">
              <w:rPr>
                <w:rFonts w:cstheme="minorHAnsi"/>
                <w:sz w:val="22"/>
                <w:szCs w:val="22"/>
              </w:rPr>
              <w:t xml:space="preserve">Indicators: VDH </w:t>
            </w:r>
            <w:r w:rsidR="00FF54CB">
              <w:rPr>
                <w:rFonts w:cstheme="minorHAnsi"/>
                <w:sz w:val="22"/>
                <w:szCs w:val="22"/>
              </w:rPr>
              <w:t>advisories</w:t>
            </w:r>
            <w:r w:rsidR="00FF54CB" w:rsidRPr="007643AC">
              <w:rPr>
                <w:rFonts w:cstheme="minorHAnsi"/>
                <w:sz w:val="22"/>
                <w:szCs w:val="22"/>
              </w:rPr>
              <w:t xml:space="preserve"> </w:t>
            </w:r>
            <w:r w:rsidRPr="007643AC">
              <w:rPr>
                <w:rFonts w:cstheme="minorHAnsi"/>
                <w:sz w:val="22"/>
                <w:szCs w:val="22"/>
              </w:rPr>
              <w:t>for bacteria and harmful algal blooms, bacteria</w:t>
            </w:r>
          </w:p>
        </w:tc>
      </w:tr>
      <w:tr w:rsidR="002E2AC5" w:rsidRPr="009B51FC" w14:paraId="5CE0EBAB" w14:textId="77777777" w:rsidTr="007643AC">
        <w:trPr>
          <w:cantSplit/>
          <w:trHeight w:val="288"/>
        </w:trPr>
        <w:tc>
          <w:tcPr>
            <w:tcW w:w="2511" w:type="dxa"/>
            <w:vMerge w:val="restart"/>
            <w:tcBorders>
              <w:top w:val="single" w:sz="7" w:space="0" w:color="000000"/>
              <w:left w:val="single" w:sz="7" w:space="0" w:color="000000"/>
              <w:right w:val="single" w:sz="7" w:space="0" w:color="000000"/>
            </w:tcBorders>
            <w:shd w:val="clear" w:color="auto" w:fill="EEECE1"/>
            <w:vAlign w:val="center"/>
          </w:tcPr>
          <w:p w14:paraId="1CF4F3E6" w14:textId="77777777" w:rsidR="002E2AC5" w:rsidRPr="007643AC" w:rsidRDefault="002E2AC5">
            <w:pPr>
              <w:spacing w:line="120" w:lineRule="exact"/>
              <w:jc w:val="center"/>
              <w:rPr>
                <w:rFonts w:cstheme="minorHAnsi"/>
                <w:b/>
                <w:sz w:val="22"/>
                <w:szCs w:val="22"/>
              </w:rPr>
            </w:pPr>
          </w:p>
          <w:p w14:paraId="7C3D929F" w14:textId="77777777" w:rsidR="002E2AC5" w:rsidRPr="007643AC" w:rsidRDefault="002E2AC5">
            <w:pPr>
              <w:widowControl/>
              <w:spacing w:after="58"/>
              <w:jc w:val="center"/>
              <w:rPr>
                <w:rFonts w:cstheme="minorHAnsi"/>
                <w:b/>
                <w:sz w:val="22"/>
                <w:szCs w:val="22"/>
              </w:rPr>
            </w:pPr>
            <w:r w:rsidRPr="007643AC">
              <w:rPr>
                <w:rFonts w:cstheme="minorHAnsi"/>
                <w:b/>
                <w:sz w:val="22"/>
                <w:szCs w:val="22"/>
              </w:rPr>
              <w:t>Public Water Supply Use</w:t>
            </w:r>
          </w:p>
        </w:tc>
        <w:tc>
          <w:tcPr>
            <w:tcW w:w="6849" w:type="dxa"/>
            <w:tcBorders>
              <w:top w:val="single" w:sz="7" w:space="0" w:color="000000"/>
              <w:left w:val="single" w:sz="7" w:space="0" w:color="000000"/>
              <w:bottom w:val="single" w:sz="7" w:space="0" w:color="000000"/>
              <w:right w:val="single" w:sz="7" w:space="0" w:color="000000"/>
            </w:tcBorders>
            <w:shd w:val="clear" w:color="auto" w:fill="EEECE1"/>
            <w:vAlign w:val="center"/>
          </w:tcPr>
          <w:p w14:paraId="612ED652" w14:textId="77777777" w:rsidR="002E2AC5" w:rsidRPr="007643AC" w:rsidRDefault="002E2AC5">
            <w:pPr>
              <w:widowControl/>
              <w:spacing w:after="58"/>
              <w:rPr>
                <w:rFonts w:cstheme="minorHAnsi"/>
                <w:sz w:val="22"/>
                <w:szCs w:val="22"/>
              </w:rPr>
            </w:pPr>
            <w:r w:rsidRPr="007643AC">
              <w:rPr>
                <w:rFonts w:cstheme="minorHAnsi"/>
                <w:sz w:val="22"/>
                <w:szCs w:val="22"/>
              </w:rPr>
              <w:t xml:space="preserve">Description: Drinking water </w:t>
            </w:r>
            <w:proofErr w:type="gramStart"/>
            <w:r w:rsidRPr="007643AC">
              <w:rPr>
                <w:rFonts w:cstheme="minorHAnsi"/>
                <w:sz w:val="22"/>
                <w:szCs w:val="22"/>
              </w:rPr>
              <w:t>safe</w:t>
            </w:r>
            <w:proofErr w:type="gramEnd"/>
            <w:r w:rsidRPr="007643AC">
              <w:rPr>
                <w:rFonts w:cstheme="minorHAnsi"/>
                <w:sz w:val="22"/>
                <w:szCs w:val="22"/>
              </w:rPr>
              <w:t xml:space="preserve"> for human health</w:t>
            </w:r>
          </w:p>
        </w:tc>
      </w:tr>
      <w:tr w:rsidR="002E2AC5" w:rsidRPr="009B51FC" w14:paraId="147C66EB" w14:textId="77777777" w:rsidTr="007643AC">
        <w:trPr>
          <w:cantSplit/>
          <w:trHeight w:val="288"/>
        </w:trPr>
        <w:tc>
          <w:tcPr>
            <w:tcW w:w="2511" w:type="dxa"/>
            <w:vMerge/>
            <w:tcBorders>
              <w:left w:val="single" w:sz="7" w:space="0" w:color="000000"/>
              <w:bottom w:val="single" w:sz="7" w:space="0" w:color="000000"/>
              <w:right w:val="single" w:sz="7" w:space="0" w:color="000000"/>
            </w:tcBorders>
            <w:shd w:val="clear" w:color="auto" w:fill="EEECE1"/>
            <w:vAlign w:val="center"/>
          </w:tcPr>
          <w:p w14:paraId="3BBDDDD5" w14:textId="77777777" w:rsidR="002E2AC5" w:rsidRPr="007643AC" w:rsidRDefault="002E2AC5">
            <w:pPr>
              <w:spacing w:line="120" w:lineRule="exact"/>
              <w:jc w:val="center"/>
              <w:rPr>
                <w:rFonts w:cstheme="minorHAnsi"/>
                <w:b/>
                <w:sz w:val="22"/>
                <w:szCs w:val="22"/>
              </w:rPr>
            </w:pPr>
          </w:p>
        </w:tc>
        <w:tc>
          <w:tcPr>
            <w:tcW w:w="6849" w:type="dxa"/>
            <w:tcBorders>
              <w:top w:val="single" w:sz="7" w:space="0" w:color="000000"/>
              <w:left w:val="single" w:sz="7" w:space="0" w:color="000000"/>
              <w:bottom w:val="single" w:sz="7" w:space="0" w:color="000000"/>
              <w:right w:val="single" w:sz="7" w:space="0" w:color="000000"/>
            </w:tcBorders>
            <w:shd w:val="clear" w:color="auto" w:fill="EEECE1"/>
            <w:vAlign w:val="center"/>
          </w:tcPr>
          <w:p w14:paraId="7DF3FEA1" w14:textId="18A104E5" w:rsidR="002E2AC5" w:rsidRPr="007643AC" w:rsidRDefault="002E2AC5">
            <w:pPr>
              <w:widowControl/>
              <w:spacing w:after="58"/>
              <w:rPr>
                <w:rFonts w:cstheme="minorHAnsi"/>
                <w:sz w:val="22"/>
                <w:szCs w:val="22"/>
              </w:rPr>
            </w:pPr>
            <w:r w:rsidRPr="007643AC">
              <w:rPr>
                <w:rFonts w:cstheme="minorHAnsi"/>
                <w:sz w:val="22"/>
                <w:szCs w:val="22"/>
              </w:rPr>
              <w:t xml:space="preserve">Indicators: VDH </w:t>
            </w:r>
            <w:r w:rsidR="00946923">
              <w:rPr>
                <w:rFonts w:cstheme="minorHAnsi"/>
                <w:sz w:val="22"/>
                <w:szCs w:val="22"/>
              </w:rPr>
              <w:t>advisories</w:t>
            </w:r>
            <w:r w:rsidRPr="007643AC">
              <w:rPr>
                <w:rFonts w:cstheme="minorHAnsi"/>
                <w:sz w:val="22"/>
                <w:szCs w:val="22"/>
              </w:rPr>
              <w:t>, water column toxics</w:t>
            </w:r>
          </w:p>
        </w:tc>
      </w:tr>
      <w:tr w:rsidR="002E2AC5" w:rsidRPr="009B51FC" w14:paraId="432A4972" w14:textId="77777777">
        <w:trPr>
          <w:cantSplit/>
          <w:trHeight w:val="288"/>
        </w:trPr>
        <w:tc>
          <w:tcPr>
            <w:tcW w:w="2511" w:type="dxa"/>
            <w:vMerge w:val="restart"/>
            <w:tcBorders>
              <w:top w:val="single" w:sz="7" w:space="0" w:color="000000"/>
              <w:left w:val="single" w:sz="7" w:space="0" w:color="000000"/>
              <w:right w:val="single" w:sz="7" w:space="0" w:color="000000"/>
            </w:tcBorders>
            <w:vAlign w:val="center"/>
          </w:tcPr>
          <w:p w14:paraId="038505BD" w14:textId="77777777" w:rsidR="002E2AC5" w:rsidRPr="007643AC" w:rsidRDefault="002E2AC5">
            <w:pPr>
              <w:widowControl/>
              <w:spacing w:after="58"/>
              <w:jc w:val="center"/>
              <w:rPr>
                <w:rFonts w:cstheme="minorHAnsi"/>
                <w:b/>
                <w:sz w:val="22"/>
                <w:szCs w:val="22"/>
              </w:rPr>
            </w:pPr>
            <w:r w:rsidRPr="007643AC">
              <w:rPr>
                <w:rFonts w:cstheme="minorHAnsi"/>
                <w:b/>
                <w:sz w:val="22"/>
                <w:szCs w:val="22"/>
              </w:rPr>
              <w:t>Wildlife Use</w:t>
            </w:r>
          </w:p>
        </w:tc>
        <w:tc>
          <w:tcPr>
            <w:tcW w:w="6849" w:type="dxa"/>
            <w:tcBorders>
              <w:top w:val="single" w:sz="7" w:space="0" w:color="000000"/>
              <w:left w:val="single" w:sz="7" w:space="0" w:color="000000"/>
              <w:bottom w:val="single" w:sz="7" w:space="0" w:color="000000"/>
              <w:right w:val="single" w:sz="7" w:space="0" w:color="000000"/>
            </w:tcBorders>
            <w:vAlign w:val="center"/>
          </w:tcPr>
          <w:p w14:paraId="2139D843" w14:textId="77777777" w:rsidR="002E2AC5" w:rsidRPr="007643AC" w:rsidRDefault="002E2AC5">
            <w:pPr>
              <w:widowControl/>
              <w:spacing w:after="58"/>
              <w:rPr>
                <w:rFonts w:cstheme="minorHAnsi"/>
                <w:sz w:val="22"/>
                <w:szCs w:val="22"/>
              </w:rPr>
            </w:pPr>
            <w:r w:rsidRPr="007643AC">
              <w:rPr>
                <w:rFonts w:cstheme="minorHAnsi"/>
                <w:sz w:val="22"/>
                <w:szCs w:val="22"/>
              </w:rPr>
              <w:t>Description: The propagation, growth, and protection of associated wildlife</w:t>
            </w:r>
          </w:p>
        </w:tc>
      </w:tr>
      <w:tr w:rsidR="002E2AC5" w:rsidRPr="009B51FC" w14:paraId="2768A5CF" w14:textId="77777777">
        <w:trPr>
          <w:cantSplit/>
          <w:trHeight w:val="288"/>
        </w:trPr>
        <w:tc>
          <w:tcPr>
            <w:tcW w:w="2511" w:type="dxa"/>
            <w:vMerge/>
            <w:tcBorders>
              <w:left w:val="single" w:sz="7" w:space="0" w:color="000000"/>
              <w:bottom w:val="single" w:sz="7" w:space="0" w:color="000000"/>
              <w:right w:val="single" w:sz="7" w:space="0" w:color="000000"/>
            </w:tcBorders>
          </w:tcPr>
          <w:p w14:paraId="485082B7" w14:textId="77777777" w:rsidR="002E2AC5" w:rsidRPr="007643AC" w:rsidRDefault="002E2AC5">
            <w:pPr>
              <w:widowControl/>
              <w:spacing w:after="58"/>
              <w:rPr>
                <w:rFonts w:cstheme="minorHAnsi"/>
                <w:sz w:val="22"/>
                <w:szCs w:val="22"/>
              </w:rPr>
            </w:pPr>
          </w:p>
        </w:tc>
        <w:tc>
          <w:tcPr>
            <w:tcW w:w="6849" w:type="dxa"/>
            <w:tcBorders>
              <w:top w:val="single" w:sz="7" w:space="0" w:color="000000"/>
              <w:left w:val="single" w:sz="7" w:space="0" w:color="000000"/>
              <w:bottom w:val="single" w:sz="7" w:space="0" w:color="000000"/>
              <w:right w:val="single" w:sz="7" w:space="0" w:color="000000"/>
            </w:tcBorders>
            <w:vAlign w:val="center"/>
          </w:tcPr>
          <w:p w14:paraId="53B37A53" w14:textId="77777777" w:rsidR="002E2AC5" w:rsidRPr="007643AC" w:rsidRDefault="002E2AC5">
            <w:pPr>
              <w:widowControl/>
              <w:spacing w:after="58"/>
              <w:rPr>
                <w:rFonts w:cstheme="minorHAnsi"/>
                <w:sz w:val="22"/>
                <w:szCs w:val="22"/>
              </w:rPr>
            </w:pPr>
            <w:r w:rsidRPr="007643AC">
              <w:rPr>
                <w:rFonts w:cstheme="minorHAnsi"/>
                <w:sz w:val="22"/>
                <w:szCs w:val="22"/>
              </w:rPr>
              <w:t>Indicators: Water column toxics</w:t>
            </w:r>
          </w:p>
        </w:tc>
      </w:tr>
    </w:tbl>
    <w:p w14:paraId="48ABBCFB" w14:textId="778E9CDB" w:rsidR="002E2AC5" w:rsidRPr="00144483" w:rsidRDefault="00FF54CB" w:rsidP="002E2AC5">
      <w:pPr>
        <w:widowControl/>
        <w:jc w:val="both"/>
        <w:rPr>
          <w:rStyle w:val="Emphasis"/>
          <w:rFonts w:ascii="Open Sans" w:hAnsi="Open Sans"/>
          <w:color w:val="4B4B4B"/>
          <w:sz w:val="20"/>
          <w:shd w:val="clear" w:color="auto" w:fill="FFFFFF"/>
        </w:rPr>
      </w:pPr>
      <w:r w:rsidRPr="00144483">
        <w:rPr>
          <w:rStyle w:val="Emphasis"/>
          <w:rFonts w:cstheme="minorHAnsi"/>
          <w:color w:val="4B4B4B"/>
          <w:sz w:val="20"/>
          <w:shd w:val="clear" w:color="auto" w:fill="FFFFFF"/>
        </w:rPr>
        <w:t xml:space="preserve">*Chlorophyll </w:t>
      </w:r>
      <w:proofErr w:type="gramStart"/>
      <w:r w:rsidRPr="00144483">
        <w:rPr>
          <w:rStyle w:val="Emphasis"/>
          <w:rFonts w:cstheme="minorHAnsi"/>
          <w:color w:val="4B4B4B"/>
          <w:sz w:val="20"/>
          <w:shd w:val="clear" w:color="auto" w:fill="FFFFFF"/>
        </w:rPr>
        <w:t>a and</w:t>
      </w:r>
      <w:proofErr w:type="gramEnd"/>
      <w:r w:rsidRPr="00144483">
        <w:rPr>
          <w:rStyle w:val="Emphasis"/>
          <w:rFonts w:cstheme="minorHAnsi"/>
          <w:color w:val="4B4B4B"/>
          <w:sz w:val="20"/>
          <w:shd w:val="clear" w:color="auto" w:fill="FFFFFF"/>
        </w:rPr>
        <w:t xml:space="preserve"> nutrients (total phosphorus) are assessed only in the lakes listed in Section 187 of the WQS. Chlorophyll a is also assessed in the tidal James River. </w:t>
      </w:r>
    </w:p>
    <w:p w14:paraId="0ACAD872" w14:textId="77777777" w:rsidR="00FF54CB" w:rsidRPr="009B51FC" w:rsidRDefault="00FF54CB" w:rsidP="002E2AC5">
      <w:pPr>
        <w:widowControl/>
        <w:jc w:val="both"/>
        <w:rPr>
          <w:rFonts w:ascii="Times New Roman" w:hAnsi="Times New Roman"/>
          <w:szCs w:val="24"/>
        </w:rPr>
      </w:pPr>
    </w:p>
    <w:p w14:paraId="168D1068" w14:textId="3EC95E13" w:rsidR="002E2AC5" w:rsidRPr="002F0E32" w:rsidRDefault="002E2AC5" w:rsidP="002E2AC5">
      <w:pPr>
        <w:widowControl/>
        <w:rPr>
          <w:rFonts w:cstheme="minorHAnsi"/>
          <w:szCs w:val="24"/>
        </w:rPr>
      </w:pPr>
      <w:r w:rsidRPr="002F0E32">
        <w:rPr>
          <w:rFonts w:cstheme="minorHAnsi"/>
          <w:szCs w:val="24"/>
        </w:rPr>
        <w:t>The six-year assessment begins with an analysis of all QA/QC approved data from DEQ ambient water quality, biological, sediment and fish tissue monitoring, special studies and/or other non-</w:t>
      </w:r>
      <w:r w:rsidR="00194B2B">
        <w:rPr>
          <w:rFonts w:cstheme="minorHAnsi"/>
          <w:szCs w:val="24"/>
        </w:rPr>
        <w:t>agency</w:t>
      </w:r>
      <w:r w:rsidR="00194B2B" w:rsidRPr="002F0E32">
        <w:rPr>
          <w:rFonts w:cstheme="minorHAnsi"/>
          <w:szCs w:val="24"/>
        </w:rPr>
        <w:t xml:space="preserve"> </w:t>
      </w:r>
      <w:r w:rsidRPr="002F0E32">
        <w:rPr>
          <w:rFonts w:cstheme="minorHAnsi"/>
          <w:szCs w:val="24"/>
        </w:rPr>
        <w:t xml:space="preserve">water quality data, including </w:t>
      </w:r>
      <w:r w:rsidR="00194B2B">
        <w:rPr>
          <w:rFonts w:cstheme="minorHAnsi"/>
          <w:szCs w:val="24"/>
        </w:rPr>
        <w:t>volunteer</w:t>
      </w:r>
      <w:r w:rsidR="00194B2B" w:rsidRPr="002F0E32">
        <w:rPr>
          <w:rFonts w:cstheme="minorHAnsi"/>
          <w:szCs w:val="24"/>
        </w:rPr>
        <w:t xml:space="preserve"> </w:t>
      </w:r>
      <w:r w:rsidRPr="002F0E32">
        <w:rPr>
          <w:rFonts w:cstheme="minorHAnsi"/>
          <w:szCs w:val="24"/>
        </w:rPr>
        <w:t xml:space="preserve">monitoring data. Non-agency monitoring data is evaluated for use in the assessment using </w:t>
      </w:r>
      <w:r w:rsidR="003C3065">
        <w:rPr>
          <w:rFonts w:cstheme="minorHAnsi"/>
          <w:szCs w:val="24"/>
        </w:rPr>
        <w:t>the</w:t>
      </w:r>
      <w:r w:rsidRPr="002F0E32">
        <w:rPr>
          <w:rFonts w:cstheme="minorHAnsi"/>
          <w:szCs w:val="24"/>
        </w:rPr>
        <w:t xml:space="preserve"> process outlined in Part VI of the </w:t>
      </w:r>
      <w:r w:rsidR="00A91B70">
        <w:rPr>
          <w:rFonts w:cstheme="minorHAnsi"/>
          <w:szCs w:val="24"/>
        </w:rPr>
        <w:t xml:space="preserve">Final </w:t>
      </w:r>
      <w:r w:rsidRPr="002F0E32">
        <w:rPr>
          <w:rFonts w:cstheme="minorHAnsi"/>
          <w:szCs w:val="24"/>
        </w:rPr>
        <w:t>202</w:t>
      </w:r>
      <w:r w:rsidR="00830A6C">
        <w:rPr>
          <w:rFonts w:cstheme="minorHAnsi"/>
          <w:szCs w:val="24"/>
        </w:rPr>
        <w:t>4</w:t>
      </w:r>
      <w:r w:rsidRPr="002F0E32">
        <w:rPr>
          <w:rFonts w:cstheme="minorHAnsi"/>
          <w:szCs w:val="24"/>
        </w:rPr>
        <w:t xml:space="preserve"> Assessment Guidance Manual. The results of these comprehensive data analyses are compared to both numeric and narrative criteria related to the designated uses established by Virginia’s water quality standards. A description of the assessment methodology can be found in </w:t>
      </w:r>
      <w:r w:rsidR="000A6714">
        <w:rPr>
          <w:rFonts w:cstheme="minorHAnsi"/>
          <w:szCs w:val="24"/>
        </w:rPr>
        <w:t>Section</w:t>
      </w:r>
      <w:r w:rsidRPr="002F0E32">
        <w:rPr>
          <w:rFonts w:cstheme="minorHAnsi"/>
          <w:szCs w:val="24"/>
        </w:rPr>
        <w:t xml:space="preserve"> 4.1, as well as the </w:t>
      </w:r>
      <w:r w:rsidR="00A3163F">
        <w:rPr>
          <w:rFonts w:cstheme="minorHAnsi"/>
          <w:szCs w:val="24"/>
        </w:rPr>
        <w:t xml:space="preserve">Final </w:t>
      </w:r>
      <w:r w:rsidRPr="002F0E32">
        <w:rPr>
          <w:rFonts w:cstheme="minorHAnsi"/>
          <w:szCs w:val="24"/>
        </w:rPr>
        <w:t>202</w:t>
      </w:r>
      <w:r w:rsidR="00A3163F">
        <w:rPr>
          <w:rFonts w:cstheme="minorHAnsi"/>
          <w:szCs w:val="24"/>
        </w:rPr>
        <w:t>4</w:t>
      </w:r>
      <w:r w:rsidRPr="002F0E32">
        <w:rPr>
          <w:rFonts w:cstheme="minorHAnsi"/>
          <w:szCs w:val="24"/>
        </w:rPr>
        <w:t xml:space="preserve"> Assessment Guidance Manual.</w:t>
      </w:r>
    </w:p>
    <w:p w14:paraId="0F75FC8D" w14:textId="325D3671" w:rsidR="00D72F41" w:rsidRDefault="00943032" w:rsidP="002E2AC5">
      <w:pPr>
        <w:widowControl/>
        <w:rPr>
          <w:rFonts w:cstheme="minorHAnsi"/>
          <w:szCs w:val="24"/>
        </w:rPr>
      </w:pPr>
      <w:r>
        <w:rPr>
          <w:rFonts w:cstheme="minorHAnsi"/>
          <w:szCs w:val="24"/>
        </w:rPr>
        <w:lastRenderedPageBreak/>
        <w:br/>
        <w:t>Geographical</w:t>
      </w:r>
      <w:r w:rsidRPr="002F0E32">
        <w:rPr>
          <w:rFonts w:cstheme="minorHAnsi"/>
          <w:szCs w:val="24"/>
        </w:rPr>
        <w:t xml:space="preserve"> re-indexing and </w:t>
      </w:r>
      <w:r>
        <w:rPr>
          <w:rFonts w:cstheme="minorHAnsi"/>
          <w:szCs w:val="24"/>
        </w:rPr>
        <w:t xml:space="preserve">the </w:t>
      </w:r>
      <w:r w:rsidRPr="002F0E32">
        <w:rPr>
          <w:rFonts w:cstheme="minorHAnsi"/>
          <w:szCs w:val="24"/>
        </w:rPr>
        <w:t xml:space="preserve">use </w:t>
      </w:r>
      <w:r>
        <w:rPr>
          <w:rFonts w:cstheme="minorHAnsi"/>
          <w:szCs w:val="24"/>
        </w:rPr>
        <w:t>of the National Hydrography Dataset (NHD)</w:t>
      </w:r>
      <w:r w:rsidRPr="002F0E32">
        <w:rPr>
          <w:rFonts w:cstheme="minorHAnsi"/>
          <w:szCs w:val="24"/>
        </w:rPr>
        <w:t xml:space="preserve"> </w:t>
      </w:r>
      <w:r>
        <w:rPr>
          <w:rFonts w:cstheme="minorHAnsi"/>
          <w:szCs w:val="24"/>
        </w:rPr>
        <w:t>may</w:t>
      </w:r>
      <w:r w:rsidRPr="002F0E32">
        <w:rPr>
          <w:rFonts w:cstheme="minorHAnsi"/>
          <w:szCs w:val="24"/>
        </w:rPr>
        <w:t xml:space="preserve"> alter the actual number of stream miles within the state </w:t>
      </w:r>
      <w:r>
        <w:rPr>
          <w:rFonts w:cstheme="minorHAnsi"/>
          <w:szCs w:val="24"/>
        </w:rPr>
        <w:t>between reports</w:t>
      </w:r>
      <w:r w:rsidRPr="002F0E32">
        <w:rPr>
          <w:rFonts w:cstheme="minorHAnsi"/>
          <w:szCs w:val="24"/>
        </w:rPr>
        <w:t xml:space="preserve">. </w:t>
      </w:r>
      <w:r>
        <w:rPr>
          <w:rFonts w:cstheme="minorHAnsi"/>
          <w:szCs w:val="24"/>
        </w:rPr>
        <w:t xml:space="preserve">The Final 2024 Water Quality Assessment Guidance provides basic guidelines on </w:t>
      </w:r>
      <w:r w:rsidRPr="002F0E32">
        <w:rPr>
          <w:rFonts w:cstheme="minorHAnsi"/>
          <w:szCs w:val="24"/>
        </w:rPr>
        <w:t xml:space="preserve">stream mile delineation to </w:t>
      </w:r>
      <w:r>
        <w:rPr>
          <w:rFonts w:cstheme="minorHAnsi"/>
          <w:szCs w:val="24"/>
        </w:rPr>
        <w:t>DEQ</w:t>
      </w:r>
      <w:r w:rsidRPr="002F0E32">
        <w:rPr>
          <w:rFonts w:cstheme="minorHAnsi"/>
          <w:szCs w:val="24"/>
        </w:rPr>
        <w:t xml:space="preserve"> assessment staff for associating the mileage assessed, relative to a specific sampling station. This is especially important where there are no easily identifiable changes in watershed characteristics. In some cases, the stream miles associated with a sampling station have been conservatively reduced or in other cases, slightly expanded from previous assessment reports. In many cases, additional monitoring stations have been added in the watershed and may increase the size of some </w:t>
      </w:r>
      <w:r>
        <w:rPr>
          <w:rFonts w:cstheme="minorHAnsi"/>
          <w:szCs w:val="24"/>
        </w:rPr>
        <w:t>assessed</w:t>
      </w:r>
      <w:r w:rsidRPr="002F0E32">
        <w:rPr>
          <w:rFonts w:cstheme="minorHAnsi"/>
          <w:szCs w:val="24"/>
        </w:rPr>
        <w:t xml:space="preserve"> segments depending on the additional data collected. The stream mile delineations found in this report are only reflective of the 202</w:t>
      </w:r>
      <w:r>
        <w:rPr>
          <w:rFonts w:cstheme="minorHAnsi"/>
          <w:szCs w:val="24"/>
        </w:rPr>
        <w:t>4 monitoring and</w:t>
      </w:r>
      <w:r w:rsidRPr="002F0E32">
        <w:rPr>
          <w:rFonts w:cstheme="minorHAnsi"/>
          <w:szCs w:val="24"/>
        </w:rPr>
        <w:t xml:space="preserve"> assessment period.</w:t>
      </w:r>
      <w:r w:rsidR="00F453E5">
        <w:rPr>
          <w:rFonts w:cstheme="minorHAnsi"/>
          <w:szCs w:val="24"/>
        </w:rPr>
        <w:br/>
      </w:r>
    </w:p>
    <w:p w14:paraId="36755077" w14:textId="7780F05B" w:rsidR="00F453E5" w:rsidRDefault="00F453E5" w:rsidP="002E2AC5">
      <w:pPr>
        <w:widowControl/>
        <w:rPr>
          <w:rFonts w:cstheme="minorHAnsi"/>
          <w:szCs w:val="24"/>
        </w:rPr>
      </w:pPr>
      <w:r w:rsidRPr="002F0E32">
        <w:rPr>
          <w:rFonts w:cstheme="minorHAnsi"/>
          <w:szCs w:val="24"/>
        </w:rPr>
        <w:t>A total of 100,9</w:t>
      </w:r>
      <w:r>
        <w:rPr>
          <w:rFonts w:cstheme="minorHAnsi"/>
          <w:szCs w:val="24"/>
        </w:rPr>
        <w:t>75</w:t>
      </w:r>
      <w:r w:rsidRPr="002F0E32">
        <w:rPr>
          <w:rFonts w:cstheme="minorHAnsi"/>
          <w:szCs w:val="24"/>
        </w:rPr>
        <w:t xml:space="preserve"> miles of rivers, 2,84</w:t>
      </w:r>
      <w:r w:rsidR="001C08CB">
        <w:rPr>
          <w:rFonts w:cstheme="minorHAnsi"/>
          <w:szCs w:val="24"/>
        </w:rPr>
        <w:t>2</w:t>
      </w:r>
      <w:r w:rsidRPr="002F0E32">
        <w:rPr>
          <w:rFonts w:cstheme="minorHAnsi"/>
          <w:szCs w:val="24"/>
        </w:rPr>
        <w:t xml:space="preserve"> square miles of estuarine waters, and 117,</w:t>
      </w:r>
      <w:r w:rsidR="00B72FEF">
        <w:rPr>
          <w:rFonts w:cstheme="minorHAnsi"/>
          <w:szCs w:val="24"/>
        </w:rPr>
        <w:t>869</w:t>
      </w:r>
      <w:r w:rsidRPr="002F0E32">
        <w:rPr>
          <w:rFonts w:cstheme="minorHAnsi"/>
          <w:szCs w:val="24"/>
        </w:rPr>
        <w:t xml:space="preserve"> acres of reservoir/lakes </w:t>
      </w:r>
      <w:proofErr w:type="gramStart"/>
      <w:r w:rsidRPr="002F0E32">
        <w:rPr>
          <w:rFonts w:cstheme="minorHAnsi"/>
          <w:szCs w:val="24"/>
        </w:rPr>
        <w:t>was</w:t>
      </w:r>
      <w:proofErr w:type="gramEnd"/>
      <w:r w:rsidRPr="002F0E32">
        <w:rPr>
          <w:rFonts w:cstheme="minorHAnsi"/>
          <w:szCs w:val="24"/>
        </w:rPr>
        <w:t xml:space="preserve"> determined to be available for assessment this cycle</w:t>
      </w:r>
      <w:r w:rsidR="00A012B4">
        <w:rPr>
          <w:rFonts w:cstheme="minorHAnsi"/>
          <w:szCs w:val="24"/>
        </w:rPr>
        <w:t xml:space="preserve"> (Table 4.2-2)</w:t>
      </w:r>
      <w:r w:rsidRPr="002F0E32">
        <w:rPr>
          <w:rFonts w:cstheme="minorHAnsi"/>
          <w:szCs w:val="24"/>
        </w:rPr>
        <w:t xml:space="preserve">. Approximately 65% of Virginia’s rivers are headwater systems and are not </w:t>
      </w:r>
      <w:r>
        <w:rPr>
          <w:rFonts w:cstheme="minorHAnsi"/>
          <w:szCs w:val="24"/>
        </w:rPr>
        <w:t xml:space="preserve">routinely </w:t>
      </w:r>
      <w:r w:rsidRPr="002F0E32">
        <w:rPr>
          <w:rFonts w:cstheme="minorHAnsi"/>
          <w:szCs w:val="24"/>
        </w:rPr>
        <w:t>monitored by the DEQ ambient monitoring network. These waters are regularly monitored via the Freshwater Probabilistic Monitoring program (</w:t>
      </w:r>
      <w:r>
        <w:rPr>
          <w:rFonts w:cstheme="minorHAnsi"/>
          <w:szCs w:val="24"/>
        </w:rPr>
        <w:t>Section</w:t>
      </w:r>
      <w:r w:rsidRPr="002F0E32">
        <w:rPr>
          <w:rFonts w:cstheme="minorHAnsi"/>
          <w:szCs w:val="24"/>
        </w:rPr>
        <w:t xml:space="preserve"> 4.4) and are also included in watershed cleanup plans.</w:t>
      </w:r>
      <w:r>
        <w:rPr>
          <w:rFonts w:cstheme="minorHAnsi"/>
          <w:szCs w:val="24"/>
        </w:rPr>
        <w:br/>
      </w:r>
    </w:p>
    <w:p w14:paraId="6CB30FE8" w14:textId="34DE4BE5" w:rsidR="0043251B" w:rsidRPr="00CD5013" w:rsidRDefault="00DC3083" w:rsidP="0A5BE548">
      <w:pPr>
        <w:pStyle w:val="Caption"/>
        <w:rPr>
          <w:specVanish/>
        </w:rPr>
      </w:pPr>
      <w:bookmarkStart w:id="80" w:name="_Toc164175157"/>
      <w:r>
        <w:t xml:space="preserve">Table </w:t>
      </w:r>
      <w:r w:rsidR="004F13BA">
        <w:fldChar w:fldCharType="begin"/>
      </w:r>
      <w:r w:rsidR="004F13BA">
        <w:instrText xml:space="preserve"> STYLEREF 2 \s </w:instrText>
      </w:r>
      <w:r w:rsidR="004F13BA">
        <w:fldChar w:fldCharType="separate"/>
      </w:r>
      <w:r w:rsidR="00CD06AE">
        <w:rPr>
          <w:noProof/>
        </w:rPr>
        <w:t>4.2</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w:t>
      </w:r>
      <w:r w:rsidR="004F13BA">
        <w:rPr>
          <w:noProof/>
        </w:rPr>
        <w:fldChar w:fldCharType="end"/>
      </w:r>
      <w:r>
        <w:t>. Summary of all water bodies assessed</w:t>
      </w:r>
      <w:r w:rsidR="1B9A2370">
        <w:t xml:space="preserve">. </w:t>
      </w:r>
      <w:bookmarkEnd w:id="80"/>
      <w:r w:rsidR="002358CE">
        <w:t xml:space="preserve">Values inside parentheses </w:t>
      </w:r>
      <w:r w:rsidR="00FC1C40" w:rsidRPr="0A5BE548">
        <w:rPr>
          <w:rFonts w:cstheme="minorBidi"/>
        </w:rPr>
        <w:t>represent percent of total waterbody type for the entire state.</w:t>
      </w:r>
    </w:p>
    <w:tbl>
      <w:tblPr>
        <w:tblStyle w:val="PlainTable52"/>
        <w:tblpPr w:leftFromText="180" w:rightFromText="180" w:vertAnchor="text" w:horzAnchor="margin" w:tblpY="34"/>
        <w:tblW w:w="9375" w:type="dxa"/>
        <w:tblLook w:val="04A0" w:firstRow="1" w:lastRow="0" w:firstColumn="1" w:lastColumn="0" w:noHBand="0" w:noVBand="1"/>
        <w:tblCaption w:val="Overview of Assessment Results"/>
        <w:tblDescription w:val="Overview of Assessment Results"/>
      </w:tblPr>
      <w:tblGrid>
        <w:gridCol w:w="3075"/>
        <w:gridCol w:w="1980"/>
        <w:gridCol w:w="1980"/>
        <w:gridCol w:w="2340"/>
      </w:tblGrid>
      <w:tr w:rsidR="00152C79" w:rsidRPr="00DE1875" w14:paraId="0C1F30DA" w14:textId="77777777" w:rsidTr="00865B0A">
        <w:trPr>
          <w:cnfStyle w:val="100000000000" w:firstRow="1" w:lastRow="0" w:firstColumn="0" w:lastColumn="0" w:oddVBand="0" w:evenVBand="0" w:oddHBand="0" w:evenHBand="0" w:firstRowFirstColumn="0" w:firstRowLastColumn="0" w:lastRowFirstColumn="0" w:lastRowLastColumn="0"/>
          <w:cantSplit/>
          <w:trHeight w:val="360"/>
          <w:tblHeader/>
        </w:trPr>
        <w:tc>
          <w:tcPr>
            <w:cnfStyle w:val="001000000100" w:firstRow="0" w:lastRow="0" w:firstColumn="1" w:lastColumn="0" w:oddVBand="0" w:evenVBand="0" w:oddHBand="0" w:evenHBand="0" w:firstRowFirstColumn="1" w:firstRowLastColumn="0" w:lastRowFirstColumn="0" w:lastRowLastColumn="0"/>
            <w:tcW w:w="3075" w:type="dxa"/>
            <w:tcBorders>
              <w:top w:val="single" w:sz="12" w:space="0" w:color="auto"/>
              <w:bottom w:val="single" w:sz="4" w:space="0" w:color="auto"/>
            </w:tcBorders>
            <w:shd w:val="clear" w:color="auto" w:fill="auto"/>
            <w:vAlign w:val="center"/>
            <w:hideMark/>
          </w:tcPr>
          <w:p w14:paraId="2C763B15" w14:textId="77777777" w:rsidR="00152C79" w:rsidRPr="00625D9E" w:rsidRDefault="00152C79" w:rsidP="0044201E">
            <w:pPr>
              <w:widowControl/>
              <w:jc w:val="center"/>
              <w:rPr>
                <w:rFonts w:asciiTheme="minorHAnsi" w:hAnsiTheme="minorHAnsi" w:cstheme="minorHAnsi"/>
                <w:b/>
                <w:bCs/>
                <w:i w:val="0"/>
                <w:iCs w:val="0"/>
                <w:snapToGrid/>
                <w:color w:val="000000"/>
                <w:sz w:val="22"/>
                <w:szCs w:val="22"/>
              </w:rPr>
            </w:pPr>
          </w:p>
        </w:tc>
        <w:tc>
          <w:tcPr>
            <w:tcW w:w="1980" w:type="dxa"/>
            <w:tcBorders>
              <w:top w:val="single" w:sz="12" w:space="0" w:color="auto"/>
              <w:bottom w:val="single" w:sz="4" w:space="0" w:color="auto"/>
            </w:tcBorders>
            <w:shd w:val="clear" w:color="auto" w:fill="auto"/>
            <w:vAlign w:val="center"/>
            <w:hideMark/>
          </w:tcPr>
          <w:p w14:paraId="4EC55B96" w14:textId="6B1C403D" w:rsidR="00152C79" w:rsidRPr="00625D9E" w:rsidRDefault="00152C79" w:rsidP="0044201E">
            <w:pPr>
              <w:widowControl/>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snapToGrid/>
                <w:color w:val="000000"/>
                <w:sz w:val="22"/>
                <w:szCs w:val="22"/>
              </w:rPr>
            </w:pPr>
            <w:r w:rsidRPr="00625D9E">
              <w:rPr>
                <w:rFonts w:asciiTheme="minorHAnsi" w:hAnsiTheme="minorHAnsi" w:cstheme="minorHAnsi"/>
                <w:b/>
                <w:bCs/>
                <w:i w:val="0"/>
                <w:iCs w:val="0"/>
                <w:snapToGrid/>
                <w:color w:val="000000"/>
                <w:sz w:val="22"/>
                <w:szCs w:val="22"/>
              </w:rPr>
              <w:t>Rivers (</w:t>
            </w:r>
            <w:r w:rsidR="008C0D27">
              <w:rPr>
                <w:rFonts w:asciiTheme="minorHAnsi" w:hAnsiTheme="minorHAnsi" w:cstheme="minorHAnsi"/>
                <w:b/>
                <w:bCs/>
                <w:i w:val="0"/>
                <w:iCs w:val="0"/>
                <w:snapToGrid/>
                <w:color w:val="000000"/>
                <w:sz w:val="22"/>
                <w:szCs w:val="22"/>
              </w:rPr>
              <w:t>Miles</w:t>
            </w:r>
            <w:r w:rsidRPr="00625D9E">
              <w:rPr>
                <w:rFonts w:asciiTheme="minorHAnsi" w:hAnsiTheme="minorHAnsi" w:cstheme="minorHAnsi"/>
                <w:b/>
                <w:bCs/>
                <w:i w:val="0"/>
                <w:iCs w:val="0"/>
                <w:snapToGrid/>
                <w:color w:val="000000"/>
                <w:sz w:val="22"/>
                <w:szCs w:val="22"/>
              </w:rPr>
              <w:t>)</w:t>
            </w:r>
          </w:p>
        </w:tc>
        <w:tc>
          <w:tcPr>
            <w:tcW w:w="1980" w:type="dxa"/>
            <w:tcBorders>
              <w:top w:val="single" w:sz="12" w:space="0" w:color="auto"/>
              <w:bottom w:val="single" w:sz="4" w:space="0" w:color="auto"/>
            </w:tcBorders>
            <w:shd w:val="clear" w:color="auto" w:fill="auto"/>
            <w:vAlign w:val="center"/>
            <w:hideMark/>
          </w:tcPr>
          <w:p w14:paraId="045763DC" w14:textId="3DBDF993" w:rsidR="00152C79" w:rsidRPr="00625D9E" w:rsidRDefault="00152C79" w:rsidP="0044201E">
            <w:pPr>
              <w:widowControl/>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snapToGrid/>
                <w:color w:val="000000"/>
                <w:sz w:val="22"/>
                <w:szCs w:val="22"/>
              </w:rPr>
            </w:pPr>
            <w:r w:rsidRPr="00625D9E">
              <w:rPr>
                <w:rFonts w:asciiTheme="minorHAnsi" w:hAnsiTheme="minorHAnsi" w:cstheme="minorHAnsi"/>
                <w:b/>
                <w:bCs/>
                <w:i w:val="0"/>
                <w:iCs w:val="0"/>
                <w:snapToGrid/>
                <w:color w:val="000000"/>
                <w:sz w:val="22"/>
                <w:szCs w:val="22"/>
              </w:rPr>
              <w:t>Lakes (</w:t>
            </w:r>
            <w:r w:rsidR="008C0D27">
              <w:rPr>
                <w:rFonts w:asciiTheme="minorHAnsi" w:hAnsiTheme="minorHAnsi" w:cstheme="minorHAnsi"/>
                <w:b/>
                <w:bCs/>
                <w:i w:val="0"/>
                <w:iCs w:val="0"/>
                <w:snapToGrid/>
                <w:color w:val="000000"/>
                <w:sz w:val="22"/>
                <w:szCs w:val="22"/>
              </w:rPr>
              <w:t>Acres</w:t>
            </w:r>
            <w:r w:rsidRPr="00625D9E">
              <w:rPr>
                <w:rFonts w:asciiTheme="minorHAnsi" w:hAnsiTheme="minorHAnsi" w:cstheme="minorHAnsi"/>
                <w:b/>
                <w:bCs/>
                <w:i w:val="0"/>
                <w:iCs w:val="0"/>
                <w:snapToGrid/>
                <w:color w:val="000000"/>
                <w:sz w:val="22"/>
                <w:szCs w:val="22"/>
              </w:rPr>
              <w:t>)</w:t>
            </w:r>
          </w:p>
        </w:tc>
        <w:tc>
          <w:tcPr>
            <w:tcW w:w="2340" w:type="dxa"/>
            <w:tcBorders>
              <w:top w:val="single" w:sz="12" w:space="0" w:color="auto"/>
              <w:bottom w:val="single" w:sz="4" w:space="0" w:color="auto"/>
            </w:tcBorders>
            <w:shd w:val="clear" w:color="auto" w:fill="auto"/>
            <w:vAlign w:val="center"/>
            <w:hideMark/>
          </w:tcPr>
          <w:p w14:paraId="279EA4A6" w14:textId="4F2FA223" w:rsidR="00152C79" w:rsidRPr="00625D9E" w:rsidRDefault="00152C79" w:rsidP="0044201E">
            <w:pPr>
              <w:widowControl/>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snapToGrid/>
                <w:color w:val="000000"/>
                <w:sz w:val="22"/>
                <w:szCs w:val="22"/>
              </w:rPr>
            </w:pPr>
            <w:r w:rsidRPr="00625D9E">
              <w:rPr>
                <w:rFonts w:asciiTheme="minorHAnsi" w:hAnsiTheme="minorHAnsi" w:cstheme="minorHAnsi"/>
                <w:b/>
                <w:bCs/>
                <w:i w:val="0"/>
                <w:iCs w:val="0"/>
                <w:snapToGrid/>
                <w:color w:val="000000"/>
                <w:sz w:val="22"/>
                <w:szCs w:val="22"/>
              </w:rPr>
              <w:t>Estuaries (</w:t>
            </w:r>
            <w:r w:rsidR="008C0D27">
              <w:rPr>
                <w:rFonts w:asciiTheme="minorHAnsi" w:hAnsiTheme="minorHAnsi" w:cstheme="minorHAnsi"/>
                <w:b/>
                <w:bCs/>
                <w:i w:val="0"/>
                <w:iCs w:val="0"/>
                <w:snapToGrid/>
                <w:color w:val="000000"/>
                <w:sz w:val="22"/>
                <w:szCs w:val="22"/>
              </w:rPr>
              <w:t>Miles</w:t>
            </w:r>
            <w:r w:rsidRPr="00625D9E">
              <w:rPr>
                <w:rFonts w:asciiTheme="minorHAnsi" w:hAnsiTheme="minorHAnsi" w:cstheme="minorHAnsi"/>
                <w:b/>
                <w:bCs/>
                <w:i w:val="0"/>
                <w:iCs w:val="0"/>
                <w:snapToGrid/>
                <w:color w:val="000000"/>
                <w:sz w:val="22"/>
                <w:szCs w:val="22"/>
                <w:vertAlign w:val="superscript"/>
              </w:rPr>
              <w:t>2</w:t>
            </w:r>
            <w:r w:rsidRPr="00625D9E">
              <w:rPr>
                <w:rFonts w:asciiTheme="minorHAnsi" w:hAnsiTheme="minorHAnsi" w:cstheme="minorHAnsi"/>
                <w:b/>
                <w:bCs/>
                <w:i w:val="0"/>
                <w:iCs w:val="0"/>
                <w:snapToGrid/>
                <w:color w:val="000000"/>
                <w:sz w:val="22"/>
                <w:szCs w:val="22"/>
              </w:rPr>
              <w:t>)</w:t>
            </w:r>
          </w:p>
        </w:tc>
      </w:tr>
      <w:tr w:rsidR="00152C79" w:rsidRPr="00DE1875" w14:paraId="01B048D8" w14:textId="77777777" w:rsidTr="00865B0A">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3075" w:type="dxa"/>
            <w:tcBorders>
              <w:top w:val="single" w:sz="4" w:space="0" w:color="auto"/>
            </w:tcBorders>
            <w:shd w:val="clear" w:color="auto" w:fill="auto"/>
            <w:vAlign w:val="center"/>
          </w:tcPr>
          <w:p w14:paraId="23A1C5AF" w14:textId="167CBF45" w:rsidR="00152C79" w:rsidRPr="009F4430" w:rsidRDefault="00152C79" w:rsidP="0044201E">
            <w:pPr>
              <w:widowControl/>
              <w:jc w:val="center"/>
              <w:rPr>
                <w:rFonts w:asciiTheme="minorHAnsi" w:hAnsiTheme="minorHAnsi" w:cstheme="minorHAnsi"/>
                <w:i w:val="0"/>
                <w:iCs w:val="0"/>
                <w:snapToGrid/>
                <w:color w:val="000000"/>
                <w:sz w:val="22"/>
                <w:szCs w:val="22"/>
              </w:rPr>
            </w:pPr>
            <w:r w:rsidRPr="009F4430">
              <w:rPr>
                <w:rFonts w:asciiTheme="minorHAnsi" w:hAnsiTheme="minorHAnsi" w:cstheme="minorHAnsi"/>
                <w:i w:val="0"/>
                <w:iCs w:val="0"/>
                <w:snapToGrid/>
                <w:color w:val="000000"/>
                <w:sz w:val="22"/>
                <w:szCs w:val="22"/>
              </w:rPr>
              <w:t xml:space="preserve">Non-Impaired </w:t>
            </w:r>
          </w:p>
        </w:tc>
        <w:tc>
          <w:tcPr>
            <w:tcW w:w="1980" w:type="dxa"/>
            <w:tcBorders>
              <w:top w:val="single" w:sz="4" w:space="0" w:color="auto"/>
              <w:left w:val="nil"/>
            </w:tcBorders>
            <w:shd w:val="clear" w:color="auto" w:fill="auto"/>
            <w:vAlign w:val="center"/>
          </w:tcPr>
          <w:p w14:paraId="10297DAE" w14:textId="10FBCE18" w:rsidR="00152C79" w:rsidRPr="00625D9E" w:rsidRDefault="00152C79" w:rsidP="0044201E">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sidRPr="00625D9E">
              <w:rPr>
                <w:rFonts w:cstheme="minorHAnsi"/>
                <w:snapToGrid/>
                <w:color w:val="000000"/>
                <w:sz w:val="22"/>
                <w:szCs w:val="22"/>
              </w:rPr>
              <w:t>3,</w:t>
            </w:r>
            <w:r w:rsidR="005A0F28">
              <w:rPr>
                <w:rFonts w:cstheme="minorHAnsi"/>
                <w:snapToGrid/>
                <w:color w:val="000000"/>
                <w:sz w:val="22"/>
                <w:szCs w:val="22"/>
              </w:rPr>
              <w:t>516</w:t>
            </w:r>
            <w:r w:rsidRPr="00625D9E">
              <w:rPr>
                <w:rFonts w:cstheme="minorHAnsi"/>
                <w:snapToGrid/>
                <w:color w:val="000000"/>
                <w:sz w:val="22"/>
                <w:szCs w:val="22"/>
              </w:rPr>
              <w:t xml:space="preserve"> (4%)</w:t>
            </w:r>
          </w:p>
        </w:tc>
        <w:tc>
          <w:tcPr>
            <w:tcW w:w="1980" w:type="dxa"/>
            <w:tcBorders>
              <w:top w:val="single" w:sz="4" w:space="0" w:color="auto"/>
            </w:tcBorders>
            <w:shd w:val="clear" w:color="auto" w:fill="auto"/>
            <w:vAlign w:val="center"/>
          </w:tcPr>
          <w:p w14:paraId="22C72B0B" w14:textId="77777777" w:rsidR="00152C79" w:rsidRPr="00625D9E" w:rsidRDefault="00152C79" w:rsidP="0044201E">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sidRPr="00625D9E">
              <w:rPr>
                <w:rFonts w:cstheme="minorHAnsi"/>
                <w:snapToGrid/>
                <w:color w:val="000000"/>
                <w:sz w:val="22"/>
                <w:szCs w:val="22"/>
              </w:rPr>
              <w:t>1</w:t>
            </w:r>
            <w:r>
              <w:rPr>
                <w:rFonts w:cstheme="minorHAnsi"/>
                <w:snapToGrid/>
                <w:color w:val="000000"/>
                <w:sz w:val="22"/>
                <w:szCs w:val="22"/>
              </w:rPr>
              <w:t>3,338</w:t>
            </w:r>
            <w:r w:rsidRPr="00625D9E">
              <w:rPr>
                <w:rFonts w:cstheme="minorHAnsi"/>
                <w:snapToGrid/>
                <w:color w:val="000000"/>
                <w:sz w:val="22"/>
                <w:szCs w:val="22"/>
              </w:rPr>
              <w:t xml:space="preserve"> (1</w:t>
            </w:r>
            <w:r>
              <w:rPr>
                <w:rFonts w:cstheme="minorHAnsi"/>
                <w:snapToGrid/>
                <w:color w:val="000000"/>
                <w:sz w:val="22"/>
                <w:szCs w:val="22"/>
              </w:rPr>
              <w:t>1</w:t>
            </w:r>
            <w:r w:rsidRPr="00625D9E">
              <w:rPr>
                <w:rFonts w:cstheme="minorHAnsi"/>
                <w:snapToGrid/>
                <w:color w:val="000000"/>
                <w:sz w:val="22"/>
                <w:szCs w:val="22"/>
              </w:rPr>
              <w:t>%)</w:t>
            </w:r>
          </w:p>
        </w:tc>
        <w:tc>
          <w:tcPr>
            <w:tcW w:w="2340" w:type="dxa"/>
            <w:tcBorders>
              <w:top w:val="single" w:sz="4" w:space="0" w:color="auto"/>
            </w:tcBorders>
            <w:shd w:val="clear" w:color="auto" w:fill="auto"/>
            <w:vAlign w:val="center"/>
          </w:tcPr>
          <w:p w14:paraId="4DCB0CA1" w14:textId="39339EA1" w:rsidR="00152C79" w:rsidRPr="00625D9E" w:rsidRDefault="00152C79" w:rsidP="0044201E">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sidRPr="00625D9E">
              <w:rPr>
                <w:rFonts w:cstheme="minorHAnsi"/>
                <w:snapToGrid/>
                <w:color w:val="000000"/>
                <w:sz w:val="22"/>
                <w:szCs w:val="22"/>
              </w:rPr>
              <w:t>3</w:t>
            </w:r>
            <w:r>
              <w:rPr>
                <w:rFonts w:cstheme="minorHAnsi"/>
                <w:snapToGrid/>
                <w:color w:val="000000"/>
                <w:sz w:val="22"/>
                <w:szCs w:val="22"/>
              </w:rPr>
              <w:t>0</w:t>
            </w:r>
            <w:r w:rsidR="0060342D">
              <w:rPr>
                <w:rFonts w:cstheme="minorHAnsi"/>
                <w:snapToGrid/>
                <w:color w:val="000000"/>
                <w:sz w:val="22"/>
                <w:szCs w:val="22"/>
              </w:rPr>
              <w:t>6</w:t>
            </w:r>
            <w:r w:rsidRPr="00625D9E">
              <w:rPr>
                <w:rFonts w:cstheme="minorHAnsi"/>
                <w:snapToGrid/>
                <w:color w:val="000000"/>
                <w:sz w:val="22"/>
                <w:szCs w:val="22"/>
              </w:rPr>
              <w:t xml:space="preserve"> (11%)</w:t>
            </w:r>
          </w:p>
        </w:tc>
      </w:tr>
      <w:tr w:rsidR="00152C79" w:rsidRPr="00DE1875" w14:paraId="44A3820B" w14:textId="77777777" w:rsidTr="00865B0A">
        <w:trPr>
          <w:cantSplit/>
          <w:trHeight w:val="360"/>
        </w:trPr>
        <w:tc>
          <w:tcPr>
            <w:cnfStyle w:val="001000000000" w:firstRow="0" w:lastRow="0" w:firstColumn="1" w:lastColumn="0" w:oddVBand="0" w:evenVBand="0" w:oddHBand="0" w:evenHBand="0" w:firstRowFirstColumn="0" w:firstRowLastColumn="0" w:lastRowFirstColumn="0" w:lastRowLastColumn="0"/>
            <w:tcW w:w="3075" w:type="dxa"/>
            <w:shd w:val="clear" w:color="auto" w:fill="auto"/>
            <w:vAlign w:val="center"/>
            <w:hideMark/>
          </w:tcPr>
          <w:p w14:paraId="62E73D77" w14:textId="25E2C787" w:rsidR="00152C79" w:rsidRPr="009F4430" w:rsidRDefault="00152C79" w:rsidP="0044201E">
            <w:pPr>
              <w:widowControl/>
              <w:jc w:val="center"/>
              <w:rPr>
                <w:rFonts w:asciiTheme="minorHAnsi" w:hAnsiTheme="minorHAnsi" w:cstheme="minorHAnsi"/>
                <w:i w:val="0"/>
                <w:iCs w:val="0"/>
                <w:snapToGrid/>
                <w:color w:val="000000"/>
                <w:sz w:val="22"/>
                <w:szCs w:val="22"/>
              </w:rPr>
            </w:pPr>
            <w:r w:rsidRPr="009F4430">
              <w:rPr>
                <w:rFonts w:asciiTheme="minorHAnsi" w:hAnsiTheme="minorHAnsi" w:cstheme="minorHAnsi"/>
                <w:i w:val="0"/>
                <w:iCs w:val="0"/>
                <w:snapToGrid/>
                <w:color w:val="000000"/>
                <w:sz w:val="22"/>
                <w:szCs w:val="22"/>
              </w:rPr>
              <w:t xml:space="preserve">Impaired </w:t>
            </w:r>
          </w:p>
        </w:tc>
        <w:tc>
          <w:tcPr>
            <w:tcW w:w="1980" w:type="dxa"/>
            <w:tcBorders>
              <w:left w:val="nil"/>
            </w:tcBorders>
            <w:shd w:val="clear" w:color="auto" w:fill="auto"/>
            <w:vAlign w:val="center"/>
            <w:hideMark/>
          </w:tcPr>
          <w:p w14:paraId="5C2DE482" w14:textId="45FB9CDD" w:rsidR="00152C79" w:rsidRPr="00625D9E" w:rsidRDefault="00152C79" w:rsidP="0044201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625D9E">
              <w:rPr>
                <w:rFonts w:cstheme="minorHAnsi"/>
                <w:snapToGrid/>
                <w:color w:val="000000"/>
                <w:sz w:val="22"/>
                <w:szCs w:val="22"/>
              </w:rPr>
              <w:t>16,</w:t>
            </w:r>
            <w:r w:rsidR="008E775D">
              <w:rPr>
                <w:rFonts w:cstheme="minorHAnsi"/>
                <w:snapToGrid/>
                <w:color w:val="000000"/>
                <w:sz w:val="22"/>
                <w:szCs w:val="22"/>
              </w:rPr>
              <w:t>312</w:t>
            </w:r>
            <w:r w:rsidRPr="00625D9E">
              <w:rPr>
                <w:rFonts w:cstheme="minorHAnsi"/>
                <w:snapToGrid/>
                <w:color w:val="000000"/>
                <w:sz w:val="22"/>
                <w:szCs w:val="22"/>
              </w:rPr>
              <w:t xml:space="preserve"> (16%)</w:t>
            </w:r>
          </w:p>
        </w:tc>
        <w:tc>
          <w:tcPr>
            <w:tcW w:w="1980" w:type="dxa"/>
            <w:shd w:val="clear" w:color="auto" w:fill="auto"/>
            <w:vAlign w:val="center"/>
            <w:hideMark/>
          </w:tcPr>
          <w:p w14:paraId="67A43DBE" w14:textId="11014098" w:rsidR="00152C79" w:rsidRPr="00625D9E" w:rsidRDefault="00152C79" w:rsidP="0044201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625D9E">
              <w:rPr>
                <w:rFonts w:cstheme="minorHAnsi"/>
                <w:snapToGrid/>
                <w:color w:val="000000"/>
                <w:sz w:val="22"/>
                <w:szCs w:val="22"/>
              </w:rPr>
              <w:t>10</w:t>
            </w:r>
            <w:r w:rsidR="003F1F52">
              <w:rPr>
                <w:rFonts w:cstheme="minorHAnsi"/>
                <w:snapToGrid/>
                <w:color w:val="000000"/>
                <w:sz w:val="22"/>
                <w:szCs w:val="22"/>
              </w:rPr>
              <w:t>2</w:t>
            </w:r>
            <w:r>
              <w:rPr>
                <w:rFonts w:cstheme="minorHAnsi"/>
                <w:snapToGrid/>
                <w:color w:val="000000"/>
                <w:sz w:val="22"/>
                <w:szCs w:val="22"/>
              </w:rPr>
              <w:t>,</w:t>
            </w:r>
            <w:r w:rsidR="003F1F52">
              <w:rPr>
                <w:rFonts w:cstheme="minorHAnsi"/>
                <w:snapToGrid/>
                <w:color w:val="000000"/>
                <w:sz w:val="22"/>
                <w:szCs w:val="22"/>
              </w:rPr>
              <w:t>091</w:t>
            </w:r>
            <w:r w:rsidRPr="00625D9E">
              <w:rPr>
                <w:rFonts w:cstheme="minorHAnsi"/>
                <w:snapToGrid/>
                <w:color w:val="000000"/>
                <w:sz w:val="22"/>
                <w:szCs w:val="22"/>
              </w:rPr>
              <w:t xml:space="preserve"> (8</w:t>
            </w:r>
            <w:r w:rsidR="00EA5D91">
              <w:rPr>
                <w:rFonts w:cstheme="minorHAnsi"/>
                <w:snapToGrid/>
                <w:color w:val="000000"/>
                <w:sz w:val="22"/>
                <w:szCs w:val="22"/>
              </w:rPr>
              <w:t>7</w:t>
            </w:r>
            <w:r w:rsidRPr="00625D9E">
              <w:rPr>
                <w:rFonts w:cstheme="minorHAnsi"/>
                <w:snapToGrid/>
                <w:color w:val="000000"/>
                <w:sz w:val="22"/>
                <w:szCs w:val="22"/>
              </w:rPr>
              <w:t>%)</w:t>
            </w:r>
          </w:p>
        </w:tc>
        <w:tc>
          <w:tcPr>
            <w:tcW w:w="2340" w:type="dxa"/>
            <w:shd w:val="clear" w:color="auto" w:fill="auto"/>
            <w:vAlign w:val="center"/>
            <w:hideMark/>
          </w:tcPr>
          <w:p w14:paraId="22E19F28" w14:textId="5A6CD839" w:rsidR="00152C79" w:rsidRPr="00625D9E" w:rsidRDefault="00152C79" w:rsidP="0044201E">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625D9E">
              <w:rPr>
                <w:rFonts w:cstheme="minorHAnsi"/>
                <w:snapToGrid/>
                <w:color w:val="000000"/>
                <w:sz w:val="22"/>
                <w:szCs w:val="22"/>
              </w:rPr>
              <w:t>2,1</w:t>
            </w:r>
            <w:r>
              <w:rPr>
                <w:rFonts w:cstheme="minorHAnsi"/>
                <w:snapToGrid/>
                <w:color w:val="000000"/>
                <w:sz w:val="22"/>
                <w:szCs w:val="22"/>
              </w:rPr>
              <w:t>4</w:t>
            </w:r>
            <w:r w:rsidR="0060342D">
              <w:rPr>
                <w:rFonts w:cstheme="minorHAnsi"/>
                <w:snapToGrid/>
                <w:color w:val="000000"/>
                <w:sz w:val="22"/>
                <w:szCs w:val="22"/>
              </w:rPr>
              <w:t>3</w:t>
            </w:r>
            <w:r w:rsidRPr="00625D9E">
              <w:rPr>
                <w:rFonts w:cstheme="minorHAnsi"/>
                <w:snapToGrid/>
                <w:color w:val="000000"/>
                <w:sz w:val="22"/>
                <w:szCs w:val="22"/>
              </w:rPr>
              <w:t xml:space="preserve"> (75%)</w:t>
            </w:r>
          </w:p>
        </w:tc>
      </w:tr>
      <w:tr w:rsidR="00152C79" w:rsidRPr="00DE1875" w14:paraId="317A3994" w14:textId="77777777" w:rsidTr="00865B0A">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3075" w:type="dxa"/>
            <w:tcBorders>
              <w:bottom w:val="single" w:sz="4" w:space="0" w:color="auto"/>
            </w:tcBorders>
            <w:shd w:val="clear" w:color="auto" w:fill="auto"/>
            <w:vAlign w:val="center"/>
            <w:hideMark/>
          </w:tcPr>
          <w:p w14:paraId="4FC0C8E5" w14:textId="27E371C2" w:rsidR="00152C79" w:rsidRPr="009F4430" w:rsidRDefault="00152C79" w:rsidP="0044201E">
            <w:pPr>
              <w:widowControl/>
              <w:jc w:val="center"/>
              <w:rPr>
                <w:rFonts w:asciiTheme="minorHAnsi" w:hAnsiTheme="minorHAnsi" w:cstheme="minorHAnsi"/>
                <w:i w:val="0"/>
                <w:iCs w:val="0"/>
                <w:snapToGrid/>
                <w:color w:val="000000"/>
                <w:sz w:val="22"/>
                <w:szCs w:val="22"/>
              </w:rPr>
            </w:pPr>
            <w:r w:rsidRPr="009F4430">
              <w:rPr>
                <w:rFonts w:asciiTheme="minorHAnsi" w:hAnsiTheme="minorHAnsi" w:cstheme="minorHAnsi"/>
                <w:i w:val="0"/>
                <w:iCs w:val="0"/>
                <w:snapToGrid/>
                <w:color w:val="000000"/>
                <w:sz w:val="22"/>
                <w:szCs w:val="22"/>
              </w:rPr>
              <w:t xml:space="preserve">Not Assessed </w:t>
            </w:r>
          </w:p>
        </w:tc>
        <w:tc>
          <w:tcPr>
            <w:tcW w:w="1980" w:type="dxa"/>
            <w:tcBorders>
              <w:left w:val="nil"/>
              <w:bottom w:val="single" w:sz="4" w:space="0" w:color="auto"/>
            </w:tcBorders>
            <w:shd w:val="clear" w:color="auto" w:fill="auto"/>
            <w:vAlign w:val="center"/>
            <w:hideMark/>
          </w:tcPr>
          <w:p w14:paraId="31E7DE6C" w14:textId="5670326E" w:rsidR="00152C79" w:rsidRPr="00625D9E" w:rsidRDefault="00152C79" w:rsidP="0044201E">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sidRPr="00625D9E">
              <w:rPr>
                <w:rFonts w:cstheme="minorHAnsi"/>
                <w:snapToGrid/>
                <w:color w:val="000000"/>
                <w:sz w:val="22"/>
                <w:szCs w:val="22"/>
              </w:rPr>
              <w:t>81,</w:t>
            </w:r>
            <w:r w:rsidR="008E775D">
              <w:rPr>
                <w:rFonts w:cstheme="minorHAnsi"/>
                <w:snapToGrid/>
                <w:color w:val="000000"/>
                <w:sz w:val="22"/>
                <w:szCs w:val="22"/>
              </w:rPr>
              <w:t>148</w:t>
            </w:r>
            <w:r w:rsidRPr="00625D9E">
              <w:rPr>
                <w:rFonts w:cstheme="minorHAnsi"/>
                <w:snapToGrid/>
                <w:color w:val="000000"/>
                <w:sz w:val="22"/>
                <w:szCs w:val="22"/>
              </w:rPr>
              <w:t xml:space="preserve"> (80%)</w:t>
            </w:r>
          </w:p>
        </w:tc>
        <w:tc>
          <w:tcPr>
            <w:tcW w:w="1980" w:type="dxa"/>
            <w:tcBorders>
              <w:bottom w:val="single" w:sz="4" w:space="0" w:color="auto"/>
            </w:tcBorders>
            <w:shd w:val="clear" w:color="auto" w:fill="auto"/>
            <w:vAlign w:val="center"/>
            <w:hideMark/>
          </w:tcPr>
          <w:p w14:paraId="274C97EC" w14:textId="45028690" w:rsidR="00152C79" w:rsidRPr="00625D9E" w:rsidRDefault="00EA5D91" w:rsidP="0044201E">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Pr>
                <w:rFonts w:cstheme="minorHAnsi"/>
                <w:snapToGrid/>
                <w:color w:val="000000"/>
                <w:sz w:val="22"/>
                <w:szCs w:val="22"/>
              </w:rPr>
              <w:t>2,440</w:t>
            </w:r>
            <w:r w:rsidR="00152C79" w:rsidRPr="00625D9E">
              <w:rPr>
                <w:rFonts w:cstheme="minorHAnsi"/>
                <w:snapToGrid/>
                <w:color w:val="000000"/>
                <w:sz w:val="22"/>
                <w:szCs w:val="22"/>
              </w:rPr>
              <w:t xml:space="preserve"> (</w:t>
            </w:r>
            <w:r>
              <w:rPr>
                <w:rFonts w:cstheme="minorHAnsi"/>
                <w:snapToGrid/>
                <w:color w:val="000000"/>
                <w:sz w:val="22"/>
                <w:szCs w:val="22"/>
              </w:rPr>
              <w:t>2</w:t>
            </w:r>
            <w:r w:rsidR="00152C79" w:rsidRPr="00625D9E">
              <w:rPr>
                <w:rFonts w:cstheme="minorHAnsi"/>
                <w:snapToGrid/>
                <w:color w:val="000000"/>
                <w:sz w:val="22"/>
                <w:szCs w:val="22"/>
              </w:rPr>
              <w:t>%)</w:t>
            </w:r>
          </w:p>
        </w:tc>
        <w:tc>
          <w:tcPr>
            <w:tcW w:w="2340" w:type="dxa"/>
            <w:tcBorders>
              <w:bottom w:val="single" w:sz="4" w:space="0" w:color="auto"/>
            </w:tcBorders>
            <w:shd w:val="clear" w:color="auto" w:fill="auto"/>
            <w:vAlign w:val="center"/>
            <w:hideMark/>
          </w:tcPr>
          <w:p w14:paraId="406D0589" w14:textId="77777777" w:rsidR="00152C79" w:rsidRPr="00625D9E" w:rsidRDefault="00152C79" w:rsidP="0044201E">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sidRPr="00625D9E">
              <w:rPr>
                <w:rFonts w:cstheme="minorHAnsi"/>
                <w:snapToGrid/>
                <w:color w:val="000000"/>
                <w:sz w:val="22"/>
                <w:szCs w:val="22"/>
              </w:rPr>
              <w:t>393 (14%)</w:t>
            </w:r>
          </w:p>
        </w:tc>
      </w:tr>
      <w:tr w:rsidR="00152C79" w:rsidRPr="00DE1875" w14:paraId="37D5ADBA" w14:textId="77777777" w:rsidTr="00865B0A">
        <w:trPr>
          <w:cantSplit/>
          <w:trHeight w:val="360"/>
        </w:trPr>
        <w:tc>
          <w:tcPr>
            <w:cnfStyle w:val="001000000000" w:firstRow="0" w:lastRow="0" w:firstColumn="1" w:lastColumn="0" w:oddVBand="0" w:evenVBand="0" w:oddHBand="0" w:evenHBand="0" w:firstRowFirstColumn="0" w:firstRowLastColumn="0" w:lastRowFirstColumn="0" w:lastRowLastColumn="0"/>
            <w:tcW w:w="3075" w:type="dxa"/>
            <w:tcBorders>
              <w:top w:val="single" w:sz="4" w:space="0" w:color="auto"/>
              <w:bottom w:val="single" w:sz="12" w:space="0" w:color="auto"/>
            </w:tcBorders>
            <w:shd w:val="clear" w:color="auto" w:fill="auto"/>
            <w:vAlign w:val="center"/>
            <w:hideMark/>
          </w:tcPr>
          <w:p w14:paraId="38FFB051" w14:textId="77777777" w:rsidR="00152C79" w:rsidRPr="00625D9E" w:rsidRDefault="00152C79" w:rsidP="0044201E">
            <w:pPr>
              <w:widowControl/>
              <w:jc w:val="center"/>
              <w:rPr>
                <w:rFonts w:asciiTheme="minorHAnsi" w:hAnsiTheme="minorHAnsi" w:cstheme="minorHAnsi"/>
                <w:i w:val="0"/>
                <w:iCs w:val="0"/>
                <w:snapToGrid/>
                <w:color w:val="000000"/>
                <w:sz w:val="22"/>
                <w:szCs w:val="22"/>
              </w:rPr>
            </w:pPr>
            <w:r w:rsidRPr="00625D9E">
              <w:rPr>
                <w:rFonts w:asciiTheme="minorHAnsi" w:hAnsiTheme="minorHAnsi" w:cstheme="minorHAnsi"/>
                <w:b/>
                <w:bCs/>
                <w:i w:val="0"/>
                <w:iCs w:val="0"/>
                <w:snapToGrid/>
                <w:color w:val="000000"/>
                <w:sz w:val="22"/>
                <w:szCs w:val="22"/>
              </w:rPr>
              <w:t>Total</w:t>
            </w:r>
          </w:p>
        </w:tc>
        <w:tc>
          <w:tcPr>
            <w:tcW w:w="1980" w:type="dxa"/>
            <w:tcBorders>
              <w:top w:val="single" w:sz="4" w:space="0" w:color="auto"/>
              <w:left w:val="nil"/>
              <w:bottom w:val="single" w:sz="12" w:space="0" w:color="auto"/>
            </w:tcBorders>
            <w:shd w:val="clear" w:color="auto" w:fill="auto"/>
            <w:vAlign w:val="center"/>
            <w:hideMark/>
          </w:tcPr>
          <w:p w14:paraId="441BED31" w14:textId="77777777" w:rsidR="00152C79" w:rsidRPr="00625D9E" w:rsidRDefault="00152C79" w:rsidP="0044201E">
            <w:pPr>
              <w:widowControl/>
              <w:jc w:val="center"/>
              <w:cnfStyle w:val="000000000000" w:firstRow="0" w:lastRow="0" w:firstColumn="0" w:lastColumn="0" w:oddVBand="0" w:evenVBand="0" w:oddHBand="0" w:evenHBand="0" w:firstRowFirstColumn="0" w:firstRowLastColumn="0" w:lastRowFirstColumn="0" w:lastRowLastColumn="0"/>
              <w:rPr>
                <w:rFonts w:cstheme="minorHAnsi"/>
                <w:b/>
                <w:bCs/>
                <w:snapToGrid/>
                <w:sz w:val="22"/>
                <w:szCs w:val="22"/>
              </w:rPr>
            </w:pPr>
            <w:r w:rsidRPr="00625D9E">
              <w:rPr>
                <w:rFonts w:cstheme="minorHAnsi"/>
                <w:snapToGrid/>
                <w:color w:val="000000"/>
                <w:sz w:val="22"/>
                <w:szCs w:val="22"/>
              </w:rPr>
              <w:t>100,9</w:t>
            </w:r>
            <w:r>
              <w:rPr>
                <w:rFonts w:cstheme="minorHAnsi"/>
                <w:snapToGrid/>
                <w:color w:val="000000"/>
                <w:sz w:val="22"/>
                <w:szCs w:val="22"/>
              </w:rPr>
              <w:t>75</w:t>
            </w:r>
          </w:p>
        </w:tc>
        <w:tc>
          <w:tcPr>
            <w:tcW w:w="1980" w:type="dxa"/>
            <w:tcBorders>
              <w:top w:val="single" w:sz="4" w:space="0" w:color="auto"/>
              <w:bottom w:val="single" w:sz="12" w:space="0" w:color="auto"/>
            </w:tcBorders>
            <w:shd w:val="clear" w:color="auto" w:fill="auto"/>
            <w:vAlign w:val="center"/>
            <w:hideMark/>
          </w:tcPr>
          <w:p w14:paraId="7E673B80" w14:textId="788E4AFA" w:rsidR="00152C79" w:rsidRPr="00625D9E" w:rsidRDefault="00152C79" w:rsidP="0044201E">
            <w:pPr>
              <w:widowControl/>
              <w:jc w:val="center"/>
              <w:cnfStyle w:val="000000000000" w:firstRow="0" w:lastRow="0" w:firstColumn="0" w:lastColumn="0" w:oddVBand="0" w:evenVBand="0" w:oddHBand="0" w:evenHBand="0" w:firstRowFirstColumn="0" w:firstRowLastColumn="0" w:lastRowFirstColumn="0" w:lastRowLastColumn="0"/>
              <w:rPr>
                <w:rFonts w:cstheme="minorHAnsi"/>
                <w:b/>
                <w:bCs/>
                <w:snapToGrid/>
                <w:sz w:val="22"/>
                <w:szCs w:val="22"/>
              </w:rPr>
            </w:pPr>
            <w:r w:rsidRPr="00625D9E">
              <w:rPr>
                <w:rFonts w:cstheme="minorHAnsi"/>
                <w:snapToGrid/>
                <w:color w:val="000000"/>
                <w:sz w:val="22"/>
                <w:szCs w:val="22"/>
              </w:rPr>
              <w:t>117,</w:t>
            </w:r>
            <w:r w:rsidR="0003521D">
              <w:rPr>
                <w:rFonts w:cstheme="minorHAnsi"/>
                <w:snapToGrid/>
                <w:color w:val="000000"/>
                <w:sz w:val="22"/>
                <w:szCs w:val="22"/>
              </w:rPr>
              <w:t>869</w:t>
            </w:r>
          </w:p>
        </w:tc>
        <w:tc>
          <w:tcPr>
            <w:tcW w:w="2340" w:type="dxa"/>
            <w:tcBorders>
              <w:top w:val="single" w:sz="4" w:space="0" w:color="auto"/>
              <w:bottom w:val="single" w:sz="12" w:space="0" w:color="auto"/>
            </w:tcBorders>
            <w:shd w:val="clear" w:color="auto" w:fill="auto"/>
            <w:vAlign w:val="center"/>
            <w:hideMark/>
          </w:tcPr>
          <w:p w14:paraId="5962A15F" w14:textId="4164867F" w:rsidR="00152C79" w:rsidRPr="00625D9E" w:rsidRDefault="00152C79" w:rsidP="0044201E">
            <w:pPr>
              <w:widowControl/>
              <w:jc w:val="center"/>
              <w:cnfStyle w:val="000000000000" w:firstRow="0" w:lastRow="0" w:firstColumn="0" w:lastColumn="0" w:oddVBand="0" w:evenVBand="0" w:oddHBand="0" w:evenHBand="0" w:firstRowFirstColumn="0" w:firstRowLastColumn="0" w:lastRowFirstColumn="0" w:lastRowLastColumn="0"/>
              <w:rPr>
                <w:rFonts w:cstheme="minorHAnsi"/>
                <w:b/>
                <w:bCs/>
                <w:snapToGrid/>
                <w:sz w:val="22"/>
                <w:szCs w:val="22"/>
              </w:rPr>
            </w:pPr>
            <w:r w:rsidRPr="00625D9E">
              <w:rPr>
                <w:rFonts w:cstheme="minorHAnsi"/>
                <w:snapToGrid/>
                <w:color w:val="000000"/>
                <w:sz w:val="22"/>
                <w:szCs w:val="22"/>
              </w:rPr>
              <w:t>2,84</w:t>
            </w:r>
            <w:r w:rsidR="00FF3DF5">
              <w:rPr>
                <w:rFonts w:cstheme="minorHAnsi"/>
                <w:snapToGrid/>
                <w:color w:val="000000"/>
                <w:sz w:val="22"/>
                <w:szCs w:val="22"/>
              </w:rPr>
              <w:t>2</w:t>
            </w:r>
          </w:p>
        </w:tc>
      </w:tr>
    </w:tbl>
    <w:p w14:paraId="7D85FFAD" w14:textId="0D4A0BCB" w:rsidR="00727525" w:rsidRDefault="00727525" w:rsidP="002E2AC5">
      <w:pPr>
        <w:widowControl/>
        <w:rPr>
          <w:rFonts w:cstheme="minorHAnsi"/>
          <w:szCs w:val="24"/>
        </w:rPr>
      </w:pPr>
    </w:p>
    <w:p w14:paraId="503AABF3" w14:textId="138B4696" w:rsidR="002E2AC5" w:rsidRPr="002F0E32" w:rsidRDefault="00205538" w:rsidP="002E2AC5">
      <w:pPr>
        <w:widowControl/>
        <w:rPr>
          <w:rFonts w:cstheme="minorHAnsi"/>
          <w:szCs w:val="24"/>
        </w:rPr>
      </w:pPr>
      <w:r>
        <w:rPr>
          <w:rFonts w:cstheme="minorHAnsi"/>
          <w:szCs w:val="24"/>
        </w:rPr>
        <w:t xml:space="preserve">Following the assessment scheme and </w:t>
      </w:r>
      <w:r w:rsidR="00CD14E3">
        <w:rPr>
          <w:rFonts w:cstheme="minorHAnsi"/>
          <w:szCs w:val="24"/>
        </w:rPr>
        <w:t>categori</w:t>
      </w:r>
      <w:r w:rsidR="003755BC">
        <w:rPr>
          <w:rFonts w:cstheme="minorHAnsi"/>
          <w:szCs w:val="24"/>
        </w:rPr>
        <w:t>zation</w:t>
      </w:r>
      <w:r w:rsidR="00CD14E3">
        <w:rPr>
          <w:rFonts w:cstheme="minorHAnsi"/>
          <w:szCs w:val="24"/>
        </w:rPr>
        <w:t xml:space="preserve"> described in Section 1.2.1 waters are assigned </w:t>
      </w:r>
      <w:r w:rsidR="006B796B">
        <w:rPr>
          <w:rFonts w:cstheme="minorHAnsi"/>
          <w:szCs w:val="24"/>
        </w:rPr>
        <w:t>an overall assessment category as part of the assessment process</w:t>
      </w:r>
      <w:r w:rsidR="003654F9">
        <w:rPr>
          <w:rFonts w:cstheme="minorHAnsi"/>
          <w:szCs w:val="24"/>
        </w:rPr>
        <w:t xml:space="preserve">. The </w:t>
      </w:r>
      <w:r w:rsidR="00C24F02">
        <w:rPr>
          <w:rFonts w:cstheme="minorHAnsi"/>
          <w:szCs w:val="24"/>
        </w:rPr>
        <w:t>full integrated list of waters is provided in Appendix 1.</w:t>
      </w:r>
      <w:r w:rsidR="00362AE4">
        <w:rPr>
          <w:rFonts w:cstheme="minorHAnsi"/>
          <w:szCs w:val="24"/>
        </w:rPr>
        <w:t xml:space="preserve"> Tables 4.2</w:t>
      </w:r>
      <w:r w:rsidR="00727189">
        <w:rPr>
          <w:rFonts w:cstheme="minorHAnsi"/>
          <w:szCs w:val="24"/>
        </w:rPr>
        <w:t xml:space="preserve">-3 through 4.2-5 provide a </w:t>
      </w:r>
      <w:r w:rsidR="003B57A5">
        <w:rPr>
          <w:rFonts w:cstheme="minorHAnsi"/>
          <w:szCs w:val="24"/>
        </w:rPr>
        <w:t>summary</w:t>
      </w:r>
      <w:r w:rsidR="00727189">
        <w:rPr>
          <w:rFonts w:cstheme="minorHAnsi"/>
          <w:szCs w:val="24"/>
        </w:rPr>
        <w:t xml:space="preserve"> of</w:t>
      </w:r>
      <w:r w:rsidR="00B1758A">
        <w:rPr>
          <w:rFonts w:cstheme="minorHAnsi"/>
          <w:szCs w:val="24"/>
        </w:rPr>
        <w:t xml:space="preserve"> </w:t>
      </w:r>
      <w:r w:rsidR="00E555F1">
        <w:rPr>
          <w:rFonts w:cstheme="minorHAnsi"/>
          <w:szCs w:val="24"/>
        </w:rPr>
        <w:t xml:space="preserve">waters by </w:t>
      </w:r>
      <w:r w:rsidR="00590154">
        <w:rPr>
          <w:rFonts w:cstheme="minorHAnsi"/>
          <w:szCs w:val="24"/>
        </w:rPr>
        <w:t>assessment</w:t>
      </w:r>
      <w:r w:rsidR="00B905BF">
        <w:rPr>
          <w:rFonts w:cstheme="minorHAnsi"/>
          <w:szCs w:val="24"/>
        </w:rPr>
        <w:t xml:space="preserve"> categories</w:t>
      </w:r>
      <w:r w:rsidR="00590154">
        <w:rPr>
          <w:rFonts w:cstheme="minorHAnsi"/>
          <w:szCs w:val="24"/>
        </w:rPr>
        <w:t xml:space="preserve"> by water body type</w:t>
      </w:r>
      <w:r w:rsidR="0051579E">
        <w:rPr>
          <w:rFonts w:cstheme="minorHAnsi"/>
          <w:szCs w:val="24"/>
        </w:rPr>
        <w:t>.</w:t>
      </w:r>
    </w:p>
    <w:p w14:paraId="57381C64" w14:textId="1EA613C7" w:rsidR="00510C84" w:rsidRDefault="00510C84">
      <w:pPr>
        <w:widowControl/>
        <w:spacing w:after="160" w:line="259" w:lineRule="auto"/>
        <w:rPr>
          <w:rFonts w:eastAsiaTheme="minorHAnsi" w:cstheme="minorHAnsi"/>
          <w:snapToGrid/>
          <w:sz w:val="20"/>
          <w:szCs w:val="24"/>
        </w:rPr>
      </w:pPr>
      <w:r>
        <w:rPr>
          <w:rFonts w:cstheme="minorHAnsi"/>
        </w:rPr>
        <w:br w:type="page"/>
      </w:r>
    </w:p>
    <w:p w14:paraId="192B72D9" w14:textId="382819F0" w:rsidR="00CD06AE" w:rsidRDefault="00773F83" w:rsidP="00CD06AE">
      <w:pPr>
        <w:pStyle w:val="TableCaption"/>
      </w:pPr>
      <w:bookmarkStart w:id="81" w:name="_Toc164175158"/>
      <w:r>
        <w:lastRenderedPageBreak/>
        <w:t xml:space="preserve">Table </w:t>
      </w:r>
      <w:r w:rsidR="004F13BA">
        <w:fldChar w:fldCharType="begin"/>
      </w:r>
      <w:r w:rsidR="004F13BA">
        <w:instrText xml:space="preserve"> STYLEREF 2 \s </w:instrText>
      </w:r>
      <w:r w:rsidR="004F13BA">
        <w:fldChar w:fldCharType="separate"/>
      </w:r>
      <w:r w:rsidR="00CD06AE">
        <w:rPr>
          <w:noProof/>
        </w:rPr>
        <w:t>4.2</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3</w:t>
      </w:r>
      <w:r w:rsidR="004F13BA">
        <w:rPr>
          <w:noProof/>
        </w:rPr>
        <w:fldChar w:fldCharType="end"/>
      </w:r>
      <w:r>
        <w:t xml:space="preserve">. </w:t>
      </w:r>
      <w:r w:rsidRPr="00CA1E80">
        <w:t xml:space="preserve">Assessment </w:t>
      </w:r>
      <w:r w:rsidR="004D74E3">
        <w:t>r</w:t>
      </w:r>
      <w:r w:rsidRPr="00CA1E80">
        <w:t>esults for Rivers</w:t>
      </w:r>
      <w:r w:rsidR="004D74E3">
        <w:t xml:space="preserve"> by category</w:t>
      </w:r>
      <w:bookmarkEnd w:id="81"/>
      <w:r w:rsidR="00797449">
        <w:t>.</w:t>
      </w:r>
      <w:r w:rsidR="00CA38CF">
        <w:t xml:space="preserve"> All values rounded to the nearest whole number.</w:t>
      </w:r>
    </w:p>
    <w:tbl>
      <w:tblPr>
        <w:tblStyle w:val="TableGrid"/>
        <w:tblW w:w="86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1E0" w:firstRow="1" w:lastRow="1" w:firstColumn="1" w:lastColumn="1" w:noHBand="0" w:noVBand="0"/>
      </w:tblPr>
      <w:tblGrid>
        <w:gridCol w:w="5562"/>
        <w:gridCol w:w="1530"/>
        <w:gridCol w:w="1526"/>
      </w:tblGrid>
      <w:tr w:rsidR="00D601D3" w:rsidRPr="00615524" w14:paraId="3D1203DF" w14:textId="77777777" w:rsidTr="0044201E">
        <w:trPr>
          <w:cantSplit/>
          <w:trHeight w:val="360"/>
          <w:tblHeader/>
        </w:trPr>
        <w:tc>
          <w:tcPr>
            <w:tcW w:w="5562" w:type="dxa"/>
            <w:tcBorders>
              <w:top w:val="single" w:sz="12" w:space="0" w:color="auto"/>
              <w:bottom w:val="single" w:sz="2" w:space="0" w:color="auto"/>
            </w:tcBorders>
            <w:tcMar>
              <w:left w:w="72" w:type="dxa"/>
              <w:right w:w="72" w:type="dxa"/>
            </w:tcMar>
            <w:vAlign w:val="center"/>
          </w:tcPr>
          <w:p w14:paraId="4606F8F5" w14:textId="77777777" w:rsidR="00D601D3" w:rsidRPr="00B624FB" w:rsidRDefault="00D601D3" w:rsidP="0044201E">
            <w:pPr>
              <w:jc w:val="center"/>
              <w:rPr>
                <w:rFonts w:cstheme="minorHAnsi"/>
                <w:b/>
                <w:bCs/>
                <w:sz w:val="22"/>
                <w:szCs w:val="22"/>
              </w:rPr>
            </w:pPr>
            <w:r w:rsidRPr="00B624FB">
              <w:rPr>
                <w:rFonts w:cstheme="minorHAnsi"/>
                <w:b/>
                <w:bCs/>
                <w:sz w:val="22"/>
                <w:szCs w:val="22"/>
              </w:rPr>
              <w:t>Degree of Use Support</w:t>
            </w:r>
          </w:p>
        </w:tc>
        <w:tc>
          <w:tcPr>
            <w:tcW w:w="1530" w:type="dxa"/>
            <w:tcBorders>
              <w:top w:val="single" w:sz="12" w:space="0" w:color="auto"/>
              <w:bottom w:val="single" w:sz="2" w:space="0" w:color="auto"/>
            </w:tcBorders>
            <w:tcMar>
              <w:left w:w="72" w:type="dxa"/>
              <w:right w:w="72" w:type="dxa"/>
            </w:tcMar>
            <w:vAlign w:val="center"/>
          </w:tcPr>
          <w:p w14:paraId="1489A267" w14:textId="77777777" w:rsidR="00D601D3" w:rsidRPr="00B624FB" w:rsidRDefault="00D601D3" w:rsidP="0044201E">
            <w:pPr>
              <w:jc w:val="center"/>
              <w:rPr>
                <w:rFonts w:cstheme="minorHAnsi"/>
                <w:b/>
                <w:bCs/>
                <w:sz w:val="22"/>
                <w:szCs w:val="22"/>
              </w:rPr>
            </w:pPr>
            <w:r w:rsidRPr="00B624FB">
              <w:rPr>
                <w:rFonts w:cstheme="minorHAnsi"/>
                <w:b/>
                <w:bCs/>
                <w:sz w:val="22"/>
                <w:szCs w:val="22"/>
              </w:rPr>
              <w:t>Total (Miles)</w:t>
            </w:r>
          </w:p>
        </w:tc>
        <w:tc>
          <w:tcPr>
            <w:tcW w:w="1526" w:type="dxa"/>
            <w:tcBorders>
              <w:top w:val="single" w:sz="12" w:space="0" w:color="auto"/>
              <w:bottom w:val="single" w:sz="2" w:space="0" w:color="auto"/>
            </w:tcBorders>
            <w:tcMar>
              <w:left w:w="72" w:type="dxa"/>
              <w:right w:w="72" w:type="dxa"/>
            </w:tcMar>
            <w:vAlign w:val="center"/>
          </w:tcPr>
          <w:p w14:paraId="7F280342" w14:textId="77777777" w:rsidR="00D601D3" w:rsidRPr="00B624FB" w:rsidRDefault="00D601D3" w:rsidP="0044201E">
            <w:pPr>
              <w:jc w:val="center"/>
              <w:rPr>
                <w:rFonts w:cstheme="minorHAnsi"/>
                <w:b/>
                <w:bCs/>
                <w:sz w:val="22"/>
                <w:szCs w:val="22"/>
              </w:rPr>
            </w:pPr>
            <w:r w:rsidRPr="00B624FB">
              <w:rPr>
                <w:rFonts w:cstheme="minorHAnsi"/>
                <w:b/>
                <w:bCs/>
                <w:sz w:val="22"/>
                <w:szCs w:val="22"/>
              </w:rPr>
              <w:t>Total (%)</w:t>
            </w:r>
          </w:p>
        </w:tc>
      </w:tr>
      <w:tr w:rsidR="00D601D3" w:rsidRPr="00615524" w14:paraId="09058801" w14:textId="77777777" w:rsidTr="0044201E">
        <w:trPr>
          <w:cantSplit/>
          <w:trHeight w:val="360"/>
        </w:trPr>
        <w:tc>
          <w:tcPr>
            <w:tcW w:w="5562" w:type="dxa"/>
            <w:tcBorders>
              <w:top w:val="single" w:sz="2" w:space="0" w:color="auto"/>
            </w:tcBorders>
            <w:tcMar>
              <w:left w:w="72" w:type="dxa"/>
              <w:right w:w="72" w:type="dxa"/>
            </w:tcMar>
            <w:vAlign w:val="center"/>
          </w:tcPr>
          <w:p w14:paraId="772B5674" w14:textId="77777777" w:rsidR="00D601D3" w:rsidRPr="00B624FB" w:rsidRDefault="00D601D3" w:rsidP="0044201E">
            <w:pPr>
              <w:rPr>
                <w:rFonts w:cstheme="minorHAnsi"/>
                <w:sz w:val="22"/>
                <w:szCs w:val="22"/>
              </w:rPr>
            </w:pPr>
            <w:r w:rsidRPr="00B624FB">
              <w:rPr>
                <w:rFonts w:cstheme="minorHAnsi"/>
                <w:b/>
                <w:bCs/>
                <w:sz w:val="22"/>
                <w:szCs w:val="22"/>
              </w:rPr>
              <w:t>EPA Category 1</w:t>
            </w:r>
            <w:r w:rsidRPr="00B624FB">
              <w:rPr>
                <w:rFonts w:cstheme="minorHAnsi"/>
                <w:sz w:val="22"/>
                <w:szCs w:val="22"/>
              </w:rPr>
              <w:t xml:space="preserve">: </w:t>
            </w:r>
            <w:r w:rsidRPr="00B624FB">
              <w:rPr>
                <w:rFonts w:cstheme="minorHAnsi"/>
                <w:sz w:val="22"/>
                <w:szCs w:val="22"/>
              </w:rPr>
              <w:br/>
            </w:r>
            <w:r w:rsidRPr="00B624FB">
              <w:rPr>
                <w:rFonts w:cstheme="minorHAnsi"/>
                <w:i/>
                <w:iCs/>
                <w:sz w:val="22"/>
                <w:szCs w:val="22"/>
              </w:rPr>
              <w:t>Fully supporting all designated uses</w:t>
            </w:r>
          </w:p>
        </w:tc>
        <w:tc>
          <w:tcPr>
            <w:tcW w:w="1530" w:type="dxa"/>
            <w:tcBorders>
              <w:top w:val="single" w:sz="2" w:space="0" w:color="auto"/>
            </w:tcBorders>
            <w:noWrap/>
            <w:tcMar>
              <w:left w:w="72" w:type="dxa"/>
              <w:right w:w="72" w:type="dxa"/>
            </w:tcMar>
            <w:vAlign w:val="center"/>
          </w:tcPr>
          <w:p w14:paraId="54A0952D" w14:textId="77777777" w:rsidR="00D601D3" w:rsidRPr="00B624FB" w:rsidRDefault="00D601D3" w:rsidP="0044201E">
            <w:pPr>
              <w:jc w:val="center"/>
              <w:rPr>
                <w:rFonts w:cstheme="minorHAnsi"/>
                <w:b/>
                <w:sz w:val="22"/>
                <w:szCs w:val="22"/>
              </w:rPr>
            </w:pPr>
            <w:r w:rsidRPr="00B624FB">
              <w:rPr>
                <w:rFonts w:cstheme="minorHAnsi"/>
                <w:b/>
                <w:sz w:val="22"/>
                <w:szCs w:val="22"/>
              </w:rPr>
              <w:t>1</w:t>
            </w:r>
          </w:p>
        </w:tc>
        <w:tc>
          <w:tcPr>
            <w:tcW w:w="1526" w:type="dxa"/>
            <w:tcBorders>
              <w:top w:val="single" w:sz="2" w:space="0" w:color="auto"/>
            </w:tcBorders>
            <w:shd w:val="clear" w:color="auto" w:fill="auto"/>
            <w:noWrap/>
            <w:tcMar>
              <w:left w:w="72" w:type="dxa"/>
              <w:right w:w="72" w:type="dxa"/>
            </w:tcMar>
            <w:vAlign w:val="center"/>
          </w:tcPr>
          <w:p w14:paraId="2F87D510" w14:textId="7DC9DA1B" w:rsidR="00D601D3" w:rsidRPr="00B624FB" w:rsidRDefault="006E2E9F" w:rsidP="0044201E">
            <w:pPr>
              <w:jc w:val="center"/>
              <w:rPr>
                <w:rFonts w:cstheme="minorHAnsi"/>
                <w:b/>
                <w:bCs/>
                <w:sz w:val="22"/>
                <w:szCs w:val="22"/>
              </w:rPr>
            </w:pPr>
            <w:r>
              <w:rPr>
                <w:rFonts w:cstheme="minorHAnsi"/>
                <w:b/>
                <w:bCs/>
                <w:sz w:val="22"/>
                <w:szCs w:val="22"/>
              </w:rPr>
              <w:t>&lt;1</w:t>
            </w:r>
            <w:r w:rsidR="00D601D3" w:rsidRPr="00B624FB">
              <w:rPr>
                <w:rFonts w:cstheme="minorHAnsi"/>
                <w:b/>
                <w:bCs/>
                <w:sz w:val="22"/>
                <w:szCs w:val="22"/>
              </w:rPr>
              <w:t>%</w:t>
            </w:r>
          </w:p>
        </w:tc>
      </w:tr>
      <w:tr w:rsidR="00D601D3" w:rsidRPr="00615524" w14:paraId="4D3ADFB6" w14:textId="77777777" w:rsidTr="0044201E">
        <w:trPr>
          <w:cantSplit/>
          <w:trHeight w:val="360"/>
        </w:trPr>
        <w:tc>
          <w:tcPr>
            <w:tcW w:w="5562" w:type="dxa"/>
            <w:tcBorders>
              <w:bottom w:val="single" w:sz="2" w:space="0" w:color="auto"/>
            </w:tcBorders>
            <w:tcMar>
              <w:left w:w="72" w:type="dxa"/>
              <w:right w:w="72" w:type="dxa"/>
            </w:tcMar>
            <w:vAlign w:val="center"/>
          </w:tcPr>
          <w:p w14:paraId="343F42E4"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1A</w:t>
            </w:r>
          </w:p>
        </w:tc>
        <w:tc>
          <w:tcPr>
            <w:tcW w:w="1530" w:type="dxa"/>
            <w:tcBorders>
              <w:bottom w:val="single" w:sz="2" w:space="0" w:color="auto"/>
            </w:tcBorders>
            <w:noWrap/>
            <w:tcMar>
              <w:left w:w="72" w:type="dxa"/>
              <w:right w:w="72" w:type="dxa"/>
            </w:tcMar>
            <w:vAlign w:val="center"/>
          </w:tcPr>
          <w:p w14:paraId="79F5E4F7" w14:textId="77777777" w:rsidR="00D601D3" w:rsidRPr="00B624FB" w:rsidRDefault="00D601D3" w:rsidP="0044201E">
            <w:pPr>
              <w:jc w:val="center"/>
              <w:rPr>
                <w:rFonts w:cstheme="minorHAnsi"/>
                <w:sz w:val="22"/>
                <w:szCs w:val="22"/>
              </w:rPr>
            </w:pPr>
            <w:r w:rsidRPr="00B624FB">
              <w:rPr>
                <w:rFonts w:cstheme="minorHAnsi"/>
                <w:sz w:val="22"/>
                <w:szCs w:val="22"/>
              </w:rPr>
              <w:t>0</w:t>
            </w:r>
          </w:p>
        </w:tc>
        <w:tc>
          <w:tcPr>
            <w:tcW w:w="1526" w:type="dxa"/>
            <w:tcBorders>
              <w:bottom w:val="single" w:sz="2" w:space="0" w:color="auto"/>
            </w:tcBorders>
            <w:shd w:val="clear" w:color="auto" w:fill="auto"/>
            <w:noWrap/>
            <w:tcMar>
              <w:left w:w="72" w:type="dxa"/>
              <w:right w:w="72" w:type="dxa"/>
            </w:tcMar>
            <w:vAlign w:val="center"/>
          </w:tcPr>
          <w:p w14:paraId="695DC426" w14:textId="77777777" w:rsidR="00D601D3" w:rsidRPr="00B624FB" w:rsidRDefault="00D601D3" w:rsidP="0044201E">
            <w:pPr>
              <w:jc w:val="center"/>
              <w:rPr>
                <w:rFonts w:cstheme="minorHAnsi"/>
                <w:sz w:val="22"/>
                <w:szCs w:val="22"/>
              </w:rPr>
            </w:pPr>
          </w:p>
        </w:tc>
      </w:tr>
      <w:tr w:rsidR="00D601D3" w:rsidRPr="00615524" w14:paraId="246E3956" w14:textId="77777777" w:rsidTr="0044201E">
        <w:trPr>
          <w:cantSplit/>
          <w:trHeight w:val="360"/>
        </w:trPr>
        <w:tc>
          <w:tcPr>
            <w:tcW w:w="5562" w:type="dxa"/>
            <w:tcBorders>
              <w:top w:val="single" w:sz="2" w:space="0" w:color="auto"/>
            </w:tcBorders>
            <w:tcMar>
              <w:left w:w="72" w:type="dxa"/>
              <w:right w:w="72" w:type="dxa"/>
            </w:tcMar>
            <w:vAlign w:val="center"/>
          </w:tcPr>
          <w:p w14:paraId="66A53742" w14:textId="77777777" w:rsidR="00D601D3" w:rsidRPr="00B624FB" w:rsidRDefault="00D601D3" w:rsidP="0044201E">
            <w:pPr>
              <w:rPr>
                <w:rFonts w:cstheme="minorHAnsi"/>
                <w:sz w:val="22"/>
                <w:szCs w:val="22"/>
              </w:rPr>
            </w:pPr>
            <w:r w:rsidRPr="00B624FB">
              <w:rPr>
                <w:rFonts w:cstheme="minorHAnsi"/>
                <w:b/>
                <w:bCs/>
                <w:sz w:val="22"/>
                <w:szCs w:val="22"/>
              </w:rPr>
              <w:t>EPA Category 2</w:t>
            </w:r>
            <w:r w:rsidRPr="00B624FB">
              <w:rPr>
                <w:rFonts w:cstheme="minorHAnsi"/>
                <w:sz w:val="22"/>
                <w:szCs w:val="22"/>
              </w:rPr>
              <w:t xml:space="preserve">: </w:t>
            </w:r>
            <w:r w:rsidRPr="00B624FB">
              <w:rPr>
                <w:rFonts w:cstheme="minorHAnsi"/>
                <w:sz w:val="22"/>
                <w:szCs w:val="22"/>
              </w:rPr>
              <w:br/>
            </w:r>
            <w:r w:rsidRPr="00B624FB">
              <w:rPr>
                <w:rFonts w:cstheme="minorHAnsi"/>
                <w:i/>
                <w:iCs/>
                <w:sz w:val="22"/>
                <w:szCs w:val="22"/>
              </w:rPr>
              <w:t>Fully supporting some uses but insufficient data to assess all</w:t>
            </w:r>
          </w:p>
        </w:tc>
        <w:tc>
          <w:tcPr>
            <w:tcW w:w="1530" w:type="dxa"/>
            <w:tcBorders>
              <w:top w:val="single" w:sz="2" w:space="0" w:color="auto"/>
            </w:tcBorders>
            <w:noWrap/>
            <w:tcMar>
              <w:left w:w="72" w:type="dxa"/>
              <w:right w:w="72" w:type="dxa"/>
            </w:tcMar>
            <w:vAlign w:val="center"/>
          </w:tcPr>
          <w:p w14:paraId="6B45DFA0" w14:textId="6B88FB50" w:rsidR="00D601D3" w:rsidRPr="00B624FB" w:rsidRDefault="00D601D3" w:rsidP="0044201E">
            <w:pPr>
              <w:jc w:val="center"/>
              <w:rPr>
                <w:rFonts w:cstheme="minorHAnsi"/>
                <w:b/>
                <w:sz w:val="22"/>
                <w:szCs w:val="22"/>
              </w:rPr>
            </w:pPr>
            <w:r w:rsidRPr="00B624FB">
              <w:rPr>
                <w:rFonts w:cstheme="minorHAnsi"/>
                <w:b/>
                <w:sz w:val="22"/>
                <w:szCs w:val="22"/>
              </w:rPr>
              <w:t>3,</w:t>
            </w:r>
            <w:r w:rsidR="00CF016D">
              <w:rPr>
                <w:rFonts w:cstheme="minorHAnsi"/>
                <w:b/>
                <w:sz w:val="22"/>
                <w:szCs w:val="22"/>
              </w:rPr>
              <w:t>51</w:t>
            </w:r>
            <w:r w:rsidR="00282C20">
              <w:rPr>
                <w:rFonts w:cstheme="minorHAnsi"/>
                <w:b/>
                <w:sz w:val="22"/>
                <w:szCs w:val="22"/>
              </w:rPr>
              <w:t>4</w:t>
            </w:r>
          </w:p>
        </w:tc>
        <w:tc>
          <w:tcPr>
            <w:tcW w:w="1526" w:type="dxa"/>
            <w:tcBorders>
              <w:top w:val="single" w:sz="2" w:space="0" w:color="auto"/>
            </w:tcBorders>
            <w:noWrap/>
            <w:tcMar>
              <w:left w:w="72" w:type="dxa"/>
              <w:right w:w="72" w:type="dxa"/>
            </w:tcMar>
            <w:vAlign w:val="center"/>
          </w:tcPr>
          <w:p w14:paraId="72A0F89B" w14:textId="47AEDCC6" w:rsidR="00D601D3" w:rsidRPr="00B624FB" w:rsidRDefault="00D601D3" w:rsidP="0044201E">
            <w:pPr>
              <w:jc w:val="center"/>
              <w:rPr>
                <w:rFonts w:cstheme="minorHAnsi"/>
                <w:b/>
                <w:bCs/>
                <w:sz w:val="22"/>
                <w:szCs w:val="22"/>
              </w:rPr>
            </w:pPr>
            <w:r w:rsidRPr="00B624FB">
              <w:rPr>
                <w:rFonts w:cstheme="minorHAnsi"/>
                <w:b/>
                <w:bCs/>
                <w:sz w:val="22"/>
                <w:szCs w:val="22"/>
              </w:rPr>
              <w:t>3%</w:t>
            </w:r>
          </w:p>
        </w:tc>
      </w:tr>
      <w:tr w:rsidR="00D601D3" w:rsidRPr="00615524" w14:paraId="6BAA04DD" w14:textId="77777777" w:rsidTr="0044201E">
        <w:trPr>
          <w:cantSplit/>
          <w:trHeight w:val="360"/>
        </w:trPr>
        <w:tc>
          <w:tcPr>
            <w:tcW w:w="5562" w:type="dxa"/>
            <w:tcMar>
              <w:left w:w="72" w:type="dxa"/>
              <w:right w:w="72" w:type="dxa"/>
            </w:tcMar>
            <w:vAlign w:val="center"/>
          </w:tcPr>
          <w:p w14:paraId="339A68CB"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2A</w:t>
            </w:r>
          </w:p>
        </w:tc>
        <w:tc>
          <w:tcPr>
            <w:tcW w:w="1530" w:type="dxa"/>
            <w:noWrap/>
            <w:tcMar>
              <w:left w:w="72" w:type="dxa"/>
              <w:right w:w="72" w:type="dxa"/>
            </w:tcMar>
            <w:vAlign w:val="center"/>
          </w:tcPr>
          <w:p w14:paraId="45B2F156" w14:textId="006BA776" w:rsidR="00D601D3" w:rsidRPr="00B624FB" w:rsidRDefault="00D601D3" w:rsidP="0044201E">
            <w:pPr>
              <w:widowControl/>
              <w:jc w:val="center"/>
              <w:rPr>
                <w:rFonts w:cstheme="minorHAnsi"/>
                <w:snapToGrid/>
                <w:color w:val="000000"/>
                <w:sz w:val="22"/>
                <w:szCs w:val="22"/>
              </w:rPr>
            </w:pPr>
            <w:r w:rsidRPr="00B624FB">
              <w:rPr>
                <w:rFonts w:cstheme="minorHAnsi"/>
                <w:color w:val="000000"/>
                <w:sz w:val="22"/>
                <w:szCs w:val="22"/>
              </w:rPr>
              <w:t>3,</w:t>
            </w:r>
            <w:r w:rsidR="0061682F">
              <w:rPr>
                <w:rFonts w:cstheme="minorHAnsi"/>
                <w:color w:val="000000"/>
                <w:sz w:val="22"/>
                <w:szCs w:val="22"/>
              </w:rPr>
              <w:t>417</w:t>
            </w:r>
          </w:p>
        </w:tc>
        <w:tc>
          <w:tcPr>
            <w:tcW w:w="1526" w:type="dxa"/>
            <w:vMerge w:val="restart"/>
            <w:noWrap/>
            <w:tcMar>
              <w:left w:w="72" w:type="dxa"/>
              <w:right w:w="72" w:type="dxa"/>
            </w:tcMar>
            <w:vAlign w:val="center"/>
          </w:tcPr>
          <w:p w14:paraId="7CE155EB" w14:textId="77777777" w:rsidR="00D601D3" w:rsidRPr="00B624FB" w:rsidRDefault="00D601D3" w:rsidP="0044201E">
            <w:pPr>
              <w:jc w:val="center"/>
              <w:rPr>
                <w:rFonts w:cstheme="minorHAnsi"/>
                <w:sz w:val="22"/>
                <w:szCs w:val="22"/>
              </w:rPr>
            </w:pPr>
          </w:p>
        </w:tc>
      </w:tr>
      <w:tr w:rsidR="00D601D3" w:rsidRPr="00615524" w14:paraId="39018B6D" w14:textId="77777777" w:rsidTr="0044201E">
        <w:trPr>
          <w:cantSplit/>
          <w:trHeight w:val="360"/>
        </w:trPr>
        <w:tc>
          <w:tcPr>
            <w:tcW w:w="5562" w:type="dxa"/>
            <w:tcMar>
              <w:left w:w="72" w:type="dxa"/>
              <w:right w:w="72" w:type="dxa"/>
            </w:tcMar>
            <w:vAlign w:val="center"/>
          </w:tcPr>
          <w:p w14:paraId="74899316"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2B</w:t>
            </w:r>
          </w:p>
        </w:tc>
        <w:tc>
          <w:tcPr>
            <w:tcW w:w="1530" w:type="dxa"/>
            <w:noWrap/>
            <w:tcMar>
              <w:left w:w="72" w:type="dxa"/>
              <w:right w:w="72" w:type="dxa"/>
            </w:tcMar>
            <w:vAlign w:val="center"/>
          </w:tcPr>
          <w:p w14:paraId="5CDC961F" w14:textId="77777777" w:rsidR="00D601D3" w:rsidRPr="00B624FB" w:rsidRDefault="00D601D3" w:rsidP="0044201E">
            <w:pPr>
              <w:widowControl/>
              <w:jc w:val="center"/>
              <w:rPr>
                <w:rFonts w:cstheme="minorHAnsi"/>
                <w:color w:val="000000"/>
                <w:sz w:val="22"/>
                <w:szCs w:val="22"/>
              </w:rPr>
            </w:pPr>
            <w:r w:rsidRPr="00B624FB">
              <w:rPr>
                <w:rFonts w:cstheme="minorHAnsi"/>
                <w:color w:val="000000"/>
                <w:sz w:val="22"/>
                <w:szCs w:val="22"/>
              </w:rPr>
              <w:t>0</w:t>
            </w:r>
          </w:p>
        </w:tc>
        <w:tc>
          <w:tcPr>
            <w:tcW w:w="1526" w:type="dxa"/>
            <w:vMerge/>
            <w:noWrap/>
            <w:tcMar>
              <w:left w:w="72" w:type="dxa"/>
              <w:right w:w="72" w:type="dxa"/>
            </w:tcMar>
            <w:vAlign w:val="center"/>
          </w:tcPr>
          <w:p w14:paraId="15780918" w14:textId="77777777" w:rsidR="00D601D3" w:rsidRPr="00B624FB" w:rsidRDefault="00D601D3" w:rsidP="0044201E">
            <w:pPr>
              <w:jc w:val="center"/>
              <w:rPr>
                <w:rFonts w:cstheme="minorHAnsi"/>
                <w:sz w:val="22"/>
                <w:szCs w:val="22"/>
              </w:rPr>
            </w:pPr>
          </w:p>
        </w:tc>
      </w:tr>
      <w:tr w:rsidR="00D601D3" w:rsidRPr="00615524" w14:paraId="3CE62F1B" w14:textId="77777777" w:rsidTr="0044201E">
        <w:trPr>
          <w:cantSplit/>
          <w:trHeight w:val="360"/>
        </w:trPr>
        <w:tc>
          <w:tcPr>
            <w:tcW w:w="5562" w:type="dxa"/>
            <w:tcBorders>
              <w:bottom w:val="single" w:sz="2" w:space="0" w:color="auto"/>
            </w:tcBorders>
            <w:tcMar>
              <w:left w:w="72" w:type="dxa"/>
              <w:right w:w="72" w:type="dxa"/>
            </w:tcMar>
            <w:vAlign w:val="center"/>
          </w:tcPr>
          <w:p w14:paraId="0B4EA6CC"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2C</w:t>
            </w:r>
          </w:p>
        </w:tc>
        <w:tc>
          <w:tcPr>
            <w:tcW w:w="1530" w:type="dxa"/>
            <w:tcBorders>
              <w:bottom w:val="single" w:sz="2" w:space="0" w:color="auto"/>
            </w:tcBorders>
            <w:noWrap/>
            <w:tcMar>
              <w:left w:w="72" w:type="dxa"/>
              <w:right w:w="72" w:type="dxa"/>
            </w:tcMar>
            <w:vAlign w:val="center"/>
          </w:tcPr>
          <w:p w14:paraId="63619D8C" w14:textId="46FF3692" w:rsidR="00D601D3" w:rsidRPr="00B624FB" w:rsidRDefault="0061682F" w:rsidP="0044201E">
            <w:pPr>
              <w:jc w:val="center"/>
              <w:rPr>
                <w:rFonts w:cstheme="minorHAnsi"/>
                <w:sz w:val="22"/>
                <w:szCs w:val="22"/>
              </w:rPr>
            </w:pPr>
            <w:r>
              <w:rPr>
                <w:rFonts w:cstheme="minorHAnsi"/>
                <w:sz w:val="22"/>
                <w:szCs w:val="22"/>
              </w:rPr>
              <w:t>97</w:t>
            </w:r>
          </w:p>
        </w:tc>
        <w:tc>
          <w:tcPr>
            <w:tcW w:w="1526" w:type="dxa"/>
            <w:vMerge/>
            <w:tcBorders>
              <w:bottom w:val="single" w:sz="2" w:space="0" w:color="auto"/>
            </w:tcBorders>
            <w:noWrap/>
            <w:tcMar>
              <w:left w:w="72" w:type="dxa"/>
              <w:right w:w="72" w:type="dxa"/>
            </w:tcMar>
            <w:vAlign w:val="center"/>
          </w:tcPr>
          <w:p w14:paraId="32E601F7" w14:textId="77777777" w:rsidR="00D601D3" w:rsidRPr="00B624FB" w:rsidRDefault="00D601D3" w:rsidP="0044201E">
            <w:pPr>
              <w:jc w:val="center"/>
              <w:rPr>
                <w:rFonts w:cstheme="minorHAnsi"/>
                <w:sz w:val="22"/>
                <w:szCs w:val="22"/>
              </w:rPr>
            </w:pPr>
          </w:p>
        </w:tc>
      </w:tr>
      <w:tr w:rsidR="00D601D3" w:rsidRPr="00615524" w14:paraId="4EFA2670" w14:textId="77777777" w:rsidTr="0044201E">
        <w:trPr>
          <w:cantSplit/>
          <w:trHeight w:val="360"/>
        </w:trPr>
        <w:tc>
          <w:tcPr>
            <w:tcW w:w="5562" w:type="dxa"/>
            <w:tcBorders>
              <w:top w:val="single" w:sz="2" w:space="0" w:color="auto"/>
            </w:tcBorders>
            <w:tcMar>
              <w:left w:w="72" w:type="dxa"/>
              <w:right w:w="72" w:type="dxa"/>
            </w:tcMar>
            <w:vAlign w:val="center"/>
          </w:tcPr>
          <w:p w14:paraId="65A9F87F" w14:textId="77777777" w:rsidR="00D601D3" w:rsidRPr="00B624FB" w:rsidRDefault="00D601D3" w:rsidP="0044201E">
            <w:pPr>
              <w:rPr>
                <w:rFonts w:cstheme="minorHAnsi"/>
                <w:sz w:val="22"/>
                <w:szCs w:val="22"/>
              </w:rPr>
            </w:pPr>
            <w:r w:rsidRPr="00B624FB">
              <w:rPr>
                <w:rFonts w:cstheme="minorHAnsi"/>
                <w:b/>
                <w:bCs/>
                <w:sz w:val="22"/>
                <w:szCs w:val="22"/>
              </w:rPr>
              <w:t>EPA Category 3</w:t>
            </w:r>
            <w:r w:rsidRPr="00B624FB">
              <w:rPr>
                <w:rFonts w:cstheme="minorHAnsi"/>
                <w:sz w:val="22"/>
                <w:szCs w:val="22"/>
              </w:rPr>
              <w:t xml:space="preserve">: </w:t>
            </w:r>
            <w:r w:rsidRPr="00B624FB">
              <w:rPr>
                <w:rFonts w:cstheme="minorHAnsi"/>
                <w:sz w:val="22"/>
                <w:szCs w:val="22"/>
              </w:rPr>
              <w:br/>
            </w:r>
            <w:r w:rsidRPr="00B624FB">
              <w:rPr>
                <w:rFonts w:cstheme="minorHAnsi"/>
                <w:i/>
                <w:iCs/>
                <w:sz w:val="22"/>
                <w:szCs w:val="22"/>
              </w:rPr>
              <w:t>Insufficient data to determine if any uses are being met</w:t>
            </w:r>
          </w:p>
        </w:tc>
        <w:tc>
          <w:tcPr>
            <w:tcW w:w="1530" w:type="dxa"/>
            <w:tcBorders>
              <w:top w:val="single" w:sz="2" w:space="0" w:color="auto"/>
            </w:tcBorders>
            <w:noWrap/>
            <w:tcMar>
              <w:left w:w="72" w:type="dxa"/>
              <w:right w:w="72" w:type="dxa"/>
            </w:tcMar>
            <w:vAlign w:val="center"/>
          </w:tcPr>
          <w:p w14:paraId="44AF0A3C" w14:textId="69AD5080" w:rsidR="00D601D3" w:rsidRPr="00B624FB" w:rsidRDefault="00D601D3" w:rsidP="0044201E">
            <w:pPr>
              <w:jc w:val="center"/>
              <w:rPr>
                <w:rFonts w:cstheme="minorHAnsi"/>
                <w:b/>
                <w:sz w:val="22"/>
                <w:szCs w:val="22"/>
              </w:rPr>
            </w:pPr>
            <w:r w:rsidRPr="00B624FB">
              <w:rPr>
                <w:rFonts w:cstheme="minorHAnsi"/>
                <w:b/>
                <w:sz w:val="22"/>
                <w:szCs w:val="22"/>
              </w:rPr>
              <w:t>81,</w:t>
            </w:r>
            <w:r w:rsidR="00B80DE7">
              <w:rPr>
                <w:rFonts w:cstheme="minorHAnsi"/>
                <w:b/>
                <w:sz w:val="22"/>
                <w:szCs w:val="22"/>
              </w:rPr>
              <w:t>14</w:t>
            </w:r>
            <w:r w:rsidR="006D65DE">
              <w:rPr>
                <w:rFonts w:cstheme="minorHAnsi"/>
                <w:b/>
                <w:sz w:val="22"/>
                <w:szCs w:val="22"/>
              </w:rPr>
              <w:t>9</w:t>
            </w:r>
          </w:p>
        </w:tc>
        <w:tc>
          <w:tcPr>
            <w:tcW w:w="1526" w:type="dxa"/>
            <w:tcBorders>
              <w:top w:val="single" w:sz="2" w:space="0" w:color="auto"/>
            </w:tcBorders>
            <w:noWrap/>
            <w:tcMar>
              <w:left w:w="72" w:type="dxa"/>
              <w:right w:w="72" w:type="dxa"/>
            </w:tcMar>
            <w:vAlign w:val="center"/>
          </w:tcPr>
          <w:p w14:paraId="0A28816F" w14:textId="51084218" w:rsidR="00D601D3" w:rsidRPr="00B624FB" w:rsidRDefault="00D601D3" w:rsidP="0044201E">
            <w:pPr>
              <w:jc w:val="center"/>
              <w:rPr>
                <w:rFonts w:cstheme="minorHAnsi"/>
                <w:b/>
                <w:sz w:val="22"/>
                <w:szCs w:val="22"/>
              </w:rPr>
            </w:pPr>
            <w:r w:rsidRPr="00B624FB">
              <w:rPr>
                <w:rFonts w:cstheme="minorHAnsi"/>
                <w:b/>
                <w:sz w:val="22"/>
                <w:szCs w:val="22"/>
              </w:rPr>
              <w:t>80%</w:t>
            </w:r>
          </w:p>
        </w:tc>
      </w:tr>
      <w:tr w:rsidR="00D601D3" w:rsidRPr="00615524" w14:paraId="777D732C" w14:textId="77777777" w:rsidTr="0044201E">
        <w:trPr>
          <w:cantSplit/>
          <w:trHeight w:val="360"/>
        </w:trPr>
        <w:tc>
          <w:tcPr>
            <w:tcW w:w="5562" w:type="dxa"/>
            <w:tcMar>
              <w:left w:w="72" w:type="dxa"/>
              <w:right w:w="72" w:type="dxa"/>
            </w:tcMar>
            <w:vAlign w:val="center"/>
          </w:tcPr>
          <w:p w14:paraId="6DA1697B"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3A</w:t>
            </w:r>
          </w:p>
        </w:tc>
        <w:tc>
          <w:tcPr>
            <w:tcW w:w="1530" w:type="dxa"/>
            <w:noWrap/>
            <w:tcMar>
              <w:left w:w="72" w:type="dxa"/>
              <w:right w:w="72" w:type="dxa"/>
            </w:tcMar>
            <w:vAlign w:val="center"/>
          </w:tcPr>
          <w:p w14:paraId="645888DF" w14:textId="6E18C4D1" w:rsidR="00D601D3" w:rsidRPr="00B624FB" w:rsidRDefault="00801555" w:rsidP="0044201E">
            <w:pPr>
              <w:jc w:val="center"/>
              <w:rPr>
                <w:rFonts w:cstheme="minorHAnsi"/>
                <w:sz w:val="22"/>
                <w:szCs w:val="22"/>
              </w:rPr>
            </w:pPr>
            <w:r>
              <w:rPr>
                <w:rFonts w:cstheme="minorHAnsi"/>
                <w:sz w:val="22"/>
                <w:szCs w:val="22"/>
              </w:rPr>
              <w:t>80,055</w:t>
            </w:r>
          </w:p>
        </w:tc>
        <w:tc>
          <w:tcPr>
            <w:tcW w:w="1526" w:type="dxa"/>
            <w:vMerge w:val="restart"/>
            <w:noWrap/>
            <w:tcMar>
              <w:left w:w="72" w:type="dxa"/>
              <w:right w:w="72" w:type="dxa"/>
            </w:tcMar>
            <w:vAlign w:val="center"/>
          </w:tcPr>
          <w:p w14:paraId="3387B026" w14:textId="77777777" w:rsidR="00D601D3" w:rsidRPr="00B624FB" w:rsidRDefault="00D601D3" w:rsidP="0044201E">
            <w:pPr>
              <w:jc w:val="center"/>
              <w:rPr>
                <w:rFonts w:cstheme="minorHAnsi"/>
                <w:sz w:val="22"/>
                <w:szCs w:val="22"/>
              </w:rPr>
            </w:pPr>
          </w:p>
        </w:tc>
      </w:tr>
      <w:tr w:rsidR="00D601D3" w:rsidRPr="00615524" w14:paraId="6AECFC99" w14:textId="77777777" w:rsidTr="0044201E">
        <w:trPr>
          <w:cantSplit/>
          <w:trHeight w:val="360"/>
        </w:trPr>
        <w:tc>
          <w:tcPr>
            <w:tcW w:w="5562" w:type="dxa"/>
            <w:tcMar>
              <w:left w:w="72" w:type="dxa"/>
              <w:right w:w="72" w:type="dxa"/>
            </w:tcMar>
            <w:vAlign w:val="center"/>
          </w:tcPr>
          <w:p w14:paraId="22B8693B"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3B</w:t>
            </w:r>
          </w:p>
        </w:tc>
        <w:tc>
          <w:tcPr>
            <w:tcW w:w="1530" w:type="dxa"/>
            <w:noWrap/>
            <w:tcMar>
              <w:left w:w="72" w:type="dxa"/>
              <w:right w:w="72" w:type="dxa"/>
            </w:tcMar>
            <w:vAlign w:val="center"/>
          </w:tcPr>
          <w:p w14:paraId="17A9B4DB" w14:textId="04F06C91" w:rsidR="00D601D3" w:rsidRPr="00B624FB" w:rsidRDefault="00D601D3" w:rsidP="0044201E">
            <w:pPr>
              <w:jc w:val="center"/>
              <w:rPr>
                <w:rFonts w:cstheme="minorHAnsi"/>
                <w:sz w:val="22"/>
                <w:szCs w:val="22"/>
              </w:rPr>
            </w:pPr>
            <w:r w:rsidRPr="00B624FB">
              <w:rPr>
                <w:rFonts w:cstheme="minorHAnsi"/>
                <w:color w:val="000000"/>
                <w:sz w:val="22"/>
                <w:szCs w:val="22"/>
              </w:rPr>
              <w:t>51</w:t>
            </w:r>
            <w:r w:rsidR="00801555">
              <w:rPr>
                <w:rFonts w:cstheme="minorHAnsi"/>
                <w:color w:val="000000"/>
                <w:sz w:val="22"/>
                <w:szCs w:val="22"/>
              </w:rPr>
              <w:t>3</w:t>
            </w:r>
          </w:p>
        </w:tc>
        <w:tc>
          <w:tcPr>
            <w:tcW w:w="1526" w:type="dxa"/>
            <w:vMerge/>
            <w:noWrap/>
            <w:tcMar>
              <w:left w:w="72" w:type="dxa"/>
              <w:right w:w="72" w:type="dxa"/>
            </w:tcMar>
            <w:vAlign w:val="center"/>
          </w:tcPr>
          <w:p w14:paraId="648C06C7" w14:textId="77777777" w:rsidR="00D601D3" w:rsidRPr="00B624FB" w:rsidRDefault="00D601D3" w:rsidP="0044201E">
            <w:pPr>
              <w:jc w:val="center"/>
              <w:rPr>
                <w:rFonts w:cstheme="minorHAnsi"/>
                <w:sz w:val="22"/>
                <w:szCs w:val="22"/>
              </w:rPr>
            </w:pPr>
          </w:p>
        </w:tc>
      </w:tr>
      <w:tr w:rsidR="00D601D3" w:rsidRPr="00615524" w14:paraId="0245E3FB" w14:textId="77777777" w:rsidTr="0044201E">
        <w:trPr>
          <w:cantSplit/>
          <w:trHeight w:val="360"/>
        </w:trPr>
        <w:tc>
          <w:tcPr>
            <w:tcW w:w="5562" w:type="dxa"/>
            <w:tcMar>
              <w:left w:w="72" w:type="dxa"/>
              <w:right w:w="72" w:type="dxa"/>
            </w:tcMar>
            <w:vAlign w:val="center"/>
          </w:tcPr>
          <w:p w14:paraId="20A36089"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3C</w:t>
            </w:r>
          </w:p>
        </w:tc>
        <w:tc>
          <w:tcPr>
            <w:tcW w:w="1530" w:type="dxa"/>
            <w:noWrap/>
            <w:tcMar>
              <w:left w:w="72" w:type="dxa"/>
              <w:right w:w="72" w:type="dxa"/>
            </w:tcMar>
            <w:vAlign w:val="center"/>
          </w:tcPr>
          <w:p w14:paraId="36BB316D" w14:textId="06AE9440" w:rsidR="00D601D3" w:rsidRPr="00B624FB" w:rsidRDefault="00D601D3" w:rsidP="0044201E">
            <w:pPr>
              <w:jc w:val="center"/>
              <w:rPr>
                <w:rFonts w:cstheme="minorHAnsi"/>
                <w:sz w:val="22"/>
                <w:szCs w:val="22"/>
              </w:rPr>
            </w:pPr>
            <w:r w:rsidRPr="00B624FB">
              <w:rPr>
                <w:rFonts w:cstheme="minorHAnsi"/>
                <w:color w:val="000000"/>
                <w:sz w:val="22"/>
                <w:szCs w:val="22"/>
              </w:rPr>
              <w:t>28</w:t>
            </w:r>
            <w:r w:rsidR="00801555">
              <w:rPr>
                <w:rFonts w:cstheme="minorHAnsi"/>
                <w:color w:val="000000"/>
                <w:sz w:val="22"/>
                <w:szCs w:val="22"/>
              </w:rPr>
              <w:t>7</w:t>
            </w:r>
          </w:p>
        </w:tc>
        <w:tc>
          <w:tcPr>
            <w:tcW w:w="1526" w:type="dxa"/>
            <w:vMerge/>
            <w:noWrap/>
            <w:tcMar>
              <w:left w:w="72" w:type="dxa"/>
              <w:right w:w="72" w:type="dxa"/>
            </w:tcMar>
            <w:vAlign w:val="center"/>
          </w:tcPr>
          <w:p w14:paraId="4663EB47" w14:textId="77777777" w:rsidR="00D601D3" w:rsidRPr="00B624FB" w:rsidRDefault="00D601D3" w:rsidP="0044201E">
            <w:pPr>
              <w:jc w:val="center"/>
              <w:rPr>
                <w:rFonts w:cstheme="minorHAnsi"/>
                <w:sz w:val="22"/>
                <w:szCs w:val="22"/>
              </w:rPr>
            </w:pPr>
          </w:p>
        </w:tc>
      </w:tr>
      <w:tr w:rsidR="00D601D3" w:rsidRPr="00615524" w14:paraId="3967876A" w14:textId="77777777" w:rsidTr="0044201E">
        <w:trPr>
          <w:cantSplit/>
          <w:trHeight w:val="360"/>
        </w:trPr>
        <w:tc>
          <w:tcPr>
            <w:tcW w:w="5562" w:type="dxa"/>
            <w:tcMar>
              <w:left w:w="72" w:type="dxa"/>
              <w:right w:w="72" w:type="dxa"/>
            </w:tcMar>
            <w:vAlign w:val="center"/>
          </w:tcPr>
          <w:p w14:paraId="4E47B7D9"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3D</w:t>
            </w:r>
          </w:p>
        </w:tc>
        <w:tc>
          <w:tcPr>
            <w:tcW w:w="1530" w:type="dxa"/>
            <w:noWrap/>
            <w:tcMar>
              <w:left w:w="72" w:type="dxa"/>
              <w:right w:w="72" w:type="dxa"/>
            </w:tcMar>
            <w:vAlign w:val="center"/>
          </w:tcPr>
          <w:p w14:paraId="3064EB5C" w14:textId="77777777" w:rsidR="00D601D3" w:rsidRPr="00B624FB" w:rsidRDefault="00D601D3" w:rsidP="0044201E">
            <w:pPr>
              <w:jc w:val="center"/>
              <w:rPr>
                <w:rFonts w:cstheme="minorHAnsi"/>
                <w:sz w:val="22"/>
                <w:szCs w:val="22"/>
              </w:rPr>
            </w:pPr>
            <w:r w:rsidRPr="00B624FB">
              <w:rPr>
                <w:rFonts w:cstheme="minorHAnsi"/>
                <w:color w:val="000000"/>
                <w:sz w:val="22"/>
                <w:szCs w:val="22"/>
              </w:rPr>
              <w:t>236</w:t>
            </w:r>
          </w:p>
        </w:tc>
        <w:tc>
          <w:tcPr>
            <w:tcW w:w="1526" w:type="dxa"/>
            <w:vMerge/>
            <w:noWrap/>
            <w:tcMar>
              <w:left w:w="72" w:type="dxa"/>
              <w:right w:w="72" w:type="dxa"/>
            </w:tcMar>
            <w:vAlign w:val="center"/>
          </w:tcPr>
          <w:p w14:paraId="2AA5E5A4" w14:textId="77777777" w:rsidR="00D601D3" w:rsidRPr="00B624FB" w:rsidRDefault="00D601D3" w:rsidP="0044201E">
            <w:pPr>
              <w:jc w:val="center"/>
              <w:rPr>
                <w:rFonts w:cstheme="minorHAnsi"/>
                <w:sz w:val="22"/>
                <w:szCs w:val="22"/>
              </w:rPr>
            </w:pPr>
          </w:p>
        </w:tc>
      </w:tr>
      <w:tr w:rsidR="00D601D3" w:rsidRPr="00615524" w14:paraId="46A76AD9" w14:textId="77777777" w:rsidTr="0044201E">
        <w:trPr>
          <w:cantSplit/>
          <w:trHeight w:val="360"/>
        </w:trPr>
        <w:tc>
          <w:tcPr>
            <w:tcW w:w="5562" w:type="dxa"/>
            <w:tcBorders>
              <w:bottom w:val="single" w:sz="2" w:space="0" w:color="auto"/>
            </w:tcBorders>
            <w:tcMar>
              <w:left w:w="72" w:type="dxa"/>
              <w:right w:w="72" w:type="dxa"/>
            </w:tcMar>
            <w:vAlign w:val="center"/>
          </w:tcPr>
          <w:p w14:paraId="53C2C83F"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3E</w:t>
            </w:r>
          </w:p>
        </w:tc>
        <w:tc>
          <w:tcPr>
            <w:tcW w:w="1530" w:type="dxa"/>
            <w:tcBorders>
              <w:bottom w:val="single" w:sz="2" w:space="0" w:color="auto"/>
            </w:tcBorders>
            <w:noWrap/>
            <w:tcMar>
              <w:left w:w="72" w:type="dxa"/>
              <w:right w:w="72" w:type="dxa"/>
            </w:tcMar>
            <w:vAlign w:val="center"/>
          </w:tcPr>
          <w:p w14:paraId="7288F173" w14:textId="4F68A92E" w:rsidR="00D601D3" w:rsidRPr="00B624FB" w:rsidRDefault="00D601D3" w:rsidP="0044201E">
            <w:pPr>
              <w:jc w:val="center"/>
              <w:rPr>
                <w:rFonts w:cstheme="minorHAnsi"/>
                <w:color w:val="000000"/>
                <w:sz w:val="22"/>
                <w:szCs w:val="22"/>
              </w:rPr>
            </w:pPr>
            <w:r w:rsidRPr="00B624FB">
              <w:rPr>
                <w:rFonts w:cstheme="minorHAnsi"/>
                <w:color w:val="000000"/>
                <w:sz w:val="22"/>
                <w:szCs w:val="22"/>
              </w:rPr>
              <w:t>5</w:t>
            </w:r>
            <w:r w:rsidR="00801555">
              <w:rPr>
                <w:rFonts w:cstheme="minorHAnsi"/>
                <w:color w:val="000000"/>
                <w:sz w:val="22"/>
                <w:szCs w:val="22"/>
              </w:rPr>
              <w:t>8</w:t>
            </w:r>
          </w:p>
        </w:tc>
        <w:tc>
          <w:tcPr>
            <w:tcW w:w="1526" w:type="dxa"/>
            <w:tcBorders>
              <w:bottom w:val="single" w:sz="2" w:space="0" w:color="auto"/>
            </w:tcBorders>
            <w:noWrap/>
            <w:tcMar>
              <w:left w:w="72" w:type="dxa"/>
              <w:right w:w="72" w:type="dxa"/>
            </w:tcMar>
            <w:vAlign w:val="center"/>
          </w:tcPr>
          <w:p w14:paraId="0AA3BD72" w14:textId="77777777" w:rsidR="00D601D3" w:rsidRPr="00B624FB" w:rsidRDefault="00D601D3" w:rsidP="0044201E">
            <w:pPr>
              <w:jc w:val="center"/>
              <w:rPr>
                <w:rFonts w:cstheme="minorHAnsi"/>
                <w:sz w:val="22"/>
                <w:szCs w:val="22"/>
              </w:rPr>
            </w:pPr>
          </w:p>
        </w:tc>
      </w:tr>
      <w:tr w:rsidR="00D601D3" w:rsidRPr="00615524" w14:paraId="4D4BF127" w14:textId="77777777" w:rsidTr="0044201E">
        <w:trPr>
          <w:cantSplit/>
          <w:trHeight w:val="360"/>
        </w:trPr>
        <w:tc>
          <w:tcPr>
            <w:tcW w:w="5562" w:type="dxa"/>
            <w:tcBorders>
              <w:top w:val="single" w:sz="2" w:space="0" w:color="auto"/>
            </w:tcBorders>
            <w:tcMar>
              <w:left w:w="72" w:type="dxa"/>
              <w:right w:w="72" w:type="dxa"/>
            </w:tcMar>
            <w:vAlign w:val="center"/>
          </w:tcPr>
          <w:p w14:paraId="1FBAD5A9" w14:textId="77777777" w:rsidR="00D601D3" w:rsidRPr="00B624FB" w:rsidRDefault="00D601D3" w:rsidP="0044201E">
            <w:pPr>
              <w:rPr>
                <w:rFonts w:cstheme="minorHAnsi"/>
                <w:sz w:val="22"/>
                <w:szCs w:val="22"/>
              </w:rPr>
            </w:pPr>
            <w:r w:rsidRPr="00B624FB">
              <w:rPr>
                <w:rFonts w:cstheme="minorHAnsi"/>
                <w:b/>
                <w:bCs/>
                <w:sz w:val="22"/>
                <w:szCs w:val="22"/>
              </w:rPr>
              <w:t>EPA Category 4</w:t>
            </w:r>
            <w:r w:rsidRPr="00B624FB">
              <w:rPr>
                <w:rFonts w:cstheme="minorHAnsi"/>
                <w:sz w:val="22"/>
                <w:szCs w:val="22"/>
              </w:rPr>
              <w:t xml:space="preserve">: </w:t>
            </w:r>
            <w:r w:rsidRPr="00B624FB">
              <w:rPr>
                <w:rFonts w:cstheme="minorHAnsi"/>
                <w:sz w:val="22"/>
                <w:szCs w:val="22"/>
              </w:rPr>
              <w:br/>
            </w:r>
            <w:r w:rsidRPr="00B624FB">
              <w:rPr>
                <w:rFonts w:cstheme="minorHAnsi"/>
                <w:i/>
                <w:iCs/>
                <w:sz w:val="22"/>
                <w:szCs w:val="22"/>
              </w:rPr>
              <w:t>Waters are impaired or threatened but do not need a TMDL</w:t>
            </w:r>
          </w:p>
        </w:tc>
        <w:tc>
          <w:tcPr>
            <w:tcW w:w="1530" w:type="dxa"/>
            <w:tcBorders>
              <w:top w:val="single" w:sz="2" w:space="0" w:color="auto"/>
            </w:tcBorders>
            <w:noWrap/>
            <w:tcMar>
              <w:left w:w="72" w:type="dxa"/>
              <w:right w:w="72" w:type="dxa"/>
            </w:tcMar>
            <w:vAlign w:val="center"/>
          </w:tcPr>
          <w:p w14:paraId="5DA36B2A" w14:textId="3AABD0E8" w:rsidR="00D601D3" w:rsidRPr="00B624FB" w:rsidRDefault="00D601D3" w:rsidP="0044201E">
            <w:pPr>
              <w:jc w:val="center"/>
              <w:rPr>
                <w:rFonts w:cstheme="minorHAnsi"/>
                <w:b/>
                <w:sz w:val="22"/>
                <w:szCs w:val="22"/>
              </w:rPr>
            </w:pPr>
            <w:r w:rsidRPr="00B624FB">
              <w:rPr>
                <w:rFonts w:cstheme="minorHAnsi"/>
                <w:b/>
                <w:sz w:val="22"/>
                <w:szCs w:val="22"/>
              </w:rPr>
              <w:t>7,9</w:t>
            </w:r>
            <w:r w:rsidR="00D6226A">
              <w:rPr>
                <w:rFonts w:cstheme="minorHAnsi"/>
                <w:b/>
                <w:sz w:val="22"/>
                <w:szCs w:val="22"/>
              </w:rPr>
              <w:t>36</w:t>
            </w:r>
          </w:p>
        </w:tc>
        <w:tc>
          <w:tcPr>
            <w:tcW w:w="1526" w:type="dxa"/>
            <w:tcBorders>
              <w:top w:val="single" w:sz="2" w:space="0" w:color="auto"/>
            </w:tcBorders>
            <w:noWrap/>
            <w:tcMar>
              <w:left w:w="72" w:type="dxa"/>
              <w:right w:w="72" w:type="dxa"/>
            </w:tcMar>
            <w:vAlign w:val="center"/>
          </w:tcPr>
          <w:p w14:paraId="615321FE" w14:textId="7ACB77C0" w:rsidR="00D601D3" w:rsidRPr="00B624FB" w:rsidRDefault="00860491" w:rsidP="0044201E">
            <w:pPr>
              <w:jc w:val="center"/>
              <w:rPr>
                <w:rFonts w:cstheme="minorHAnsi"/>
                <w:b/>
                <w:bCs/>
                <w:sz w:val="22"/>
                <w:szCs w:val="22"/>
              </w:rPr>
            </w:pPr>
            <w:r>
              <w:rPr>
                <w:rFonts w:cstheme="minorHAnsi"/>
                <w:b/>
                <w:bCs/>
                <w:sz w:val="22"/>
                <w:szCs w:val="22"/>
              </w:rPr>
              <w:t>8</w:t>
            </w:r>
            <w:r w:rsidR="00D601D3" w:rsidRPr="00B624FB">
              <w:rPr>
                <w:rFonts w:cstheme="minorHAnsi"/>
                <w:b/>
                <w:bCs/>
                <w:sz w:val="22"/>
                <w:szCs w:val="22"/>
              </w:rPr>
              <w:t>%</w:t>
            </w:r>
          </w:p>
        </w:tc>
      </w:tr>
      <w:tr w:rsidR="00D601D3" w:rsidRPr="00615524" w14:paraId="679C43B0" w14:textId="77777777" w:rsidTr="0044201E">
        <w:trPr>
          <w:cantSplit/>
          <w:trHeight w:val="360"/>
        </w:trPr>
        <w:tc>
          <w:tcPr>
            <w:tcW w:w="5562" w:type="dxa"/>
            <w:tcMar>
              <w:left w:w="72" w:type="dxa"/>
              <w:right w:w="72" w:type="dxa"/>
            </w:tcMar>
            <w:vAlign w:val="center"/>
          </w:tcPr>
          <w:p w14:paraId="756F43E0" w14:textId="77777777" w:rsidR="00D601D3" w:rsidRPr="00B624FB" w:rsidRDefault="00D601D3" w:rsidP="0044201E">
            <w:pPr>
              <w:rPr>
                <w:rFonts w:cstheme="minorHAnsi"/>
                <w:sz w:val="22"/>
                <w:szCs w:val="22"/>
              </w:rPr>
            </w:pPr>
            <w:r w:rsidRPr="00B624FB">
              <w:rPr>
                <w:rFonts w:cstheme="minorHAnsi"/>
                <w:sz w:val="22"/>
                <w:szCs w:val="22"/>
              </w:rPr>
              <w:t xml:space="preserve">     EPA Subcategory 4A</w:t>
            </w:r>
          </w:p>
        </w:tc>
        <w:tc>
          <w:tcPr>
            <w:tcW w:w="1530" w:type="dxa"/>
            <w:noWrap/>
            <w:tcMar>
              <w:left w:w="72" w:type="dxa"/>
              <w:right w:w="72" w:type="dxa"/>
            </w:tcMar>
            <w:vAlign w:val="center"/>
          </w:tcPr>
          <w:p w14:paraId="488BD8FE" w14:textId="00490C77" w:rsidR="00D601D3" w:rsidRPr="00B624FB" w:rsidRDefault="00D601D3" w:rsidP="0044201E">
            <w:pPr>
              <w:jc w:val="center"/>
              <w:rPr>
                <w:rFonts w:cstheme="minorHAnsi"/>
                <w:sz w:val="22"/>
                <w:szCs w:val="22"/>
              </w:rPr>
            </w:pPr>
            <w:r w:rsidRPr="00B624FB">
              <w:rPr>
                <w:rFonts w:cstheme="minorHAnsi"/>
                <w:sz w:val="22"/>
                <w:szCs w:val="22"/>
              </w:rPr>
              <w:t>7,</w:t>
            </w:r>
            <w:r w:rsidR="00F96872">
              <w:rPr>
                <w:rFonts w:cstheme="minorHAnsi"/>
                <w:sz w:val="22"/>
                <w:szCs w:val="22"/>
              </w:rPr>
              <w:t>867</w:t>
            </w:r>
          </w:p>
        </w:tc>
        <w:tc>
          <w:tcPr>
            <w:tcW w:w="1526" w:type="dxa"/>
            <w:vMerge w:val="restart"/>
            <w:noWrap/>
            <w:tcMar>
              <w:left w:w="72" w:type="dxa"/>
              <w:right w:w="72" w:type="dxa"/>
            </w:tcMar>
            <w:vAlign w:val="center"/>
          </w:tcPr>
          <w:p w14:paraId="3810626A" w14:textId="77777777" w:rsidR="00D601D3" w:rsidRPr="00B624FB" w:rsidRDefault="00D601D3" w:rsidP="0044201E">
            <w:pPr>
              <w:jc w:val="center"/>
              <w:rPr>
                <w:rFonts w:cstheme="minorHAnsi"/>
                <w:sz w:val="22"/>
                <w:szCs w:val="22"/>
              </w:rPr>
            </w:pPr>
          </w:p>
        </w:tc>
      </w:tr>
      <w:tr w:rsidR="00D601D3" w:rsidRPr="00615524" w14:paraId="7AE3217A" w14:textId="77777777" w:rsidTr="0044201E">
        <w:trPr>
          <w:cantSplit/>
          <w:trHeight w:val="360"/>
        </w:trPr>
        <w:tc>
          <w:tcPr>
            <w:tcW w:w="5562" w:type="dxa"/>
            <w:tcMar>
              <w:left w:w="72" w:type="dxa"/>
              <w:right w:w="72" w:type="dxa"/>
            </w:tcMar>
            <w:vAlign w:val="center"/>
          </w:tcPr>
          <w:p w14:paraId="70DDA634" w14:textId="77777777" w:rsidR="00D601D3" w:rsidRPr="00B624FB" w:rsidRDefault="00D601D3" w:rsidP="0044201E">
            <w:pPr>
              <w:rPr>
                <w:rFonts w:cstheme="minorHAnsi"/>
                <w:sz w:val="22"/>
                <w:szCs w:val="22"/>
              </w:rPr>
            </w:pPr>
            <w:r w:rsidRPr="00B624FB">
              <w:rPr>
                <w:rFonts w:cstheme="minorHAnsi"/>
                <w:sz w:val="22"/>
                <w:szCs w:val="22"/>
              </w:rPr>
              <w:t xml:space="preserve">     EPA Subcategory 4B</w:t>
            </w:r>
          </w:p>
        </w:tc>
        <w:tc>
          <w:tcPr>
            <w:tcW w:w="1530" w:type="dxa"/>
            <w:noWrap/>
            <w:tcMar>
              <w:left w:w="72" w:type="dxa"/>
              <w:right w:w="72" w:type="dxa"/>
            </w:tcMar>
            <w:vAlign w:val="center"/>
          </w:tcPr>
          <w:p w14:paraId="023E0EFB" w14:textId="77777777" w:rsidR="00D601D3" w:rsidRPr="00B624FB" w:rsidRDefault="00D601D3" w:rsidP="0044201E">
            <w:pPr>
              <w:jc w:val="center"/>
              <w:rPr>
                <w:rFonts w:cstheme="minorHAnsi"/>
                <w:sz w:val="22"/>
                <w:szCs w:val="22"/>
              </w:rPr>
            </w:pPr>
            <w:r w:rsidRPr="00B624FB">
              <w:rPr>
                <w:rFonts w:cstheme="minorHAnsi"/>
                <w:sz w:val="22"/>
                <w:szCs w:val="22"/>
              </w:rPr>
              <w:t>0</w:t>
            </w:r>
          </w:p>
        </w:tc>
        <w:tc>
          <w:tcPr>
            <w:tcW w:w="1526" w:type="dxa"/>
            <w:vMerge/>
            <w:noWrap/>
            <w:tcMar>
              <w:left w:w="72" w:type="dxa"/>
              <w:right w:w="72" w:type="dxa"/>
            </w:tcMar>
            <w:vAlign w:val="center"/>
          </w:tcPr>
          <w:p w14:paraId="21D170DA" w14:textId="77777777" w:rsidR="00D601D3" w:rsidRPr="00B624FB" w:rsidRDefault="00D601D3" w:rsidP="0044201E">
            <w:pPr>
              <w:jc w:val="center"/>
              <w:rPr>
                <w:rFonts w:cstheme="minorHAnsi"/>
                <w:sz w:val="22"/>
                <w:szCs w:val="22"/>
              </w:rPr>
            </w:pPr>
          </w:p>
        </w:tc>
      </w:tr>
      <w:tr w:rsidR="00D601D3" w:rsidRPr="00615524" w14:paraId="0E54B4DC" w14:textId="77777777" w:rsidTr="0044201E">
        <w:trPr>
          <w:cantSplit/>
          <w:trHeight w:val="360"/>
        </w:trPr>
        <w:tc>
          <w:tcPr>
            <w:tcW w:w="5562" w:type="dxa"/>
            <w:tcBorders>
              <w:bottom w:val="single" w:sz="2" w:space="0" w:color="auto"/>
            </w:tcBorders>
            <w:tcMar>
              <w:left w:w="72" w:type="dxa"/>
              <w:right w:w="72" w:type="dxa"/>
            </w:tcMar>
            <w:vAlign w:val="center"/>
          </w:tcPr>
          <w:p w14:paraId="768844B2" w14:textId="77777777" w:rsidR="00D601D3" w:rsidRPr="00B624FB" w:rsidRDefault="00D601D3" w:rsidP="0044201E">
            <w:pPr>
              <w:rPr>
                <w:rFonts w:cstheme="minorHAnsi"/>
                <w:sz w:val="22"/>
                <w:szCs w:val="22"/>
              </w:rPr>
            </w:pPr>
            <w:r w:rsidRPr="00B624FB">
              <w:rPr>
                <w:rFonts w:cstheme="minorHAnsi"/>
                <w:sz w:val="22"/>
                <w:szCs w:val="22"/>
              </w:rPr>
              <w:t xml:space="preserve">     EPA Subcategory 4C</w:t>
            </w:r>
          </w:p>
        </w:tc>
        <w:tc>
          <w:tcPr>
            <w:tcW w:w="1530" w:type="dxa"/>
            <w:tcBorders>
              <w:bottom w:val="single" w:sz="2" w:space="0" w:color="auto"/>
            </w:tcBorders>
            <w:noWrap/>
            <w:tcMar>
              <w:left w:w="72" w:type="dxa"/>
              <w:right w:w="72" w:type="dxa"/>
            </w:tcMar>
            <w:vAlign w:val="center"/>
          </w:tcPr>
          <w:p w14:paraId="64C058C6" w14:textId="77777777" w:rsidR="00D601D3" w:rsidRPr="00B624FB" w:rsidRDefault="00D601D3" w:rsidP="0044201E">
            <w:pPr>
              <w:jc w:val="center"/>
              <w:rPr>
                <w:rFonts w:cstheme="minorHAnsi"/>
                <w:sz w:val="22"/>
                <w:szCs w:val="22"/>
              </w:rPr>
            </w:pPr>
            <w:r w:rsidRPr="00B624FB">
              <w:rPr>
                <w:rFonts w:cstheme="minorHAnsi"/>
                <w:sz w:val="22"/>
                <w:szCs w:val="22"/>
              </w:rPr>
              <w:t>69</w:t>
            </w:r>
          </w:p>
        </w:tc>
        <w:tc>
          <w:tcPr>
            <w:tcW w:w="1526" w:type="dxa"/>
            <w:vMerge/>
            <w:tcBorders>
              <w:bottom w:val="single" w:sz="2" w:space="0" w:color="auto"/>
            </w:tcBorders>
            <w:noWrap/>
            <w:tcMar>
              <w:left w:w="72" w:type="dxa"/>
              <w:right w:w="72" w:type="dxa"/>
            </w:tcMar>
            <w:vAlign w:val="center"/>
          </w:tcPr>
          <w:p w14:paraId="421A845D" w14:textId="77777777" w:rsidR="00D601D3" w:rsidRPr="00B624FB" w:rsidRDefault="00D601D3" w:rsidP="0044201E">
            <w:pPr>
              <w:jc w:val="center"/>
              <w:rPr>
                <w:rFonts w:cstheme="minorHAnsi"/>
                <w:sz w:val="22"/>
                <w:szCs w:val="22"/>
              </w:rPr>
            </w:pPr>
          </w:p>
        </w:tc>
      </w:tr>
      <w:tr w:rsidR="00D601D3" w:rsidRPr="00615524" w14:paraId="684C1026" w14:textId="77777777" w:rsidTr="0044201E">
        <w:trPr>
          <w:cantSplit/>
          <w:trHeight w:val="360"/>
        </w:trPr>
        <w:tc>
          <w:tcPr>
            <w:tcW w:w="5562" w:type="dxa"/>
            <w:tcBorders>
              <w:top w:val="single" w:sz="2" w:space="0" w:color="auto"/>
            </w:tcBorders>
            <w:tcMar>
              <w:left w:w="72" w:type="dxa"/>
              <w:right w:w="72" w:type="dxa"/>
            </w:tcMar>
            <w:vAlign w:val="center"/>
          </w:tcPr>
          <w:p w14:paraId="62AB23ED" w14:textId="77777777" w:rsidR="00D601D3" w:rsidRPr="00B624FB" w:rsidRDefault="00D601D3" w:rsidP="0044201E">
            <w:pPr>
              <w:rPr>
                <w:rFonts w:cstheme="minorHAnsi"/>
                <w:sz w:val="22"/>
                <w:szCs w:val="22"/>
              </w:rPr>
            </w:pPr>
            <w:r w:rsidRPr="00B624FB">
              <w:rPr>
                <w:rFonts w:cstheme="minorHAnsi"/>
                <w:b/>
                <w:bCs/>
                <w:sz w:val="22"/>
                <w:szCs w:val="22"/>
              </w:rPr>
              <w:t>EPA Category 5:</w:t>
            </w:r>
            <w:r w:rsidRPr="00B624FB">
              <w:rPr>
                <w:rFonts w:cstheme="minorHAnsi"/>
                <w:sz w:val="22"/>
                <w:szCs w:val="22"/>
              </w:rPr>
              <w:t xml:space="preserve"> </w:t>
            </w:r>
            <w:r w:rsidRPr="00B624FB">
              <w:rPr>
                <w:rFonts w:cstheme="minorHAnsi"/>
                <w:sz w:val="22"/>
                <w:szCs w:val="22"/>
              </w:rPr>
              <w:br/>
            </w:r>
            <w:r w:rsidRPr="00B624FB">
              <w:rPr>
                <w:rFonts w:cstheme="minorHAnsi"/>
                <w:i/>
                <w:iCs/>
                <w:sz w:val="22"/>
                <w:szCs w:val="22"/>
              </w:rPr>
              <w:t>Waters are impaired or threatened and need a TMDL</w:t>
            </w:r>
          </w:p>
        </w:tc>
        <w:tc>
          <w:tcPr>
            <w:tcW w:w="1530" w:type="dxa"/>
            <w:tcBorders>
              <w:top w:val="single" w:sz="2" w:space="0" w:color="auto"/>
            </w:tcBorders>
            <w:noWrap/>
            <w:tcMar>
              <w:left w:w="72" w:type="dxa"/>
              <w:right w:w="72" w:type="dxa"/>
            </w:tcMar>
            <w:vAlign w:val="center"/>
          </w:tcPr>
          <w:p w14:paraId="5A8E2A4A" w14:textId="2732BD53" w:rsidR="00D601D3" w:rsidRPr="00B624FB" w:rsidRDefault="00D601D3" w:rsidP="0044201E">
            <w:pPr>
              <w:jc w:val="center"/>
              <w:rPr>
                <w:rFonts w:cstheme="minorHAnsi"/>
                <w:b/>
                <w:sz w:val="22"/>
                <w:szCs w:val="22"/>
              </w:rPr>
            </w:pPr>
            <w:r w:rsidRPr="00B624FB">
              <w:rPr>
                <w:rFonts w:cstheme="minorHAnsi"/>
                <w:b/>
                <w:sz w:val="22"/>
                <w:szCs w:val="22"/>
              </w:rPr>
              <w:t>8,3</w:t>
            </w:r>
            <w:r w:rsidR="00F96872">
              <w:rPr>
                <w:rFonts w:cstheme="minorHAnsi"/>
                <w:b/>
                <w:sz w:val="22"/>
                <w:szCs w:val="22"/>
              </w:rPr>
              <w:t>76</w:t>
            </w:r>
          </w:p>
        </w:tc>
        <w:tc>
          <w:tcPr>
            <w:tcW w:w="1526" w:type="dxa"/>
            <w:tcBorders>
              <w:top w:val="single" w:sz="2" w:space="0" w:color="auto"/>
            </w:tcBorders>
            <w:noWrap/>
            <w:tcMar>
              <w:left w:w="72" w:type="dxa"/>
              <w:right w:w="72" w:type="dxa"/>
            </w:tcMar>
            <w:vAlign w:val="center"/>
          </w:tcPr>
          <w:p w14:paraId="1AF94801" w14:textId="14BBF376" w:rsidR="00D601D3" w:rsidRPr="00B624FB" w:rsidRDefault="00D601D3" w:rsidP="0044201E">
            <w:pPr>
              <w:jc w:val="center"/>
              <w:rPr>
                <w:rFonts w:cstheme="minorHAnsi"/>
                <w:b/>
                <w:bCs/>
                <w:sz w:val="22"/>
                <w:szCs w:val="22"/>
              </w:rPr>
            </w:pPr>
            <w:r w:rsidRPr="00B624FB">
              <w:rPr>
                <w:rFonts w:cstheme="minorHAnsi"/>
                <w:b/>
                <w:bCs/>
                <w:sz w:val="22"/>
                <w:szCs w:val="22"/>
              </w:rPr>
              <w:t>8%</w:t>
            </w:r>
          </w:p>
        </w:tc>
      </w:tr>
      <w:tr w:rsidR="00D601D3" w:rsidRPr="00615524" w14:paraId="1B7FFFB5" w14:textId="77777777" w:rsidTr="0044201E">
        <w:trPr>
          <w:cantSplit/>
          <w:trHeight w:val="360"/>
        </w:trPr>
        <w:tc>
          <w:tcPr>
            <w:tcW w:w="5562" w:type="dxa"/>
            <w:tcMar>
              <w:left w:w="72" w:type="dxa"/>
              <w:right w:w="72" w:type="dxa"/>
            </w:tcMar>
            <w:vAlign w:val="center"/>
          </w:tcPr>
          <w:p w14:paraId="49146E13"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5A</w:t>
            </w:r>
          </w:p>
        </w:tc>
        <w:tc>
          <w:tcPr>
            <w:tcW w:w="1530" w:type="dxa"/>
            <w:noWrap/>
            <w:tcMar>
              <w:left w:w="72" w:type="dxa"/>
              <w:right w:w="72" w:type="dxa"/>
            </w:tcMar>
            <w:vAlign w:val="center"/>
          </w:tcPr>
          <w:p w14:paraId="2FCFBACD" w14:textId="51C40E42" w:rsidR="00D601D3" w:rsidRPr="00B624FB" w:rsidRDefault="00D601D3" w:rsidP="0044201E">
            <w:pPr>
              <w:jc w:val="center"/>
              <w:rPr>
                <w:rFonts w:cstheme="minorHAnsi"/>
                <w:sz w:val="22"/>
                <w:szCs w:val="22"/>
              </w:rPr>
            </w:pPr>
            <w:r w:rsidRPr="00B624FB">
              <w:rPr>
                <w:rFonts w:cstheme="minorHAnsi"/>
                <w:color w:val="000000"/>
                <w:sz w:val="22"/>
                <w:szCs w:val="22"/>
              </w:rPr>
              <w:t>4,9</w:t>
            </w:r>
            <w:r w:rsidR="00F96872">
              <w:rPr>
                <w:rFonts w:cstheme="minorHAnsi"/>
                <w:color w:val="000000"/>
                <w:sz w:val="22"/>
                <w:szCs w:val="22"/>
              </w:rPr>
              <w:t>57</w:t>
            </w:r>
          </w:p>
        </w:tc>
        <w:tc>
          <w:tcPr>
            <w:tcW w:w="1526" w:type="dxa"/>
            <w:vMerge w:val="restart"/>
            <w:noWrap/>
            <w:tcMar>
              <w:left w:w="72" w:type="dxa"/>
              <w:right w:w="72" w:type="dxa"/>
            </w:tcMar>
            <w:vAlign w:val="center"/>
          </w:tcPr>
          <w:p w14:paraId="4F3E1387" w14:textId="77777777" w:rsidR="00D601D3" w:rsidRPr="00B624FB" w:rsidRDefault="00D601D3" w:rsidP="0044201E">
            <w:pPr>
              <w:jc w:val="center"/>
              <w:rPr>
                <w:rFonts w:cstheme="minorHAnsi"/>
                <w:sz w:val="22"/>
                <w:szCs w:val="22"/>
              </w:rPr>
            </w:pPr>
          </w:p>
        </w:tc>
      </w:tr>
      <w:tr w:rsidR="00D601D3" w:rsidRPr="00615524" w14:paraId="0173C807" w14:textId="77777777" w:rsidTr="0044201E">
        <w:trPr>
          <w:cantSplit/>
          <w:trHeight w:val="360"/>
        </w:trPr>
        <w:tc>
          <w:tcPr>
            <w:tcW w:w="5562" w:type="dxa"/>
            <w:tcMar>
              <w:left w:w="72" w:type="dxa"/>
              <w:right w:w="72" w:type="dxa"/>
            </w:tcMar>
            <w:vAlign w:val="center"/>
          </w:tcPr>
          <w:p w14:paraId="1881782E"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5B</w:t>
            </w:r>
          </w:p>
        </w:tc>
        <w:tc>
          <w:tcPr>
            <w:tcW w:w="1530" w:type="dxa"/>
            <w:noWrap/>
            <w:tcMar>
              <w:left w:w="72" w:type="dxa"/>
              <w:right w:w="72" w:type="dxa"/>
            </w:tcMar>
            <w:vAlign w:val="center"/>
          </w:tcPr>
          <w:p w14:paraId="39EC43BE" w14:textId="77777777" w:rsidR="00D601D3" w:rsidRPr="00B624FB" w:rsidRDefault="00D601D3" w:rsidP="0044201E">
            <w:pPr>
              <w:jc w:val="center"/>
              <w:rPr>
                <w:rFonts w:cstheme="minorHAnsi"/>
                <w:color w:val="000000"/>
                <w:sz w:val="22"/>
                <w:szCs w:val="22"/>
              </w:rPr>
            </w:pPr>
            <w:r w:rsidRPr="00B624FB">
              <w:rPr>
                <w:rFonts w:cstheme="minorHAnsi"/>
                <w:color w:val="000000"/>
                <w:sz w:val="22"/>
                <w:szCs w:val="22"/>
              </w:rPr>
              <w:t>0</w:t>
            </w:r>
          </w:p>
        </w:tc>
        <w:tc>
          <w:tcPr>
            <w:tcW w:w="1526" w:type="dxa"/>
            <w:vMerge/>
            <w:noWrap/>
            <w:tcMar>
              <w:left w:w="72" w:type="dxa"/>
              <w:right w:w="72" w:type="dxa"/>
            </w:tcMar>
            <w:vAlign w:val="center"/>
          </w:tcPr>
          <w:p w14:paraId="37EFB15B" w14:textId="77777777" w:rsidR="00D601D3" w:rsidRPr="00B624FB" w:rsidRDefault="00D601D3" w:rsidP="0044201E">
            <w:pPr>
              <w:jc w:val="center"/>
              <w:rPr>
                <w:rFonts w:cstheme="minorHAnsi"/>
                <w:sz w:val="22"/>
                <w:szCs w:val="22"/>
              </w:rPr>
            </w:pPr>
          </w:p>
        </w:tc>
      </w:tr>
      <w:tr w:rsidR="00D601D3" w:rsidRPr="00615524" w14:paraId="01DA7177" w14:textId="77777777" w:rsidTr="0044201E">
        <w:trPr>
          <w:cantSplit/>
          <w:trHeight w:val="360"/>
        </w:trPr>
        <w:tc>
          <w:tcPr>
            <w:tcW w:w="5562" w:type="dxa"/>
            <w:tcMar>
              <w:left w:w="72" w:type="dxa"/>
              <w:right w:w="72" w:type="dxa"/>
            </w:tcMar>
            <w:vAlign w:val="center"/>
          </w:tcPr>
          <w:p w14:paraId="51CD7175"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5C</w:t>
            </w:r>
          </w:p>
        </w:tc>
        <w:tc>
          <w:tcPr>
            <w:tcW w:w="1530" w:type="dxa"/>
            <w:noWrap/>
            <w:tcMar>
              <w:left w:w="72" w:type="dxa"/>
              <w:right w:w="72" w:type="dxa"/>
            </w:tcMar>
            <w:vAlign w:val="center"/>
          </w:tcPr>
          <w:p w14:paraId="51868932" w14:textId="77777777" w:rsidR="00D601D3" w:rsidRPr="00B624FB" w:rsidRDefault="00D601D3" w:rsidP="0044201E">
            <w:pPr>
              <w:jc w:val="center"/>
              <w:rPr>
                <w:rFonts w:cstheme="minorHAnsi"/>
                <w:sz w:val="22"/>
                <w:szCs w:val="22"/>
              </w:rPr>
            </w:pPr>
            <w:r w:rsidRPr="00B624FB">
              <w:rPr>
                <w:rFonts w:cstheme="minorHAnsi"/>
                <w:color w:val="000000"/>
                <w:sz w:val="22"/>
                <w:szCs w:val="22"/>
              </w:rPr>
              <w:t>355</w:t>
            </w:r>
          </w:p>
        </w:tc>
        <w:tc>
          <w:tcPr>
            <w:tcW w:w="1526" w:type="dxa"/>
            <w:vMerge/>
            <w:noWrap/>
            <w:tcMar>
              <w:left w:w="72" w:type="dxa"/>
              <w:right w:w="72" w:type="dxa"/>
            </w:tcMar>
            <w:vAlign w:val="center"/>
          </w:tcPr>
          <w:p w14:paraId="314A137D" w14:textId="77777777" w:rsidR="00D601D3" w:rsidRPr="00B624FB" w:rsidRDefault="00D601D3" w:rsidP="0044201E">
            <w:pPr>
              <w:jc w:val="center"/>
              <w:rPr>
                <w:rFonts w:cstheme="minorHAnsi"/>
                <w:sz w:val="22"/>
                <w:szCs w:val="22"/>
              </w:rPr>
            </w:pPr>
          </w:p>
        </w:tc>
      </w:tr>
      <w:tr w:rsidR="00D601D3" w:rsidRPr="00615524" w14:paraId="7CAAD21B" w14:textId="77777777" w:rsidTr="0044201E">
        <w:trPr>
          <w:cantSplit/>
          <w:trHeight w:val="360"/>
        </w:trPr>
        <w:tc>
          <w:tcPr>
            <w:tcW w:w="5562" w:type="dxa"/>
            <w:tcMar>
              <w:left w:w="72" w:type="dxa"/>
              <w:right w:w="72" w:type="dxa"/>
            </w:tcMar>
            <w:vAlign w:val="center"/>
          </w:tcPr>
          <w:p w14:paraId="343F878C"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5D</w:t>
            </w:r>
          </w:p>
        </w:tc>
        <w:tc>
          <w:tcPr>
            <w:tcW w:w="1530" w:type="dxa"/>
            <w:noWrap/>
            <w:tcMar>
              <w:left w:w="72" w:type="dxa"/>
              <w:right w:w="72" w:type="dxa"/>
            </w:tcMar>
            <w:vAlign w:val="center"/>
          </w:tcPr>
          <w:p w14:paraId="043FCAE0" w14:textId="74145E4A" w:rsidR="00D601D3" w:rsidRPr="00B624FB" w:rsidRDefault="00D601D3" w:rsidP="0044201E">
            <w:pPr>
              <w:jc w:val="center"/>
              <w:rPr>
                <w:rFonts w:cstheme="minorHAnsi"/>
                <w:sz w:val="22"/>
                <w:szCs w:val="22"/>
              </w:rPr>
            </w:pPr>
            <w:r w:rsidRPr="00B624FB">
              <w:rPr>
                <w:rFonts w:cstheme="minorHAnsi"/>
                <w:color w:val="000000"/>
                <w:sz w:val="22"/>
                <w:szCs w:val="22"/>
              </w:rPr>
              <w:t>2,9</w:t>
            </w:r>
            <w:r w:rsidR="00655812">
              <w:rPr>
                <w:rFonts w:cstheme="minorHAnsi"/>
                <w:color w:val="000000"/>
                <w:sz w:val="22"/>
                <w:szCs w:val="22"/>
              </w:rPr>
              <w:t>53</w:t>
            </w:r>
          </w:p>
        </w:tc>
        <w:tc>
          <w:tcPr>
            <w:tcW w:w="1526" w:type="dxa"/>
            <w:vMerge/>
            <w:noWrap/>
            <w:tcMar>
              <w:left w:w="72" w:type="dxa"/>
              <w:right w:w="72" w:type="dxa"/>
            </w:tcMar>
            <w:vAlign w:val="center"/>
          </w:tcPr>
          <w:p w14:paraId="1E56A2A8" w14:textId="77777777" w:rsidR="00D601D3" w:rsidRPr="00B624FB" w:rsidRDefault="00D601D3" w:rsidP="0044201E">
            <w:pPr>
              <w:jc w:val="center"/>
              <w:rPr>
                <w:rFonts w:cstheme="minorHAnsi"/>
                <w:sz w:val="22"/>
                <w:szCs w:val="22"/>
              </w:rPr>
            </w:pPr>
          </w:p>
        </w:tc>
      </w:tr>
      <w:tr w:rsidR="00D601D3" w:rsidRPr="00615524" w14:paraId="70304BF4" w14:textId="77777777" w:rsidTr="0044201E">
        <w:trPr>
          <w:cantSplit/>
          <w:trHeight w:val="360"/>
        </w:trPr>
        <w:tc>
          <w:tcPr>
            <w:tcW w:w="5562" w:type="dxa"/>
            <w:tcMar>
              <w:left w:w="72" w:type="dxa"/>
              <w:right w:w="72" w:type="dxa"/>
            </w:tcMar>
            <w:vAlign w:val="center"/>
          </w:tcPr>
          <w:p w14:paraId="404B5629"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5E</w:t>
            </w:r>
          </w:p>
        </w:tc>
        <w:tc>
          <w:tcPr>
            <w:tcW w:w="1530" w:type="dxa"/>
            <w:noWrap/>
            <w:tcMar>
              <w:left w:w="72" w:type="dxa"/>
              <w:right w:w="72" w:type="dxa"/>
            </w:tcMar>
            <w:vAlign w:val="center"/>
          </w:tcPr>
          <w:p w14:paraId="25354294" w14:textId="77777777" w:rsidR="00D601D3" w:rsidRPr="00B624FB" w:rsidRDefault="00D601D3" w:rsidP="0044201E">
            <w:pPr>
              <w:jc w:val="center"/>
              <w:rPr>
                <w:rFonts w:cstheme="minorHAnsi"/>
                <w:sz w:val="22"/>
                <w:szCs w:val="22"/>
              </w:rPr>
            </w:pPr>
            <w:r w:rsidRPr="00B624FB">
              <w:rPr>
                <w:rFonts w:cstheme="minorHAnsi"/>
                <w:sz w:val="22"/>
                <w:szCs w:val="22"/>
              </w:rPr>
              <w:t>0</w:t>
            </w:r>
          </w:p>
        </w:tc>
        <w:tc>
          <w:tcPr>
            <w:tcW w:w="1526" w:type="dxa"/>
            <w:vMerge/>
            <w:noWrap/>
            <w:tcMar>
              <w:left w:w="72" w:type="dxa"/>
              <w:right w:w="72" w:type="dxa"/>
            </w:tcMar>
            <w:vAlign w:val="center"/>
          </w:tcPr>
          <w:p w14:paraId="0747FFE3" w14:textId="77777777" w:rsidR="00D601D3" w:rsidRPr="00B624FB" w:rsidRDefault="00D601D3" w:rsidP="0044201E">
            <w:pPr>
              <w:jc w:val="center"/>
              <w:rPr>
                <w:rFonts w:cstheme="minorHAnsi"/>
                <w:sz w:val="22"/>
                <w:szCs w:val="22"/>
              </w:rPr>
            </w:pPr>
          </w:p>
        </w:tc>
      </w:tr>
      <w:tr w:rsidR="00D601D3" w:rsidRPr="00615524" w14:paraId="49EA166F" w14:textId="77777777" w:rsidTr="0044201E">
        <w:trPr>
          <w:cantSplit/>
          <w:trHeight w:val="360"/>
        </w:trPr>
        <w:tc>
          <w:tcPr>
            <w:tcW w:w="5562" w:type="dxa"/>
            <w:tcMar>
              <w:left w:w="72" w:type="dxa"/>
              <w:right w:w="72" w:type="dxa"/>
            </w:tcMar>
            <w:vAlign w:val="center"/>
          </w:tcPr>
          <w:p w14:paraId="07DEBB17"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5F</w:t>
            </w:r>
          </w:p>
        </w:tc>
        <w:tc>
          <w:tcPr>
            <w:tcW w:w="1530" w:type="dxa"/>
            <w:noWrap/>
            <w:tcMar>
              <w:left w:w="72" w:type="dxa"/>
              <w:right w:w="72" w:type="dxa"/>
            </w:tcMar>
            <w:vAlign w:val="center"/>
          </w:tcPr>
          <w:p w14:paraId="06BC271E" w14:textId="54176F41" w:rsidR="00D601D3" w:rsidRPr="00B624FB" w:rsidRDefault="00D601D3" w:rsidP="0044201E">
            <w:pPr>
              <w:jc w:val="center"/>
              <w:rPr>
                <w:rFonts w:cstheme="minorHAnsi"/>
                <w:sz w:val="22"/>
                <w:szCs w:val="22"/>
              </w:rPr>
            </w:pPr>
            <w:r w:rsidRPr="00B624FB">
              <w:rPr>
                <w:rFonts w:cstheme="minorHAnsi"/>
                <w:sz w:val="22"/>
                <w:szCs w:val="22"/>
              </w:rPr>
              <w:t>8</w:t>
            </w:r>
            <w:r w:rsidR="00655812">
              <w:rPr>
                <w:rFonts w:cstheme="minorHAnsi"/>
                <w:sz w:val="22"/>
                <w:szCs w:val="22"/>
              </w:rPr>
              <w:t>8</w:t>
            </w:r>
          </w:p>
        </w:tc>
        <w:tc>
          <w:tcPr>
            <w:tcW w:w="1526" w:type="dxa"/>
            <w:vMerge/>
            <w:noWrap/>
            <w:tcMar>
              <w:left w:w="72" w:type="dxa"/>
              <w:right w:w="72" w:type="dxa"/>
            </w:tcMar>
            <w:vAlign w:val="center"/>
          </w:tcPr>
          <w:p w14:paraId="7B35617E" w14:textId="77777777" w:rsidR="00D601D3" w:rsidRPr="00B624FB" w:rsidRDefault="00D601D3" w:rsidP="0044201E">
            <w:pPr>
              <w:jc w:val="center"/>
              <w:rPr>
                <w:rFonts w:cstheme="minorHAnsi"/>
                <w:sz w:val="22"/>
                <w:szCs w:val="22"/>
              </w:rPr>
            </w:pPr>
          </w:p>
        </w:tc>
      </w:tr>
      <w:tr w:rsidR="00D601D3" w:rsidRPr="00615524" w14:paraId="06DA96F1" w14:textId="77777777" w:rsidTr="0044201E">
        <w:trPr>
          <w:cantSplit/>
          <w:trHeight w:val="360"/>
        </w:trPr>
        <w:tc>
          <w:tcPr>
            <w:tcW w:w="5562" w:type="dxa"/>
            <w:tcBorders>
              <w:bottom w:val="single" w:sz="2" w:space="0" w:color="auto"/>
            </w:tcBorders>
            <w:tcMar>
              <w:left w:w="72" w:type="dxa"/>
              <w:right w:w="72" w:type="dxa"/>
            </w:tcMar>
            <w:vAlign w:val="center"/>
          </w:tcPr>
          <w:p w14:paraId="346B7D50" w14:textId="77777777" w:rsidR="00D601D3" w:rsidRPr="00B624FB" w:rsidRDefault="00D601D3" w:rsidP="0044201E">
            <w:pPr>
              <w:rPr>
                <w:rFonts w:cstheme="minorHAnsi"/>
                <w:sz w:val="22"/>
                <w:szCs w:val="22"/>
              </w:rPr>
            </w:pPr>
            <w:r w:rsidRPr="00B624FB">
              <w:rPr>
                <w:rFonts w:cstheme="minorHAnsi"/>
                <w:sz w:val="22"/>
                <w:szCs w:val="22"/>
              </w:rPr>
              <w:t xml:space="preserve">     Virginia Subcategory 5R</w:t>
            </w:r>
          </w:p>
        </w:tc>
        <w:tc>
          <w:tcPr>
            <w:tcW w:w="1530" w:type="dxa"/>
            <w:tcBorders>
              <w:bottom w:val="single" w:sz="2" w:space="0" w:color="auto"/>
            </w:tcBorders>
            <w:noWrap/>
            <w:tcMar>
              <w:left w:w="72" w:type="dxa"/>
              <w:right w:w="72" w:type="dxa"/>
            </w:tcMar>
            <w:vAlign w:val="center"/>
          </w:tcPr>
          <w:p w14:paraId="1AB32980" w14:textId="77777777" w:rsidR="00D601D3" w:rsidRPr="00B624FB" w:rsidRDefault="00D601D3" w:rsidP="0044201E">
            <w:pPr>
              <w:jc w:val="center"/>
              <w:rPr>
                <w:rFonts w:cstheme="minorHAnsi"/>
                <w:sz w:val="22"/>
                <w:szCs w:val="22"/>
              </w:rPr>
            </w:pPr>
            <w:r w:rsidRPr="00B624FB">
              <w:rPr>
                <w:rFonts w:cstheme="minorHAnsi"/>
                <w:sz w:val="22"/>
                <w:szCs w:val="22"/>
              </w:rPr>
              <w:t>23</w:t>
            </w:r>
          </w:p>
        </w:tc>
        <w:tc>
          <w:tcPr>
            <w:tcW w:w="1526" w:type="dxa"/>
            <w:vMerge/>
            <w:tcBorders>
              <w:bottom w:val="single" w:sz="2" w:space="0" w:color="auto"/>
            </w:tcBorders>
            <w:noWrap/>
            <w:tcMar>
              <w:left w:w="72" w:type="dxa"/>
              <w:right w:w="72" w:type="dxa"/>
            </w:tcMar>
            <w:vAlign w:val="center"/>
          </w:tcPr>
          <w:p w14:paraId="664BD942" w14:textId="77777777" w:rsidR="00D601D3" w:rsidRPr="00B624FB" w:rsidRDefault="00D601D3" w:rsidP="0044201E">
            <w:pPr>
              <w:jc w:val="center"/>
              <w:rPr>
                <w:rFonts w:cstheme="minorHAnsi"/>
                <w:sz w:val="22"/>
                <w:szCs w:val="22"/>
              </w:rPr>
            </w:pPr>
          </w:p>
        </w:tc>
      </w:tr>
      <w:tr w:rsidR="00D601D3" w:rsidRPr="00615524" w14:paraId="7106879E" w14:textId="77777777" w:rsidTr="0044201E">
        <w:trPr>
          <w:cantSplit/>
          <w:trHeight w:val="360"/>
        </w:trPr>
        <w:tc>
          <w:tcPr>
            <w:tcW w:w="5562" w:type="dxa"/>
            <w:tcBorders>
              <w:top w:val="single" w:sz="2" w:space="0" w:color="auto"/>
              <w:bottom w:val="single" w:sz="12" w:space="0" w:color="auto"/>
            </w:tcBorders>
            <w:noWrap/>
            <w:tcMar>
              <w:left w:w="72" w:type="dxa"/>
              <w:right w:w="72" w:type="dxa"/>
            </w:tcMar>
            <w:vAlign w:val="center"/>
          </w:tcPr>
          <w:p w14:paraId="0ADD467D" w14:textId="77777777" w:rsidR="00D601D3" w:rsidRPr="00B624FB" w:rsidRDefault="00D601D3" w:rsidP="0044201E">
            <w:pPr>
              <w:rPr>
                <w:rFonts w:cstheme="minorHAnsi"/>
                <w:b/>
                <w:bCs/>
                <w:sz w:val="22"/>
                <w:szCs w:val="22"/>
              </w:rPr>
            </w:pPr>
            <w:r w:rsidRPr="00B624FB">
              <w:rPr>
                <w:rFonts w:cstheme="minorHAnsi"/>
                <w:b/>
                <w:bCs/>
                <w:sz w:val="22"/>
                <w:szCs w:val="22"/>
              </w:rPr>
              <w:t>Total Size</w:t>
            </w:r>
          </w:p>
        </w:tc>
        <w:tc>
          <w:tcPr>
            <w:tcW w:w="1530" w:type="dxa"/>
            <w:tcBorders>
              <w:top w:val="single" w:sz="2" w:space="0" w:color="auto"/>
              <w:bottom w:val="single" w:sz="12" w:space="0" w:color="auto"/>
            </w:tcBorders>
            <w:noWrap/>
            <w:tcMar>
              <w:left w:w="72" w:type="dxa"/>
              <w:right w:w="72" w:type="dxa"/>
            </w:tcMar>
            <w:vAlign w:val="center"/>
          </w:tcPr>
          <w:p w14:paraId="65E5DFF5" w14:textId="77777777" w:rsidR="00D601D3" w:rsidRPr="00B624FB" w:rsidRDefault="00D601D3" w:rsidP="0044201E">
            <w:pPr>
              <w:jc w:val="center"/>
              <w:rPr>
                <w:rFonts w:cstheme="minorHAnsi"/>
                <w:b/>
                <w:sz w:val="22"/>
                <w:szCs w:val="22"/>
              </w:rPr>
            </w:pPr>
            <w:r w:rsidRPr="00B624FB">
              <w:rPr>
                <w:rFonts w:cstheme="minorHAnsi"/>
                <w:b/>
                <w:sz w:val="22"/>
                <w:szCs w:val="22"/>
              </w:rPr>
              <w:t>100,975</w:t>
            </w:r>
          </w:p>
        </w:tc>
        <w:tc>
          <w:tcPr>
            <w:tcW w:w="1526" w:type="dxa"/>
            <w:tcBorders>
              <w:top w:val="single" w:sz="2" w:space="0" w:color="auto"/>
              <w:bottom w:val="single" w:sz="12" w:space="0" w:color="auto"/>
            </w:tcBorders>
            <w:noWrap/>
            <w:tcMar>
              <w:left w:w="72" w:type="dxa"/>
              <w:right w:w="72" w:type="dxa"/>
            </w:tcMar>
            <w:vAlign w:val="center"/>
          </w:tcPr>
          <w:p w14:paraId="3ECD9CD6" w14:textId="7329FDE2" w:rsidR="00D601D3" w:rsidRPr="00B624FB" w:rsidRDefault="00D601D3" w:rsidP="0044201E">
            <w:pPr>
              <w:jc w:val="center"/>
              <w:rPr>
                <w:rFonts w:cstheme="minorHAnsi"/>
                <w:b/>
                <w:bCs/>
                <w:sz w:val="22"/>
                <w:szCs w:val="22"/>
              </w:rPr>
            </w:pPr>
            <w:r w:rsidRPr="00B624FB">
              <w:rPr>
                <w:rFonts w:cstheme="minorHAnsi"/>
                <w:b/>
                <w:bCs/>
                <w:sz w:val="22"/>
                <w:szCs w:val="22"/>
              </w:rPr>
              <w:t>100%</w:t>
            </w:r>
          </w:p>
        </w:tc>
      </w:tr>
    </w:tbl>
    <w:p w14:paraId="4FE2DFE6" w14:textId="77777777" w:rsidR="002E2AC5" w:rsidRDefault="002E2AC5" w:rsidP="002E2AC5">
      <w:pPr>
        <w:rPr>
          <w:rFonts w:ascii="Times New Roman" w:hAnsi="Times New Roman"/>
          <w:sz w:val="20"/>
          <w:szCs w:val="24"/>
        </w:rPr>
      </w:pPr>
    </w:p>
    <w:p w14:paraId="11E061D1" w14:textId="77777777" w:rsidR="00510C84" w:rsidRDefault="00510C84">
      <w:pPr>
        <w:widowControl/>
        <w:spacing w:after="160" w:line="259" w:lineRule="auto"/>
        <w:rPr>
          <w:rFonts w:ascii="Times New Roman" w:hAnsi="Times New Roman"/>
          <w:b/>
          <w:bCs/>
          <w:sz w:val="20"/>
          <w:szCs w:val="24"/>
        </w:rPr>
      </w:pPr>
      <w:r>
        <w:rPr>
          <w:rFonts w:ascii="Times New Roman" w:hAnsi="Times New Roman"/>
          <w:b/>
          <w:bCs/>
          <w:sz w:val="20"/>
          <w:szCs w:val="24"/>
        </w:rPr>
        <w:br w:type="page"/>
      </w:r>
    </w:p>
    <w:p w14:paraId="4A28A6B2" w14:textId="197B112F" w:rsidR="00773F83" w:rsidRDefault="00773F83" w:rsidP="00773F83">
      <w:pPr>
        <w:pStyle w:val="Caption"/>
        <w:keepNext/>
      </w:pPr>
      <w:bookmarkStart w:id="82" w:name="_Toc164175159"/>
      <w:r>
        <w:lastRenderedPageBreak/>
        <w:t xml:space="preserve">Table </w:t>
      </w:r>
      <w:r w:rsidR="004F13BA">
        <w:fldChar w:fldCharType="begin"/>
      </w:r>
      <w:r w:rsidR="004F13BA">
        <w:instrText xml:space="preserve"> STYLEREF 2 \s </w:instrText>
      </w:r>
      <w:r w:rsidR="004F13BA">
        <w:fldChar w:fldCharType="separate"/>
      </w:r>
      <w:r w:rsidR="00CD06AE">
        <w:rPr>
          <w:noProof/>
        </w:rPr>
        <w:t>4.2</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4</w:t>
      </w:r>
      <w:r w:rsidR="004F13BA">
        <w:rPr>
          <w:noProof/>
        </w:rPr>
        <w:fldChar w:fldCharType="end"/>
      </w:r>
      <w:r>
        <w:t xml:space="preserve">. </w:t>
      </w:r>
      <w:r w:rsidRPr="00613566">
        <w:t xml:space="preserve">Assessment </w:t>
      </w:r>
      <w:r w:rsidR="004D74E3">
        <w:t>r</w:t>
      </w:r>
      <w:r w:rsidRPr="00613566">
        <w:t>esults for Lakes/Reservoirs</w:t>
      </w:r>
      <w:r w:rsidR="004D74E3">
        <w:t xml:space="preserve"> by category</w:t>
      </w:r>
      <w:bookmarkEnd w:id="82"/>
      <w:r w:rsidR="000C7647">
        <w:t>. All values rounded to the nearest whole number.</w:t>
      </w:r>
    </w:p>
    <w:tbl>
      <w:tblPr>
        <w:tblStyle w:val="TableGrid"/>
        <w:tblW w:w="86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1E0" w:firstRow="1" w:lastRow="1" w:firstColumn="1" w:lastColumn="1" w:noHBand="0" w:noVBand="0"/>
      </w:tblPr>
      <w:tblGrid>
        <w:gridCol w:w="5558"/>
        <w:gridCol w:w="1526"/>
        <w:gridCol w:w="1526"/>
      </w:tblGrid>
      <w:tr w:rsidR="008826F1" w:rsidRPr="00AA0117" w14:paraId="59EDBDC6" w14:textId="77777777" w:rsidTr="0044201E">
        <w:trPr>
          <w:cantSplit/>
          <w:trHeight w:val="360"/>
          <w:tblHeader/>
        </w:trPr>
        <w:tc>
          <w:tcPr>
            <w:tcW w:w="5558" w:type="dxa"/>
            <w:tcBorders>
              <w:top w:val="single" w:sz="12" w:space="0" w:color="auto"/>
              <w:bottom w:val="single" w:sz="2" w:space="0" w:color="auto"/>
            </w:tcBorders>
            <w:tcMar>
              <w:left w:w="72" w:type="dxa"/>
              <w:right w:w="72" w:type="dxa"/>
            </w:tcMar>
            <w:vAlign w:val="center"/>
          </w:tcPr>
          <w:p w14:paraId="2A3D3B75" w14:textId="77777777" w:rsidR="008826F1" w:rsidRPr="009076AD" w:rsidRDefault="008826F1" w:rsidP="0044201E">
            <w:pPr>
              <w:jc w:val="center"/>
              <w:rPr>
                <w:rFonts w:cstheme="minorHAnsi"/>
                <w:b/>
                <w:bCs/>
                <w:sz w:val="22"/>
                <w:szCs w:val="22"/>
              </w:rPr>
            </w:pPr>
            <w:r w:rsidRPr="009076AD">
              <w:rPr>
                <w:rFonts w:cstheme="minorHAnsi"/>
                <w:b/>
                <w:bCs/>
                <w:sz w:val="22"/>
                <w:szCs w:val="22"/>
              </w:rPr>
              <w:t>Degree of Use Support</w:t>
            </w:r>
          </w:p>
        </w:tc>
        <w:tc>
          <w:tcPr>
            <w:tcW w:w="1526" w:type="dxa"/>
            <w:tcBorders>
              <w:top w:val="single" w:sz="12" w:space="0" w:color="auto"/>
              <w:bottom w:val="single" w:sz="2" w:space="0" w:color="auto"/>
            </w:tcBorders>
            <w:tcMar>
              <w:left w:w="72" w:type="dxa"/>
              <w:right w:w="72" w:type="dxa"/>
            </w:tcMar>
            <w:vAlign w:val="center"/>
          </w:tcPr>
          <w:p w14:paraId="0A1EC475" w14:textId="77777777" w:rsidR="008826F1" w:rsidRPr="009076AD" w:rsidRDefault="008826F1" w:rsidP="0044201E">
            <w:pPr>
              <w:jc w:val="center"/>
              <w:rPr>
                <w:rFonts w:cstheme="minorHAnsi"/>
                <w:b/>
                <w:bCs/>
                <w:sz w:val="22"/>
                <w:szCs w:val="22"/>
              </w:rPr>
            </w:pPr>
            <w:r w:rsidRPr="009076AD">
              <w:rPr>
                <w:rFonts w:cstheme="minorHAnsi"/>
                <w:b/>
                <w:bCs/>
                <w:sz w:val="22"/>
                <w:szCs w:val="22"/>
              </w:rPr>
              <w:t>Total (Acres)</w:t>
            </w:r>
          </w:p>
        </w:tc>
        <w:tc>
          <w:tcPr>
            <w:tcW w:w="1526" w:type="dxa"/>
            <w:tcBorders>
              <w:top w:val="single" w:sz="12" w:space="0" w:color="auto"/>
              <w:bottom w:val="single" w:sz="2" w:space="0" w:color="auto"/>
            </w:tcBorders>
            <w:tcMar>
              <w:left w:w="72" w:type="dxa"/>
              <w:right w:w="72" w:type="dxa"/>
            </w:tcMar>
            <w:vAlign w:val="center"/>
          </w:tcPr>
          <w:p w14:paraId="596384E2" w14:textId="77777777" w:rsidR="008826F1" w:rsidRPr="009076AD" w:rsidRDefault="008826F1" w:rsidP="0044201E">
            <w:pPr>
              <w:jc w:val="center"/>
              <w:rPr>
                <w:rFonts w:cstheme="minorHAnsi"/>
                <w:b/>
                <w:bCs/>
                <w:sz w:val="22"/>
                <w:szCs w:val="22"/>
              </w:rPr>
            </w:pPr>
            <w:r w:rsidRPr="009076AD">
              <w:rPr>
                <w:rFonts w:cstheme="minorHAnsi"/>
                <w:b/>
                <w:bCs/>
                <w:sz w:val="22"/>
                <w:szCs w:val="22"/>
              </w:rPr>
              <w:t>Total (%)</w:t>
            </w:r>
          </w:p>
        </w:tc>
      </w:tr>
      <w:tr w:rsidR="008826F1" w:rsidRPr="00AA0117" w14:paraId="63B3DF6C" w14:textId="77777777" w:rsidTr="0044201E">
        <w:trPr>
          <w:cantSplit/>
          <w:trHeight w:val="360"/>
        </w:trPr>
        <w:tc>
          <w:tcPr>
            <w:tcW w:w="5558" w:type="dxa"/>
            <w:tcBorders>
              <w:top w:val="single" w:sz="2" w:space="0" w:color="auto"/>
            </w:tcBorders>
            <w:tcMar>
              <w:left w:w="72" w:type="dxa"/>
              <w:right w:w="72" w:type="dxa"/>
            </w:tcMar>
            <w:vAlign w:val="center"/>
          </w:tcPr>
          <w:p w14:paraId="10962F72" w14:textId="77777777" w:rsidR="008826F1" w:rsidRPr="009076AD" w:rsidRDefault="008826F1" w:rsidP="0044201E">
            <w:pPr>
              <w:rPr>
                <w:rFonts w:cstheme="minorHAnsi"/>
                <w:sz w:val="22"/>
                <w:szCs w:val="22"/>
              </w:rPr>
            </w:pPr>
            <w:r w:rsidRPr="009076AD">
              <w:rPr>
                <w:rFonts w:cstheme="minorHAnsi"/>
                <w:b/>
                <w:bCs/>
                <w:sz w:val="22"/>
                <w:szCs w:val="22"/>
              </w:rPr>
              <w:t>EPA Category 1</w:t>
            </w:r>
            <w:r w:rsidRPr="009076AD">
              <w:rPr>
                <w:rFonts w:cstheme="minorHAnsi"/>
                <w:sz w:val="22"/>
                <w:szCs w:val="22"/>
              </w:rPr>
              <w:t xml:space="preserve">: </w:t>
            </w:r>
            <w:r w:rsidRPr="009076AD">
              <w:rPr>
                <w:rFonts w:cstheme="minorHAnsi"/>
                <w:sz w:val="22"/>
                <w:szCs w:val="22"/>
              </w:rPr>
              <w:br/>
            </w:r>
            <w:r w:rsidRPr="009076AD">
              <w:rPr>
                <w:rFonts w:cstheme="minorHAnsi"/>
                <w:i/>
                <w:iCs/>
                <w:sz w:val="22"/>
                <w:szCs w:val="22"/>
              </w:rPr>
              <w:t>Fully supporting all designated uses</w:t>
            </w:r>
          </w:p>
        </w:tc>
        <w:tc>
          <w:tcPr>
            <w:tcW w:w="1526" w:type="dxa"/>
            <w:tcBorders>
              <w:top w:val="single" w:sz="2" w:space="0" w:color="auto"/>
            </w:tcBorders>
            <w:noWrap/>
            <w:tcMar>
              <w:left w:w="72" w:type="dxa"/>
              <w:right w:w="72" w:type="dxa"/>
            </w:tcMar>
            <w:vAlign w:val="center"/>
          </w:tcPr>
          <w:p w14:paraId="6CA6EC12" w14:textId="5BBB438B" w:rsidR="008826F1" w:rsidRPr="009076AD" w:rsidRDefault="008826F1" w:rsidP="0044201E">
            <w:pPr>
              <w:jc w:val="center"/>
              <w:rPr>
                <w:rFonts w:cstheme="minorHAnsi"/>
                <w:b/>
                <w:bCs/>
                <w:sz w:val="22"/>
                <w:szCs w:val="22"/>
              </w:rPr>
            </w:pPr>
            <w:r w:rsidRPr="009076AD">
              <w:rPr>
                <w:rFonts w:cstheme="minorHAnsi"/>
                <w:b/>
                <w:bCs/>
                <w:sz w:val="22"/>
                <w:szCs w:val="22"/>
              </w:rPr>
              <w:t>0</w:t>
            </w:r>
          </w:p>
        </w:tc>
        <w:tc>
          <w:tcPr>
            <w:tcW w:w="1526" w:type="dxa"/>
            <w:tcBorders>
              <w:top w:val="single" w:sz="2" w:space="0" w:color="auto"/>
            </w:tcBorders>
            <w:shd w:val="clear" w:color="auto" w:fill="auto"/>
            <w:noWrap/>
            <w:tcMar>
              <w:left w:w="72" w:type="dxa"/>
              <w:right w:w="72" w:type="dxa"/>
            </w:tcMar>
            <w:vAlign w:val="center"/>
          </w:tcPr>
          <w:p w14:paraId="5ABB6F90" w14:textId="2612081A" w:rsidR="008826F1" w:rsidRPr="009076AD" w:rsidRDefault="008826F1" w:rsidP="0044201E">
            <w:pPr>
              <w:jc w:val="center"/>
              <w:rPr>
                <w:rFonts w:cstheme="minorHAnsi"/>
                <w:b/>
                <w:bCs/>
                <w:sz w:val="22"/>
                <w:szCs w:val="22"/>
              </w:rPr>
            </w:pPr>
            <w:r w:rsidRPr="009076AD">
              <w:rPr>
                <w:rFonts w:cstheme="minorHAnsi"/>
                <w:b/>
                <w:bCs/>
                <w:sz w:val="22"/>
                <w:szCs w:val="22"/>
              </w:rPr>
              <w:t>0%</w:t>
            </w:r>
          </w:p>
        </w:tc>
      </w:tr>
      <w:tr w:rsidR="008826F1" w:rsidRPr="00AA0117" w14:paraId="2EFF919D" w14:textId="77777777" w:rsidTr="0044201E">
        <w:trPr>
          <w:cantSplit/>
          <w:trHeight w:val="360"/>
        </w:trPr>
        <w:tc>
          <w:tcPr>
            <w:tcW w:w="5558" w:type="dxa"/>
            <w:tcBorders>
              <w:bottom w:val="single" w:sz="2" w:space="0" w:color="auto"/>
            </w:tcBorders>
            <w:tcMar>
              <w:left w:w="72" w:type="dxa"/>
              <w:right w:w="72" w:type="dxa"/>
            </w:tcMar>
            <w:vAlign w:val="center"/>
          </w:tcPr>
          <w:p w14:paraId="068F1299" w14:textId="77777777" w:rsidR="008826F1" w:rsidRPr="009076AD" w:rsidRDefault="008826F1" w:rsidP="0044201E">
            <w:pPr>
              <w:rPr>
                <w:rFonts w:cstheme="minorHAnsi"/>
                <w:sz w:val="22"/>
                <w:szCs w:val="22"/>
              </w:rPr>
            </w:pPr>
            <w:r w:rsidRPr="009076AD">
              <w:rPr>
                <w:rFonts w:cstheme="minorHAnsi"/>
                <w:i/>
                <w:iCs/>
                <w:sz w:val="22"/>
                <w:szCs w:val="22"/>
              </w:rPr>
              <w:t xml:space="preserve">     </w:t>
            </w:r>
            <w:r w:rsidRPr="009076AD">
              <w:rPr>
                <w:rFonts w:cstheme="minorHAnsi"/>
                <w:sz w:val="22"/>
                <w:szCs w:val="22"/>
              </w:rPr>
              <w:t>Virginia Subcategory 1A</w:t>
            </w:r>
          </w:p>
        </w:tc>
        <w:tc>
          <w:tcPr>
            <w:tcW w:w="1526" w:type="dxa"/>
            <w:tcBorders>
              <w:bottom w:val="single" w:sz="2" w:space="0" w:color="auto"/>
            </w:tcBorders>
            <w:noWrap/>
            <w:tcMar>
              <w:left w:w="72" w:type="dxa"/>
              <w:right w:w="72" w:type="dxa"/>
            </w:tcMar>
            <w:vAlign w:val="center"/>
          </w:tcPr>
          <w:p w14:paraId="39C91B53" w14:textId="3BCEEEFE" w:rsidR="008826F1" w:rsidRPr="009076AD" w:rsidRDefault="008826F1" w:rsidP="0044201E">
            <w:pPr>
              <w:jc w:val="center"/>
              <w:rPr>
                <w:rFonts w:cstheme="minorHAnsi"/>
                <w:sz w:val="22"/>
                <w:szCs w:val="22"/>
              </w:rPr>
            </w:pPr>
            <w:r w:rsidRPr="009076AD">
              <w:rPr>
                <w:rFonts w:cstheme="minorHAnsi"/>
                <w:sz w:val="22"/>
                <w:szCs w:val="22"/>
              </w:rPr>
              <w:t>0</w:t>
            </w:r>
          </w:p>
        </w:tc>
        <w:tc>
          <w:tcPr>
            <w:tcW w:w="1526" w:type="dxa"/>
            <w:tcBorders>
              <w:bottom w:val="single" w:sz="2" w:space="0" w:color="auto"/>
            </w:tcBorders>
            <w:shd w:val="clear" w:color="auto" w:fill="auto"/>
            <w:noWrap/>
            <w:tcMar>
              <w:left w:w="72" w:type="dxa"/>
              <w:right w:w="72" w:type="dxa"/>
            </w:tcMar>
            <w:vAlign w:val="center"/>
          </w:tcPr>
          <w:p w14:paraId="732A0B47" w14:textId="77777777" w:rsidR="008826F1" w:rsidRPr="009076AD" w:rsidRDefault="008826F1" w:rsidP="0044201E">
            <w:pPr>
              <w:jc w:val="center"/>
              <w:rPr>
                <w:rFonts w:cstheme="minorHAnsi"/>
                <w:sz w:val="22"/>
                <w:szCs w:val="22"/>
              </w:rPr>
            </w:pPr>
          </w:p>
        </w:tc>
      </w:tr>
      <w:tr w:rsidR="008826F1" w:rsidRPr="00AA0117" w14:paraId="22861C7B" w14:textId="77777777" w:rsidTr="0044201E">
        <w:trPr>
          <w:cantSplit/>
          <w:trHeight w:val="360"/>
        </w:trPr>
        <w:tc>
          <w:tcPr>
            <w:tcW w:w="5558" w:type="dxa"/>
            <w:tcBorders>
              <w:top w:val="single" w:sz="2" w:space="0" w:color="auto"/>
            </w:tcBorders>
            <w:tcMar>
              <w:left w:w="72" w:type="dxa"/>
              <w:right w:w="72" w:type="dxa"/>
            </w:tcMar>
            <w:vAlign w:val="center"/>
          </w:tcPr>
          <w:p w14:paraId="1D820064" w14:textId="77777777" w:rsidR="008826F1" w:rsidRPr="009076AD" w:rsidRDefault="008826F1" w:rsidP="0044201E">
            <w:pPr>
              <w:rPr>
                <w:rFonts w:cstheme="minorHAnsi"/>
                <w:sz w:val="22"/>
                <w:szCs w:val="22"/>
              </w:rPr>
            </w:pPr>
            <w:r w:rsidRPr="009076AD">
              <w:rPr>
                <w:rFonts w:cstheme="minorHAnsi"/>
                <w:b/>
                <w:bCs/>
                <w:sz w:val="22"/>
                <w:szCs w:val="22"/>
              </w:rPr>
              <w:t>EPA Category 2</w:t>
            </w:r>
            <w:r w:rsidRPr="009076AD">
              <w:rPr>
                <w:rFonts w:cstheme="minorHAnsi"/>
                <w:sz w:val="22"/>
                <w:szCs w:val="22"/>
              </w:rPr>
              <w:t xml:space="preserve">: </w:t>
            </w:r>
            <w:r w:rsidRPr="009076AD">
              <w:rPr>
                <w:rFonts w:cstheme="minorHAnsi"/>
                <w:sz w:val="22"/>
                <w:szCs w:val="22"/>
              </w:rPr>
              <w:br/>
            </w:r>
            <w:r w:rsidRPr="009076AD">
              <w:rPr>
                <w:rFonts w:cstheme="minorHAnsi"/>
                <w:i/>
                <w:iCs/>
                <w:sz w:val="22"/>
                <w:szCs w:val="22"/>
              </w:rPr>
              <w:t>Fully supporting some uses but insufficient data to assess all</w:t>
            </w:r>
          </w:p>
        </w:tc>
        <w:tc>
          <w:tcPr>
            <w:tcW w:w="1526" w:type="dxa"/>
            <w:tcBorders>
              <w:top w:val="single" w:sz="2" w:space="0" w:color="auto"/>
            </w:tcBorders>
            <w:noWrap/>
            <w:tcMar>
              <w:left w:w="72" w:type="dxa"/>
              <w:right w:w="72" w:type="dxa"/>
            </w:tcMar>
            <w:vAlign w:val="center"/>
          </w:tcPr>
          <w:p w14:paraId="1F55B354" w14:textId="74EE8C92" w:rsidR="008826F1" w:rsidRPr="009076AD" w:rsidRDefault="008826F1" w:rsidP="0044201E">
            <w:pPr>
              <w:jc w:val="center"/>
              <w:rPr>
                <w:rFonts w:cstheme="minorHAnsi"/>
                <w:b/>
                <w:sz w:val="22"/>
                <w:szCs w:val="22"/>
              </w:rPr>
            </w:pPr>
            <w:r w:rsidRPr="009076AD">
              <w:rPr>
                <w:rFonts w:cstheme="minorHAnsi"/>
                <w:b/>
                <w:sz w:val="22"/>
                <w:szCs w:val="22"/>
              </w:rPr>
              <w:t>13,338</w:t>
            </w:r>
          </w:p>
        </w:tc>
        <w:tc>
          <w:tcPr>
            <w:tcW w:w="1526" w:type="dxa"/>
            <w:tcBorders>
              <w:top w:val="single" w:sz="2" w:space="0" w:color="auto"/>
            </w:tcBorders>
            <w:noWrap/>
            <w:tcMar>
              <w:left w:w="72" w:type="dxa"/>
              <w:right w:w="72" w:type="dxa"/>
            </w:tcMar>
            <w:vAlign w:val="center"/>
          </w:tcPr>
          <w:p w14:paraId="35CD5D6E" w14:textId="3A260766" w:rsidR="008826F1" w:rsidRPr="009076AD" w:rsidRDefault="008826F1" w:rsidP="0044201E">
            <w:pPr>
              <w:jc w:val="center"/>
              <w:rPr>
                <w:rFonts w:cstheme="minorHAnsi"/>
                <w:b/>
                <w:bCs/>
                <w:sz w:val="22"/>
                <w:szCs w:val="22"/>
              </w:rPr>
            </w:pPr>
            <w:r w:rsidRPr="009076AD">
              <w:rPr>
                <w:rFonts w:cstheme="minorHAnsi"/>
                <w:b/>
                <w:bCs/>
                <w:sz w:val="22"/>
                <w:szCs w:val="22"/>
              </w:rPr>
              <w:t>11%</w:t>
            </w:r>
          </w:p>
        </w:tc>
      </w:tr>
      <w:tr w:rsidR="008826F1" w:rsidRPr="00AA0117" w14:paraId="70DDDA9F" w14:textId="77777777" w:rsidTr="0044201E">
        <w:trPr>
          <w:cantSplit/>
          <w:trHeight w:val="360"/>
        </w:trPr>
        <w:tc>
          <w:tcPr>
            <w:tcW w:w="5558" w:type="dxa"/>
            <w:tcMar>
              <w:left w:w="72" w:type="dxa"/>
              <w:right w:w="72" w:type="dxa"/>
            </w:tcMar>
            <w:vAlign w:val="center"/>
          </w:tcPr>
          <w:p w14:paraId="0DFF5428"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2A</w:t>
            </w:r>
          </w:p>
        </w:tc>
        <w:tc>
          <w:tcPr>
            <w:tcW w:w="1526" w:type="dxa"/>
            <w:noWrap/>
            <w:tcMar>
              <w:left w:w="72" w:type="dxa"/>
              <w:right w:w="72" w:type="dxa"/>
            </w:tcMar>
            <w:vAlign w:val="center"/>
          </w:tcPr>
          <w:p w14:paraId="174C4239" w14:textId="645B0449" w:rsidR="008826F1" w:rsidRPr="009076AD" w:rsidRDefault="008826F1" w:rsidP="0044201E">
            <w:pPr>
              <w:widowControl/>
              <w:jc w:val="center"/>
              <w:rPr>
                <w:rFonts w:cstheme="minorHAnsi"/>
                <w:snapToGrid/>
                <w:color w:val="000000"/>
                <w:sz w:val="22"/>
                <w:szCs w:val="22"/>
              </w:rPr>
            </w:pPr>
            <w:r w:rsidRPr="009076AD">
              <w:rPr>
                <w:rFonts w:cstheme="minorHAnsi"/>
                <w:sz w:val="22"/>
                <w:szCs w:val="22"/>
              </w:rPr>
              <w:t>13,338</w:t>
            </w:r>
          </w:p>
        </w:tc>
        <w:tc>
          <w:tcPr>
            <w:tcW w:w="1526" w:type="dxa"/>
            <w:vMerge w:val="restart"/>
            <w:noWrap/>
            <w:tcMar>
              <w:left w:w="72" w:type="dxa"/>
              <w:right w:w="72" w:type="dxa"/>
            </w:tcMar>
            <w:vAlign w:val="center"/>
          </w:tcPr>
          <w:p w14:paraId="63954751" w14:textId="77777777" w:rsidR="008826F1" w:rsidRPr="009076AD" w:rsidRDefault="008826F1" w:rsidP="0044201E">
            <w:pPr>
              <w:jc w:val="center"/>
              <w:rPr>
                <w:rFonts w:cstheme="minorHAnsi"/>
                <w:sz w:val="22"/>
                <w:szCs w:val="22"/>
              </w:rPr>
            </w:pPr>
          </w:p>
        </w:tc>
      </w:tr>
      <w:tr w:rsidR="008826F1" w:rsidRPr="00AA0117" w14:paraId="51ACB1A8" w14:textId="77777777" w:rsidTr="0044201E">
        <w:trPr>
          <w:cantSplit/>
          <w:trHeight w:val="360"/>
        </w:trPr>
        <w:tc>
          <w:tcPr>
            <w:tcW w:w="5558" w:type="dxa"/>
            <w:tcMar>
              <w:left w:w="72" w:type="dxa"/>
              <w:right w:w="72" w:type="dxa"/>
            </w:tcMar>
            <w:vAlign w:val="center"/>
          </w:tcPr>
          <w:p w14:paraId="0A18EAB2"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2B</w:t>
            </w:r>
          </w:p>
        </w:tc>
        <w:tc>
          <w:tcPr>
            <w:tcW w:w="1526" w:type="dxa"/>
            <w:noWrap/>
            <w:tcMar>
              <w:left w:w="72" w:type="dxa"/>
              <w:right w:w="72" w:type="dxa"/>
            </w:tcMar>
            <w:vAlign w:val="center"/>
          </w:tcPr>
          <w:p w14:paraId="78F0558C" w14:textId="2268A3C1" w:rsidR="008826F1" w:rsidRPr="009076AD" w:rsidRDefault="008826F1" w:rsidP="0044201E">
            <w:pPr>
              <w:widowControl/>
              <w:jc w:val="center"/>
              <w:rPr>
                <w:rFonts w:cstheme="minorHAnsi"/>
                <w:color w:val="000000"/>
                <w:sz w:val="22"/>
                <w:szCs w:val="22"/>
              </w:rPr>
            </w:pPr>
            <w:r w:rsidRPr="009076AD">
              <w:rPr>
                <w:rFonts w:cstheme="minorHAnsi"/>
                <w:sz w:val="22"/>
                <w:szCs w:val="22"/>
              </w:rPr>
              <w:t>0</w:t>
            </w:r>
          </w:p>
        </w:tc>
        <w:tc>
          <w:tcPr>
            <w:tcW w:w="1526" w:type="dxa"/>
            <w:vMerge/>
            <w:noWrap/>
            <w:tcMar>
              <w:left w:w="72" w:type="dxa"/>
              <w:right w:w="72" w:type="dxa"/>
            </w:tcMar>
            <w:vAlign w:val="center"/>
          </w:tcPr>
          <w:p w14:paraId="370EE67A" w14:textId="77777777" w:rsidR="008826F1" w:rsidRPr="009076AD" w:rsidRDefault="008826F1" w:rsidP="0044201E">
            <w:pPr>
              <w:jc w:val="center"/>
              <w:rPr>
                <w:rFonts w:cstheme="minorHAnsi"/>
                <w:sz w:val="22"/>
                <w:szCs w:val="22"/>
              </w:rPr>
            </w:pPr>
          </w:p>
        </w:tc>
      </w:tr>
      <w:tr w:rsidR="008826F1" w:rsidRPr="00AA0117" w14:paraId="3F61728D" w14:textId="77777777" w:rsidTr="0044201E">
        <w:trPr>
          <w:cantSplit/>
          <w:trHeight w:val="360"/>
        </w:trPr>
        <w:tc>
          <w:tcPr>
            <w:tcW w:w="5558" w:type="dxa"/>
            <w:tcBorders>
              <w:bottom w:val="single" w:sz="2" w:space="0" w:color="auto"/>
            </w:tcBorders>
            <w:tcMar>
              <w:left w:w="72" w:type="dxa"/>
              <w:right w:w="72" w:type="dxa"/>
            </w:tcMar>
            <w:vAlign w:val="center"/>
          </w:tcPr>
          <w:p w14:paraId="692863FA"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2C</w:t>
            </w:r>
          </w:p>
        </w:tc>
        <w:tc>
          <w:tcPr>
            <w:tcW w:w="1526" w:type="dxa"/>
            <w:tcBorders>
              <w:bottom w:val="single" w:sz="2" w:space="0" w:color="auto"/>
            </w:tcBorders>
            <w:noWrap/>
            <w:tcMar>
              <w:left w:w="72" w:type="dxa"/>
              <w:right w:w="72" w:type="dxa"/>
            </w:tcMar>
            <w:vAlign w:val="center"/>
          </w:tcPr>
          <w:p w14:paraId="4D9067E1" w14:textId="2587B9F7" w:rsidR="008826F1" w:rsidRPr="009076AD" w:rsidRDefault="008826F1" w:rsidP="0044201E">
            <w:pPr>
              <w:jc w:val="center"/>
              <w:rPr>
                <w:rFonts w:cstheme="minorHAnsi"/>
                <w:sz w:val="22"/>
                <w:szCs w:val="22"/>
              </w:rPr>
            </w:pPr>
            <w:r w:rsidRPr="009076AD">
              <w:rPr>
                <w:rFonts w:cstheme="minorHAnsi"/>
                <w:sz w:val="22"/>
                <w:szCs w:val="22"/>
              </w:rPr>
              <w:t>0</w:t>
            </w:r>
          </w:p>
        </w:tc>
        <w:tc>
          <w:tcPr>
            <w:tcW w:w="1526" w:type="dxa"/>
            <w:vMerge/>
            <w:tcBorders>
              <w:bottom w:val="single" w:sz="2" w:space="0" w:color="auto"/>
            </w:tcBorders>
            <w:noWrap/>
            <w:tcMar>
              <w:left w:w="72" w:type="dxa"/>
              <w:right w:w="72" w:type="dxa"/>
            </w:tcMar>
            <w:vAlign w:val="center"/>
          </w:tcPr>
          <w:p w14:paraId="37EDF875" w14:textId="77777777" w:rsidR="008826F1" w:rsidRPr="009076AD" w:rsidRDefault="008826F1" w:rsidP="0044201E">
            <w:pPr>
              <w:jc w:val="center"/>
              <w:rPr>
                <w:rFonts w:cstheme="minorHAnsi"/>
                <w:sz w:val="22"/>
                <w:szCs w:val="22"/>
              </w:rPr>
            </w:pPr>
          </w:p>
        </w:tc>
      </w:tr>
      <w:tr w:rsidR="008826F1" w:rsidRPr="00AA0117" w14:paraId="1CCB1A2B" w14:textId="77777777" w:rsidTr="0044201E">
        <w:trPr>
          <w:cantSplit/>
          <w:trHeight w:val="360"/>
        </w:trPr>
        <w:tc>
          <w:tcPr>
            <w:tcW w:w="5558" w:type="dxa"/>
            <w:tcBorders>
              <w:top w:val="single" w:sz="2" w:space="0" w:color="auto"/>
            </w:tcBorders>
            <w:tcMar>
              <w:left w:w="72" w:type="dxa"/>
              <w:right w:w="72" w:type="dxa"/>
            </w:tcMar>
            <w:vAlign w:val="center"/>
          </w:tcPr>
          <w:p w14:paraId="18746118" w14:textId="77777777" w:rsidR="008826F1" w:rsidRPr="009076AD" w:rsidRDefault="008826F1" w:rsidP="0044201E">
            <w:pPr>
              <w:rPr>
                <w:rFonts w:cstheme="minorHAnsi"/>
                <w:sz w:val="22"/>
                <w:szCs w:val="22"/>
              </w:rPr>
            </w:pPr>
            <w:r w:rsidRPr="009076AD">
              <w:rPr>
                <w:rFonts w:cstheme="minorHAnsi"/>
                <w:b/>
                <w:bCs/>
                <w:sz w:val="22"/>
                <w:szCs w:val="22"/>
              </w:rPr>
              <w:t>EPA Category 3</w:t>
            </w:r>
            <w:r w:rsidRPr="009076AD">
              <w:rPr>
                <w:rFonts w:cstheme="minorHAnsi"/>
                <w:sz w:val="22"/>
                <w:szCs w:val="22"/>
              </w:rPr>
              <w:t xml:space="preserve">: </w:t>
            </w:r>
            <w:r w:rsidRPr="009076AD">
              <w:rPr>
                <w:rFonts w:cstheme="minorHAnsi"/>
                <w:sz w:val="22"/>
                <w:szCs w:val="22"/>
              </w:rPr>
              <w:br/>
            </w:r>
            <w:r w:rsidRPr="009076AD">
              <w:rPr>
                <w:rFonts w:cstheme="minorHAnsi"/>
                <w:i/>
                <w:iCs/>
                <w:sz w:val="22"/>
                <w:szCs w:val="22"/>
              </w:rPr>
              <w:t>Insufficient data to determine if any uses are being met</w:t>
            </w:r>
          </w:p>
        </w:tc>
        <w:tc>
          <w:tcPr>
            <w:tcW w:w="1526" w:type="dxa"/>
            <w:tcBorders>
              <w:top w:val="single" w:sz="2" w:space="0" w:color="auto"/>
            </w:tcBorders>
            <w:noWrap/>
            <w:tcMar>
              <w:left w:w="72" w:type="dxa"/>
              <w:right w:w="72" w:type="dxa"/>
            </w:tcMar>
            <w:vAlign w:val="center"/>
          </w:tcPr>
          <w:p w14:paraId="43BD8F57" w14:textId="4CF0F982" w:rsidR="008826F1" w:rsidRPr="009076AD" w:rsidRDefault="00463904" w:rsidP="0044201E">
            <w:pPr>
              <w:jc w:val="center"/>
              <w:rPr>
                <w:rFonts w:cstheme="minorHAnsi"/>
                <w:b/>
                <w:bCs/>
                <w:sz w:val="22"/>
                <w:szCs w:val="22"/>
              </w:rPr>
            </w:pPr>
            <w:r>
              <w:rPr>
                <w:rFonts w:cstheme="minorHAnsi"/>
                <w:b/>
                <w:bCs/>
                <w:sz w:val="22"/>
                <w:szCs w:val="22"/>
              </w:rPr>
              <w:t>2,</w:t>
            </w:r>
            <w:r w:rsidR="00AE4DB2">
              <w:rPr>
                <w:rFonts w:cstheme="minorHAnsi"/>
                <w:b/>
                <w:bCs/>
                <w:sz w:val="22"/>
                <w:szCs w:val="22"/>
              </w:rPr>
              <w:t>439</w:t>
            </w:r>
          </w:p>
        </w:tc>
        <w:tc>
          <w:tcPr>
            <w:tcW w:w="1526" w:type="dxa"/>
            <w:tcBorders>
              <w:top w:val="single" w:sz="2" w:space="0" w:color="auto"/>
            </w:tcBorders>
            <w:noWrap/>
            <w:tcMar>
              <w:left w:w="72" w:type="dxa"/>
              <w:right w:w="72" w:type="dxa"/>
            </w:tcMar>
            <w:vAlign w:val="center"/>
          </w:tcPr>
          <w:p w14:paraId="5A30CA3B" w14:textId="3DA79BEB" w:rsidR="008826F1" w:rsidRPr="009076AD" w:rsidRDefault="008826F1" w:rsidP="0044201E">
            <w:pPr>
              <w:jc w:val="center"/>
              <w:rPr>
                <w:rFonts w:cstheme="minorHAnsi"/>
                <w:b/>
                <w:bCs/>
                <w:sz w:val="22"/>
                <w:szCs w:val="22"/>
              </w:rPr>
            </w:pPr>
            <w:r w:rsidRPr="009076AD">
              <w:rPr>
                <w:rFonts w:cstheme="minorHAnsi"/>
                <w:b/>
                <w:bCs/>
                <w:sz w:val="22"/>
                <w:szCs w:val="22"/>
              </w:rPr>
              <w:t>2%</w:t>
            </w:r>
          </w:p>
        </w:tc>
      </w:tr>
      <w:tr w:rsidR="008826F1" w:rsidRPr="00AA0117" w14:paraId="546D9ACB" w14:textId="77777777" w:rsidTr="0044201E">
        <w:trPr>
          <w:cantSplit/>
          <w:trHeight w:val="360"/>
        </w:trPr>
        <w:tc>
          <w:tcPr>
            <w:tcW w:w="5558" w:type="dxa"/>
            <w:tcMar>
              <w:left w:w="72" w:type="dxa"/>
              <w:right w:w="72" w:type="dxa"/>
            </w:tcMar>
            <w:vAlign w:val="center"/>
          </w:tcPr>
          <w:p w14:paraId="36B7AA34"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3A</w:t>
            </w:r>
          </w:p>
        </w:tc>
        <w:tc>
          <w:tcPr>
            <w:tcW w:w="1526" w:type="dxa"/>
            <w:noWrap/>
            <w:tcMar>
              <w:left w:w="72" w:type="dxa"/>
              <w:right w:w="72" w:type="dxa"/>
            </w:tcMar>
            <w:vAlign w:val="center"/>
          </w:tcPr>
          <w:p w14:paraId="3F096AC7" w14:textId="056089A7" w:rsidR="008826F1" w:rsidRPr="009076AD" w:rsidRDefault="008826F1" w:rsidP="0044201E">
            <w:pPr>
              <w:jc w:val="center"/>
              <w:rPr>
                <w:rFonts w:cstheme="minorHAnsi"/>
                <w:sz w:val="22"/>
                <w:szCs w:val="22"/>
              </w:rPr>
            </w:pPr>
            <w:r w:rsidRPr="009076AD">
              <w:rPr>
                <w:rFonts w:cstheme="minorHAnsi"/>
                <w:color w:val="000000"/>
                <w:sz w:val="22"/>
                <w:szCs w:val="22"/>
              </w:rPr>
              <w:t>1,16</w:t>
            </w:r>
            <w:r w:rsidR="00EB79C0">
              <w:rPr>
                <w:rFonts w:cstheme="minorHAnsi"/>
                <w:color w:val="000000"/>
                <w:sz w:val="22"/>
                <w:szCs w:val="22"/>
              </w:rPr>
              <w:t>7</w:t>
            </w:r>
          </w:p>
        </w:tc>
        <w:tc>
          <w:tcPr>
            <w:tcW w:w="1526" w:type="dxa"/>
            <w:vMerge w:val="restart"/>
            <w:noWrap/>
            <w:tcMar>
              <w:left w:w="72" w:type="dxa"/>
              <w:right w:w="72" w:type="dxa"/>
            </w:tcMar>
            <w:vAlign w:val="center"/>
          </w:tcPr>
          <w:p w14:paraId="67521E9F" w14:textId="77777777" w:rsidR="008826F1" w:rsidRPr="009076AD" w:rsidRDefault="008826F1" w:rsidP="0044201E">
            <w:pPr>
              <w:jc w:val="center"/>
              <w:rPr>
                <w:rFonts w:cstheme="minorHAnsi"/>
                <w:sz w:val="22"/>
                <w:szCs w:val="22"/>
              </w:rPr>
            </w:pPr>
          </w:p>
        </w:tc>
      </w:tr>
      <w:tr w:rsidR="008826F1" w:rsidRPr="00AA0117" w14:paraId="50BD88DA" w14:textId="77777777" w:rsidTr="0044201E">
        <w:trPr>
          <w:cantSplit/>
          <w:trHeight w:val="360"/>
        </w:trPr>
        <w:tc>
          <w:tcPr>
            <w:tcW w:w="5558" w:type="dxa"/>
            <w:tcMar>
              <w:left w:w="72" w:type="dxa"/>
              <w:right w:w="72" w:type="dxa"/>
            </w:tcMar>
            <w:vAlign w:val="center"/>
          </w:tcPr>
          <w:p w14:paraId="0BD84035"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3B</w:t>
            </w:r>
          </w:p>
        </w:tc>
        <w:tc>
          <w:tcPr>
            <w:tcW w:w="1526" w:type="dxa"/>
            <w:noWrap/>
            <w:tcMar>
              <w:left w:w="72" w:type="dxa"/>
              <w:right w:w="72" w:type="dxa"/>
            </w:tcMar>
            <w:vAlign w:val="center"/>
          </w:tcPr>
          <w:p w14:paraId="0223D84C" w14:textId="22AFF3AE" w:rsidR="008826F1" w:rsidRPr="009076AD" w:rsidRDefault="008826F1" w:rsidP="0044201E">
            <w:pPr>
              <w:jc w:val="center"/>
              <w:rPr>
                <w:rFonts w:cstheme="minorHAnsi"/>
                <w:sz w:val="22"/>
                <w:szCs w:val="22"/>
              </w:rPr>
            </w:pPr>
            <w:r w:rsidRPr="009076AD">
              <w:rPr>
                <w:rFonts w:cstheme="minorHAnsi"/>
                <w:color w:val="000000"/>
                <w:sz w:val="22"/>
                <w:szCs w:val="22"/>
              </w:rPr>
              <w:t>81</w:t>
            </w:r>
            <w:r w:rsidR="00EB79C0">
              <w:rPr>
                <w:rFonts w:cstheme="minorHAnsi"/>
                <w:color w:val="000000"/>
                <w:sz w:val="22"/>
                <w:szCs w:val="22"/>
              </w:rPr>
              <w:t>7</w:t>
            </w:r>
          </w:p>
        </w:tc>
        <w:tc>
          <w:tcPr>
            <w:tcW w:w="1526" w:type="dxa"/>
            <w:vMerge/>
            <w:noWrap/>
            <w:tcMar>
              <w:left w:w="72" w:type="dxa"/>
              <w:right w:w="72" w:type="dxa"/>
            </w:tcMar>
            <w:vAlign w:val="center"/>
          </w:tcPr>
          <w:p w14:paraId="342D8113" w14:textId="77777777" w:rsidR="008826F1" w:rsidRPr="009076AD" w:rsidRDefault="008826F1" w:rsidP="0044201E">
            <w:pPr>
              <w:jc w:val="center"/>
              <w:rPr>
                <w:rFonts w:cstheme="minorHAnsi"/>
                <w:sz w:val="22"/>
                <w:szCs w:val="22"/>
              </w:rPr>
            </w:pPr>
          </w:p>
        </w:tc>
      </w:tr>
      <w:tr w:rsidR="008826F1" w:rsidRPr="00AA0117" w14:paraId="0962E31F" w14:textId="77777777" w:rsidTr="0044201E">
        <w:trPr>
          <w:cantSplit/>
          <w:trHeight w:val="360"/>
        </w:trPr>
        <w:tc>
          <w:tcPr>
            <w:tcW w:w="5558" w:type="dxa"/>
            <w:tcMar>
              <w:left w:w="72" w:type="dxa"/>
              <w:right w:w="72" w:type="dxa"/>
            </w:tcMar>
            <w:vAlign w:val="center"/>
          </w:tcPr>
          <w:p w14:paraId="1237E099"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3C</w:t>
            </w:r>
          </w:p>
        </w:tc>
        <w:tc>
          <w:tcPr>
            <w:tcW w:w="1526" w:type="dxa"/>
            <w:noWrap/>
            <w:tcMar>
              <w:left w:w="72" w:type="dxa"/>
              <w:right w:w="72" w:type="dxa"/>
            </w:tcMar>
            <w:vAlign w:val="center"/>
          </w:tcPr>
          <w:p w14:paraId="04B0196A" w14:textId="4F583186" w:rsidR="008826F1" w:rsidRPr="009076AD" w:rsidRDefault="008826F1" w:rsidP="0044201E">
            <w:pPr>
              <w:jc w:val="center"/>
              <w:rPr>
                <w:rFonts w:cstheme="minorHAnsi"/>
                <w:sz w:val="22"/>
                <w:szCs w:val="22"/>
              </w:rPr>
            </w:pPr>
            <w:r w:rsidRPr="009076AD">
              <w:rPr>
                <w:rFonts w:cstheme="minorHAnsi"/>
                <w:color w:val="000000"/>
                <w:sz w:val="22"/>
                <w:szCs w:val="22"/>
              </w:rPr>
              <w:t>199</w:t>
            </w:r>
          </w:p>
        </w:tc>
        <w:tc>
          <w:tcPr>
            <w:tcW w:w="1526" w:type="dxa"/>
            <w:vMerge/>
            <w:noWrap/>
            <w:tcMar>
              <w:left w:w="72" w:type="dxa"/>
              <w:right w:w="72" w:type="dxa"/>
            </w:tcMar>
            <w:vAlign w:val="center"/>
          </w:tcPr>
          <w:p w14:paraId="72CBA416" w14:textId="77777777" w:rsidR="008826F1" w:rsidRPr="009076AD" w:rsidRDefault="008826F1" w:rsidP="0044201E">
            <w:pPr>
              <w:jc w:val="center"/>
              <w:rPr>
                <w:rFonts w:cstheme="minorHAnsi"/>
                <w:sz w:val="22"/>
                <w:szCs w:val="22"/>
              </w:rPr>
            </w:pPr>
          </w:p>
        </w:tc>
      </w:tr>
      <w:tr w:rsidR="008826F1" w:rsidRPr="00AA0117" w14:paraId="6A9AE550" w14:textId="77777777" w:rsidTr="0044201E">
        <w:trPr>
          <w:cantSplit/>
          <w:trHeight w:val="360"/>
        </w:trPr>
        <w:tc>
          <w:tcPr>
            <w:tcW w:w="5558" w:type="dxa"/>
            <w:tcMar>
              <w:left w:w="72" w:type="dxa"/>
              <w:right w:w="72" w:type="dxa"/>
            </w:tcMar>
            <w:vAlign w:val="center"/>
          </w:tcPr>
          <w:p w14:paraId="31AFCAF1"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3D</w:t>
            </w:r>
          </w:p>
        </w:tc>
        <w:tc>
          <w:tcPr>
            <w:tcW w:w="1526" w:type="dxa"/>
            <w:noWrap/>
            <w:tcMar>
              <w:left w:w="72" w:type="dxa"/>
              <w:right w:w="72" w:type="dxa"/>
            </w:tcMar>
            <w:vAlign w:val="center"/>
          </w:tcPr>
          <w:p w14:paraId="40095F9C" w14:textId="1DAC1787" w:rsidR="008826F1" w:rsidRPr="009076AD" w:rsidRDefault="00AE4DB2" w:rsidP="0044201E">
            <w:pPr>
              <w:jc w:val="center"/>
              <w:rPr>
                <w:rFonts w:cstheme="minorHAnsi"/>
                <w:sz w:val="22"/>
                <w:szCs w:val="22"/>
              </w:rPr>
            </w:pPr>
            <w:r>
              <w:rPr>
                <w:rFonts w:cstheme="minorHAnsi"/>
                <w:sz w:val="22"/>
                <w:szCs w:val="22"/>
              </w:rPr>
              <w:t>209</w:t>
            </w:r>
          </w:p>
        </w:tc>
        <w:tc>
          <w:tcPr>
            <w:tcW w:w="1526" w:type="dxa"/>
            <w:vMerge/>
            <w:noWrap/>
            <w:tcMar>
              <w:left w:w="72" w:type="dxa"/>
              <w:right w:w="72" w:type="dxa"/>
            </w:tcMar>
            <w:vAlign w:val="center"/>
          </w:tcPr>
          <w:p w14:paraId="42A5B844" w14:textId="77777777" w:rsidR="008826F1" w:rsidRPr="009076AD" w:rsidRDefault="008826F1" w:rsidP="0044201E">
            <w:pPr>
              <w:jc w:val="center"/>
              <w:rPr>
                <w:rFonts w:cstheme="minorHAnsi"/>
                <w:sz w:val="22"/>
                <w:szCs w:val="22"/>
              </w:rPr>
            </w:pPr>
          </w:p>
        </w:tc>
      </w:tr>
      <w:tr w:rsidR="008826F1" w:rsidRPr="00AA0117" w14:paraId="0E0C4FD6" w14:textId="77777777" w:rsidTr="0044201E">
        <w:trPr>
          <w:cantSplit/>
          <w:trHeight w:val="360"/>
        </w:trPr>
        <w:tc>
          <w:tcPr>
            <w:tcW w:w="5558" w:type="dxa"/>
            <w:tcBorders>
              <w:bottom w:val="single" w:sz="2" w:space="0" w:color="auto"/>
            </w:tcBorders>
            <w:tcMar>
              <w:left w:w="72" w:type="dxa"/>
              <w:right w:w="72" w:type="dxa"/>
            </w:tcMar>
            <w:vAlign w:val="center"/>
          </w:tcPr>
          <w:p w14:paraId="535C1B62"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3E</w:t>
            </w:r>
          </w:p>
        </w:tc>
        <w:tc>
          <w:tcPr>
            <w:tcW w:w="1526" w:type="dxa"/>
            <w:tcBorders>
              <w:bottom w:val="single" w:sz="2" w:space="0" w:color="auto"/>
            </w:tcBorders>
            <w:noWrap/>
            <w:tcMar>
              <w:left w:w="72" w:type="dxa"/>
              <w:right w:w="72" w:type="dxa"/>
            </w:tcMar>
            <w:vAlign w:val="center"/>
          </w:tcPr>
          <w:p w14:paraId="0F9358F8" w14:textId="058B2086" w:rsidR="008826F1" w:rsidRPr="009076AD" w:rsidRDefault="008826F1" w:rsidP="0044201E">
            <w:pPr>
              <w:jc w:val="center"/>
              <w:rPr>
                <w:rFonts w:cstheme="minorHAnsi"/>
                <w:color w:val="000000"/>
                <w:sz w:val="22"/>
                <w:szCs w:val="22"/>
              </w:rPr>
            </w:pPr>
            <w:r w:rsidRPr="009076AD">
              <w:rPr>
                <w:rFonts w:cstheme="minorHAnsi"/>
                <w:color w:val="000000"/>
                <w:sz w:val="22"/>
                <w:szCs w:val="22"/>
              </w:rPr>
              <w:t>4</w:t>
            </w:r>
            <w:r w:rsidR="00EB79C0">
              <w:rPr>
                <w:rFonts w:cstheme="minorHAnsi"/>
                <w:color w:val="000000"/>
                <w:sz w:val="22"/>
                <w:szCs w:val="22"/>
              </w:rPr>
              <w:t>7</w:t>
            </w:r>
          </w:p>
        </w:tc>
        <w:tc>
          <w:tcPr>
            <w:tcW w:w="1526" w:type="dxa"/>
            <w:tcBorders>
              <w:bottom w:val="single" w:sz="2" w:space="0" w:color="auto"/>
            </w:tcBorders>
            <w:noWrap/>
            <w:tcMar>
              <w:left w:w="72" w:type="dxa"/>
              <w:right w:w="72" w:type="dxa"/>
            </w:tcMar>
            <w:vAlign w:val="center"/>
          </w:tcPr>
          <w:p w14:paraId="22C8D7D2" w14:textId="77777777" w:rsidR="008826F1" w:rsidRPr="009076AD" w:rsidRDefault="008826F1" w:rsidP="0044201E">
            <w:pPr>
              <w:jc w:val="center"/>
              <w:rPr>
                <w:rFonts w:cstheme="minorHAnsi"/>
                <w:sz w:val="22"/>
                <w:szCs w:val="22"/>
              </w:rPr>
            </w:pPr>
          </w:p>
        </w:tc>
      </w:tr>
      <w:tr w:rsidR="008826F1" w:rsidRPr="00AA0117" w14:paraId="4558BC5D" w14:textId="77777777" w:rsidTr="0044201E">
        <w:trPr>
          <w:cantSplit/>
          <w:trHeight w:val="360"/>
        </w:trPr>
        <w:tc>
          <w:tcPr>
            <w:tcW w:w="5558" w:type="dxa"/>
            <w:tcBorders>
              <w:top w:val="single" w:sz="2" w:space="0" w:color="auto"/>
            </w:tcBorders>
            <w:tcMar>
              <w:left w:w="72" w:type="dxa"/>
              <w:right w:w="72" w:type="dxa"/>
            </w:tcMar>
            <w:vAlign w:val="center"/>
          </w:tcPr>
          <w:p w14:paraId="095F6F3B" w14:textId="77777777" w:rsidR="008826F1" w:rsidRPr="009076AD" w:rsidRDefault="008826F1" w:rsidP="0044201E">
            <w:pPr>
              <w:rPr>
                <w:rFonts w:cstheme="minorHAnsi"/>
                <w:sz w:val="22"/>
                <w:szCs w:val="22"/>
              </w:rPr>
            </w:pPr>
            <w:r w:rsidRPr="009076AD">
              <w:rPr>
                <w:rFonts w:cstheme="minorHAnsi"/>
                <w:b/>
                <w:bCs/>
                <w:sz w:val="22"/>
                <w:szCs w:val="22"/>
              </w:rPr>
              <w:t>EPA Category 4</w:t>
            </w:r>
            <w:r w:rsidRPr="009076AD">
              <w:rPr>
                <w:rFonts w:cstheme="minorHAnsi"/>
                <w:sz w:val="22"/>
                <w:szCs w:val="22"/>
              </w:rPr>
              <w:t xml:space="preserve">: </w:t>
            </w:r>
            <w:r w:rsidRPr="009076AD">
              <w:rPr>
                <w:rFonts w:cstheme="minorHAnsi"/>
                <w:sz w:val="22"/>
                <w:szCs w:val="22"/>
              </w:rPr>
              <w:br/>
            </w:r>
            <w:r w:rsidRPr="009076AD">
              <w:rPr>
                <w:rFonts w:cstheme="minorHAnsi"/>
                <w:i/>
                <w:iCs/>
                <w:sz w:val="22"/>
                <w:szCs w:val="22"/>
              </w:rPr>
              <w:t>Waters are impaired or threatened but do not need a TMDL</w:t>
            </w:r>
          </w:p>
        </w:tc>
        <w:tc>
          <w:tcPr>
            <w:tcW w:w="1526" w:type="dxa"/>
            <w:tcBorders>
              <w:top w:val="single" w:sz="2" w:space="0" w:color="auto"/>
            </w:tcBorders>
            <w:noWrap/>
            <w:tcMar>
              <w:left w:w="72" w:type="dxa"/>
              <w:right w:w="72" w:type="dxa"/>
            </w:tcMar>
            <w:vAlign w:val="center"/>
          </w:tcPr>
          <w:p w14:paraId="2D3ADD89" w14:textId="56E39287" w:rsidR="008826F1" w:rsidRPr="009076AD" w:rsidRDefault="008826F1" w:rsidP="0044201E">
            <w:pPr>
              <w:jc w:val="center"/>
              <w:rPr>
                <w:rFonts w:cstheme="minorHAnsi"/>
                <w:b/>
                <w:sz w:val="22"/>
                <w:szCs w:val="22"/>
              </w:rPr>
            </w:pPr>
            <w:r w:rsidRPr="009076AD">
              <w:rPr>
                <w:rFonts w:cstheme="minorHAnsi"/>
                <w:b/>
                <w:sz w:val="22"/>
                <w:szCs w:val="22"/>
              </w:rPr>
              <w:t>21,014</w:t>
            </w:r>
          </w:p>
        </w:tc>
        <w:tc>
          <w:tcPr>
            <w:tcW w:w="1526" w:type="dxa"/>
            <w:tcBorders>
              <w:top w:val="single" w:sz="2" w:space="0" w:color="auto"/>
            </w:tcBorders>
            <w:noWrap/>
            <w:tcMar>
              <w:left w:w="72" w:type="dxa"/>
              <w:right w:w="72" w:type="dxa"/>
            </w:tcMar>
            <w:vAlign w:val="center"/>
          </w:tcPr>
          <w:p w14:paraId="4651A5F7" w14:textId="04FE51F4" w:rsidR="008826F1" w:rsidRPr="009076AD" w:rsidRDefault="008826F1" w:rsidP="0044201E">
            <w:pPr>
              <w:jc w:val="center"/>
              <w:rPr>
                <w:rFonts w:cstheme="minorHAnsi"/>
                <w:b/>
                <w:bCs/>
                <w:sz w:val="22"/>
                <w:szCs w:val="22"/>
              </w:rPr>
            </w:pPr>
            <w:r w:rsidRPr="009076AD">
              <w:rPr>
                <w:rFonts w:cstheme="minorHAnsi"/>
                <w:b/>
                <w:bCs/>
                <w:sz w:val="22"/>
                <w:szCs w:val="22"/>
              </w:rPr>
              <w:t>1</w:t>
            </w:r>
            <w:r w:rsidR="00EB79C0">
              <w:rPr>
                <w:rFonts w:cstheme="minorHAnsi"/>
                <w:b/>
                <w:bCs/>
                <w:sz w:val="22"/>
                <w:szCs w:val="22"/>
              </w:rPr>
              <w:t>8</w:t>
            </w:r>
            <w:r w:rsidRPr="009076AD">
              <w:rPr>
                <w:rFonts w:cstheme="minorHAnsi"/>
                <w:b/>
                <w:bCs/>
                <w:sz w:val="22"/>
                <w:szCs w:val="22"/>
              </w:rPr>
              <w:t>%</w:t>
            </w:r>
          </w:p>
        </w:tc>
      </w:tr>
      <w:tr w:rsidR="008826F1" w:rsidRPr="00AA0117" w14:paraId="798B02F7" w14:textId="77777777" w:rsidTr="0044201E">
        <w:trPr>
          <w:cantSplit/>
          <w:trHeight w:val="360"/>
        </w:trPr>
        <w:tc>
          <w:tcPr>
            <w:tcW w:w="5558" w:type="dxa"/>
            <w:tcMar>
              <w:left w:w="72" w:type="dxa"/>
              <w:right w:w="72" w:type="dxa"/>
            </w:tcMar>
            <w:vAlign w:val="center"/>
          </w:tcPr>
          <w:p w14:paraId="783F0822" w14:textId="77777777" w:rsidR="008826F1" w:rsidRPr="009076AD" w:rsidRDefault="008826F1" w:rsidP="0044201E">
            <w:pPr>
              <w:rPr>
                <w:rFonts w:cstheme="minorHAnsi"/>
                <w:sz w:val="22"/>
                <w:szCs w:val="22"/>
              </w:rPr>
            </w:pPr>
            <w:r w:rsidRPr="009076AD">
              <w:rPr>
                <w:rFonts w:cstheme="minorHAnsi"/>
                <w:sz w:val="22"/>
                <w:szCs w:val="22"/>
              </w:rPr>
              <w:t xml:space="preserve">     EPA Subcategory 4A</w:t>
            </w:r>
          </w:p>
        </w:tc>
        <w:tc>
          <w:tcPr>
            <w:tcW w:w="1526" w:type="dxa"/>
            <w:noWrap/>
            <w:tcMar>
              <w:left w:w="72" w:type="dxa"/>
              <w:right w:w="72" w:type="dxa"/>
            </w:tcMar>
            <w:vAlign w:val="center"/>
          </w:tcPr>
          <w:p w14:paraId="25280414" w14:textId="1C2CEC55" w:rsidR="008826F1" w:rsidRPr="009076AD" w:rsidRDefault="008826F1" w:rsidP="0044201E">
            <w:pPr>
              <w:widowControl/>
              <w:jc w:val="center"/>
              <w:rPr>
                <w:rFonts w:cstheme="minorHAnsi"/>
                <w:snapToGrid/>
                <w:color w:val="000000"/>
                <w:sz w:val="22"/>
                <w:szCs w:val="22"/>
              </w:rPr>
            </w:pPr>
            <w:r w:rsidRPr="009076AD">
              <w:rPr>
                <w:rFonts w:cstheme="minorHAnsi"/>
                <w:color w:val="000000"/>
                <w:sz w:val="22"/>
                <w:szCs w:val="22"/>
              </w:rPr>
              <w:t>20,968</w:t>
            </w:r>
          </w:p>
        </w:tc>
        <w:tc>
          <w:tcPr>
            <w:tcW w:w="1526" w:type="dxa"/>
            <w:vMerge w:val="restart"/>
            <w:noWrap/>
            <w:tcMar>
              <w:left w:w="72" w:type="dxa"/>
              <w:right w:w="72" w:type="dxa"/>
            </w:tcMar>
            <w:vAlign w:val="center"/>
          </w:tcPr>
          <w:p w14:paraId="0B313355" w14:textId="77777777" w:rsidR="008826F1" w:rsidRPr="009076AD" w:rsidRDefault="008826F1" w:rsidP="0044201E">
            <w:pPr>
              <w:jc w:val="center"/>
              <w:rPr>
                <w:rFonts w:cstheme="minorHAnsi"/>
                <w:sz w:val="22"/>
                <w:szCs w:val="22"/>
              </w:rPr>
            </w:pPr>
          </w:p>
        </w:tc>
      </w:tr>
      <w:tr w:rsidR="008826F1" w:rsidRPr="00AA0117" w14:paraId="56D6AD13" w14:textId="77777777" w:rsidTr="0044201E">
        <w:trPr>
          <w:cantSplit/>
          <w:trHeight w:val="360"/>
        </w:trPr>
        <w:tc>
          <w:tcPr>
            <w:tcW w:w="5558" w:type="dxa"/>
            <w:tcMar>
              <w:left w:w="72" w:type="dxa"/>
              <w:right w:w="72" w:type="dxa"/>
            </w:tcMar>
            <w:vAlign w:val="center"/>
          </w:tcPr>
          <w:p w14:paraId="64FDBBAF" w14:textId="77777777" w:rsidR="008826F1" w:rsidRPr="009076AD" w:rsidRDefault="008826F1" w:rsidP="0044201E">
            <w:pPr>
              <w:rPr>
                <w:rFonts w:cstheme="minorHAnsi"/>
                <w:sz w:val="22"/>
                <w:szCs w:val="22"/>
              </w:rPr>
            </w:pPr>
            <w:r w:rsidRPr="009076AD">
              <w:rPr>
                <w:rFonts w:cstheme="minorHAnsi"/>
                <w:sz w:val="22"/>
                <w:szCs w:val="22"/>
              </w:rPr>
              <w:t xml:space="preserve">     EPA Subcategory 4B</w:t>
            </w:r>
          </w:p>
        </w:tc>
        <w:tc>
          <w:tcPr>
            <w:tcW w:w="1526" w:type="dxa"/>
            <w:noWrap/>
            <w:tcMar>
              <w:left w:w="72" w:type="dxa"/>
              <w:right w:w="72" w:type="dxa"/>
            </w:tcMar>
            <w:vAlign w:val="center"/>
          </w:tcPr>
          <w:p w14:paraId="75160F73" w14:textId="62F601B5" w:rsidR="008826F1" w:rsidRPr="009076AD" w:rsidRDefault="008826F1" w:rsidP="0044201E">
            <w:pPr>
              <w:jc w:val="center"/>
              <w:rPr>
                <w:rFonts w:cstheme="minorHAnsi"/>
                <w:sz w:val="22"/>
                <w:szCs w:val="22"/>
              </w:rPr>
            </w:pPr>
            <w:r w:rsidRPr="009076AD">
              <w:rPr>
                <w:rFonts w:cstheme="minorHAnsi"/>
                <w:sz w:val="22"/>
                <w:szCs w:val="22"/>
              </w:rPr>
              <w:t>0</w:t>
            </w:r>
          </w:p>
        </w:tc>
        <w:tc>
          <w:tcPr>
            <w:tcW w:w="1526" w:type="dxa"/>
            <w:vMerge/>
            <w:noWrap/>
            <w:tcMar>
              <w:left w:w="72" w:type="dxa"/>
              <w:right w:w="72" w:type="dxa"/>
            </w:tcMar>
            <w:vAlign w:val="center"/>
          </w:tcPr>
          <w:p w14:paraId="6A5B97AD" w14:textId="77777777" w:rsidR="008826F1" w:rsidRPr="009076AD" w:rsidRDefault="008826F1" w:rsidP="0044201E">
            <w:pPr>
              <w:jc w:val="center"/>
              <w:rPr>
                <w:rFonts w:cstheme="minorHAnsi"/>
                <w:sz w:val="22"/>
                <w:szCs w:val="22"/>
              </w:rPr>
            </w:pPr>
          </w:p>
        </w:tc>
      </w:tr>
      <w:tr w:rsidR="008826F1" w:rsidRPr="00AA0117" w14:paraId="5E1BFF79" w14:textId="77777777" w:rsidTr="0044201E">
        <w:trPr>
          <w:cantSplit/>
          <w:trHeight w:val="360"/>
        </w:trPr>
        <w:tc>
          <w:tcPr>
            <w:tcW w:w="5558" w:type="dxa"/>
            <w:tcBorders>
              <w:bottom w:val="single" w:sz="2" w:space="0" w:color="auto"/>
            </w:tcBorders>
            <w:tcMar>
              <w:left w:w="72" w:type="dxa"/>
              <w:right w:w="72" w:type="dxa"/>
            </w:tcMar>
            <w:vAlign w:val="center"/>
          </w:tcPr>
          <w:p w14:paraId="04BA9AF5" w14:textId="77777777" w:rsidR="008826F1" w:rsidRPr="009076AD" w:rsidRDefault="008826F1" w:rsidP="0044201E">
            <w:pPr>
              <w:rPr>
                <w:rFonts w:cstheme="minorHAnsi"/>
                <w:sz w:val="22"/>
                <w:szCs w:val="22"/>
              </w:rPr>
            </w:pPr>
            <w:r w:rsidRPr="009076AD">
              <w:rPr>
                <w:rFonts w:cstheme="minorHAnsi"/>
                <w:sz w:val="22"/>
                <w:szCs w:val="22"/>
              </w:rPr>
              <w:t xml:space="preserve">     EPA Subcategory 4C</w:t>
            </w:r>
          </w:p>
        </w:tc>
        <w:tc>
          <w:tcPr>
            <w:tcW w:w="1526" w:type="dxa"/>
            <w:tcBorders>
              <w:bottom w:val="single" w:sz="2" w:space="0" w:color="auto"/>
            </w:tcBorders>
            <w:noWrap/>
            <w:tcMar>
              <w:left w:w="72" w:type="dxa"/>
              <w:right w:w="72" w:type="dxa"/>
            </w:tcMar>
            <w:vAlign w:val="center"/>
          </w:tcPr>
          <w:p w14:paraId="05D74F72" w14:textId="78CD6531" w:rsidR="008826F1" w:rsidRPr="009076AD" w:rsidRDefault="008826F1" w:rsidP="0044201E">
            <w:pPr>
              <w:jc w:val="center"/>
              <w:rPr>
                <w:rFonts w:cstheme="minorHAnsi"/>
                <w:sz w:val="22"/>
                <w:szCs w:val="22"/>
              </w:rPr>
            </w:pPr>
            <w:r w:rsidRPr="009076AD">
              <w:rPr>
                <w:rFonts w:cstheme="minorHAnsi"/>
                <w:sz w:val="22"/>
                <w:szCs w:val="22"/>
              </w:rPr>
              <w:t>46</w:t>
            </w:r>
          </w:p>
        </w:tc>
        <w:tc>
          <w:tcPr>
            <w:tcW w:w="1526" w:type="dxa"/>
            <w:vMerge/>
            <w:tcBorders>
              <w:bottom w:val="single" w:sz="2" w:space="0" w:color="auto"/>
            </w:tcBorders>
            <w:noWrap/>
            <w:tcMar>
              <w:left w:w="72" w:type="dxa"/>
              <w:right w:w="72" w:type="dxa"/>
            </w:tcMar>
            <w:vAlign w:val="center"/>
          </w:tcPr>
          <w:p w14:paraId="300F82DC" w14:textId="77777777" w:rsidR="008826F1" w:rsidRPr="009076AD" w:rsidRDefault="008826F1" w:rsidP="0044201E">
            <w:pPr>
              <w:jc w:val="center"/>
              <w:rPr>
                <w:rFonts w:cstheme="minorHAnsi"/>
                <w:sz w:val="22"/>
                <w:szCs w:val="22"/>
              </w:rPr>
            </w:pPr>
          </w:p>
        </w:tc>
      </w:tr>
      <w:tr w:rsidR="008826F1" w:rsidRPr="00AA0117" w14:paraId="20CE4541" w14:textId="77777777" w:rsidTr="0044201E">
        <w:trPr>
          <w:cantSplit/>
          <w:trHeight w:val="360"/>
        </w:trPr>
        <w:tc>
          <w:tcPr>
            <w:tcW w:w="5558" w:type="dxa"/>
            <w:tcBorders>
              <w:top w:val="single" w:sz="2" w:space="0" w:color="auto"/>
            </w:tcBorders>
            <w:tcMar>
              <w:left w:w="72" w:type="dxa"/>
              <w:right w:w="72" w:type="dxa"/>
            </w:tcMar>
            <w:vAlign w:val="center"/>
          </w:tcPr>
          <w:p w14:paraId="73249EB8" w14:textId="77777777" w:rsidR="008826F1" w:rsidRPr="009076AD" w:rsidRDefault="008826F1" w:rsidP="0044201E">
            <w:pPr>
              <w:rPr>
                <w:rFonts w:cstheme="minorHAnsi"/>
                <w:sz w:val="22"/>
                <w:szCs w:val="22"/>
              </w:rPr>
            </w:pPr>
            <w:r w:rsidRPr="009076AD">
              <w:rPr>
                <w:rFonts w:cstheme="minorHAnsi"/>
                <w:b/>
                <w:bCs/>
                <w:sz w:val="22"/>
                <w:szCs w:val="22"/>
              </w:rPr>
              <w:t>EPA Category 5:</w:t>
            </w:r>
            <w:r w:rsidRPr="009076AD">
              <w:rPr>
                <w:rFonts w:cstheme="minorHAnsi"/>
                <w:sz w:val="22"/>
                <w:szCs w:val="22"/>
              </w:rPr>
              <w:t xml:space="preserve"> </w:t>
            </w:r>
            <w:r w:rsidRPr="009076AD">
              <w:rPr>
                <w:rFonts w:cstheme="minorHAnsi"/>
                <w:sz w:val="22"/>
                <w:szCs w:val="22"/>
              </w:rPr>
              <w:br/>
            </w:r>
            <w:r w:rsidRPr="009076AD">
              <w:rPr>
                <w:rFonts w:cstheme="minorHAnsi"/>
                <w:i/>
                <w:iCs/>
                <w:sz w:val="22"/>
                <w:szCs w:val="22"/>
              </w:rPr>
              <w:t>Waters are impaired or threatened and need a TMDL</w:t>
            </w:r>
          </w:p>
        </w:tc>
        <w:tc>
          <w:tcPr>
            <w:tcW w:w="1526" w:type="dxa"/>
            <w:tcBorders>
              <w:top w:val="single" w:sz="2" w:space="0" w:color="auto"/>
            </w:tcBorders>
            <w:noWrap/>
            <w:tcMar>
              <w:left w:w="72" w:type="dxa"/>
              <w:right w:w="72" w:type="dxa"/>
            </w:tcMar>
            <w:vAlign w:val="center"/>
          </w:tcPr>
          <w:p w14:paraId="5EE9E9E9" w14:textId="5620C6ED" w:rsidR="008826F1" w:rsidRPr="009076AD" w:rsidRDefault="00A83D48" w:rsidP="0044201E">
            <w:pPr>
              <w:jc w:val="center"/>
              <w:rPr>
                <w:rFonts w:cstheme="minorHAnsi"/>
                <w:b/>
                <w:sz w:val="22"/>
                <w:szCs w:val="22"/>
              </w:rPr>
            </w:pPr>
            <w:r>
              <w:rPr>
                <w:rFonts w:cstheme="minorHAnsi"/>
                <w:b/>
                <w:sz w:val="22"/>
                <w:szCs w:val="22"/>
              </w:rPr>
              <w:t>81,0</w:t>
            </w:r>
            <w:r w:rsidR="00822F1E">
              <w:rPr>
                <w:rFonts w:cstheme="minorHAnsi"/>
                <w:b/>
                <w:sz w:val="22"/>
                <w:szCs w:val="22"/>
              </w:rPr>
              <w:t>7</w:t>
            </w:r>
            <w:r w:rsidR="00C07B78">
              <w:rPr>
                <w:rFonts w:cstheme="minorHAnsi"/>
                <w:b/>
                <w:sz w:val="22"/>
                <w:szCs w:val="22"/>
              </w:rPr>
              <w:t>6</w:t>
            </w:r>
          </w:p>
        </w:tc>
        <w:tc>
          <w:tcPr>
            <w:tcW w:w="1526" w:type="dxa"/>
            <w:tcBorders>
              <w:top w:val="single" w:sz="2" w:space="0" w:color="auto"/>
            </w:tcBorders>
            <w:noWrap/>
            <w:tcMar>
              <w:left w:w="72" w:type="dxa"/>
              <w:right w:w="72" w:type="dxa"/>
            </w:tcMar>
            <w:vAlign w:val="center"/>
          </w:tcPr>
          <w:p w14:paraId="4EBF6D3B" w14:textId="36ECDE4B" w:rsidR="008826F1" w:rsidRPr="009076AD" w:rsidRDefault="008826F1" w:rsidP="0044201E">
            <w:pPr>
              <w:jc w:val="center"/>
              <w:rPr>
                <w:rFonts w:cstheme="minorHAnsi"/>
                <w:b/>
                <w:bCs/>
                <w:sz w:val="22"/>
                <w:szCs w:val="22"/>
              </w:rPr>
            </w:pPr>
            <w:r w:rsidRPr="009076AD">
              <w:rPr>
                <w:rFonts w:cstheme="minorHAnsi"/>
                <w:b/>
                <w:bCs/>
                <w:sz w:val="22"/>
                <w:szCs w:val="22"/>
              </w:rPr>
              <w:t>6</w:t>
            </w:r>
            <w:r w:rsidR="00F30FE8">
              <w:rPr>
                <w:rFonts w:cstheme="minorHAnsi"/>
                <w:b/>
                <w:bCs/>
                <w:sz w:val="22"/>
                <w:szCs w:val="22"/>
              </w:rPr>
              <w:t>9</w:t>
            </w:r>
            <w:r w:rsidRPr="009076AD">
              <w:rPr>
                <w:rFonts w:cstheme="minorHAnsi"/>
                <w:b/>
                <w:bCs/>
                <w:sz w:val="22"/>
                <w:szCs w:val="22"/>
              </w:rPr>
              <w:t>%</w:t>
            </w:r>
          </w:p>
        </w:tc>
      </w:tr>
      <w:tr w:rsidR="008826F1" w:rsidRPr="00AA0117" w14:paraId="2848BE20" w14:textId="77777777" w:rsidTr="0044201E">
        <w:trPr>
          <w:cantSplit/>
          <w:trHeight w:val="360"/>
        </w:trPr>
        <w:tc>
          <w:tcPr>
            <w:tcW w:w="5558" w:type="dxa"/>
            <w:tcMar>
              <w:left w:w="72" w:type="dxa"/>
              <w:right w:w="72" w:type="dxa"/>
            </w:tcMar>
            <w:vAlign w:val="center"/>
          </w:tcPr>
          <w:p w14:paraId="244399C5"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5A</w:t>
            </w:r>
          </w:p>
        </w:tc>
        <w:tc>
          <w:tcPr>
            <w:tcW w:w="1526" w:type="dxa"/>
            <w:noWrap/>
            <w:tcMar>
              <w:left w:w="72" w:type="dxa"/>
              <w:right w:w="72" w:type="dxa"/>
            </w:tcMar>
            <w:vAlign w:val="center"/>
          </w:tcPr>
          <w:p w14:paraId="506ED529" w14:textId="62582393" w:rsidR="008826F1" w:rsidRPr="009076AD" w:rsidRDefault="008826F1" w:rsidP="0044201E">
            <w:pPr>
              <w:widowControl/>
              <w:jc w:val="center"/>
              <w:rPr>
                <w:rFonts w:cstheme="minorHAnsi"/>
                <w:snapToGrid/>
                <w:color w:val="000000"/>
                <w:sz w:val="22"/>
                <w:szCs w:val="22"/>
              </w:rPr>
            </w:pPr>
            <w:r w:rsidRPr="009076AD">
              <w:rPr>
                <w:rFonts w:cstheme="minorHAnsi"/>
                <w:color w:val="000000"/>
                <w:sz w:val="22"/>
                <w:szCs w:val="22"/>
              </w:rPr>
              <w:t>7</w:t>
            </w:r>
            <w:r w:rsidR="00E53D34">
              <w:rPr>
                <w:rFonts w:cstheme="minorHAnsi"/>
                <w:color w:val="000000"/>
                <w:sz w:val="22"/>
                <w:szCs w:val="22"/>
              </w:rPr>
              <w:t>6</w:t>
            </w:r>
            <w:r w:rsidRPr="009076AD">
              <w:rPr>
                <w:rFonts w:cstheme="minorHAnsi"/>
                <w:color w:val="000000"/>
                <w:sz w:val="22"/>
                <w:szCs w:val="22"/>
              </w:rPr>
              <w:t>,</w:t>
            </w:r>
            <w:r w:rsidR="00E53D34">
              <w:rPr>
                <w:rFonts w:cstheme="minorHAnsi"/>
                <w:color w:val="000000"/>
                <w:sz w:val="22"/>
                <w:szCs w:val="22"/>
              </w:rPr>
              <w:t>739</w:t>
            </w:r>
          </w:p>
        </w:tc>
        <w:tc>
          <w:tcPr>
            <w:tcW w:w="1526" w:type="dxa"/>
            <w:vMerge w:val="restart"/>
            <w:noWrap/>
            <w:tcMar>
              <w:left w:w="72" w:type="dxa"/>
              <w:right w:w="72" w:type="dxa"/>
            </w:tcMar>
            <w:vAlign w:val="center"/>
          </w:tcPr>
          <w:p w14:paraId="46F46162" w14:textId="77777777" w:rsidR="008826F1" w:rsidRPr="009076AD" w:rsidRDefault="008826F1" w:rsidP="0044201E">
            <w:pPr>
              <w:jc w:val="center"/>
              <w:rPr>
                <w:rFonts w:cstheme="minorHAnsi"/>
                <w:sz w:val="22"/>
                <w:szCs w:val="22"/>
              </w:rPr>
            </w:pPr>
          </w:p>
        </w:tc>
      </w:tr>
      <w:tr w:rsidR="008826F1" w:rsidRPr="00AA0117" w14:paraId="0A7865FF" w14:textId="77777777" w:rsidTr="0044201E">
        <w:trPr>
          <w:cantSplit/>
          <w:trHeight w:val="360"/>
        </w:trPr>
        <w:tc>
          <w:tcPr>
            <w:tcW w:w="5558" w:type="dxa"/>
            <w:tcMar>
              <w:left w:w="72" w:type="dxa"/>
              <w:right w:w="72" w:type="dxa"/>
            </w:tcMar>
            <w:vAlign w:val="center"/>
          </w:tcPr>
          <w:p w14:paraId="09B29D15"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5B</w:t>
            </w:r>
          </w:p>
        </w:tc>
        <w:tc>
          <w:tcPr>
            <w:tcW w:w="1526" w:type="dxa"/>
            <w:noWrap/>
            <w:tcMar>
              <w:left w:w="72" w:type="dxa"/>
              <w:right w:w="72" w:type="dxa"/>
            </w:tcMar>
            <w:vAlign w:val="center"/>
          </w:tcPr>
          <w:p w14:paraId="2440DEBC" w14:textId="394D7C0A" w:rsidR="008826F1" w:rsidRPr="009076AD" w:rsidRDefault="008826F1" w:rsidP="0044201E">
            <w:pPr>
              <w:jc w:val="center"/>
              <w:rPr>
                <w:rFonts w:cstheme="minorHAnsi"/>
                <w:color w:val="000000"/>
                <w:sz w:val="22"/>
                <w:szCs w:val="22"/>
              </w:rPr>
            </w:pPr>
            <w:r w:rsidRPr="009076AD">
              <w:rPr>
                <w:rFonts w:cstheme="minorHAnsi"/>
                <w:sz w:val="22"/>
                <w:szCs w:val="22"/>
              </w:rPr>
              <w:t>0</w:t>
            </w:r>
          </w:p>
        </w:tc>
        <w:tc>
          <w:tcPr>
            <w:tcW w:w="1526" w:type="dxa"/>
            <w:vMerge/>
            <w:noWrap/>
            <w:tcMar>
              <w:left w:w="72" w:type="dxa"/>
              <w:right w:w="72" w:type="dxa"/>
            </w:tcMar>
            <w:vAlign w:val="center"/>
          </w:tcPr>
          <w:p w14:paraId="67AD9D4C" w14:textId="77777777" w:rsidR="008826F1" w:rsidRPr="009076AD" w:rsidRDefault="008826F1" w:rsidP="0044201E">
            <w:pPr>
              <w:jc w:val="center"/>
              <w:rPr>
                <w:rFonts w:cstheme="minorHAnsi"/>
                <w:sz w:val="22"/>
                <w:szCs w:val="22"/>
              </w:rPr>
            </w:pPr>
          </w:p>
        </w:tc>
      </w:tr>
      <w:tr w:rsidR="008826F1" w:rsidRPr="00AA0117" w14:paraId="474045EF" w14:textId="77777777" w:rsidTr="0044201E">
        <w:trPr>
          <w:cantSplit/>
          <w:trHeight w:val="360"/>
        </w:trPr>
        <w:tc>
          <w:tcPr>
            <w:tcW w:w="5558" w:type="dxa"/>
            <w:tcMar>
              <w:left w:w="72" w:type="dxa"/>
              <w:right w:w="72" w:type="dxa"/>
            </w:tcMar>
            <w:vAlign w:val="center"/>
          </w:tcPr>
          <w:p w14:paraId="47EDA501"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5C</w:t>
            </w:r>
          </w:p>
        </w:tc>
        <w:tc>
          <w:tcPr>
            <w:tcW w:w="1526" w:type="dxa"/>
            <w:noWrap/>
            <w:tcMar>
              <w:left w:w="72" w:type="dxa"/>
              <w:right w:w="72" w:type="dxa"/>
            </w:tcMar>
            <w:vAlign w:val="center"/>
          </w:tcPr>
          <w:p w14:paraId="02DFE824" w14:textId="653B733D" w:rsidR="008826F1" w:rsidRPr="009076AD" w:rsidRDefault="00E53D34" w:rsidP="0044201E">
            <w:pPr>
              <w:widowControl/>
              <w:jc w:val="center"/>
              <w:rPr>
                <w:rFonts w:cstheme="minorHAnsi"/>
                <w:snapToGrid/>
                <w:color w:val="000000"/>
                <w:sz w:val="22"/>
                <w:szCs w:val="22"/>
              </w:rPr>
            </w:pPr>
            <w:r>
              <w:rPr>
                <w:rFonts w:cstheme="minorHAnsi"/>
                <w:color w:val="000000"/>
                <w:sz w:val="22"/>
                <w:szCs w:val="22"/>
              </w:rPr>
              <w:t>439</w:t>
            </w:r>
          </w:p>
        </w:tc>
        <w:tc>
          <w:tcPr>
            <w:tcW w:w="1526" w:type="dxa"/>
            <w:vMerge/>
            <w:noWrap/>
            <w:tcMar>
              <w:left w:w="72" w:type="dxa"/>
              <w:right w:w="72" w:type="dxa"/>
            </w:tcMar>
            <w:vAlign w:val="center"/>
          </w:tcPr>
          <w:p w14:paraId="62D95936" w14:textId="77777777" w:rsidR="008826F1" w:rsidRPr="009076AD" w:rsidRDefault="008826F1" w:rsidP="0044201E">
            <w:pPr>
              <w:jc w:val="center"/>
              <w:rPr>
                <w:rFonts w:cstheme="minorHAnsi"/>
                <w:sz w:val="22"/>
                <w:szCs w:val="22"/>
              </w:rPr>
            </w:pPr>
          </w:p>
        </w:tc>
      </w:tr>
      <w:tr w:rsidR="008826F1" w:rsidRPr="00AA0117" w14:paraId="6F6531E2" w14:textId="77777777" w:rsidTr="0044201E">
        <w:trPr>
          <w:cantSplit/>
          <w:trHeight w:val="360"/>
        </w:trPr>
        <w:tc>
          <w:tcPr>
            <w:tcW w:w="5558" w:type="dxa"/>
            <w:tcMar>
              <w:left w:w="72" w:type="dxa"/>
              <w:right w:w="72" w:type="dxa"/>
            </w:tcMar>
            <w:vAlign w:val="center"/>
          </w:tcPr>
          <w:p w14:paraId="07C7C016"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5D</w:t>
            </w:r>
          </w:p>
        </w:tc>
        <w:tc>
          <w:tcPr>
            <w:tcW w:w="1526" w:type="dxa"/>
            <w:noWrap/>
            <w:tcMar>
              <w:left w:w="72" w:type="dxa"/>
              <w:right w:w="72" w:type="dxa"/>
            </w:tcMar>
            <w:vAlign w:val="center"/>
          </w:tcPr>
          <w:p w14:paraId="1520D2CD" w14:textId="77F0399D" w:rsidR="008826F1" w:rsidRPr="009076AD" w:rsidRDefault="008826F1" w:rsidP="0044201E">
            <w:pPr>
              <w:widowControl/>
              <w:jc w:val="center"/>
              <w:rPr>
                <w:rFonts w:cstheme="minorHAnsi"/>
                <w:snapToGrid/>
                <w:color w:val="000000"/>
                <w:sz w:val="22"/>
                <w:szCs w:val="22"/>
              </w:rPr>
            </w:pPr>
            <w:r w:rsidRPr="009076AD">
              <w:rPr>
                <w:rFonts w:cstheme="minorHAnsi"/>
                <w:color w:val="000000"/>
                <w:sz w:val="22"/>
                <w:szCs w:val="22"/>
              </w:rPr>
              <w:t>3,89</w:t>
            </w:r>
            <w:r w:rsidR="000C7647">
              <w:rPr>
                <w:rFonts w:cstheme="minorHAnsi"/>
                <w:color w:val="000000"/>
                <w:sz w:val="22"/>
                <w:szCs w:val="22"/>
              </w:rPr>
              <w:t>8</w:t>
            </w:r>
          </w:p>
        </w:tc>
        <w:tc>
          <w:tcPr>
            <w:tcW w:w="1526" w:type="dxa"/>
            <w:vMerge/>
            <w:noWrap/>
            <w:tcMar>
              <w:left w:w="72" w:type="dxa"/>
              <w:right w:w="72" w:type="dxa"/>
            </w:tcMar>
            <w:vAlign w:val="center"/>
          </w:tcPr>
          <w:p w14:paraId="2743CEE7" w14:textId="77777777" w:rsidR="008826F1" w:rsidRPr="009076AD" w:rsidRDefault="008826F1" w:rsidP="0044201E">
            <w:pPr>
              <w:jc w:val="center"/>
              <w:rPr>
                <w:rFonts w:cstheme="minorHAnsi"/>
                <w:sz w:val="22"/>
                <w:szCs w:val="22"/>
              </w:rPr>
            </w:pPr>
          </w:p>
        </w:tc>
      </w:tr>
      <w:tr w:rsidR="008826F1" w:rsidRPr="00AA0117" w14:paraId="5865B698" w14:textId="77777777" w:rsidTr="0044201E">
        <w:trPr>
          <w:cantSplit/>
          <w:trHeight w:val="360"/>
        </w:trPr>
        <w:tc>
          <w:tcPr>
            <w:tcW w:w="5558" w:type="dxa"/>
            <w:tcMar>
              <w:left w:w="72" w:type="dxa"/>
              <w:right w:w="72" w:type="dxa"/>
            </w:tcMar>
            <w:vAlign w:val="center"/>
          </w:tcPr>
          <w:p w14:paraId="18378D43"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5E</w:t>
            </w:r>
          </w:p>
        </w:tc>
        <w:tc>
          <w:tcPr>
            <w:tcW w:w="1526" w:type="dxa"/>
            <w:noWrap/>
            <w:tcMar>
              <w:left w:w="72" w:type="dxa"/>
              <w:right w:w="72" w:type="dxa"/>
            </w:tcMar>
            <w:vAlign w:val="center"/>
          </w:tcPr>
          <w:p w14:paraId="2632F505" w14:textId="16997BD4" w:rsidR="008826F1" w:rsidRPr="009076AD" w:rsidRDefault="008826F1" w:rsidP="0044201E">
            <w:pPr>
              <w:jc w:val="center"/>
              <w:rPr>
                <w:rFonts w:cstheme="minorHAnsi"/>
                <w:sz w:val="22"/>
                <w:szCs w:val="22"/>
              </w:rPr>
            </w:pPr>
            <w:r w:rsidRPr="009076AD">
              <w:rPr>
                <w:rFonts w:cstheme="minorHAnsi"/>
                <w:sz w:val="22"/>
                <w:szCs w:val="22"/>
              </w:rPr>
              <w:t>0</w:t>
            </w:r>
          </w:p>
        </w:tc>
        <w:tc>
          <w:tcPr>
            <w:tcW w:w="1526" w:type="dxa"/>
            <w:vMerge/>
            <w:noWrap/>
            <w:tcMar>
              <w:left w:w="72" w:type="dxa"/>
              <w:right w:w="72" w:type="dxa"/>
            </w:tcMar>
            <w:vAlign w:val="center"/>
          </w:tcPr>
          <w:p w14:paraId="0BEE84B4" w14:textId="77777777" w:rsidR="008826F1" w:rsidRPr="009076AD" w:rsidRDefault="008826F1" w:rsidP="0044201E">
            <w:pPr>
              <w:jc w:val="center"/>
              <w:rPr>
                <w:rFonts w:cstheme="minorHAnsi"/>
                <w:sz w:val="22"/>
                <w:szCs w:val="22"/>
              </w:rPr>
            </w:pPr>
          </w:p>
        </w:tc>
      </w:tr>
      <w:tr w:rsidR="008826F1" w:rsidRPr="00AA0117" w14:paraId="0BF9EEF4" w14:textId="77777777" w:rsidTr="0044201E">
        <w:trPr>
          <w:cantSplit/>
          <w:trHeight w:val="360"/>
        </w:trPr>
        <w:tc>
          <w:tcPr>
            <w:tcW w:w="5558" w:type="dxa"/>
            <w:tcMar>
              <w:left w:w="72" w:type="dxa"/>
              <w:right w:w="72" w:type="dxa"/>
            </w:tcMar>
            <w:vAlign w:val="center"/>
          </w:tcPr>
          <w:p w14:paraId="511AD0D1"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5F</w:t>
            </w:r>
          </w:p>
        </w:tc>
        <w:tc>
          <w:tcPr>
            <w:tcW w:w="1526" w:type="dxa"/>
            <w:noWrap/>
            <w:tcMar>
              <w:left w:w="72" w:type="dxa"/>
              <w:right w:w="72" w:type="dxa"/>
            </w:tcMar>
            <w:vAlign w:val="center"/>
          </w:tcPr>
          <w:p w14:paraId="0CC9B579" w14:textId="76E9F67F" w:rsidR="008826F1" w:rsidRPr="009076AD" w:rsidRDefault="008826F1" w:rsidP="0044201E">
            <w:pPr>
              <w:jc w:val="center"/>
              <w:rPr>
                <w:rFonts w:cstheme="minorHAnsi"/>
                <w:sz w:val="22"/>
                <w:szCs w:val="22"/>
              </w:rPr>
            </w:pPr>
            <w:r w:rsidRPr="009076AD">
              <w:rPr>
                <w:rFonts w:cstheme="minorHAnsi"/>
                <w:sz w:val="22"/>
                <w:szCs w:val="22"/>
              </w:rPr>
              <w:t>0</w:t>
            </w:r>
          </w:p>
        </w:tc>
        <w:tc>
          <w:tcPr>
            <w:tcW w:w="1526" w:type="dxa"/>
            <w:vMerge/>
            <w:noWrap/>
            <w:tcMar>
              <w:left w:w="72" w:type="dxa"/>
              <w:right w:w="72" w:type="dxa"/>
            </w:tcMar>
            <w:vAlign w:val="center"/>
          </w:tcPr>
          <w:p w14:paraId="3143AABD" w14:textId="77777777" w:rsidR="008826F1" w:rsidRPr="009076AD" w:rsidRDefault="008826F1" w:rsidP="0044201E">
            <w:pPr>
              <w:jc w:val="center"/>
              <w:rPr>
                <w:rFonts w:cstheme="minorHAnsi"/>
                <w:sz w:val="22"/>
                <w:szCs w:val="22"/>
              </w:rPr>
            </w:pPr>
          </w:p>
        </w:tc>
      </w:tr>
      <w:tr w:rsidR="008826F1" w:rsidRPr="00AA0117" w14:paraId="2E1A916A" w14:textId="77777777" w:rsidTr="0044201E">
        <w:trPr>
          <w:cantSplit/>
          <w:trHeight w:val="360"/>
        </w:trPr>
        <w:tc>
          <w:tcPr>
            <w:tcW w:w="5558" w:type="dxa"/>
            <w:tcBorders>
              <w:bottom w:val="single" w:sz="2" w:space="0" w:color="auto"/>
            </w:tcBorders>
            <w:tcMar>
              <w:left w:w="72" w:type="dxa"/>
              <w:right w:w="72" w:type="dxa"/>
            </w:tcMar>
            <w:vAlign w:val="center"/>
          </w:tcPr>
          <w:p w14:paraId="0E50B566" w14:textId="77777777" w:rsidR="008826F1" w:rsidRPr="009076AD" w:rsidRDefault="008826F1" w:rsidP="0044201E">
            <w:pPr>
              <w:rPr>
                <w:rFonts w:cstheme="minorHAnsi"/>
                <w:sz w:val="22"/>
                <w:szCs w:val="22"/>
              </w:rPr>
            </w:pPr>
            <w:r w:rsidRPr="009076AD">
              <w:rPr>
                <w:rFonts w:cstheme="minorHAnsi"/>
                <w:sz w:val="22"/>
                <w:szCs w:val="22"/>
              </w:rPr>
              <w:t xml:space="preserve">     Virginia Subcategory 5R</w:t>
            </w:r>
          </w:p>
        </w:tc>
        <w:tc>
          <w:tcPr>
            <w:tcW w:w="1526" w:type="dxa"/>
            <w:tcBorders>
              <w:bottom w:val="single" w:sz="2" w:space="0" w:color="auto"/>
            </w:tcBorders>
            <w:noWrap/>
            <w:tcMar>
              <w:left w:w="72" w:type="dxa"/>
              <w:right w:w="72" w:type="dxa"/>
            </w:tcMar>
            <w:vAlign w:val="center"/>
          </w:tcPr>
          <w:p w14:paraId="494BCAB8" w14:textId="13125D92" w:rsidR="008826F1" w:rsidRPr="009076AD" w:rsidRDefault="008826F1" w:rsidP="0044201E">
            <w:pPr>
              <w:jc w:val="center"/>
              <w:rPr>
                <w:rFonts w:cstheme="minorHAnsi"/>
                <w:sz w:val="22"/>
                <w:szCs w:val="22"/>
              </w:rPr>
            </w:pPr>
            <w:r w:rsidRPr="009076AD">
              <w:rPr>
                <w:rFonts w:cstheme="minorHAnsi"/>
                <w:sz w:val="22"/>
                <w:szCs w:val="22"/>
              </w:rPr>
              <w:t>0</w:t>
            </w:r>
          </w:p>
        </w:tc>
        <w:tc>
          <w:tcPr>
            <w:tcW w:w="1526" w:type="dxa"/>
            <w:vMerge/>
            <w:tcBorders>
              <w:bottom w:val="single" w:sz="2" w:space="0" w:color="auto"/>
            </w:tcBorders>
            <w:noWrap/>
            <w:tcMar>
              <w:left w:w="72" w:type="dxa"/>
              <w:right w:w="72" w:type="dxa"/>
            </w:tcMar>
            <w:vAlign w:val="center"/>
          </w:tcPr>
          <w:p w14:paraId="7BACC550" w14:textId="77777777" w:rsidR="008826F1" w:rsidRPr="009076AD" w:rsidRDefault="008826F1" w:rsidP="0044201E">
            <w:pPr>
              <w:jc w:val="center"/>
              <w:rPr>
                <w:rFonts w:cstheme="minorHAnsi"/>
                <w:sz w:val="22"/>
                <w:szCs w:val="22"/>
              </w:rPr>
            </w:pPr>
          </w:p>
        </w:tc>
      </w:tr>
      <w:tr w:rsidR="008826F1" w:rsidRPr="00AA0117" w14:paraId="576F75EA" w14:textId="77777777" w:rsidTr="0044201E">
        <w:trPr>
          <w:cantSplit/>
          <w:trHeight w:val="360"/>
        </w:trPr>
        <w:tc>
          <w:tcPr>
            <w:tcW w:w="5558" w:type="dxa"/>
            <w:tcBorders>
              <w:top w:val="single" w:sz="2" w:space="0" w:color="auto"/>
              <w:bottom w:val="single" w:sz="12" w:space="0" w:color="auto"/>
            </w:tcBorders>
            <w:noWrap/>
            <w:tcMar>
              <w:left w:w="72" w:type="dxa"/>
              <w:right w:w="72" w:type="dxa"/>
            </w:tcMar>
            <w:vAlign w:val="center"/>
          </w:tcPr>
          <w:p w14:paraId="4C495305" w14:textId="77777777" w:rsidR="008826F1" w:rsidRPr="009076AD" w:rsidRDefault="008826F1" w:rsidP="0044201E">
            <w:pPr>
              <w:rPr>
                <w:rFonts w:cstheme="minorHAnsi"/>
                <w:b/>
                <w:bCs/>
                <w:sz w:val="22"/>
                <w:szCs w:val="22"/>
              </w:rPr>
            </w:pPr>
            <w:r w:rsidRPr="009076AD">
              <w:rPr>
                <w:rFonts w:cstheme="minorHAnsi"/>
                <w:b/>
                <w:bCs/>
                <w:sz w:val="22"/>
                <w:szCs w:val="22"/>
              </w:rPr>
              <w:t>Total Size</w:t>
            </w:r>
          </w:p>
        </w:tc>
        <w:tc>
          <w:tcPr>
            <w:tcW w:w="1526" w:type="dxa"/>
            <w:tcBorders>
              <w:top w:val="single" w:sz="2" w:space="0" w:color="auto"/>
              <w:bottom w:val="single" w:sz="12" w:space="0" w:color="auto"/>
            </w:tcBorders>
            <w:noWrap/>
            <w:tcMar>
              <w:left w:w="72" w:type="dxa"/>
              <w:right w:w="72" w:type="dxa"/>
            </w:tcMar>
            <w:vAlign w:val="center"/>
          </w:tcPr>
          <w:p w14:paraId="3402B38B" w14:textId="1AB8032A" w:rsidR="008826F1" w:rsidRPr="009076AD" w:rsidRDefault="008826F1" w:rsidP="0044201E">
            <w:pPr>
              <w:jc w:val="center"/>
              <w:rPr>
                <w:rFonts w:cstheme="minorHAnsi"/>
                <w:b/>
                <w:sz w:val="22"/>
                <w:szCs w:val="22"/>
              </w:rPr>
            </w:pPr>
            <w:r w:rsidRPr="009076AD">
              <w:rPr>
                <w:rFonts w:cstheme="minorHAnsi"/>
                <w:b/>
                <w:sz w:val="22"/>
                <w:szCs w:val="22"/>
              </w:rPr>
              <w:t>117,</w:t>
            </w:r>
            <w:r w:rsidR="005E31FC">
              <w:rPr>
                <w:rFonts w:cstheme="minorHAnsi"/>
                <w:b/>
                <w:sz w:val="22"/>
                <w:szCs w:val="22"/>
              </w:rPr>
              <w:t>8</w:t>
            </w:r>
            <w:r w:rsidR="00E53D34">
              <w:rPr>
                <w:rFonts w:cstheme="minorHAnsi"/>
                <w:b/>
                <w:sz w:val="22"/>
                <w:szCs w:val="22"/>
              </w:rPr>
              <w:t>6</w:t>
            </w:r>
            <w:r w:rsidR="00AF4F06">
              <w:rPr>
                <w:rFonts w:cstheme="minorHAnsi"/>
                <w:b/>
                <w:sz w:val="22"/>
                <w:szCs w:val="22"/>
              </w:rPr>
              <w:t>9</w:t>
            </w:r>
          </w:p>
        </w:tc>
        <w:tc>
          <w:tcPr>
            <w:tcW w:w="1526" w:type="dxa"/>
            <w:tcBorders>
              <w:top w:val="single" w:sz="2" w:space="0" w:color="auto"/>
              <w:bottom w:val="single" w:sz="12" w:space="0" w:color="auto"/>
            </w:tcBorders>
            <w:noWrap/>
            <w:tcMar>
              <w:left w:w="72" w:type="dxa"/>
              <w:right w:w="72" w:type="dxa"/>
            </w:tcMar>
            <w:vAlign w:val="center"/>
          </w:tcPr>
          <w:p w14:paraId="66AEB555" w14:textId="0491190F" w:rsidR="008826F1" w:rsidRPr="009076AD" w:rsidRDefault="008826F1" w:rsidP="0044201E">
            <w:pPr>
              <w:jc w:val="center"/>
              <w:rPr>
                <w:rFonts w:cstheme="minorHAnsi"/>
                <w:b/>
                <w:bCs/>
                <w:sz w:val="22"/>
                <w:szCs w:val="22"/>
              </w:rPr>
            </w:pPr>
            <w:r w:rsidRPr="009076AD">
              <w:rPr>
                <w:rFonts w:cstheme="minorHAnsi"/>
                <w:b/>
                <w:bCs/>
                <w:sz w:val="22"/>
                <w:szCs w:val="22"/>
              </w:rPr>
              <w:t>100%</w:t>
            </w:r>
          </w:p>
        </w:tc>
      </w:tr>
    </w:tbl>
    <w:p w14:paraId="1AE4914A" w14:textId="4C65713D" w:rsidR="002E2AC5" w:rsidRPr="00A545E2" w:rsidRDefault="002E2AC5" w:rsidP="002E2AC5">
      <w:pPr>
        <w:rPr>
          <w:rFonts w:ascii="Times New Roman" w:hAnsi="Times New Roman"/>
          <w:szCs w:val="24"/>
        </w:rPr>
      </w:pPr>
    </w:p>
    <w:p w14:paraId="706EA9BA" w14:textId="77777777" w:rsidR="00510C84" w:rsidRDefault="00510C84">
      <w:pPr>
        <w:widowControl/>
        <w:spacing w:after="160" w:line="259" w:lineRule="auto"/>
        <w:rPr>
          <w:rFonts w:ascii="Times New Roman" w:hAnsi="Times New Roman"/>
          <w:b/>
          <w:sz w:val="20"/>
          <w:szCs w:val="24"/>
        </w:rPr>
      </w:pPr>
      <w:r>
        <w:rPr>
          <w:rFonts w:ascii="Times New Roman" w:hAnsi="Times New Roman"/>
          <w:b/>
          <w:sz w:val="20"/>
          <w:szCs w:val="24"/>
        </w:rPr>
        <w:br w:type="page"/>
      </w:r>
    </w:p>
    <w:p w14:paraId="7F0DD7A5" w14:textId="2336CFD0" w:rsidR="00773F83" w:rsidRDefault="00773F83" w:rsidP="00773F83">
      <w:pPr>
        <w:pStyle w:val="Caption"/>
        <w:keepNext/>
      </w:pPr>
      <w:bookmarkStart w:id="83" w:name="_Toc164175160"/>
      <w:r>
        <w:lastRenderedPageBreak/>
        <w:t xml:space="preserve">Table </w:t>
      </w:r>
      <w:r w:rsidR="004F13BA">
        <w:fldChar w:fldCharType="begin"/>
      </w:r>
      <w:r w:rsidR="004F13BA">
        <w:instrText xml:space="preserve"> STYLEREF 2 \s </w:instrText>
      </w:r>
      <w:r w:rsidR="004F13BA">
        <w:fldChar w:fldCharType="separate"/>
      </w:r>
      <w:r w:rsidR="00CD06AE">
        <w:rPr>
          <w:noProof/>
        </w:rPr>
        <w:t>4.2</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5</w:t>
      </w:r>
      <w:r w:rsidR="004F13BA">
        <w:rPr>
          <w:noProof/>
        </w:rPr>
        <w:fldChar w:fldCharType="end"/>
      </w:r>
      <w:r>
        <w:t xml:space="preserve">. </w:t>
      </w:r>
      <w:r w:rsidRPr="008921A2">
        <w:t xml:space="preserve">Assessment </w:t>
      </w:r>
      <w:r w:rsidR="004D74E3">
        <w:t>r</w:t>
      </w:r>
      <w:r w:rsidRPr="008921A2">
        <w:t>esults for Estuarine Waters</w:t>
      </w:r>
      <w:r w:rsidR="004D74E3">
        <w:t xml:space="preserve"> by category</w:t>
      </w:r>
      <w:bookmarkEnd w:id="83"/>
      <w:r w:rsidR="000472E3">
        <w:t>. All values rounded to the nearest whole number.</w:t>
      </w:r>
    </w:p>
    <w:tbl>
      <w:tblPr>
        <w:tblStyle w:val="TableGrid"/>
        <w:tblW w:w="86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1E0" w:firstRow="1" w:lastRow="1" w:firstColumn="1" w:lastColumn="1" w:noHBand="0" w:noVBand="0"/>
      </w:tblPr>
      <w:tblGrid>
        <w:gridCol w:w="5558"/>
        <w:gridCol w:w="1526"/>
        <w:gridCol w:w="1526"/>
      </w:tblGrid>
      <w:tr w:rsidR="00B56452" w:rsidRPr="00AA0117" w14:paraId="7487E072" w14:textId="77777777" w:rsidTr="0044201E">
        <w:trPr>
          <w:cantSplit/>
          <w:trHeight w:val="360"/>
          <w:tblHeader/>
        </w:trPr>
        <w:tc>
          <w:tcPr>
            <w:tcW w:w="5558" w:type="dxa"/>
            <w:tcBorders>
              <w:top w:val="single" w:sz="12" w:space="0" w:color="auto"/>
              <w:bottom w:val="single" w:sz="2" w:space="0" w:color="auto"/>
            </w:tcBorders>
            <w:tcMar>
              <w:left w:w="72" w:type="dxa"/>
              <w:right w:w="72" w:type="dxa"/>
            </w:tcMar>
            <w:vAlign w:val="center"/>
          </w:tcPr>
          <w:p w14:paraId="7A11C83B" w14:textId="77777777" w:rsidR="00B56452" w:rsidRPr="009076AD" w:rsidRDefault="00B56452" w:rsidP="0044201E">
            <w:pPr>
              <w:jc w:val="center"/>
              <w:rPr>
                <w:rFonts w:cstheme="minorHAnsi"/>
                <w:b/>
                <w:bCs/>
                <w:sz w:val="22"/>
                <w:szCs w:val="22"/>
              </w:rPr>
            </w:pPr>
            <w:r w:rsidRPr="009076AD">
              <w:rPr>
                <w:rFonts w:cstheme="minorHAnsi"/>
                <w:b/>
                <w:bCs/>
                <w:sz w:val="22"/>
                <w:szCs w:val="22"/>
              </w:rPr>
              <w:t>Degree of Use Support</w:t>
            </w:r>
          </w:p>
        </w:tc>
        <w:tc>
          <w:tcPr>
            <w:tcW w:w="1526" w:type="dxa"/>
            <w:tcBorders>
              <w:top w:val="single" w:sz="12" w:space="0" w:color="auto"/>
              <w:bottom w:val="single" w:sz="2" w:space="0" w:color="auto"/>
            </w:tcBorders>
            <w:tcMar>
              <w:left w:w="72" w:type="dxa"/>
              <w:right w:w="72" w:type="dxa"/>
            </w:tcMar>
            <w:vAlign w:val="center"/>
          </w:tcPr>
          <w:p w14:paraId="173B74C6" w14:textId="77777777" w:rsidR="00B56452" w:rsidRPr="009076AD" w:rsidRDefault="00B56452" w:rsidP="0044201E">
            <w:pPr>
              <w:jc w:val="center"/>
              <w:rPr>
                <w:rFonts w:cstheme="minorHAnsi"/>
                <w:b/>
                <w:bCs/>
                <w:sz w:val="22"/>
                <w:szCs w:val="22"/>
              </w:rPr>
            </w:pPr>
            <w:r w:rsidRPr="009076AD">
              <w:rPr>
                <w:rFonts w:cstheme="minorHAnsi"/>
                <w:b/>
                <w:bCs/>
                <w:sz w:val="22"/>
                <w:szCs w:val="22"/>
              </w:rPr>
              <w:t>Total (Miles</w:t>
            </w:r>
            <w:r w:rsidRPr="009076AD">
              <w:rPr>
                <w:rFonts w:cstheme="minorHAnsi"/>
                <w:b/>
                <w:bCs/>
                <w:sz w:val="22"/>
                <w:szCs w:val="22"/>
                <w:vertAlign w:val="superscript"/>
              </w:rPr>
              <w:t>2</w:t>
            </w:r>
            <w:r w:rsidRPr="009076AD">
              <w:rPr>
                <w:rFonts w:cstheme="minorHAnsi"/>
                <w:b/>
                <w:bCs/>
                <w:sz w:val="22"/>
                <w:szCs w:val="22"/>
              </w:rPr>
              <w:t>)</w:t>
            </w:r>
          </w:p>
        </w:tc>
        <w:tc>
          <w:tcPr>
            <w:tcW w:w="1526" w:type="dxa"/>
            <w:tcBorders>
              <w:top w:val="single" w:sz="12" w:space="0" w:color="auto"/>
              <w:bottom w:val="single" w:sz="2" w:space="0" w:color="auto"/>
            </w:tcBorders>
            <w:tcMar>
              <w:left w:w="72" w:type="dxa"/>
              <w:right w:w="72" w:type="dxa"/>
            </w:tcMar>
            <w:vAlign w:val="center"/>
          </w:tcPr>
          <w:p w14:paraId="5EFB94CA" w14:textId="77777777" w:rsidR="00B56452" w:rsidRPr="009076AD" w:rsidRDefault="00B56452" w:rsidP="0044201E">
            <w:pPr>
              <w:jc w:val="center"/>
              <w:rPr>
                <w:rFonts w:cstheme="minorHAnsi"/>
                <w:b/>
                <w:bCs/>
                <w:sz w:val="22"/>
                <w:szCs w:val="22"/>
              </w:rPr>
            </w:pPr>
            <w:r w:rsidRPr="009076AD">
              <w:rPr>
                <w:rFonts w:cstheme="minorHAnsi"/>
                <w:b/>
                <w:bCs/>
                <w:sz w:val="22"/>
                <w:szCs w:val="22"/>
              </w:rPr>
              <w:t>Total (%)</w:t>
            </w:r>
          </w:p>
        </w:tc>
      </w:tr>
      <w:tr w:rsidR="00B56452" w:rsidRPr="00AA0117" w14:paraId="44580879" w14:textId="77777777" w:rsidTr="0044201E">
        <w:trPr>
          <w:cantSplit/>
          <w:trHeight w:val="360"/>
        </w:trPr>
        <w:tc>
          <w:tcPr>
            <w:tcW w:w="5558" w:type="dxa"/>
            <w:tcBorders>
              <w:top w:val="single" w:sz="2" w:space="0" w:color="auto"/>
            </w:tcBorders>
            <w:tcMar>
              <w:left w:w="72" w:type="dxa"/>
              <w:right w:w="72" w:type="dxa"/>
            </w:tcMar>
            <w:vAlign w:val="center"/>
          </w:tcPr>
          <w:p w14:paraId="1BBA782B" w14:textId="77777777" w:rsidR="00B56452" w:rsidRPr="009076AD" w:rsidRDefault="00B56452" w:rsidP="0044201E">
            <w:pPr>
              <w:rPr>
                <w:rFonts w:cstheme="minorHAnsi"/>
                <w:sz w:val="22"/>
                <w:szCs w:val="22"/>
              </w:rPr>
            </w:pPr>
            <w:r w:rsidRPr="009076AD">
              <w:rPr>
                <w:rFonts w:cstheme="minorHAnsi"/>
                <w:b/>
                <w:bCs/>
                <w:sz w:val="22"/>
                <w:szCs w:val="22"/>
              </w:rPr>
              <w:t>EPA Category 1</w:t>
            </w:r>
            <w:r w:rsidRPr="009076AD">
              <w:rPr>
                <w:rFonts w:cstheme="minorHAnsi"/>
                <w:sz w:val="22"/>
                <w:szCs w:val="22"/>
              </w:rPr>
              <w:t xml:space="preserve">: </w:t>
            </w:r>
            <w:r w:rsidRPr="009076AD">
              <w:rPr>
                <w:rFonts w:cstheme="minorHAnsi"/>
                <w:sz w:val="22"/>
                <w:szCs w:val="22"/>
              </w:rPr>
              <w:br/>
            </w:r>
            <w:r w:rsidRPr="009076AD">
              <w:rPr>
                <w:rFonts w:cstheme="minorHAnsi"/>
                <w:i/>
                <w:iCs/>
                <w:sz w:val="22"/>
                <w:szCs w:val="22"/>
              </w:rPr>
              <w:t>Fully supporting all designated uses</w:t>
            </w:r>
          </w:p>
        </w:tc>
        <w:tc>
          <w:tcPr>
            <w:tcW w:w="1526" w:type="dxa"/>
            <w:tcBorders>
              <w:top w:val="single" w:sz="2" w:space="0" w:color="auto"/>
            </w:tcBorders>
            <w:noWrap/>
            <w:tcMar>
              <w:left w:w="72" w:type="dxa"/>
              <w:right w:w="72" w:type="dxa"/>
            </w:tcMar>
            <w:vAlign w:val="center"/>
          </w:tcPr>
          <w:p w14:paraId="5BA0BBBF" w14:textId="77777777" w:rsidR="00B56452" w:rsidRPr="009076AD" w:rsidRDefault="00B56452" w:rsidP="0044201E">
            <w:pPr>
              <w:jc w:val="center"/>
              <w:rPr>
                <w:rFonts w:cstheme="minorHAnsi"/>
                <w:b/>
                <w:bCs/>
                <w:sz w:val="22"/>
                <w:szCs w:val="22"/>
              </w:rPr>
            </w:pPr>
            <w:r w:rsidRPr="009076AD">
              <w:rPr>
                <w:rFonts w:cstheme="minorHAnsi"/>
                <w:b/>
                <w:bCs/>
                <w:sz w:val="22"/>
                <w:szCs w:val="22"/>
              </w:rPr>
              <w:t>0</w:t>
            </w:r>
          </w:p>
        </w:tc>
        <w:tc>
          <w:tcPr>
            <w:tcW w:w="1526" w:type="dxa"/>
            <w:tcBorders>
              <w:top w:val="single" w:sz="2" w:space="0" w:color="auto"/>
            </w:tcBorders>
            <w:shd w:val="clear" w:color="auto" w:fill="auto"/>
            <w:noWrap/>
            <w:tcMar>
              <w:left w:w="72" w:type="dxa"/>
              <w:right w:w="72" w:type="dxa"/>
            </w:tcMar>
            <w:vAlign w:val="center"/>
          </w:tcPr>
          <w:p w14:paraId="404F7C15" w14:textId="68DBA12F" w:rsidR="00B56452" w:rsidRPr="009076AD" w:rsidRDefault="00B56452" w:rsidP="0044201E">
            <w:pPr>
              <w:jc w:val="center"/>
              <w:rPr>
                <w:rFonts w:cstheme="minorHAnsi"/>
                <w:b/>
                <w:bCs/>
                <w:sz w:val="22"/>
                <w:szCs w:val="22"/>
              </w:rPr>
            </w:pPr>
            <w:r w:rsidRPr="009076AD">
              <w:rPr>
                <w:rFonts w:cstheme="minorHAnsi"/>
                <w:b/>
                <w:bCs/>
                <w:sz w:val="22"/>
                <w:szCs w:val="22"/>
              </w:rPr>
              <w:t>0%</w:t>
            </w:r>
          </w:p>
        </w:tc>
      </w:tr>
      <w:tr w:rsidR="00B56452" w:rsidRPr="00AA0117" w14:paraId="3AB15B4B" w14:textId="77777777" w:rsidTr="0044201E">
        <w:trPr>
          <w:cantSplit/>
          <w:trHeight w:val="360"/>
        </w:trPr>
        <w:tc>
          <w:tcPr>
            <w:tcW w:w="5558" w:type="dxa"/>
            <w:tcBorders>
              <w:bottom w:val="single" w:sz="2" w:space="0" w:color="auto"/>
            </w:tcBorders>
            <w:tcMar>
              <w:left w:w="72" w:type="dxa"/>
              <w:right w:w="72" w:type="dxa"/>
            </w:tcMar>
            <w:vAlign w:val="center"/>
          </w:tcPr>
          <w:p w14:paraId="0049D171" w14:textId="77777777" w:rsidR="00B56452" w:rsidRPr="009076AD" w:rsidRDefault="00B56452" w:rsidP="0044201E">
            <w:pPr>
              <w:rPr>
                <w:rFonts w:cstheme="minorHAnsi"/>
                <w:sz w:val="22"/>
                <w:szCs w:val="22"/>
              </w:rPr>
            </w:pPr>
            <w:r w:rsidRPr="009076AD">
              <w:rPr>
                <w:rFonts w:cstheme="minorHAnsi"/>
                <w:i/>
                <w:iCs/>
                <w:sz w:val="22"/>
                <w:szCs w:val="22"/>
              </w:rPr>
              <w:t xml:space="preserve">     </w:t>
            </w:r>
            <w:r w:rsidRPr="009076AD">
              <w:rPr>
                <w:rFonts w:cstheme="minorHAnsi"/>
                <w:sz w:val="22"/>
                <w:szCs w:val="22"/>
              </w:rPr>
              <w:t>Virginia Subcategory 1A</w:t>
            </w:r>
          </w:p>
        </w:tc>
        <w:tc>
          <w:tcPr>
            <w:tcW w:w="1526" w:type="dxa"/>
            <w:tcBorders>
              <w:bottom w:val="single" w:sz="2" w:space="0" w:color="auto"/>
            </w:tcBorders>
            <w:noWrap/>
            <w:tcMar>
              <w:left w:w="72" w:type="dxa"/>
              <w:right w:w="72" w:type="dxa"/>
            </w:tcMar>
            <w:vAlign w:val="center"/>
          </w:tcPr>
          <w:p w14:paraId="2AF49A78" w14:textId="77777777" w:rsidR="00B56452" w:rsidRPr="009076AD" w:rsidRDefault="00B56452" w:rsidP="0044201E">
            <w:pPr>
              <w:jc w:val="center"/>
              <w:rPr>
                <w:rFonts w:cstheme="minorHAnsi"/>
                <w:sz w:val="22"/>
                <w:szCs w:val="22"/>
              </w:rPr>
            </w:pPr>
            <w:r w:rsidRPr="009076AD">
              <w:rPr>
                <w:rFonts w:cstheme="minorHAnsi"/>
                <w:sz w:val="22"/>
                <w:szCs w:val="22"/>
              </w:rPr>
              <w:t>0</w:t>
            </w:r>
          </w:p>
        </w:tc>
        <w:tc>
          <w:tcPr>
            <w:tcW w:w="1526" w:type="dxa"/>
            <w:tcBorders>
              <w:bottom w:val="single" w:sz="2" w:space="0" w:color="auto"/>
            </w:tcBorders>
            <w:shd w:val="clear" w:color="auto" w:fill="auto"/>
            <w:noWrap/>
            <w:tcMar>
              <w:left w:w="72" w:type="dxa"/>
              <w:right w:w="72" w:type="dxa"/>
            </w:tcMar>
            <w:vAlign w:val="center"/>
          </w:tcPr>
          <w:p w14:paraId="04D6ACD7" w14:textId="77777777" w:rsidR="00B56452" w:rsidRPr="009076AD" w:rsidRDefault="00B56452" w:rsidP="0044201E">
            <w:pPr>
              <w:jc w:val="center"/>
              <w:rPr>
                <w:rFonts w:cstheme="minorHAnsi"/>
                <w:sz w:val="22"/>
                <w:szCs w:val="22"/>
              </w:rPr>
            </w:pPr>
          </w:p>
        </w:tc>
      </w:tr>
      <w:tr w:rsidR="00B56452" w:rsidRPr="00AA0117" w14:paraId="61ECD9D3" w14:textId="77777777" w:rsidTr="0044201E">
        <w:trPr>
          <w:cantSplit/>
          <w:trHeight w:val="360"/>
        </w:trPr>
        <w:tc>
          <w:tcPr>
            <w:tcW w:w="5558" w:type="dxa"/>
            <w:tcBorders>
              <w:top w:val="single" w:sz="2" w:space="0" w:color="auto"/>
            </w:tcBorders>
            <w:tcMar>
              <w:left w:w="72" w:type="dxa"/>
              <w:right w:w="72" w:type="dxa"/>
            </w:tcMar>
            <w:vAlign w:val="center"/>
          </w:tcPr>
          <w:p w14:paraId="41082603" w14:textId="77777777" w:rsidR="00B56452" w:rsidRPr="009076AD" w:rsidRDefault="00B56452" w:rsidP="0044201E">
            <w:pPr>
              <w:rPr>
                <w:rFonts w:cstheme="minorHAnsi"/>
                <w:sz w:val="22"/>
                <w:szCs w:val="22"/>
              </w:rPr>
            </w:pPr>
            <w:r w:rsidRPr="009076AD">
              <w:rPr>
                <w:rFonts w:cstheme="minorHAnsi"/>
                <w:b/>
                <w:bCs/>
                <w:sz w:val="22"/>
                <w:szCs w:val="22"/>
              </w:rPr>
              <w:t>EPA Category 2</w:t>
            </w:r>
            <w:r w:rsidRPr="009076AD">
              <w:rPr>
                <w:rFonts w:cstheme="minorHAnsi"/>
                <w:sz w:val="22"/>
                <w:szCs w:val="22"/>
              </w:rPr>
              <w:t xml:space="preserve">: </w:t>
            </w:r>
            <w:r w:rsidRPr="009076AD">
              <w:rPr>
                <w:rFonts w:cstheme="minorHAnsi"/>
                <w:sz w:val="22"/>
                <w:szCs w:val="22"/>
              </w:rPr>
              <w:br/>
            </w:r>
            <w:r w:rsidRPr="009076AD">
              <w:rPr>
                <w:rFonts w:cstheme="minorHAnsi"/>
                <w:i/>
                <w:iCs/>
                <w:sz w:val="22"/>
                <w:szCs w:val="22"/>
              </w:rPr>
              <w:t>Fully supporting some uses but insufficient data to assess all</w:t>
            </w:r>
          </w:p>
        </w:tc>
        <w:tc>
          <w:tcPr>
            <w:tcW w:w="1526" w:type="dxa"/>
            <w:tcBorders>
              <w:top w:val="single" w:sz="2" w:space="0" w:color="auto"/>
            </w:tcBorders>
            <w:noWrap/>
            <w:tcMar>
              <w:left w:w="72" w:type="dxa"/>
              <w:right w:w="72" w:type="dxa"/>
            </w:tcMar>
            <w:vAlign w:val="center"/>
          </w:tcPr>
          <w:p w14:paraId="70A70BCA" w14:textId="1ADC86BD" w:rsidR="00B56452" w:rsidRPr="009076AD" w:rsidRDefault="00B56452" w:rsidP="0044201E">
            <w:pPr>
              <w:jc w:val="center"/>
              <w:rPr>
                <w:rFonts w:cstheme="minorHAnsi"/>
                <w:b/>
                <w:sz w:val="22"/>
                <w:szCs w:val="22"/>
              </w:rPr>
            </w:pPr>
            <w:r w:rsidRPr="009076AD">
              <w:rPr>
                <w:rFonts w:cstheme="minorHAnsi"/>
                <w:b/>
                <w:sz w:val="22"/>
                <w:szCs w:val="22"/>
              </w:rPr>
              <w:t>30</w:t>
            </w:r>
            <w:r w:rsidR="00433BC8">
              <w:rPr>
                <w:rFonts w:cstheme="minorHAnsi"/>
                <w:b/>
                <w:sz w:val="22"/>
                <w:szCs w:val="22"/>
              </w:rPr>
              <w:t>6</w:t>
            </w:r>
          </w:p>
        </w:tc>
        <w:tc>
          <w:tcPr>
            <w:tcW w:w="1526" w:type="dxa"/>
            <w:tcBorders>
              <w:top w:val="single" w:sz="2" w:space="0" w:color="auto"/>
            </w:tcBorders>
            <w:noWrap/>
            <w:tcMar>
              <w:left w:w="72" w:type="dxa"/>
              <w:right w:w="72" w:type="dxa"/>
            </w:tcMar>
            <w:vAlign w:val="center"/>
          </w:tcPr>
          <w:p w14:paraId="537C4841" w14:textId="54FC5741" w:rsidR="00B56452" w:rsidRPr="009076AD" w:rsidRDefault="00B56452" w:rsidP="0044201E">
            <w:pPr>
              <w:jc w:val="center"/>
              <w:rPr>
                <w:rFonts w:cstheme="minorHAnsi"/>
                <w:b/>
                <w:bCs/>
                <w:sz w:val="22"/>
                <w:szCs w:val="22"/>
              </w:rPr>
            </w:pPr>
            <w:r w:rsidRPr="009076AD">
              <w:rPr>
                <w:rFonts w:cstheme="minorHAnsi"/>
                <w:b/>
                <w:bCs/>
                <w:sz w:val="22"/>
                <w:szCs w:val="22"/>
              </w:rPr>
              <w:t>1</w:t>
            </w:r>
            <w:r w:rsidR="00E34A6A">
              <w:rPr>
                <w:rFonts w:cstheme="minorHAnsi"/>
                <w:b/>
                <w:bCs/>
                <w:sz w:val="22"/>
                <w:szCs w:val="22"/>
              </w:rPr>
              <w:t>1</w:t>
            </w:r>
            <w:r w:rsidRPr="009076AD">
              <w:rPr>
                <w:rFonts w:cstheme="minorHAnsi"/>
                <w:b/>
                <w:bCs/>
                <w:sz w:val="22"/>
                <w:szCs w:val="22"/>
              </w:rPr>
              <w:t>%</w:t>
            </w:r>
          </w:p>
        </w:tc>
      </w:tr>
      <w:tr w:rsidR="00B56452" w:rsidRPr="00AA0117" w14:paraId="794C6A49" w14:textId="77777777" w:rsidTr="0044201E">
        <w:trPr>
          <w:cantSplit/>
          <w:trHeight w:val="360"/>
        </w:trPr>
        <w:tc>
          <w:tcPr>
            <w:tcW w:w="5558" w:type="dxa"/>
            <w:tcMar>
              <w:left w:w="72" w:type="dxa"/>
              <w:right w:w="72" w:type="dxa"/>
            </w:tcMar>
            <w:vAlign w:val="center"/>
          </w:tcPr>
          <w:p w14:paraId="566D694A"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2A</w:t>
            </w:r>
          </w:p>
        </w:tc>
        <w:tc>
          <w:tcPr>
            <w:tcW w:w="1526" w:type="dxa"/>
            <w:noWrap/>
            <w:tcMar>
              <w:left w:w="72" w:type="dxa"/>
              <w:right w:w="72" w:type="dxa"/>
            </w:tcMar>
            <w:vAlign w:val="center"/>
          </w:tcPr>
          <w:p w14:paraId="3E6D1C77" w14:textId="03AAB666" w:rsidR="00B56452" w:rsidRPr="009076AD" w:rsidRDefault="00433BC8" w:rsidP="0044201E">
            <w:pPr>
              <w:widowControl/>
              <w:jc w:val="center"/>
              <w:rPr>
                <w:rFonts w:cstheme="minorHAnsi"/>
                <w:snapToGrid/>
                <w:color w:val="000000"/>
                <w:sz w:val="22"/>
                <w:szCs w:val="22"/>
              </w:rPr>
            </w:pPr>
            <w:r>
              <w:rPr>
                <w:rFonts w:cstheme="minorHAnsi"/>
                <w:color w:val="000000"/>
                <w:sz w:val="22"/>
                <w:szCs w:val="22"/>
              </w:rPr>
              <w:t>304</w:t>
            </w:r>
          </w:p>
        </w:tc>
        <w:tc>
          <w:tcPr>
            <w:tcW w:w="1526" w:type="dxa"/>
            <w:vMerge w:val="restart"/>
            <w:noWrap/>
            <w:tcMar>
              <w:left w:w="72" w:type="dxa"/>
              <w:right w:w="72" w:type="dxa"/>
            </w:tcMar>
            <w:vAlign w:val="center"/>
          </w:tcPr>
          <w:p w14:paraId="7AE9E03C" w14:textId="77777777" w:rsidR="00B56452" w:rsidRPr="009076AD" w:rsidRDefault="00B56452" w:rsidP="0044201E">
            <w:pPr>
              <w:jc w:val="center"/>
              <w:rPr>
                <w:rFonts w:cstheme="minorHAnsi"/>
                <w:sz w:val="22"/>
                <w:szCs w:val="22"/>
              </w:rPr>
            </w:pPr>
          </w:p>
        </w:tc>
      </w:tr>
      <w:tr w:rsidR="00B56452" w:rsidRPr="00AA0117" w14:paraId="521BBF4E" w14:textId="77777777" w:rsidTr="0044201E">
        <w:trPr>
          <w:cantSplit/>
          <w:trHeight w:val="360"/>
        </w:trPr>
        <w:tc>
          <w:tcPr>
            <w:tcW w:w="5558" w:type="dxa"/>
            <w:tcMar>
              <w:left w:w="72" w:type="dxa"/>
              <w:right w:w="72" w:type="dxa"/>
            </w:tcMar>
            <w:vAlign w:val="center"/>
          </w:tcPr>
          <w:p w14:paraId="0396628B"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2B</w:t>
            </w:r>
          </w:p>
        </w:tc>
        <w:tc>
          <w:tcPr>
            <w:tcW w:w="1526" w:type="dxa"/>
            <w:noWrap/>
            <w:tcMar>
              <w:left w:w="72" w:type="dxa"/>
              <w:right w:w="72" w:type="dxa"/>
            </w:tcMar>
            <w:vAlign w:val="center"/>
          </w:tcPr>
          <w:p w14:paraId="3B4F10E4" w14:textId="10FA3A9E" w:rsidR="00B56452" w:rsidRPr="009076AD" w:rsidRDefault="004051AF" w:rsidP="0044201E">
            <w:pPr>
              <w:widowControl/>
              <w:jc w:val="center"/>
              <w:rPr>
                <w:rFonts w:cstheme="minorHAnsi"/>
                <w:color w:val="000000"/>
                <w:sz w:val="22"/>
                <w:szCs w:val="22"/>
              </w:rPr>
            </w:pPr>
            <w:r>
              <w:rPr>
                <w:rFonts w:cstheme="minorHAnsi"/>
                <w:color w:val="000000"/>
                <w:sz w:val="22"/>
                <w:szCs w:val="22"/>
              </w:rPr>
              <w:t>&lt;1</w:t>
            </w:r>
          </w:p>
        </w:tc>
        <w:tc>
          <w:tcPr>
            <w:tcW w:w="1526" w:type="dxa"/>
            <w:vMerge/>
            <w:noWrap/>
            <w:tcMar>
              <w:left w:w="72" w:type="dxa"/>
              <w:right w:w="72" w:type="dxa"/>
            </w:tcMar>
            <w:vAlign w:val="center"/>
          </w:tcPr>
          <w:p w14:paraId="6347BC9D" w14:textId="77777777" w:rsidR="00B56452" w:rsidRPr="009076AD" w:rsidRDefault="00B56452" w:rsidP="0044201E">
            <w:pPr>
              <w:jc w:val="center"/>
              <w:rPr>
                <w:rFonts w:cstheme="minorHAnsi"/>
                <w:sz w:val="22"/>
                <w:szCs w:val="22"/>
              </w:rPr>
            </w:pPr>
          </w:p>
        </w:tc>
      </w:tr>
      <w:tr w:rsidR="00B56452" w:rsidRPr="00AA0117" w14:paraId="36098659" w14:textId="77777777" w:rsidTr="0044201E">
        <w:trPr>
          <w:cantSplit/>
          <w:trHeight w:val="360"/>
        </w:trPr>
        <w:tc>
          <w:tcPr>
            <w:tcW w:w="5558" w:type="dxa"/>
            <w:tcBorders>
              <w:bottom w:val="single" w:sz="2" w:space="0" w:color="auto"/>
            </w:tcBorders>
            <w:tcMar>
              <w:left w:w="72" w:type="dxa"/>
              <w:right w:w="72" w:type="dxa"/>
            </w:tcMar>
            <w:vAlign w:val="center"/>
          </w:tcPr>
          <w:p w14:paraId="0D86FF3C"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2C</w:t>
            </w:r>
          </w:p>
        </w:tc>
        <w:tc>
          <w:tcPr>
            <w:tcW w:w="1526" w:type="dxa"/>
            <w:tcBorders>
              <w:bottom w:val="single" w:sz="2" w:space="0" w:color="auto"/>
            </w:tcBorders>
            <w:noWrap/>
            <w:tcMar>
              <w:left w:w="72" w:type="dxa"/>
              <w:right w:w="72" w:type="dxa"/>
            </w:tcMar>
            <w:vAlign w:val="center"/>
          </w:tcPr>
          <w:p w14:paraId="0EFA69DB" w14:textId="1315FC41" w:rsidR="00B56452" w:rsidRPr="009076AD" w:rsidRDefault="00DE3983" w:rsidP="0044201E">
            <w:pPr>
              <w:jc w:val="center"/>
              <w:rPr>
                <w:rFonts w:cstheme="minorHAnsi"/>
                <w:sz w:val="22"/>
                <w:szCs w:val="22"/>
              </w:rPr>
            </w:pPr>
            <w:r>
              <w:rPr>
                <w:rFonts w:cstheme="minorHAnsi"/>
                <w:sz w:val="22"/>
                <w:szCs w:val="22"/>
              </w:rPr>
              <w:t>2</w:t>
            </w:r>
          </w:p>
        </w:tc>
        <w:tc>
          <w:tcPr>
            <w:tcW w:w="1526" w:type="dxa"/>
            <w:vMerge/>
            <w:tcBorders>
              <w:bottom w:val="single" w:sz="2" w:space="0" w:color="auto"/>
            </w:tcBorders>
            <w:noWrap/>
            <w:tcMar>
              <w:left w:w="72" w:type="dxa"/>
              <w:right w:w="72" w:type="dxa"/>
            </w:tcMar>
            <w:vAlign w:val="center"/>
          </w:tcPr>
          <w:p w14:paraId="37BBADDB" w14:textId="77777777" w:rsidR="00B56452" w:rsidRPr="009076AD" w:rsidRDefault="00B56452" w:rsidP="0044201E">
            <w:pPr>
              <w:jc w:val="center"/>
              <w:rPr>
                <w:rFonts w:cstheme="minorHAnsi"/>
                <w:sz w:val="22"/>
                <w:szCs w:val="22"/>
              </w:rPr>
            </w:pPr>
          </w:p>
        </w:tc>
      </w:tr>
      <w:tr w:rsidR="00B56452" w:rsidRPr="00AA0117" w14:paraId="0E744F92" w14:textId="77777777" w:rsidTr="0044201E">
        <w:trPr>
          <w:cantSplit/>
          <w:trHeight w:val="360"/>
        </w:trPr>
        <w:tc>
          <w:tcPr>
            <w:tcW w:w="5558" w:type="dxa"/>
            <w:tcBorders>
              <w:top w:val="single" w:sz="2" w:space="0" w:color="auto"/>
            </w:tcBorders>
            <w:tcMar>
              <w:left w:w="72" w:type="dxa"/>
              <w:right w:w="72" w:type="dxa"/>
            </w:tcMar>
            <w:vAlign w:val="center"/>
          </w:tcPr>
          <w:p w14:paraId="2673CB5E" w14:textId="77777777" w:rsidR="00B56452" w:rsidRPr="009076AD" w:rsidRDefault="00B56452" w:rsidP="0044201E">
            <w:pPr>
              <w:rPr>
                <w:rFonts w:cstheme="minorHAnsi"/>
                <w:sz w:val="22"/>
                <w:szCs w:val="22"/>
              </w:rPr>
            </w:pPr>
            <w:r w:rsidRPr="009076AD">
              <w:rPr>
                <w:rFonts w:cstheme="minorHAnsi"/>
                <w:b/>
                <w:bCs/>
                <w:sz w:val="22"/>
                <w:szCs w:val="22"/>
              </w:rPr>
              <w:t>EPA Category 3</w:t>
            </w:r>
            <w:r w:rsidRPr="009076AD">
              <w:rPr>
                <w:rFonts w:cstheme="minorHAnsi"/>
                <w:sz w:val="22"/>
                <w:szCs w:val="22"/>
              </w:rPr>
              <w:t xml:space="preserve">: </w:t>
            </w:r>
            <w:r w:rsidRPr="009076AD">
              <w:rPr>
                <w:rFonts w:cstheme="minorHAnsi"/>
                <w:sz w:val="22"/>
                <w:szCs w:val="22"/>
              </w:rPr>
              <w:br/>
            </w:r>
            <w:r w:rsidRPr="009076AD">
              <w:rPr>
                <w:rFonts w:cstheme="minorHAnsi"/>
                <w:i/>
                <w:iCs/>
                <w:sz w:val="22"/>
                <w:szCs w:val="22"/>
              </w:rPr>
              <w:t>Insufficient data to determine if any uses are being met</w:t>
            </w:r>
          </w:p>
        </w:tc>
        <w:tc>
          <w:tcPr>
            <w:tcW w:w="1526" w:type="dxa"/>
            <w:tcBorders>
              <w:top w:val="single" w:sz="2" w:space="0" w:color="auto"/>
            </w:tcBorders>
            <w:noWrap/>
            <w:tcMar>
              <w:left w:w="72" w:type="dxa"/>
              <w:right w:w="72" w:type="dxa"/>
            </w:tcMar>
            <w:vAlign w:val="center"/>
          </w:tcPr>
          <w:p w14:paraId="434D901E" w14:textId="77777777" w:rsidR="00B56452" w:rsidRPr="009076AD" w:rsidRDefault="00B56452" w:rsidP="0044201E">
            <w:pPr>
              <w:jc w:val="center"/>
              <w:rPr>
                <w:rFonts w:cstheme="minorHAnsi"/>
                <w:b/>
                <w:bCs/>
                <w:sz w:val="22"/>
                <w:szCs w:val="22"/>
              </w:rPr>
            </w:pPr>
            <w:r w:rsidRPr="009076AD">
              <w:rPr>
                <w:rFonts w:cstheme="minorHAnsi"/>
                <w:b/>
                <w:bCs/>
                <w:sz w:val="22"/>
                <w:szCs w:val="22"/>
              </w:rPr>
              <w:t>393</w:t>
            </w:r>
          </w:p>
        </w:tc>
        <w:tc>
          <w:tcPr>
            <w:tcW w:w="1526" w:type="dxa"/>
            <w:tcBorders>
              <w:top w:val="single" w:sz="2" w:space="0" w:color="auto"/>
            </w:tcBorders>
            <w:noWrap/>
            <w:tcMar>
              <w:left w:w="72" w:type="dxa"/>
              <w:right w:w="72" w:type="dxa"/>
            </w:tcMar>
            <w:vAlign w:val="center"/>
          </w:tcPr>
          <w:p w14:paraId="119EA6DE" w14:textId="432FABDD" w:rsidR="00B56452" w:rsidRPr="009076AD" w:rsidRDefault="00B56452" w:rsidP="0044201E">
            <w:pPr>
              <w:jc w:val="center"/>
              <w:rPr>
                <w:rFonts w:cstheme="minorHAnsi"/>
                <w:b/>
                <w:bCs/>
                <w:sz w:val="22"/>
                <w:szCs w:val="22"/>
              </w:rPr>
            </w:pPr>
            <w:r w:rsidRPr="009076AD">
              <w:rPr>
                <w:rFonts w:cstheme="minorHAnsi"/>
                <w:b/>
                <w:bCs/>
                <w:sz w:val="22"/>
                <w:szCs w:val="22"/>
              </w:rPr>
              <w:t>1</w:t>
            </w:r>
            <w:r w:rsidR="00BA00F3">
              <w:rPr>
                <w:rFonts w:cstheme="minorHAnsi"/>
                <w:b/>
                <w:bCs/>
                <w:sz w:val="22"/>
                <w:szCs w:val="22"/>
              </w:rPr>
              <w:t>4</w:t>
            </w:r>
            <w:r w:rsidRPr="009076AD">
              <w:rPr>
                <w:rFonts w:cstheme="minorHAnsi"/>
                <w:b/>
                <w:bCs/>
                <w:sz w:val="22"/>
                <w:szCs w:val="22"/>
              </w:rPr>
              <w:t>%</w:t>
            </w:r>
          </w:p>
        </w:tc>
      </w:tr>
      <w:tr w:rsidR="00B56452" w:rsidRPr="00AA0117" w14:paraId="4CA26F51" w14:textId="77777777" w:rsidTr="0044201E">
        <w:trPr>
          <w:cantSplit/>
          <w:trHeight w:val="360"/>
        </w:trPr>
        <w:tc>
          <w:tcPr>
            <w:tcW w:w="5558" w:type="dxa"/>
            <w:tcMar>
              <w:left w:w="72" w:type="dxa"/>
              <w:right w:w="72" w:type="dxa"/>
            </w:tcMar>
            <w:vAlign w:val="center"/>
          </w:tcPr>
          <w:p w14:paraId="1F1D3B01"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3A</w:t>
            </w:r>
          </w:p>
        </w:tc>
        <w:tc>
          <w:tcPr>
            <w:tcW w:w="1526" w:type="dxa"/>
            <w:noWrap/>
            <w:tcMar>
              <w:left w:w="72" w:type="dxa"/>
              <w:right w:w="72" w:type="dxa"/>
            </w:tcMar>
            <w:vAlign w:val="center"/>
          </w:tcPr>
          <w:p w14:paraId="3F6D5A39" w14:textId="73A2A123" w:rsidR="00B56452" w:rsidRPr="009076AD" w:rsidRDefault="00D52ED3" w:rsidP="0044201E">
            <w:pPr>
              <w:jc w:val="center"/>
              <w:rPr>
                <w:rFonts w:cstheme="minorHAnsi"/>
                <w:sz w:val="22"/>
                <w:szCs w:val="22"/>
              </w:rPr>
            </w:pPr>
            <w:r>
              <w:rPr>
                <w:rFonts w:cstheme="minorHAnsi"/>
                <w:sz w:val="22"/>
                <w:szCs w:val="22"/>
              </w:rPr>
              <w:t>393</w:t>
            </w:r>
          </w:p>
        </w:tc>
        <w:tc>
          <w:tcPr>
            <w:tcW w:w="1526" w:type="dxa"/>
            <w:vMerge w:val="restart"/>
            <w:noWrap/>
            <w:tcMar>
              <w:left w:w="72" w:type="dxa"/>
              <w:right w:w="72" w:type="dxa"/>
            </w:tcMar>
            <w:vAlign w:val="center"/>
          </w:tcPr>
          <w:p w14:paraId="612B13C6" w14:textId="77777777" w:rsidR="00B56452" w:rsidRPr="009076AD" w:rsidRDefault="00B56452" w:rsidP="0044201E">
            <w:pPr>
              <w:jc w:val="center"/>
              <w:rPr>
                <w:rFonts w:cstheme="minorHAnsi"/>
                <w:sz w:val="22"/>
                <w:szCs w:val="22"/>
              </w:rPr>
            </w:pPr>
          </w:p>
        </w:tc>
      </w:tr>
      <w:tr w:rsidR="00B56452" w:rsidRPr="00AA0117" w14:paraId="5F2EF913" w14:textId="77777777" w:rsidTr="0044201E">
        <w:trPr>
          <w:cantSplit/>
          <w:trHeight w:val="360"/>
        </w:trPr>
        <w:tc>
          <w:tcPr>
            <w:tcW w:w="5558" w:type="dxa"/>
            <w:tcMar>
              <w:left w:w="72" w:type="dxa"/>
              <w:right w:w="72" w:type="dxa"/>
            </w:tcMar>
            <w:vAlign w:val="center"/>
          </w:tcPr>
          <w:p w14:paraId="0E954ED8"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3B</w:t>
            </w:r>
          </w:p>
        </w:tc>
        <w:tc>
          <w:tcPr>
            <w:tcW w:w="1526" w:type="dxa"/>
            <w:noWrap/>
            <w:tcMar>
              <w:left w:w="72" w:type="dxa"/>
              <w:right w:w="72" w:type="dxa"/>
            </w:tcMar>
            <w:vAlign w:val="center"/>
          </w:tcPr>
          <w:p w14:paraId="10FE74D6" w14:textId="68817E60" w:rsidR="00B56452" w:rsidRPr="009076AD" w:rsidRDefault="00C52E94" w:rsidP="0044201E">
            <w:pPr>
              <w:jc w:val="center"/>
              <w:rPr>
                <w:rFonts w:cstheme="minorHAnsi"/>
                <w:sz w:val="22"/>
                <w:szCs w:val="22"/>
              </w:rPr>
            </w:pPr>
            <w:r>
              <w:rPr>
                <w:rFonts w:cstheme="minorHAnsi"/>
                <w:sz w:val="22"/>
                <w:szCs w:val="22"/>
              </w:rPr>
              <w:t>&lt;1</w:t>
            </w:r>
          </w:p>
        </w:tc>
        <w:tc>
          <w:tcPr>
            <w:tcW w:w="1526" w:type="dxa"/>
            <w:vMerge/>
            <w:noWrap/>
            <w:tcMar>
              <w:left w:w="72" w:type="dxa"/>
              <w:right w:w="72" w:type="dxa"/>
            </w:tcMar>
            <w:vAlign w:val="center"/>
          </w:tcPr>
          <w:p w14:paraId="0CD4EA58" w14:textId="77777777" w:rsidR="00B56452" w:rsidRPr="009076AD" w:rsidRDefault="00B56452" w:rsidP="0044201E">
            <w:pPr>
              <w:jc w:val="center"/>
              <w:rPr>
                <w:rFonts w:cstheme="minorHAnsi"/>
                <w:sz w:val="22"/>
                <w:szCs w:val="22"/>
              </w:rPr>
            </w:pPr>
          </w:p>
        </w:tc>
      </w:tr>
      <w:tr w:rsidR="00B56452" w:rsidRPr="00AA0117" w14:paraId="13CAE999" w14:textId="77777777" w:rsidTr="0044201E">
        <w:trPr>
          <w:cantSplit/>
          <w:trHeight w:val="360"/>
        </w:trPr>
        <w:tc>
          <w:tcPr>
            <w:tcW w:w="5558" w:type="dxa"/>
            <w:tcMar>
              <w:left w:w="72" w:type="dxa"/>
              <w:right w:w="72" w:type="dxa"/>
            </w:tcMar>
            <w:vAlign w:val="center"/>
          </w:tcPr>
          <w:p w14:paraId="28163634"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3C</w:t>
            </w:r>
          </w:p>
        </w:tc>
        <w:tc>
          <w:tcPr>
            <w:tcW w:w="1526" w:type="dxa"/>
            <w:noWrap/>
            <w:tcMar>
              <w:left w:w="72" w:type="dxa"/>
              <w:right w:w="72" w:type="dxa"/>
            </w:tcMar>
            <w:vAlign w:val="center"/>
          </w:tcPr>
          <w:p w14:paraId="772A3CBB" w14:textId="77777777" w:rsidR="00B56452" w:rsidRPr="009076AD" w:rsidRDefault="00B56452" w:rsidP="0044201E">
            <w:pPr>
              <w:jc w:val="center"/>
              <w:rPr>
                <w:rFonts w:cstheme="minorHAnsi"/>
                <w:sz w:val="22"/>
                <w:szCs w:val="22"/>
              </w:rPr>
            </w:pPr>
            <w:r w:rsidRPr="009076AD">
              <w:rPr>
                <w:rFonts w:cstheme="minorHAnsi"/>
                <w:sz w:val="22"/>
                <w:szCs w:val="22"/>
              </w:rPr>
              <w:t>0</w:t>
            </w:r>
          </w:p>
        </w:tc>
        <w:tc>
          <w:tcPr>
            <w:tcW w:w="1526" w:type="dxa"/>
            <w:vMerge/>
            <w:noWrap/>
            <w:tcMar>
              <w:left w:w="72" w:type="dxa"/>
              <w:right w:w="72" w:type="dxa"/>
            </w:tcMar>
            <w:vAlign w:val="center"/>
          </w:tcPr>
          <w:p w14:paraId="2A68DBF4" w14:textId="77777777" w:rsidR="00B56452" w:rsidRPr="009076AD" w:rsidRDefault="00B56452" w:rsidP="0044201E">
            <w:pPr>
              <w:jc w:val="center"/>
              <w:rPr>
                <w:rFonts w:cstheme="minorHAnsi"/>
                <w:sz w:val="22"/>
                <w:szCs w:val="22"/>
              </w:rPr>
            </w:pPr>
          </w:p>
        </w:tc>
      </w:tr>
      <w:tr w:rsidR="00B56452" w:rsidRPr="00AA0117" w14:paraId="6B181EE3" w14:textId="77777777" w:rsidTr="0044201E">
        <w:trPr>
          <w:cantSplit/>
          <w:trHeight w:val="360"/>
        </w:trPr>
        <w:tc>
          <w:tcPr>
            <w:tcW w:w="5558" w:type="dxa"/>
            <w:tcMar>
              <w:left w:w="72" w:type="dxa"/>
              <w:right w:w="72" w:type="dxa"/>
            </w:tcMar>
            <w:vAlign w:val="center"/>
          </w:tcPr>
          <w:p w14:paraId="6A7050C5"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3D</w:t>
            </w:r>
          </w:p>
        </w:tc>
        <w:tc>
          <w:tcPr>
            <w:tcW w:w="1526" w:type="dxa"/>
            <w:noWrap/>
            <w:tcMar>
              <w:left w:w="72" w:type="dxa"/>
              <w:right w:w="72" w:type="dxa"/>
            </w:tcMar>
            <w:vAlign w:val="center"/>
          </w:tcPr>
          <w:p w14:paraId="71D78CA0" w14:textId="4CBDEF92" w:rsidR="00B56452" w:rsidRPr="009076AD" w:rsidRDefault="00D52ED3" w:rsidP="0044201E">
            <w:pPr>
              <w:jc w:val="center"/>
              <w:rPr>
                <w:rFonts w:cstheme="minorHAnsi"/>
                <w:sz w:val="22"/>
                <w:szCs w:val="22"/>
              </w:rPr>
            </w:pPr>
            <w:r>
              <w:rPr>
                <w:rFonts w:cstheme="minorHAnsi"/>
                <w:sz w:val="22"/>
                <w:szCs w:val="22"/>
              </w:rPr>
              <w:t>0</w:t>
            </w:r>
          </w:p>
        </w:tc>
        <w:tc>
          <w:tcPr>
            <w:tcW w:w="1526" w:type="dxa"/>
            <w:vMerge/>
            <w:noWrap/>
            <w:tcMar>
              <w:left w:w="72" w:type="dxa"/>
              <w:right w:w="72" w:type="dxa"/>
            </w:tcMar>
            <w:vAlign w:val="center"/>
          </w:tcPr>
          <w:p w14:paraId="753AC803" w14:textId="77777777" w:rsidR="00B56452" w:rsidRPr="009076AD" w:rsidRDefault="00B56452" w:rsidP="0044201E">
            <w:pPr>
              <w:jc w:val="center"/>
              <w:rPr>
                <w:rFonts w:cstheme="minorHAnsi"/>
                <w:sz w:val="22"/>
                <w:szCs w:val="22"/>
              </w:rPr>
            </w:pPr>
          </w:p>
        </w:tc>
      </w:tr>
      <w:tr w:rsidR="00B56452" w:rsidRPr="00AA0117" w14:paraId="0898DFBD" w14:textId="77777777" w:rsidTr="0044201E">
        <w:trPr>
          <w:cantSplit/>
          <w:trHeight w:val="360"/>
        </w:trPr>
        <w:tc>
          <w:tcPr>
            <w:tcW w:w="5558" w:type="dxa"/>
            <w:tcBorders>
              <w:bottom w:val="single" w:sz="2" w:space="0" w:color="auto"/>
            </w:tcBorders>
            <w:tcMar>
              <w:left w:w="72" w:type="dxa"/>
              <w:right w:w="72" w:type="dxa"/>
            </w:tcMar>
            <w:vAlign w:val="center"/>
          </w:tcPr>
          <w:p w14:paraId="1765D7CA"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3E</w:t>
            </w:r>
          </w:p>
        </w:tc>
        <w:tc>
          <w:tcPr>
            <w:tcW w:w="1526" w:type="dxa"/>
            <w:tcBorders>
              <w:bottom w:val="single" w:sz="2" w:space="0" w:color="auto"/>
            </w:tcBorders>
            <w:noWrap/>
            <w:tcMar>
              <w:left w:w="72" w:type="dxa"/>
              <w:right w:w="72" w:type="dxa"/>
            </w:tcMar>
            <w:vAlign w:val="center"/>
          </w:tcPr>
          <w:p w14:paraId="39141475" w14:textId="77777777" w:rsidR="00B56452" w:rsidRPr="009076AD" w:rsidRDefault="00B56452" w:rsidP="0044201E">
            <w:pPr>
              <w:jc w:val="center"/>
              <w:rPr>
                <w:rFonts w:cstheme="minorHAnsi"/>
                <w:color w:val="000000"/>
                <w:sz w:val="22"/>
                <w:szCs w:val="22"/>
              </w:rPr>
            </w:pPr>
            <w:r w:rsidRPr="009076AD">
              <w:rPr>
                <w:rFonts w:cstheme="minorHAnsi"/>
                <w:color w:val="000000"/>
                <w:sz w:val="22"/>
                <w:szCs w:val="22"/>
              </w:rPr>
              <w:t>0</w:t>
            </w:r>
          </w:p>
        </w:tc>
        <w:tc>
          <w:tcPr>
            <w:tcW w:w="1526" w:type="dxa"/>
            <w:tcBorders>
              <w:bottom w:val="single" w:sz="2" w:space="0" w:color="auto"/>
            </w:tcBorders>
            <w:noWrap/>
            <w:tcMar>
              <w:left w:w="72" w:type="dxa"/>
              <w:right w:w="72" w:type="dxa"/>
            </w:tcMar>
            <w:vAlign w:val="center"/>
          </w:tcPr>
          <w:p w14:paraId="5261AF8F" w14:textId="77777777" w:rsidR="00B56452" w:rsidRPr="009076AD" w:rsidRDefault="00B56452" w:rsidP="0044201E">
            <w:pPr>
              <w:jc w:val="center"/>
              <w:rPr>
                <w:rFonts w:cstheme="minorHAnsi"/>
                <w:sz w:val="22"/>
                <w:szCs w:val="22"/>
              </w:rPr>
            </w:pPr>
          </w:p>
        </w:tc>
      </w:tr>
      <w:tr w:rsidR="00B56452" w:rsidRPr="00AA0117" w14:paraId="08E099D7" w14:textId="77777777" w:rsidTr="0044201E">
        <w:trPr>
          <w:cantSplit/>
          <w:trHeight w:val="360"/>
        </w:trPr>
        <w:tc>
          <w:tcPr>
            <w:tcW w:w="5558" w:type="dxa"/>
            <w:tcBorders>
              <w:top w:val="single" w:sz="2" w:space="0" w:color="auto"/>
            </w:tcBorders>
            <w:tcMar>
              <w:left w:w="72" w:type="dxa"/>
              <w:right w:w="72" w:type="dxa"/>
            </w:tcMar>
            <w:vAlign w:val="center"/>
          </w:tcPr>
          <w:p w14:paraId="6BCC0084" w14:textId="77777777" w:rsidR="00B56452" w:rsidRPr="009076AD" w:rsidRDefault="00B56452" w:rsidP="0044201E">
            <w:pPr>
              <w:rPr>
                <w:rFonts w:cstheme="minorHAnsi"/>
                <w:sz w:val="22"/>
                <w:szCs w:val="22"/>
              </w:rPr>
            </w:pPr>
            <w:r w:rsidRPr="009076AD">
              <w:rPr>
                <w:rFonts w:cstheme="minorHAnsi"/>
                <w:b/>
                <w:bCs/>
                <w:sz w:val="22"/>
                <w:szCs w:val="22"/>
              </w:rPr>
              <w:t>EPA Category 4</w:t>
            </w:r>
            <w:r w:rsidRPr="009076AD">
              <w:rPr>
                <w:rFonts w:cstheme="minorHAnsi"/>
                <w:sz w:val="22"/>
                <w:szCs w:val="22"/>
              </w:rPr>
              <w:t xml:space="preserve">: </w:t>
            </w:r>
            <w:r w:rsidRPr="009076AD">
              <w:rPr>
                <w:rFonts w:cstheme="minorHAnsi"/>
                <w:sz w:val="22"/>
                <w:szCs w:val="22"/>
              </w:rPr>
              <w:br/>
            </w:r>
            <w:r w:rsidRPr="009076AD">
              <w:rPr>
                <w:rFonts w:cstheme="minorHAnsi"/>
                <w:i/>
                <w:iCs/>
                <w:sz w:val="22"/>
                <w:szCs w:val="22"/>
              </w:rPr>
              <w:t>Waters are impaired or threatened but do not need a TMDL</w:t>
            </w:r>
          </w:p>
        </w:tc>
        <w:tc>
          <w:tcPr>
            <w:tcW w:w="1526" w:type="dxa"/>
            <w:tcBorders>
              <w:top w:val="single" w:sz="2" w:space="0" w:color="auto"/>
            </w:tcBorders>
            <w:noWrap/>
            <w:tcMar>
              <w:left w:w="72" w:type="dxa"/>
              <w:right w:w="72" w:type="dxa"/>
            </w:tcMar>
            <w:vAlign w:val="center"/>
          </w:tcPr>
          <w:p w14:paraId="0C3CC443" w14:textId="7192235C" w:rsidR="00B56452" w:rsidRPr="009076AD" w:rsidRDefault="00B56452" w:rsidP="0044201E">
            <w:pPr>
              <w:jc w:val="center"/>
              <w:rPr>
                <w:rFonts w:cstheme="minorHAnsi"/>
                <w:b/>
                <w:sz w:val="22"/>
                <w:szCs w:val="22"/>
              </w:rPr>
            </w:pPr>
            <w:r w:rsidRPr="009076AD">
              <w:rPr>
                <w:rFonts w:cstheme="minorHAnsi"/>
                <w:b/>
                <w:sz w:val="22"/>
                <w:szCs w:val="22"/>
              </w:rPr>
              <w:t>7</w:t>
            </w:r>
            <w:r w:rsidR="00E90850">
              <w:rPr>
                <w:rFonts w:cstheme="minorHAnsi"/>
                <w:b/>
                <w:sz w:val="22"/>
                <w:szCs w:val="22"/>
              </w:rPr>
              <w:t>4</w:t>
            </w:r>
          </w:p>
        </w:tc>
        <w:tc>
          <w:tcPr>
            <w:tcW w:w="1526" w:type="dxa"/>
            <w:tcBorders>
              <w:top w:val="single" w:sz="2" w:space="0" w:color="auto"/>
            </w:tcBorders>
            <w:noWrap/>
            <w:tcMar>
              <w:left w:w="72" w:type="dxa"/>
              <w:right w:w="72" w:type="dxa"/>
            </w:tcMar>
            <w:vAlign w:val="center"/>
          </w:tcPr>
          <w:p w14:paraId="1241FF02" w14:textId="615CDAEB" w:rsidR="00B56452" w:rsidRPr="009076AD" w:rsidRDefault="00E90850" w:rsidP="0044201E">
            <w:pPr>
              <w:jc w:val="center"/>
              <w:rPr>
                <w:rFonts w:cstheme="minorHAnsi"/>
                <w:b/>
                <w:bCs/>
                <w:sz w:val="22"/>
                <w:szCs w:val="22"/>
              </w:rPr>
            </w:pPr>
            <w:r>
              <w:rPr>
                <w:rFonts w:cstheme="minorHAnsi"/>
                <w:b/>
                <w:bCs/>
                <w:sz w:val="22"/>
                <w:szCs w:val="22"/>
              </w:rPr>
              <w:t>3</w:t>
            </w:r>
            <w:r w:rsidR="00B56452" w:rsidRPr="009076AD">
              <w:rPr>
                <w:rFonts w:cstheme="minorHAnsi"/>
                <w:b/>
                <w:bCs/>
                <w:sz w:val="22"/>
                <w:szCs w:val="22"/>
              </w:rPr>
              <w:t>%</w:t>
            </w:r>
          </w:p>
        </w:tc>
      </w:tr>
      <w:tr w:rsidR="00B56452" w:rsidRPr="00AA0117" w14:paraId="655A4F06" w14:textId="77777777" w:rsidTr="0044201E">
        <w:trPr>
          <w:cantSplit/>
          <w:trHeight w:val="360"/>
        </w:trPr>
        <w:tc>
          <w:tcPr>
            <w:tcW w:w="5558" w:type="dxa"/>
            <w:tcMar>
              <w:left w:w="72" w:type="dxa"/>
              <w:right w:w="72" w:type="dxa"/>
            </w:tcMar>
            <w:vAlign w:val="center"/>
          </w:tcPr>
          <w:p w14:paraId="2B7A83BB" w14:textId="77777777" w:rsidR="00B56452" w:rsidRPr="009076AD" w:rsidRDefault="00B56452" w:rsidP="0044201E">
            <w:pPr>
              <w:rPr>
                <w:rFonts w:cstheme="minorHAnsi"/>
                <w:sz w:val="22"/>
                <w:szCs w:val="22"/>
              </w:rPr>
            </w:pPr>
            <w:r w:rsidRPr="009076AD">
              <w:rPr>
                <w:rFonts w:cstheme="minorHAnsi"/>
                <w:sz w:val="22"/>
                <w:szCs w:val="22"/>
              </w:rPr>
              <w:t xml:space="preserve">     EPA Subcategory 4A</w:t>
            </w:r>
          </w:p>
        </w:tc>
        <w:tc>
          <w:tcPr>
            <w:tcW w:w="1526" w:type="dxa"/>
            <w:noWrap/>
            <w:tcMar>
              <w:left w:w="72" w:type="dxa"/>
              <w:right w:w="72" w:type="dxa"/>
            </w:tcMar>
            <w:vAlign w:val="center"/>
          </w:tcPr>
          <w:p w14:paraId="161C605F" w14:textId="19479784" w:rsidR="00B56452" w:rsidRPr="009076AD" w:rsidRDefault="00B56452" w:rsidP="0044201E">
            <w:pPr>
              <w:jc w:val="center"/>
              <w:rPr>
                <w:rFonts w:cstheme="minorHAnsi"/>
                <w:sz w:val="22"/>
                <w:szCs w:val="22"/>
              </w:rPr>
            </w:pPr>
            <w:r w:rsidRPr="009076AD">
              <w:rPr>
                <w:rFonts w:cstheme="minorHAnsi"/>
                <w:sz w:val="22"/>
                <w:szCs w:val="22"/>
              </w:rPr>
              <w:t>7</w:t>
            </w:r>
            <w:r w:rsidR="00E90850">
              <w:rPr>
                <w:rFonts w:cstheme="minorHAnsi"/>
                <w:sz w:val="22"/>
                <w:szCs w:val="22"/>
              </w:rPr>
              <w:t>4</w:t>
            </w:r>
          </w:p>
        </w:tc>
        <w:tc>
          <w:tcPr>
            <w:tcW w:w="1526" w:type="dxa"/>
            <w:vMerge w:val="restart"/>
            <w:noWrap/>
            <w:tcMar>
              <w:left w:w="72" w:type="dxa"/>
              <w:right w:w="72" w:type="dxa"/>
            </w:tcMar>
            <w:vAlign w:val="center"/>
          </w:tcPr>
          <w:p w14:paraId="59A9E245" w14:textId="77777777" w:rsidR="00B56452" w:rsidRPr="009076AD" w:rsidRDefault="00B56452" w:rsidP="0044201E">
            <w:pPr>
              <w:jc w:val="center"/>
              <w:rPr>
                <w:rFonts w:cstheme="minorHAnsi"/>
                <w:sz w:val="22"/>
                <w:szCs w:val="22"/>
              </w:rPr>
            </w:pPr>
          </w:p>
        </w:tc>
      </w:tr>
      <w:tr w:rsidR="00B56452" w:rsidRPr="00AA0117" w14:paraId="30BD1366" w14:textId="77777777" w:rsidTr="0044201E">
        <w:trPr>
          <w:cantSplit/>
          <w:trHeight w:val="360"/>
        </w:trPr>
        <w:tc>
          <w:tcPr>
            <w:tcW w:w="5558" w:type="dxa"/>
            <w:tcMar>
              <w:left w:w="72" w:type="dxa"/>
              <w:right w:w="72" w:type="dxa"/>
            </w:tcMar>
            <w:vAlign w:val="center"/>
          </w:tcPr>
          <w:p w14:paraId="549690D7" w14:textId="77777777" w:rsidR="00B56452" w:rsidRPr="009076AD" w:rsidRDefault="00B56452" w:rsidP="0044201E">
            <w:pPr>
              <w:rPr>
                <w:rFonts w:cstheme="minorHAnsi"/>
                <w:sz w:val="22"/>
                <w:szCs w:val="22"/>
              </w:rPr>
            </w:pPr>
            <w:r w:rsidRPr="009076AD">
              <w:rPr>
                <w:rFonts w:cstheme="minorHAnsi"/>
                <w:sz w:val="22"/>
                <w:szCs w:val="22"/>
              </w:rPr>
              <w:t xml:space="preserve">     EPA Subcategory 4B</w:t>
            </w:r>
          </w:p>
        </w:tc>
        <w:tc>
          <w:tcPr>
            <w:tcW w:w="1526" w:type="dxa"/>
            <w:noWrap/>
            <w:tcMar>
              <w:left w:w="72" w:type="dxa"/>
              <w:right w:w="72" w:type="dxa"/>
            </w:tcMar>
            <w:vAlign w:val="center"/>
          </w:tcPr>
          <w:p w14:paraId="2F3F6505" w14:textId="77777777" w:rsidR="00B56452" w:rsidRPr="009076AD" w:rsidRDefault="00B56452" w:rsidP="0044201E">
            <w:pPr>
              <w:jc w:val="center"/>
              <w:rPr>
                <w:rFonts w:cstheme="minorHAnsi"/>
                <w:sz w:val="22"/>
                <w:szCs w:val="22"/>
              </w:rPr>
            </w:pPr>
            <w:r w:rsidRPr="009076AD">
              <w:rPr>
                <w:rFonts w:cstheme="minorHAnsi"/>
                <w:sz w:val="22"/>
                <w:szCs w:val="22"/>
              </w:rPr>
              <w:t>0</w:t>
            </w:r>
          </w:p>
        </w:tc>
        <w:tc>
          <w:tcPr>
            <w:tcW w:w="1526" w:type="dxa"/>
            <w:vMerge/>
            <w:noWrap/>
            <w:tcMar>
              <w:left w:w="72" w:type="dxa"/>
              <w:right w:w="72" w:type="dxa"/>
            </w:tcMar>
            <w:vAlign w:val="center"/>
          </w:tcPr>
          <w:p w14:paraId="2E132D49" w14:textId="77777777" w:rsidR="00B56452" w:rsidRPr="009076AD" w:rsidRDefault="00B56452" w:rsidP="0044201E">
            <w:pPr>
              <w:jc w:val="center"/>
              <w:rPr>
                <w:rFonts w:cstheme="minorHAnsi"/>
                <w:sz w:val="22"/>
                <w:szCs w:val="22"/>
              </w:rPr>
            </w:pPr>
          </w:p>
        </w:tc>
      </w:tr>
      <w:tr w:rsidR="00B56452" w:rsidRPr="00AA0117" w14:paraId="39A4FF36" w14:textId="77777777" w:rsidTr="0044201E">
        <w:trPr>
          <w:cantSplit/>
          <w:trHeight w:val="360"/>
        </w:trPr>
        <w:tc>
          <w:tcPr>
            <w:tcW w:w="5558" w:type="dxa"/>
            <w:tcBorders>
              <w:bottom w:val="single" w:sz="2" w:space="0" w:color="auto"/>
            </w:tcBorders>
            <w:tcMar>
              <w:left w:w="72" w:type="dxa"/>
              <w:right w:w="72" w:type="dxa"/>
            </w:tcMar>
            <w:vAlign w:val="center"/>
          </w:tcPr>
          <w:p w14:paraId="609E0DA3" w14:textId="77777777" w:rsidR="00B56452" w:rsidRPr="009076AD" w:rsidRDefault="00B56452" w:rsidP="0044201E">
            <w:pPr>
              <w:rPr>
                <w:rFonts w:cstheme="minorHAnsi"/>
                <w:sz w:val="22"/>
                <w:szCs w:val="22"/>
              </w:rPr>
            </w:pPr>
            <w:r w:rsidRPr="009076AD">
              <w:rPr>
                <w:rFonts w:cstheme="minorHAnsi"/>
                <w:sz w:val="22"/>
                <w:szCs w:val="22"/>
              </w:rPr>
              <w:t xml:space="preserve">     EPA Subcategory 4C</w:t>
            </w:r>
          </w:p>
        </w:tc>
        <w:tc>
          <w:tcPr>
            <w:tcW w:w="1526" w:type="dxa"/>
            <w:tcBorders>
              <w:bottom w:val="single" w:sz="2" w:space="0" w:color="auto"/>
            </w:tcBorders>
            <w:noWrap/>
            <w:tcMar>
              <w:left w:w="72" w:type="dxa"/>
              <w:right w:w="72" w:type="dxa"/>
            </w:tcMar>
            <w:vAlign w:val="center"/>
          </w:tcPr>
          <w:p w14:paraId="2A7E2166" w14:textId="77777777" w:rsidR="00B56452" w:rsidRPr="009076AD" w:rsidRDefault="00B56452" w:rsidP="0044201E">
            <w:pPr>
              <w:jc w:val="center"/>
              <w:rPr>
                <w:rFonts w:cstheme="minorHAnsi"/>
                <w:sz w:val="22"/>
                <w:szCs w:val="22"/>
              </w:rPr>
            </w:pPr>
            <w:r w:rsidRPr="009076AD">
              <w:rPr>
                <w:rFonts w:cstheme="minorHAnsi"/>
                <w:sz w:val="22"/>
                <w:szCs w:val="22"/>
              </w:rPr>
              <w:t>0</w:t>
            </w:r>
          </w:p>
        </w:tc>
        <w:tc>
          <w:tcPr>
            <w:tcW w:w="1526" w:type="dxa"/>
            <w:vMerge/>
            <w:tcBorders>
              <w:bottom w:val="single" w:sz="2" w:space="0" w:color="auto"/>
            </w:tcBorders>
            <w:noWrap/>
            <w:tcMar>
              <w:left w:w="72" w:type="dxa"/>
              <w:right w:w="72" w:type="dxa"/>
            </w:tcMar>
            <w:vAlign w:val="center"/>
          </w:tcPr>
          <w:p w14:paraId="43D41135" w14:textId="77777777" w:rsidR="00B56452" w:rsidRPr="009076AD" w:rsidRDefault="00B56452" w:rsidP="0044201E">
            <w:pPr>
              <w:jc w:val="center"/>
              <w:rPr>
                <w:rFonts w:cstheme="minorHAnsi"/>
                <w:sz w:val="22"/>
                <w:szCs w:val="22"/>
              </w:rPr>
            </w:pPr>
          </w:p>
        </w:tc>
      </w:tr>
      <w:tr w:rsidR="00B56452" w:rsidRPr="00AA0117" w14:paraId="54846E58" w14:textId="77777777" w:rsidTr="0044201E">
        <w:trPr>
          <w:cantSplit/>
          <w:trHeight w:val="360"/>
        </w:trPr>
        <w:tc>
          <w:tcPr>
            <w:tcW w:w="5558" w:type="dxa"/>
            <w:tcBorders>
              <w:top w:val="single" w:sz="2" w:space="0" w:color="auto"/>
            </w:tcBorders>
            <w:tcMar>
              <w:left w:w="72" w:type="dxa"/>
              <w:right w:w="72" w:type="dxa"/>
            </w:tcMar>
            <w:vAlign w:val="center"/>
          </w:tcPr>
          <w:p w14:paraId="09DF961C" w14:textId="77777777" w:rsidR="00B56452" w:rsidRPr="009076AD" w:rsidRDefault="00B56452" w:rsidP="0044201E">
            <w:pPr>
              <w:rPr>
                <w:rFonts w:cstheme="minorHAnsi"/>
                <w:sz w:val="22"/>
                <w:szCs w:val="22"/>
              </w:rPr>
            </w:pPr>
            <w:r w:rsidRPr="009076AD">
              <w:rPr>
                <w:rFonts w:cstheme="minorHAnsi"/>
                <w:b/>
                <w:bCs/>
                <w:sz w:val="22"/>
                <w:szCs w:val="22"/>
              </w:rPr>
              <w:t>EPA Category 5:</w:t>
            </w:r>
            <w:r w:rsidRPr="009076AD">
              <w:rPr>
                <w:rFonts w:cstheme="minorHAnsi"/>
                <w:sz w:val="22"/>
                <w:szCs w:val="22"/>
              </w:rPr>
              <w:t xml:space="preserve"> </w:t>
            </w:r>
            <w:r w:rsidRPr="009076AD">
              <w:rPr>
                <w:rFonts w:cstheme="minorHAnsi"/>
                <w:sz w:val="22"/>
                <w:szCs w:val="22"/>
              </w:rPr>
              <w:br/>
            </w:r>
            <w:r w:rsidRPr="009076AD">
              <w:rPr>
                <w:rFonts w:cstheme="minorHAnsi"/>
                <w:i/>
                <w:iCs/>
                <w:sz w:val="22"/>
                <w:szCs w:val="22"/>
              </w:rPr>
              <w:t>Waters are impaired or threatened and need a TMDL</w:t>
            </w:r>
          </w:p>
        </w:tc>
        <w:tc>
          <w:tcPr>
            <w:tcW w:w="1526" w:type="dxa"/>
            <w:tcBorders>
              <w:top w:val="single" w:sz="2" w:space="0" w:color="auto"/>
            </w:tcBorders>
            <w:noWrap/>
            <w:tcMar>
              <w:left w:w="72" w:type="dxa"/>
              <w:right w:w="72" w:type="dxa"/>
            </w:tcMar>
            <w:vAlign w:val="center"/>
          </w:tcPr>
          <w:p w14:paraId="618E5B54" w14:textId="68567603" w:rsidR="00B56452" w:rsidRPr="009076AD" w:rsidRDefault="00B56452" w:rsidP="0044201E">
            <w:pPr>
              <w:jc w:val="center"/>
              <w:rPr>
                <w:rFonts w:cstheme="minorHAnsi"/>
                <w:b/>
                <w:sz w:val="22"/>
                <w:szCs w:val="22"/>
              </w:rPr>
            </w:pPr>
            <w:r w:rsidRPr="009076AD">
              <w:rPr>
                <w:rFonts w:cstheme="minorHAnsi"/>
                <w:b/>
                <w:sz w:val="22"/>
                <w:szCs w:val="22"/>
              </w:rPr>
              <w:t>2,0</w:t>
            </w:r>
            <w:r w:rsidR="00E90850">
              <w:rPr>
                <w:rFonts w:cstheme="minorHAnsi"/>
                <w:b/>
                <w:sz w:val="22"/>
                <w:szCs w:val="22"/>
              </w:rPr>
              <w:t>69</w:t>
            </w:r>
          </w:p>
        </w:tc>
        <w:tc>
          <w:tcPr>
            <w:tcW w:w="1526" w:type="dxa"/>
            <w:tcBorders>
              <w:top w:val="single" w:sz="2" w:space="0" w:color="auto"/>
            </w:tcBorders>
            <w:noWrap/>
            <w:tcMar>
              <w:left w:w="72" w:type="dxa"/>
              <w:right w:w="72" w:type="dxa"/>
            </w:tcMar>
            <w:vAlign w:val="center"/>
          </w:tcPr>
          <w:p w14:paraId="2D529755" w14:textId="563DAEDF" w:rsidR="00B56452" w:rsidRPr="009076AD" w:rsidRDefault="00B56452" w:rsidP="0044201E">
            <w:pPr>
              <w:jc w:val="center"/>
              <w:rPr>
                <w:rFonts w:cstheme="minorHAnsi"/>
                <w:b/>
                <w:bCs/>
                <w:sz w:val="22"/>
                <w:szCs w:val="22"/>
              </w:rPr>
            </w:pPr>
            <w:r w:rsidRPr="009076AD">
              <w:rPr>
                <w:rFonts w:cstheme="minorHAnsi"/>
                <w:b/>
                <w:bCs/>
                <w:sz w:val="22"/>
                <w:szCs w:val="22"/>
              </w:rPr>
              <w:t>7</w:t>
            </w:r>
            <w:r w:rsidR="00350EDF">
              <w:rPr>
                <w:rFonts w:cstheme="minorHAnsi"/>
                <w:b/>
                <w:bCs/>
                <w:sz w:val="22"/>
                <w:szCs w:val="22"/>
              </w:rPr>
              <w:t>3</w:t>
            </w:r>
            <w:r w:rsidRPr="009076AD">
              <w:rPr>
                <w:rFonts w:cstheme="minorHAnsi"/>
                <w:b/>
                <w:bCs/>
                <w:sz w:val="22"/>
                <w:szCs w:val="22"/>
              </w:rPr>
              <w:t>%</w:t>
            </w:r>
          </w:p>
        </w:tc>
      </w:tr>
      <w:tr w:rsidR="00B56452" w:rsidRPr="00AA0117" w14:paraId="12F05251" w14:textId="77777777" w:rsidTr="0044201E">
        <w:trPr>
          <w:cantSplit/>
          <w:trHeight w:val="360"/>
        </w:trPr>
        <w:tc>
          <w:tcPr>
            <w:tcW w:w="5558" w:type="dxa"/>
            <w:tcMar>
              <w:left w:w="72" w:type="dxa"/>
              <w:right w:w="72" w:type="dxa"/>
            </w:tcMar>
            <w:vAlign w:val="center"/>
          </w:tcPr>
          <w:p w14:paraId="778A1755"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5A</w:t>
            </w:r>
          </w:p>
        </w:tc>
        <w:tc>
          <w:tcPr>
            <w:tcW w:w="1526" w:type="dxa"/>
            <w:noWrap/>
            <w:tcMar>
              <w:left w:w="72" w:type="dxa"/>
              <w:right w:w="72" w:type="dxa"/>
            </w:tcMar>
            <w:vAlign w:val="center"/>
          </w:tcPr>
          <w:p w14:paraId="07AE1144" w14:textId="3752CFD6" w:rsidR="00B56452" w:rsidRPr="009076AD" w:rsidRDefault="00E90850" w:rsidP="0044201E">
            <w:pPr>
              <w:jc w:val="center"/>
              <w:rPr>
                <w:rFonts w:cstheme="minorHAnsi"/>
                <w:sz w:val="22"/>
                <w:szCs w:val="22"/>
              </w:rPr>
            </w:pPr>
            <w:r>
              <w:rPr>
                <w:rFonts w:cstheme="minorHAnsi"/>
                <w:sz w:val="22"/>
                <w:szCs w:val="22"/>
              </w:rPr>
              <w:t>8</w:t>
            </w:r>
          </w:p>
        </w:tc>
        <w:tc>
          <w:tcPr>
            <w:tcW w:w="1526" w:type="dxa"/>
            <w:vMerge w:val="restart"/>
            <w:noWrap/>
            <w:tcMar>
              <w:left w:w="72" w:type="dxa"/>
              <w:right w:w="72" w:type="dxa"/>
            </w:tcMar>
            <w:vAlign w:val="center"/>
          </w:tcPr>
          <w:p w14:paraId="3BD91B12" w14:textId="77777777" w:rsidR="00B56452" w:rsidRPr="009076AD" w:rsidRDefault="00B56452" w:rsidP="0044201E">
            <w:pPr>
              <w:jc w:val="center"/>
              <w:rPr>
                <w:rFonts w:cstheme="minorHAnsi"/>
                <w:sz w:val="22"/>
                <w:szCs w:val="22"/>
              </w:rPr>
            </w:pPr>
          </w:p>
        </w:tc>
      </w:tr>
      <w:tr w:rsidR="00B56452" w:rsidRPr="00AA0117" w14:paraId="5DED243D" w14:textId="77777777" w:rsidTr="0044201E">
        <w:trPr>
          <w:cantSplit/>
          <w:trHeight w:val="360"/>
        </w:trPr>
        <w:tc>
          <w:tcPr>
            <w:tcW w:w="5558" w:type="dxa"/>
            <w:tcMar>
              <w:left w:w="72" w:type="dxa"/>
              <w:right w:w="72" w:type="dxa"/>
            </w:tcMar>
            <w:vAlign w:val="center"/>
          </w:tcPr>
          <w:p w14:paraId="2892998F"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5B</w:t>
            </w:r>
          </w:p>
        </w:tc>
        <w:tc>
          <w:tcPr>
            <w:tcW w:w="1526" w:type="dxa"/>
            <w:noWrap/>
            <w:tcMar>
              <w:left w:w="72" w:type="dxa"/>
              <w:right w:w="72" w:type="dxa"/>
            </w:tcMar>
            <w:vAlign w:val="center"/>
          </w:tcPr>
          <w:p w14:paraId="1B19DC44" w14:textId="77777777" w:rsidR="00B56452" w:rsidRPr="009076AD" w:rsidRDefault="00B56452" w:rsidP="0044201E">
            <w:pPr>
              <w:jc w:val="center"/>
              <w:rPr>
                <w:rFonts w:cstheme="minorHAnsi"/>
                <w:color w:val="000000"/>
                <w:sz w:val="22"/>
                <w:szCs w:val="22"/>
              </w:rPr>
            </w:pPr>
            <w:r w:rsidRPr="009076AD">
              <w:rPr>
                <w:rFonts w:cstheme="minorHAnsi"/>
                <w:sz w:val="22"/>
                <w:szCs w:val="22"/>
              </w:rPr>
              <w:t>0</w:t>
            </w:r>
          </w:p>
        </w:tc>
        <w:tc>
          <w:tcPr>
            <w:tcW w:w="1526" w:type="dxa"/>
            <w:vMerge/>
            <w:noWrap/>
            <w:tcMar>
              <w:left w:w="72" w:type="dxa"/>
              <w:right w:w="72" w:type="dxa"/>
            </w:tcMar>
            <w:vAlign w:val="center"/>
          </w:tcPr>
          <w:p w14:paraId="4A23E3F6" w14:textId="77777777" w:rsidR="00B56452" w:rsidRPr="009076AD" w:rsidRDefault="00B56452" w:rsidP="0044201E">
            <w:pPr>
              <w:jc w:val="center"/>
              <w:rPr>
                <w:rFonts w:cstheme="minorHAnsi"/>
                <w:sz w:val="22"/>
                <w:szCs w:val="22"/>
              </w:rPr>
            </w:pPr>
          </w:p>
        </w:tc>
      </w:tr>
      <w:tr w:rsidR="00B56452" w:rsidRPr="00AA0117" w14:paraId="241E76E5" w14:textId="77777777" w:rsidTr="0044201E">
        <w:trPr>
          <w:cantSplit/>
          <w:trHeight w:val="360"/>
        </w:trPr>
        <w:tc>
          <w:tcPr>
            <w:tcW w:w="5558" w:type="dxa"/>
            <w:tcMar>
              <w:left w:w="72" w:type="dxa"/>
              <w:right w:w="72" w:type="dxa"/>
            </w:tcMar>
            <w:vAlign w:val="center"/>
          </w:tcPr>
          <w:p w14:paraId="6D942A20"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5C</w:t>
            </w:r>
          </w:p>
        </w:tc>
        <w:tc>
          <w:tcPr>
            <w:tcW w:w="1526" w:type="dxa"/>
            <w:noWrap/>
            <w:tcMar>
              <w:left w:w="72" w:type="dxa"/>
              <w:right w:w="72" w:type="dxa"/>
            </w:tcMar>
            <w:vAlign w:val="center"/>
          </w:tcPr>
          <w:p w14:paraId="6820F207" w14:textId="6572393F" w:rsidR="00B56452" w:rsidRPr="009076AD" w:rsidRDefault="00C52E94" w:rsidP="0044201E">
            <w:pPr>
              <w:jc w:val="center"/>
              <w:rPr>
                <w:rFonts w:cstheme="minorHAnsi"/>
                <w:sz w:val="22"/>
                <w:szCs w:val="22"/>
              </w:rPr>
            </w:pPr>
            <w:r>
              <w:rPr>
                <w:rFonts w:cstheme="minorHAnsi"/>
                <w:sz w:val="22"/>
                <w:szCs w:val="22"/>
              </w:rPr>
              <w:t>&lt;1</w:t>
            </w:r>
          </w:p>
        </w:tc>
        <w:tc>
          <w:tcPr>
            <w:tcW w:w="1526" w:type="dxa"/>
            <w:vMerge/>
            <w:noWrap/>
            <w:tcMar>
              <w:left w:w="72" w:type="dxa"/>
              <w:right w:w="72" w:type="dxa"/>
            </w:tcMar>
            <w:vAlign w:val="center"/>
          </w:tcPr>
          <w:p w14:paraId="52F1DFAB" w14:textId="77777777" w:rsidR="00B56452" w:rsidRPr="009076AD" w:rsidRDefault="00B56452" w:rsidP="0044201E">
            <w:pPr>
              <w:jc w:val="center"/>
              <w:rPr>
                <w:rFonts w:cstheme="minorHAnsi"/>
                <w:sz w:val="22"/>
                <w:szCs w:val="22"/>
              </w:rPr>
            </w:pPr>
          </w:p>
        </w:tc>
      </w:tr>
      <w:tr w:rsidR="00B56452" w:rsidRPr="00AA0117" w14:paraId="725B28A4" w14:textId="77777777" w:rsidTr="0044201E">
        <w:trPr>
          <w:cantSplit/>
          <w:trHeight w:val="360"/>
        </w:trPr>
        <w:tc>
          <w:tcPr>
            <w:tcW w:w="5558" w:type="dxa"/>
            <w:tcMar>
              <w:left w:w="72" w:type="dxa"/>
              <w:right w:w="72" w:type="dxa"/>
            </w:tcMar>
            <w:vAlign w:val="center"/>
          </w:tcPr>
          <w:p w14:paraId="3FC3E584"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5D</w:t>
            </w:r>
          </w:p>
        </w:tc>
        <w:tc>
          <w:tcPr>
            <w:tcW w:w="1526" w:type="dxa"/>
            <w:noWrap/>
            <w:tcMar>
              <w:left w:w="72" w:type="dxa"/>
              <w:right w:w="72" w:type="dxa"/>
            </w:tcMar>
            <w:vAlign w:val="center"/>
          </w:tcPr>
          <w:p w14:paraId="5948C6E1" w14:textId="267C2AD7" w:rsidR="00B56452" w:rsidRPr="009076AD" w:rsidRDefault="00B56452" w:rsidP="0044201E">
            <w:pPr>
              <w:jc w:val="center"/>
              <w:rPr>
                <w:rFonts w:cstheme="minorHAnsi"/>
                <w:sz w:val="22"/>
                <w:szCs w:val="22"/>
              </w:rPr>
            </w:pPr>
            <w:r w:rsidRPr="009076AD">
              <w:rPr>
                <w:rFonts w:cstheme="minorHAnsi"/>
                <w:sz w:val="22"/>
                <w:szCs w:val="22"/>
              </w:rPr>
              <w:t>2,02</w:t>
            </w:r>
            <w:r w:rsidR="00E90850">
              <w:rPr>
                <w:rFonts w:cstheme="minorHAnsi"/>
                <w:sz w:val="22"/>
                <w:szCs w:val="22"/>
              </w:rPr>
              <w:t>3</w:t>
            </w:r>
          </w:p>
        </w:tc>
        <w:tc>
          <w:tcPr>
            <w:tcW w:w="1526" w:type="dxa"/>
            <w:vMerge/>
            <w:noWrap/>
            <w:tcMar>
              <w:left w:w="72" w:type="dxa"/>
              <w:right w:w="72" w:type="dxa"/>
            </w:tcMar>
            <w:vAlign w:val="center"/>
          </w:tcPr>
          <w:p w14:paraId="58027BFB" w14:textId="77777777" w:rsidR="00B56452" w:rsidRPr="009076AD" w:rsidRDefault="00B56452" w:rsidP="0044201E">
            <w:pPr>
              <w:jc w:val="center"/>
              <w:rPr>
                <w:rFonts w:cstheme="minorHAnsi"/>
                <w:sz w:val="22"/>
                <w:szCs w:val="22"/>
              </w:rPr>
            </w:pPr>
          </w:p>
        </w:tc>
      </w:tr>
      <w:tr w:rsidR="00B56452" w:rsidRPr="00AA0117" w14:paraId="530E9F67" w14:textId="77777777" w:rsidTr="0044201E">
        <w:trPr>
          <w:cantSplit/>
          <w:trHeight w:val="360"/>
        </w:trPr>
        <w:tc>
          <w:tcPr>
            <w:tcW w:w="5558" w:type="dxa"/>
            <w:tcMar>
              <w:left w:w="72" w:type="dxa"/>
              <w:right w:w="72" w:type="dxa"/>
            </w:tcMar>
            <w:vAlign w:val="center"/>
          </w:tcPr>
          <w:p w14:paraId="2E332154"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5E</w:t>
            </w:r>
          </w:p>
        </w:tc>
        <w:tc>
          <w:tcPr>
            <w:tcW w:w="1526" w:type="dxa"/>
            <w:noWrap/>
            <w:tcMar>
              <w:left w:w="72" w:type="dxa"/>
              <w:right w:w="72" w:type="dxa"/>
            </w:tcMar>
            <w:vAlign w:val="center"/>
          </w:tcPr>
          <w:p w14:paraId="7A924FD4" w14:textId="77777777" w:rsidR="00B56452" w:rsidRPr="009076AD" w:rsidRDefault="00B56452" w:rsidP="0044201E">
            <w:pPr>
              <w:jc w:val="center"/>
              <w:rPr>
                <w:rFonts w:cstheme="minorHAnsi"/>
                <w:sz w:val="22"/>
                <w:szCs w:val="22"/>
              </w:rPr>
            </w:pPr>
            <w:r w:rsidRPr="009076AD">
              <w:rPr>
                <w:rFonts w:cstheme="minorHAnsi"/>
                <w:sz w:val="22"/>
                <w:szCs w:val="22"/>
              </w:rPr>
              <w:t>0</w:t>
            </w:r>
          </w:p>
        </w:tc>
        <w:tc>
          <w:tcPr>
            <w:tcW w:w="1526" w:type="dxa"/>
            <w:vMerge/>
            <w:noWrap/>
            <w:tcMar>
              <w:left w:w="72" w:type="dxa"/>
              <w:right w:w="72" w:type="dxa"/>
            </w:tcMar>
            <w:vAlign w:val="center"/>
          </w:tcPr>
          <w:p w14:paraId="5A0D80AF" w14:textId="77777777" w:rsidR="00B56452" w:rsidRPr="009076AD" w:rsidRDefault="00B56452" w:rsidP="0044201E">
            <w:pPr>
              <w:jc w:val="center"/>
              <w:rPr>
                <w:rFonts w:cstheme="minorHAnsi"/>
                <w:sz w:val="22"/>
                <w:szCs w:val="22"/>
              </w:rPr>
            </w:pPr>
          </w:p>
        </w:tc>
      </w:tr>
      <w:tr w:rsidR="00B56452" w:rsidRPr="00AA0117" w14:paraId="0353C927" w14:textId="77777777" w:rsidTr="0044201E">
        <w:trPr>
          <w:cantSplit/>
          <w:trHeight w:val="360"/>
        </w:trPr>
        <w:tc>
          <w:tcPr>
            <w:tcW w:w="5558" w:type="dxa"/>
            <w:tcMar>
              <w:left w:w="72" w:type="dxa"/>
              <w:right w:w="72" w:type="dxa"/>
            </w:tcMar>
            <w:vAlign w:val="center"/>
          </w:tcPr>
          <w:p w14:paraId="7306067C"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5F</w:t>
            </w:r>
          </w:p>
        </w:tc>
        <w:tc>
          <w:tcPr>
            <w:tcW w:w="1526" w:type="dxa"/>
            <w:noWrap/>
            <w:tcMar>
              <w:left w:w="72" w:type="dxa"/>
              <w:right w:w="72" w:type="dxa"/>
            </w:tcMar>
            <w:vAlign w:val="center"/>
          </w:tcPr>
          <w:p w14:paraId="4933BB9B" w14:textId="77777777" w:rsidR="00B56452" w:rsidRPr="009076AD" w:rsidRDefault="00B56452" w:rsidP="0044201E">
            <w:pPr>
              <w:jc w:val="center"/>
              <w:rPr>
                <w:rFonts w:cstheme="minorHAnsi"/>
                <w:sz w:val="22"/>
                <w:szCs w:val="22"/>
              </w:rPr>
            </w:pPr>
            <w:r w:rsidRPr="009076AD">
              <w:rPr>
                <w:rFonts w:cstheme="minorHAnsi"/>
                <w:sz w:val="22"/>
                <w:szCs w:val="22"/>
              </w:rPr>
              <w:t>38</w:t>
            </w:r>
          </w:p>
        </w:tc>
        <w:tc>
          <w:tcPr>
            <w:tcW w:w="1526" w:type="dxa"/>
            <w:vMerge/>
            <w:noWrap/>
            <w:tcMar>
              <w:left w:w="72" w:type="dxa"/>
              <w:right w:w="72" w:type="dxa"/>
            </w:tcMar>
            <w:vAlign w:val="center"/>
          </w:tcPr>
          <w:p w14:paraId="60B10D30" w14:textId="77777777" w:rsidR="00B56452" w:rsidRPr="009076AD" w:rsidRDefault="00B56452" w:rsidP="0044201E">
            <w:pPr>
              <w:jc w:val="center"/>
              <w:rPr>
                <w:rFonts w:cstheme="minorHAnsi"/>
                <w:sz w:val="22"/>
                <w:szCs w:val="22"/>
              </w:rPr>
            </w:pPr>
          </w:p>
        </w:tc>
      </w:tr>
      <w:tr w:rsidR="00B56452" w:rsidRPr="00AA0117" w14:paraId="125944F3" w14:textId="77777777" w:rsidTr="0044201E">
        <w:trPr>
          <w:cantSplit/>
          <w:trHeight w:val="360"/>
        </w:trPr>
        <w:tc>
          <w:tcPr>
            <w:tcW w:w="5558" w:type="dxa"/>
            <w:tcBorders>
              <w:bottom w:val="single" w:sz="2" w:space="0" w:color="auto"/>
            </w:tcBorders>
            <w:tcMar>
              <w:left w:w="72" w:type="dxa"/>
              <w:right w:w="72" w:type="dxa"/>
            </w:tcMar>
            <w:vAlign w:val="center"/>
          </w:tcPr>
          <w:p w14:paraId="4058810F" w14:textId="77777777" w:rsidR="00B56452" w:rsidRPr="009076AD" w:rsidRDefault="00B56452" w:rsidP="0044201E">
            <w:pPr>
              <w:rPr>
                <w:rFonts w:cstheme="minorHAnsi"/>
                <w:sz w:val="22"/>
                <w:szCs w:val="22"/>
              </w:rPr>
            </w:pPr>
            <w:r w:rsidRPr="009076AD">
              <w:rPr>
                <w:rFonts w:cstheme="minorHAnsi"/>
                <w:sz w:val="22"/>
                <w:szCs w:val="22"/>
              </w:rPr>
              <w:t xml:space="preserve">     Virginia Subcategory 5R</w:t>
            </w:r>
          </w:p>
        </w:tc>
        <w:tc>
          <w:tcPr>
            <w:tcW w:w="1526" w:type="dxa"/>
            <w:tcBorders>
              <w:bottom w:val="single" w:sz="2" w:space="0" w:color="auto"/>
            </w:tcBorders>
            <w:noWrap/>
            <w:tcMar>
              <w:left w:w="72" w:type="dxa"/>
              <w:right w:w="72" w:type="dxa"/>
            </w:tcMar>
            <w:vAlign w:val="center"/>
          </w:tcPr>
          <w:p w14:paraId="1E5BF685" w14:textId="10ECB951" w:rsidR="00B56452" w:rsidRPr="009076AD" w:rsidRDefault="00C52E94" w:rsidP="0044201E">
            <w:pPr>
              <w:jc w:val="center"/>
              <w:rPr>
                <w:rFonts w:cstheme="minorHAnsi"/>
                <w:sz w:val="22"/>
                <w:szCs w:val="22"/>
              </w:rPr>
            </w:pPr>
            <w:r>
              <w:rPr>
                <w:rFonts w:cstheme="minorHAnsi"/>
                <w:sz w:val="22"/>
                <w:szCs w:val="22"/>
              </w:rPr>
              <w:t>&lt;1</w:t>
            </w:r>
          </w:p>
        </w:tc>
        <w:tc>
          <w:tcPr>
            <w:tcW w:w="1526" w:type="dxa"/>
            <w:vMerge/>
            <w:tcBorders>
              <w:bottom w:val="single" w:sz="2" w:space="0" w:color="auto"/>
            </w:tcBorders>
            <w:noWrap/>
            <w:tcMar>
              <w:left w:w="72" w:type="dxa"/>
              <w:right w:w="72" w:type="dxa"/>
            </w:tcMar>
            <w:vAlign w:val="center"/>
          </w:tcPr>
          <w:p w14:paraId="490CFD2B" w14:textId="77777777" w:rsidR="00B56452" w:rsidRPr="009076AD" w:rsidRDefault="00B56452" w:rsidP="0044201E">
            <w:pPr>
              <w:jc w:val="center"/>
              <w:rPr>
                <w:rFonts w:cstheme="minorHAnsi"/>
                <w:sz w:val="22"/>
                <w:szCs w:val="22"/>
              </w:rPr>
            </w:pPr>
          </w:p>
        </w:tc>
      </w:tr>
      <w:tr w:rsidR="00B56452" w:rsidRPr="00AA0117" w14:paraId="0B3CB237" w14:textId="77777777" w:rsidTr="0044201E">
        <w:trPr>
          <w:cantSplit/>
          <w:trHeight w:val="360"/>
        </w:trPr>
        <w:tc>
          <w:tcPr>
            <w:tcW w:w="5558" w:type="dxa"/>
            <w:tcBorders>
              <w:top w:val="single" w:sz="2" w:space="0" w:color="auto"/>
              <w:bottom w:val="single" w:sz="12" w:space="0" w:color="auto"/>
            </w:tcBorders>
            <w:noWrap/>
            <w:tcMar>
              <w:left w:w="72" w:type="dxa"/>
              <w:right w:w="72" w:type="dxa"/>
            </w:tcMar>
            <w:vAlign w:val="center"/>
          </w:tcPr>
          <w:p w14:paraId="05B6C817" w14:textId="77777777" w:rsidR="00B56452" w:rsidRPr="009076AD" w:rsidRDefault="00B56452" w:rsidP="0044201E">
            <w:pPr>
              <w:rPr>
                <w:rFonts w:cstheme="minorHAnsi"/>
                <w:b/>
                <w:bCs/>
                <w:sz w:val="22"/>
                <w:szCs w:val="22"/>
              </w:rPr>
            </w:pPr>
            <w:r w:rsidRPr="009076AD">
              <w:rPr>
                <w:rFonts w:cstheme="minorHAnsi"/>
                <w:b/>
                <w:bCs/>
                <w:sz w:val="22"/>
                <w:szCs w:val="22"/>
              </w:rPr>
              <w:t>Total Size</w:t>
            </w:r>
          </w:p>
        </w:tc>
        <w:tc>
          <w:tcPr>
            <w:tcW w:w="1526" w:type="dxa"/>
            <w:tcBorders>
              <w:top w:val="single" w:sz="2" w:space="0" w:color="auto"/>
              <w:bottom w:val="single" w:sz="12" w:space="0" w:color="auto"/>
            </w:tcBorders>
            <w:noWrap/>
            <w:tcMar>
              <w:left w:w="72" w:type="dxa"/>
              <w:right w:w="72" w:type="dxa"/>
            </w:tcMar>
            <w:vAlign w:val="center"/>
          </w:tcPr>
          <w:p w14:paraId="5026DB78" w14:textId="3C92E7DA" w:rsidR="00B56452" w:rsidRPr="009076AD" w:rsidRDefault="00B56452" w:rsidP="0044201E">
            <w:pPr>
              <w:jc w:val="center"/>
              <w:rPr>
                <w:rFonts w:cstheme="minorHAnsi"/>
                <w:b/>
                <w:sz w:val="22"/>
                <w:szCs w:val="22"/>
              </w:rPr>
            </w:pPr>
            <w:r w:rsidRPr="009076AD">
              <w:rPr>
                <w:rFonts w:cstheme="minorHAnsi"/>
                <w:b/>
                <w:sz w:val="22"/>
                <w:szCs w:val="22"/>
              </w:rPr>
              <w:t>2,84</w:t>
            </w:r>
            <w:r w:rsidR="006532BA">
              <w:rPr>
                <w:rFonts w:cstheme="minorHAnsi"/>
                <w:b/>
                <w:sz w:val="22"/>
                <w:szCs w:val="22"/>
              </w:rPr>
              <w:t>2</w:t>
            </w:r>
          </w:p>
        </w:tc>
        <w:tc>
          <w:tcPr>
            <w:tcW w:w="1526" w:type="dxa"/>
            <w:tcBorders>
              <w:top w:val="single" w:sz="2" w:space="0" w:color="auto"/>
              <w:bottom w:val="single" w:sz="12" w:space="0" w:color="auto"/>
            </w:tcBorders>
            <w:noWrap/>
            <w:tcMar>
              <w:left w:w="72" w:type="dxa"/>
              <w:right w:w="72" w:type="dxa"/>
            </w:tcMar>
            <w:vAlign w:val="center"/>
          </w:tcPr>
          <w:p w14:paraId="7DBE5E83" w14:textId="6A59B5FA" w:rsidR="00B56452" w:rsidRPr="009076AD" w:rsidRDefault="00B56452" w:rsidP="0044201E">
            <w:pPr>
              <w:jc w:val="center"/>
              <w:rPr>
                <w:rFonts w:cstheme="minorHAnsi"/>
                <w:b/>
                <w:bCs/>
                <w:sz w:val="22"/>
                <w:szCs w:val="22"/>
              </w:rPr>
            </w:pPr>
            <w:r w:rsidRPr="009076AD">
              <w:rPr>
                <w:rFonts w:cstheme="minorHAnsi"/>
                <w:b/>
                <w:bCs/>
                <w:sz w:val="22"/>
                <w:szCs w:val="22"/>
              </w:rPr>
              <w:t>100%</w:t>
            </w:r>
          </w:p>
        </w:tc>
      </w:tr>
    </w:tbl>
    <w:p w14:paraId="0BD01B69" w14:textId="77777777" w:rsidR="00AA4991" w:rsidRDefault="00AA4991" w:rsidP="0016244E">
      <w:pPr>
        <w:widowControl/>
        <w:rPr>
          <w:rFonts w:cstheme="minorHAnsi"/>
          <w:szCs w:val="24"/>
        </w:rPr>
      </w:pPr>
    </w:p>
    <w:p w14:paraId="6A71DA70" w14:textId="1412A667" w:rsidR="0016244E" w:rsidRPr="002F0E32" w:rsidRDefault="00DA0B2F" w:rsidP="0016244E">
      <w:pPr>
        <w:widowControl/>
        <w:rPr>
          <w:rFonts w:cstheme="minorHAnsi"/>
          <w:szCs w:val="24"/>
        </w:rPr>
      </w:pPr>
      <w:r>
        <w:rPr>
          <w:rFonts w:cstheme="minorHAnsi"/>
          <w:szCs w:val="24"/>
        </w:rPr>
        <w:t>Designated use support</w:t>
      </w:r>
      <w:r w:rsidR="0016244E" w:rsidRPr="002F0E32">
        <w:rPr>
          <w:rFonts w:cstheme="minorHAnsi"/>
          <w:szCs w:val="24"/>
        </w:rPr>
        <w:t xml:space="preserve"> summaries of the river miles, estuarine square miles, and lake/reservoir acres within and bordering Virginia are presented in </w:t>
      </w:r>
      <w:r w:rsidR="0016244E">
        <w:rPr>
          <w:rFonts w:cstheme="minorHAnsi"/>
          <w:szCs w:val="24"/>
        </w:rPr>
        <w:t>Figures</w:t>
      </w:r>
      <w:r w:rsidR="0016244E" w:rsidRPr="002F0E32">
        <w:rPr>
          <w:rFonts w:cstheme="minorHAnsi"/>
          <w:szCs w:val="24"/>
        </w:rPr>
        <w:t xml:space="preserve"> 4.2-</w:t>
      </w:r>
      <w:r w:rsidR="000F775F">
        <w:rPr>
          <w:rFonts w:cstheme="minorHAnsi"/>
          <w:szCs w:val="24"/>
        </w:rPr>
        <w:t>1</w:t>
      </w:r>
      <w:r w:rsidR="0016244E" w:rsidRPr="002F0E32">
        <w:rPr>
          <w:rFonts w:cstheme="minorHAnsi"/>
          <w:szCs w:val="24"/>
        </w:rPr>
        <w:t xml:space="preserve"> through 4.2-</w:t>
      </w:r>
      <w:r w:rsidR="000F775F">
        <w:rPr>
          <w:rFonts w:cstheme="minorHAnsi"/>
          <w:szCs w:val="24"/>
        </w:rPr>
        <w:t>4</w:t>
      </w:r>
      <w:r w:rsidR="0016244E" w:rsidRPr="002F0E32">
        <w:rPr>
          <w:rFonts w:cstheme="minorHAnsi"/>
          <w:szCs w:val="24"/>
        </w:rPr>
        <w:t>. The overall assessment of each waterbody was determined by examining the support of up to six designated uses</w:t>
      </w:r>
      <w:r w:rsidR="0016244E">
        <w:rPr>
          <w:rFonts w:cstheme="minorHAnsi"/>
          <w:szCs w:val="24"/>
        </w:rPr>
        <w:t xml:space="preserve">, </w:t>
      </w:r>
      <w:r w:rsidR="0016244E" w:rsidRPr="002F0E32">
        <w:rPr>
          <w:rFonts w:cstheme="minorHAnsi"/>
          <w:szCs w:val="24"/>
        </w:rPr>
        <w:t xml:space="preserve">as </w:t>
      </w:r>
      <w:r w:rsidR="0016244E">
        <w:rPr>
          <w:rFonts w:cstheme="minorHAnsi"/>
          <w:szCs w:val="24"/>
        </w:rPr>
        <w:t>applicable</w:t>
      </w:r>
      <w:r w:rsidR="0016244E" w:rsidRPr="002F0E32">
        <w:rPr>
          <w:rFonts w:cstheme="minorHAnsi"/>
          <w:szCs w:val="24"/>
        </w:rPr>
        <w:t>, for each assessed waterbody. The assessment of a specific use depends on the types of data that are available. Additionally, not all uses may exist in each water. For instance, the public water supply use only applies to the waters designated</w:t>
      </w:r>
      <w:r w:rsidR="0016244E">
        <w:rPr>
          <w:rFonts w:cstheme="minorHAnsi"/>
          <w:szCs w:val="24"/>
        </w:rPr>
        <w:t xml:space="preserve"> as such</w:t>
      </w:r>
      <w:r w:rsidR="0016244E" w:rsidRPr="002F0E32">
        <w:rPr>
          <w:rFonts w:cstheme="minorHAnsi"/>
          <w:szCs w:val="24"/>
        </w:rPr>
        <w:t xml:space="preserve"> in Virginia’s water quality standards. The </w:t>
      </w:r>
      <w:proofErr w:type="spellStart"/>
      <w:r w:rsidR="0016244E" w:rsidRPr="002F0E32">
        <w:rPr>
          <w:rFonts w:cstheme="minorHAnsi"/>
          <w:szCs w:val="24"/>
        </w:rPr>
        <w:t>shellfishing</w:t>
      </w:r>
      <w:proofErr w:type="spellEnd"/>
      <w:r w:rsidR="0016244E" w:rsidRPr="002F0E32">
        <w:rPr>
          <w:rFonts w:cstheme="minorHAnsi"/>
          <w:szCs w:val="24"/>
        </w:rPr>
        <w:t xml:space="preserve"> use only exists in estuarine waters.</w:t>
      </w:r>
    </w:p>
    <w:p w14:paraId="7137105D" w14:textId="77777777" w:rsidR="0016244E" w:rsidRDefault="0016244E" w:rsidP="00E7237A">
      <w:pPr>
        <w:rPr>
          <w:rFonts w:ascii="Times New Roman" w:hAnsi="Times New Roman"/>
          <w:sz w:val="20"/>
          <w:szCs w:val="24"/>
        </w:rPr>
      </w:pPr>
    </w:p>
    <w:p w14:paraId="52E44617" w14:textId="7D0FAD7B" w:rsidR="00317C24" w:rsidRDefault="00B579BA" w:rsidP="00E7237A">
      <w:pPr>
        <w:rPr>
          <w:rFonts w:ascii="Times New Roman" w:hAnsi="Times New Roman"/>
          <w:sz w:val="20"/>
          <w:szCs w:val="24"/>
        </w:rPr>
      </w:pPr>
      <w:r>
        <w:rPr>
          <w:noProof/>
        </w:rPr>
        <w:lastRenderedPageBreak/>
        <w:drawing>
          <wp:inline distT="0" distB="0" distL="0" distR="0" wp14:anchorId="5D7F3BAC" wp14:editId="179CA4FD">
            <wp:extent cx="5334000" cy="3810000"/>
            <wp:effectExtent l="0" t="0" r="0" b="0"/>
            <wp:docPr id="27" name="Picture" descr="Chart, bar chart&#10;&#10;Figure 4.2 1. Designated use summary for rivers (81,148 miles were not assessed)."/>
            <wp:cNvGraphicFramePr/>
            <a:graphic xmlns:a="http://schemas.openxmlformats.org/drawingml/2006/main">
              <a:graphicData uri="http://schemas.openxmlformats.org/drawingml/2006/picture">
                <pic:pic xmlns:pic="http://schemas.openxmlformats.org/drawingml/2006/picture">
                  <pic:nvPicPr>
                    <pic:cNvPr id="27" name="Picture" descr="Chart, bar chart&#10;&#10;Figure 4.2 1. Designated use summary for rivers (81,148 miles were not assessed)."/>
                    <pic:cNvPicPr>
                      <a:picLocks noChangeAspect="1" noChangeArrowheads="1"/>
                    </pic:cNvPicPr>
                  </pic:nvPicPr>
                  <pic:blipFill>
                    <a:blip r:embed="rId135"/>
                    <a:stretch>
                      <a:fillRect/>
                    </a:stretch>
                  </pic:blipFill>
                  <pic:spPr bwMode="auto">
                    <a:xfrm>
                      <a:off x="0" y="0"/>
                      <a:ext cx="5334000" cy="3810000"/>
                    </a:xfrm>
                    <a:prstGeom prst="rect">
                      <a:avLst/>
                    </a:prstGeom>
                    <a:noFill/>
                    <a:ln w="9525">
                      <a:noFill/>
                      <a:headEnd/>
                      <a:tailEnd/>
                    </a:ln>
                  </pic:spPr>
                </pic:pic>
              </a:graphicData>
            </a:graphic>
          </wp:inline>
        </w:drawing>
      </w:r>
    </w:p>
    <w:p w14:paraId="5553853B" w14:textId="4449F4EB" w:rsidR="005B7128" w:rsidRPr="00E7237A" w:rsidRDefault="005B7128" w:rsidP="00E7237A">
      <w:pPr>
        <w:rPr>
          <w:rFonts w:ascii="Times New Roman" w:hAnsi="Times New Roman"/>
          <w:sz w:val="20"/>
          <w:szCs w:val="24"/>
        </w:rPr>
      </w:pPr>
    </w:p>
    <w:p w14:paraId="323C9508" w14:textId="52F7322A" w:rsidR="002E2AC5" w:rsidRPr="00281CAB" w:rsidRDefault="00773F83" w:rsidP="00281CAB">
      <w:pPr>
        <w:pStyle w:val="Caption"/>
      </w:pPr>
      <w:bookmarkStart w:id="84" w:name="_Toc152766223"/>
      <w:bookmarkStart w:id="85" w:name="_Toc164175048"/>
      <w:r>
        <w:t xml:space="preserve">Figure </w:t>
      </w:r>
      <w:r w:rsidR="004F13BA">
        <w:fldChar w:fldCharType="begin"/>
      </w:r>
      <w:r w:rsidR="004F13BA">
        <w:instrText xml:space="preserve"> STYLEREF 2 \s </w:instrText>
      </w:r>
      <w:r w:rsidR="004F13BA">
        <w:fldChar w:fldCharType="separate"/>
      </w:r>
      <w:r w:rsidR="00E429BB">
        <w:rPr>
          <w:noProof/>
        </w:rPr>
        <w:t>4.2</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Designated use summary for rivers</w:t>
      </w:r>
      <w:bookmarkEnd w:id="84"/>
      <w:r w:rsidR="00532A40">
        <w:t xml:space="preserve"> (81,</w:t>
      </w:r>
      <w:r w:rsidR="00DE6F7D">
        <w:t>148</w:t>
      </w:r>
      <w:r w:rsidR="00CC1FD5">
        <w:t xml:space="preserve"> miles were not assessed</w:t>
      </w:r>
      <w:r w:rsidR="00FD1603">
        <w:t>)</w:t>
      </w:r>
      <w:r w:rsidR="00CC1FD5">
        <w:t>.</w:t>
      </w:r>
      <w:bookmarkEnd w:id="85"/>
      <w:r w:rsidR="00281CAB">
        <w:br/>
      </w:r>
    </w:p>
    <w:p w14:paraId="7FD3DB74" w14:textId="7D653B1C" w:rsidR="00773F83" w:rsidRDefault="00575DEB" w:rsidP="00773F83">
      <w:pPr>
        <w:keepNext/>
      </w:pPr>
      <w:r>
        <w:rPr>
          <w:noProof/>
        </w:rPr>
        <w:drawing>
          <wp:inline distT="0" distB="0" distL="0" distR="0" wp14:anchorId="2F99A92B" wp14:editId="7E466CDB">
            <wp:extent cx="5334000" cy="3810000"/>
            <wp:effectExtent l="0" t="0" r="0" b="0"/>
            <wp:docPr id="33" name="Picture" descr="Chart, bar chart&#10;&#10;Figure 4.2 2. Designated use summary for lakes (2,439 acres not assessed)."/>
            <wp:cNvGraphicFramePr/>
            <a:graphic xmlns:a="http://schemas.openxmlformats.org/drawingml/2006/main">
              <a:graphicData uri="http://schemas.openxmlformats.org/drawingml/2006/picture">
                <pic:pic xmlns:pic="http://schemas.openxmlformats.org/drawingml/2006/picture">
                  <pic:nvPicPr>
                    <pic:cNvPr id="33" name="Picture" descr="Chart, bar chart&#10;&#10;Figure 4.2 2. Designated use summary for lakes (2,439 acres not assessed)."/>
                    <pic:cNvPicPr>
                      <a:picLocks noChangeAspect="1" noChangeArrowheads="1"/>
                    </pic:cNvPicPr>
                  </pic:nvPicPr>
                  <pic:blipFill>
                    <a:blip r:embed="rId136"/>
                    <a:stretch>
                      <a:fillRect/>
                    </a:stretch>
                  </pic:blipFill>
                  <pic:spPr bwMode="auto">
                    <a:xfrm>
                      <a:off x="0" y="0"/>
                      <a:ext cx="5334000" cy="3810000"/>
                    </a:xfrm>
                    <a:prstGeom prst="rect">
                      <a:avLst/>
                    </a:prstGeom>
                    <a:noFill/>
                    <a:ln w="9525">
                      <a:noFill/>
                      <a:headEnd/>
                      <a:tailEnd/>
                    </a:ln>
                  </pic:spPr>
                </pic:pic>
              </a:graphicData>
            </a:graphic>
          </wp:inline>
        </w:drawing>
      </w:r>
    </w:p>
    <w:p w14:paraId="602BC8FF" w14:textId="6DBC83BC" w:rsidR="00281CAB" w:rsidRPr="00281CAB" w:rsidRDefault="00773F83" w:rsidP="005364FB">
      <w:pPr>
        <w:pStyle w:val="Caption"/>
      </w:pPr>
      <w:bookmarkStart w:id="86" w:name="_Toc152766224"/>
      <w:bookmarkStart w:id="87" w:name="_Toc164175049"/>
      <w:r>
        <w:t xml:space="preserve">Figure </w:t>
      </w:r>
      <w:r w:rsidR="004F13BA">
        <w:fldChar w:fldCharType="begin"/>
      </w:r>
      <w:r w:rsidR="004F13BA">
        <w:instrText xml:space="preserve"> STYLEREF 2 \s </w:instrText>
      </w:r>
      <w:r w:rsidR="004F13BA">
        <w:fldChar w:fldCharType="separate"/>
      </w:r>
      <w:r w:rsidR="00E429BB">
        <w:rPr>
          <w:noProof/>
        </w:rPr>
        <w:t>4.2</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w:t>
      </w:r>
      <w:r w:rsidR="004F13BA">
        <w:rPr>
          <w:noProof/>
        </w:rPr>
        <w:fldChar w:fldCharType="end"/>
      </w:r>
      <w:r>
        <w:t xml:space="preserve">. </w:t>
      </w:r>
      <w:r w:rsidRPr="00773F83">
        <w:rPr>
          <w:rFonts w:cstheme="minorHAnsi"/>
          <w:szCs w:val="20"/>
        </w:rPr>
        <w:t>Designated use summary for lakes</w:t>
      </w:r>
      <w:bookmarkEnd w:id="86"/>
      <w:r w:rsidR="0093607B">
        <w:rPr>
          <w:rFonts w:cstheme="minorHAnsi"/>
          <w:szCs w:val="20"/>
          <w:vertAlign w:val="superscript"/>
        </w:rPr>
        <w:t xml:space="preserve"> </w:t>
      </w:r>
      <w:r w:rsidR="0093607B">
        <w:rPr>
          <w:rFonts w:cstheme="minorHAnsi"/>
          <w:szCs w:val="20"/>
        </w:rPr>
        <w:t>(</w:t>
      </w:r>
      <w:r w:rsidR="00FE08F9">
        <w:rPr>
          <w:rFonts w:cstheme="minorHAnsi"/>
          <w:szCs w:val="20"/>
        </w:rPr>
        <w:t>2,439</w:t>
      </w:r>
      <w:r w:rsidR="00887EF0">
        <w:rPr>
          <w:rFonts w:cstheme="minorHAnsi"/>
          <w:szCs w:val="20"/>
        </w:rPr>
        <w:t xml:space="preserve"> acres not assessed).</w:t>
      </w:r>
      <w:bookmarkEnd w:id="87"/>
    </w:p>
    <w:p w14:paraId="24BDBE7E" w14:textId="01E0E92B" w:rsidR="00773F83" w:rsidRDefault="007B6114" w:rsidP="00773F83">
      <w:pPr>
        <w:keepNext/>
      </w:pPr>
      <w:r>
        <w:rPr>
          <w:noProof/>
        </w:rPr>
        <w:lastRenderedPageBreak/>
        <w:drawing>
          <wp:inline distT="0" distB="0" distL="0" distR="0" wp14:anchorId="2C5DBF15" wp14:editId="7EC44F83">
            <wp:extent cx="5334000" cy="3810000"/>
            <wp:effectExtent l="0" t="0" r="0" b="0"/>
            <wp:docPr id="39" name="Picture" descr="Chart, bar chart&#10;&#10;Figure 4.2 3. Designated use summary for estuaries (393 miles2 not assessed)."/>
            <wp:cNvGraphicFramePr/>
            <a:graphic xmlns:a="http://schemas.openxmlformats.org/drawingml/2006/main">
              <a:graphicData uri="http://schemas.openxmlformats.org/drawingml/2006/picture">
                <pic:pic xmlns:pic="http://schemas.openxmlformats.org/drawingml/2006/picture">
                  <pic:nvPicPr>
                    <pic:cNvPr id="39" name="Picture" descr="Chart, bar chart&#10;&#10;Figure 4.2 3. Designated use summary for estuaries (393 miles2 not assessed)."/>
                    <pic:cNvPicPr>
                      <a:picLocks noChangeAspect="1" noChangeArrowheads="1"/>
                    </pic:cNvPicPr>
                  </pic:nvPicPr>
                  <pic:blipFill>
                    <a:blip r:embed="rId137"/>
                    <a:stretch>
                      <a:fillRect/>
                    </a:stretch>
                  </pic:blipFill>
                  <pic:spPr bwMode="auto">
                    <a:xfrm>
                      <a:off x="0" y="0"/>
                      <a:ext cx="5334000" cy="3810000"/>
                    </a:xfrm>
                    <a:prstGeom prst="rect">
                      <a:avLst/>
                    </a:prstGeom>
                    <a:noFill/>
                    <a:ln w="9525">
                      <a:noFill/>
                      <a:headEnd/>
                      <a:tailEnd/>
                    </a:ln>
                  </pic:spPr>
                </pic:pic>
              </a:graphicData>
            </a:graphic>
          </wp:inline>
        </w:drawing>
      </w:r>
    </w:p>
    <w:p w14:paraId="0C92A538" w14:textId="624AF51B" w:rsidR="002E2AC5" w:rsidRPr="00D07A5C" w:rsidRDefault="00773F83" w:rsidP="00773F83">
      <w:pPr>
        <w:pStyle w:val="Caption"/>
        <w:rPr>
          <w:rFonts w:cstheme="minorHAnsi"/>
          <w:szCs w:val="24"/>
        </w:rPr>
      </w:pPr>
      <w:bookmarkStart w:id="88" w:name="_Toc152766225"/>
      <w:bookmarkStart w:id="89" w:name="_Toc164175050"/>
      <w:r w:rsidRPr="00D07A5C">
        <w:rPr>
          <w:rFonts w:cstheme="minorHAnsi"/>
        </w:rPr>
        <w:t xml:space="preserve">Figure </w:t>
      </w:r>
      <w:r w:rsidR="00E429BB">
        <w:rPr>
          <w:rFonts w:cstheme="minorHAnsi"/>
        </w:rPr>
        <w:fldChar w:fldCharType="begin"/>
      </w:r>
      <w:r w:rsidR="00E429BB">
        <w:rPr>
          <w:rFonts w:cstheme="minorHAnsi"/>
        </w:rPr>
        <w:instrText xml:space="preserve"> STYLEREF 2 \s </w:instrText>
      </w:r>
      <w:r w:rsidR="00E429BB">
        <w:rPr>
          <w:rFonts w:cstheme="minorHAnsi"/>
        </w:rPr>
        <w:fldChar w:fldCharType="separate"/>
      </w:r>
      <w:r w:rsidR="00E429BB">
        <w:rPr>
          <w:rFonts w:cstheme="minorHAnsi"/>
          <w:noProof/>
        </w:rPr>
        <w:t>4.2</w:t>
      </w:r>
      <w:r w:rsidR="00E429BB">
        <w:rPr>
          <w:rFonts w:cstheme="minorHAnsi"/>
        </w:rPr>
        <w:fldChar w:fldCharType="end"/>
      </w:r>
      <w:r w:rsidR="00E429BB">
        <w:rPr>
          <w:rFonts w:cstheme="minorHAnsi"/>
        </w:rPr>
        <w:noBreakHyphen/>
      </w:r>
      <w:r w:rsidR="00E429BB">
        <w:rPr>
          <w:rFonts w:cstheme="minorHAnsi"/>
        </w:rPr>
        <w:fldChar w:fldCharType="begin"/>
      </w:r>
      <w:r w:rsidR="00E429BB">
        <w:rPr>
          <w:rFonts w:cstheme="minorHAnsi"/>
        </w:rPr>
        <w:instrText xml:space="preserve"> SEQ Figure \* ARABIC \s 2 </w:instrText>
      </w:r>
      <w:r w:rsidR="00E429BB">
        <w:rPr>
          <w:rFonts w:cstheme="minorHAnsi"/>
        </w:rPr>
        <w:fldChar w:fldCharType="separate"/>
      </w:r>
      <w:r w:rsidR="00E429BB">
        <w:rPr>
          <w:rFonts w:cstheme="minorHAnsi"/>
          <w:noProof/>
        </w:rPr>
        <w:t>3</w:t>
      </w:r>
      <w:r w:rsidR="00E429BB">
        <w:rPr>
          <w:rFonts w:cstheme="minorHAnsi"/>
        </w:rPr>
        <w:fldChar w:fldCharType="end"/>
      </w:r>
      <w:r w:rsidRPr="00D07A5C">
        <w:rPr>
          <w:rFonts w:cstheme="minorHAnsi"/>
        </w:rPr>
        <w:t>. Designated use summary for estuaries</w:t>
      </w:r>
      <w:bookmarkEnd w:id="88"/>
      <w:r w:rsidR="000E52C0" w:rsidRPr="00D07A5C">
        <w:rPr>
          <w:rFonts w:cstheme="minorHAnsi"/>
          <w:szCs w:val="24"/>
          <w:vertAlign w:val="superscript"/>
        </w:rPr>
        <w:t xml:space="preserve"> </w:t>
      </w:r>
      <w:r w:rsidR="000E52C0" w:rsidRPr="00D07A5C">
        <w:rPr>
          <w:rFonts w:cstheme="minorHAnsi"/>
          <w:szCs w:val="24"/>
        </w:rPr>
        <w:t>(</w:t>
      </w:r>
      <w:r w:rsidR="00D07A5C" w:rsidRPr="00D07A5C">
        <w:rPr>
          <w:rFonts w:cstheme="minorHAnsi"/>
          <w:szCs w:val="24"/>
        </w:rPr>
        <w:t>393 miles</w:t>
      </w:r>
      <w:r w:rsidR="00D07A5C" w:rsidRPr="00D07A5C">
        <w:rPr>
          <w:rFonts w:cstheme="minorHAnsi"/>
          <w:szCs w:val="24"/>
          <w:vertAlign w:val="superscript"/>
        </w:rPr>
        <w:t>2</w:t>
      </w:r>
      <w:r w:rsidR="00D07A5C" w:rsidRPr="00D07A5C">
        <w:rPr>
          <w:rFonts w:cstheme="minorHAnsi"/>
          <w:szCs w:val="24"/>
        </w:rPr>
        <w:t xml:space="preserve"> not assessed).</w:t>
      </w:r>
      <w:bookmarkEnd w:id="89"/>
    </w:p>
    <w:p w14:paraId="70D9097E" w14:textId="77777777" w:rsidR="002E2AC5" w:rsidRDefault="002E2AC5" w:rsidP="002E2AC5">
      <w:pPr>
        <w:rPr>
          <w:rFonts w:ascii="Times New Roman" w:hAnsi="Times New Roman"/>
          <w:szCs w:val="24"/>
        </w:rPr>
      </w:pPr>
    </w:p>
    <w:p w14:paraId="28B9476F" w14:textId="4167F35E" w:rsidR="00773F83" w:rsidRDefault="00762CFF" w:rsidP="00773F83">
      <w:pPr>
        <w:keepNext/>
      </w:pPr>
      <w:r>
        <w:rPr>
          <w:noProof/>
        </w:rPr>
        <w:drawing>
          <wp:inline distT="0" distB="0" distL="0" distR="0" wp14:anchorId="4BF02288" wp14:editId="0D09D0C7">
            <wp:extent cx="4419600" cy="3314700"/>
            <wp:effectExtent l="0" t="0" r="0" b="0"/>
            <wp:docPr id="1920284399" name="Picture" descr="Chart&#10;&#10;Figure 4.2 4. Chesapeake Bay-specific designated use summaryFigures 4.6-4 and 4.6-6 provide an overview of the DO criteria assessment. The use attainment reported in this figure reflects the EPA 1999 Overlist action. Portions of the Chesapeake Bay and tributaries may not be reported as delisted until all applicable DO criteria are assessed."/>
            <wp:cNvGraphicFramePr/>
            <a:graphic xmlns:a="http://schemas.openxmlformats.org/drawingml/2006/main">
              <a:graphicData uri="http://schemas.openxmlformats.org/drawingml/2006/picture">
                <pic:pic xmlns:pic="http://schemas.openxmlformats.org/drawingml/2006/picture">
                  <pic:nvPicPr>
                    <pic:cNvPr id="1920284399" name="Picture" descr="Chart&#10;&#10;Figure 4.2 4. Chesapeake Bay-specific designated use summaryFigures 4.6-4 and 4.6-6 provide an overview of the DO criteria assessment. The use attainment reported in this figure reflects the EPA 1999 Overlist action. Portions of the Chesapeake Bay and tributaries may not be reported as delisted until all applicable DO criteria are assessed."/>
                    <pic:cNvPicPr>
                      <a:picLocks noChangeAspect="1" noChangeArrowheads="1"/>
                    </pic:cNvPicPr>
                  </pic:nvPicPr>
                  <pic:blipFill>
                    <a:blip r:embed="rId138" cstate="screen">
                      <a:extLst>
                        <a:ext uri="{28A0092B-C50C-407E-A947-70E740481C1C}">
                          <a14:useLocalDpi xmlns:a14="http://schemas.microsoft.com/office/drawing/2010/main"/>
                        </a:ext>
                      </a:extLst>
                    </a:blip>
                    <a:stretch>
                      <a:fillRect/>
                    </a:stretch>
                  </pic:blipFill>
                  <pic:spPr bwMode="auto">
                    <a:xfrm>
                      <a:off x="0" y="0"/>
                      <a:ext cx="4419600" cy="3314700"/>
                    </a:xfrm>
                    <a:prstGeom prst="rect">
                      <a:avLst/>
                    </a:prstGeom>
                    <a:noFill/>
                    <a:ln w="9525">
                      <a:noFill/>
                      <a:headEnd/>
                      <a:tailEnd/>
                    </a:ln>
                  </pic:spPr>
                </pic:pic>
              </a:graphicData>
            </a:graphic>
          </wp:inline>
        </w:drawing>
      </w:r>
    </w:p>
    <w:p w14:paraId="1B070F7F" w14:textId="0E05ECAD" w:rsidR="00DC73F1" w:rsidRPr="00DC73F1" w:rsidRDefault="00773F83" w:rsidP="00DC73F1">
      <w:pPr>
        <w:pStyle w:val="Caption"/>
        <w:keepNext/>
        <w:rPr>
          <w:vanish/>
          <w:specVanish/>
        </w:rPr>
      </w:pPr>
      <w:bookmarkStart w:id="90" w:name="_Toc164175051"/>
      <w:bookmarkStart w:id="91" w:name="_Toc152766226"/>
      <w:r>
        <w:t xml:space="preserve">Figure </w:t>
      </w:r>
      <w:r w:rsidR="004F13BA">
        <w:fldChar w:fldCharType="begin"/>
      </w:r>
      <w:r w:rsidR="004F13BA">
        <w:instrText xml:space="preserve"> STYLEREF 2 \s </w:instrText>
      </w:r>
      <w:r w:rsidR="004F13BA">
        <w:fldChar w:fldCharType="separate"/>
      </w:r>
      <w:r w:rsidR="00E429BB">
        <w:rPr>
          <w:noProof/>
        </w:rPr>
        <w:t>4.2</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4</w:t>
      </w:r>
      <w:r w:rsidR="004F13BA">
        <w:rPr>
          <w:noProof/>
        </w:rPr>
        <w:fldChar w:fldCharType="end"/>
      </w:r>
      <w:r>
        <w:t>. Chesapeake Bay-specific designated use</w:t>
      </w:r>
      <w:r w:rsidR="003802E5">
        <w:t xml:space="preserve"> summary</w:t>
      </w:r>
      <w:bookmarkEnd w:id="90"/>
    </w:p>
    <w:bookmarkEnd w:id="91"/>
    <w:p w14:paraId="713EFC5A" w14:textId="1AE216D7" w:rsidR="002E2AC5" w:rsidRDefault="00CC466A" w:rsidP="00281CAB">
      <w:pPr>
        <w:pStyle w:val="Caption"/>
      </w:pPr>
      <w:r>
        <w:t>Figure</w:t>
      </w:r>
      <w:r w:rsidR="006648A9">
        <w:t xml:space="preserve">s 4.6-4 and </w:t>
      </w:r>
      <w:r w:rsidR="00385C5A">
        <w:t xml:space="preserve">4.6-6 provide an overview of the </w:t>
      </w:r>
      <w:r w:rsidR="005364FB">
        <w:t>DO</w:t>
      </w:r>
      <w:r w:rsidR="007E0C9C">
        <w:t xml:space="preserve"> criteria assessment. The </w:t>
      </w:r>
      <w:r w:rsidR="007924C6">
        <w:t>use attainment report</w:t>
      </w:r>
      <w:r w:rsidR="00CA3622">
        <w:t xml:space="preserve">ed in this figure reflects </w:t>
      </w:r>
      <w:r w:rsidR="008046AF">
        <w:t xml:space="preserve">the EPA 1999 </w:t>
      </w:r>
      <w:proofErr w:type="spellStart"/>
      <w:r w:rsidR="008046AF">
        <w:t>Overlist</w:t>
      </w:r>
      <w:proofErr w:type="spellEnd"/>
      <w:r w:rsidR="008046AF">
        <w:t xml:space="preserve"> action</w:t>
      </w:r>
      <w:r w:rsidR="0069357C">
        <w:t xml:space="preserve">. </w:t>
      </w:r>
      <w:r w:rsidR="006148E1">
        <w:t>Portions of the Chesapeake Bay and tributaries may not be reported as delisted until all applicable DO criteria are assessed.</w:t>
      </w:r>
    </w:p>
    <w:p w14:paraId="57741A32" w14:textId="03BDDD72" w:rsidR="00850F12" w:rsidRDefault="00850F12" w:rsidP="0016244E">
      <w:pPr>
        <w:widowControl/>
        <w:rPr>
          <w:rFonts w:cstheme="minorHAnsi"/>
          <w:szCs w:val="24"/>
        </w:rPr>
      </w:pPr>
    </w:p>
    <w:p w14:paraId="5C15BD23" w14:textId="2EA239F5" w:rsidR="0016244E" w:rsidRPr="00840B20" w:rsidRDefault="00850F12" w:rsidP="0016244E">
      <w:pPr>
        <w:widowControl/>
        <w:rPr>
          <w:rFonts w:cstheme="minorHAnsi"/>
          <w:szCs w:val="24"/>
        </w:rPr>
      </w:pPr>
      <w:r w:rsidRPr="00C85347">
        <w:rPr>
          <w:rFonts w:eastAsiaTheme="minorEastAsia" w:cstheme="minorBidi"/>
          <w:szCs w:val="24"/>
        </w:rPr>
        <w:lastRenderedPageBreak/>
        <w:t xml:space="preserve">The overall summary of assessment results between </w:t>
      </w:r>
      <w:proofErr w:type="gramStart"/>
      <w:r w:rsidRPr="00C85347">
        <w:rPr>
          <w:rFonts w:eastAsiaTheme="minorEastAsia" w:cstheme="minorBidi"/>
          <w:szCs w:val="24"/>
        </w:rPr>
        <w:t>the 2022</w:t>
      </w:r>
      <w:proofErr w:type="gramEnd"/>
      <w:r w:rsidRPr="00C85347">
        <w:rPr>
          <w:rFonts w:eastAsiaTheme="minorEastAsia" w:cstheme="minorBidi"/>
          <w:szCs w:val="24"/>
        </w:rPr>
        <w:t xml:space="preserve"> and 2024 IR cycles are relatively unchanged. </w:t>
      </w:r>
      <w:r>
        <w:rPr>
          <w:rFonts w:eastAsiaTheme="minorEastAsia" w:cstheme="minorBidi"/>
          <w:szCs w:val="24"/>
        </w:rPr>
        <w:t>T</w:t>
      </w:r>
      <w:r w:rsidRPr="00C85347">
        <w:rPr>
          <w:rFonts w:eastAsiaTheme="minorEastAsia" w:cstheme="minorBidi"/>
          <w:szCs w:val="24"/>
        </w:rPr>
        <w:t xml:space="preserve">able </w:t>
      </w:r>
      <w:r>
        <w:rPr>
          <w:rFonts w:eastAsiaTheme="minorEastAsia" w:cstheme="minorBidi"/>
          <w:szCs w:val="24"/>
        </w:rPr>
        <w:t>4.2-6 p</w:t>
      </w:r>
      <w:r w:rsidRPr="00C85347">
        <w:rPr>
          <w:rFonts w:eastAsiaTheme="minorEastAsia" w:cstheme="minorBidi"/>
          <w:szCs w:val="24"/>
        </w:rPr>
        <w:t>resents a statewide summary comparison between assessment cycles. Note that lakes had an increase of approximately 500 acres of water classified as non-impaired this cycle, representing roughly a 1% change.</w:t>
      </w:r>
      <w:r w:rsidR="0016244E">
        <w:rPr>
          <w:rFonts w:cstheme="minorHAnsi"/>
          <w:szCs w:val="24"/>
        </w:rPr>
        <w:br/>
      </w:r>
    </w:p>
    <w:p w14:paraId="67F2A2A1" w14:textId="08E2BAE3" w:rsidR="0043251B" w:rsidRPr="00CD5013" w:rsidRDefault="0016244E" w:rsidP="0A5BE548">
      <w:pPr>
        <w:pStyle w:val="Caption"/>
        <w:rPr>
          <w:rFonts w:cstheme="minorBidi"/>
        </w:rPr>
      </w:pPr>
      <w:bookmarkStart w:id="92" w:name="_Toc164175161"/>
      <w:r w:rsidRPr="0A5BE548">
        <w:rPr>
          <w:rFonts w:cstheme="minorBidi"/>
        </w:rPr>
        <w:t xml:space="preserve">Table </w:t>
      </w:r>
      <w:r w:rsidR="00CD06AE" w:rsidRPr="0A5BE548">
        <w:rPr>
          <w:rFonts w:cstheme="minorBidi"/>
        </w:rPr>
        <w:fldChar w:fldCharType="begin"/>
      </w:r>
      <w:r w:rsidR="00CD06AE" w:rsidRPr="0A5BE548">
        <w:rPr>
          <w:rFonts w:cstheme="minorBidi"/>
        </w:rPr>
        <w:instrText xml:space="preserve"> STYLEREF 2 \s </w:instrText>
      </w:r>
      <w:r w:rsidR="00CD06AE" w:rsidRPr="0A5BE548">
        <w:rPr>
          <w:rFonts w:cstheme="minorBidi"/>
        </w:rPr>
        <w:fldChar w:fldCharType="separate"/>
      </w:r>
      <w:r w:rsidR="00CD06AE" w:rsidRPr="0A5BE548">
        <w:rPr>
          <w:rFonts w:cstheme="minorBidi"/>
          <w:noProof/>
        </w:rPr>
        <w:t>4.2</w:t>
      </w:r>
      <w:r w:rsidR="00CD06AE" w:rsidRPr="0A5BE548">
        <w:rPr>
          <w:rFonts w:cstheme="minorBidi"/>
        </w:rPr>
        <w:fldChar w:fldCharType="end"/>
      </w:r>
      <w:r w:rsidR="00CD06AE">
        <w:rPr>
          <w:rFonts w:cstheme="minorHAnsi"/>
        </w:rPr>
        <w:noBreakHyphen/>
      </w:r>
      <w:r w:rsidR="00CD06AE" w:rsidRPr="0A5BE548">
        <w:rPr>
          <w:rFonts w:cstheme="minorBidi"/>
        </w:rPr>
        <w:fldChar w:fldCharType="begin"/>
      </w:r>
      <w:r w:rsidR="00CD06AE" w:rsidRPr="0A5BE548">
        <w:rPr>
          <w:rFonts w:cstheme="minorBidi"/>
        </w:rPr>
        <w:instrText xml:space="preserve"> SEQ Table \* ARABIC \s 2 </w:instrText>
      </w:r>
      <w:r w:rsidR="00CD06AE" w:rsidRPr="0A5BE548">
        <w:rPr>
          <w:rFonts w:cstheme="minorBidi"/>
        </w:rPr>
        <w:fldChar w:fldCharType="separate"/>
      </w:r>
      <w:r w:rsidR="00CD06AE" w:rsidRPr="0A5BE548">
        <w:rPr>
          <w:rFonts w:cstheme="minorBidi"/>
          <w:noProof/>
        </w:rPr>
        <w:t>6</w:t>
      </w:r>
      <w:r w:rsidR="00CD06AE" w:rsidRPr="0A5BE548">
        <w:rPr>
          <w:rFonts w:cstheme="minorBidi"/>
        </w:rPr>
        <w:fldChar w:fldCharType="end"/>
      </w:r>
      <w:r w:rsidRPr="0A5BE548">
        <w:rPr>
          <w:rFonts w:cstheme="minorBidi"/>
        </w:rPr>
        <w:t>. Comparison of the 2022 and 2024 IR assessment results</w:t>
      </w:r>
      <w:r w:rsidR="2493E674" w:rsidRPr="0A5BE548">
        <w:rPr>
          <w:rFonts w:cstheme="minorBidi"/>
        </w:rPr>
        <w:t xml:space="preserve">. </w:t>
      </w:r>
      <w:bookmarkEnd w:id="92"/>
      <w:r w:rsidR="314B5888" w:rsidRPr="0A5BE548">
        <w:rPr>
          <w:rFonts w:cstheme="minorBidi"/>
        </w:rPr>
        <w:t>V</w:t>
      </w:r>
      <w:r w:rsidR="00765756" w:rsidRPr="0A5BE548">
        <w:rPr>
          <w:rFonts w:cstheme="minorBidi"/>
        </w:rPr>
        <w:t>alues represent percent of total</w:t>
      </w:r>
      <w:r w:rsidR="001A191E" w:rsidRPr="0A5BE548">
        <w:rPr>
          <w:rFonts w:cstheme="minorBidi"/>
        </w:rPr>
        <w:t xml:space="preserve"> waterbody type for the entire state.</w:t>
      </w:r>
    </w:p>
    <w:tbl>
      <w:tblPr>
        <w:tblStyle w:val="PlainTable52"/>
        <w:tblpPr w:leftFromText="180" w:rightFromText="180" w:vertAnchor="text" w:horzAnchor="margin" w:tblpY="34"/>
        <w:tblW w:w="9555" w:type="dxa"/>
        <w:tblLook w:val="04A0" w:firstRow="1" w:lastRow="0" w:firstColumn="1" w:lastColumn="0" w:noHBand="0" w:noVBand="1"/>
      </w:tblPr>
      <w:tblGrid>
        <w:gridCol w:w="1863"/>
        <w:gridCol w:w="1282"/>
        <w:gridCol w:w="1282"/>
        <w:gridCol w:w="1282"/>
        <w:gridCol w:w="1282"/>
        <w:gridCol w:w="1282"/>
        <w:gridCol w:w="1282"/>
      </w:tblGrid>
      <w:tr w:rsidR="0016244E" w:rsidRPr="00DE1875" w14:paraId="01A536B4" w14:textId="77777777" w:rsidTr="003C3DAA">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100" w:firstRow="0" w:lastRow="0" w:firstColumn="1" w:lastColumn="0" w:oddVBand="0" w:evenVBand="0" w:oddHBand="0" w:evenHBand="0" w:firstRowFirstColumn="1" w:firstRowLastColumn="0" w:lastRowFirstColumn="0" w:lastRowLastColumn="0"/>
            <w:tcW w:w="0" w:type="dxa"/>
            <w:tcBorders>
              <w:top w:val="single" w:sz="12" w:space="0" w:color="auto"/>
            </w:tcBorders>
            <w:vAlign w:val="center"/>
            <w:hideMark/>
          </w:tcPr>
          <w:p w14:paraId="6255DB85" w14:textId="77777777" w:rsidR="0016244E" w:rsidRPr="005C5350" w:rsidRDefault="0016244E" w:rsidP="00BA4CCB">
            <w:pPr>
              <w:widowControl/>
              <w:jc w:val="center"/>
              <w:rPr>
                <w:rFonts w:asciiTheme="minorHAnsi" w:hAnsiTheme="minorHAnsi" w:cstheme="minorHAnsi"/>
                <w:b/>
                <w:bCs/>
                <w:i w:val="0"/>
                <w:iCs w:val="0"/>
                <w:snapToGrid/>
                <w:color w:val="000000"/>
                <w:sz w:val="22"/>
                <w:szCs w:val="22"/>
              </w:rPr>
            </w:pPr>
          </w:p>
        </w:tc>
        <w:tc>
          <w:tcPr>
            <w:tcW w:w="0" w:type="dxa"/>
            <w:gridSpan w:val="2"/>
            <w:tcBorders>
              <w:top w:val="single" w:sz="12" w:space="0" w:color="auto"/>
            </w:tcBorders>
            <w:vAlign w:val="center"/>
            <w:hideMark/>
          </w:tcPr>
          <w:p w14:paraId="12D35FC6" w14:textId="7C1D6EEA" w:rsidR="0016244E" w:rsidRPr="005C5350" w:rsidRDefault="0016244E" w:rsidP="00BA4CCB">
            <w:pPr>
              <w:widowControl/>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snapToGrid/>
                <w:color w:val="000000"/>
                <w:sz w:val="22"/>
                <w:szCs w:val="22"/>
              </w:rPr>
            </w:pPr>
            <w:r w:rsidRPr="005C5350">
              <w:rPr>
                <w:rFonts w:asciiTheme="minorHAnsi" w:hAnsiTheme="minorHAnsi" w:cstheme="minorHAnsi"/>
                <w:b/>
                <w:bCs/>
                <w:i w:val="0"/>
                <w:iCs w:val="0"/>
                <w:snapToGrid/>
                <w:color w:val="000000"/>
                <w:sz w:val="22"/>
                <w:szCs w:val="22"/>
              </w:rPr>
              <w:t>Rivers (</w:t>
            </w:r>
            <w:r w:rsidR="005A1597">
              <w:rPr>
                <w:rFonts w:asciiTheme="minorHAnsi" w:hAnsiTheme="minorHAnsi" w:cstheme="minorHAnsi"/>
                <w:b/>
                <w:bCs/>
                <w:i w:val="0"/>
                <w:iCs w:val="0"/>
                <w:snapToGrid/>
                <w:color w:val="000000"/>
                <w:sz w:val="22"/>
                <w:szCs w:val="22"/>
              </w:rPr>
              <w:t>Miles</w:t>
            </w:r>
            <w:r w:rsidRPr="005C5350">
              <w:rPr>
                <w:rFonts w:asciiTheme="minorHAnsi" w:hAnsiTheme="minorHAnsi" w:cstheme="minorHAnsi"/>
                <w:b/>
                <w:bCs/>
                <w:i w:val="0"/>
                <w:iCs w:val="0"/>
                <w:snapToGrid/>
                <w:color w:val="000000"/>
                <w:sz w:val="22"/>
                <w:szCs w:val="22"/>
              </w:rPr>
              <w:t>)</w:t>
            </w:r>
          </w:p>
        </w:tc>
        <w:tc>
          <w:tcPr>
            <w:tcW w:w="0" w:type="dxa"/>
            <w:gridSpan w:val="2"/>
            <w:tcBorders>
              <w:top w:val="single" w:sz="12" w:space="0" w:color="auto"/>
            </w:tcBorders>
            <w:vAlign w:val="center"/>
            <w:hideMark/>
          </w:tcPr>
          <w:p w14:paraId="520DFC54" w14:textId="610B37AD" w:rsidR="0016244E" w:rsidRPr="005C5350" w:rsidRDefault="0016244E" w:rsidP="00BA4CCB">
            <w:pPr>
              <w:widowControl/>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snapToGrid/>
                <w:color w:val="000000"/>
                <w:sz w:val="22"/>
                <w:szCs w:val="22"/>
              </w:rPr>
            </w:pPr>
            <w:r w:rsidRPr="005C5350">
              <w:rPr>
                <w:rFonts w:asciiTheme="minorHAnsi" w:hAnsiTheme="minorHAnsi" w:cstheme="minorHAnsi"/>
                <w:b/>
                <w:bCs/>
                <w:i w:val="0"/>
                <w:iCs w:val="0"/>
                <w:snapToGrid/>
                <w:color w:val="000000"/>
                <w:sz w:val="22"/>
                <w:szCs w:val="22"/>
              </w:rPr>
              <w:t>Lakes (</w:t>
            </w:r>
            <w:r w:rsidR="005A1597">
              <w:rPr>
                <w:rFonts w:asciiTheme="minorHAnsi" w:hAnsiTheme="minorHAnsi" w:cstheme="minorHAnsi"/>
                <w:b/>
                <w:bCs/>
                <w:i w:val="0"/>
                <w:iCs w:val="0"/>
                <w:snapToGrid/>
                <w:color w:val="000000"/>
                <w:sz w:val="22"/>
                <w:szCs w:val="22"/>
              </w:rPr>
              <w:t>Acres</w:t>
            </w:r>
            <w:r w:rsidRPr="005C5350">
              <w:rPr>
                <w:rFonts w:asciiTheme="minorHAnsi" w:hAnsiTheme="minorHAnsi" w:cstheme="minorHAnsi"/>
                <w:b/>
                <w:bCs/>
                <w:i w:val="0"/>
                <w:iCs w:val="0"/>
                <w:snapToGrid/>
                <w:color w:val="000000"/>
                <w:sz w:val="22"/>
                <w:szCs w:val="22"/>
              </w:rPr>
              <w:t>)</w:t>
            </w:r>
          </w:p>
        </w:tc>
        <w:tc>
          <w:tcPr>
            <w:tcW w:w="0" w:type="dxa"/>
            <w:gridSpan w:val="2"/>
            <w:tcBorders>
              <w:top w:val="single" w:sz="12" w:space="0" w:color="auto"/>
            </w:tcBorders>
            <w:vAlign w:val="center"/>
            <w:hideMark/>
          </w:tcPr>
          <w:p w14:paraId="7D9614B4" w14:textId="1D020B7D" w:rsidR="0016244E" w:rsidRPr="005C5350" w:rsidRDefault="0016244E" w:rsidP="00BA4CCB">
            <w:pPr>
              <w:widowControl/>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snapToGrid/>
                <w:color w:val="000000"/>
                <w:sz w:val="22"/>
                <w:szCs w:val="22"/>
              </w:rPr>
            </w:pPr>
            <w:r w:rsidRPr="005C5350">
              <w:rPr>
                <w:rFonts w:asciiTheme="minorHAnsi" w:hAnsiTheme="minorHAnsi" w:cstheme="minorHAnsi"/>
                <w:b/>
                <w:bCs/>
                <w:i w:val="0"/>
                <w:iCs w:val="0"/>
                <w:snapToGrid/>
                <w:color w:val="000000"/>
                <w:sz w:val="22"/>
                <w:szCs w:val="22"/>
              </w:rPr>
              <w:t>Estuaries (</w:t>
            </w:r>
            <w:r w:rsidR="005A1597">
              <w:rPr>
                <w:rFonts w:asciiTheme="minorHAnsi" w:hAnsiTheme="minorHAnsi" w:cstheme="minorHAnsi"/>
                <w:b/>
                <w:bCs/>
                <w:i w:val="0"/>
                <w:iCs w:val="0"/>
                <w:snapToGrid/>
                <w:color w:val="000000"/>
                <w:sz w:val="22"/>
                <w:szCs w:val="22"/>
              </w:rPr>
              <w:t>Miles</w:t>
            </w:r>
            <w:r w:rsidRPr="005C5350">
              <w:rPr>
                <w:rFonts w:asciiTheme="minorHAnsi" w:hAnsiTheme="minorHAnsi" w:cstheme="minorHAnsi"/>
                <w:b/>
                <w:bCs/>
                <w:i w:val="0"/>
                <w:iCs w:val="0"/>
                <w:snapToGrid/>
                <w:color w:val="000000"/>
                <w:sz w:val="22"/>
                <w:szCs w:val="22"/>
                <w:vertAlign w:val="superscript"/>
              </w:rPr>
              <w:t>2</w:t>
            </w:r>
            <w:r w:rsidRPr="005C5350">
              <w:rPr>
                <w:rFonts w:asciiTheme="minorHAnsi" w:hAnsiTheme="minorHAnsi" w:cstheme="minorHAnsi"/>
                <w:b/>
                <w:bCs/>
                <w:i w:val="0"/>
                <w:iCs w:val="0"/>
                <w:snapToGrid/>
                <w:color w:val="000000"/>
                <w:sz w:val="22"/>
                <w:szCs w:val="22"/>
              </w:rPr>
              <w:t>)</w:t>
            </w:r>
          </w:p>
        </w:tc>
      </w:tr>
      <w:tr w:rsidR="0016244E" w:rsidRPr="00DE1875" w14:paraId="0391D53B" w14:textId="77777777" w:rsidTr="003C3DAA">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single" w:sz="4" w:space="0" w:color="auto"/>
            </w:tcBorders>
            <w:vAlign w:val="center"/>
          </w:tcPr>
          <w:p w14:paraId="3A304DDD" w14:textId="261D8AB4" w:rsidR="0016244E" w:rsidRPr="003B62DD" w:rsidRDefault="0016244E" w:rsidP="00BA4CCB">
            <w:pPr>
              <w:widowControl/>
              <w:jc w:val="center"/>
              <w:rPr>
                <w:rFonts w:asciiTheme="minorHAnsi" w:hAnsiTheme="minorHAnsi" w:cstheme="minorHAnsi"/>
                <w:i w:val="0"/>
                <w:iCs w:val="0"/>
                <w:snapToGrid/>
                <w:color w:val="000000"/>
                <w:sz w:val="22"/>
                <w:szCs w:val="22"/>
              </w:rPr>
            </w:pPr>
          </w:p>
        </w:tc>
        <w:tc>
          <w:tcPr>
            <w:tcW w:w="0" w:type="dxa"/>
            <w:tcBorders>
              <w:left w:val="nil"/>
              <w:bottom w:val="single" w:sz="4" w:space="0" w:color="auto"/>
            </w:tcBorders>
            <w:shd w:val="clear" w:color="auto" w:fill="FFFFFF" w:themeFill="background1"/>
            <w:vAlign w:val="center"/>
          </w:tcPr>
          <w:p w14:paraId="6A27F325" w14:textId="77777777" w:rsidR="0016244E" w:rsidRPr="00C84129"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b/>
                <w:bCs/>
                <w:snapToGrid/>
                <w:color w:val="000000"/>
                <w:sz w:val="22"/>
                <w:szCs w:val="22"/>
              </w:rPr>
            </w:pPr>
            <w:r w:rsidRPr="00C84129">
              <w:rPr>
                <w:rFonts w:cstheme="minorHAnsi"/>
                <w:b/>
                <w:bCs/>
                <w:snapToGrid/>
                <w:color w:val="000000"/>
                <w:sz w:val="22"/>
                <w:szCs w:val="22"/>
              </w:rPr>
              <w:t>2022</w:t>
            </w:r>
          </w:p>
        </w:tc>
        <w:tc>
          <w:tcPr>
            <w:tcW w:w="0" w:type="dxa"/>
            <w:tcBorders>
              <w:bottom w:val="single" w:sz="4" w:space="0" w:color="auto"/>
            </w:tcBorders>
            <w:shd w:val="clear" w:color="auto" w:fill="FFFFFF" w:themeFill="background1"/>
            <w:vAlign w:val="center"/>
          </w:tcPr>
          <w:p w14:paraId="19A7D246" w14:textId="77777777" w:rsidR="0016244E" w:rsidRPr="00C84129"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b/>
                <w:bCs/>
                <w:snapToGrid/>
                <w:color w:val="000000"/>
                <w:sz w:val="22"/>
                <w:szCs w:val="22"/>
              </w:rPr>
            </w:pPr>
            <w:r w:rsidRPr="00C84129">
              <w:rPr>
                <w:rFonts w:cstheme="minorHAnsi"/>
                <w:b/>
                <w:bCs/>
                <w:snapToGrid/>
                <w:color w:val="000000"/>
                <w:sz w:val="22"/>
                <w:szCs w:val="22"/>
              </w:rPr>
              <w:t>2024</w:t>
            </w:r>
          </w:p>
        </w:tc>
        <w:tc>
          <w:tcPr>
            <w:tcW w:w="0" w:type="dxa"/>
            <w:tcBorders>
              <w:bottom w:val="single" w:sz="4" w:space="0" w:color="auto"/>
            </w:tcBorders>
            <w:shd w:val="clear" w:color="auto" w:fill="FFFFFF" w:themeFill="background1"/>
            <w:vAlign w:val="center"/>
          </w:tcPr>
          <w:p w14:paraId="563A7642" w14:textId="77777777" w:rsidR="0016244E" w:rsidRPr="00C84129"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b/>
                <w:bCs/>
                <w:snapToGrid/>
                <w:color w:val="000000"/>
                <w:sz w:val="22"/>
                <w:szCs w:val="22"/>
              </w:rPr>
            </w:pPr>
            <w:r w:rsidRPr="00C84129">
              <w:rPr>
                <w:rFonts w:cstheme="minorHAnsi"/>
                <w:b/>
                <w:bCs/>
                <w:snapToGrid/>
                <w:color w:val="000000"/>
                <w:sz w:val="22"/>
                <w:szCs w:val="22"/>
              </w:rPr>
              <w:t>2022</w:t>
            </w:r>
          </w:p>
        </w:tc>
        <w:tc>
          <w:tcPr>
            <w:tcW w:w="0" w:type="dxa"/>
            <w:tcBorders>
              <w:bottom w:val="single" w:sz="4" w:space="0" w:color="auto"/>
            </w:tcBorders>
            <w:shd w:val="clear" w:color="auto" w:fill="FFFFFF" w:themeFill="background1"/>
            <w:vAlign w:val="center"/>
          </w:tcPr>
          <w:p w14:paraId="1BD7AFF9" w14:textId="77777777" w:rsidR="0016244E" w:rsidRPr="00C84129"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b/>
                <w:bCs/>
                <w:snapToGrid/>
                <w:color w:val="000000"/>
                <w:sz w:val="22"/>
                <w:szCs w:val="22"/>
              </w:rPr>
            </w:pPr>
            <w:r w:rsidRPr="00C84129">
              <w:rPr>
                <w:rFonts w:cstheme="minorHAnsi"/>
                <w:b/>
                <w:bCs/>
                <w:snapToGrid/>
                <w:color w:val="000000"/>
                <w:sz w:val="22"/>
                <w:szCs w:val="22"/>
              </w:rPr>
              <w:t>2024</w:t>
            </w:r>
          </w:p>
        </w:tc>
        <w:tc>
          <w:tcPr>
            <w:tcW w:w="0" w:type="dxa"/>
            <w:tcBorders>
              <w:bottom w:val="single" w:sz="4" w:space="0" w:color="auto"/>
            </w:tcBorders>
            <w:shd w:val="clear" w:color="auto" w:fill="FFFFFF" w:themeFill="background1"/>
            <w:vAlign w:val="center"/>
          </w:tcPr>
          <w:p w14:paraId="3C86AFCF" w14:textId="77777777" w:rsidR="0016244E" w:rsidRPr="00C84129"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b/>
                <w:bCs/>
                <w:snapToGrid/>
                <w:color w:val="000000"/>
                <w:sz w:val="22"/>
                <w:szCs w:val="22"/>
              </w:rPr>
            </w:pPr>
            <w:r w:rsidRPr="00C84129">
              <w:rPr>
                <w:rFonts w:cstheme="minorHAnsi"/>
                <w:b/>
                <w:bCs/>
                <w:snapToGrid/>
                <w:color w:val="000000"/>
                <w:sz w:val="22"/>
                <w:szCs w:val="22"/>
              </w:rPr>
              <w:t>2022</w:t>
            </w:r>
          </w:p>
        </w:tc>
        <w:tc>
          <w:tcPr>
            <w:tcW w:w="0" w:type="dxa"/>
            <w:tcBorders>
              <w:bottom w:val="single" w:sz="4" w:space="0" w:color="auto"/>
            </w:tcBorders>
            <w:shd w:val="clear" w:color="auto" w:fill="FFFFFF" w:themeFill="background1"/>
            <w:vAlign w:val="center"/>
          </w:tcPr>
          <w:p w14:paraId="16137590" w14:textId="77777777" w:rsidR="0016244E" w:rsidRPr="00C84129"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b/>
                <w:bCs/>
                <w:snapToGrid/>
                <w:color w:val="000000"/>
                <w:sz w:val="22"/>
                <w:szCs w:val="22"/>
              </w:rPr>
            </w:pPr>
            <w:r w:rsidRPr="00C84129">
              <w:rPr>
                <w:rFonts w:cstheme="minorHAnsi"/>
                <w:b/>
                <w:bCs/>
                <w:snapToGrid/>
                <w:color w:val="000000"/>
                <w:sz w:val="22"/>
                <w:szCs w:val="22"/>
              </w:rPr>
              <w:t>2024</w:t>
            </w:r>
          </w:p>
        </w:tc>
      </w:tr>
      <w:tr w:rsidR="0016244E" w:rsidRPr="00DE1875" w14:paraId="3E9E5DC6" w14:textId="77777777" w:rsidTr="003C3DAA">
        <w:trPr>
          <w:cantSplit/>
          <w:trHeight w:val="36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tcBorders>
            <w:vAlign w:val="center"/>
          </w:tcPr>
          <w:p w14:paraId="0CADE997" w14:textId="455ABD76" w:rsidR="0016244E" w:rsidRPr="003B62DD" w:rsidRDefault="0016244E" w:rsidP="00BA4CCB">
            <w:pPr>
              <w:widowControl/>
              <w:jc w:val="center"/>
              <w:rPr>
                <w:rFonts w:asciiTheme="minorHAnsi" w:hAnsiTheme="minorHAnsi" w:cstheme="minorHAnsi"/>
                <w:i w:val="0"/>
                <w:iCs w:val="0"/>
                <w:snapToGrid/>
                <w:color w:val="000000"/>
                <w:sz w:val="22"/>
                <w:szCs w:val="22"/>
              </w:rPr>
            </w:pPr>
            <w:r w:rsidRPr="003B62DD">
              <w:rPr>
                <w:rFonts w:asciiTheme="minorHAnsi" w:hAnsiTheme="minorHAnsi" w:cstheme="minorHAnsi"/>
                <w:i w:val="0"/>
                <w:iCs w:val="0"/>
                <w:snapToGrid/>
                <w:color w:val="000000"/>
                <w:sz w:val="22"/>
                <w:szCs w:val="22"/>
              </w:rPr>
              <w:t xml:space="preserve">Non-Impaired </w:t>
            </w:r>
          </w:p>
        </w:tc>
        <w:tc>
          <w:tcPr>
            <w:tcW w:w="0" w:type="dxa"/>
            <w:tcBorders>
              <w:top w:val="single" w:sz="4" w:space="0" w:color="auto"/>
              <w:left w:val="nil"/>
            </w:tcBorders>
            <w:shd w:val="clear" w:color="auto" w:fill="FFFFFF" w:themeFill="background1"/>
            <w:vAlign w:val="center"/>
          </w:tcPr>
          <w:p w14:paraId="06E6FF54" w14:textId="77777777" w:rsidR="0016244E" w:rsidRPr="005C5350" w:rsidRDefault="0016244E" w:rsidP="00BA4CCB">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5C5350">
              <w:rPr>
                <w:rFonts w:eastAsiaTheme="minorHAnsi" w:cstheme="minorHAnsi"/>
                <w:snapToGrid/>
                <w:color w:val="000000"/>
                <w:sz w:val="22"/>
                <w:szCs w:val="22"/>
              </w:rPr>
              <w:t>4%</w:t>
            </w:r>
          </w:p>
        </w:tc>
        <w:tc>
          <w:tcPr>
            <w:tcW w:w="0" w:type="dxa"/>
            <w:tcBorders>
              <w:top w:val="single" w:sz="4" w:space="0" w:color="auto"/>
            </w:tcBorders>
            <w:shd w:val="clear" w:color="auto" w:fill="FFFFFF" w:themeFill="background1"/>
            <w:vAlign w:val="center"/>
          </w:tcPr>
          <w:p w14:paraId="66DDF934" w14:textId="77777777" w:rsidR="0016244E" w:rsidRPr="005C5350" w:rsidRDefault="0016244E" w:rsidP="00BA4CCB">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5C5350">
              <w:rPr>
                <w:rFonts w:eastAsiaTheme="minorHAnsi" w:cstheme="minorHAnsi"/>
                <w:snapToGrid/>
                <w:color w:val="000000"/>
                <w:sz w:val="22"/>
                <w:szCs w:val="22"/>
              </w:rPr>
              <w:t>4%</w:t>
            </w:r>
          </w:p>
        </w:tc>
        <w:tc>
          <w:tcPr>
            <w:tcW w:w="0" w:type="dxa"/>
            <w:tcBorders>
              <w:top w:val="single" w:sz="4" w:space="0" w:color="auto"/>
            </w:tcBorders>
            <w:shd w:val="clear" w:color="auto" w:fill="FFFFFF" w:themeFill="background1"/>
            <w:vAlign w:val="center"/>
          </w:tcPr>
          <w:p w14:paraId="6CAE28DD" w14:textId="77777777" w:rsidR="0016244E" w:rsidRPr="005C5350" w:rsidRDefault="0016244E" w:rsidP="00BA4CCB">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5C5350">
              <w:rPr>
                <w:rFonts w:eastAsiaTheme="minorHAnsi" w:cstheme="minorHAnsi"/>
                <w:snapToGrid/>
                <w:color w:val="000000"/>
                <w:sz w:val="22"/>
                <w:szCs w:val="22"/>
              </w:rPr>
              <w:t>10%</w:t>
            </w:r>
          </w:p>
        </w:tc>
        <w:tc>
          <w:tcPr>
            <w:tcW w:w="0" w:type="dxa"/>
            <w:tcBorders>
              <w:top w:val="single" w:sz="4" w:space="0" w:color="auto"/>
            </w:tcBorders>
            <w:shd w:val="clear" w:color="auto" w:fill="FFFFFF" w:themeFill="background1"/>
            <w:vAlign w:val="center"/>
          </w:tcPr>
          <w:p w14:paraId="7062927B" w14:textId="77777777" w:rsidR="0016244E" w:rsidRPr="005C5350" w:rsidRDefault="0016244E" w:rsidP="00BA4CCB">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5C5350">
              <w:rPr>
                <w:rFonts w:cstheme="minorHAnsi"/>
                <w:snapToGrid/>
                <w:color w:val="000000"/>
                <w:sz w:val="22"/>
                <w:szCs w:val="22"/>
              </w:rPr>
              <w:t>11%</w:t>
            </w:r>
          </w:p>
        </w:tc>
        <w:tc>
          <w:tcPr>
            <w:tcW w:w="0" w:type="dxa"/>
            <w:tcBorders>
              <w:top w:val="single" w:sz="4" w:space="0" w:color="auto"/>
            </w:tcBorders>
            <w:shd w:val="clear" w:color="auto" w:fill="FFFFFF" w:themeFill="background1"/>
            <w:vAlign w:val="center"/>
          </w:tcPr>
          <w:p w14:paraId="109A5D9D" w14:textId="77777777" w:rsidR="0016244E" w:rsidRPr="005C5350" w:rsidRDefault="0016244E" w:rsidP="00BA4CCB">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5C5350">
              <w:rPr>
                <w:rFonts w:eastAsiaTheme="minorHAnsi" w:cstheme="minorHAnsi"/>
                <w:snapToGrid/>
                <w:color w:val="000000"/>
                <w:sz w:val="22"/>
                <w:szCs w:val="22"/>
              </w:rPr>
              <w:t>11%</w:t>
            </w:r>
          </w:p>
        </w:tc>
        <w:tc>
          <w:tcPr>
            <w:tcW w:w="0" w:type="dxa"/>
            <w:tcBorders>
              <w:top w:val="single" w:sz="4" w:space="0" w:color="auto"/>
            </w:tcBorders>
            <w:shd w:val="clear" w:color="auto" w:fill="FFFFFF" w:themeFill="background1"/>
            <w:vAlign w:val="center"/>
          </w:tcPr>
          <w:p w14:paraId="0D061D4A" w14:textId="77777777" w:rsidR="0016244E" w:rsidRPr="005C5350" w:rsidRDefault="0016244E" w:rsidP="00BA4CCB">
            <w:pPr>
              <w:widowControl/>
              <w:jc w:val="center"/>
              <w:cnfStyle w:val="000000000000" w:firstRow="0" w:lastRow="0" w:firstColumn="0" w:lastColumn="0" w:oddVBand="0" w:evenVBand="0" w:oddHBand="0" w:evenHBand="0" w:firstRowFirstColumn="0" w:firstRowLastColumn="0" w:lastRowFirstColumn="0" w:lastRowLastColumn="0"/>
              <w:rPr>
                <w:rFonts w:cstheme="minorHAnsi"/>
                <w:snapToGrid/>
                <w:color w:val="000000"/>
                <w:sz w:val="22"/>
                <w:szCs w:val="22"/>
              </w:rPr>
            </w:pPr>
            <w:r w:rsidRPr="005C5350">
              <w:rPr>
                <w:rFonts w:eastAsiaTheme="minorHAnsi" w:cstheme="minorHAnsi"/>
                <w:snapToGrid/>
                <w:color w:val="000000"/>
                <w:sz w:val="22"/>
                <w:szCs w:val="22"/>
              </w:rPr>
              <w:t>11%</w:t>
            </w:r>
          </w:p>
        </w:tc>
      </w:tr>
      <w:tr w:rsidR="0016244E" w:rsidRPr="00DE1875" w14:paraId="3F5F972F" w14:textId="77777777" w:rsidTr="003C3DAA">
        <w:trPr>
          <w:cnfStyle w:val="000000100000" w:firstRow="0" w:lastRow="0" w:firstColumn="0" w:lastColumn="0" w:oddVBand="0" w:evenVBand="0" w:oddHBand="1" w:evenHBand="0" w:firstRowFirstColumn="0" w:firstRowLastColumn="0" w:lastRowFirstColumn="0" w:lastRowLastColumn="0"/>
          <w:cantSplit/>
          <w:trHeight w:val="360"/>
        </w:trPr>
        <w:tc>
          <w:tcPr>
            <w:cnfStyle w:val="001000000000" w:firstRow="0" w:lastRow="0" w:firstColumn="1" w:lastColumn="0" w:oddVBand="0" w:evenVBand="0" w:oddHBand="0" w:evenHBand="0" w:firstRowFirstColumn="0" w:firstRowLastColumn="0" w:lastRowFirstColumn="0" w:lastRowLastColumn="0"/>
            <w:tcW w:w="1863" w:type="dxa"/>
            <w:tcBorders>
              <w:bottom w:val="single" w:sz="12" w:space="0" w:color="auto"/>
            </w:tcBorders>
            <w:vAlign w:val="center"/>
            <w:hideMark/>
          </w:tcPr>
          <w:p w14:paraId="5C80501E" w14:textId="62F79EEE" w:rsidR="0016244E" w:rsidRPr="003B62DD" w:rsidRDefault="0016244E" w:rsidP="00BA4CCB">
            <w:pPr>
              <w:widowControl/>
              <w:jc w:val="center"/>
              <w:rPr>
                <w:rFonts w:asciiTheme="minorHAnsi" w:hAnsiTheme="minorHAnsi" w:cstheme="minorHAnsi"/>
                <w:i w:val="0"/>
                <w:iCs w:val="0"/>
                <w:snapToGrid/>
                <w:color w:val="000000"/>
                <w:sz w:val="22"/>
                <w:szCs w:val="22"/>
              </w:rPr>
            </w:pPr>
            <w:r w:rsidRPr="003B62DD">
              <w:rPr>
                <w:rFonts w:asciiTheme="minorHAnsi" w:hAnsiTheme="minorHAnsi" w:cstheme="minorHAnsi"/>
                <w:i w:val="0"/>
                <w:iCs w:val="0"/>
                <w:snapToGrid/>
                <w:color w:val="000000"/>
                <w:sz w:val="22"/>
                <w:szCs w:val="22"/>
              </w:rPr>
              <w:t xml:space="preserve">Impaired </w:t>
            </w:r>
          </w:p>
        </w:tc>
        <w:tc>
          <w:tcPr>
            <w:tcW w:w="1282" w:type="dxa"/>
            <w:tcBorders>
              <w:left w:val="nil"/>
              <w:bottom w:val="single" w:sz="12" w:space="0" w:color="auto"/>
            </w:tcBorders>
            <w:shd w:val="clear" w:color="auto" w:fill="FFFFFF" w:themeFill="background1"/>
            <w:vAlign w:val="center"/>
          </w:tcPr>
          <w:p w14:paraId="418E6AE9" w14:textId="77777777" w:rsidR="0016244E" w:rsidRPr="005C5350"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sidRPr="005C5350">
              <w:rPr>
                <w:rFonts w:eastAsiaTheme="minorHAnsi" w:cstheme="minorHAnsi"/>
                <w:snapToGrid/>
                <w:color w:val="000000"/>
                <w:sz w:val="22"/>
                <w:szCs w:val="22"/>
              </w:rPr>
              <w:t>16%</w:t>
            </w:r>
          </w:p>
        </w:tc>
        <w:tc>
          <w:tcPr>
            <w:tcW w:w="1282" w:type="dxa"/>
            <w:tcBorders>
              <w:bottom w:val="single" w:sz="12" w:space="0" w:color="auto"/>
            </w:tcBorders>
            <w:shd w:val="clear" w:color="auto" w:fill="FFFFFF" w:themeFill="background1"/>
            <w:vAlign w:val="center"/>
          </w:tcPr>
          <w:p w14:paraId="0FA84896" w14:textId="77777777" w:rsidR="0016244E" w:rsidRPr="005C5350"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sidRPr="005C5350">
              <w:rPr>
                <w:rFonts w:eastAsiaTheme="minorHAnsi" w:cstheme="minorHAnsi"/>
                <w:snapToGrid/>
                <w:color w:val="000000"/>
                <w:sz w:val="22"/>
                <w:szCs w:val="22"/>
              </w:rPr>
              <w:t>16%</w:t>
            </w:r>
          </w:p>
        </w:tc>
        <w:tc>
          <w:tcPr>
            <w:tcW w:w="1282" w:type="dxa"/>
            <w:tcBorders>
              <w:bottom w:val="single" w:sz="12" w:space="0" w:color="auto"/>
            </w:tcBorders>
            <w:shd w:val="clear" w:color="auto" w:fill="FFFFFF" w:themeFill="background1"/>
            <w:vAlign w:val="center"/>
          </w:tcPr>
          <w:p w14:paraId="45F55119" w14:textId="77777777" w:rsidR="0016244E" w:rsidRPr="005C5350"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sidRPr="005C5350">
              <w:rPr>
                <w:rFonts w:eastAsiaTheme="minorHAnsi" w:cstheme="minorHAnsi"/>
                <w:snapToGrid/>
                <w:color w:val="000000"/>
                <w:sz w:val="22"/>
                <w:szCs w:val="22"/>
              </w:rPr>
              <w:t>86%</w:t>
            </w:r>
          </w:p>
        </w:tc>
        <w:tc>
          <w:tcPr>
            <w:tcW w:w="1282" w:type="dxa"/>
            <w:tcBorders>
              <w:bottom w:val="single" w:sz="12" w:space="0" w:color="auto"/>
            </w:tcBorders>
            <w:shd w:val="clear" w:color="auto" w:fill="FFFFFF" w:themeFill="background1"/>
            <w:vAlign w:val="center"/>
          </w:tcPr>
          <w:p w14:paraId="6F35052B" w14:textId="221F3668" w:rsidR="0016244E" w:rsidRPr="005C5350"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sidRPr="005C5350">
              <w:rPr>
                <w:rFonts w:cstheme="minorHAnsi"/>
                <w:snapToGrid/>
                <w:color w:val="000000"/>
                <w:sz w:val="22"/>
                <w:szCs w:val="22"/>
              </w:rPr>
              <w:t>8</w:t>
            </w:r>
            <w:r w:rsidR="00950FC7">
              <w:rPr>
                <w:rFonts w:cstheme="minorHAnsi"/>
                <w:snapToGrid/>
                <w:color w:val="000000"/>
                <w:sz w:val="22"/>
                <w:szCs w:val="22"/>
              </w:rPr>
              <w:t>7</w:t>
            </w:r>
            <w:r w:rsidRPr="005C5350">
              <w:rPr>
                <w:rFonts w:cstheme="minorHAnsi"/>
                <w:snapToGrid/>
                <w:color w:val="000000"/>
                <w:sz w:val="22"/>
                <w:szCs w:val="22"/>
              </w:rPr>
              <w:t>%</w:t>
            </w:r>
          </w:p>
        </w:tc>
        <w:tc>
          <w:tcPr>
            <w:tcW w:w="1282" w:type="dxa"/>
            <w:tcBorders>
              <w:bottom w:val="single" w:sz="12" w:space="0" w:color="auto"/>
            </w:tcBorders>
            <w:shd w:val="clear" w:color="auto" w:fill="FFFFFF" w:themeFill="background1"/>
            <w:vAlign w:val="center"/>
          </w:tcPr>
          <w:p w14:paraId="601441B3" w14:textId="77777777" w:rsidR="0016244E" w:rsidRPr="005C5350"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sidRPr="005C5350">
              <w:rPr>
                <w:rFonts w:eastAsiaTheme="minorHAnsi" w:cstheme="minorHAnsi"/>
                <w:snapToGrid/>
                <w:color w:val="000000"/>
                <w:sz w:val="22"/>
                <w:szCs w:val="22"/>
              </w:rPr>
              <w:t>75%</w:t>
            </w:r>
          </w:p>
        </w:tc>
        <w:tc>
          <w:tcPr>
            <w:tcW w:w="1282" w:type="dxa"/>
            <w:tcBorders>
              <w:bottom w:val="single" w:sz="12" w:space="0" w:color="auto"/>
            </w:tcBorders>
            <w:shd w:val="clear" w:color="auto" w:fill="FFFFFF" w:themeFill="background1"/>
            <w:vAlign w:val="center"/>
          </w:tcPr>
          <w:p w14:paraId="04294C45" w14:textId="77777777" w:rsidR="0016244E" w:rsidRPr="005C5350" w:rsidRDefault="0016244E" w:rsidP="00BA4CCB">
            <w:pPr>
              <w:widowControl/>
              <w:jc w:val="center"/>
              <w:cnfStyle w:val="000000100000" w:firstRow="0" w:lastRow="0" w:firstColumn="0" w:lastColumn="0" w:oddVBand="0" w:evenVBand="0" w:oddHBand="1" w:evenHBand="0" w:firstRowFirstColumn="0" w:firstRowLastColumn="0" w:lastRowFirstColumn="0" w:lastRowLastColumn="0"/>
              <w:rPr>
                <w:rFonts w:cstheme="minorHAnsi"/>
                <w:snapToGrid/>
                <w:color w:val="000000"/>
                <w:sz w:val="22"/>
                <w:szCs w:val="22"/>
              </w:rPr>
            </w:pPr>
            <w:r w:rsidRPr="005C5350">
              <w:rPr>
                <w:rFonts w:eastAsiaTheme="minorHAnsi" w:cstheme="minorHAnsi"/>
                <w:snapToGrid/>
                <w:color w:val="000000"/>
                <w:sz w:val="22"/>
                <w:szCs w:val="22"/>
              </w:rPr>
              <w:t>75%</w:t>
            </w:r>
          </w:p>
        </w:tc>
      </w:tr>
    </w:tbl>
    <w:p w14:paraId="6C993BD0" w14:textId="77777777" w:rsidR="00111D46" w:rsidRDefault="00111D46" w:rsidP="0016244E"/>
    <w:p w14:paraId="1C5BF00E" w14:textId="77777777" w:rsidR="002344F7" w:rsidRPr="000F27AE" w:rsidRDefault="002344F7" w:rsidP="002344F7">
      <w:pPr>
        <w:pStyle w:val="Heading3"/>
      </w:pPr>
      <w:r>
        <w:t>Causes of Impairment</w:t>
      </w:r>
    </w:p>
    <w:p w14:paraId="3F2227C1" w14:textId="7BB21C66" w:rsidR="002344F7" w:rsidRDefault="002344F7" w:rsidP="002344F7">
      <w:pPr>
        <w:rPr>
          <w:rFonts w:cstheme="minorHAnsi"/>
          <w:szCs w:val="24"/>
        </w:rPr>
      </w:pPr>
      <w:r>
        <w:rPr>
          <w:rFonts w:cstheme="minorHAnsi"/>
          <w:szCs w:val="24"/>
        </w:rPr>
        <w:t>In Virginia, waters are assigned designated uses (e.g. aquatic life), and then parameters which can negatively impact those designated uses</w:t>
      </w:r>
      <w:r w:rsidR="006C5EBD">
        <w:rPr>
          <w:rFonts w:cstheme="minorHAnsi"/>
          <w:szCs w:val="24"/>
        </w:rPr>
        <w:t xml:space="preserve">, such as </w:t>
      </w:r>
      <w:r>
        <w:rPr>
          <w:rFonts w:cstheme="minorHAnsi"/>
          <w:szCs w:val="24"/>
        </w:rPr>
        <w:t>low dissolved oxygen, or parameters which indicate those designated uses are impaire</w:t>
      </w:r>
      <w:r w:rsidR="006C5EBD">
        <w:rPr>
          <w:rFonts w:cstheme="minorHAnsi"/>
          <w:szCs w:val="24"/>
        </w:rPr>
        <w:t xml:space="preserve">d, such as </w:t>
      </w:r>
      <w:r>
        <w:rPr>
          <w:rFonts w:cstheme="minorHAnsi"/>
          <w:szCs w:val="24"/>
        </w:rPr>
        <w:t>benthic macroinvertebrate communities, are monitored across the state. A summary of the top parameters that are the leading causes of designated use impairments by water body type is presented in Table 4.2-7.</w:t>
      </w:r>
      <w:r w:rsidR="00BC0C34">
        <w:rPr>
          <w:rFonts w:cstheme="minorHAnsi"/>
          <w:szCs w:val="24"/>
        </w:rPr>
        <w:t xml:space="preserve"> </w:t>
      </w:r>
    </w:p>
    <w:p w14:paraId="2E4B8685" w14:textId="77777777" w:rsidR="008D1185" w:rsidRDefault="008D1185" w:rsidP="002344F7">
      <w:pPr>
        <w:rPr>
          <w:rFonts w:cstheme="minorHAnsi"/>
          <w:szCs w:val="24"/>
        </w:rPr>
      </w:pPr>
    </w:p>
    <w:p w14:paraId="253101DF" w14:textId="4E929EF8" w:rsidR="008D1185" w:rsidRPr="000812E3" w:rsidRDefault="008D1185" w:rsidP="008D1185">
      <w:pPr>
        <w:pStyle w:val="Caption"/>
        <w:keepNext/>
        <w:rPr>
          <w:rFonts w:cstheme="minorHAnsi"/>
        </w:rPr>
      </w:pPr>
      <w:bookmarkStart w:id="93" w:name="_Toc164175162"/>
      <w:r w:rsidRPr="000812E3">
        <w:rPr>
          <w:rFonts w:cstheme="minorHAnsi"/>
        </w:rPr>
        <w:t xml:space="preserve">Table </w:t>
      </w:r>
      <w:r>
        <w:rPr>
          <w:rFonts w:cstheme="minorHAnsi"/>
        </w:rPr>
        <w:fldChar w:fldCharType="begin"/>
      </w:r>
      <w:r>
        <w:rPr>
          <w:rFonts w:cstheme="minorHAnsi"/>
        </w:rPr>
        <w:instrText xml:space="preserve"> STYLEREF 2 \s </w:instrText>
      </w:r>
      <w:r>
        <w:rPr>
          <w:rFonts w:cstheme="minorHAnsi"/>
        </w:rPr>
        <w:fldChar w:fldCharType="separate"/>
      </w:r>
      <w:r>
        <w:rPr>
          <w:rFonts w:cstheme="minorHAnsi"/>
          <w:noProof/>
        </w:rPr>
        <w:t>4.2</w:t>
      </w:r>
      <w:r>
        <w:rPr>
          <w:rFonts w:cstheme="minorHAnsi"/>
        </w:rPr>
        <w:fldChar w:fldCharType="end"/>
      </w:r>
      <w:r>
        <w:rPr>
          <w:rFonts w:cstheme="minorHAnsi"/>
        </w:rPr>
        <w:noBreakHyphen/>
      </w:r>
      <w:r>
        <w:rPr>
          <w:rFonts w:cstheme="minorHAnsi"/>
        </w:rPr>
        <w:fldChar w:fldCharType="begin"/>
      </w:r>
      <w:r>
        <w:rPr>
          <w:rFonts w:cstheme="minorHAnsi"/>
        </w:rPr>
        <w:instrText xml:space="preserve"> SEQ Table \* ARABIC \s 2 </w:instrText>
      </w:r>
      <w:r>
        <w:rPr>
          <w:rFonts w:cstheme="minorHAnsi"/>
        </w:rPr>
        <w:fldChar w:fldCharType="separate"/>
      </w:r>
      <w:r>
        <w:rPr>
          <w:rFonts w:cstheme="minorHAnsi"/>
          <w:noProof/>
        </w:rPr>
        <w:t>7</w:t>
      </w:r>
      <w:r>
        <w:rPr>
          <w:rFonts w:cstheme="minorHAnsi"/>
        </w:rPr>
        <w:fldChar w:fldCharType="end"/>
      </w:r>
      <w:r w:rsidRPr="000812E3">
        <w:rPr>
          <w:rFonts w:cstheme="minorHAnsi"/>
        </w:rPr>
        <w:t xml:space="preserve">. </w:t>
      </w:r>
      <w:r w:rsidRPr="000812E3">
        <w:rPr>
          <w:rFonts w:cstheme="minorHAnsi"/>
          <w:szCs w:val="24"/>
        </w:rPr>
        <w:t xml:space="preserve">Leading causes of </w:t>
      </w:r>
      <w:r w:rsidR="00510C84" w:rsidRPr="000812E3">
        <w:rPr>
          <w:rFonts w:cstheme="minorHAnsi"/>
          <w:szCs w:val="24"/>
        </w:rPr>
        <w:t>impairment</w:t>
      </w:r>
      <w:r w:rsidRPr="000812E3">
        <w:rPr>
          <w:rFonts w:cstheme="minorHAnsi"/>
          <w:szCs w:val="24"/>
        </w:rPr>
        <w:t xml:space="preserve"> by water body type.</w:t>
      </w:r>
      <w:bookmarkEnd w:id="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4.2-6 Leading causes of impairments by water body type."/>
        <w:tblDescription w:val="Leading causes of impairments by water body type."/>
      </w:tblPr>
      <w:tblGrid>
        <w:gridCol w:w="2425"/>
        <w:gridCol w:w="2249"/>
        <w:gridCol w:w="2338"/>
        <w:gridCol w:w="2338"/>
      </w:tblGrid>
      <w:tr w:rsidR="008D1185" w14:paraId="05769CD8" w14:textId="77777777">
        <w:trPr>
          <w:trHeight w:val="360"/>
        </w:trPr>
        <w:tc>
          <w:tcPr>
            <w:tcW w:w="2425" w:type="dxa"/>
            <w:tcBorders>
              <w:top w:val="single" w:sz="12" w:space="0" w:color="auto"/>
              <w:bottom w:val="single" w:sz="2" w:space="0" w:color="auto"/>
            </w:tcBorders>
          </w:tcPr>
          <w:p w14:paraId="642194E3" w14:textId="77777777" w:rsidR="008D1185" w:rsidRPr="00AC1E2B" w:rsidRDefault="008D1185">
            <w:pPr>
              <w:rPr>
                <w:rFonts w:cstheme="minorHAnsi"/>
                <w:sz w:val="22"/>
                <w:szCs w:val="22"/>
              </w:rPr>
            </w:pPr>
          </w:p>
        </w:tc>
        <w:tc>
          <w:tcPr>
            <w:tcW w:w="2249" w:type="dxa"/>
            <w:tcBorders>
              <w:top w:val="single" w:sz="12" w:space="0" w:color="auto"/>
              <w:bottom w:val="single" w:sz="2" w:space="0" w:color="auto"/>
            </w:tcBorders>
            <w:vAlign w:val="center"/>
          </w:tcPr>
          <w:p w14:paraId="7759B03D" w14:textId="77777777" w:rsidR="008D1185" w:rsidRPr="00AC1E2B" w:rsidRDefault="008D1185">
            <w:pPr>
              <w:jc w:val="center"/>
              <w:rPr>
                <w:rFonts w:cstheme="minorHAnsi"/>
                <w:b/>
                <w:bCs/>
                <w:sz w:val="22"/>
                <w:szCs w:val="22"/>
              </w:rPr>
            </w:pPr>
            <w:r w:rsidRPr="00AC1E2B">
              <w:rPr>
                <w:rFonts w:cstheme="minorHAnsi"/>
                <w:b/>
                <w:bCs/>
                <w:sz w:val="22"/>
                <w:szCs w:val="22"/>
              </w:rPr>
              <w:t>River (</w:t>
            </w:r>
            <w:r>
              <w:rPr>
                <w:rFonts w:cstheme="minorHAnsi"/>
                <w:b/>
                <w:bCs/>
                <w:sz w:val="22"/>
                <w:szCs w:val="22"/>
              </w:rPr>
              <w:t>Miles</w:t>
            </w:r>
            <w:r w:rsidRPr="00AC1E2B">
              <w:rPr>
                <w:rFonts w:cstheme="minorHAnsi"/>
                <w:b/>
                <w:bCs/>
                <w:sz w:val="22"/>
                <w:szCs w:val="22"/>
              </w:rPr>
              <w:t>)</w:t>
            </w:r>
          </w:p>
        </w:tc>
        <w:tc>
          <w:tcPr>
            <w:tcW w:w="2338" w:type="dxa"/>
            <w:tcBorders>
              <w:top w:val="single" w:sz="12" w:space="0" w:color="auto"/>
              <w:bottom w:val="single" w:sz="2" w:space="0" w:color="auto"/>
            </w:tcBorders>
            <w:vAlign w:val="center"/>
          </w:tcPr>
          <w:p w14:paraId="46CB03F4" w14:textId="77777777" w:rsidR="008D1185" w:rsidRPr="00AC1E2B" w:rsidRDefault="008D1185">
            <w:pPr>
              <w:jc w:val="center"/>
              <w:rPr>
                <w:rFonts w:cstheme="minorHAnsi"/>
                <w:b/>
                <w:bCs/>
                <w:sz w:val="22"/>
                <w:szCs w:val="22"/>
              </w:rPr>
            </w:pPr>
            <w:r w:rsidRPr="00AC1E2B">
              <w:rPr>
                <w:rFonts w:cstheme="minorHAnsi"/>
                <w:b/>
                <w:bCs/>
                <w:sz w:val="22"/>
                <w:szCs w:val="22"/>
              </w:rPr>
              <w:t>Lakes (</w:t>
            </w:r>
            <w:r>
              <w:rPr>
                <w:rFonts w:cstheme="minorHAnsi"/>
                <w:b/>
                <w:bCs/>
                <w:sz w:val="22"/>
                <w:szCs w:val="22"/>
              </w:rPr>
              <w:t>A</w:t>
            </w:r>
            <w:r w:rsidRPr="00AC1E2B">
              <w:rPr>
                <w:rFonts w:cstheme="minorHAnsi"/>
                <w:b/>
                <w:bCs/>
                <w:sz w:val="22"/>
                <w:szCs w:val="22"/>
              </w:rPr>
              <w:t>cres)</w:t>
            </w:r>
          </w:p>
        </w:tc>
        <w:tc>
          <w:tcPr>
            <w:tcW w:w="2338" w:type="dxa"/>
            <w:tcBorders>
              <w:top w:val="single" w:sz="12" w:space="0" w:color="auto"/>
              <w:bottom w:val="single" w:sz="2" w:space="0" w:color="auto"/>
            </w:tcBorders>
            <w:vAlign w:val="center"/>
          </w:tcPr>
          <w:p w14:paraId="756381C7" w14:textId="77777777" w:rsidR="008D1185" w:rsidRPr="00AC1E2B" w:rsidRDefault="008D1185">
            <w:pPr>
              <w:jc w:val="center"/>
              <w:rPr>
                <w:rFonts w:cstheme="minorHAnsi"/>
                <w:b/>
                <w:bCs/>
                <w:sz w:val="22"/>
                <w:szCs w:val="22"/>
              </w:rPr>
            </w:pPr>
            <w:r w:rsidRPr="00AC1E2B">
              <w:rPr>
                <w:rFonts w:cstheme="minorHAnsi"/>
                <w:b/>
                <w:bCs/>
                <w:sz w:val="22"/>
                <w:szCs w:val="22"/>
              </w:rPr>
              <w:t>Estuaries (</w:t>
            </w:r>
            <w:r>
              <w:rPr>
                <w:rFonts w:cstheme="minorHAnsi"/>
                <w:b/>
                <w:bCs/>
                <w:sz w:val="22"/>
                <w:szCs w:val="22"/>
              </w:rPr>
              <w:t>Miles</w:t>
            </w:r>
            <w:r w:rsidRPr="00AC1E2B">
              <w:rPr>
                <w:rFonts w:cstheme="minorHAnsi"/>
                <w:b/>
                <w:bCs/>
                <w:sz w:val="22"/>
                <w:szCs w:val="22"/>
                <w:vertAlign w:val="superscript"/>
              </w:rPr>
              <w:t>2</w:t>
            </w:r>
            <w:r w:rsidRPr="00AC1E2B">
              <w:rPr>
                <w:rFonts w:cstheme="minorHAnsi"/>
                <w:b/>
                <w:bCs/>
                <w:sz w:val="22"/>
                <w:szCs w:val="22"/>
              </w:rPr>
              <w:t>)</w:t>
            </w:r>
          </w:p>
        </w:tc>
      </w:tr>
      <w:tr w:rsidR="008D1185" w14:paraId="3E3A4C9D" w14:textId="77777777">
        <w:trPr>
          <w:trHeight w:val="360"/>
        </w:trPr>
        <w:tc>
          <w:tcPr>
            <w:tcW w:w="2425" w:type="dxa"/>
            <w:vAlign w:val="center"/>
          </w:tcPr>
          <w:p w14:paraId="326BAD29" w14:textId="77777777" w:rsidR="008D1185" w:rsidRPr="00AC1E2B" w:rsidRDefault="008D1185">
            <w:pPr>
              <w:jc w:val="right"/>
              <w:rPr>
                <w:rFonts w:cstheme="minorHAnsi"/>
                <w:sz w:val="22"/>
                <w:szCs w:val="22"/>
              </w:rPr>
            </w:pPr>
            <w:r w:rsidRPr="00AC1E2B">
              <w:rPr>
                <w:rFonts w:cstheme="minorHAnsi"/>
                <w:sz w:val="22"/>
                <w:szCs w:val="22"/>
              </w:rPr>
              <w:t>Bacteria</w:t>
            </w:r>
          </w:p>
        </w:tc>
        <w:tc>
          <w:tcPr>
            <w:tcW w:w="2249" w:type="dxa"/>
            <w:vAlign w:val="center"/>
          </w:tcPr>
          <w:p w14:paraId="67DEDB8E" w14:textId="77777777" w:rsidR="008D1185" w:rsidRPr="00AC1E2B" w:rsidRDefault="008D1185">
            <w:pPr>
              <w:jc w:val="center"/>
              <w:rPr>
                <w:rFonts w:cstheme="minorHAnsi"/>
                <w:sz w:val="22"/>
                <w:szCs w:val="22"/>
              </w:rPr>
            </w:pPr>
            <w:r w:rsidRPr="00AC1E2B">
              <w:rPr>
                <w:rFonts w:cstheme="minorHAnsi"/>
                <w:sz w:val="22"/>
                <w:szCs w:val="22"/>
              </w:rPr>
              <w:t>12,</w:t>
            </w:r>
            <w:r>
              <w:rPr>
                <w:rFonts w:cstheme="minorHAnsi"/>
                <w:sz w:val="22"/>
                <w:szCs w:val="22"/>
              </w:rPr>
              <w:t>217</w:t>
            </w:r>
          </w:p>
        </w:tc>
        <w:tc>
          <w:tcPr>
            <w:tcW w:w="2338" w:type="dxa"/>
            <w:vAlign w:val="center"/>
          </w:tcPr>
          <w:p w14:paraId="6B99B25F" w14:textId="77777777" w:rsidR="008D1185" w:rsidRPr="00AC1E2B" w:rsidRDefault="008D1185">
            <w:pPr>
              <w:jc w:val="center"/>
              <w:rPr>
                <w:rFonts w:cstheme="minorHAnsi"/>
                <w:sz w:val="22"/>
                <w:szCs w:val="22"/>
              </w:rPr>
            </w:pPr>
            <w:r w:rsidRPr="00AC1E2B">
              <w:rPr>
                <w:rFonts w:cstheme="minorHAnsi"/>
                <w:sz w:val="22"/>
                <w:szCs w:val="22"/>
              </w:rPr>
              <w:t>4,</w:t>
            </w:r>
            <w:r>
              <w:rPr>
                <w:rFonts w:cstheme="minorHAnsi"/>
                <w:sz w:val="22"/>
                <w:szCs w:val="22"/>
              </w:rPr>
              <w:t>293</w:t>
            </w:r>
          </w:p>
        </w:tc>
        <w:tc>
          <w:tcPr>
            <w:tcW w:w="2338" w:type="dxa"/>
            <w:vAlign w:val="center"/>
          </w:tcPr>
          <w:p w14:paraId="025CD3E9" w14:textId="610B3E75" w:rsidR="008D1185" w:rsidRPr="00AC1E2B" w:rsidRDefault="008D1185">
            <w:pPr>
              <w:jc w:val="center"/>
              <w:rPr>
                <w:rFonts w:cstheme="minorHAnsi"/>
                <w:sz w:val="22"/>
                <w:szCs w:val="22"/>
              </w:rPr>
            </w:pPr>
            <w:r w:rsidRPr="00AC1E2B">
              <w:rPr>
                <w:rFonts w:cstheme="minorHAnsi"/>
                <w:sz w:val="22"/>
                <w:szCs w:val="22"/>
              </w:rPr>
              <w:t>1</w:t>
            </w:r>
            <w:r>
              <w:rPr>
                <w:rFonts w:cstheme="minorHAnsi"/>
                <w:sz w:val="22"/>
                <w:szCs w:val="22"/>
              </w:rPr>
              <w:t>7</w:t>
            </w:r>
            <w:r w:rsidR="00CA2930">
              <w:rPr>
                <w:rFonts w:cstheme="minorHAnsi"/>
                <w:sz w:val="22"/>
                <w:szCs w:val="22"/>
              </w:rPr>
              <w:t>4</w:t>
            </w:r>
          </w:p>
        </w:tc>
      </w:tr>
      <w:tr w:rsidR="008D1185" w14:paraId="5A9BE777" w14:textId="77777777">
        <w:trPr>
          <w:trHeight w:val="360"/>
        </w:trPr>
        <w:tc>
          <w:tcPr>
            <w:tcW w:w="2425" w:type="dxa"/>
            <w:vAlign w:val="center"/>
          </w:tcPr>
          <w:p w14:paraId="5D99FB00" w14:textId="77777777" w:rsidR="008D1185" w:rsidRPr="00AC1E2B" w:rsidRDefault="008D1185">
            <w:pPr>
              <w:jc w:val="right"/>
              <w:rPr>
                <w:rFonts w:cstheme="minorHAnsi"/>
                <w:sz w:val="22"/>
                <w:szCs w:val="22"/>
              </w:rPr>
            </w:pPr>
            <w:r w:rsidRPr="00AC1E2B">
              <w:rPr>
                <w:rFonts w:cstheme="minorHAnsi"/>
                <w:sz w:val="22"/>
                <w:szCs w:val="22"/>
              </w:rPr>
              <w:t>Toxics in Fish Tissue</w:t>
            </w:r>
          </w:p>
        </w:tc>
        <w:tc>
          <w:tcPr>
            <w:tcW w:w="2249" w:type="dxa"/>
            <w:vAlign w:val="center"/>
          </w:tcPr>
          <w:p w14:paraId="773F2948" w14:textId="48F6E107" w:rsidR="008D1185" w:rsidRPr="00AC1E2B" w:rsidRDefault="008D1185">
            <w:pPr>
              <w:jc w:val="center"/>
              <w:rPr>
                <w:rFonts w:cstheme="minorHAnsi"/>
                <w:sz w:val="22"/>
                <w:szCs w:val="22"/>
              </w:rPr>
            </w:pPr>
            <w:r w:rsidRPr="00AC1E2B">
              <w:rPr>
                <w:rFonts w:cstheme="minorHAnsi"/>
                <w:sz w:val="22"/>
                <w:szCs w:val="22"/>
              </w:rPr>
              <w:t>3,7</w:t>
            </w:r>
            <w:r w:rsidR="005C153E">
              <w:rPr>
                <w:rFonts w:cstheme="minorHAnsi"/>
                <w:sz w:val="22"/>
                <w:szCs w:val="22"/>
              </w:rPr>
              <w:t>24</w:t>
            </w:r>
          </w:p>
        </w:tc>
        <w:tc>
          <w:tcPr>
            <w:tcW w:w="2338" w:type="dxa"/>
            <w:vAlign w:val="center"/>
          </w:tcPr>
          <w:p w14:paraId="4D1F99C7" w14:textId="260FEF6A" w:rsidR="008D1185" w:rsidRPr="00AC1E2B" w:rsidRDefault="008D1185">
            <w:pPr>
              <w:jc w:val="center"/>
              <w:rPr>
                <w:rFonts w:cstheme="minorHAnsi"/>
                <w:sz w:val="22"/>
                <w:szCs w:val="22"/>
              </w:rPr>
            </w:pPr>
            <w:r w:rsidRPr="00AC1E2B">
              <w:rPr>
                <w:rFonts w:cstheme="minorHAnsi"/>
                <w:sz w:val="22"/>
                <w:szCs w:val="22"/>
              </w:rPr>
              <w:t>8</w:t>
            </w:r>
            <w:r w:rsidR="005C153E">
              <w:rPr>
                <w:rFonts w:cstheme="minorHAnsi"/>
                <w:sz w:val="22"/>
                <w:szCs w:val="22"/>
              </w:rPr>
              <w:t>8,765</w:t>
            </w:r>
          </w:p>
        </w:tc>
        <w:tc>
          <w:tcPr>
            <w:tcW w:w="2338" w:type="dxa"/>
            <w:vAlign w:val="center"/>
          </w:tcPr>
          <w:p w14:paraId="505B536A" w14:textId="77777777" w:rsidR="008D1185" w:rsidRPr="00AC1E2B" w:rsidRDefault="008D1185">
            <w:pPr>
              <w:jc w:val="center"/>
              <w:rPr>
                <w:rFonts w:cstheme="minorHAnsi"/>
                <w:sz w:val="22"/>
                <w:szCs w:val="22"/>
              </w:rPr>
            </w:pPr>
            <w:r w:rsidRPr="00AC1E2B">
              <w:rPr>
                <w:rFonts w:cstheme="minorHAnsi"/>
                <w:sz w:val="22"/>
                <w:szCs w:val="22"/>
              </w:rPr>
              <w:t>2,058</w:t>
            </w:r>
          </w:p>
        </w:tc>
      </w:tr>
      <w:tr w:rsidR="008D1185" w14:paraId="68192A40" w14:textId="77777777">
        <w:trPr>
          <w:trHeight w:val="360"/>
        </w:trPr>
        <w:tc>
          <w:tcPr>
            <w:tcW w:w="2425" w:type="dxa"/>
            <w:tcBorders>
              <w:bottom w:val="single" w:sz="12" w:space="0" w:color="auto"/>
            </w:tcBorders>
            <w:vAlign w:val="center"/>
          </w:tcPr>
          <w:p w14:paraId="2A0BB7E5" w14:textId="77777777" w:rsidR="008D1185" w:rsidRPr="00AC1E2B" w:rsidRDefault="008D1185">
            <w:pPr>
              <w:jc w:val="right"/>
              <w:rPr>
                <w:rFonts w:cstheme="minorHAnsi"/>
                <w:sz w:val="22"/>
                <w:szCs w:val="22"/>
              </w:rPr>
            </w:pPr>
            <w:r w:rsidRPr="00AC1E2B">
              <w:rPr>
                <w:rFonts w:cstheme="minorHAnsi"/>
                <w:sz w:val="22"/>
                <w:szCs w:val="22"/>
              </w:rPr>
              <w:t>Dissolved Oxygen</w:t>
            </w:r>
          </w:p>
        </w:tc>
        <w:tc>
          <w:tcPr>
            <w:tcW w:w="2249" w:type="dxa"/>
            <w:tcBorders>
              <w:bottom w:val="single" w:sz="12" w:space="0" w:color="auto"/>
            </w:tcBorders>
            <w:vAlign w:val="center"/>
          </w:tcPr>
          <w:p w14:paraId="1E9A82BE" w14:textId="6C1D39D3" w:rsidR="008D1185" w:rsidRPr="00AC1E2B" w:rsidRDefault="008D1185">
            <w:pPr>
              <w:jc w:val="center"/>
              <w:rPr>
                <w:rFonts w:cstheme="minorHAnsi"/>
                <w:sz w:val="22"/>
                <w:szCs w:val="22"/>
              </w:rPr>
            </w:pPr>
            <w:r w:rsidRPr="00AC1E2B">
              <w:rPr>
                <w:rFonts w:cstheme="minorHAnsi"/>
                <w:sz w:val="22"/>
                <w:szCs w:val="22"/>
              </w:rPr>
              <w:t>70</w:t>
            </w:r>
            <w:r w:rsidR="005C153E">
              <w:rPr>
                <w:rFonts w:cstheme="minorHAnsi"/>
                <w:sz w:val="22"/>
                <w:szCs w:val="22"/>
              </w:rPr>
              <w:t>6</w:t>
            </w:r>
          </w:p>
        </w:tc>
        <w:tc>
          <w:tcPr>
            <w:tcW w:w="2338" w:type="dxa"/>
            <w:tcBorders>
              <w:bottom w:val="single" w:sz="12" w:space="0" w:color="auto"/>
            </w:tcBorders>
            <w:vAlign w:val="center"/>
          </w:tcPr>
          <w:p w14:paraId="28966F7E" w14:textId="77777777" w:rsidR="008D1185" w:rsidRPr="00AC1E2B" w:rsidRDefault="008D1185">
            <w:pPr>
              <w:jc w:val="center"/>
              <w:rPr>
                <w:rFonts w:cstheme="minorHAnsi"/>
                <w:sz w:val="22"/>
                <w:szCs w:val="22"/>
              </w:rPr>
            </w:pPr>
            <w:r w:rsidRPr="00AC1E2B">
              <w:rPr>
                <w:rFonts w:cstheme="minorHAnsi"/>
                <w:sz w:val="22"/>
                <w:szCs w:val="22"/>
              </w:rPr>
              <w:t>47,</w:t>
            </w:r>
            <w:r>
              <w:rPr>
                <w:rFonts w:cstheme="minorHAnsi"/>
                <w:sz w:val="22"/>
                <w:szCs w:val="22"/>
              </w:rPr>
              <w:t>366</w:t>
            </w:r>
          </w:p>
        </w:tc>
        <w:tc>
          <w:tcPr>
            <w:tcW w:w="2338" w:type="dxa"/>
            <w:tcBorders>
              <w:bottom w:val="single" w:sz="12" w:space="0" w:color="auto"/>
            </w:tcBorders>
            <w:vAlign w:val="center"/>
          </w:tcPr>
          <w:p w14:paraId="2E3FFEA7" w14:textId="39ADB99B" w:rsidR="008D1185" w:rsidRPr="00AC1E2B" w:rsidRDefault="008D1185">
            <w:pPr>
              <w:jc w:val="center"/>
              <w:rPr>
                <w:rFonts w:cstheme="minorHAnsi"/>
                <w:sz w:val="22"/>
                <w:szCs w:val="22"/>
              </w:rPr>
            </w:pPr>
            <w:r w:rsidRPr="00AC1E2B">
              <w:rPr>
                <w:rFonts w:cstheme="minorHAnsi"/>
                <w:sz w:val="22"/>
                <w:szCs w:val="22"/>
              </w:rPr>
              <w:t>1,</w:t>
            </w:r>
            <w:r>
              <w:rPr>
                <w:rFonts w:cstheme="minorHAnsi"/>
                <w:sz w:val="22"/>
                <w:szCs w:val="22"/>
              </w:rPr>
              <w:t>37</w:t>
            </w:r>
            <w:r w:rsidR="00CA2930">
              <w:rPr>
                <w:rFonts w:cstheme="minorHAnsi"/>
                <w:sz w:val="22"/>
                <w:szCs w:val="22"/>
              </w:rPr>
              <w:t>5</w:t>
            </w:r>
          </w:p>
        </w:tc>
      </w:tr>
    </w:tbl>
    <w:p w14:paraId="161FE22A" w14:textId="77777777" w:rsidR="002344F7" w:rsidRDefault="002344F7" w:rsidP="002344F7"/>
    <w:p w14:paraId="784FFFE6" w14:textId="53412A0F" w:rsidR="006F4EC2" w:rsidRDefault="00130BE4" w:rsidP="006E59F2">
      <w:pPr>
        <w:rPr>
          <w:szCs w:val="24"/>
        </w:rPr>
      </w:pPr>
      <w:r w:rsidRPr="49ED66DD">
        <w:rPr>
          <w:szCs w:val="24"/>
        </w:rPr>
        <w:t xml:space="preserve">After a waterbody is classified as impaired, </w:t>
      </w:r>
      <w:r w:rsidRPr="1EEF278B">
        <w:rPr>
          <w:szCs w:val="24"/>
        </w:rPr>
        <w:t>state statute directs DEQ to develop and implement a plan to achieve fully supporting status for the water</w:t>
      </w:r>
      <w:r>
        <w:rPr>
          <w:szCs w:val="24"/>
        </w:rPr>
        <w:t xml:space="preserve"> by addressing the </w:t>
      </w:r>
      <w:proofErr w:type="gramStart"/>
      <w:r>
        <w:rPr>
          <w:szCs w:val="24"/>
        </w:rPr>
        <w:t>pollutant</w:t>
      </w:r>
      <w:proofErr w:type="gramEnd"/>
      <w:r>
        <w:rPr>
          <w:szCs w:val="24"/>
        </w:rPr>
        <w:t xml:space="preserve"> or pollutants causing the impairment</w:t>
      </w:r>
      <w:r w:rsidRPr="1EEF278B">
        <w:rPr>
          <w:szCs w:val="24"/>
        </w:rPr>
        <w:t xml:space="preserve">. </w:t>
      </w:r>
      <w:r w:rsidRPr="49ED66DD">
        <w:rPr>
          <w:szCs w:val="24"/>
        </w:rPr>
        <w:t>DEQ may initiate a watershed study, such as a Total Maximum Daily Load (TMDL)</w:t>
      </w:r>
      <w:r>
        <w:rPr>
          <w:szCs w:val="24"/>
        </w:rPr>
        <w:t>.</w:t>
      </w:r>
      <w:r w:rsidRPr="49ED66DD">
        <w:rPr>
          <w:szCs w:val="24"/>
        </w:rPr>
        <w:t xml:space="preserve"> </w:t>
      </w:r>
      <w:r w:rsidRPr="1EEF278B">
        <w:rPr>
          <w:szCs w:val="24"/>
        </w:rPr>
        <w:t xml:space="preserve">TMDLs are implemented in applicable discharge permits and by addressing nonpoint pollutant sources. </w:t>
      </w:r>
      <w:r w:rsidRPr="49ED66DD">
        <w:rPr>
          <w:szCs w:val="24"/>
        </w:rPr>
        <w:t>In Virginia, an Implementation Plan (IP), also known as a clean-up plan</w:t>
      </w:r>
      <w:r w:rsidRPr="1EEF278B">
        <w:rPr>
          <w:szCs w:val="24"/>
        </w:rPr>
        <w:t>, is often used to guide implementation of nonpoint source controls.</w:t>
      </w:r>
    </w:p>
    <w:p w14:paraId="16FA7A49" w14:textId="7397799C" w:rsidR="001E08FA" w:rsidRDefault="00FB232A" w:rsidP="006E59F2">
      <w:pPr>
        <w:rPr>
          <w:rFonts w:cstheme="minorHAnsi"/>
          <w:szCs w:val="24"/>
        </w:rPr>
      </w:pPr>
      <w:r>
        <w:rPr>
          <w:rFonts w:cstheme="minorHAnsi"/>
          <w:szCs w:val="24"/>
        </w:rPr>
        <w:br/>
      </w:r>
      <w:r w:rsidR="00362AD0" w:rsidRPr="000F27AE">
        <w:rPr>
          <w:rFonts w:cstheme="minorHAnsi"/>
          <w:szCs w:val="24"/>
        </w:rPr>
        <w:t xml:space="preserve">The </w:t>
      </w:r>
      <w:r w:rsidR="00362AD0">
        <w:rPr>
          <w:rFonts w:cstheme="minorHAnsi"/>
          <w:szCs w:val="24"/>
        </w:rPr>
        <w:t>leading</w:t>
      </w:r>
      <w:r w:rsidR="00362AD0" w:rsidRPr="000F27AE">
        <w:rPr>
          <w:rFonts w:cstheme="minorHAnsi"/>
          <w:szCs w:val="24"/>
        </w:rPr>
        <w:t xml:space="preserve"> cause of impairment </w:t>
      </w:r>
      <w:r w:rsidR="00362AD0">
        <w:rPr>
          <w:rFonts w:cstheme="minorHAnsi"/>
          <w:szCs w:val="24"/>
        </w:rPr>
        <w:t>in rivers and streams in Virginia</w:t>
      </w:r>
      <w:r w:rsidR="00362AD0" w:rsidRPr="000F27AE">
        <w:rPr>
          <w:rFonts w:cstheme="minorHAnsi"/>
          <w:szCs w:val="24"/>
        </w:rPr>
        <w:t xml:space="preserve"> is excessive bacteria</w:t>
      </w:r>
      <w:r w:rsidR="00362AD0">
        <w:rPr>
          <w:rFonts w:cstheme="minorHAnsi"/>
          <w:szCs w:val="24"/>
        </w:rPr>
        <w:t xml:space="preserve"> (Table 4.2-7)</w:t>
      </w:r>
      <w:r w:rsidR="00362AD0" w:rsidRPr="000F27AE">
        <w:rPr>
          <w:rFonts w:cstheme="minorHAnsi"/>
          <w:szCs w:val="24"/>
        </w:rPr>
        <w:t xml:space="preserve">. </w:t>
      </w:r>
      <w:r w:rsidR="00362AD0" w:rsidRPr="000F27AE">
        <w:rPr>
          <w:rFonts w:cstheme="minorHAnsi"/>
          <w:i/>
          <w:szCs w:val="24"/>
        </w:rPr>
        <w:t>Escherichia coli</w:t>
      </w:r>
      <w:r w:rsidR="00362AD0" w:rsidRPr="000F27AE">
        <w:rPr>
          <w:rFonts w:cstheme="minorHAnsi"/>
          <w:szCs w:val="24"/>
        </w:rPr>
        <w:t xml:space="preserve"> (</w:t>
      </w:r>
      <w:r w:rsidR="00362AD0" w:rsidRPr="000F27AE">
        <w:rPr>
          <w:rFonts w:cstheme="minorHAnsi"/>
          <w:i/>
          <w:szCs w:val="24"/>
        </w:rPr>
        <w:t>E. coli</w:t>
      </w:r>
      <w:r w:rsidR="00362AD0" w:rsidRPr="000F27AE">
        <w:rPr>
          <w:rFonts w:cstheme="minorHAnsi"/>
          <w:szCs w:val="24"/>
        </w:rPr>
        <w:t xml:space="preserve">) is the pathogenic indicator used in freshwater, while </w:t>
      </w:r>
      <w:r w:rsidR="00362AD0">
        <w:rPr>
          <w:rFonts w:cstheme="minorHAnsi"/>
          <w:szCs w:val="24"/>
        </w:rPr>
        <w:t>E</w:t>
      </w:r>
      <w:r w:rsidR="00362AD0" w:rsidRPr="000F27AE">
        <w:rPr>
          <w:rFonts w:cstheme="minorHAnsi"/>
          <w:szCs w:val="24"/>
        </w:rPr>
        <w:t xml:space="preserve">nterococci is used in estuarine/coastal waters. These bacteria are associated with the fecal matter of warm-blooded animals. Bacteria and other microorganisms are found naturally in water but can become harmful to human health in high concentrations. Exposure to water-borne pathogens can cause various gastrointestinal, skin, neurological, and other serious diseases. Many rivers are covered by watershed plans to address </w:t>
      </w:r>
      <w:r w:rsidR="00085C9A">
        <w:rPr>
          <w:rFonts w:cstheme="minorHAnsi"/>
          <w:szCs w:val="24"/>
        </w:rPr>
        <w:t xml:space="preserve">excessive </w:t>
      </w:r>
      <w:r w:rsidR="00362AD0" w:rsidRPr="000F27AE">
        <w:rPr>
          <w:rFonts w:cstheme="minorHAnsi"/>
          <w:szCs w:val="24"/>
        </w:rPr>
        <w:t xml:space="preserve">bacteria </w:t>
      </w:r>
      <w:r w:rsidR="00085C9A">
        <w:rPr>
          <w:rFonts w:cstheme="minorHAnsi"/>
          <w:szCs w:val="24"/>
        </w:rPr>
        <w:t>levels</w:t>
      </w:r>
      <w:r w:rsidR="00362AD0" w:rsidRPr="000F27AE">
        <w:rPr>
          <w:rFonts w:cstheme="minorHAnsi"/>
          <w:szCs w:val="24"/>
        </w:rPr>
        <w:t xml:space="preserve"> across the state.</w:t>
      </w:r>
      <w:r w:rsidR="00655158">
        <w:rPr>
          <w:rFonts w:cstheme="minorHAnsi"/>
          <w:szCs w:val="24"/>
        </w:rPr>
        <w:t xml:space="preserve"> </w:t>
      </w:r>
      <w:r w:rsidR="004226D4">
        <w:rPr>
          <w:rFonts w:cstheme="minorHAnsi"/>
          <w:szCs w:val="24"/>
        </w:rPr>
        <w:t>Over 80% (</w:t>
      </w:r>
      <w:r w:rsidR="00BF487A">
        <w:rPr>
          <w:rFonts w:cstheme="minorHAnsi"/>
          <w:szCs w:val="24"/>
        </w:rPr>
        <w:t>10,18</w:t>
      </w:r>
      <w:r w:rsidR="00D0066A">
        <w:rPr>
          <w:rFonts w:cstheme="minorHAnsi"/>
          <w:szCs w:val="24"/>
        </w:rPr>
        <w:t>5</w:t>
      </w:r>
      <w:r w:rsidR="00BF487A">
        <w:rPr>
          <w:rFonts w:cstheme="minorHAnsi"/>
          <w:szCs w:val="24"/>
        </w:rPr>
        <w:t xml:space="preserve"> miles) </w:t>
      </w:r>
      <w:r w:rsidR="00D01D1A">
        <w:rPr>
          <w:rFonts w:cstheme="minorHAnsi"/>
          <w:szCs w:val="24"/>
        </w:rPr>
        <w:t xml:space="preserve">of the river miles </w:t>
      </w:r>
      <w:r w:rsidR="008831EE">
        <w:rPr>
          <w:rFonts w:cstheme="minorHAnsi"/>
          <w:szCs w:val="24"/>
        </w:rPr>
        <w:t>with high</w:t>
      </w:r>
      <w:r w:rsidR="00D01D1A">
        <w:rPr>
          <w:rFonts w:cstheme="minorHAnsi"/>
          <w:szCs w:val="24"/>
        </w:rPr>
        <w:t xml:space="preserve"> </w:t>
      </w:r>
      <w:r w:rsidR="00F3011C">
        <w:rPr>
          <w:rFonts w:cstheme="minorHAnsi"/>
          <w:szCs w:val="24"/>
        </w:rPr>
        <w:t>bacteria</w:t>
      </w:r>
      <w:r w:rsidR="008831EE">
        <w:rPr>
          <w:rFonts w:cstheme="minorHAnsi"/>
          <w:szCs w:val="24"/>
        </w:rPr>
        <w:t xml:space="preserve"> levels</w:t>
      </w:r>
      <w:r w:rsidR="00F3011C">
        <w:rPr>
          <w:rFonts w:cstheme="minorHAnsi"/>
          <w:szCs w:val="24"/>
        </w:rPr>
        <w:t xml:space="preserve"> </w:t>
      </w:r>
      <w:r w:rsidR="006D727E">
        <w:rPr>
          <w:rFonts w:cstheme="minorHAnsi"/>
          <w:szCs w:val="24"/>
        </w:rPr>
        <w:t xml:space="preserve">already have TMDLs </w:t>
      </w:r>
      <w:r w:rsidR="0024190C">
        <w:rPr>
          <w:rFonts w:cstheme="minorHAnsi"/>
          <w:szCs w:val="24"/>
        </w:rPr>
        <w:t>developed</w:t>
      </w:r>
      <w:r w:rsidR="00064EE7">
        <w:rPr>
          <w:rFonts w:cstheme="minorHAnsi"/>
          <w:szCs w:val="24"/>
        </w:rPr>
        <w:t xml:space="preserve"> (Figure </w:t>
      </w:r>
      <w:r w:rsidR="008C48AE">
        <w:rPr>
          <w:rFonts w:cstheme="minorHAnsi"/>
          <w:szCs w:val="24"/>
        </w:rPr>
        <w:t>4.2-</w:t>
      </w:r>
      <w:r w:rsidR="00255FFE">
        <w:rPr>
          <w:rFonts w:cstheme="minorHAnsi"/>
          <w:szCs w:val="24"/>
        </w:rPr>
        <w:t>5</w:t>
      </w:r>
      <w:r w:rsidR="008C48AE">
        <w:rPr>
          <w:rFonts w:cstheme="minorHAnsi"/>
          <w:szCs w:val="24"/>
        </w:rPr>
        <w:t>)</w:t>
      </w:r>
      <w:r w:rsidR="006D727E">
        <w:rPr>
          <w:rFonts w:cstheme="minorHAnsi"/>
          <w:szCs w:val="24"/>
        </w:rPr>
        <w:t>, or</w:t>
      </w:r>
      <w:r w:rsidR="0024190C">
        <w:rPr>
          <w:rFonts w:cstheme="minorHAnsi"/>
          <w:szCs w:val="24"/>
        </w:rPr>
        <w:t xml:space="preserve"> other pollution </w:t>
      </w:r>
      <w:r w:rsidR="00C207E4">
        <w:rPr>
          <w:rFonts w:cstheme="minorHAnsi"/>
          <w:szCs w:val="24"/>
        </w:rPr>
        <w:t>controls</w:t>
      </w:r>
      <w:r w:rsidR="0024190C">
        <w:rPr>
          <w:rFonts w:cstheme="minorHAnsi"/>
          <w:szCs w:val="24"/>
        </w:rPr>
        <w:t xml:space="preserve"> </w:t>
      </w:r>
      <w:r w:rsidR="00064EE7">
        <w:rPr>
          <w:rFonts w:cstheme="minorHAnsi"/>
          <w:szCs w:val="24"/>
        </w:rPr>
        <w:t>enacted.</w:t>
      </w:r>
    </w:p>
    <w:p w14:paraId="5B5554D4" w14:textId="77777777" w:rsidR="002E2AC5" w:rsidRDefault="002E2AC5" w:rsidP="002E2AC5">
      <w:pPr>
        <w:jc w:val="both"/>
        <w:rPr>
          <w:rFonts w:cstheme="minorHAnsi"/>
          <w:szCs w:val="24"/>
        </w:rPr>
      </w:pPr>
    </w:p>
    <w:p w14:paraId="3B6DF701" w14:textId="01253693" w:rsidR="00757F50" w:rsidRDefault="00857DDE" w:rsidP="00757F50">
      <w:pPr>
        <w:rPr>
          <w:rFonts w:cstheme="minorHAnsi"/>
          <w:color w:val="000000" w:themeColor="text1"/>
          <w:szCs w:val="24"/>
        </w:rPr>
      </w:pPr>
      <w:r>
        <w:rPr>
          <w:noProof/>
        </w:rPr>
        <w:lastRenderedPageBreak/>
        <w:drawing>
          <wp:inline distT="0" distB="0" distL="0" distR="0" wp14:anchorId="0BAB5F8D" wp14:editId="5E56193B">
            <wp:extent cx="5334000" cy="3810000"/>
            <wp:effectExtent l="0" t="0" r="0" b="0"/>
            <wp:docPr id="54" name="Picture" descr="Chart&#10;&#10;Figure 4.2 5. Summary of parameters causing impairments in Virginia’s rivers and streams. Light purple shading indicates the size of the waterbody that does not require a TMDL because one has been developed, other pollution controls are in place, or the condition is considered natural (Category 4). Dark purple shading indicates that a TMDL is required (Category 5). "/>
            <wp:cNvGraphicFramePr/>
            <a:graphic xmlns:a="http://schemas.openxmlformats.org/drawingml/2006/main">
              <a:graphicData uri="http://schemas.openxmlformats.org/drawingml/2006/picture">
                <pic:pic xmlns:pic="http://schemas.openxmlformats.org/drawingml/2006/picture">
                  <pic:nvPicPr>
                    <pic:cNvPr id="54" name="Picture" descr="Chart&#10;&#10;Figure 4.2 5. Summary of parameters causing impairments in Virginia’s rivers and streams. Light purple shading indicates the size of the waterbody that does not require a TMDL because one has been developed, other pollution controls are in place, or the condition is considered natural (Category 4). Dark purple shading indicates that a TMDL is required (Category 5). "/>
                    <pic:cNvPicPr>
                      <a:picLocks noChangeAspect="1" noChangeArrowheads="1"/>
                    </pic:cNvPicPr>
                  </pic:nvPicPr>
                  <pic:blipFill>
                    <a:blip r:embed="rId139"/>
                    <a:stretch>
                      <a:fillRect/>
                    </a:stretch>
                  </pic:blipFill>
                  <pic:spPr bwMode="auto">
                    <a:xfrm>
                      <a:off x="0" y="0"/>
                      <a:ext cx="5334000" cy="3810000"/>
                    </a:xfrm>
                    <a:prstGeom prst="rect">
                      <a:avLst/>
                    </a:prstGeom>
                    <a:noFill/>
                    <a:ln w="9525">
                      <a:noFill/>
                      <a:headEnd/>
                      <a:tailEnd/>
                    </a:ln>
                  </pic:spPr>
                </pic:pic>
              </a:graphicData>
            </a:graphic>
          </wp:inline>
        </w:drawing>
      </w:r>
    </w:p>
    <w:p w14:paraId="19BD3CC0" w14:textId="092E3563" w:rsidR="002C310E" w:rsidRPr="00CD5013" w:rsidRDefault="00757F50" w:rsidP="002C310E">
      <w:pPr>
        <w:pStyle w:val="Caption"/>
      </w:pPr>
      <w:bookmarkStart w:id="94" w:name="_Toc164175052"/>
      <w:r>
        <w:t xml:space="preserve">Figure </w:t>
      </w:r>
      <w:r w:rsidR="004F13BA">
        <w:fldChar w:fldCharType="begin"/>
      </w:r>
      <w:r w:rsidR="004F13BA">
        <w:instrText xml:space="preserve"> STYLEREF 2 \s </w:instrText>
      </w:r>
      <w:r w:rsidR="004F13BA">
        <w:fldChar w:fldCharType="separate"/>
      </w:r>
      <w:r w:rsidR="00E429BB">
        <w:rPr>
          <w:noProof/>
        </w:rPr>
        <w:t>4.2</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5</w:t>
      </w:r>
      <w:r w:rsidR="004F13BA">
        <w:rPr>
          <w:noProof/>
        </w:rPr>
        <w:fldChar w:fldCharType="end"/>
      </w:r>
      <w:r>
        <w:t xml:space="preserve">. Summary of </w:t>
      </w:r>
      <w:r w:rsidR="00533EB1">
        <w:t xml:space="preserve">parameters causing </w:t>
      </w:r>
      <w:r>
        <w:t>impair</w:t>
      </w:r>
      <w:r w:rsidR="00533EB1">
        <w:t>ments in Virginia’s rivers and streams</w:t>
      </w:r>
      <w:r>
        <w:t>.</w:t>
      </w:r>
      <w:r w:rsidR="7C3D7176">
        <w:t xml:space="preserve"> </w:t>
      </w:r>
      <w:bookmarkEnd w:id="94"/>
      <w:r w:rsidR="002C310E">
        <w:t>Light purple shading indicates the size of the waterbody that does not require a TMDL because one has been developed, other pollution controls are in place, or the condition is considered natural (Category 4). Dark purple shading indicates that a TMDL is required (Category 5).</w:t>
      </w:r>
      <w:r>
        <w:t xml:space="preserve"> </w:t>
      </w:r>
    </w:p>
    <w:p w14:paraId="45B47000" w14:textId="4FBD7328" w:rsidR="00D01004" w:rsidRDefault="00E72262" w:rsidP="00D01004">
      <w:pPr>
        <w:rPr>
          <w:rFonts w:cstheme="minorHAnsi"/>
          <w:szCs w:val="24"/>
        </w:rPr>
      </w:pPr>
      <w:r>
        <w:rPr>
          <w:rFonts w:cstheme="minorHAnsi"/>
          <w:szCs w:val="24"/>
        </w:rPr>
        <w:br/>
      </w:r>
      <w:r w:rsidR="00BC283E">
        <w:rPr>
          <w:rFonts w:cstheme="minorHAnsi"/>
          <w:szCs w:val="24"/>
        </w:rPr>
        <w:t>The</w:t>
      </w:r>
      <w:r w:rsidR="002919F8">
        <w:rPr>
          <w:rFonts w:cstheme="minorHAnsi"/>
          <w:szCs w:val="24"/>
        </w:rPr>
        <w:t xml:space="preserve"> leading cause of impairment in Virginia’s reservoirs and lakes</w:t>
      </w:r>
      <w:r w:rsidR="00BC283E">
        <w:rPr>
          <w:rFonts w:cstheme="minorHAnsi"/>
          <w:szCs w:val="24"/>
        </w:rPr>
        <w:t xml:space="preserve"> is</w:t>
      </w:r>
      <w:r w:rsidR="00A40582" w:rsidRPr="000F27AE">
        <w:rPr>
          <w:rFonts w:cstheme="minorHAnsi"/>
          <w:szCs w:val="24"/>
        </w:rPr>
        <w:t xml:space="preserve"> low dissolved oxygen concentration</w:t>
      </w:r>
      <w:r w:rsidR="0081250D">
        <w:rPr>
          <w:rFonts w:cstheme="minorHAnsi"/>
          <w:szCs w:val="24"/>
        </w:rPr>
        <w:t xml:space="preserve"> (Figure 4.2-</w:t>
      </w:r>
      <w:r w:rsidR="00736AF1">
        <w:rPr>
          <w:rFonts w:cstheme="minorHAnsi"/>
          <w:szCs w:val="24"/>
        </w:rPr>
        <w:t>7</w:t>
      </w:r>
      <w:r w:rsidR="0081250D">
        <w:rPr>
          <w:rFonts w:cstheme="minorHAnsi"/>
          <w:szCs w:val="24"/>
        </w:rPr>
        <w:t>)</w:t>
      </w:r>
      <w:r w:rsidR="00BC283E">
        <w:rPr>
          <w:rFonts w:cstheme="minorHAnsi"/>
          <w:szCs w:val="24"/>
        </w:rPr>
        <w:t>.</w:t>
      </w:r>
      <w:r w:rsidR="00A40582" w:rsidRPr="000F27AE">
        <w:rPr>
          <w:rFonts w:cstheme="minorHAnsi"/>
          <w:szCs w:val="24"/>
        </w:rPr>
        <w:t xml:space="preserve"> </w:t>
      </w:r>
      <w:r w:rsidR="00E82A1A">
        <w:rPr>
          <w:rFonts w:cstheme="minorHAnsi"/>
          <w:szCs w:val="24"/>
        </w:rPr>
        <w:t xml:space="preserve">Between </w:t>
      </w:r>
      <w:proofErr w:type="gramStart"/>
      <w:r w:rsidR="00E82A1A">
        <w:rPr>
          <w:rFonts w:cstheme="minorHAnsi"/>
          <w:szCs w:val="24"/>
        </w:rPr>
        <w:t>the 2022</w:t>
      </w:r>
      <w:proofErr w:type="gramEnd"/>
      <w:r w:rsidR="00E82A1A">
        <w:rPr>
          <w:rFonts w:cstheme="minorHAnsi"/>
          <w:szCs w:val="24"/>
        </w:rPr>
        <w:t xml:space="preserve"> and 2024 IR cycles there was improvement seen in over 450 </w:t>
      </w:r>
      <w:r w:rsidR="00464314">
        <w:rPr>
          <w:rFonts w:cstheme="minorHAnsi"/>
          <w:szCs w:val="24"/>
        </w:rPr>
        <w:t xml:space="preserve">acres of lakes and reservoirs resulting in </w:t>
      </w:r>
      <w:r w:rsidR="00211FD9">
        <w:rPr>
          <w:rFonts w:cstheme="minorHAnsi"/>
          <w:szCs w:val="24"/>
        </w:rPr>
        <w:t xml:space="preserve">some waterbodies to </w:t>
      </w:r>
      <w:r w:rsidR="00452122">
        <w:rPr>
          <w:rFonts w:cstheme="minorHAnsi"/>
          <w:szCs w:val="24"/>
        </w:rPr>
        <w:t>be delisted</w:t>
      </w:r>
      <w:r w:rsidR="001C334C">
        <w:rPr>
          <w:rFonts w:cstheme="minorHAnsi"/>
          <w:szCs w:val="24"/>
        </w:rPr>
        <w:t xml:space="preserve"> as well as a small number of lake acres newly assessed for the 2024 cycle</w:t>
      </w:r>
      <w:r w:rsidR="00452122">
        <w:rPr>
          <w:rFonts w:cstheme="minorHAnsi"/>
          <w:szCs w:val="24"/>
        </w:rPr>
        <w:t xml:space="preserve">. </w:t>
      </w:r>
      <w:r w:rsidR="00A40582" w:rsidRPr="000F27AE">
        <w:rPr>
          <w:rFonts w:cstheme="minorHAnsi"/>
          <w:szCs w:val="24"/>
        </w:rPr>
        <w:t xml:space="preserve">All aquatic life depends on oxygen, and when it is depleted to the point where aquatic life is no longer sustainable, a waterbody is said to be hypoxic. Hypoxia can result from natural processes, such </w:t>
      </w:r>
      <w:proofErr w:type="gramStart"/>
      <w:r w:rsidR="00A40582" w:rsidRPr="000F27AE">
        <w:rPr>
          <w:rFonts w:cstheme="minorHAnsi"/>
          <w:szCs w:val="24"/>
        </w:rPr>
        <w:t>as in</w:t>
      </w:r>
      <w:proofErr w:type="gramEnd"/>
      <w:r w:rsidR="00A40582" w:rsidRPr="000F27AE">
        <w:rPr>
          <w:rFonts w:cstheme="minorHAnsi"/>
          <w:szCs w:val="24"/>
        </w:rPr>
        <w:t xml:space="preserve"> slow-moving swamp waters that have large amounts of decaying plant material. It can also naturally occur in lakes/reservoirs when the water column becomes thermally stratified. However, chronic hypoxia </w:t>
      </w:r>
      <w:r w:rsidR="00D561CE">
        <w:rPr>
          <w:rFonts w:cstheme="minorHAnsi"/>
          <w:szCs w:val="24"/>
        </w:rPr>
        <w:t>can</w:t>
      </w:r>
      <w:r w:rsidR="00A40582" w:rsidRPr="000F27AE">
        <w:rPr>
          <w:rFonts w:cstheme="minorHAnsi"/>
          <w:szCs w:val="24"/>
        </w:rPr>
        <w:t xml:space="preserve"> occur for anthropogenic reasons. </w:t>
      </w:r>
      <w:r w:rsidR="00804929">
        <w:rPr>
          <w:rFonts w:cstheme="minorHAnsi"/>
          <w:szCs w:val="24"/>
        </w:rPr>
        <w:t>An increase in nutrient concentrations</w:t>
      </w:r>
      <w:r w:rsidR="002568ED">
        <w:rPr>
          <w:rFonts w:cstheme="minorHAnsi"/>
          <w:szCs w:val="24"/>
        </w:rPr>
        <w:t xml:space="preserve"> in the water</w:t>
      </w:r>
      <w:r w:rsidR="00A40582" w:rsidRPr="000F27AE">
        <w:rPr>
          <w:rFonts w:cstheme="minorHAnsi"/>
          <w:szCs w:val="24"/>
        </w:rPr>
        <w:t xml:space="preserve"> can cause hypoxia by promoting the growth of algae. Excessive algae produce floating mats on the water surface which keep light from reaching rooted vegetation, therefore limiting its growth. Moreover, as algae die and settle to the bottom, decay processes reduce oxygen levels and create unfavorable conditions for other aquatic organisms. </w:t>
      </w:r>
    </w:p>
    <w:p w14:paraId="7A7EF01D" w14:textId="77777777" w:rsidR="00F8168A" w:rsidRPr="00F8168A" w:rsidRDefault="00F8168A" w:rsidP="00D01004">
      <w:pPr>
        <w:rPr>
          <w:rFonts w:cstheme="minorHAnsi"/>
          <w:szCs w:val="24"/>
        </w:rPr>
      </w:pPr>
    </w:p>
    <w:p w14:paraId="1B438401" w14:textId="57BDA4FD" w:rsidR="00C36180" w:rsidRDefault="002724D5" w:rsidP="00C36180">
      <w:pPr>
        <w:keepNext/>
        <w:ind w:left="90"/>
        <w:jc w:val="both"/>
      </w:pPr>
      <w:r>
        <w:rPr>
          <w:noProof/>
        </w:rPr>
        <w:lastRenderedPageBreak/>
        <w:drawing>
          <wp:inline distT="0" distB="0" distL="0" distR="0" wp14:anchorId="216F6B02" wp14:editId="358D45E0">
            <wp:extent cx="5334000" cy="3810000"/>
            <wp:effectExtent l="0" t="0" r="0" b="0"/>
            <wp:docPr id="63" name="Picture" descr="Bar Chart&#10;&#10;Figure 4.2 6. Summary of impaired lake acres by parameter. Light purple shading indicates the size of the waterbody that does not require a TMDL because one has been developed, other pollution controls are in place, or the condition is considered natural (Category 4). Dark purple shading indicates that a TMDL is required (Category 5)."/>
            <wp:cNvGraphicFramePr/>
            <a:graphic xmlns:a="http://schemas.openxmlformats.org/drawingml/2006/main">
              <a:graphicData uri="http://schemas.openxmlformats.org/drawingml/2006/picture">
                <pic:pic xmlns:pic="http://schemas.openxmlformats.org/drawingml/2006/picture">
                  <pic:nvPicPr>
                    <pic:cNvPr id="63" name="Picture" descr="Bar Chart&#10;&#10;Figure 4.2 6. Summary of impaired lake acres by parameter. Light purple shading indicates the size of the waterbody that does not require a TMDL because one has been developed, other pollution controls are in place, or the condition is considered natural (Category 4). Dark purple shading indicates that a TMDL is required (Category 5)."/>
                    <pic:cNvPicPr>
                      <a:picLocks noChangeAspect="1" noChangeArrowheads="1"/>
                    </pic:cNvPicPr>
                  </pic:nvPicPr>
                  <pic:blipFill>
                    <a:blip r:embed="rId140"/>
                    <a:stretch>
                      <a:fillRect/>
                    </a:stretch>
                  </pic:blipFill>
                  <pic:spPr bwMode="auto">
                    <a:xfrm>
                      <a:off x="0" y="0"/>
                      <a:ext cx="5334000" cy="3810000"/>
                    </a:xfrm>
                    <a:prstGeom prst="rect">
                      <a:avLst/>
                    </a:prstGeom>
                    <a:noFill/>
                    <a:ln w="9525">
                      <a:noFill/>
                      <a:headEnd/>
                      <a:tailEnd/>
                    </a:ln>
                  </pic:spPr>
                </pic:pic>
              </a:graphicData>
            </a:graphic>
          </wp:inline>
        </w:drawing>
      </w:r>
    </w:p>
    <w:p w14:paraId="575E2C97" w14:textId="69E964B0" w:rsidR="00CD5013" w:rsidRPr="00CD5013" w:rsidRDefault="00C36180" w:rsidP="0A5BE548">
      <w:pPr>
        <w:pStyle w:val="Caption"/>
        <w:rPr>
          <w:rFonts w:ascii="Times New Roman" w:hAnsi="Times New Roman"/>
        </w:rPr>
      </w:pPr>
      <w:bookmarkStart w:id="95" w:name="_Toc164175053"/>
      <w:r>
        <w:t xml:space="preserve">Figure </w:t>
      </w:r>
      <w:r w:rsidR="004F13BA">
        <w:fldChar w:fldCharType="begin"/>
      </w:r>
      <w:r w:rsidR="004F13BA">
        <w:instrText xml:space="preserve"> STYLEREF 2 \s </w:instrText>
      </w:r>
      <w:r w:rsidR="004F13BA">
        <w:fldChar w:fldCharType="separate"/>
      </w:r>
      <w:r w:rsidR="00E429BB">
        <w:rPr>
          <w:noProof/>
        </w:rPr>
        <w:t>4.2</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6</w:t>
      </w:r>
      <w:r w:rsidR="004F13BA">
        <w:rPr>
          <w:noProof/>
        </w:rPr>
        <w:fldChar w:fldCharType="end"/>
      </w:r>
      <w:r>
        <w:t>. Summary of impaired lake acres</w:t>
      </w:r>
      <w:r w:rsidR="00DD25A8">
        <w:t xml:space="preserve"> by parameter</w:t>
      </w:r>
      <w:r w:rsidR="6A3601BC">
        <w:t xml:space="preserve">. </w:t>
      </w:r>
      <w:bookmarkEnd w:id="95"/>
      <w:r w:rsidR="002C310E" w:rsidRPr="0A5BE548">
        <w:rPr>
          <w:rFonts w:cstheme="minorBidi"/>
        </w:rPr>
        <w:t>Light purple shading indicates the size of the waterbody that does not require a TMDL because one has been developed, other pollution controls are in place, or the condition is considered natural (Category 4). Dark purple shading indicates that a TMDL is required (Category 5).</w:t>
      </w:r>
      <w:r>
        <w:br/>
      </w:r>
    </w:p>
    <w:p w14:paraId="59513E7C" w14:textId="2D519666" w:rsidR="006B2FBA" w:rsidRDefault="00D23BEB" w:rsidP="00DD25A8">
      <w:pPr>
        <w:rPr>
          <w:rFonts w:ascii="Calibri" w:hAnsi="Calibri" w:cs="Calibri"/>
          <w:color w:val="000000"/>
          <w:shd w:val="clear" w:color="auto" w:fill="FFFFFF"/>
        </w:rPr>
      </w:pPr>
      <w:r w:rsidRPr="001A7ADD">
        <w:rPr>
          <w:rFonts w:cstheme="minorHAnsi"/>
          <w:szCs w:val="24"/>
        </w:rPr>
        <w:t>The leading</w:t>
      </w:r>
      <w:r w:rsidR="00987A70" w:rsidRPr="001A7ADD">
        <w:rPr>
          <w:rFonts w:cstheme="minorHAnsi"/>
          <w:szCs w:val="24"/>
        </w:rPr>
        <w:t xml:space="preserve"> </w:t>
      </w:r>
      <w:r w:rsidR="001B5653" w:rsidRPr="001A7ADD">
        <w:rPr>
          <w:rFonts w:cstheme="minorHAnsi"/>
          <w:szCs w:val="24"/>
        </w:rPr>
        <w:t>cause of impairment in estuarine waters</w:t>
      </w:r>
      <w:r w:rsidRPr="001A7ADD">
        <w:rPr>
          <w:rFonts w:cstheme="minorHAnsi"/>
          <w:szCs w:val="24"/>
        </w:rPr>
        <w:t xml:space="preserve"> is the </w:t>
      </w:r>
      <w:r w:rsidR="00B716F4" w:rsidRPr="001A7ADD">
        <w:rPr>
          <w:rFonts w:cstheme="minorHAnsi"/>
          <w:szCs w:val="24"/>
        </w:rPr>
        <w:t>lack of submerged aquatic vegetation or SAV</w:t>
      </w:r>
      <w:r w:rsidR="001B5653" w:rsidRPr="001A7ADD">
        <w:rPr>
          <w:rFonts w:cstheme="minorHAnsi"/>
          <w:szCs w:val="24"/>
        </w:rPr>
        <w:t xml:space="preserve">. The </w:t>
      </w:r>
      <w:r w:rsidR="0031261B" w:rsidRPr="001A7ADD">
        <w:rPr>
          <w:rFonts w:cstheme="minorHAnsi"/>
          <w:szCs w:val="24"/>
        </w:rPr>
        <w:t>criterion</w:t>
      </w:r>
      <w:r w:rsidR="001B5653" w:rsidRPr="001A7ADD">
        <w:rPr>
          <w:rFonts w:cstheme="minorHAnsi"/>
          <w:szCs w:val="24"/>
        </w:rPr>
        <w:t xml:space="preserve"> for SAV</w:t>
      </w:r>
      <w:r w:rsidR="00B716F4" w:rsidRPr="001A7ADD">
        <w:rPr>
          <w:rFonts w:cstheme="minorHAnsi"/>
          <w:szCs w:val="24"/>
        </w:rPr>
        <w:t xml:space="preserve"> is represented as </w:t>
      </w:r>
      <w:r w:rsidR="001A7ADD">
        <w:rPr>
          <w:rFonts w:cstheme="minorHAnsi"/>
          <w:szCs w:val="24"/>
        </w:rPr>
        <w:t xml:space="preserve">an </w:t>
      </w:r>
      <w:r w:rsidR="00B716F4" w:rsidRPr="001A7ADD">
        <w:rPr>
          <w:rFonts w:cstheme="minorHAnsi"/>
          <w:szCs w:val="24"/>
        </w:rPr>
        <w:t>acreage goal</w:t>
      </w:r>
      <w:r w:rsidR="001A7ADD">
        <w:rPr>
          <w:rFonts w:cstheme="minorHAnsi"/>
          <w:szCs w:val="24"/>
        </w:rPr>
        <w:t xml:space="preserve"> by </w:t>
      </w:r>
      <w:r w:rsidR="00653881">
        <w:rPr>
          <w:rFonts w:cstheme="minorHAnsi"/>
          <w:szCs w:val="24"/>
        </w:rPr>
        <w:t>water segment</w:t>
      </w:r>
      <w:r w:rsidR="00B716F4" w:rsidRPr="001A7ADD">
        <w:rPr>
          <w:rFonts w:cstheme="minorHAnsi"/>
          <w:szCs w:val="24"/>
        </w:rPr>
        <w:t xml:space="preserve"> in the Virginia Water Quality Standards regulation. </w:t>
      </w:r>
      <w:r w:rsidR="00005E72" w:rsidRPr="001A7ADD">
        <w:rPr>
          <w:rFonts w:ascii="Calibri" w:hAnsi="Calibri" w:cs="Calibri"/>
          <w:color w:val="000000"/>
          <w:shd w:val="clear" w:color="auto" w:fill="FFFFFF"/>
        </w:rPr>
        <w:t xml:space="preserve">Increases </w:t>
      </w:r>
      <w:r w:rsidR="00005E72" w:rsidRPr="0019430C">
        <w:rPr>
          <w:rFonts w:ascii="Calibri" w:hAnsi="Calibri" w:cs="Calibri"/>
          <w:color w:val="000000"/>
          <w:shd w:val="clear" w:color="auto" w:fill="FFFFFF"/>
        </w:rPr>
        <w:t xml:space="preserve">to SAV acreage goals were made in several </w:t>
      </w:r>
      <w:r w:rsidR="00653881">
        <w:rPr>
          <w:rFonts w:ascii="Calibri" w:hAnsi="Calibri" w:cs="Calibri"/>
          <w:color w:val="000000"/>
          <w:shd w:val="clear" w:color="auto" w:fill="FFFFFF"/>
        </w:rPr>
        <w:t xml:space="preserve">estuarine portions of the </w:t>
      </w:r>
      <w:r w:rsidR="00005E72" w:rsidRPr="0019430C">
        <w:rPr>
          <w:rFonts w:ascii="Calibri" w:hAnsi="Calibri" w:cs="Calibri"/>
          <w:color w:val="000000"/>
          <w:shd w:val="clear" w:color="auto" w:fill="FFFFFF"/>
        </w:rPr>
        <w:t xml:space="preserve">Rappahannock </w:t>
      </w:r>
      <w:r w:rsidR="00653881">
        <w:rPr>
          <w:rFonts w:ascii="Calibri" w:hAnsi="Calibri" w:cs="Calibri"/>
          <w:color w:val="000000"/>
          <w:shd w:val="clear" w:color="auto" w:fill="FFFFFF"/>
        </w:rPr>
        <w:t xml:space="preserve">River </w:t>
      </w:r>
      <w:r w:rsidR="00005E72" w:rsidRPr="0019430C">
        <w:rPr>
          <w:rFonts w:ascii="Calibri" w:hAnsi="Calibri" w:cs="Calibri"/>
          <w:color w:val="000000"/>
          <w:shd w:val="clear" w:color="auto" w:fill="FFFFFF"/>
        </w:rPr>
        <w:t>and</w:t>
      </w:r>
      <w:r w:rsidR="00653881" w:rsidRPr="00653881">
        <w:rPr>
          <w:rFonts w:ascii="Calibri" w:hAnsi="Calibri" w:cs="Calibri"/>
          <w:shd w:val="clear" w:color="auto" w:fill="FFFFFF"/>
        </w:rPr>
        <w:t xml:space="preserve"> the</w:t>
      </w:r>
      <w:r w:rsidR="00653881">
        <w:rPr>
          <w:rFonts w:ascii="Calibri" w:hAnsi="Calibri" w:cs="Calibri"/>
          <w:shd w:val="clear" w:color="auto" w:fill="FFFFFF"/>
        </w:rPr>
        <w:t xml:space="preserve"> </w:t>
      </w:r>
      <w:r w:rsidR="00005E72" w:rsidRPr="0019430C">
        <w:rPr>
          <w:rFonts w:ascii="Calibri" w:hAnsi="Calibri" w:cs="Calibri"/>
          <w:color w:val="000000"/>
          <w:shd w:val="clear" w:color="auto" w:fill="FFFFFF"/>
        </w:rPr>
        <w:t>James River. This resulted in an increase of approximately 4,680 acres, or 6% percent, for thes</w:t>
      </w:r>
      <w:r w:rsidR="00D67C2D">
        <w:rPr>
          <w:rFonts w:ascii="Calibri" w:hAnsi="Calibri" w:cs="Calibri"/>
          <w:color w:val="000000"/>
          <w:shd w:val="clear" w:color="auto" w:fill="FFFFFF"/>
        </w:rPr>
        <w:t>e SAV acreage</w:t>
      </w:r>
      <w:r w:rsidR="006B2FBA">
        <w:rPr>
          <w:rFonts w:ascii="Calibri" w:hAnsi="Calibri" w:cs="Calibri"/>
          <w:color w:val="000000"/>
          <w:shd w:val="clear" w:color="auto" w:fill="FFFFFF"/>
        </w:rPr>
        <w:t xml:space="preserve"> </w:t>
      </w:r>
      <w:r w:rsidR="00005E72" w:rsidRPr="0019430C">
        <w:rPr>
          <w:rFonts w:ascii="Calibri" w:hAnsi="Calibri" w:cs="Calibri"/>
          <w:color w:val="000000"/>
          <w:shd w:val="clear" w:color="auto" w:fill="FFFFFF"/>
        </w:rPr>
        <w:t>goals. </w:t>
      </w:r>
    </w:p>
    <w:p w14:paraId="487301D2" w14:textId="123A67B6" w:rsidR="002F1A24" w:rsidRDefault="00005E72" w:rsidP="00DD25A8">
      <w:pPr>
        <w:rPr>
          <w:rFonts w:cstheme="minorHAnsi"/>
          <w:szCs w:val="24"/>
        </w:rPr>
      </w:pPr>
      <w:r w:rsidRPr="0019430C">
        <w:rPr>
          <w:rFonts w:ascii="Calibri" w:hAnsi="Calibri" w:cs="Calibri"/>
          <w:color w:val="000000"/>
          <w:shd w:val="clear" w:color="auto" w:fill="FFFFFF"/>
        </w:rPr>
        <w:t>Approximately 48% of the total statewide SAV acre goal was attained during the 2024 IR cycle. The acreage goal increases incorporated into the regulations are partially reflected in the change from previous assessment cycles where it was reported that nearly 60% of the total statewide SAV goal was being attained</w:t>
      </w:r>
      <w:r w:rsidR="006E7EA8">
        <w:rPr>
          <w:rFonts w:ascii="Calibri" w:hAnsi="Calibri" w:cs="Calibri"/>
          <w:color w:val="000000"/>
          <w:shd w:val="clear" w:color="auto" w:fill="FFFFFF"/>
        </w:rPr>
        <w:t xml:space="preserve">. </w:t>
      </w:r>
      <w:r w:rsidR="00041511" w:rsidRPr="000F27AE">
        <w:rPr>
          <w:rFonts w:cstheme="minorHAnsi"/>
          <w:color w:val="000000" w:themeColor="text1"/>
          <w:szCs w:val="24"/>
        </w:rPr>
        <w:t>The Chesapeake Bay TMDL</w:t>
      </w:r>
      <w:r w:rsidR="00FF0790">
        <w:rPr>
          <w:rFonts w:cstheme="minorHAnsi"/>
          <w:color w:val="000000" w:themeColor="text1"/>
          <w:szCs w:val="24"/>
        </w:rPr>
        <w:t xml:space="preserve"> (Bay TMDL)</w:t>
      </w:r>
      <w:r w:rsidR="00041511" w:rsidRPr="000F27AE">
        <w:rPr>
          <w:rFonts w:cstheme="minorHAnsi"/>
          <w:color w:val="000000" w:themeColor="text1"/>
          <w:szCs w:val="24"/>
        </w:rPr>
        <w:t xml:space="preserve"> addresses many of the estuarine aquatic life impairments, including dissolved oxygen and SAV.</w:t>
      </w:r>
      <w:r w:rsidR="00041511">
        <w:rPr>
          <w:i/>
          <w:color w:val="000000"/>
        </w:rPr>
        <w:t xml:space="preserve"> </w:t>
      </w:r>
      <w:r w:rsidR="001B7E11">
        <w:rPr>
          <w:rFonts w:ascii="Calibri" w:hAnsi="Calibri" w:cs="Calibri"/>
          <w:color w:val="000000"/>
          <w:shd w:val="clear" w:color="auto" w:fill="FFFFFF"/>
        </w:rPr>
        <w:t>More detail on the Chesapeake Bay assessment results</w:t>
      </w:r>
      <w:r w:rsidR="00FF0790">
        <w:rPr>
          <w:rFonts w:ascii="Calibri" w:hAnsi="Calibri" w:cs="Calibri"/>
          <w:color w:val="000000"/>
          <w:shd w:val="clear" w:color="auto" w:fill="FFFFFF"/>
        </w:rPr>
        <w:t xml:space="preserve"> (Section 4.6)</w:t>
      </w:r>
      <w:r w:rsidR="001B7E11">
        <w:rPr>
          <w:rFonts w:ascii="Calibri" w:hAnsi="Calibri" w:cs="Calibri"/>
          <w:color w:val="000000"/>
          <w:shd w:val="clear" w:color="auto" w:fill="FFFFFF"/>
        </w:rPr>
        <w:t xml:space="preserve"> </w:t>
      </w:r>
      <w:r w:rsidR="00FF0790">
        <w:rPr>
          <w:rFonts w:ascii="Calibri" w:hAnsi="Calibri" w:cs="Calibri"/>
          <w:color w:val="000000"/>
          <w:shd w:val="clear" w:color="auto" w:fill="FFFFFF"/>
        </w:rPr>
        <w:t xml:space="preserve">and the implementation of the Bay TMDL (Section </w:t>
      </w:r>
      <w:r w:rsidR="003B13DF">
        <w:rPr>
          <w:rFonts w:ascii="Calibri" w:hAnsi="Calibri" w:cs="Calibri"/>
          <w:color w:val="000000"/>
          <w:shd w:val="clear" w:color="auto" w:fill="FFFFFF"/>
        </w:rPr>
        <w:t>6.8)</w:t>
      </w:r>
      <w:r w:rsidR="00FF0790">
        <w:rPr>
          <w:rFonts w:ascii="Calibri" w:hAnsi="Calibri" w:cs="Calibri"/>
          <w:color w:val="000000"/>
          <w:shd w:val="clear" w:color="auto" w:fill="FFFFFF"/>
        </w:rPr>
        <w:t xml:space="preserve"> </w:t>
      </w:r>
      <w:r w:rsidR="001B7E11">
        <w:rPr>
          <w:rFonts w:ascii="Calibri" w:hAnsi="Calibri" w:cs="Calibri"/>
          <w:color w:val="000000"/>
          <w:shd w:val="clear" w:color="auto" w:fill="FFFFFF"/>
        </w:rPr>
        <w:t xml:space="preserve">can be found </w:t>
      </w:r>
      <w:r w:rsidR="00FF0790">
        <w:rPr>
          <w:rFonts w:ascii="Calibri" w:hAnsi="Calibri" w:cs="Calibri"/>
          <w:color w:val="000000"/>
          <w:shd w:val="clear" w:color="auto" w:fill="FFFFFF"/>
        </w:rPr>
        <w:t>later in this report</w:t>
      </w:r>
      <w:r w:rsidR="001B7E11">
        <w:rPr>
          <w:rFonts w:ascii="Calibri" w:hAnsi="Calibri" w:cs="Calibri"/>
          <w:color w:val="000000"/>
          <w:shd w:val="clear" w:color="auto" w:fill="FFFFFF"/>
        </w:rPr>
        <w:t>.</w:t>
      </w:r>
    </w:p>
    <w:p w14:paraId="194F3BCE" w14:textId="77777777" w:rsidR="00DB15DB" w:rsidRDefault="00DB15DB" w:rsidP="00DD25A8">
      <w:pPr>
        <w:rPr>
          <w:rFonts w:cstheme="minorHAnsi"/>
          <w:szCs w:val="24"/>
        </w:rPr>
      </w:pPr>
    </w:p>
    <w:p w14:paraId="655182A8" w14:textId="56C68359" w:rsidR="00DD25A8" w:rsidRPr="00A40808" w:rsidRDefault="00804054" w:rsidP="00DD25A8">
      <w:pPr>
        <w:rPr>
          <w:rFonts w:cstheme="minorHAnsi"/>
          <w:iCs/>
          <w:szCs w:val="24"/>
        </w:rPr>
      </w:pPr>
      <w:r>
        <w:rPr>
          <w:rFonts w:cstheme="minorHAnsi"/>
          <w:szCs w:val="24"/>
        </w:rPr>
        <w:t>A</w:t>
      </w:r>
      <w:r w:rsidR="004B339E">
        <w:rPr>
          <w:rFonts w:cstheme="minorHAnsi"/>
          <w:szCs w:val="24"/>
        </w:rPr>
        <w:t xml:space="preserve"> summary of the parameters causing designated use </w:t>
      </w:r>
      <w:r w:rsidR="00B82AA9">
        <w:rPr>
          <w:rFonts w:cstheme="minorHAnsi"/>
          <w:szCs w:val="24"/>
        </w:rPr>
        <w:t>impairments</w:t>
      </w:r>
      <w:r w:rsidR="00D87471">
        <w:rPr>
          <w:rFonts w:cstheme="minorHAnsi"/>
          <w:szCs w:val="24"/>
        </w:rPr>
        <w:t xml:space="preserve"> across Virginia’s estuarine waters is presented in </w:t>
      </w:r>
      <w:r w:rsidR="00DD25A8">
        <w:rPr>
          <w:rFonts w:cstheme="minorHAnsi"/>
          <w:szCs w:val="24"/>
        </w:rPr>
        <w:t>Figure 4.2-</w:t>
      </w:r>
      <w:r w:rsidR="003D3D0D">
        <w:rPr>
          <w:rFonts w:cstheme="minorHAnsi"/>
          <w:szCs w:val="24"/>
        </w:rPr>
        <w:t>8</w:t>
      </w:r>
      <w:r w:rsidR="00BA62D4">
        <w:t>. Figure 4.6-8 provides an overview of the Chesapeake Bay benthic assessment results.</w:t>
      </w:r>
    </w:p>
    <w:p w14:paraId="52E17E09" w14:textId="77777777" w:rsidR="002E2AC5" w:rsidRPr="009B51FC" w:rsidRDefault="002E2AC5" w:rsidP="002E2AC5">
      <w:pPr>
        <w:pStyle w:val="ListParagraph"/>
        <w:ind w:left="420"/>
        <w:jc w:val="both"/>
        <w:rPr>
          <w:rFonts w:ascii="Times New Roman" w:hAnsi="Times New Roman"/>
          <w:szCs w:val="24"/>
        </w:rPr>
      </w:pPr>
    </w:p>
    <w:p w14:paraId="2B752723" w14:textId="6E0064F0" w:rsidR="00C36180" w:rsidRDefault="00C335DF" w:rsidP="00C36180">
      <w:pPr>
        <w:keepNext/>
        <w:ind w:left="90"/>
        <w:jc w:val="both"/>
      </w:pPr>
      <w:r>
        <w:rPr>
          <w:noProof/>
        </w:rPr>
        <w:lastRenderedPageBreak/>
        <w:drawing>
          <wp:inline distT="0" distB="0" distL="0" distR="0" wp14:anchorId="4BFFBC25" wp14:editId="678870C5">
            <wp:extent cx="5334000" cy="3810000"/>
            <wp:effectExtent l="0" t="0" r="0" b="0"/>
            <wp:docPr id="382520772" name="Picture" descr="Bar Chart&#10;&#10;Figure 4.2 7. Summary of impaired estuarine square miles by parameter. Light purple shading indicates the size of the waterbody that does not require a TMDL because one has been developed, other pollution controls are in place, or the condition is considered natural (Category 4). Dark purple shading indicates that a TMDL is required (Category 5)."/>
            <wp:cNvGraphicFramePr/>
            <a:graphic xmlns:a="http://schemas.openxmlformats.org/drawingml/2006/main">
              <a:graphicData uri="http://schemas.openxmlformats.org/drawingml/2006/picture">
                <pic:pic xmlns:pic="http://schemas.openxmlformats.org/drawingml/2006/picture">
                  <pic:nvPicPr>
                    <pic:cNvPr id="382520772" name="Picture" descr="Bar Chart&#10;&#10;Figure 4.2 7. Summary of impaired estuarine square miles by parameter. Light purple shading indicates the size of the waterbody that does not require a TMDL because one has been developed, other pollution controls are in place, or the condition is considered natural (Category 4). Dark purple shading indicates that a TMDL is required (Category 5)."/>
                    <pic:cNvPicPr>
                      <a:picLocks noChangeAspect="1" noChangeArrowheads="1"/>
                    </pic:cNvPicPr>
                  </pic:nvPicPr>
                  <pic:blipFill>
                    <a:blip r:embed="rId141"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28AC66E9" w14:textId="69881E38" w:rsidR="00CD5013" w:rsidRPr="00CD5013" w:rsidRDefault="00C36180" w:rsidP="0A5BE548">
      <w:pPr>
        <w:pStyle w:val="Caption"/>
        <w:jc w:val="both"/>
        <w:rPr>
          <w:rFonts w:ascii="Times New Roman" w:hAnsi="Times New Roman"/>
        </w:rPr>
      </w:pPr>
      <w:bookmarkStart w:id="96" w:name="_Toc164175054"/>
      <w:bookmarkStart w:id="97" w:name="_Toc152766230"/>
      <w:r>
        <w:t xml:space="preserve">Figure </w:t>
      </w:r>
      <w:r w:rsidR="004F13BA">
        <w:fldChar w:fldCharType="begin"/>
      </w:r>
      <w:r w:rsidR="004F13BA">
        <w:instrText xml:space="preserve"> STYLEREF 2 \s </w:instrText>
      </w:r>
      <w:r w:rsidR="004F13BA">
        <w:fldChar w:fldCharType="separate"/>
      </w:r>
      <w:r w:rsidR="00E429BB">
        <w:rPr>
          <w:noProof/>
        </w:rPr>
        <w:t>4.2</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7</w:t>
      </w:r>
      <w:r w:rsidR="004F13BA">
        <w:rPr>
          <w:noProof/>
        </w:rPr>
        <w:fldChar w:fldCharType="end"/>
      </w:r>
      <w:r>
        <w:t>. Summary of impaired estuarine square miles</w:t>
      </w:r>
      <w:r w:rsidR="00BA62D4">
        <w:t xml:space="preserve"> by parameter</w:t>
      </w:r>
      <w:r w:rsidR="2F6E409C">
        <w:t xml:space="preserve">. </w:t>
      </w:r>
      <w:bookmarkEnd w:id="96"/>
      <w:r w:rsidR="006A56CE" w:rsidRPr="0A5BE548">
        <w:rPr>
          <w:rFonts w:cstheme="minorBidi"/>
        </w:rPr>
        <w:t>Light purple shading indicates the size of the waterbody that does not require a TMDL because one has been developed, other pollution controls are in place, or the condition is considered natural (Category 4). Dark purple shading indicates that a TMDL is required (Category 5).</w:t>
      </w:r>
    </w:p>
    <w:bookmarkEnd w:id="97"/>
    <w:p w14:paraId="16715852" w14:textId="1F08169D" w:rsidR="00791FDA" w:rsidRPr="00E72262" w:rsidRDefault="00791FDA" w:rsidP="00E72262">
      <w:pPr>
        <w:rPr>
          <w:szCs w:val="24"/>
        </w:rPr>
      </w:pPr>
    </w:p>
    <w:p w14:paraId="707D6AA6" w14:textId="4F5369F4" w:rsidR="00791FDA" w:rsidRPr="009A4DB3" w:rsidRDefault="00791FDA" w:rsidP="009A4DB3">
      <w:r w:rsidRPr="000F27AE">
        <w:rPr>
          <w:rFonts w:cstheme="minorHAnsi"/>
          <w:szCs w:val="24"/>
        </w:rPr>
        <w:t xml:space="preserve">Mercury and polychlorinated biphenyls (PCBs) are the </w:t>
      </w:r>
      <w:r>
        <w:rPr>
          <w:rFonts w:cstheme="minorHAnsi"/>
          <w:szCs w:val="24"/>
        </w:rPr>
        <w:t xml:space="preserve">leading </w:t>
      </w:r>
      <w:r w:rsidRPr="000F27AE">
        <w:rPr>
          <w:rFonts w:cstheme="minorHAnsi"/>
          <w:szCs w:val="24"/>
        </w:rPr>
        <w:t>causes of impairment of the fish consumption</w:t>
      </w:r>
      <w:r w:rsidR="00B67EA2">
        <w:rPr>
          <w:rFonts w:cstheme="minorHAnsi"/>
          <w:szCs w:val="24"/>
        </w:rPr>
        <w:t xml:space="preserve"> </w:t>
      </w:r>
      <w:r w:rsidRPr="000F27AE">
        <w:rPr>
          <w:rFonts w:cstheme="minorHAnsi"/>
          <w:szCs w:val="24"/>
        </w:rPr>
        <w:t xml:space="preserve">and </w:t>
      </w:r>
      <w:r w:rsidRPr="005E5E9F">
        <w:rPr>
          <w:rFonts w:cstheme="minorHAnsi"/>
          <w:szCs w:val="24"/>
        </w:rPr>
        <w:t>public water supply</w:t>
      </w:r>
      <w:r w:rsidRPr="000F27AE">
        <w:rPr>
          <w:rFonts w:cstheme="minorHAnsi"/>
          <w:szCs w:val="24"/>
        </w:rPr>
        <w:t xml:space="preserve"> uses. Mercury, specifically in the form of methylmercury, causes damage to the human central nervous system and brain. The metal can be found naturally, but its appearance in the environment is often due to anthropogenic (human-caused) </w:t>
      </w:r>
      <w:r>
        <w:rPr>
          <w:rFonts w:cstheme="minorHAnsi"/>
          <w:szCs w:val="24"/>
        </w:rPr>
        <w:t>reasons</w:t>
      </w:r>
      <w:r w:rsidRPr="000F27AE">
        <w:rPr>
          <w:rFonts w:cstheme="minorHAnsi"/>
          <w:szCs w:val="24"/>
        </w:rPr>
        <w:t xml:space="preserve">. Mercury commonly enters water through atmospheric deposition. Air particles can travel vast distances, so locating a single source is not possible in most cases. PCBs are another </w:t>
      </w:r>
      <w:r>
        <w:rPr>
          <w:rFonts w:cstheme="minorHAnsi"/>
          <w:szCs w:val="24"/>
        </w:rPr>
        <w:t xml:space="preserve">leading </w:t>
      </w:r>
      <w:r w:rsidRPr="000F27AE">
        <w:rPr>
          <w:rFonts w:cstheme="minorHAnsi"/>
          <w:szCs w:val="24"/>
        </w:rPr>
        <w:t>cause of impairment. While the toxicity of PCBs depends on the specific form (or congener)</w:t>
      </w:r>
      <w:r>
        <w:rPr>
          <w:rFonts w:cstheme="minorHAnsi"/>
          <w:szCs w:val="24"/>
        </w:rPr>
        <w:t xml:space="preserve"> and associated concentration,</w:t>
      </w:r>
      <w:r w:rsidRPr="000F27AE">
        <w:rPr>
          <w:rFonts w:cstheme="minorHAnsi"/>
          <w:szCs w:val="24"/>
        </w:rPr>
        <w:t xml:space="preserve"> this class of organic compounds contains endocrine disruptors, neurotoxins, and carcinogens. Like methylmercury, PCBs accumulate in fish tissues. The production of PCBs, used mainly as coolants and insulating fluids, was banned in the US in the late 1970s. However, PCBs are still ubiquitous, frequently appearing as “legacy contaminants” in soils close to where dischargers once used PCBs in industrial processes. These soils can then enter nearby water sources through stormwater runoff.</w:t>
      </w:r>
      <w:r w:rsidR="002E754D">
        <w:rPr>
          <w:rFonts w:cstheme="minorHAnsi"/>
          <w:szCs w:val="24"/>
        </w:rPr>
        <w:t xml:space="preserve"> </w:t>
      </w:r>
      <w:r w:rsidR="00D757D3">
        <w:rPr>
          <w:rFonts w:cstheme="minorHAnsi"/>
          <w:szCs w:val="24"/>
        </w:rPr>
        <w:t>A summary</w:t>
      </w:r>
      <w:r w:rsidR="00A06452">
        <w:rPr>
          <w:rFonts w:cstheme="minorHAnsi"/>
          <w:szCs w:val="24"/>
        </w:rPr>
        <w:t xml:space="preserve"> of </w:t>
      </w:r>
      <w:r w:rsidR="00D513DB">
        <w:rPr>
          <w:rFonts w:cstheme="minorHAnsi"/>
          <w:szCs w:val="24"/>
        </w:rPr>
        <w:t>fish consumption imp</w:t>
      </w:r>
      <w:r w:rsidR="00442F0C">
        <w:rPr>
          <w:rFonts w:cstheme="minorHAnsi"/>
          <w:szCs w:val="24"/>
        </w:rPr>
        <w:t xml:space="preserve">airments by water body type </w:t>
      </w:r>
      <w:r w:rsidR="00774DD6">
        <w:rPr>
          <w:rFonts w:cstheme="minorHAnsi"/>
          <w:szCs w:val="24"/>
        </w:rPr>
        <w:t xml:space="preserve">is presented in </w:t>
      </w:r>
      <w:r w:rsidR="002E754D">
        <w:rPr>
          <w:rFonts w:cstheme="minorHAnsi"/>
          <w:szCs w:val="24"/>
        </w:rPr>
        <w:t xml:space="preserve">Figure </w:t>
      </w:r>
      <w:r w:rsidR="00AF468B">
        <w:rPr>
          <w:rFonts w:cstheme="minorHAnsi"/>
          <w:szCs w:val="24"/>
        </w:rPr>
        <w:t>4.2-</w:t>
      </w:r>
      <w:r w:rsidR="00F62075">
        <w:rPr>
          <w:rFonts w:cstheme="minorHAnsi"/>
          <w:szCs w:val="24"/>
        </w:rPr>
        <w:t>8</w:t>
      </w:r>
      <w:r w:rsidR="00375CBD">
        <w:rPr>
          <w:rFonts w:cstheme="minorHAnsi"/>
          <w:szCs w:val="24"/>
        </w:rPr>
        <w:t>.</w:t>
      </w:r>
      <w:r w:rsidR="00AF468B">
        <w:rPr>
          <w:rFonts w:cstheme="minorHAnsi"/>
          <w:szCs w:val="24"/>
        </w:rPr>
        <w:t xml:space="preserve"> </w:t>
      </w:r>
    </w:p>
    <w:p w14:paraId="3894D85B" w14:textId="3BD5F186" w:rsidR="00CF775A" w:rsidRDefault="0005599C" w:rsidP="00CF775A">
      <w:pPr>
        <w:keepNext/>
      </w:pPr>
      <w:r>
        <w:rPr>
          <w:noProof/>
        </w:rPr>
        <w:lastRenderedPageBreak/>
        <w:drawing>
          <wp:inline distT="0" distB="0" distL="0" distR="0" wp14:anchorId="199F7DFE" wp14:editId="6ECD6FC5">
            <wp:extent cx="5334000" cy="3810000"/>
            <wp:effectExtent l="0" t="0" r="0" b="0"/>
            <wp:docPr id="84" name="Picture" descr="Chart, waterfall chart&#10;&#10;Figure 4.2 8. Summary of waters with fish consumption impairments. Estuary area is reported as square miles, lake area is reported as acres, and river area is reported as miles. This graphic adds all impairments by pollutant of a given waterbody together; if the same assessment unit has multiple fish consumption impairments (PCB, Hg, etc.) then that assessment unit would be counted multiple times in this tally.  "/>
            <wp:cNvGraphicFramePr/>
            <a:graphic xmlns:a="http://schemas.openxmlformats.org/drawingml/2006/main">
              <a:graphicData uri="http://schemas.openxmlformats.org/drawingml/2006/picture">
                <pic:pic xmlns:pic="http://schemas.openxmlformats.org/drawingml/2006/picture">
                  <pic:nvPicPr>
                    <pic:cNvPr id="84" name="Picture" descr="Chart, waterfall chart&#10;&#10;Figure 4.2 8. Summary of waters with fish consumption impairments. Estuary area is reported as square miles, lake area is reported as acres, and river area is reported as miles. This graphic adds all impairments by pollutant of a given waterbody together; if the same assessment unit has multiple fish consumption impairments (PCB, Hg, etc.) then that assessment unit would be counted multiple times in this tally.  "/>
                    <pic:cNvPicPr>
                      <a:picLocks noChangeAspect="1" noChangeArrowheads="1"/>
                    </pic:cNvPicPr>
                  </pic:nvPicPr>
                  <pic:blipFill>
                    <a:blip r:embed="rId142"/>
                    <a:stretch>
                      <a:fillRect/>
                    </a:stretch>
                  </pic:blipFill>
                  <pic:spPr bwMode="auto">
                    <a:xfrm>
                      <a:off x="0" y="0"/>
                      <a:ext cx="5334000" cy="3810000"/>
                    </a:xfrm>
                    <a:prstGeom prst="rect">
                      <a:avLst/>
                    </a:prstGeom>
                    <a:noFill/>
                    <a:ln w="9525">
                      <a:noFill/>
                      <a:headEnd/>
                      <a:tailEnd/>
                    </a:ln>
                  </pic:spPr>
                </pic:pic>
              </a:graphicData>
            </a:graphic>
          </wp:inline>
        </w:drawing>
      </w:r>
    </w:p>
    <w:p w14:paraId="093C50F4" w14:textId="7D283FAC" w:rsidR="004168F4" w:rsidRPr="004168F4" w:rsidRDefault="00CF775A" w:rsidP="0A5BE548">
      <w:pPr>
        <w:pStyle w:val="Caption"/>
        <w:rPr>
          <w:rFonts w:ascii="Times New Roman" w:hAnsi="Times New Roman"/>
        </w:rPr>
      </w:pPr>
      <w:bookmarkStart w:id="98" w:name="_Toc164175055"/>
      <w:bookmarkStart w:id="99" w:name="_Toc152766231"/>
      <w:r>
        <w:t xml:space="preserve">Figure </w:t>
      </w:r>
      <w:r w:rsidR="004F13BA">
        <w:fldChar w:fldCharType="begin"/>
      </w:r>
      <w:r w:rsidR="004F13BA">
        <w:instrText xml:space="preserve"> STYLEREF 2 \s </w:instrText>
      </w:r>
      <w:r w:rsidR="004F13BA">
        <w:fldChar w:fldCharType="separate"/>
      </w:r>
      <w:r w:rsidR="00E429BB">
        <w:rPr>
          <w:noProof/>
        </w:rPr>
        <w:t>4.2</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8</w:t>
      </w:r>
      <w:r w:rsidR="004F13BA">
        <w:rPr>
          <w:noProof/>
        </w:rPr>
        <w:fldChar w:fldCharType="end"/>
      </w:r>
      <w:r>
        <w:t>.</w:t>
      </w:r>
      <w:r w:rsidRPr="00CF775A">
        <w:t xml:space="preserve"> Summary of waters with fish consumption impairments</w:t>
      </w:r>
      <w:r w:rsidR="7220CA5A" w:rsidRPr="00CF775A">
        <w:t xml:space="preserve">. </w:t>
      </w:r>
      <w:bookmarkEnd w:id="98"/>
      <w:bookmarkEnd w:id="99"/>
      <w:r w:rsidR="00281CAB">
        <w:t xml:space="preserve">Estuary area is reported as square miles, lake area is reported as acres, and river area is reported as miles. </w:t>
      </w:r>
      <w:r w:rsidR="00934396">
        <w:t xml:space="preserve">This graphic adds all impairments </w:t>
      </w:r>
      <w:r w:rsidR="00A14C87">
        <w:t>by pollutant</w:t>
      </w:r>
      <w:r w:rsidR="00934396">
        <w:t xml:space="preserve"> of a given waterbody together</w:t>
      </w:r>
      <w:r w:rsidR="00311F32">
        <w:t>; if the same assessment unit has multiple fish consumption impairments (PCB, Hg, etc.) then that assessment unit would be counted multiple times</w:t>
      </w:r>
      <w:r w:rsidR="00172D3C">
        <w:t xml:space="preserve"> in this tally.</w:t>
      </w:r>
    </w:p>
    <w:p w14:paraId="5E5E382E" w14:textId="77777777" w:rsidR="00510C84" w:rsidRDefault="00510C84" w:rsidP="00BB0B85">
      <w:pPr>
        <w:rPr>
          <w:rFonts w:ascii="Times New Roman" w:hAnsi="Times New Roman"/>
          <w:b/>
          <w:bCs/>
          <w:szCs w:val="24"/>
        </w:rPr>
      </w:pPr>
    </w:p>
    <w:p w14:paraId="7936D08D" w14:textId="5F9E1713" w:rsidR="00BB0B85" w:rsidRDefault="00BB0B85" w:rsidP="00BB0B85">
      <w:pPr>
        <w:rPr>
          <w:rFonts w:cstheme="minorHAnsi"/>
          <w:szCs w:val="24"/>
        </w:rPr>
      </w:pPr>
      <w:r>
        <w:rPr>
          <w:rFonts w:cstheme="minorHAnsi"/>
          <w:szCs w:val="24"/>
        </w:rPr>
        <w:t>Parameters that have been identified as most probable stressors to riverine benthic communities in EPA approved TMDLs are listed in Table 4.2-8. Based on the TMDLs completed and approved to date, the largest stressor to riverine benthic macroinvertebrate communities is excessive sediment (115</w:t>
      </w:r>
      <w:r w:rsidR="008521B9">
        <w:rPr>
          <w:rFonts w:cstheme="minorHAnsi"/>
          <w:szCs w:val="24"/>
        </w:rPr>
        <w:t>3</w:t>
      </w:r>
      <w:r>
        <w:rPr>
          <w:rFonts w:cstheme="minorHAnsi"/>
          <w:szCs w:val="24"/>
        </w:rPr>
        <w:t xml:space="preserve"> miles), accounting for over four times the amount of river miles relative to the second most common stressor, total phosphorus (282 miles).</w:t>
      </w:r>
    </w:p>
    <w:p w14:paraId="3D657612" w14:textId="4EE80FFD" w:rsidR="00510C84" w:rsidRDefault="00510C84">
      <w:pPr>
        <w:widowControl/>
        <w:spacing w:after="160" w:line="259" w:lineRule="auto"/>
        <w:rPr>
          <w:rFonts w:ascii="Times New Roman" w:hAnsi="Times New Roman"/>
          <w:b/>
          <w:bCs/>
          <w:szCs w:val="24"/>
        </w:rPr>
      </w:pPr>
      <w:r>
        <w:rPr>
          <w:rFonts w:ascii="Times New Roman" w:hAnsi="Times New Roman"/>
          <w:b/>
          <w:bCs/>
          <w:szCs w:val="24"/>
        </w:rPr>
        <w:br w:type="page"/>
      </w:r>
    </w:p>
    <w:p w14:paraId="0FAB96DC" w14:textId="3B49EC02" w:rsidR="00A94BB4" w:rsidRPr="0062574F" w:rsidRDefault="006946EF" w:rsidP="00A94BB4">
      <w:pPr>
        <w:pStyle w:val="Caption"/>
      </w:pPr>
      <w:bookmarkStart w:id="100" w:name="_Toc164175163"/>
      <w:r>
        <w:lastRenderedPageBreak/>
        <w:t xml:space="preserve">Table </w:t>
      </w:r>
      <w:r w:rsidR="004F13BA">
        <w:fldChar w:fldCharType="begin"/>
      </w:r>
      <w:r w:rsidR="004F13BA">
        <w:instrText xml:space="preserve"> STYLEREF 2 \s </w:instrText>
      </w:r>
      <w:r w:rsidR="004F13BA">
        <w:fldChar w:fldCharType="separate"/>
      </w:r>
      <w:r w:rsidR="00CD06AE">
        <w:rPr>
          <w:noProof/>
        </w:rPr>
        <w:t>4.2</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8</w:t>
      </w:r>
      <w:r w:rsidR="004F13BA">
        <w:rPr>
          <w:noProof/>
        </w:rPr>
        <w:fldChar w:fldCharType="end"/>
      </w:r>
      <w:r>
        <w:t>.</w:t>
      </w:r>
      <w:r w:rsidR="003A2383">
        <w:t xml:space="preserve"> </w:t>
      </w:r>
      <w:r w:rsidR="007C158B">
        <w:t xml:space="preserve">Most probable stressors </w:t>
      </w:r>
      <w:r w:rsidR="00E73625">
        <w:t xml:space="preserve">identified in TMDLs </w:t>
      </w:r>
      <w:r w:rsidR="004C37A5">
        <w:t>to</w:t>
      </w:r>
      <w:r w:rsidR="007C158B">
        <w:t xml:space="preserve"> </w:t>
      </w:r>
      <w:r w:rsidR="00E73625">
        <w:t>address impaired</w:t>
      </w:r>
      <w:r w:rsidR="007C158B">
        <w:t xml:space="preserve"> b</w:t>
      </w:r>
      <w:r w:rsidR="004265D5">
        <w:t>enthic</w:t>
      </w:r>
      <w:r w:rsidR="35EFA52F">
        <w:t xml:space="preserve"> </w:t>
      </w:r>
      <w:bookmarkEnd w:id="100"/>
      <w:r w:rsidR="00EE545F">
        <w:t>macroinvertebrate</w:t>
      </w:r>
      <w:r w:rsidR="007C158B">
        <w:t xml:space="preserve"> communities in ri</w:t>
      </w:r>
      <w:r w:rsidR="008905D5">
        <w:t xml:space="preserve">verine </w:t>
      </w:r>
      <w:r w:rsidR="001A0355">
        <w:t>systems</w:t>
      </w:r>
      <w:r w:rsidR="003B46C5">
        <w:t>.</w:t>
      </w:r>
      <w:r w:rsidR="001A74E2">
        <w:t xml:space="preserve"> All values rounded to the nearest river mile.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8"/>
        <w:gridCol w:w="1350"/>
      </w:tblGrid>
      <w:tr w:rsidR="00007CE5" w14:paraId="3F601BF6" w14:textId="77777777" w:rsidTr="002901E1">
        <w:trPr>
          <w:trHeight w:val="360"/>
        </w:trPr>
        <w:tc>
          <w:tcPr>
            <w:tcW w:w="5418" w:type="dxa"/>
            <w:tcBorders>
              <w:top w:val="single" w:sz="12" w:space="0" w:color="auto"/>
              <w:bottom w:val="single" w:sz="2" w:space="0" w:color="auto"/>
            </w:tcBorders>
            <w:vAlign w:val="center"/>
          </w:tcPr>
          <w:p w14:paraId="5CC1A011" w14:textId="77777777" w:rsidR="002F0D76" w:rsidRPr="00D21951" w:rsidRDefault="002F0D76" w:rsidP="002901E1">
            <w:pPr>
              <w:rPr>
                <w:b/>
                <w:bCs/>
              </w:rPr>
            </w:pPr>
            <w:r w:rsidRPr="00D21951">
              <w:rPr>
                <w:rFonts w:ascii="Calibri" w:hAnsi="Calibri" w:cs="Calibri"/>
                <w:b/>
                <w:bCs/>
                <w:color w:val="000000"/>
                <w:sz w:val="22"/>
                <w:szCs w:val="22"/>
              </w:rPr>
              <w:t>Parameter</w:t>
            </w:r>
          </w:p>
        </w:tc>
        <w:tc>
          <w:tcPr>
            <w:tcW w:w="1350" w:type="dxa"/>
            <w:tcBorders>
              <w:top w:val="single" w:sz="12" w:space="0" w:color="auto"/>
              <w:bottom w:val="single" w:sz="2" w:space="0" w:color="auto"/>
            </w:tcBorders>
            <w:vAlign w:val="center"/>
          </w:tcPr>
          <w:p w14:paraId="0B268D36" w14:textId="77777777" w:rsidR="002F0D76" w:rsidRPr="00D21951" w:rsidRDefault="002F0D76" w:rsidP="002901E1">
            <w:pPr>
              <w:rPr>
                <w:b/>
                <w:bCs/>
              </w:rPr>
            </w:pPr>
            <w:r w:rsidRPr="00D21951">
              <w:rPr>
                <w:b/>
                <w:bCs/>
              </w:rPr>
              <w:t>River Miles</w:t>
            </w:r>
          </w:p>
        </w:tc>
      </w:tr>
      <w:tr w:rsidR="00007CE5" w14:paraId="7418F51D" w14:textId="77777777" w:rsidTr="002901E1">
        <w:trPr>
          <w:trHeight w:val="360"/>
        </w:trPr>
        <w:tc>
          <w:tcPr>
            <w:tcW w:w="5418" w:type="dxa"/>
            <w:tcBorders>
              <w:top w:val="single" w:sz="2" w:space="0" w:color="auto"/>
            </w:tcBorders>
            <w:vAlign w:val="center"/>
          </w:tcPr>
          <w:p w14:paraId="73686F84" w14:textId="77777777" w:rsidR="002F0D76" w:rsidRDefault="002F0D76" w:rsidP="002901E1">
            <w:r>
              <w:rPr>
                <w:rFonts w:ascii="Calibri" w:hAnsi="Calibri" w:cs="Calibri"/>
                <w:color w:val="000000"/>
                <w:sz w:val="22"/>
                <w:szCs w:val="22"/>
              </w:rPr>
              <w:t>Sediment</w:t>
            </w:r>
          </w:p>
        </w:tc>
        <w:tc>
          <w:tcPr>
            <w:tcW w:w="1350" w:type="dxa"/>
            <w:tcBorders>
              <w:top w:val="single" w:sz="2" w:space="0" w:color="auto"/>
            </w:tcBorders>
            <w:vAlign w:val="center"/>
          </w:tcPr>
          <w:p w14:paraId="088B0D26" w14:textId="33264594" w:rsidR="002F0D76" w:rsidRDefault="002F0D76" w:rsidP="002901E1">
            <w:r>
              <w:rPr>
                <w:rFonts w:ascii="Calibri" w:hAnsi="Calibri" w:cs="Calibri"/>
                <w:color w:val="000000"/>
                <w:sz w:val="22"/>
                <w:szCs w:val="22"/>
              </w:rPr>
              <w:t>115</w:t>
            </w:r>
            <w:r w:rsidR="00E2374C">
              <w:rPr>
                <w:rFonts w:ascii="Calibri" w:hAnsi="Calibri" w:cs="Calibri"/>
                <w:color w:val="000000"/>
                <w:sz w:val="22"/>
                <w:szCs w:val="22"/>
              </w:rPr>
              <w:t>3</w:t>
            </w:r>
          </w:p>
        </w:tc>
      </w:tr>
      <w:tr w:rsidR="002F0D76" w14:paraId="73554059" w14:textId="77777777" w:rsidTr="002901E1">
        <w:trPr>
          <w:trHeight w:val="360"/>
        </w:trPr>
        <w:tc>
          <w:tcPr>
            <w:tcW w:w="5418" w:type="dxa"/>
            <w:vAlign w:val="center"/>
          </w:tcPr>
          <w:p w14:paraId="3B820DBA" w14:textId="6D510F88" w:rsidR="002F0D76" w:rsidRDefault="002470CA" w:rsidP="002901E1">
            <w:r>
              <w:rPr>
                <w:rFonts w:ascii="Calibri" w:hAnsi="Calibri" w:cs="Calibri"/>
                <w:color w:val="000000"/>
                <w:sz w:val="22"/>
                <w:szCs w:val="22"/>
              </w:rPr>
              <w:t xml:space="preserve">Total </w:t>
            </w:r>
            <w:r w:rsidR="002F0D76">
              <w:rPr>
                <w:rFonts w:ascii="Calibri" w:hAnsi="Calibri" w:cs="Calibri"/>
                <w:color w:val="000000"/>
                <w:sz w:val="22"/>
                <w:szCs w:val="22"/>
              </w:rPr>
              <w:t>Phosphorus</w:t>
            </w:r>
          </w:p>
        </w:tc>
        <w:tc>
          <w:tcPr>
            <w:tcW w:w="1350" w:type="dxa"/>
            <w:vAlign w:val="center"/>
          </w:tcPr>
          <w:p w14:paraId="07556D78" w14:textId="0DBCB14E" w:rsidR="002F0D76" w:rsidRDefault="002F0D76" w:rsidP="002901E1">
            <w:r>
              <w:rPr>
                <w:rFonts w:ascii="Calibri" w:hAnsi="Calibri" w:cs="Calibri"/>
                <w:color w:val="000000"/>
                <w:sz w:val="22"/>
                <w:szCs w:val="22"/>
              </w:rPr>
              <w:t>282</w:t>
            </w:r>
          </w:p>
        </w:tc>
      </w:tr>
      <w:tr w:rsidR="002F0D76" w14:paraId="224A4EF1" w14:textId="77777777" w:rsidTr="002901E1">
        <w:trPr>
          <w:trHeight w:val="360"/>
        </w:trPr>
        <w:tc>
          <w:tcPr>
            <w:tcW w:w="5418" w:type="dxa"/>
            <w:vAlign w:val="center"/>
          </w:tcPr>
          <w:p w14:paraId="28929989" w14:textId="77777777" w:rsidR="002F0D76" w:rsidRDefault="002F0D76" w:rsidP="002901E1">
            <w:r>
              <w:rPr>
                <w:rFonts w:ascii="Calibri" w:hAnsi="Calibri" w:cs="Calibri"/>
                <w:color w:val="000000"/>
                <w:sz w:val="22"/>
                <w:szCs w:val="22"/>
              </w:rPr>
              <w:t>Total Dissolved Solids (TDS)</w:t>
            </w:r>
          </w:p>
        </w:tc>
        <w:tc>
          <w:tcPr>
            <w:tcW w:w="1350" w:type="dxa"/>
            <w:vAlign w:val="center"/>
          </w:tcPr>
          <w:p w14:paraId="1B18D259" w14:textId="0B61A524" w:rsidR="002F0D76" w:rsidRDefault="002F0D76" w:rsidP="002901E1">
            <w:r>
              <w:rPr>
                <w:rFonts w:ascii="Calibri" w:hAnsi="Calibri" w:cs="Calibri"/>
                <w:color w:val="000000"/>
                <w:sz w:val="22"/>
                <w:szCs w:val="22"/>
              </w:rPr>
              <w:t>12</w:t>
            </w:r>
            <w:r w:rsidR="00E2374C">
              <w:rPr>
                <w:rFonts w:ascii="Calibri" w:hAnsi="Calibri" w:cs="Calibri"/>
                <w:color w:val="000000"/>
                <w:sz w:val="22"/>
                <w:szCs w:val="22"/>
              </w:rPr>
              <w:t>6</w:t>
            </w:r>
          </w:p>
        </w:tc>
      </w:tr>
      <w:tr w:rsidR="002F0D76" w14:paraId="04573978" w14:textId="77777777" w:rsidTr="002901E1">
        <w:trPr>
          <w:trHeight w:val="360"/>
        </w:trPr>
        <w:tc>
          <w:tcPr>
            <w:tcW w:w="5418" w:type="dxa"/>
            <w:vAlign w:val="center"/>
          </w:tcPr>
          <w:p w14:paraId="17C32648" w14:textId="77777777" w:rsidR="002F0D76" w:rsidRDefault="002F0D76" w:rsidP="002901E1">
            <w:r>
              <w:rPr>
                <w:rFonts w:ascii="Calibri" w:hAnsi="Calibri" w:cs="Calibri"/>
                <w:color w:val="000000"/>
                <w:sz w:val="22"/>
                <w:szCs w:val="22"/>
              </w:rPr>
              <w:t>Polycyclic Aromatic Hydrocarbons (PAHs) </w:t>
            </w:r>
          </w:p>
        </w:tc>
        <w:tc>
          <w:tcPr>
            <w:tcW w:w="1350" w:type="dxa"/>
            <w:vAlign w:val="center"/>
          </w:tcPr>
          <w:p w14:paraId="34A04A82" w14:textId="1E681B65" w:rsidR="002F0D76" w:rsidRDefault="002F0D76" w:rsidP="002901E1">
            <w:r>
              <w:rPr>
                <w:rFonts w:ascii="Calibri" w:hAnsi="Calibri" w:cs="Calibri"/>
                <w:color w:val="000000"/>
                <w:sz w:val="22"/>
                <w:szCs w:val="22"/>
              </w:rPr>
              <w:t>3</w:t>
            </w:r>
            <w:r w:rsidR="00E2374C">
              <w:rPr>
                <w:rFonts w:ascii="Calibri" w:hAnsi="Calibri" w:cs="Calibri"/>
                <w:color w:val="000000"/>
                <w:sz w:val="22"/>
                <w:szCs w:val="22"/>
              </w:rPr>
              <w:t>1</w:t>
            </w:r>
          </w:p>
        </w:tc>
      </w:tr>
      <w:tr w:rsidR="002F0D76" w14:paraId="27739D6C" w14:textId="77777777" w:rsidTr="002901E1">
        <w:trPr>
          <w:trHeight w:val="360"/>
        </w:trPr>
        <w:tc>
          <w:tcPr>
            <w:tcW w:w="5418" w:type="dxa"/>
            <w:vAlign w:val="center"/>
          </w:tcPr>
          <w:p w14:paraId="214454B6" w14:textId="6198D815" w:rsidR="002F0D76" w:rsidRDefault="002470CA" w:rsidP="002901E1">
            <w:r>
              <w:rPr>
                <w:rFonts w:ascii="Calibri" w:hAnsi="Calibri" w:cs="Calibri"/>
                <w:color w:val="000000"/>
                <w:sz w:val="22"/>
                <w:szCs w:val="22"/>
              </w:rPr>
              <w:t xml:space="preserve">Total </w:t>
            </w:r>
            <w:r w:rsidR="002F0D76">
              <w:rPr>
                <w:rFonts w:ascii="Calibri" w:hAnsi="Calibri" w:cs="Calibri"/>
                <w:color w:val="000000"/>
                <w:sz w:val="22"/>
                <w:szCs w:val="22"/>
              </w:rPr>
              <w:t>Nitrogen</w:t>
            </w:r>
          </w:p>
        </w:tc>
        <w:tc>
          <w:tcPr>
            <w:tcW w:w="1350" w:type="dxa"/>
            <w:vAlign w:val="center"/>
          </w:tcPr>
          <w:p w14:paraId="557292B9" w14:textId="307DD493" w:rsidR="002F0D76" w:rsidRDefault="002F0D76" w:rsidP="002901E1">
            <w:r>
              <w:rPr>
                <w:rFonts w:ascii="Calibri" w:hAnsi="Calibri" w:cs="Calibri"/>
                <w:color w:val="000000"/>
                <w:sz w:val="22"/>
                <w:szCs w:val="22"/>
              </w:rPr>
              <w:t>2</w:t>
            </w:r>
            <w:r w:rsidR="00E263C9">
              <w:rPr>
                <w:rFonts w:ascii="Calibri" w:hAnsi="Calibri" w:cs="Calibri"/>
                <w:color w:val="000000"/>
                <w:sz w:val="22"/>
                <w:szCs w:val="22"/>
              </w:rPr>
              <w:t>5</w:t>
            </w:r>
          </w:p>
        </w:tc>
      </w:tr>
      <w:tr w:rsidR="002F0D76" w14:paraId="3E6ACBDB" w14:textId="77777777" w:rsidTr="002901E1">
        <w:trPr>
          <w:trHeight w:val="360"/>
        </w:trPr>
        <w:tc>
          <w:tcPr>
            <w:tcW w:w="5418" w:type="dxa"/>
            <w:vAlign w:val="center"/>
          </w:tcPr>
          <w:p w14:paraId="783C94D7" w14:textId="77777777" w:rsidR="002F0D76" w:rsidRDefault="002F0D76" w:rsidP="002901E1">
            <w:r>
              <w:rPr>
                <w:rFonts w:ascii="Calibri" w:hAnsi="Calibri" w:cs="Calibri"/>
                <w:color w:val="000000"/>
                <w:sz w:val="22"/>
                <w:szCs w:val="22"/>
              </w:rPr>
              <w:t>Organic Enrichment (Sewage) Biological Indicators</w:t>
            </w:r>
          </w:p>
        </w:tc>
        <w:tc>
          <w:tcPr>
            <w:tcW w:w="1350" w:type="dxa"/>
            <w:vAlign w:val="center"/>
          </w:tcPr>
          <w:p w14:paraId="47270154" w14:textId="11AB9E09" w:rsidR="002F0D76" w:rsidRDefault="00926C30" w:rsidP="002901E1">
            <w:r>
              <w:t>4</w:t>
            </w:r>
          </w:p>
        </w:tc>
      </w:tr>
      <w:tr w:rsidR="002F0D76" w14:paraId="5F2FA89A" w14:textId="77777777" w:rsidTr="002901E1">
        <w:trPr>
          <w:trHeight w:val="360"/>
        </w:trPr>
        <w:tc>
          <w:tcPr>
            <w:tcW w:w="5418" w:type="dxa"/>
            <w:vAlign w:val="center"/>
          </w:tcPr>
          <w:p w14:paraId="51589868" w14:textId="77777777" w:rsidR="002F0D76" w:rsidRDefault="002F0D76" w:rsidP="002901E1">
            <w:r>
              <w:rPr>
                <w:rFonts w:ascii="Calibri" w:hAnsi="Calibri" w:cs="Calibri"/>
                <w:color w:val="000000"/>
                <w:sz w:val="22"/>
                <w:szCs w:val="22"/>
              </w:rPr>
              <w:t>Alkalinity</w:t>
            </w:r>
          </w:p>
        </w:tc>
        <w:tc>
          <w:tcPr>
            <w:tcW w:w="1350" w:type="dxa"/>
            <w:vAlign w:val="center"/>
          </w:tcPr>
          <w:p w14:paraId="4EDBBEB3" w14:textId="06519200" w:rsidR="002F0D76" w:rsidRDefault="002F0D76" w:rsidP="002901E1">
            <w:r>
              <w:rPr>
                <w:rFonts w:ascii="Calibri" w:hAnsi="Calibri" w:cs="Calibri"/>
                <w:color w:val="000000"/>
                <w:sz w:val="22"/>
                <w:szCs w:val="22"/>
              </w:rPr>
              <w:t>3</w:t>
            </w:r>
          </w:p>
        </w:tc>
      </w:tr>
      <w:tr w:rsidR="002F0D76" w14:paraId="06FC3E29" w14:textId="77777777" w:rsidTr="002901E1">
        <w:trPr>
          <w:trHeight w:val="360"/>
        </w:trPr>
        <w:tc>
          <w:tcPr>
            <w:tcW w:w="5418" w:type="dxa"/>
            <w:vAlign w:val="center"/>
          </w:tcPr>
          <w:p w14:paraId="4263F20A" w14:textId="77777777" w:rsidR="002F0D76" w:rsidRDefault="002F0D76" w:rsidP="002901E1">
            <w:r>
              <w:rPr>
                <w:rFonts w:ascii="Calibri" w:hAnsi="Calibri" w:cs="Calibri"/>
                <w:color w:val="000000"/>
                <w:sz w:val="22"/>
                <w:szCs w:val="22"/>
              </w:rPr>
              <w:t>Manganese</w:t>
            </w:r>
          </w:p>
        </w:tc>
        <w:tc>
          <w:tcPr>
            <w:tcW w:w="1350" w:type="dxa"/>
            <w:vAlign w:val="center"/>
          </w:tcPr>
          <w:p w14:paraId="0F493829" w14:textId="2DDCA91F" w:rsidR="002F0D76" w:rsidRDefault="002F0D76" w:rsidP="002901E1">
            <w:r>
              <w:rPr>
                <w:rFonts w:ascii="Calibri" w:hAnsi="Calibri" w:cs="Calibri"/>
                <w:color w:val="000000"/>
                <w:sz w:val="22"/>
                <w:szCs w:val="22"/>
              </w:rPr>
              <w:t>3</w:t>
            </w:r>
          </w:p>
        </w:tc>
      </w:tr>
      <w:tr w:rsidR="0090596C" w14:paraId="20692ADE" w14:textId="77777777" w:rsidTr="002901E1">
        <w:trPr>
          <w:trHeight w:val="360"/>
        </w:trPr>
        <w:tc>
          <w:tcPr>
            <w:tcW w:w="5418" w:type="dxa"/>
            <w:vAlign w:val="center"/>
          </w:tcPr>
          <w:p w14:paraId="71F8A095" w14:textId="671B5D44" w:rsidR="0090596C" w:rsidRDefault="0090596C" w:rsidP="002901E1">
            <w:pPr>
              <w:rPr>
                <w:rFonts w:ascii="Calibri" w:hAnsi="Calibri" w:cs="Calibri"/>
                <w:color w:val="000000"/>
                <w:sz w:val="22"/>
                <w:szCs w:val="22"/>
              </w:rPr>
            </w:pPr>
            <w:r>
              <w:rPr>
                <w:rFonts w:ascii="Calibri" w:hAnsi="Calibri" w:cs="Calibri"/>
                <w:color w:val="000000"/>
                <w:sz w:val="22"/>
                <w:szCs w:val="22"/>
              </w:rPr>
              <w:t>Mercury in sediment</w:t>
            </w:r>
          </w:p>
        </w:tc>
        <w:tc>
          <w:tcPr>
            <w:tcW w:w="1350" w:type="dxa"/>
            <w:vAlign w:val="center"/>
          </w:tcPr>
          <w:p w14:paraId="6A3578D3" w14:textId="1FD5E6E0" w:rsidR="0090596C" w:rsidRDefault="0090596C" w:rsidP="002901E1">
            <w:pPr>
              <w:rPr>
                <w:rFonts w:ascii="Calibri" w:hAnsi="Calibri" w:cs="Calibri"/>
                <w:color w:val="000000"/>
                <w:sz w:val="22"/>
                <w:szCs w:val="22"/>
              </w:rPr>
            </w:pPr>
            <w:r>
              <w:rPr>
                <w:rFonts w:ascii="Calibri" w:hAnsi="Calibri" w:cs="Calibri"/>
                <w:color w:val="000000"/>
                <w:sz w:val="22"/>
                <w:szCs w:val="22"/>
              </w:rPr>
              <w:t>2</w:t>
            </w:r>
          </w:p>
        </w:tc>
      </w:tr>
      <w:tr w:rsidR="002F0D76" w14:paraId="300B0AC4" w14:textId="77777777" w:rsidTr="002901E1">
        <w:trPr>
          <w:trHeight w:val="360"/>
        </w:trPr>
        <w:tc>
          <w:tcPr>
            <w:tcW w:w="5418" w:type="dxa"/>
            <w:tcBorders>
              <w:bottom w:val="single" w:sz="12" w:space="0" w:color="auto"/>
            </w:tcBorders>
            <w:vAlign w:val="center"/>
          </w:tcPr>
          <w:p w14:paraId="15E96664" w14:textId="77777777" w:rsidR="002F0D76" w:rsidRDefault="002F0D76" w:rsidP="002901E1">
            <w:r>
              <w:rPr>
                <w:rFonts w:ascii="Calibri" w:hAnsi="Calibri" w:cs="Calibri"/>
                <w:color w:val="000000"/>
                <w:sz w:val="22"/>
                <w:szCs w:val="22"/>
              </w:rPr>
              <w:t>Biochemical oxygen demand (BOD)</w:t>
            </w:r>
          </w:p>
        </w:tc>
        <w:tc>
          <w:tcPr>
            <w:tcW w:w="1350" w:type="dxa"/>
            <w:tcBorders>
              <w:bottom w:val="single" w:sz="12" w:space="0" w:color="auto"/>
            </w:tcBorders>
            <w:vAlign w:val="center"/>
          </w:tcPr>
          <w:p w14:paraId="3609C659" w14:textId="6090FBCD" w:rsidR="002F0D76" w:rsidRDefault="002F0D76" w:rsidP="002901E1">
            <w:r>
              <w:rPr>
                <w:rFonts w:ascii="Calibri" w:hAnsi="Calibri" w:cs="Calibri"/>
                <w:color w:val="000000"/>
                <w:sz w:val="22"/>
                <w:szCs w:val="22"/>
              </w:rPr>
              <w:t>1</w:t>
            </w:r>
          </w:p>
        </w:tc>
      </w:tr>
    </w:tbl>
    <w:p w14:paraId="44630FB3" w14:textId="1754770E" w:rsidR="00D25CBB" w:rsidRPr="00E72262" w:rsidRDefault="00D25CBB" w:rsidP="002E2AC5">
      <w:pPr>
        <w:rPr>
          <w:rFonts w:cstheme="minorHAnsi"/>
          <w:b/>
          <w:bCs/>
          <w:szCs w:val="24"/>
        </w:rPr>
      </w:pPr>
    </w:p>
    <w:p w14:paraId="34B701CC" w14:textId="49F3461C" w:rsidR="00045A0A" w:rsidRDefault="00A150D7" w:rsidP="002E2AC5">
      <w:pPr>
        <w:rPr>
          <w:rFonts w:ascii="Times New Roman" w:hAnsi="Times New Roman"/>
          <w:b/>
          <w:bCs/>
          <w:szCs w:val="24"/>
        </w:rPr>
      </w:pPr>
      <w:r>
        <w:rPr>
          <w:rFonts w:cstheme="minorHAnsi"/>
          <w:szCs w:val="24"/>
        </w:rPr>
        <w:t>Potential sources that correlate to the causes of impairment</w:t>
      </w:r>
      <w:r w:rsidR="004E26F4">
        <w:rPr>
          <w:rFonts w:cstheme="minorHAnsi"/>
          <w:szCs w:val="24"/>
        </w:rPr>
        <w:t>s</w:t>
      </w:r>
      <w:r w:rsidR="00B0122F">
        <w:rPr>
          <w:rFonts w:cstheme="minorHAnsi"/>
          <w:szCs w:val="24"/>
        </w:rPr>
        <w:t xml:space="preserve">, either unknown or identified through the TMDL process, are presented in </w:t>
      </w:r>
      <w:r w:rsidR="00045A0A" w:rsidRPr="000F27AE">
        <w:rPr>
          <w:rFonts w:cstheme="minorHAnsi"/>
          <w:szCs w:val="24"/>
        </w:rPr>
        <w:t>Table 4.2-</w:t>
      </w:r>
      <w:r w:rsidR="00045A0A">
        <w:rPr>
          <w:rFonts w:cstheme="minorHAnsi"/>
          <w:szCs w:val="24"/>
        </w:rPr>
        <w:t>9</w:t>
      </w:r>
      <w:r w:rsidR="009D0E64">
        <w:rPr>
          <w:rFonts w:cstheme="minorHAnsi"/>
          <w:szCs w:val="24"/>
        </w:rPr>
        <w:t xml:space="preserve"> and are summarized by water body type.</w:t>
      </w:r>
    </w:p>
    <w:p w14:paraId="28A7F693" w14:textId="27A8C964" w:rsidR="00045A0A" w:rsidRPr="00E72262" w:rsidRDefault="00045A0A" w:rsidP="002E2AC5">
      <w:pPr>
        <w:rPr>
          <w:rFonts w:cstheme="minorHAnsi"/>
          <w:b/>
          <w:bCs/>
          <w:szCs w:val="24"/>
        </w:rPr>
      </w:pPr>
    </w:p>
    <w:p w14:paraId="42EB28CA" w14:textId="59BAEC75" w:rsidR="00D87A52" w:rsidRPr="00D87A52" w:rsidRDefault="00D06365" w:rsidP="00D06365">
      <w:pPr>
        <w:pStyle w:val="Caption"/>
        <w:keepNext/>
      </w:pPr>
      <w:bookmarkStart w:id="101" w:name="_Toc164175164"/>
      <w:r>
        <w:t xml:space="preserve">Table </w:t>
      </w:r>
      <w:r w:rsidR="004F13BA">
        <w:fldChar w:fldCharType="begin"/>
      </w:r>
      <w:r w:rsidR="004F13BA">
        <w:instrText xml:space="preserve"> STYLEREF 2 \s </w:instrText>
      </w:r>
      <w:r w:rsidR="004F13BA">
        <w:fldChar w:fldCharType="separate"/>
      </w:r>
      <w:r w:rsidR="00CD06AE">
        <w:rPr>
          <w:noProof/>
        </w:rPr>
        <w:t>4.2</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9</w:t>
      </w:r>
      <w:r w:rsidR="004F13BA">
        <w:rPr>
          <w:noProof/>
        </w:rPr>
        <w:fldChar w:fldCharType="end"/>
      </w:r>
      <w:r>
        <w:t xml:space="preserve">. </w:t>
      </w:r>
      <w:r w:rsidRPr="00D06365">
        <w:t>Suspected sources of designated use impairment</w:t>
      </w:r>
      <w:bookmarkEnd w:id="101"/>
      <w:r>
        <w:t>, by water body type, ranked by percentage of impaired water size. (Note: Waters can have multiple sources of pollution.)</w:t>
      </w:r>
    </w:p>
    <w:tbl>
      <w:tblPr>
        <w:tblStyle w:val="TableGrid"/>
        <w:tblW w:w="9734" w:type="dxa"/>
        <w:tblCellMar>
          <w:left w:w="115" w:type="dxa"/>
          <w:right w:w="115" w:type="dxa"/>
        </w:tblCellMar>
        <w:tblLook w:val="04A0" w:firstRow="1" w:lastRow="0" w:firstColumn="1" w:lastColumn="0" w:noHBand="0" w:noVBand="1"/>
        <w:tblCaption w:val="Table of Suspected Sources of Designated Use Impairment"/>
        <w:tblDescription w:val="Suspected sources of Designated Use impairment for rivers, lakes, and estuaries ranked by percent of impaired water size"/>
      </w:tblPr>
      <w:tblGrid>
        <w:gridCol w:w="2421"/>
        <w:gridCol w:w="620"/>
        <w:gridCol w:w="2752"/>
        <w:gridCol w:w="619"/>
        <w:gridCol w:w="2703"/>
        <w:gridCol w:w="619"/>
      </w:tblGrid>
      <w:tr w:rsidR="002E2AC5" w:rsidRPr="009B51FC" w14:paraId="4A1821AA" w14:textId="77777777" w:rsidTr="00131AE3">
        <w:trPr>
          <w:cantSplit/>
          <w:trHeight w:val="360"/>
          <w:tblHeader/>
        </w:trPr>
        <w:tc>
          <w:tcPr>
            <w:tcW w:w="3041" w:type="dxa"/>
            <w:gridSpan w:val="2"/>
            <w:vAlign w:val="center"/>
          </w:tcPr>
          <w:p w14:paraId="2621206D" w14:textId="77777777" w:rsidR="002E2AC5" w:rsidRPr="00EF5859" w:rsidRDefault="002E2AC5">
            <w:pPr>
              <w:jc w:val="center"/>
              <w:rPr>
                <w:rFonts w:cstheme="minorHAnsi"/>
                <w:b/>
                <w:bCs/>
                <w:sz w:val="22"/>
                <w:szCs w:val="22"/>
              </w:rPr>
            </w:pPr>
            <w:r w:rsidRPr="00EF5859">
              <w:rPr>
                <w:rFonts w:cstheme="minorHAnsi"/>
                <w:b/>
                <w:bCs/>
                <w:sz w:val="22"/>
                <w:szCs w:val="22"/>
              </w:rPr>
              <w:t>Rivers</w:t>
            </w:r>
          </w:p>
        </w:tc>
        <w:tc>
          <w:tcPr>
            <w:tcW w:w="3371" w:type="dxa"/>
            <w:gridSpan w:val="2"/>
            <w:vAlign w:val="center"/>
          </w:tcPr>
          <w:p w14:paraId="5FE5C492" w14:textId="77777777" w:rsidR="002E2AC5" w:rsidRPr="00EF5859" w:rsidRDefault="002E2AC5">
            <w:pPr>
              <w:jc w:val="center"/>
              <w:rPr>
                <w:rFonts w:cstheme="minorHAnsi"/>
                <w:b/>
                <w:bCs/>
                <w:sz w:val="22"/>
                <w:szCs w:val="22"/>
              </w:rPr>
            </w:pPr>
            <w:r w:rsidRPr="00EF5859">
              <w:rPr>
                <w:rFonts w:cstheme="minorHAnsi"/>
                <w:b/>
                <w:bCs/>
                <w:sz w:val="22"/>
                <w:szCs w:val="22"/>
              </w:rPr>
              <w:t>Lakes</w:t>
            </w:r>
          </w:p>
        </w:tc>
        <w:tc>
          <w:tcPr>
            <w:tcW w:w="3322" w:type="dxa"/>
            <w:gridSpan w:val="2"/>
            <w:vAlign w:val="bottom"/>
          </w:tcPr>
          <w:p w14:paraId="0CB3001D" w14:textId="77777777" w:rsidR="002E2AC5" w:rsidRPr="00EF5859" w:rsidRDefault="002E2AC5">
            <w:pPr>
              <w:jc w:val="center"/>
              <w:rPr>
                <w:rFonts w:cstheme="minorHAnsi"/>
                <w:b/>
                <w:bCs/>
                <w:sz w:val="22"/>
                <w:szCs w:val="22"/>
              </w:rPr>
            </w:pPr>
            <w:r w:rsidRPr="00EF5859">
              <w:rPr>
                <w:rFonts w:cstheme="minorHAnsi"/>
                <w:b/>
                <w:bCs/>
                <w:sz w:val="22"/>
                <w:szCs w:val="22"/>
              </w:rPr>
              <w:t>Estuaries</w:t>
            </w:r>
          </w:p>
        </w:tc>
      </w:tr>
      <w:tr w:rsidR="00C512C6" w:rsidRPr="009B51FC" w14:paraId="12D04D6F" w14:textId="77777777" w:rsidTr="00C512C6">
        <w:trPr>
          <w:cantSplit/>
          <w:trHeight w:val="360"/>
        </w:trPr>
        <w:tc>
          <w:tcPr>
            <w:tcW w:w="2421" w:type="dxa"/>
            <w:shd w:val="clear" w:color="auto" w:fill="auto"/>
            <w:vAlign w:val="center"/>
          </w:tcPr>
          <w:p w14:paraId="1AD05B64" w14:textId="2F6316F3" w:rsidR="00C512C6" w:rsidRPr="00EF5859" w:rsidRDefault="00C512C6" w:rsidP="00C512C6">
            <w:pPr>
              <w:jc w:val="center"/>
              <w:rPr>
                <w:rFonts w:cstheme="minorHAnsi"/>
                <w:sz w:val="22"/>
                <w:szCs w:val="22"/>
              </w:rPr>
            </w:pPr>
            <w:r>
              <w:rPr>
                <w:rFonts w:ascii="Calibri" w:hAnsi="Calibri" w:cs="Calibri"/>
                <w:color w:val="000000"/>
                <w:sz w:val="22"/>
                <w:szCs w:val="22"/>
              </w:rPr>
              <w:t>Wildlife Other than Waterfowl</w:t>
            </w:r>
          </w:p>
        </w:tc>
        <w:tc>
          <w:tcPr>
            <w:tcW w:w="620" w:type="dxa"/>
            <w:shd w:val="clear" w:color="auto" w:fill="auto"/>
            <w:vAlign w:val="center"/>
          </w:tcPr>
          <w:p w14:paraId="464EBCA2" w14:textId="668622B6" w:rsidR="00C512C6" w:rsidRPr="00EF5859" w:rsidRDefault="00C512C6" w:rsidP="00C512C6">
            <w:pPr>
              <w:jc w:val="center"/>
              <w:rPr>
                <w:rFonts w:cstheme="minorHAnsi"/>
                <w:sz w:val="22"/>
                <w:szCs w:val="22"/>
              </w:rPr>
            </w:pPr>
            <w:r>
              <w:rPr>
                <w:rFonts w:ascii="Calibri" w:hAnsi="Calibri" w:cs="Calibri"/>
                <w:color w:val="000000"/>
                <w:sz w:val="22"/>
                <w:szCs w:val="22"/>
              </w:rPr>
              <w:t>40%</w:t>
            </w:r>
          </w:p>
        </w:tc>
        <w:tc>
          <w:tcPr>
            <w:tcW w:w="2752" w:type="dxa"/>
            <w:shd w:val="clear" w:color="auto" w:fill="auto"/>
            <w:vAlign w:val="center"/>
          </w:tcPr>
          <w:p w14:paraId="55A75A42" w14:textId="33AECD2F" w:rsidR="00C512C6" w:rsidRPr="00EF5859" w:rsidRDefault="00C512C6" w:rsidP="00C512C6">
            <w:pPr>
              <w:jc w:val="center"/>
              <w:rPr>
                <w:rFonts w:cstheme="minorHAnsi"/>
                <w:sz w:val="22"/>
                <w:szCs w:val="22"/>
              </w:rPr>
            </w:pPr>
            <w:r>
              <w:rPr>
                <w:rFonts w:ascii="Calibri" w:hAnsi="Calibri" w:cs="Calibri"/>
                <w:color w:val="000000"/>
                <w:sz w:val="22"/>
                <w:szCs w:val="22"/>
              </w:rPr>
              <w:t>Source Unknown</w:t>
            </w:r>
          </w:p>
        </w:tc>
        <w:tc>
          <w:tcPr>
            <w:tcW w:w="619" w:type="dxa"/>
            <w:shd w:val="clear" w:color="auto" w:fill="auto"/>
            <w:vAlign w:val="center"/>
          </w:tcPr>
          <w:p w14:paraId="103E73CA" w14:textId="5DEBF234" w:rsidR="00C512C6" w:rsidRPr="00EF5859" w:rsidRDefault="00C512C6" w:rsidP="00C512C6">
            <w:pPr>
              <w:jc w:val="center"/>
              <w:rPr>
                <w:rFonts w:cstheme="minorHAnsi"/>
                <w:sz w:val="22"/>
                <w:szCs w:val="22"/>
              </w:rPr>
            </w:pPr>
            <w:r>
              <w:rPr>
                <w:rFonts w:ascii="Calibri" w:hAnsi="Calibri" w:cs="Calibri"/>
                <w:color w:val="000000"/>
                <w:sz w:val="22"/>
                <w:szCs w:val="22"/>
              </w:rPr>
              <w:t>74%</w:t>
            </w:r>
          </w:p>
        </w:tc>
        <w:tc>
          <w:tcPr>
            <w:tcW w:w="2703" w:type="dxa"/>
            <w:shd w:val="clear" w:color="auto" w:fill="auto"/>
            <w:vAlign w:val="center"/>
          </w:tcPr>
          <w:p w14:paraId="46ECCFBE" w14:textId="64231B36" w:rsidR="00C512C6" w:rsidRPr="00EF5859" w:rsidRDefault="00C512C6" w:rsidP="00C512C6">
            <w:pPr>
              <w:jc w:val="center"/>
              <w:rPr>
                <w:rFonts w:cstheme="minorHAnsi"/>
                <w:sz w:val="22"/>
                <w:szCs w:val="22"/>
              </w:rPr>
            </w:pPr>
            <w:r>
              <w:rPr>
                <w:rFonts w:ascii="Calibri" w:hAnsi="Calibri" w:cs="Calibri"/>
                <w:color w:val="000000"/>
                <w:sz w:val="22"/>
                <w:szCs w:val="22"/>
              </w:rPr>
              <w:t>Agriculture</w:t>
            </w:r>
          </w:p>
        </w:tc>
        <w:tc>
          <w:tcPr>
            <w:tcW w:w="619" w:type="dxa"/>
            <w:shd w:val="clear" w:color="auto" w:fill="auto"/>
            <w:vAlign w:val="center"/>
          </w:tcPr>
          <w:p w14:paraId="05EA912E" w14:textId="62B08FF6" w:rsidR="00C512C6" w:rsidRPr="00EF5859" w:rsidRDefault="00C512C6" w:rsidP="00C512C6">
            <w:pPr>
              <w:jc w:val="center"/>
              <w:rPr>
                <w:rFonts w:cstheme="minorHAnsi"/>
                <w:sz w:val="22"/>
                <w:szCs w:val="22"/>
              </w:rPr>
            </w:pPr>
            <w:r>
              <w:rPr>
                <w:rFonts w:ascii="Calibri" w:hAnsi="Calibri" w:cs="Calibri"/>
                <w:color w:val="000000"/>
                <w:sz w:val="22"/>
                <w:szCs w:val="22"/>
              </w:rPr>
              <w:t>97%</w:t>
            </w:r>
          </w:p>
        </w:tc>
      </w:tr>
      <w:tr w:rsidR="00C512C6" w:rsidRPr="009B51FC" w14:paraId="331BF7E3" w14:textId="77777777" w:rsidTr="00C512C6">
        <w:trPr>
          <w:cantSplit/>
          <w:trHeight w:val="360"/>
        </w:trPr>
        <w:tc>
          <w:tcPr>
            <w:tcW w:w="2421" w:type="dxa"/>
            <w:shd w:val="clear" w:color="auto" w:fill="auto"/>
            <w:vAlign w:val="center"/>
          </w:tcPr>
          <w:p w14:paraId="5C3745E2" w14:textId="0D7BDFBA" w:rsidR="00C512C6" w:rsidRPr="00EF5859" w:rsidRDefault="00C512C6" w:rsidP="00C512C6">
            <w:pPr>
              <w:jc w:val="center"/>
              <w:rPr>
                <w:rFonts w:cstheme="minorHAnsi"/>
                <w:sz w:val="22"/>
                <w:szCs w:val="22"/>
              </w:rPr>
            </w:pPr>
            <w:r>
              <w:rPr>
                <w:rFonts w:ascii="Calibri" w:hAnsi="Calibri" w:cs="Calibri"/>
                <w:color w:val="000000"/>
                <w:sz w:val="22"/>
                <w:szCs w:val="22"/>
              </w:rPr>
              <w:t>Source Unknown</w:t>
            </w:r>
          </w:p>
        </w:tc>
        <w:tc>
          <w:tcPr>
            <w:tcW w:w="620" w:type="dxa"/>
            <w:shd w:val="clear" w:color="auto" w:fill="auto"/>
            <w:vAlign w:val="center"/>
          </w:tcPr>
          <w:p w14:paraId="4F80CF89" w14:textId="5652C96D" w:rsidR="00C512C6" w:rsidRPr="00EF5859" w:rsidRDefault="00C512C6" w:rsidP="00C512C6">
            <w:pPr>
              <w:jc w:val="center"/>
              <w:rPr>
                <w:rFonts w:cstheme="minorHAnsi"/>
                <w:sz w:val="22"/>
                <w:szCs w:val="22"/>
              </w:rPr>
            </w:pPr>
            <w:r>
              <w:rPr>
                <w:rFonts w:ascii="Calibri" w:hAnsi="Calibri" w:cs="Calibri"/>
                <w:color w:val="000000"/>
                <w:sz w:val="22"/>
                <w:szCs w:val="22"/>
              </w:rPr>
              <w:t>37%</w:t>
            </w:r>
          </w:p>
        </w:tc>
        <w:tc>
          <w:tcPr>
            <w:tcW w:w="2752" w:type="dxa"/>
            <w:shd w:val="clear" w:color="auto" w:fill="auto"/>
            <w:vAlign w:val="center"/>
          </w:tcPr>
          <w:p w14:paraId="1BA68BD8" w14:textId="7780E6B5" w:rsidR="00C512C6" w:rsidRPr="00EF5859" w:rsidRDefault="00C512C6" w:rsidP="00C512C6">
            <w:pPr>
              <w:jc w:val="center"/>
              <w:rPr>
                <w:rFonts w:cstheme="minorHAnsi"/>
                <w:sz w:val="22"/>
                <w:szCs w:val="22"/>
              </w:rPr>
            </w:pPr>
            <w:r>
              <w:rPr>
                <w:rFonts w:ascii="Calibri" w:hAnsi="Calibri" w:cs="Calibri"/>
                <w:color w:val="000000"/>
                <w:sz w:val="22"/>
                <w:szCs w:val="22"/>
              </w:rPr>
              <w:t>Atmospheric Deposition</w:t>
            </w:r>
          </w:p>
        </w:tc>
        <w:tc>
          <w:tcPr>
            <w:tcW w:w="619" w:type="dxa"/>
            <w:shd w:val="clear" w:color="auto" w:fill="auto"/>
            <w:vAlign w:val="center"/>
          </w:tcPr>
          <w:p w14:paraId="5F4FA579" w14:textId="0058A8B2" w:rsidR="00C512C6" w:rsidRPr="00EF5859" w:rsidRDefault="00C512C6" w:rsidP="00C512C6">
            <w:pPr>
              <w:jc w:val="center"/>
              <w:rPr>
                <w:rFonts w:cstheme="minorHAnsi"/>
                <w:sz w:val="22"/>
                <w:szCs w:val="22"/>
              </w:rPr>
            </w:pPr>
            <w:r>
              <w:rPr>
                <w:rFonts w:ascii="Calibri" w:hAnsi="Calibri" w:cs="Calibri"/>
                <w:color w:val="000000"/>
                <w:sz w:val="22"/>
                <w:szCs w:val="22"/>
              </w:rPr>
              <w:t>24%</w:t>
            </w:r>
          </w:p>
        </w:tc>
        <w:tc>
          <w:tcPr>
            <w:tcW w:w="2703" w:type="dxa"/>
            <w:shd w:val="clear" w:color="auto" w:fill="auto"/>
            <w:vAlign w:val="center"/>
          </w:tcPr>
          <w:p w14:paraId="0D8C0227" w14:textId="3FC23A5D" w:rsidR="00C512C6" w:rsidRPr="00EF5859" w:rsidRDefault="00C512C6" w:rsidP="00C512C6">
            <w:pPr>
              <w:jc w:val="center"/>
              <w:rPr>
                <w:rFonts w:cstheme="minorHAnsi"/>
                <w:strike/>
                <w:sz w:val="22"/>
                <w:szCs w:val="22"/>
              </w:rPr>
            </w:pPr>
            <w:r>
              <w:rPr>
                <w:rFonts w:ascii="Calibri" w:hAnsi="Calibri" w:cs="Calibri"/>
                <w:color w:val="000000"/>
                <w:sz w:val="22"/>
                <w:szCs w:val="22"/>
              </w:rPr>
              <w:t>Source Unknown</w:t>
            </w:r>
          </w:p>
        </w:tc>
        <w:tc>
          <w:tcPr>
            <w:tcW w:w="619" w:type="dxa"/>
            <w:shd w:val="clear" w:color="auto" w:fill="auto"/>
            <w:vAlign w:val="center"/>
          </w:tcPr>
          <w:p w14:paraId="4F3B5AEC" w14:textId="69C88824" w:rsidR="00C512C6" w:rsidRPr="00EF5859" w:rsidRDefault="00C512C6" w:rsidP="00C512C6">
            <w:pPr>
              <w:jc w:val="center"/>
              <w:rPr>
                <w:rFonts w:cstheme="minorHAnsi"/>
                <w:sz w:val="22"/>
                <w:szCs w:val="22"/>
              </w:rPr>
            </w:pPr>
            <w:r>
              <w:rPr>
                <w:rFonts w:ascii="Calibri" w:hAnsi="Calibri" w:cs="Calibri"/>
                <w:color w:val="000000"/>
                <w:sz w:val="22"/>
                <w:szCs w:val="22"/>
              </w:rPr>
              <w:t>96%</w:t>
            </w:r>
          </w:p>
        </w:tc>
      </w:tr>
      <w:tr w:rsidR="00C512C6" w:rsidRPr="009B51FC" w14:paraId="043F8048" w14:textId="77777777" w:rsidTr="00C512C6">
        <w:trPr>
          <w:cantSplit/>
          <w:trHeight w:val="360"/>
        </w:trPr>
        <w:tc>
          <w:tcPr>
            <w:tcW w:w="2421" w:type="dxa"/>
            <w:shd w:val="clear" w:color="auto" w:fill="auto"/>
            <w:vAlign w:val="center"/>
          </w:tcPr>
          <w:p w14:paraId="5301855F" w14:textId="5312345C" w:rsidR="00C512C6" w:rsidRPr="00EF5859" w:rsidRDefault="00C512C6" w:rsidP="00C512C6">
            <w:pPr>
              <w:jc w:val="center"/>
              <w:rPr>
                <w:rFonts w:cstheme="minorHAnsi"/>
                <w:sz w:val="22"/>
                <w:szCs w:val="22"/>
              </w:rPr>
            </w:pPr>
            <w:r>
              <w:rPr>
                <w:rFonts w:ascii="Calibri" w:hAnsi="Calibri" w:cs="Calibri"/>
                <w:color w:val="000000"/>
                <w:sz w:val="22"/>
                <w:szCs w:val="22"/>
              </w:rPr>
              <w:t>On-site Septic Treatment Systems</w:t>
            </w:r>
          </w:p>
        </w:tc>
        <w:tc>
          <w:tcPr>
            <w:tcW w:w="620" w:type="dxa"/>
            <w:shd w:val="clear" w:color="auto" w:fill="auto"/>
            <w:vAlign w:val="center"/>
          </w:tcPr>
          <w:p w14:paraId="7C667968" w14:textId="297A974E" w:rsidR="00C512C6" w:rsidRPr="00EF5859" w:rsidRDefault="00C512C6" w:rsidP="00C512C6">
            <w:pPr>
              <w:jc w:val="center"/>
              <w:rPr>
                <w:rFonts w:cstheme="minorHAnsi"/>
                <w:sz w:val="22"/>
                <w:szCs w:val="22"/>
              </w:rPr>
            </w:pPr>
            <w:r>
              <w:rPr>
                <w:rFonts w:ascii="Calibri" w:hAnsi="Calibri" w:cs="Calibri"/>
                <w:color w:val="000000"/>
                <w:sz w:val="22"/>
                <w:szCs w:val="22"/>
              </w:rPr>
              <w:t>35%</w:t>
            </w:r>
          </w:p>
        </w:tc>
        <w:tc>
          <w:tcPr>
            <w:tcW w:w="2752" w:type="dxa"/>
            <w:shd w:val="clear" w:color="auto" w:fill="auto"/>
            <w:vAlign w:val="center"/>
          </w:tcPr>
          <w:p w14:paraId="024C7A34" w14:textId="022866CC" w:rsidR="00C512C6" w:rsidRPr="00EF5859" w:rsidRDefault="00C512C6" w:rsidP="00C512C6">
            <w:pPr>
              <w:jc w:val="center"/>
              <w:rPr>
                <w:rFonts w:cstheme="minorHAnsi"/>
                <w:sz w:val="22"/>
                <w:szCs w:val="22"/>
              </w:rPr>
            </w:pPr>
            <w:r>
              <w:rPr>
                <w:rFonts w:ascii="Calibri" w:hAnsi="Calibri" w:cs="Calibri"/>
                <w:color w:val="000000"/>
                <w:sz w:val="22"/>
                <w:szCs w:val="22"/>
              </w:rPr>
              <w:t>Industrial Point Source Discharge</w:t>
            </w:r>
          </w:p>
        </w:tc>
        <w:tc>
          <w:tcPr>
            <w:tcW w:w="619" w:type="dxa"/>
            <w:shd w:val="clear" w:color="auto" w:fill="auto"/>
            <w:vAlign w:val="center"/>
          </w:tcPr>
          <w:p w14:paraId="4AF8D443" w14:textId="61BA04F5" w:rsidR="00C512C6" w:rsidRPr="00EF5859" w:rsidRDefault="00C512C6" w:rsidP="00C512C6">
            <w:pPr>
              <w:jc w:val="center"/>
              <w:rPr>
                <w:rFonts w:cstheme="minorHAnsi"/>
                <w:sz w:val="22"/>
                <w:szCs w:val="22"/>
              </w:rPr>
            </w:pPr>
            <w:r>
              <w:rPr>
                <w:rFonts w:ascii="Calibri" w:hAnsi="Calibri" w:cs="Calibri"/>
                <w:color w:val="000000"/>
                <w:sz w:val="22"/>
                <w:szCs w:val="22"/>
              </w:rPr>
              <w:t>24%</w:t>
            </w:r>
          </w:p>
        </w:tc>
        <w:tc>
          <w:tcPr>
            <w:tcW w:w="2703" w:type="dxa"/>
            <w:shd w:val="clear" w:color="auto" w:fill="auto"/>
            <w:vAlign w:val="center"/>
          </w:tcPr>
          <w:p w14:paraId="46F3F119" w14:textId="258377C5" w:rsidR="00C512C6" w:rsidRPr="00EF5859" w:rsidRDefault="00C512C6" w:rsidP="00C512C6">
            <w:pPr>
              <w:jc w:val="center"/>
              <w:rPr>
                <w:rFonts w:cstheme="minorHAnsi"/>
                <w:strike/>
                <w:sz w:val="22"/>
                <w:szCs w:val="22"/>
              </w:rPr>
            </w:pPr>
            <w:r>
              <w:rPr>
                <w:rFonts w:ascii="Calibri" w:hAnsi="Calibri" w:cs="Calibri"/>
                <w:color w:val="000000"/>
                <w:sz w:val="22"/>
                <w:szCs w:val="22"/>
              </w:rPr>
              <w:t>Industrial Point Source Discharge</w:t>
            </w:r>
          </w:p>
        </w:tc>
        <w:tc>
          <w:tcPr>
            <w:tcW w:w="619" w:type="dxa"/>
            <w:shd w:val="clear" w:color="auto" w:fill="auto"/>
            <w:vAlign w:val="center"/>
          </w:tcPr>
          <w:p w14:paraId="17752600" w14:textId="3BBF35F0" w:rsidR="00C512C6" w:rsidRPr="00EF5859" w:rsidRDefault="00C512C6" w:rsidP="00C512C6">
            <w:pPr>
              <w:jc w:val="center"/>
              <w:rPr>
                <w:rFonts w:cstheme="minorHAnsi"/>
                <w:sz w:val="22"/>
                <w:szCs w:val="22"/>
              </w:rPr>
            </w:pPr>
            <w:r>
              <w:rPr>
                <w:rFonts w:ascii="Calibri" w:hAnsi="Calibri" w:cs="Calibri"/>
                <w:color w:val="000000"/>
                <w:sz w:val="22"/>
                <w:szCs w:val="22"/>
              </w:rPr>
              <w:t>89%</w:t>
            </w:r>
          </w:p>
        </w:tc>
      </w:tr>
      <w:tr w:rsidR="00C512C6" w:rsidRPr="009B51FC" w14:paraId="621FA3A4" w14:textId="77777777" w:rsidTr="00C512C6">
        <w:trPr>
          <w:cantSplit/>
          <w:trHeight w:val="360"/>
        </w:trPr>
        <w:tc>
          <w:tcPr>
            <w:tcW w:w="2421" w:type="dxa"/>
            <w:shd w:val="clear" w:color="auto" w:fill="auto"/>
            <w:vAlign w:val="center"/>
          </w:tcPr>
          <w:p w14:paraId="1328F910" w14:textId="76C1C83A" w:rsidR="00C512C6" w:rsidRPr="00EF5859" w:rsidRDefault="00C512C6" w:rsidP="00C512C6">
            <w:pPr>
              <w:jc w:val="center"/>
              <w:rPr>
                <w:rFonts w:cstheme="minorHAnsi"/>
                <w:sz w:val="22"/>
                <w:szCs w:val="22"/>
              </w:rPr>
            </w:pPr>
            <w:r>
              <w:rPr>
                <w:rFonts w:ascii="Calibri" w:hAnsi="Calibri" w:cs="Calibri"/>
                <w:color w:val="000000"/>
                <w:sz w:val="22"/>
                <w:szCs w:val="22"/>
              </w:rPr>
              <w:t>Livestock (Grazing or Feeding Operations)</w:t>
            </w:r>
          </w:p>
        </w:tc>
        <w:tc>
          <w:tcPr>
            <w:tcW w:w="620" w:type="dxa"/>
            <w:shd w:val="clear" w:color="auto" w:fill="auto"/>
            <w:vAlign w:val="center"/>
          </w:tcPr>
          <w:p w14:paraId="25E7A96A" w14:textId="509A5F06" w:rsidR="00C512C6" w:rsidRPr="00EF5859" w:rsidRDefault="00C512C6" w:rsidP="00C512C6">
            <w:pPr>
              <w:jc w:val="center"/>
              <w:rPr>
                <w:rFonts w:cstheme="minorHAnsi"/>
                <w:sz w:val="22"/>
                <w:szCs w:val="22"/>
              </w:rPr>
            </w:pPr>
            <w:r>
              <w:rPr>
                <w:rFonts w:ascii="Calibri" w:hAnsi="Calibri" w:cs="Calibri"/>
                <w:color w:val="000000"/>
                <w:sz w:val="22"/>
                <w:szCs w:val="22"/>
              </w:rPr>
              <w:t>35%</w:t>
            </w:r>
          </w:p>
        </w:tc>
        <w:tc>
          <w:tcPr>
            <w:tcW w:w="2752" w:type="dxa"/>
            <w:shd w:val="clear" w:color="auto" w:fill="auto"/>
            <w:vAlign w:val="center"/>
          </w:tcPr>
          <w:p w14:paraId="435B0FBD" w14:textId="04141F33" w:rsidR="00C512C6" w:rsidRPr="00EF5859" w:rsidRDefault="00C512C6" w:rsidP="00C512C6">
            <w:pPr>
              <w:jc w:val="center"/>
              <w:rPr>
                <w:rFonts w:cstheme="minorHAnsi"/>
                <w:sz w:val="22"/>
                <w:szCs w:val="22"/>
              </w:rPr>
            </w:pPr>
            <w:r>
              <w:rPr>
                <w:rFonts w:ascii="Calibri" w:hAnsi="Calibri" w:cs="Calibri"/>
                <w:color w:val="000000"/>
                <w:sz w:val="22"/>
                <w:szCs w:val="22"/>
              </w:rPr>
              <w:t>Contaminated Sediments</w:t>
            </w:r>
          </w:p>
        </w:tc>
        <w:tc>
          <w:tcPr>
            <w:tcW w:w="619" w:type="dxa"/>
            <w:shd w:val="clear" w:color="auto" w:fill="auto"/>
            <w:vAlign w:val="center"/>
          </w:tcPr>
          <w:p w14:paraId="1777A366" w14:textId="668C41BD" w:rsidR="00C512C6" w:rsidRPr="00EF5859" w:rsidRDefault="00C512C6" w:rsidP="00C512C6">
            <w:pPr>
              <w:jc w:val="center"/>
              <w:rPr>
                <w:rFonts w:cstheme="minorHAnsi"/>
                <w:sz w:val="22"/>
                <w:szCs w:val="22"/>
              </w:rPr>
            </w:pPr>
            <w:r>
              <w:rPr>
                <w:rFonts w:ascii="Calibri" w:hAnsi="Calibri" w:cs="Calibri"/>
                <w:color w:val="000000"/>
                <w:sz w:val="22"/>
                <w:szCs w:val="22"/>
              </w:rPr>
              <w:t>24%</w:t>
            </w:r>
          </w:p>
        </w:tc>
        <w:tc>
          <w:tcPr>
            <w:tcW w:w="2703" w:type="dxa"/>
            <w:shd w:val="clear" w:color="auto" w:fill="auto"/>
            <w:vAlign w:val="center"/>
          </w:tcPr>
          <w:p w14:paraId="63C43C72" w14:textId="0A39584F" w:rsidR="00C512C6" w:rsidRPr="00EF5859" w:rsidRDefault="00C512C6" w:rsidP="00C512C6">
            <w:pPr>
              <w:jc w:val="center"/>
              <w:rPr>
                <w:rFonts w:cstheme="minorHAnsi"/>
                <w:sz w:val="22"/>
                <w:szCs w:val="22"/>
              </w:rPr>
            </w:pPr>
            <w:r>
              <w:rPr>
                <w:rFonts w:ascii="Calibri" w:hAnsi="Calibri" w:cs="Calibri"/>
                <w:color w:val="000000"/>
                <w:sz w:val="22"/>
                <w:szCs w:val="22"/>
              </w:rPr>
              <w:t>Internal Nutrient Recycling</w:t>
            </w:r>
          </w:p>
        </w:tc>
        <w:tc>
          <w:tcPr>
            <w:tcW w:w="619" w:type="dxa"/>
            <w:shd w:val="clear" w:color="auto" w:fill="auto"/>
            <w:vAlign w:val="center"/>
          </w:tcPr>
          <w:p w14:paraId="7A4FCAAF" w14:textId="56204A19" w:rsidR="00C512C6" w:rsidRPr="00EF5859" w:rsidRDefault="00C512C6" w:rsidP="00C512C6">
            <w:pPr>
              <w:jc w:val="center"/>
              <w:rPr>
                <w:rFonts w:cstheme="minorHAnsi"/>
                <w:sz w:val="22"/>
                <w:szCs w:val="22"/>
              </w:rPr>
            </w:pPr>
            <w:r>
              <w:rPr>
                <w:rFonts w:ascii="Calibri" w:hAnsi="Calibri" w:cs="Calibri"/>
                <w:color w:val="000000"/>
                <w:sz w:val="22"/>
                <w:szCs w:val="22"/>
              </w:rPr>
              <w:t>88%</w:t>
            </w:r>
          </w:p>
        </w:tc>
      </w:tr>
      <w:tr w:rsidR="00C512C6" w:rsidRPr="009B51FC" w14:paraId="40C9F965" w14:textId="77777777" w:rsidTr="00C512C6">
        <w:trPr>
          <w:cantSplit/>
          <w:trHeight w:val="360"/>
        </w:trPr>
        <w:tc>
          <w:tcPr>
            <w:tcW w:w="2421" w:type="dxa"/>
            <w:shd w:val="clear" w:color="auto" w:fill="auto"/>
            <w:vAlign w:val="center"/>
          </w:tcPr>
          <w:p w14:paraId="72D5C562" w14:textId="31B91C6B" w:rsidR="00C512C6" w:rsidRPr="00EF5859" w:rsidRDefault="00C512C6" w:rsidP="00C512C6">
            <w:pPr>
              <w:jc w:val="center"/>
              <w:rPr>
                <w:rFonts w:cstheme="minorHAnsi"/>
                <w:sz w:val="22"/>
                <w:szCs w:val="22"/>
              </w:rPr>
            </w:pPr>
            <w:r>
              <w:rPr>
                <w:rFonts w:ascii="Calibri" w:hAnsi="Calibri" w:cs="Calibri"/>
                <w:color w:val="000000"/>
                <w:sz w:val="22"/>
                <w:szCs w:val="22"/>
              </w:rPr>
              <w:t>Agriculture</w:t>
            </w:r>
          </w:p>
        </w:tc>
        <w:tc>
          <w:tcPr>
            <w:tcW w:w="620" w:type="dxa"/>
            <w:shd w:val="clear" w:color="auto" w:fill="auto"/>
            <w:vAlign w:val="center"/>
          </w:tcPr>
          <w:p w14:paraId="0E0235A5" w14:textId="1B5FAE71" w:rsidR="00C512C6" w:rsidRPr="00EF5859" w:rsidRDefault="00C512C6" w:rsidP="00C512C6">
            <w:pPr>
              <w:jc w:val="center"/>
              <w:rPr>
                <w:rFonts w:cstheme="minorHAnsi"/>
                <w:sz w:val="22"/>
                <w:szCs w:val="22"/>
              </w:rPr>
            </w:pPr>
            <w:r>
              <w:rPr>
                <w:rFonts w:ascii="Calibri" w:hAnsi="Calibri" w:cs="Calibri"/>
                <w:color w:val="000000"/>
                <w:sz w:val="22"/>
                <w:szCs w:val="22"/>
              </w:rPr>
              <w:t>31%</w:t>
            </w:r>
          </w:p>
        </w:tc>
        <w:tc>
          <w:tcPr>
            <w:tcW w:w="2752" w:type="dxa"/>
            <w:shd w:val="clear" w:color="auto" w:fill="auto"/>
            <w:vAlign w:val="center"/>
          </w:tcPr>
          <w:p w14:paraId="05D0A3EE" w14:textId="7795EADA" w:rsidR="00C512C6" w:rsidRPr="00EF5859" w:rsidRDefault="00C512C6" w:rsidP="00C512C6">
            <w:pPr>
              <w:jc w:val="center"/>
              <w:rPr>
                <w:rFonts w:cstheme="minorHAnsi"/>
                <w:sz w:val="22"/>
                <w:szCs w:val="22"/>
              </w:rPr>
            </w:pPr>
            <w:r>
              <w:rPr>
                <w:rFonts w:ascii="Calibri" w:hAnsi="Calibri" w:cs="Calibri"/>
                <w:color w:val="000000"/>
                <w:sz w:val="22"/>
                <w:szCs w:val="22"/>
              </w:rPr>
              <w:t>Natural Conditions</w:t>
            </w:r>
          </w:p>
        </w:tc>
        <w:tc>
          <w:tcPr>
            <w:tcW w:w="619" w:type="dxa"/>
            <w:shd w:val="clear" w:color="auto" w:fill="auto"/>
            <w:vAlign w:val="center"/>
          </w:tcPr>
          <w:p w14:paraId="302DA2A6" w14:textId="271A69C2" w:rsidR="00C512C6" w:rsidRPr="00EF5859" w:rsidRDefault="00C512C6" w:rsidP="00C512C6">
            <w:pPr>
              <w:jc w:val="center"/>
              <w:rPr>
                <w:rFonts w:cstheme="minorHAnsi"/>
                <w:sz w:val="22"/>
                <w:szCs w:val="22"/>
              </w:rPr>
            </w:pPr>
            <w:r>
              <w:rPr>
                <w:rFonts w:ascii="Calibri" w:hAnsi="Calibri" w:cs="Calibri"/>
                <w:color w:val="000000"/>
                <w:sz w:val="22"/>
                <w:szCs w:val="22"/>
              </w:rPr>
              <w:t>5%</w:t>
            </w:r>
          </w:p>
        </w:tc>
        <w:tc>
          <w:tcPr>
            <w:tcW w:w="2703" w:type="dxa"/>
            <w:shd w:val="clear" w:color="auto" w:fill="auto"/>
            <w:vAlign w:val="center"/>
          </w:tcPr>
          <w:p w14:paraId="61C59531" w14:textId="1D973D17" w:rsidR="00C512C6" w:rsidRPr="00EF5859" w:rsidRDefault="00C512C6" w:rsidP="00C512C6">
            <w:pPr>
              <w:jc w:val="center"/>
              <w:rPr>
                <w:rFonts w:cstheme="minorHAnsi"/>
                <w:sz w:val="22"/>
                <w:szCs w:val="22"/>
              </w:rPr>
            </w:pPr>
            <w:r>
              <w:rPr>
                <w:rFonts w:ascii="Calibri" w:hAnsi="Calibri" w:cs="Calibri"/>
                <w:color w:val="000000"/>
                <w:sz w:val="22"/>
                <w:szCs w:val="22"/>
              </w:rPr>
              <w:t>Loss of Riparian Habitat</w:t>
            </w:r>
          </w:p>
        </w:tc>
        <w:tc>
          <w:tcPr>
            <w:tcW w:w="619" w:type="dxa"/>
            <w:shd w:val="clear" w:color="auto" w:fill="auto"/>
            <w:vAlign w:val="center"/>
          </w:tcPr>
          <w:p w14:paraId="73F95F4D" w14:textId="1386F89D" w:rsidR="00C512C6" w:rsidRPr="00EF5859" w:rsidRDefault="00C512C6" w:rsidP="00C512C6">
            <w:pPr>
              <w:jc w:val="center"/>
              <w:rPr>
                <w:rFonts w:cstheme="minorHAnsi"/>
                <w:sz w:val="22"/>
                <w:szCs w:val="22"/>
              </w:rPr>
            </w:pPr>
            <w:r>
              <w:rPr>
                <w:rFonts w:ascii="Calibri" w:hAnsi="Calibri" w:cs="Calibri"/>
                <w:color w:val="000000"/>
                <w:sz w:val="22"/>
                <w:szCs w:val="22"/>
              </w:rPr>
              <w:t>88%</w:t>
            </w:r>
          </w:p>
        </w:tc>
      </w:tr>
      <w:tr w:rsidR="00C512C6" w:rsidRPr="009B51FC" w14:paraId="6301717F" w14:textId="77777777" w:rsidTr="00C512C6">
        <w:trPr>
          <w:cantSplit/>
          <w:trHeight w:val="360"/>
        </w:trPr>
        <w:tc>
          <w:tcPr>
            <w:tcW w:w="2421" w:type="dxa"/>
            <w:shd w:val="clear" w:color="auto" w:fill="auto"/>
            <w:vAlign w:val="center"/>
          </w:tcPr>
          <w:p w14:paraId="1F716B3D" w14:textId="549FF707" w:rsidR="00C512C6" w:rsidRPr="00EF5859" w:rsidRDefault="00C512C6" w:rsidP="00C512C6">
            <w:pPr>
              <w:jc w:val="center"/>
              <w:rPr>
                <w:rFonts w:cstheme="minorHAnsi"/>
                <w:sz w:val="22"/>
                <w:szCs w:val="22"/>
              </w:rPr>
            </w:pPr>
            <w:r>
              <w:rPr>
                <w:rFonts w:ascii="Calibri" w:hAnsi="Calibri" w:cs="Calibri"/>
                <w:color w:val="000000"/>
                <w:sz w:val="22"/>
                <w:szCs w:val="22"/>
              </w:rPr>
              <w:t>Non-Point Source</w:t>
            </w:r>
          </w:p>
        </w:tc>
        <w:tc>
          <w:tcPr>
            <w:tcW w:w="620" w:type="dxa"/>
            <w:shd w:val="clear" w:color="auto" w:fill="auto"/>
            <w:vAlign w:val="center"/>
          </w:tcPr>
          <w:p w14:paraId="5D2BCAF1" w14:textId="4E1F095F" w:rsidR="00C512C6" w:rsidRPr="00EF5859" w:rsidRDefault="00C512C6" w:rsidP="00C512C6">
            <w:pPr>
              <w:jc w:val="center"/>
              <w:rPr>
                <w:rFonts w:cstheme="minorHAnsi"/>
                <w:sz w:val="22"/>
                <w:szCs w:val="22"/>
              </w:rPr>
            </w:pPr>
            <w:r>
              <w:rPr>
                <w:rFonts w:ascii="Calibri" w:hAnsi="Calibri" w:cs="Calibri"/>
                <w:color w:val="000000"/>
                <w:sz w:val="22"/>
                <w:szCs w:val="22"/>
              </w:rPr>
              <w:t>30%</w:t>
            </w:r>
          </w:p>
        </w:tc>
        <w:tc>
          <w:tcPr>
            <w:tcW w:w="2752" w:type="dxa"/>
            <w:shd w:val="clear" w:color="auto" w:fill="auto"/>
            <w:vAlign w:val="center"/>
          </w:tcPr>
          <w:p w14:paraId="741559D6" w14:textId="5BA95ED2" w:rsidR="00C512C6" w:rsidRPr="00EF5859" w:rsidRDefault="00C512C6" w:rsidP="00C512C6">
            <w:pPr>
              <w:jc w:val="center"/>
              <w:rPr>
                <w:rFonts w:cstheme="minorHAnsi"/>
                <w:sz w:val="22"/>
                <w:szCs w:val="22"/>
              </w:rPr>
            </w:pPr>
            <w:r>
              <w:rPr>
                <w:rFonts w:ascii="Calibri" w:hAnsi="Calibri" w:cs="Calibri"/>
                <w:color w:val="000000"/>
                <w:sz w:val="22"/>
                <w:szCs w:val="22"/>
              </w:rPr>
              <w:t>Natural Sources</w:t>
            </w:r>
          </w:p>
        </w:tc>
        <w:tc>
          <w:tcPr>
            <w:tcW w:w="619" w:type="dxa"/>
            <w:shd w:val="clear" w:color="auto" w:fill="auto"/>
            <w:vAlign w:val="center"/>
          </w:tcPr>
          <w:p w14:paraId="72246239" w14:textId="38199616" w:rsidR="00C512C6" w:rsidRPr="00EF5859" w:rsidRDefault="00C512C6" w:rsidP="00C512C6">
            <w:pPr>
              <w:jc w:val="center"/>
              <w:rPr>
                <w:rFonts w:cstheme="minorHAnsi"/>
                <w:sz w:val="22"/>
                <w:szCs w:val="22"/>
              </w:rPr>
            </w:pPr>
            <w:r>
              <w:rPr>
                <w:rFonts w:ascii="Calibri" w:hAnsi="Calibri" w:cs="Calibri"/>
                <w:color w:val="000000"/>
                <w:sz w:val="22"/>
                <w:szCs w:val="22"/>
              </w:rPr>
              <w:t>4%</w:t>
            </w:r>
          </w:p>
        </w:tc>
        <w:tc>
          <w:tcPr>
            <w:tcW w:w="2703" w:type="dxa"/>
            <w:shd w:val="clear" w:color="auto" w:fill="auto"/>
            <w:vAlign w:val="center"/>
          </w:tcPr>
          <w:p w14:paraId="78D90BBB" w14:textId="3DBA42C2" w:rsidR="00C512C6" w:rsidRPr="00EF5859" w:rsidRDefault="00C512C6" w:rsidP="00C512C6">
            <w:pPr>
              <w:jc w:val="center"/>
              <w:rPr>
                <w:rFonts w:cstheme="minorHAnsi"/>
                <w:sz w:val="22"/>
                <w:szCs w:val="22"/>
              </w:rPr>
            </w:pPr>
            <w:r>
              <w:rPr>
                <w:rFonts w:ascii="Calibri" w:hAnsi="Calibri" w:cs="Calibri"/>
                <w:color w:val="000000"/>
                <w:sz w:val="22"/>
                <w:szCs w:val="22"/>
              </w:rPr>
              <w:t>Atmospheric Deposition - Nitrogen</w:t>
            </w:r>
          </w:p>
        </w:tc>
        <w:tc>
          <w:tcPr>
            <w:tcW w:w="619" w:type="dxa"/>
            <w:shd w:val="clear" w:color="auto" w:fill="auto"/>
            <w:vAlign w:val="center"/>
          </w:tcPr>
          <w:p w14:paraId="39A3FBD8" w14:textId="5DE44FFF" w:rsidR="00C512C6" w:rsidRPr="00EF5859" w:rsidRDefault="00C512C6" w:rsidP="00C512C6">
            <w:pPr>
              <w:jc w:val="center"/>
              <w:rPr>
                <w:rFonts w:cstheme="minorHAnsi"/>
                <w:sz w:val="22"/>
                <w:szCs w:val="22"/>
              </w:rPr>
            </w:pPr>
            <w:r>
              <w:rPr>
                <w:rFonts w:ascii="Calibri" w:hAnsi="Calibri" w:cs="Calibri"/>
                <w:color w:val="000000"/>
                <w:sz w:val="22"/>
                <w:szCs w:val="22"/>
              </w:rPr>
              <w:t>88%</w:t>
            </w:r>
          </w:p>
        </w:tc>
      </w:tr>
    </w:tbl>
    <w:p w14:paraId="07EB84E8" w14:textId="1ADF6981" w:rsidR="002E2AC5" w:rsidRDefault="002E2AC5" w:rsidP="00880797"/>
    <w:p w14:paraId="74C809BC" w14:textId="3421EA17" w:rsidR="0084771D" w:rsidRDefault="72868DF6" w:rsidP="0084771D">
      <w:r>
        <w:t xml:space="preserve">Waters are removed from the impaired waters list by providing new data or information to the U.S. Environmental Protection Agency (EPA) that shows attainment of water quality criteria. </w:t>
      </w:r>
      <w:r w:rsidR="009E7257" w:rsidRPr="21D2BF35">
        <w:rPr>
          <w:rFonts w:ascii="Calibri" w:hAnsi="Calibri" w:cs="Calibri"/>
        </w:rPr>
        <w:t>In the 2024 IR, DEQ proposes fully or partially delisting 7</w:t>
      </w:r>
      <w:r w:rsidR="00F82C10">
        <w:rPr>
          <w:rFonts w:ascii="Calibri" w:hAnsi="Calibri" w:cs="Calibri"/>
        </w:rPr>
        <w:t>35</w:t>
      </w:r>
      <w:r w:rsidR="009E7257" w:rsidRPr="21D2BF35">
        <w:rPr>
          <w:rFonts w:ascii="Calibri" w:hAnsi="Calibri" w:cs="Calibri"/>
        </w:rPr>
        <w:t xml:space="preserve"> water segments from the Impaired Waters List. Of these, 38 are considered full delists, where all assessed uses for the given segment are </w:t>
      </w:r>
      <w:proofErr w:type="gramStart"/>
      <w:r w:rsidR="009E7257" w:rsidRPr="21D2BF35">
        <w:rPr>
          <w:rFonts w:ascii="Calibri" w:hAnsi="Calibri" w:cs="Calibri"/>
        </w:rPr>
        <w:t>attaining</w:t>
      </w:r>
      <w:proofErr w:type="gramEnd"/>
      <w:r w:rsidR="009E7257" w:rsidRPr="21D2BF35">
        <w:rPr>
          <w:rFonts w:ascii="Calibri" w:hAnsi="Calibri" w:cs="Calibri"/>
        </w:rPr>
        <w:t>, and 6</w:t>
      </w:r>
      <w:r w:rsidR="00986D8A">
        <w:rPr>
          <w:rFonts w:ascii="Calibri" w:hAnsi="Calibri" w:cs="Calibri"/>
        </w:rPr>
        <w:t>97</w:t>
      </w:r>
      <w:r w:rsidR="009E7257" w:rsidRPr="21D2BF35">
        <w:rPr>
          <w:rFonts w:ascii="Calibri" w:hAnsi="Calibri" w:cs="Calibri"/>
        </w:rPr>
        <w:t xml:space="preserve"> are considered partial delists, where one or more parameters meet criteria, but others remain a cause of impairment. </w:t>
      </w:r>
      <w:r>
        <w:t>Figure 4.2-</w:t>
      </w:r>
      <w:r w:rsidR="05FEF94C">
        <w:t>10</w:t>
      </w:r>
      <w:r>
        <w:t xml:space="preserve"> shows a map of the waters proposed for delisting. </w:t>
      </w:r>
      <w:proofErr w:type="gramStart"/>
      <w:r>
        <w:t>A water</w:t>
      </w:r>
      <w:proofErr w:type="gramEnd"/>
      <w:r>
        <w:t xml:space="preserve"> is considered fully delisted when there are parameter data to show every applicable designated use is supported. DEQ also reports partial delists to EPA, where a water segment may be meeting one designated use and still be impaired for another.</w:t>
      </w:r>
    </w:p>
    <w:p w14:paraId="32BB50EE" w14:textId="77777777" w:rsidR="00AD1045" w:rsidRDefault="00AD1045" w:rsidP="0084771D">
      <w:pPr>
        <w:keepNext/>
      </w:pPr>
    </w:p>
    <w:p w14:paraId="392A5793" w14:textId="58F34BB8" w:rsidR="0084771D" w:rsidRPr="00510C84" w:rsidRDefault="00AD1045" w:rsidP="00510C84">
      <w:pPr>
        <w:rPr>
          <w:rFonts w:cstheme="minorHAnsi"/>
          <w:color w:val="000000" w:themeColor="text1"/>
          <w:szCs w:val="24"/>
        </w:rPr>
      </w:pPr>
      <w:r w:rsidRPr="000F27AE">
        <w:rPr>
          <w:rFonts w:cstheme="minorHAnsi"/>
          <w:color w:val="000000" w:themeColor="text1"/>
          <w:szCs w:val="24"/>
        </w:rPr>
        <w:t xml:space="preserve">As evident in the </w:t>
      </w:r>
      <w:r>
        <w:rPr>
          <w:rFonts w:cstheme="minorHAnsi"/>
          <w:color w:val="000000" w:themeColor="text1"/>
          <w:szCs w:val="24"/>
        </w:rPr>
        <w:t xml:space="preserve">tables and </w:t>
      </w:r>
      <w:r w:rsidRPr="000F27AE">
        <w:rPr>
          <w:rFonts w:cstheme="minorHAnsi"/>
          <w:color w:val="000000" w:themeColor="text1"/>
          <w:szCs w:val="24"/>
        </w:rPr>
        <w:t xml:space="preserve">figures </w:t>
      </w:r>
      <w:r>
        <w:rPr>
          <w:rFonts w:cstheme="minorHAnsi"/>
          <w:color w:val="000000" w:themeColor="text1"/>
          <w:szCs w:val="24"/>
        </w:rPr>
        <w:t>in this section</w:t>
      </w:r>
      <w:r w:rsidRPr="000F27AE">
        <w:rPr>
          <w:rFonts w:cstheme="minorHAnsi"/>
          <w:color w:val="000000" w:themeColor="text1"/>
          <w:szCs w:val="24"/>
        </w:rPr>
        <w:t xml:space="preserve">, </w:t>
      </w:r>
      <w:r>
        <w:rPr>
          <w:rFonts w:cstheme="minorHAnsi"/>
          <w:color w:val="000000" w:themeColor="text1"/>
          <w:szCs w:val="24"/>
        </w:rPr>
        <w:t>Virginia</w:t>
      </w:r>
      <w:r w:rsidRPr="000F27AE">
        <w:rPr>
          <w:rFonts w:cstheme="minorHAnsi"/>
          <w:color w:val="000000" w:themeColor="text1"/>
          <w:szCs w:val="24"/>
        </w:rPr>
        <w:t xml:space="preserve"> has made substantial progress by completing TMDL plans for many impairments, including </w:t>
      </w:r>
      <w:r>
        <w:rPr>
          <w:rFonts w:cstheme="minorHAnsi"/>
          <w:color w:val="000000" w:themeColor="text1"/>
          <w:szCs w:val="24"/>
        </w:rPr>
        <w:t>those resulting from elevated</w:t>
      </w:r>
      <w:r w:rsidRPr="000F27AE">
        <w:rPr>
          <w:rFonts w:cstheme="minorHAnsi"/>
          <w:color w:val="000000" w:themeColor="text1"/>
          <w:szCs w:val="24"/>
        </w:rPr>
        <w:t xml:space="preserve"> bacteria, </w:t>
      </w:r>
      <w:r>
        <w:rPr>
          <w:rFonts w:cstheme="minorHAnsi"/>
          <w:color w:val="000000" w:themeColor="text1"/>
          <w:szCs w:val="24"/>
        </w:rPr>
        <w:t xml:space="preserve">poor </w:t>
      </w:r>
      <w:r w:rsidRPr="000F27AE">
        <w:rPr>
          <w:rFonts w:cstheme="minorHAnsi"/>
          <w:color w:val="000000" w:themeColor="text1"/>
          <w:szCs w:val="24"/>
        </w:rPr>
        <w:t>benthic</w:t>
      </w:r>
      <w:r>
        <w:rPr>
          <w:rFonts w:cstheme="minorHAnsi"/>
          <w:color w:val="000000" w:themeColor="text1"/>
          <w:szCs w:val="24"/>
        </w:rPr>
        <w:t xml:space="preserve"> macroinvertebrate communities (benthics)</w:t>
      </w:r>
      <w:r w:rsidRPr="000F27AE">
        <w:rPr>
          <w:rFonts w:cstheme="minorHAnsi"/>
          <w:color w:val="000000" w:themeColor="text1"/>
          <w:szCs w:val="24"/>
        </w:rPr>
        <w:t xml:space="preserve">, and dissolved oxygen, whereas other impairments, such as </w:t>
      </w:r>
      <w:r>
        <w:rPr>
          <w:rFonts w:cstheme="minorHAnsi"/>
          <w:color w:val="000000" w:themeColor="text1"/>
          <w:szCs w:val="24"/>
        </w:rPr>
        <w:t xml:space="preserve">fish consumption impairments due to elevated </w:t>
      </w:r>
      <w:r w:rsidRPr="000F27AE">
        <w:rPr>
          <w:rFonts w:cstheme="minorHAnsi"/>
          <w:color w:val="000000" w:themeColor="text1"/>
          <w:szCs w:val="24"/>
        </w:rPr>
        <w:t xml:space="preserve">toxics in fish tissue, still require TMDLs. </w:t>
      </w:r>
      <w:r w:rsidRPr="00077AE9">
        <w:rPr>
          <w:color w:val="000000"/>
        </w:rPr>
        <w:t xml:space="preserve">DEQ currently has TMDL projects underway to address </w:t>
      </w:r>
      <w:r>
        <w:rPr>
          <w:color w:val="000000"/>
        </w:rPr>
        <w:t xml:space="preserve">PCBs </w:t>
      </w:r>
      <w:r w:rsidRPr="00077AE9">
        <w:rPr>
          <w:color w:val="000000"/>
        </w:rPr>
        <w:t>in fish tissue in the tidal and non-tidal James River basin and has initiated a TMDL study with West Virginia for the Bluestone River of the New River basin.</w:t>
      </w:r>
      <w:r>
        <w:rPr>
          <w:color w:val="000000"/>
        </w:rPr>
        <w:t xml:space="preserve"> </w:t>
      </w:r>
      <w:r w:rsidRPr="00077AE9">
        <w:rPr>
          <w:color w:val="000000"/>
          <w:shd w:val="clear" w:color="auto" w:fill="FFFFFF"/>
        </w:rPr>
        <w:t>The studies in the James basin are scheduled to be completed by 2025 and the multistate Bluestone River study should be completed in 2026.</w:t>
      </w:r>
      <w:r>
        <w:rPr>
          <w:color w:val="000000"/>
          <w:shd w:val="clear" w:color="auto" w:fill="FFFFFF"/>
        </w:rPr>
        <w:t xml:space="preserve"> </w:t>
      </w:r>
      <w:r>
        <w:rPr>
          <w:rFonts w:cstheme="minorHAnsi"/>
          <w:color w:val="000000" w:themeColor="text1"/>
          <w:szCs w:val="24"/>
        </w:rPr>
        <w:t>Section</w:t>
      </w:r>
      <w:r w:rsidRPr="000F27AE">
        <w:rPr>
          <w:rFonts w:cstheme="minorHAnsi"/>
          <w:color w:val="000000" w:themeColor="text1"/>
          <w:szCs w:val="24"/>
        </w:rPr>
        <w:t xml:space="preserve"> </w:t>
      </w:r>
      <w:r>
        <w:rPr>
          <w:rFonts w:cstheme="minorHAnsi"/>
          <w:color w:val="000000" w:themeColor="text1"/>
          <w:szCs w:val="24"/>
        </w:rPr>
        <w:t>6</w:t>
      </w:r>
      <w:r w:rsidRPr="000F27AE">
        <w:rPr>
          <w:rFonts w:cstheme="minorHAnsi"/>
          <w:color w:val="000000" w:themeColor="text1"/>
          <w:szCs w:val="24"/>
        </w:rPr>
        <w:t>.2 provides more information on the prioritization process for TMDL development through 20</w:t>
      </w:r>
      <w:r>
        <w:rPr>
          <w:rFonts w:cstheme="minorHAnsi"/>
          <w:color w:val="000000" w:themeColor="text1"/>
          <w:szCs w:val="24"/>
        </w:rPr>
        <w:t>3</w:t>
      </w:r>
      <w:r w:rsidRPr="000F27AE">
        <w:rPr>
          <w:rFonts w:cstheme="minorHAnsi"/>
          <w:color w:val="000000" w:themeColor="text1"/>
          <w:szCs w:val="24"/>
        </w:rPr>
        <w:t>2.</w:t>
      </w:r>
    </w:p>
    <w:p w14:paraId="286E79FF" w14:textId="77777777" w:rsidR="0084771D" w:rsidRDefault="0084771D" w:rsidP="0084771D">
      <w:pPr>
        <w:keepNext/>
      </w:pPr>
    </w:p>
    <w:p w14:paraId="314AEC14" w14:textId="77777777" w:rsidR="0084771D" w:rsidRDefault="0084771D" w:rsidP="0084771D">
      <w:pPr>
        <w:keepNext/>
        <w:sectPr w:rsidR="0084771D" w:rsidSect="009079C4">
          <w:pgSz w:w="12240" w:h="15840" w:code="1"/>
          <w:pgMar w:top="1152" w:right="1440" w:bottom="720" w:left="1440" w:header="720" w:footer="720" w:gutter="0"/>
          <w:cols w:space="720"/>
        </w:sectPr>
      </w:pPr>
    </w:p>
    <w:p w14:paraId="224F76D6" w14:textId="604208C6" w:rsidR="0084771D" w:rsidRDefault="00842E84" w:rsidP="006359B1">
      <w:pPr>
        <w:keepNext/>
      </w:pPr>
      <w:r>
        <w:rPr>
          <w:noProof/>
        </w:rPr>
        <w:lastRenderedPageBreak/>
        <w:drawing>
          <wp:inline distT="0" distB="0" distL="0" distR="0" wp14:anchorId="2338B56B" wp14:editId="11FAC98E">
            <wp:extent cx="8107201" cy="4675153"/>
            <wp:effectExtent l="0" t="0" r="8255" b="0"/>
            <wp:docPr id="73624519" name="Picture 1" descr="Map&#10;&#10;Figure 4.2 9. Map of delisted Assessment Units for the 2024 Integrate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4519" name="Picture 1" descr="Map&#10;&#10;Figure 4.2 9. Map of delisted Assessment Units for the 2024 Integrated Report"/>
                    <pic:cNvPicPr>
                      <a:picLocks noChangeAspect="1" noChangeArrowheads="1"/>
                    </pic:cNvPicPr>
                  </pic:nvPicPr>
                  <pic:blipFill>
                    <a:blip r:embed="rId143"/>
                    <a:stretch>
                      <a:fillRect/>
                    </a:stretch>
                  </pic:blipFill>
                  <pic:spPr bwMode="auto">
                    <a:xfrm>
                      <a:off x="0" y="0"/>
                      <a:ext cx="8107201" cy="4675153"/>
                    </a:xfrm>
                    <a:prstGeom prst="rect">
                      <a:avLst/>
                    </a:prstGeom>
                    <a:noFill/>
                    <a:ln>
                      <a:noFill/>
                    </a:ln>
                  </pic:spPr>
                </pic:pic>
              </a:graphicData>
            </a:graphic>
          </wp:inline>
        </w:drawing>
      </w:r>
    </w:p>
    <w:p w14:paraId="5D8EB2BA" w14:textId="02C8A7F7" w:rsidR="0084771D" w:rsidRDefault="0084771D" w:rsidP="0084771D">
      <w:pPr>
        <w:pStyle w:val="Caption"/>
        <w:sectPr w:rsidR="0084771D" w:rsidSect="009079C4">
          <w:pgSz w:w="15840" w:h="12240" w:orient="landscape" w:code="1"/>
          <w:pgMar w:top="1440" w:right="720" w:bottom="1440" w:left="1152" w:header="720" w:footer="720" w:gutter="0"/>
          <w:cols w:space="720"/>
          <w:docGrid w:linePitch="326"/>
        </w:sectPr>
      </w:pPr>
      <w:bookmarkStart w:id="102" w:name="_Toc164175056"/>
      <w:r>
        <w:t xml:space="preserve">Figure </w:t>
      </w:r>
      <w:r w:rsidR="004F13BA">
        <w:fldChar w:fldCharType="begin"/>
      </w:r>
      <w:r w:rsidR="004F13BA">
        <w:instrText xml:space="preserve"> STYLEREF 2 \s </w:instrText>
      </w:r>
      <w:r w:rsidR="004F13BA">
        <w:fldChar w:fldCharType="separate"/>
      </w:r>
      <w:r w:rsidR="00E429BB">
        <w:rPr>
          <w:noProof/>
        </w:rPr>
        <w:t>4.2</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9</w:t>
      </w:r>
      <w:r w:rsidR="004F13BA">
        <w:rPr>
          <w:noProof/>
        </w:rPr>
        <w:fldChar w:fldCharType="end"/>
      </w:r>
      <w:r>
        <w:t>. Map of delisted Assessment Units for the 2024 Integrated Report</w:t>
      </w:r>
      <w:bookmarkEnd w:id="102"/>
    </w:p>
    <w:p w14:paraId="2D9C23AD" w14:textId="31BC26E6" w:rsidR="009C41CA" w:rsidRDefault="00607DCD" w:rsidP="009C41CA">
      <w:pPr>
        <w:pStyle w:val="Heading2"/>
      </w:pPr>
      <w:bookmarkStart w:id="103" w:name="_Toc152763312"/>
      <w:bookmarkStart w:id="104" w:name="_Toc155771958"/>
      <w:bookmarkStart w:id="105" w:name="_Toc191900437"/>
      <w:r>
        <w:lastRenderedPageBreak/>
        <w:t>Individual River Basin Assessment Results</w:t>
      </w:r>
      <w:bookmarkEnd w:id="103"/>
      <w:bookmarkEnd w:id="104"/>
      <w:bookmarkEnd w:id="105"/>
    </w:p>
    <w:p w14:paraId="086928F1" w14:textId="330EAC89" w:rsidR="000C71DB" w:rsidRDefault="00546B19" w:rsidP="00546B19">
      <w:pPr>
        <w:rPr>
          <w:szCs w:val="24"/>
        </w:rPr>
      </w:pPr>
      <w:r>
        <w:rPr>
          <w:szCs w:val="24"/>
        </w:rPr>
        <w:t xml:space="preserve">Individual </w:t>
      </w:r>
      <w:r w:rsidR="005473AB">
        <w:rPr>
          <w:szCs w:val="24"/>
        </w:rPr>
        <w:t xml:space="preserve">river </w:t>
      </w:r>
      <w:r>
        <w:rPr>
          <w:szCs w:val="24"/>
        </w:rPr>
        <w:t>basin</w:t>
      </w:r>
      <w:r w:rsidR="005473AB">
        <w:rPr>
          <w:szCs w:val="24"/>
        </w:rPr>
        <w:t xml:space="preserve"> (Figure 4.3-2)</w:t>
      </w:r>
      <w:r w:rsidRPr="00776231">
        <w:rPr>
          <w:szCs w:val="24"/>
        </w:rPr>
        <w:t xml:space="preserve"> summaries of the river miles, estuarine square miles, and lake/reservoir acres </w:t>
      </w:r>
      <w:r>
        <w:rPr>
          <w:szCs w:val="24"/>
        </w:rPr>
        <w:t>are presented in this chapter</w:t>
      </w:r>
      <w:r w:rsidRPr="00776231">
        <w:rPr>
          <w:szCs w:val="24"/>
        </w:rPr>
        <w:t>. The overall assessment of each waterbody was determined by examining the support of up t</w:t>
      </w:r>
      <w:r>
        <w:rPr>
          <w:szCs w:val="24"/>
        </w:rPr>
        <w:t xml:space="preserve">o six designated uses, </w:t>
      </w:r>
      <w:r w:rsidRPr="00776231">
        <w:rPr>
          <w:szCs w:val="24"/>
        </w:rPr>
        <w:t>as appropriate, for each assessed waterbody. The assessment of a specific use depends on the types of data that are available</w:t>
      </w:r>
      <w:r w:rsidR="00F14CD0">
        <w:rPr>
          <w:szCs w:val="24"/>
        </w:rPr>
        <w:t>.</w:t>
      </w:r>
    </w:p>
    <w:p w14:paraId="0F386094" w14:textId="77777777" w:rsidR="00F14CD0" w:rsidRDefault="00F14CD0" w:rsidP="00F14CD0">
      <w:pPr>
        <w:keepNext/>
      </w:pPr>
      <w:r>
        <w:rPr>
          <w:noProof/>
        </w:rPr>
        <w:drawing>
          <wp:inline distT="0" distB="0" distL="0" distR="0" wp14:anchorId="54A1CC56" wp14:editId="2FEE9A6C">
            <wp:extent cx="5962650" cy="2726512"/>
            <wp:effectExtent l="0" t="0" r="0" b="0"/>
            <wp:docPr id="148180939" name="Picture 1" descr="Map&#10;&#10;Figure 4.3 1. Map of major river basins in Virg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80939" name="Picture 1" descr="Map&#10;&#10;Figure 4.3 1. Map of major river basins in Virginia"/>
                    <pic:cNvPicPr/>
                  </pic:nvPicPr>
                  <pic:blipFill>
                    <a:blip r:embed="rId144" cstate="screen">
                      <a:extLst>
                        <a:ext uri="{28A0092B-C50C-407E-A947-70E740481C1C}">
                          <a14:useLocalDpi xmlns:a14="http://schemas.microsoft.com/office/drawing/2010/main"/>
                        </a:ext>
                      </a:extLst>
                    </a:blip>
                    <a:stretch>
                      <a:fillRect/>
                    </a:stretch>
                  </pic:blipFill>
                  <pic:spPr>
                    <a:xfrm>
                      <a:off x="0" y="0"/>
                      <a:ext cx="5977933" cy="2733500"/>
                    </a:xfrm>
                    <a:prstGeom prst="rect">
                      <a:avLst/>
                    </a:prstGeom>
                  </pic:spPr>
                </pic:pic>
              </a:graphicData>
            </a:graphic>
          </wp:inline>
        </w:drawing>
      </w:r>
    </w:p>
    <w:p w14:paraId="38C9BF78" w14:textId="07E691EA" w:rsidR="00E72262" w:rsidRDefault="00F14CD0" w:rsidP="00BF3D76">
      <w:pPr>
        <w:pStyle w:val="Caption"/>
      </w:pPr>
      <w:bookmarkStart w:id="106" w:name="_Toc164175057"/>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Map of major river basin</w:t>
      </w:r>
      <w:r w:rsidR="261D5462">
        <w:t>s</w:t>
      </w:r>
      <w:r>
        <w:t xml:space="preserve"> in Virginia</w:t>
      </w:r>
      <w:bookmarkEnd w:id="106"/>
    </w:p>
    <w:p w14:paraId="37F7C7CA" w14:textId="3A0BB88B" w:rsidR="00F14CD0" w:rsidRPr="00E72262" w:rsidRDefault="00F14CD0" w:rsidP="00E72262">
      <w:pPr>
        <w:rPr>
          <w:szCs w:val="24"/>
        </w:rPr>
      </w:pPr>
    </w:p>
    <w:p w14:paraId="5CBD9A55" w14:textId="7D911C17" w:rsidR="00546B19" w:rsidRPr="00AB18ED" w:rsidRDefault="00546B19" w:rsidP="00AB18ED">
      <w:pPr>
        <w:pStyle w:val="Heading3"/>
        <w:rPr>
          <w:iCs/>
        </w:rPr>
      </w:pPr>
      <w:r w:rsidRPr="00D730B7">
        <w:rPr>
          <w:rStyle w:val="Emphasis"/>
        </w:rPr>
        <w:t>Potomac and Shenandoah River Basin</w:t>
      </w:r>
    </w:p>
    <w:p w14:paraId="70D68724" w14:textId="0A74EC69" w:rsidR="00546B19" w:rsidRPr="00D730B7" w:rsidRDefault="00546B19" w:rsidP="00546B19">
      <w:pPr>
        <w:rPr>
          <w:szCs w:val="24"/>
        </w:rPr>
      </w:pPr>
      <w:r w:rsidRPr="00D730B7">
        <w:rPr>
          <w:szCs w:val="24"/>
        </w:rPr>
        <w:t xml:space="preserve">The Potomac-Shenandoah River basin, as its name implies, is made up of the Shenandoah River sub-basin and the Potomac River sub-basin. It occupies the northern portion of Virginia and covers 5,681 square miles or 13 percent of the </w:t>
      </w:r>
      <w:r w:rsidR="00D66F43">
        <w:rPr>
          <w:szCs w:val="24"/>
        </w:rPr>
        <w:t>C</w:t>
      </w:r>
      <w:r w:rsidRPr="00D730B7">
        <w:rPr>
          <w:szCs w:val="24"/>
        </w:rPr>
        <w:t>ommonwealth’s total area.</w:t>
      </w:r>
    </w:p>
    <w:p w14:paraId="710B6F3B" w14:textId="77777777" w:rsidR="00546B19" w:rsidRPr="00D730B7" w:rsidRDefault="00546B19" w:rsidP="00546B19">
      <w:pPr>
        <w:pStyle w:val="Header"/>
        <w:rPr>
          <w:szCs w:val="24"/>
        </w:rPr>
      </w:pPr>
    </w:p>
    <w:p w14:paraId="5EB70DB6" w14:textId="77777777" w:rsidR="00546B19" w:rsidRPr="00D730B7" w:rsidRDefault="00546B19" w:rsidP="00546B19">
      <w:pPr>
        <w:rPr>
          <w:szCs w:val="24"/>
        </w:rPr>
      </w:pPr>
      <w:r w:rsidRPr="00D730B7">
        <w:rPr>
          <w:szCs w:val="24"/>
        </w:rPr>
        <w:t>In Virginia, the Potomac-Shenandoah basin is defined by both hydrologic and political boundaries. The James River and Rappahannock River basins</w:t>
      </w:r>
      <w:r>
        <w:rPr>
          <w:szCs w:val="24"/>
        </w:rPr>
        <w:t xml:space="preserve"> bound the basin to the south. </w:t>
      </w:r>
      <w:r w:rsidRPr="00D730B7">
        <w:rPr>
          <w:szCs w:val="24"/>
        </w:rPr>
        <w:t>The West Virginia and Maryland State lines and the District of Columbia bound the northern and western perimeter of the basin.</w:t>
      </w:r>
    </w:p>
    <w:p w14:paraId="2F95F2E2" w14:textId="77777777" w:rsidR="00546B19" w:rsidRPr="00D730B7" w:rsidRDefault="00546B19" w:rsidP="00546B19">
      <w:pPr>
        <w:rPr>
          <w:szCs w:val="24"/>
        </w:rPr>
      </w:pPr>
    </w:p>
    <w:p w14:paraId="269393EE" w14:textId="77777777" w:rsidR="00546B19" w:rsidRPr="00D730B7" w:rsidRDefault="00546B19" w:rsidP="00546B19">
      <w:pPr>
        <w:rPr>
          <w:szCs w:val="24"/>
        </w:rPr>
      </w:pPr>
      <w:r w:rsidRPr="00D730B7">
        <w:rPr>
          <w:szCs w:val="24"/>
        </w:rPr>
        <w:t>The headwaters of the Shenandoah River sub-basin begin in Augusta County and flow in a northeasterly direction for approximately 100 miles to the West Virginia state line. The basin averages 30 miles in width and covers 3,384 square miles.</w:t>
      </w:r>
    </w:p>
    <w:p w14:paraId="069EE469" w14:textId="77777777" w:rsidR="00546B19" w:rsidRPr="00D730B7" w:rsidRDefault="00546B19" w:rsidP="00546B19">
      <w:pPr>
        <w:rPr>
          <w:szCs w:val="24"/>
        </w:rPr>
      </w:pPr>
    </w:p>
    <w:p w14:paraId="18AD468C" w14:textId="71E7D550" w:rsidR="00546B19" w:rsidRPr="00D730B7" w:rsidRDefault="00546B19" w:rsidP="00546B19">
      <w:pPr>
        <w:rPr>
          <w:szCs w:val="24"/>
        </w:rPr>
      </w:pPr>
      <w:r w:rsidRPr="00D730B7">
        <w:rPr>
          <w:szCs w:val="24"/>
        </w:rPr>
        <w:t>The topography of the Shenandoah River sub-basin is characterized by valleys and rolling hills bordered by the Appalachian Mountains to the west and the Blue Ridge Mountains to the east. The Massanutten Mountain Range divides the Shenandoah River into the North and South Forks. Tributaries of the Shenandoah River exhibit steep profiles as they drain t</w:t>
      </w:r>
      <w:r>
        <w:rPr>
          <w:szCs w:val="24"/>
        </w:rPr>
        <w:t xml:space="preserve">he surrounding mountain ridge. </w:t>
      </w:r>
      <w:r w:rsidRPr="00D730B7">
        <w:rPr>
          <w:szCs w:val="24"/>
        </w:rPr>
        <w:t xml:space="preserve">The main stem of the Shenandoah exhibits a moderately sloping profile with occasional </w:t>
      </w:r>
      <w:proofErr w:type="gramStart"/>
      <w:r w:rsidRPr="00D730B7">
        <w:rPr>
          <w:szCs w:val="24"/>
        </w:rPr>
        <w:t>riffl</w:t>
      </w:r>
      <w:r>
        <w:rPr>
          <w:szCs w:val="24"/>
        </w:rPr>
        <w:t>es</w:t>
      </w:r>
      <w:proofErr w:type="gramEnd"/>
      <w:r>
        <w:rPr>
          <w:szCs w:val="24"/>
        </w:rPr>
        <w:t xml:space="preserve"> and pools. </w:t>
      </w:r>
      <w:r w:rsidRPr="00D730B7">
        <w:rPr>
          <w:szCs w:val="24"/>
        </w:rPr>
        <w:t xml:space="preserve">Approximately 45 percent of the land is forested due to the large amount of federally owned </w:t>
      </w:r>
      <w:r>
        <w:rPr>
          <w:szCs w:val="24"/>
        </w:rPr>
        <w:t xml:space="preserve">land and the steep topography. </w:t>
      </w:r>
      <w:r w:rsidRPr="00D730B7">
        <w:rPr>
          <w:szCs w:val="24"/>
        </w:rPr>
        <w:t>Farmland and pasture account for 39 percent of the land area, while 16 percent is urban.</w:t>
      </w:r>
    </w:p>
    <w:p w14:paraId="4A781764" w14:textId="77777777" w:rsidR="00546B19" w:rsidRPr="00D730B7" w:rsidRDefault="00546B19" w:rsidP="00546B19">
      <w:pPr>
        <w:rPr>
          <w:szCs w:val="24"/>
        </w:rPr>
      </w:pPr>
    </w:p>
    <w:p w14:paraId="7C262972" w14:textId="65EF42FD" w:rsidR="00546B19" w:rsidRPr="00D730B7" w:rsidRDefault="00546B19" w:rsidP="00546B19">
      <w:pPr>
        <w:rPr>
          <w:szCs w:val="24"/>
        </w:rPr>
      </w:pPr>
      <w:r w:rsidRPr="00D730B7">
        <w:rPr>
          <w:szCs w:val="24"/>
        </w:rPr>
        <w:t xml:space="preserve">The Potomac River sub-basin headwaters begin in Highland County. The drainage area is 323 square miles for the headwaters. The river then flows in a northeasterly direction through West Virginia and Maryland before joining the Shenandoah at Harper’s Ferry, West Virginia. The Potomac River continues as the border between Maryland and Virginia. These waters flow approximately 200 miles in a southeasterly direction along Loudoun and Fairfax counties to </w:t>
      </w:r>
      <w:proofErr w:type="gramStart"/>
      <w:r w:rsidRPr="00D730B7">
        <w:rPr>
          <w:szCs w:val="24"/>
        </w:rPr>
        <w:t>its</w:t>
      </w:r>
      <w:proofErr w:type="gramEnd"/>
      <w:r w:rsidRPr="00D730B7">
        <w:rPr>
          <w:szCs w:val="24"/>
        </w:rPr>
        <w:t xml:space="preserve"> confluence with the Chesapeake Bay in Northumberland County. Approximately 2,298 of the 14,700 square miles of the Potomac River sub-basin drainage area </w:t>
      </w:r>
      <w:proofErr w:type="gramStart"/>
      <w:r w:rsidRPr="00D730B7">
        <w:rPr>
          <w:szCs w:val="24"/>
        </w:rPr>
        <w:t>lie</w:t>
      </w:r>
      <w:proofErr w:type="gramEnd"/>
      <w:r w:rsidRPr="00D730B7">
        <w:rPr>
          <w:szCs w:val="24"/>
        </w:rPr>
        <w:t xml:space="preserve"> in Virginia. The rest covers four states and the District of Columbia.</w:t>
      </w:r>
    </w:p>
    <w:p w14:paraId="5F10FD9D" w14:textId="77777777" w:rsidR="00546B19" w:rsidRPr="00D730B7" w:rsidRDefault="00546B19" w:rsidP="00546B19">
      <w:pPr>
        <w:rPr>
          <w:szCs w:val="24"/>
        </w:rPr>
      </w:pPr>
    </w:p>
    <w:p w14:paraId="29DE4BF9" w14:textId="34F064A6" w:rsidR="00546B19" w:rsidRPr="00D730B7" w:rsidRDefault="00546B19" w:rsidP="00546B19">
      <w:pPr>
        <w:rPr>
          <w:szCs w:val="24"/>
        </w:rPr>
      </w:pPr>
      <w:r w:rsidRPr="00D730B7">
        <w:rPr>
          <w:szCs w:val="24"/>
        </w:rPr>
        <w:t>Gently sloping hills and valleys from Harpers Ferry to approximately 45 miles downriver characterize the topography of the upper Piedmont region o</w:t>
      </w:r>
      <w:r>
        <w:rPr>
          <w:szCs w:val="24"/>
        </w:rPr>
        <w:t xml:space="preserve">f the Potomac River sub-basin. </w:t>
      </w:r>
      <w:r w:rsidRPr="00D730B7">
        <w:rPr>
          <w:szCs w:val="24"/>
        </w:rPr>
        <w:t xml:space="preserve">In the central Piedmont area, the profile is rather flat until it nears the fall line at Great Falls, where the stream elevation rapidly descends from over 200 feet to sea level. Tributaries in </w:t>
      </w:r>
      <w:proofErr w:type="gramStart"/>
      <w:r w:rsidRPr="00D730B7">
        <w:rPr>
          <w:szCs w:val="24"/>
        </w:rPr>
        <w:t>the central</w:t>
      </w:r>
      <w:proofErr w:type="gramEnd"/>
      <w:r w:rsidRPr="00D730B7">
        <w:rPr>
          <w:szCs w:val="24"/>
        </w:rPr>
        <w:t xml:space="preserve"> Piedmont exhibit moderate and near constant profiles. Their flat slope largely characterizes streams in the Coastal Plain area. Approximately 40 percent of the Potomac River basin is forested, 33 percent </w:t>
      </w:r>
      <w:proofErr w:type="gramStart"/>
      <w:r w:rsidRPr="00D730B7">
        <w:rPr>
          <w:szCs w:val="24"/>
        </w:rPr>
        <w:t>is</w:t>
      </w:r>
      <w:proofErr w:type="gramEnd"/>
      <w:r w:rsidRPr="00D730B7">
        <w:rPr>
          <w:szCs w:val="24"/>
        </w:rPr>
        <w:t xml:space="preserve"> farmland and </w:t>
      </w:r>
      <w:r w:rsidR="00792085" w:rsidRPr="00D730B7">
        <w:rPr>
          <w:szCs w:val="24"/>
        </w:rPr>
        <w:t>pasture,</w:t>
      </w:r>
      <w:r w:rsidRPr="00D730B7">
        <w:rPr>
          <w:szCs w:val="24"/>
        </w:rPr>
        <w:t xml:space="preserve"> and an estimated 27 percent </w:t>
      </w:r>
      <w:proofErr w:type="gramStart"/>
      <w:r w:rsidRPr="00D730B7">
        <w:rPr>
          <w:szCs w:val="24"/>
        </w:rPr>
        <w:t>is</w:t>
      </w:r>
      <w:proofErr w:type="gramEnd"/>
      <w:r w:rsidRPr="00D730B7">
        <w:rPr>
          <w:szCs w:val="24"/>
        </w:rPr>
        <w:t xml:space="preserve"> urban.</w:t>
      </w:r>
    </w:p>
    <w:p w14:paraId="5015646D" w14:textId="77777777" w:rsidR="00546B19" w:rsidRPr="00D730B7" w:rsidRDefault="00546B19" w:rsidP="00546B19">
      <w:pPr>
        <w:rPr>
          <w:szCs w:val="24"/>
        </w:rPr>
      </w:pPr>
    </w:p>
    <w:p w14:paraId="5FBA82B0" w14:textId="6DB0FF73" w:rsidR="00546B19" w:rsidRPr="00D730B7" w:rsidRDefault="00546B19" w:rsidP="00546B19">
      <w:pPr>
        <w:rPr>
          <w:color w:val="000000"/>
          <w:szCs w:val="24"/>
        </w:rPr>
      </w:pPr>
      <w:r w:rsidRPr="00D730B7">
        <w:rPr>
          <w:szCs w:val="24"/>
        </w:rPr>
        <w:t xml:space="preserve">The 2010 population for the Potomac-Shenandoah River basin was approximately </w:t>
      </w:r>
      <w:r w:rsidRPr="00D730B7">
        <w:rPr>
          <w:color w:val="000000"/>
          <w:szCs w:val="24"/>
        </w:rPr>
        <w:t>3,141,200</w:t>
      </w:r>
      <w:r w:rsidR="00C042FB">
        <w:rPr>
          <w:color w:val="000000"/>
          <w:szCs w:val="24"/>
        </w:rPr>
        <w:t xml:space="preserve"> (</w:t>
      </w:r>
      <w:r w:rsidR="00AC5510">
        <w:rPr>
          <w:color w:val="000000"/>
          <w:szCs w:val="24"/>
        </w:rPr>
        <w:t>VA WIP III)</w:t>
      </w:r>
      <w:r w:rsidRPr="00D730B7">
        <w:rPr>
          <w:szCs w:val="24"/>
        </w:rPr>
        <w:t xml:space="preserve">. </w:t>
      </w:r>
      <w:proofErr w:type="gramStart"/>
      <w:r w:rsidRPr="00D730B7">
        <w:rPr>
          <w:szCs w:val="24"/>
        </w:rPr>
        <w:t>The majority of</w:t>
      </w:r>
      <w:proofErr w:type="gramEnd"/>
      <w:r w:rsidRPr="00D730B7">
        <w:rPr>
          <w:szCs w:val="24"/>
        </w:rPr>
        <w:t xml:space="preserve"> the population resides in urban Virgini</w:t>
      </w:r>
      <w:r>
        <w:rPr>
          <w:szCs w:val="24"/>
        </w:rPr>
        <w:t xml:space="preserve">a surrounding Washington, D.C. </w:t>
      </w:r>
      <w:r w:rsidRPr="00D730B7">
        <w:rPr>
          <w:szCs w:val="24"/>
        </w:rPr>
        <w:t>All or part of the following jurisdictions lie within the basin: Counties – Arlington, Augusta, Clarke, Fairfax, Fauquier, Frederick, Highland, King George, Loudoun, Northumberland, Page, Prince William, Rockingham, Shenandoah, Stafford, Warren, and Westmoreland; Cities – Alexandria, Fairfax, Falls Church, Harrisonburg, Manassas, Manassas Park, Staunton, Waynesboro, and Winchester.</w:t>
      </w:r>
    </w:p>
    <w:p w14:paraId="113472A8" w14:textId="77777777" w:rsidR="00546B19" w:rsidRPr="00D730B7" w:rsidRDefault="00546B19" w:rsidP="00546B19">
      <w:pPr>
        <w:rPr>
          <w:szCs w:val="24"/>
        </w:rPr>
      </w:pPr>
    </w:p>
    <w:p w14:paraId="241F4CE8" w14:textId="73FE13EE" w:rsidR="00546B19" w:rsidRDefault="00546B19" w:rsidP="00546B19">
      <w:pPr>
        <w:rPr>
          <w:szCs w:val="24"/>
        </w:rPr>
      </w:pPr>
      <w:r w:rsidRPr="00D730B7">
        <w:rPr>
          <w:szCs w:val="24"/>
        </w:rPr>
        <w:t>The Potomac-Shenandoah River basin is divided into eight USGS hydrologic units as follows: HUC 02070001- South Branch Potomac; HUC 020</w:t>
      </w:r>
      <w:r>
        <w:rPr>
          <w:szCs w:val="24"/>
        </w:rPr>
        <w:t xml:space="preserve">70004 - </w:t>
      </w:r>
      <w:proofErr w:type="spellStart"/>
      <w:r>
        <w:rPr>
          <w:szCs w:val="24"/>
        </w:rPr>
        <w:t>Conococheague-Opequon</w:t>
      </w:r>
      <w:proofErr w:type="spellEnd"/>
      <w:r>
        <w:rPr>
          <w:szCs w:val="24"/>
        </w:rPr>
        <w:t xml:space="preserve">; </w:t>
      </w:r>
      <w:r w:rsidRPr="00D730B7">
        <w:rPr>
          <w:szCs w:val="24"/>
        </w:rPr>
        <w:t>HUC 020</w:t>
      </w:r>
      <w:r>
        <w:rPr>
          <w:szCs w:val="24"/>
        </w:rPr>
        <w:t xml:space="preserve">70005 - South Fork Shenandoah; </w:t>
      </w:r>
      <w:r w:rsidRPr="00D730B7">
        <w:rPr>
          <w:szCs w:val="24"/>
        </w:rPr>
        <w:t>HUC 020</w:t>
      </w:r>
      <w:r>
        <w:rPr>
          <w:szCs w:val="24"/>
        </w:rPr>
        <w:t xml:space="preserve">70006 - North Fork Shenandoah; </w:t>
      </w:r>
      <w:r w:rsidRPr="00D730B7">
        <w:rPr>
          <w:szCs w:val="24"/>
        </w:rPr>
        <w:t>HUC 02070007 - Shenandoah; HUC 02070008 - Middle Potomac-Catoctin; HUC 02070010 - Middle Potomac-Anacostia-Occoquan;</w:t>
      </w:r>
      <w:r>
        <w:rPr>
          <w:szCs w:val="24"/>
        </w:rPr>
        <w:t xml:space="preserve"> HUC 02070011 - Lower Potomac. </w:t>
      </w:r>
      <w:r w:rsidRPr="00D730B7">
        <w:rPr>
          <w:szCs w:val="24"/>
        </w:rPr>
        <w:t>The eight hydrologic units are further divided into 92 waterbodies or watersheds and 183 6</w:t>
      </w:r>
      <w:r w:rsidRPr="00D730B7">
        <w:rPr>
          <w:szCs w:val="24"/>
          <w:vertAlign w:val="superscript"/>
        </w:rPr>
        <w:t>th</w:t>
      </w:r>
      <w:r w:rsidRPr="00D730B7">
        <w:rPr>
          <w:szCs w:val="24"/>
        </w:rPr>
        <w:t xml:space="preserve"> order sub-watersheds.</w:t>
      </w:r>
    </w:p>
    <w:p w14:paraId="5FD62AC2" w14:textId="77777777" w:rsidR="00546B19" w:rsidRPr="00D730B7" w:rsidRDefault="00546B19" w:rsidP="00546B19">
      <w:pPr>
        <w:rPr>
          <w:szCs w:val="24"/>
        </w:rPr>
      </w:pPr>
    </w:p>
    <w:p w14:paraId="36334372" w14:textId="77777777" w:rsidR="00546B19" w:rsidRPr="00D730B7" w:rsidRDefault="00546B19" w:rsidP="00546B19">
      <w:pPr>
        <w:rPr>
          <w:szCs w:val="24"/>
        </w:rPr>
      </w:pPr>
      <w:r w:rsidRPr="00D730B7">
        <w:rPr>
          <w:szCs w:val="24"/>
        </w:rPr>
        <w:t>Potomac and Shenandoah River basin assessment information is included in the following figures and tables.</w:t>
      </w:r>
    </w:p>
    <w:p w14:paraId="7C2FC45C" w14:textId="77777777" w:rsidR="00546B19" w:rsidRPr="00887BAC" w:rsidRDefault="00546B19" w:rsidP="00546B19">
      <w:pPr>
        <w:rPr>
          <w:b/>
          <w:szCs w:val="24"/>
        </w:rPr>
      </w:pPr>
    </w:p>
    <w:p w14:paraId="4F8CF3E2" w14:textId="4E25BFE4" w:rsidR="00546B19" w:rsidRPr="00D730B7" w:rsidRDefault="00DE52A8" w:rsidP="00546B19">
      <w:pPr>
        <w:jc w:val="both"/>
        <w:rPr>
          <w:b/>
          <w:szCs w:val="24"/>
        </w:rPr>
      </w:pPr>
      <w:r>
        <w:rPr>
          <w:b/>
          <w:szCs w:val="24"/>
        </w:rPr>
        <w:t>Total basin water body sizes</w:t>
      </w:r>
      <w:r w:rsidR="008F20E4">
        <w:rPr>
          <w:b/>
          <w:szCs w:val="24"/>
        </w:rPr>
        <w:t>, note all values rounded</w:t>
      </w:r>
      <w:r w:rsidR="00546B19" w:rsidRPr="00D730B7">
        <w:rPr>
          <w:b/>
          <w:szCs w:val="24"/>
        </w:rPr>
        <w:t xml:space="preserve"> to </w:t>
      </w:r>
      <w:r w:rsidR="008F20E4">
        <w:rPr>
          <w:b/>
          <w:szCs w:val="24"/>
        </w:rPr>
        <w:t>the nearest whole number.</w:t>
      </w:r>
    </w:p>
    <w:p w14:paraId="08710A4D" w14:textId="770FC45A" w:rsidR="002402AE" w:rsidRPr="002402AE" w:rsidRDefault="002402AE" w:rsidP="002402AE">
      <w:pPr>
        <w:rPr>
          <w:szCs w:val="24"/>
        </w:rPr>
      </w:pPr>
      <w:r w:rsidRPr="002402AE">
        <w:rPr>
          <w:szCs w:val="24"/>
        </w:rPr>
        <w:t>Rivers - 13,22</w:t>
      </w:r>
      <w:r w:rsidR="00DA36B5">
        <w:rPr>
          <w:szCs w:val="24"/>
        </w:rPr>
        <w:t>4</w:t>
      </w:r>
      <w:r w:rsidRPr="002402AE">
        <w:rPr>
          <w:szCs w:val="24"/>
        </w:rPr>
        <w:t xml:space="preserve"> miles</w:t>
      </w:r>
    </w:p>
    <w:p w14:paraId="73A4E00C" w14:textId="77777777" w:rsidR="002402AE" w:rsidRPr="002402AE" w:rsidRDefault="002402AE" w:rsidP="002402AE">
      <w:pPr>
        <w:rPr>
          <w:szCs w:val="24"/>
        </w:rPr>
      </w:pPr>
      <w:r w:rsidRPr="002402AE">
        <w:rPr>
          <w:szCs w:val="24"/>
        </w:rPr>
        <w:t>Lakes - 4,242 acres</w:t>
      </w:r>
    </w:p>
    <w:p w14:paraId="7619B08E" w14:textId="1810A564" w:rsidR="00546B19" w:rsidRDefault="002402AE" w:rsidP="002402AE">
      <w:pPr>
        <w:rPr>
          <w:b/>
          <w:szCs w:val="24"/>
        </w:rPr>
      </w:pPr>
      <w:r w:rsidRPr="002402AE">
        <w:rPr>
          <w:szCs w:val="24"/>
        </w:rPr>
        <w:t xml:space="preserve">Estuaries - </w:t>
      </w:r>
      <w:r w:rsidR="005071EF">
        <w:rPr>
          <w:szCs w:val="24"/>
        </w:rPr>
        <w:t>59</w:t>
      </w:r>
      <w:r w:rsidRPr="002402AE">
        <w:rPr>
          <w:szCs w:val="24"/>
        </w:rPr>
        <w:t xml:space="preserve"> sq. miles</w:t>
      </w:r>
    </w:p>
    <w:p w14:paraId="52971FA9" w14:textId="7C71CD6E" w:rsidR="00546B19" w:rsidRDefault="00546B19" w:rsidP="00546B19">
      <w:pPr>
        <w:rPr>
          <w:b/>
          <w:szCs w:val="24"/>
        </w:rPr>
      </w:pPr>
    </w:p>
    <w:p w14:paraId="2A7AC518" w14:textId="12C9895C" w:rsidR="00553C50" w:rsidRDefault="005E40AF" w:rsidP="00553C50">
      <w:pPr>
        <w:keepNext/>
      </w:pPr>
      <w:r>
        <w:rPr>
          <w:noProof/>
        </w:rPr>
        <w:lastRenderedPageBreak/>
        <w:drawing>
          <wp:inline distT="0" distB="0" distL="0" distR="0" wp14:anchorId="58A74CD6" wp14:editId="7FE57862">
            <wp:extent cx="5334000" cy="3810000"/>
            <wp:effectExtent l="0" t="0" r="0" b="0"/>
            <wp:docPr id="24" name="Picture" descr="Chart&#10;&#10;Figure 4.3 2. Designated use summary for rivers in the Potomac-Shenandoah River basin (10,238 miles not assessed). "/>
            <wp:cNvGraphicFramePr/>
            <a:graphic xmlns:a="http://schemas.openxmlformats.org/drawingml/2006/main">
              <a:graphicData uri="http://schemas.openxmlformats.org/drawingml/2006/picture">
                <pic:pic xmlns:pic="http://schemas.openxmlformats.org/drawingml/2006/picture">
                  <pic:nvPicPr>
                    <pic:cNvPr id="24" name="Picture" descr="Chart&#10;&#10;Figure 4.3 2. Designated use summary for rivers in the Potomac-Shenandoah River basin (10,238 miles not assessed). "/>
                    <pic:cNvPicPr>
                      <a:picLocks noChangeAspect="1" noChangeArrowheads="1"/>
                    </pic:cNvPicPr>
                  </pic:nvPicPr>
                  <pic:blipFill>
                    <a:blip r:embed="rId145"/>
                    <a:stretch>
                      <a:fillRect/>
                    </a:stretch>
                  </pic:blipFill>
                  <pic:spPr bwMode="auto">
                    <a:xfrm>
                      <a:off x="0" y="0"/>
                      <a:ext cx="5334000" cy="3810000"/>
                    </a:xfrm>
                    <a:prstGeom prst="rect">
                      <a:avLst/>
                    </a:prstGeom>
                    <a:noFill/>
                    <a:ln w="9525">
                      <a:noFill/>
                      <a:headEnd/>
                      <a:tailEnd/>
                    </a:ln>
                  </pic:spPr>
                </pic:pic>
              </a:graphicData>
            </a:graphic>
          </wp:inline>
        </w:drawing>
      </w:r>
    </w:p>
    <w:p w14:paraId="527EAB25" w14:textId="6E016EF7" w:rsidR="00AD7F03" w:rsidRPr="00AD7F03" w:rsidRDefault="00553C50" w:rsidP="00E72262">
      <w:pPr>
        <w:pStyle w:val="Caption"/>
        <w:jc w:val="both"/>
      </w:pPr>
      <w:bookmarkStart w:id="107" w:name="_Toc164175058"/>
      <w:bookmarkStart w:id="108" w:name="_Toc152766233"/>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w:t>
      </w:r>
      <w:r w:rsidR="004F13BA">
        <w:rPr>
          <w:noProof/>
        </w:rPr>
        <w:fldChar w:fldCharType="end"/>
      </w:r>
      <w:r>
        <w:t xml:space="preserve">. </w:t>
      </w:r>
      <w:r w:rsidR="00892A9F" w:rsidRPr="0A5BE548">
        <w:rPr>
          <w:rFonts w:cstheme="minorBidi"/>
        </w:rPr>
        <w:t xml:space="preserve">Designated use summary for rivers </w:t>
      </w:r>
      <w:r w:rsidR="007C4100" w:rsidRPr="0A5BE548">
        <w:rPr>
          <w:rFonts w:cstheme="minorBidi"/>
        </w:rPr>
        <w:t>in the</w:t>
      </w:r>
      <w:r w:rsidRPr="0A5BE548">
        <w:rPr>
          <w:rFonts w:cstheme="minorBidi"/>
        </w:rPr>
        <w:t xml:space="preserve"> </w:t>
      </w:r>
      <w:r w:rsidRPr="0A5BE548">
        <w:t>Potomac-Shenandoah River</w:t>
      </w:r>
      <w:r w:rsidR="6949DEB3" w:rsidRPr="0A5BE548">
        <w:t xml:space="preserve"> </w:t>
      </w:r>
      <w:bookmarkEnd w:id="107"/>
      <w:r>
        <w:t>basin</w:t>
      </w:r>
      <w:bookmarkEnd w:id="108"/>
      <w:r w:rsidR="0099690E">
        <w:t xml:space="preserve"> (</w:t>
      </w:r>
      <w:r w:rsidR="000B1216">
        <w:t xml:space="preserve">10,238 </w:t>
      </w:r>
      <w:r w:rsidR="002425FB">
        <w:t>miles not assessed</w:t>
      </w:r>
      <w:r w:rsidR="0099690E">
        <w:t>)</w:t>
      </w:r>
      <w:r w:rsidR="002425FB">
        <w:t>.</w:t>
      </w:r>
      <w:r w:rsidR="009266EA">
        <w:t xml:space="preserve"> </w:t>
      </w:r>
    </w:p>
    <w:p w14:paraId="1B1DFC47" w14:textId="77777777" w:rsidR="00E72262" w:rsidRPr="00E72262" w:rsidRDefault="00E72262" w:rsidP="00E72262"/>
    <w:p w14:paraId="6097B60A" w14:textId="1030B549" w:rsidR="009266EA" w:rsidRDefault="000728F4" w:rsidP="009266EA">
      <w:pPr>
        <w:keepNext/>
        <w:jc w:val="both"/>
      </w:pPr>
      <w:r>
        <w:rPr>
          <w:noProof/>
        </w:rPr>
        <w:drawing>
          <wp:inline distT="0" distB="0" distL="0" distR="0" wp14:anchorId="37A76632" wp14:editId="713EE6A7">
            <wp:extent cx="5334000" cy="3810000"/>
            <wp:effectExtent l="0" t="0" r="0" b="0"/>
            <wp:docPr id="30" name="Picture" descr="Chart&#10;&#10;Figure 4.3 3. Designated use summary for lakes in the Potomac-Shenandoah River basin (650 acres not assessed). "/>
            <wp:cNvGraphicFramePr/>
            <a:graphic xmlns:a="http://schemas.openxmlformats.org/drawingml/2006/main">
              <a:graphicData uri="http://schemas.openxmlformats.org/drawingml/2006/picture">
                <pic:pic xmlns:pic="http://schemas.openxmlformats.org/drawingml/2006/picture">
                  <pic:nvPicPr>
                    <pic:cNvPr id="30" name="Picture" descr="Chart&#10;&#10;Figure 4.3 3. Designated use summary for lakes in the Potomac-Shenandoah River basin (650 acres not assessed). "/>
                    <pic:cNvPicPr>
                      <a:picLocks noChangeAspect="1" noChangeArrowheads="1"/>
                    </pic:cNvPicPr>
                  </pic:nvPicPr>
                  <pic:blipFill>
                    <a:blip r:embed="rId146"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0B9FA283" w14:textId="1CE6933A" w:rsidR="00AD7F03" w:rsidRPr="00AD7F03" w:rsidRDefault="009266EA" w:rsidP="0A5BE548">
      <w:pPr>
        <w:pStyle w:val="Caption"/>
        <w:jc w:val="both"/>
        <w:rPr>
          <w:b/>
          <w:bCs/>
        </w:rPr>
      </w:pPr>
      <w:bookmarkStart w:id="109" w:name="_Toc164175059"/>
      <w:bookmarkStart w:id="110" w:name="_Toc152766234"/>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3</w:t>
      </w:r>
      <w:r w:rsidR="004F13BA">
        <w:rPr>
          <w:noProof/>
        </w:rPr>
        <w:fldChar w:fldCharType="end"/>
      </w:r>
      <w:r>
        <w:t>.</w:t>
      </w:r>
      <w:r w:rsidRPr="009266EA">
        <w:t xml:space="preserve"> </w:t>
      </w:r>
      <w:r w:rsidR="007C4100" w:rsidRPr="0A5BE548">
        <w:rPr>
          <w:rFonts w:cstheme="minorBidi"/>
        </w:rPr>
        <w:t>Designated</w:t>
      </w:r>
      <w:r w:rsidRPr="0A5BE548">
        <w:rPr>
          <w:rFonts w:cstheme="minorBidi"/>
        </w:rPr>
        <w:t xml:space="preserve"> use summary for </w:t>
      </w:r>
      <w:r w:rsidR="002C3BDE" w:rsidRPr="0A5BE548">
        <w:rPr>
          <w:rFonts w:cstheme="minorBidi"/>
        </w:rPr>
        <w:t>lakes</w:t>
      </w:r>
      <w:r w:rsidR="007C4100" w:rsidRPr="0A5BE548">
        <w:rPr>
          <w:rFonts w:cstheme="minorBidi"/>
        </w:rPr>
        <w:t xml:space="preserve"> in the </w:t>
      </w:r>
      <w:r w:rsidRPr="0A5BE548">
        <w:t>Potomac-Shenandoah River</w:t>
      </w:r>
      <w:bookmarkEnd w:id="109"/>
      <w:r w:rsidR="00E72262">
        <w:rPr>
          <w:szCs w:val="24"/>
        </w:rPr>
        <w:t xml:space="preserve"> </w:t>
      </w:r>
      <w:r>
        <w:t>basin</w:t>
      </w:r>
      <w:r w:rsidR="000B1216">
        <w:t xml:space="preserve"> (</w:t>
      </w:r>
      <w:r w:rsidR="00771249">
        <w:t xml:space="preserve">650 </w:t>
      </w:r>
      <w:r w:rsidR="000B1216">
        <w:t>acres not assessed)</w:t>
      </w:r>
      <w:r>
        <w:t xml:space="preserve">. </w:t>
      </w:r>
      <w:bookmarkEnd w:id="110"/>
    </w:p>
    <w:p w14:paraId="1AEC55E5" w14:textId="7BA85901" w:rsidR="00546B19" w:rsidRDefault="00546B19" w:rsidP="00546B19">
      <w:pPr>
        <w:rPr>
          <w:b/>
          <w:szCs w:val="24"/>
        </w:rPr>
      </w:pPr>
    </w:p>
    <w:p w14:paraId="7D080C84" w14:textId="70AFAC07" w:rsidR="009266EA" w:rsidRDefault="00197A2C" w:rsidP="009266EA">
      <w:pPr>
        <w:keepNext/>
        <w:jc w:val="both"/>
      </w:pPr>
      <w:r>
        <w:rPr>
          <w:noProof/>
        </w:rPr>
        <w:lastRenderedPageBreak/>
        <w:drawing>
          <wp:inline distT="0" distB="0" distL="0" distR="0" wp14:anchorId="1E67768A" wp14:editId="46528332">
            <wp:extent cx="5334000" cy="3810000"/>
            <wp:effectExtent l="0" t="0" r="0" b="0"/>
            <wp:docPr id="698575168" name="Picture" descr="Chart, bar chart&#10;&#10;Figure 4.3 4. Designated use summary for estuaries in the Potomac-Shenandoah River basin (all miles2 assessed)."/>
            <wp:cNvGraphicFramePr/>
            <a:graphic xmlns:a="http://schemas.openxmlformats.org/drawingml/2006/main">
              <a:graphicData uri="http://schemas.openxmlformats.org/drawingml/2006/picture">
                <pic:pic xmlns:pic="http://schemas.openxmlformats.org/drawingml/2006/picture">
                  <pic:nvPicPr>
                    <pic:cNvPr id="698575168" name="Picture" descr="Chart, bar chart&#10;&#10;Figure 4.3 4. Designated use summary for estuaries in the Potomac-Shenandoah River basin (all miles2 assessed)."/>
                    <pic:cNvPicPr>
                      <a:picLocks noChangeAspect="1" noChangeArrowheads="1"/>
                    </pic:cNvPicPr>
                  </pic:nvPicPr>
                  <pic:blipFill>
                    <a:blip r:embed="rId147"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00283707" w14:textId="18533DD1" w:rsidR="00F42B55" w:rsidRPr="0062574F" w:rsidRDefault="009266EA" w:rsidP="0A5BE548">
      <w:pPr>
        <w:pStyle w:val="Caption"/>
        <w:jc w:val="both"/>
        <w:rPr>
          <w:b/>
          <w:bCs/>
        </w:rPr>
      </w:pPr>
      <w:bookmarkStart w:id="111" w:name="_Toc164175060"/>
      <w:bookmarkStart w:id="112" w:name="_Toc152766235"/>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4</w:t>
      </w:r>
      <w:r w:rsidR="004F13BA">
        <w:rPr>
          <w:noProof/>
        </w:rPr>
        <w:fldChar w:fldCharType="end"/>
      </w:r>
      <w:r>
        <w:t>.</w:t>
      </w:r>
      <w:r w:rsidRPr="009266EA">
        <w:t xml:space="preserve"> </w:t>
      </w:r>
      <w:proofErr w:type="gramStart"/>
      <w:r w:rsidR="009A124F">
        <w:t>Designated</w:t>
      </w:r>
      <w:r>
        <w:t xml:space="preserve"> use</w:t>
      </w:r>
      <w:proofErr w:type="gramEnd"/>
      <w:r>
        <w:t xml:space="preserve"> summary for </w:t>
      </w:r>
      <w:r w:rsidR="00490E7E">
        <w:t>estuaries</w:t>
      </w:r>
      <w:r w:rsidR="009A124F">
        <w:t xml:space="preserve"> in the </w:t>
      </w:r>
      <w:r w:rsidRPr="0A5BE548">
        <w:t>Potomac-Shenandoah River</w:t>
      </w:r>
      <w:r w:rsidR="7F30912B" w:rsidRPr="0A5BE548">
        <w:t xml:space="preserve"> </w:t>
      </w:r>
      <w:bookmarkEnd w:id="111"/>
      <w:r>
        <w:t>basin</w:t>
      </w:r>
      <w:r w:rsidR="00C83DC5">
        <w:t xml:space="preserve"> (all miles</w:t>
      </w:r>
      <w:r w:rsidR="00C83DC5" w:rsidRPr="0A5BE548">
        <w:rPr>
          <w:vertAlign w:val="superscript"/>
        </w:rPr>
        <w:t>2</w:t>
      </w:r>
      <w:r w:rsidR="00C83DC5">
        <w:t xml:space="preserve"> assessed)</w:t>
      </w:r>
      <w:r>
        <w:t>.</w:t>
      </w:r>
      <w:bookmarkEnd w:id="112"/>
    </w:p>
    <w:p w14:paraId="3A21A329" w14:textId="46D5B442" w:rsidR="00546B19" w:rsidRPr="00692845" w:rsidRDefault="00546B19" w:rsidP="00692845">
      <w:pPr>
        <w:rPr>
          <w:b/>
          <w:szCs w:val="24"/>
        </w:rPr>
      </w:pPr>
    </w:p>
    <w:p w14:paraId="6CC8465D" w14:textId="53FB7701" w:rsidR="009266EA" w:rsidRDefault="00A33153" w:rsidP="009266EA">
      <w:pPr>
        <w:keepNext/>
        <w:jc w:val="both"/>
      </w:pPr>
      <w:r>
        <w:rPr>
          <w:noProof/>
        </w:rPr>
        <w:drawing>
          <wp:inline distT="0" distB="0" distL="0" distR="0" wp14:anchorId="7111498D" wp14:editId="62DE0289">
            <wp:extent cx="5334000" cy="3810000"/>
            <wp:effectExtent l="0" t="0" r="0" b="0"/>
            <wp:docPr id="42" name="Picture" descr="Chart, bar chart&#10;&#10;Figure 4.3 5. Chesapeake Bay-specific designated use summary for the Potomac-Shenandoah River basin. "/>
            <wp:cNvGraphicFramePr/>
            <a:graphic xmlns:a="http://schemas.openxmlformats.org/drawingml/2006/main">
              <a:graphicData uri="http://schemas.openxmlformats.org/drawingml/2006/picture">
                <pic:pic xmlns:pic="http://schemas.openxmlformats.org/drawingml/2006/picture">
                  <pic:nvPicPr>
                    <pic:cNvPr id="42" name="Picture" descr="Chart, bar chart&#10;&#10;Figure 4.3 5. Chesapeake Bay-specific designated use summary for the Potomac-Shenandoah River basin. "/>
                    <pic:cNvPicPr>
                      <a:picLocks noChangeAspect="1" noChangeArrowheads="1"/>
                    </pic:cNvPicPr>
                  </pic:nvPicPr>
                  <pic:blipFill>
                    <a:blip r:embed="rId148"/>
                    <a:stretch>
                      <a:fillRect/>
                    </a:stretch>
                  </pic:blipFill>
                  <pic:spPr bwMode="auto">
                    <a:xfrm>
                      <a:off x="0" y="0"/>
                      <a:ext cx="5334000" cy="3810000"/>
                    </a:xfrm>
                    <a:prstGeom prst="rect">
                      <a:avLst/>
                    </a:prstGeom>
                    <a:noFill/>
                    <a:ln w="9525">
                      <a:noFill/>
                      <a:headEnd/>
                      <a:tailEnd/>
                    </a:ln>
                  </pic:spPr>
                </pic:pic>
              </a:graphicData>
            </a:graphic>
          </wp:inline>
        </w:drawing>
      </w:r>
    </w:p>
    <w:p w14:paraId="577AF660" w14:textId="34DB42B4" w:rsidR="00F42B55" w:rsidRPr="0062574F" w:rsidRDefault="009266EA" w:rsidP="0A5BE548">
      <w:pPr>
        <w:pStyle w:val="Caption"/>
        <w:jc w:val="both"/>
        <w:rPr>
          <w:rFonts w:cstheme="minorBidi"/>
        </w:rPr>
      </w:pPr>
      <w:bookmarkStart w:id="113" w:name="_Toc164175061"/>
      <w:bookmarkStart w:id="114" w:name="_Toc152766236"/>
      <w:r w:rsidRPr="0A5BE548">
        <w:rPr>
          <w:rFonts w:cstheme="minorBidi"/>
        </w:rPr>
        <w:t xml:space="preserve">Figure </w:t>
      </w:r>
      <w:r w:rsidR="00E429BB" w:rsidRPr="0A5BE548">
        <w:rPr>
          <w:rFonts w:cstheme="minorBidi"/>
        </w:rPr>
        <w:fldChar w:fldCharType="begin"/>
      </w:r>
      <w:r w:rsidR="00E429BB" w:rsidRPr="0A5BE548">
        <w:rPr>
          <w:rFonts w:cstheme="minorBidi"/>
        </w:rPr>
        <w:instrText xml:space="preserve"> STYLEREF 2 \s </w:instrText>
      </w:r>
      <w:r w:rsidR="00E429BB" w:rsidRPr="0A5BE548">
        <w:rPr>
          <w:rFonts w:cstheme="minorBidi"/>
        </w:rPr>
        <w:fldChar w:fldCharType="separate"/>
      </w:r>
      <w:r w:rsidR="00E429BB" w:rsidRPr="0A5BE548">
        <w:rPr>
          <w:rFonts w:cstheme="minorBidi"/>
          <w:noProof/>
        </w:rPr>
        <w:t>4.3</w:t>
      </w:r>
      <w:r w:rsidR="00E429BB" w:rsidRPr="0A5BE548">
        <w:rPr>
          <w:rFonts w:cstheme="minorBidi"/>
        </w:rPr>
        <w:fldChar w:fldCharType="end"/>
      </w:r>
      <w:r w:rsidR="00E429BB">
        <w:rPr>
          <w:rFonts w:cstheme="minorHAnsi"/>
        </w:rPr>
        <w:noBreakHyphen/>
      </w:r>
      <w:r w:rsidR="00E429BB" w:rsidRPr="0A5BE548">
        <w:rPr>
          <w:rFonts w:cstheme="minorBidi"/>
        </w:rPr>
        <w:fldChar w:fldCharType="begin"/>
      </w:r>
      <w:r w:rsidR="00E429BB" w:rsidRPr="0A5BE548">
        <w:rPr>
          <w:rFonts w:cstheme="minorBidi"/>
        </w:rPr>
        <w:instrText xml:space="preserve"> SEQ Figure \* ARABIC \s 2 </w:instrText>
      </w:r>
      <w:r w:rsidR="00E429BB" w:rsidRPr="0A5BE548">
        <w:rPr>
          <w:rFonts w:cstheme="minorBidi"/>
        </w:rPr>
        <w:fldChar w:fldCharType="separate"/>
      </w:r>
      <w:r w:rsidR="00E429BB" w:rsidRPr="0A5BE548">
        <w:rPr>
          <w:rFonts w:cstheme="minorBidi"/>
          <w:noProof/>
        </w:rPr>
        <w:t>5</w:t>
      </w:r>
      <w:r w:rsidR="00E429BB" w:rsidRPr="0A5BE548">
        <w:rPr>
          <w:rFonts w:cstheme="minorBidi"/>
        </w:rPr>
        <w:fldChar w:fldCharType="end"/>
      </w:r>
      <w:r w:rsidRPr="0A5BE548">
        <w:rPr>
          <w:rFonts w:cstheme="minorBidi"/>
        </w:rPr>
        <w:t xml:space="preserve">. </w:t>
      </w:r>
      <w:r w:rsidR="002C4BF2">
        <w:t>Chesapeake Bay-specific designated use summary</w:t>
      </w:r>
      <w:r w:rsidR="002C4BF2" w:rsidRPr="0A5BE548">
        <w:rPr>
          <w:rFonts w:cstheme="minorBidi"/>
        </w:rPr>
        <w:t xml:space="preserve"> </w:t>
      </w:r>
      <w:r w:rsidR="008D2E9F" w:rsidRPr="0A5BE548">
        <w:rPr>
          <w:rFonts w:cstheme="minorBidi"/>
        </w:rPr>
        <w:t>for</w:t>
      </w:r>
      <w:r w:rsidR="00023534" w:rsidRPr="0A5BE548">
        <w:rPr>
          <w:rFonts w:cstheme="minorBidi"/>
        </w:rPr>
        <w:t xml:space="preserve"> the</w:t>
      </w:r>
      <w:r w:rsidRPr="0A5BE548">
        <w:rPr>
          <w:rFonts w:cstheme="minorBidi"/>
        </w:rPr>
        <w:t xml:space="preserve"> Potomac-Shenandoah River</w:t>
      </w:r>
      <w:r w:rsidR="21AB8692" w:rsidRPr="0A5BE548">
        <w:rPr>
          <w:rFonts w:cstheme="minorBidi"/>
        </w:rPr>
        <w:t xml:space="preserve"> </w:t>
      </w:r>
      <w:bookmarkEnd w:id="113"/>
      <w:r w:rsidRPr="0A5BE548">
        <w:rPr>
          <w:rFonts w:cstheme="minorBidi"/>
        </w:rPr>
        <w:t xml:space="preserve">basin. </w:t>
      </w:r>
      <w:bookmarkEnd w:id="114"/>
    </w:p>
    <w:p w14:paraId="13528765" w14:textId="77777777" w:rsidR="00E72262" w:rsidRPr="00E72262" w:rsidRDefault="00E72262" w:rsidP="00E72262"/>
    <w:p w14:paraId="234AAB46" w14:textId="77777777" w:rsidR="00546B19" w:rsidRPr="00D730B7" w:rsidRDefault="00546B19" w:rsidP="00546B19">
      <w:pPr>
        <w:tabs>
          <w:tab w:val="left" w:pos="0"/>
        </w:tabs>
        <w:jc w:val="both"/>
        <w:rPr>
          <w:b/>
          <w:szCs w:val="24"/>
        </w:rPr>
      </w:pPr>
    </w:p>
    <w:p w14:paraId="19CFA0FB" w14:textId="1EBC47E9" w:rsidR="0062574F" w:rsidRPr="0062574F" w:rsidRDefault="00692845" w:rsidP="00692845">
      <w:pPr>
        <w:pStyle w:val="Caption"/>
        <w:keepNext/>
      </w:pPr>
      <w:bookmarkStart w:id="115" w:name="_Toc164175165"/>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w:t>
      </w:r>
      <w:r w:rsidR="004F13BA">
        <w:rPr>
          <w:noProof/>
        </w:rPr>
        <w:fldChar w:fldCharType="end"/>
      </w:r>
      <w:r>
        <w:t xml:space="preserve">. </w:t>
      </w:r>
      <w:r w:rsidRPr="0A5BE548">
        <w:t xml:space="preserve">Significant causes </w:t>
      </w:r>
      <w:proofErr w:type="gramStart"/>
      <w:r w:rsidRPr="0A5BE548">
        <w:t>of use</w:t>
      </w:r>
      <w:proofErr w:type="gramEnd"/>
      <w:r w:rsidRPr="0A5BE548">
        <w:t xml:space="preserve"> impairment in the Potomac-Shenandoah River</w:t>
      </w:r>
      <w:r w:rsidR="6A2B0418" w:rsidRPr="0A5BE548">
        <w:t xml:space="preserve"> </w:t>
      </w:r>
      <w:bookmarkEnd w:id="115"/>
      <w:r>
        <w:t>basin, by waterbody type, ranked by percentage of impaired water size (note: Waters may have multiple pollutants).</w:t>
      </w:r>
    </w:p>
    <w:tbl>
      <w:tblPr>
        <w:tblStyle w:val="TableGrid"/>
        <w:tblW w:w="9734" w:type="dxa"/>
        <w:tblCellMar>
          <w:left w:w="115" w:type="dxa"/>
          <w:right w:w="115" w:type="dxa"/>
        </w:tblCellMar>
        <w:tblLook w:val="04A0" w:firstRow="1" w:lastRow="0" w:firstColumn="1" w:lastColumn="0" w:noHBand="0" w:noVBand="1"/>
        <w:tblCaption w:val="Table of Potomac-Shenandoah River Basin Significant Causes of Designated Use Impairment"/>
        <w:tblDescription w:val="Potomac-Shenandoah River Basin significant causes of Deginated use impairment for rivers, lakes, and estuaries ranked by percent of impaired water size"/>
      </w:tblPr>
      <w:tblGrid>
        <w:gridCol w:w="2523"/>
        <w:gridCol w:w="623"/>
        <w:gridCol w:w="2373"/>
        <w:gridCol w:w="722"/>
        <w:gridCol w:w="2681"/>
        <w:gridCol w:w="812"/>
      </w:tblGrid>
      <w:tr w:rsidR="00546B19" w:rsidRPr="00D730B7" w14:paraId="07B642A8" w14:textId="77777777" w:rsidTr="004B26BC">
        <w:trPr>
          <w:cantSplit/>
          <w:trHeight w:val="360"/>
          <w:tblHeader/>
        </w:trPr>
        <w:tc>
          <w:tcPr>
            <w:tcW w:w="1616" w:type="pct"/>
            <w:gridSpan w:val="2"/>
            <w:vAlign w:val="center"/>
          </w:tcPr>
          <w:p w14:paraId="02997393" w14:textId="77777777" w:rsidR="00546B19" w:rsidRPr="00BF1AD0" w:rsidRDefault="00546B19" w:rsidP="00212C1B">
            <w:pPr>
              <w:jc w:val="center"/>
              <w:rPr>
                <w:b/>
                <w:iCs/>
                <w:sz w:val="22"/>
                <w:szCs w:val="22"/>
              </w:rPr>
            </w:pPr>
            <w:r w:rsidRPr="00BF1AD0">
              <w:rPr>
                <w:b/>
                <w:iCs/>
                <w:sz w:val="22"/>
                <w:szCs w:val="22"/>
              </w:rPr>
              <w:t>Rivers</w:t>
            </w:r>
          </w:p>
        </w:tc>
        <w:tc>
          <w:tcPr>
            <w:tcW w:w="1590" w:type="pct"/>
            <w:gridSpan w:val="2"/>
            <w:vAlign w:val="center"/>
          </w:tcPr>
          <w:p w14:paraId="53F38B65" w14:textId="77777777" w:rsidR="00546B19" w:rsidRPr="00BF1AD0" w:rsidRDefault="00546B19" w:rsidP="00212C1B">
            <w:pPr>
              <w:jc w:val="center"/>
              <w:rPr>
                <w:b/>
                <w:iCs/>
                <w:sz w:val="22"/>
                <w:szCs w:val="22"/>
              </w:rPr>
            </w:pPr>
            <w:r w:rsidRPr="00BF1AD0">
              <w:rPr>
                <w:b/>
                <w:iCs/>
                <w:sz w:val="22"/>
                <w:szCs w:val="22"/>
              </w:rPr>
              <w:t>Lakes</w:t>
            </w:r>
          </w:p>
        </w:tc>
        <w:tc>
          <w:tcPr>
            <w:tcW w:w="1794" w:type="pct"/>
            <w:gridSpan w:val="2"/>
            <w:vAlign w:val="center"/>
          </w:tcPr>
          <w:p w14:paraId="413775FD" w14:textId="77777777" w:rsidR="00546B19" w:rsidRPr="00BF1AD0" w:rsidRDefault="00546B19" w:rsidP="00212C1B">
            <w:pPr>
              <w:jc w:val="center"/>
              <w:rPr>
                <w:b/>
                <w:iCs/>
                <w:sz w:val="22"/>
                <w:szCs w:val="22"/>
              </w:rPr>
            </w:pPr>
            <w:r w:rsidRPr="00BF1AD0">
              <w:rPr>
                <w:b/>
                <w:iCs/>
                <w:sz w:val="22"/>
                <w:szCs w:val="22"/>
              </w:rPr>
              <w:t>Estuaries</w:t>
            </w:r>
          </w:p>
        </w:tc>
      </w:tr>
      <w:tr w:rsidR="00CA4160" w:rsidRPr="00D730B7" w14:paraId="2F515D45" w14:textId="77777777" w:rsidTr="004B26BC">
        <w:trPr>
          <w:cantSplit/>
          <w:trHeight w:val="360"/>
        </w:trPr>
        <w:tc>
          <w:tcPr>
            <w:tcW w:w="1296" w:type="pct"/>
            <w:vAlign w:val="center"/>
          </w:tcPr>
          <w:p w14:paraId="7627CF0A" w14:textId="11A029E3" w:rsidR="00AC041E" w:rsidRPr="00BF1AD0" w:rsidRDefault="00AC041E" w:rsidP="00212C1B">
            <w:pPr>
              <w:jc w:val="center"/>
              <w:rPr>
                <w:b/>
                <w:sz w:val="22"/>
                <w:szCs w:val="22"/>
              </w:rPr>
            </w:pPr>
            <w:r w:rsidRPr="00BF1AD0">
              <w:rPr>
                <w:rFonts w:ascii="Calibri" w:hAnsi="Calibri" w:cs="Calibri"/>
                <w:color w:val="000000"/>
                <w:sz w:val="22"/>
                <w:szCs w:val="22"/>
              </w:rPr>
              <w:t>Bacteria</w:t>
            </w:r>
          </w:p>
        </w:tc>
        <w:tc>
          <w:tcPr>
            <w:tcW w:w="320" w:type="pct"/>
            <w:vAlign w:val="center"/>
          </w:tcPr>
          <w:p w14:paraId="703EB2AF" w14:textId="675376C3" w:rsidR="00AC041E" w:rsidRPr="00BF1AD0" w:rsidRDefault="00AC041E" w:rsidP="00212C1B">
            <w:pPr>
              <w:jc w:val="center"/>
              <w:rPr>
                <w:sz w:val="22"/>
                <w:szCs w:val="22"/>
              </w:rPr>
            </w:pPr>
            <w:r w:rsidRPr="00BF1AD0">
              <w:rPr>
                <w:rFonts w:ascii="Calibri" w:hAnsi="Calibri" w:cs="Calibri"/>
                <w:color w:val="000000"/>
                <w:sz w:val="22"/>
                <w:szCs w:val="22"/>
              </w:rPr>
              <w:t>84%</w:t>
            </w:r>
          </w:p>
        </w:tc>
        <w:tc>
          <w:tcPr>
            <w:tcW w:w="1219" w:type="pct"/>
            <w:vAlign w:val="center"/>
          </w:tcPr>
          <w:p w14:paraId="3059CDC0" w14:textId="6E0D9E13" w:rsidR="00AC041E" w:rsidRPr="00BF1AD0" w:rsidRDefault="00AC041E" w:rsidP="00212C1B">
            <w:pPr>
              <w:jc w:val="center"/>
              <w:rPr>
                <w:b/>
                <w:sz w:val="22"/>
                <w:szCs w:val="22"/>
              </w:rPr>
            </w:pPr>
            <w:r w:rsidRPr="00BF1AD0">
              <w:rPr>
                <w:rFonts w:ascii="Calibri" w:hAnsi="Calibri" w:cs="Calibri"/>
                <w:color w:val="000000"/>
                <w:sz w:val="22"/>
                <w:szCs w:val="22"/>
              </w:rPr>
              <w:t>PCBs in Fish Tissue</w:t>
            </w:r>
          </w:p>
        </w:tc>
        <w:tc>
          <w:tcPr>
            <w:tcW w:w="371" w:type="pct"/>
            <w:vAlign w:val="center"/>
          </w:tcPr>
          <w:p w14:paraId="00370111" w14:textId="6B0F2772" w:rsidR="00AC041E" w:rsidRPr="00BF1AD0" w:rsidRDefault="00AC041E" w:rsidP="00212C1B">
            <w:pPr>
              <w:jc w:val="center"/>
              <w:rPr>
                <w:sz w:val="22"/>
                <w:szCs w:val="22"/>
              </w:rPr>
            </w:pPr>
            <w:r w:rsidRPr="00BF1AD0">
              <w:rPr>
                <w:rFonts w:ascii="Calibri" w:hAnsi="Calibri" w:cs="Calibri"/>
                <w:color w:val="000000"/>
                <w:sz w:val="22"/>
                <w:szCs w:val="22"/>
              </w:rPr>
              <w:t>74%</w:t>
            </w:r>
          </w:p>
        </w:tc>
        <w:tc>
          <w:tcPr>
            <w:tcW w:w="1377" w:type="pct"/>
            <w:vAlign w:val="center"/>
          </w:tcPr>
          <w:p w14:paraId="59309322" w14:textId="23B80D14" w:rsidR="00AC041E" w:rsidRPr="00BF1AD0" w:rsidRDefault="00AC041E" w:rsidP="00212C1B">
            <w:pPr>
              <w:jc w:val="center"/>
              <w:rPr>
                <w:b/>
                <w:sz w:val="22"/>
                <w:szCs w:val="22"/>
              </w:rPr>
            </w:pPr>
            <w:r w:rsidRPr="00BF1AD0">
              <w:rPr>
                <w:rFonts w:ascii="Calibri" w:hAnsi="Calibri" w:cs="Calibri"/>
                <w:color w:val="000000"/>
                <w:sz w:val="22"/>
                <w:szCs w:val="22"/>
              </w:rPr>
              <w:t>PCBs in Fish Tissue</w:t>
            </w:r>
          </w:p>
        </w:tc>
        <w:tc>
          <w:tcPr>
            <w:tcW w:w="417" w:type="pct"/>
            <w:vAlign w:val="center"/>
          </w:tcPr>
          <w:p w14:paraId="378974C4" w14:textId="738974BE" w:rsidR="00AC041E" w:rsidRPr="00BF1AD0" w:rsidRDefault="00975E17" w:rsidP="00212C1B">
            <w:pPr>
              <w:jc w:val="center"/>
              <w:rPr>
                <w:sz w:val="22"/>
                <w:szCs w:val="22"/>
              </w:rPr>
            </w:pPr>
            <w:r>
              <w:rPr>
                <w:rFonts w:ascii="Calibri" w:hAnsi="Calibri" w:cs="Calibri"/>
                <w:color w:val="000000"/>
                <w:sz w:val="22"/>
                <w:szCs w:val="22"/>
              </w:rPr>
              <w:t>60</w:t>
            </w:r>
            <w:r w:rsidR="00AC041E" w:rsidRPr="00BF1AD0">
              <w:rPr>
                <w:rFonts w:ascii="Calibri" w:hAnsi="Calibri" w:cs="Calibri"/>
                <w:color w:val="000000"/>
                <w:sz w:val="22"/>
                <w:szCs w:val="22"/>
              </w:rPr>
              <w:t>%</w:t>
            </w:r>
          </w:p>
        </w:tc>
      </w:tr>
      <w:tr w:rsidR="00CA4160" w:rsidRPr="00D730B7" w14:paraId="044E8B49" w14:textId="77777777" w:rsidTr="004B26BC">
        <w:trPr>
          <w:cantSplit/>
          <w:trHeight w:val="360"/>
        </w:trPr>
        <w:tc>
          <w:tcPr>
            <w:tcW w:w="1296" w:type="pct"/>
            <w:vAlign w:val="center"/>
          </w:tcPr>
          <w:p w14:paraId="5F73E047" w14:textId="597DE780" w:rsidR="00AC041E" w:rsidRPr="00BF1AD0" w:rsidRDefault="00AC041E" w:rsidP="00212C1B">
            <w:pPr>
              <w:jc w:val="center"/>
              <w:rPr>
                <w:b/>
                <w:sz w:val="22"/>
                <w:szCs w:val="22"/>
              </w:rPr>
            </w:pPr>
            <w:r w:rsidRPr="00BF1AD0">
              <w:rPr>
                <w:rFonts w:ascii="Calibri" w:hAnsi="Calibri" w:cs="Calibri"/>
                <w:color w:val="000000"/>
                <w:sz w:val="22"/>
                <w:szCs w:val="22"/>
              </w:rPr>
              <w:t>Impaired Benthics</w:t>
            </w:r>
          </w:p>
        </w:tc>
        <w:tc>
          <w:tcPr>
            <w:tcW w:w="320" w:type="pct"/>
            <w:vAlign w:val="center"/>
          </w:tcPr>
          <w:p w14:paraId="7B6FF72E" w14:textId="01B569E5" w:rsidR="00AC041E" w:rsidRPr="00BF1AD0" w:rsidRDefault="00AC041E" w:rsidP="00212C1B">
            <w:pPr>
              <w:jc w:val="center"/>
              <w:rPr>
                <w:sz w:val="22"/>
                <w:szCs w:val="22"/>
              </w:rPr>
            </w:pPr>
            <w:r w:rsidRPr="00BF1AD0">
              <w:rPr>
                <w:rFonts w:ascii="Calibri" w:hAnsi="Calibri" w:cs="Calibri"/>
                <w:color w:val="000000"/>
                <w:sz w:val="22"/>
                <w:szCs w:val="22"/>
              </w:rPr>
              <w:t>33%</w:t>
            </w:r>
          </w:p>
        </w:tc>
        <w:tc>
          <w:tcPr>
            <w:tcW w:w="1219" w:type="pct"/>
            <w:vAlign w:val="center"/>
          </w:tcPr>
          <w:p w14:paraId="116A956D" w14:textId="201DFAA1" w:rsidR="00AC041E" w:rsidRPr="00BF1AD0" w:rsidRDefault="00AC041E" w:rsidP="00212C1B">
            <w:pPr>
              <w:jc w:val="center"/>
              <w:rPr>
                <w:b/>
                <w:sz w:val="22"/>
                <w:szCs w:val="22"/>
              </w:rPr>
            </w:pPr>
            <w:r w:rsidRPr="00BF1AD0">
              <w:rPr>
                <w:rFonts w:ascii="Calibri" w:hAnsi="Calibri" w:cs="Calibri"/>
                <w:color w:val="000000"/>
                <w:sz w:val="22"/>
                <w:szCs w:val="22"/>
              </w:rPr>
              <w:t>Dissolved Oxygen</w:t>
            </w:r>
          </w:p>
        </w:tc>
        <w:tc>
          <w:tcPr>
            <w:tcW w:w="371" w:type="pct"/>
            <w:vAlign w:val="center"/>
          </w:tcPr>
          <w:p w14:paraId="40F337DC" w14:textId="40D00287" w:rsidR="00AC041E" w:rsidRPr="00BF1AD0" w:rsidRDefault="00AC041E" w:rsidP="00212C1B">
            <w:pPr>
              <w:jc w:val="center"/>
              <w:rPr>
                <w:sz w:val="22"/>
                <w:szCs w:val="22"/>
              </w:rPr>
            </w:pPr>
            <w:r w:rsidRPr="00BF1AD0">
              <w:rPr>
                <w:rFonts w:ascii="Calibri" w:hAnsi="Calibri" w:cs="Calibri"/>
                <w:color w:val="000000"/>
                <w:sz w:val="22"/>
                <w:szCs w:val="22"/>
              </w:rPr>
              <w:t>15%</w:t>
            </w:r>
          </w:p>
        </w:tc>
        <w:tc>
          <w:tcPr>
            <w:tcW w:w="1377" w:type="pct"/>
            <w:vAlign w:val="center"/>
          </w:tcPr>
          <w:p w14:paraId="4DB2D4C7" w14:textId="6762EDA7" w:rsidR="00AC041E" w:rsidRPr="00BF1AD0" w:rsidRDefault="00A05A0F" w:rsidP="00212C1B">
            <w:pPr>
              <w:jc w:val="center"/>
              <w:rPr>
                <w:b/>
                <w:sz w:val="22"/>
                <w:szCs w:val="22"/>
              </w:rPr>
            </w:pPr>
            <w:r w:rsidRPr="00BF1AD0">
              <w:rPr>
                <w:rFonts w:ascii="Calibri" w:hAnsi="Calibri" w:cs="Calibri"/>
                <w:color w:val="000000"/>
                <w:sz w:val="22"/>
                <w:szCs w:val="22"/>
              </w:rPr>
              <w:t>SAV</w:t>
            </w:r>
          </w:p>
        </w:tc>
        <w:tc>
          <w:tcPr>
            <w:tcW w:w="417" w:type="pct"/>
            <w:vAlign w:val="center"/>
          </w:tcPr>
          <w:p w14:paraId="6099B8AC" w14:textId="53FD83CD" w:rsidR="00AC041E" w:rsidRPr="00BF1AD0" w:rsidRDefault="00AC041E" w:rsidP="00212C1B">
            <w:pPr>
              <w:jc w:val="center"/>
              <w:rPr>
                <w:sz w:val="22"/>
                <w:szCs w:val="22"/>
              </w:rPr>
            </w:pPr>
            <w:r w:rsidRPr="00BF1AD0">
              <w:rPr>
                <w:rFonts w:ascii="Calibri" w:hAnsi="Calibri" w:cs="Calibri"/>
                <w:color w:val="000000"/>
                <w:sz w:val="22"/>
                <w:szCs w:val="22"/>
              </w:rPr>
              <w:t>56%</w:t>
            </w:r>
          </w:p>
        </w:tc>
      </w:tr>
      <w:tr w:rsidR="00CA4160" w:rsidRPr="00D730B7" w14:paraId="0E7F8EC3" w14:textId="77777777" w:rsidTr="004B26BC">
        <w:trPr>
          <w:cantSplit/>
          <w:trHeight w:val="360"/>
        </w:trPr>
        <w:tc>
          <w:tcPr>
            <w:tcW w:w="1296" w:type="pct"/>
            <w:vAlign w:val="center"/>
          </w:tcPr>
          <w:p w14:paraId="5442191B" w14:textId="48EBB581" w:rsidR="00AC041E" w:rsidRPr="00BF1AD0" w:rsidRDefault="00AC041E" w:rsidP="00212C1B">
            <w:pPr>
              <w:jc w:val="center"/>
              <w:rPr>
                <w:b/>
                <w:sz w:val="22"/>
                <w:szCs w:val="22"/>
              </w:rPr>
            </w:pPr>
            <w:r w:rsidRPr="00BF1AD0">
              <w:rPr>
                <w:rFonts w:ascii="Calibri" w:hAnsi="Calibri" w:cs="Calibri"/>
                <w:color w:val="000000"/>
                <w:sz w:val="22"/>
                <w:szCs w:val="22"/>
              </w:rPr>
              <w:t>pH</w:t>
            </w:r>
          </w:p>
        </w:tc>
        <w:tc>
          <w:tcPr>
            <w:tcW w:w="320" w:type="pct"/>
            <w:vAlign w:val="center"/>
          </w:tcPr>
          <w:p w14:paraId="06C9F362" w14:textId="11F5803D" w:rsidR="00AC041E" w:rsidRPr="00BF1AD0" w:rsidRDefault="00AC041E" w:rsidP="00212C1B">
            <w:pPr>
              <w:jc w:val="center"/>
              <w:rPr>
                <w:sz w:val="22"/>
                <w:szCs w:val="22"/>
              </w:rPr>
            </w:pPr>
            <w:r w:rsidRPr="00BF1AD0">
              <w:rPr>
                <w:rFonts w:ascii="Calibri" w:hAnsi="Calibri" w:cs="Calibri"/>
                <w:color w:val="000000"/>
                <w:sz w:val="22"/>
                <w:szCs w:val="22"/>
              </w:rPr>
              <w:t>8%</w:t>
            </w:r>
          </w:p>
        </w:tc>
        <w:tc>
          <w:tcPr>
            <w:tcW w:w="1219" w:type="pct"/>
            <w:vAlign w:val="center"/>
          </w:tcPr>
          <w:p w14:paraId="0C8AB086" w14:textId="4DAC6A27" w:rsidR="00AC041E" w:rsidRPr="00BF1AD0" w:rsidRDefault="00AC041E" w:rsidP="00212C1B">
            <w:pPr>
              <w:jc w:val="center"/>
              <w:rPr>
                <w:b/>
                <w:sz w:val="22"/>
                <w:szCs w:val="22"/>
              </w:rPr>
            </w:pPr>
            <w:r w:rsidRPr="00BF1AD0">
              <w:rPr>
                <w:rFonts w:ascii="Calibri" w:hAnsi="Calibri" w:cs="Calibri"/>
                <w:color w:val="000000"/>
                <w:sz w:val="22"/>
                <w:szCs w:val="22"/>
              </w:rPr>
              <w:t>Mercury in Fish Tissue</w:t>
            </w:r>
          </w:p>
        </w:tc>
        <w:tc>
          <w:tcPr>
            <w:tcW w:w="371" w:type="pct"/>
            <w:vAlign w:val="center"/>
          </w:tcPr>
          <w:p w14:paraId="3FA2C7D1" w14:textId="501C3B1D" w:rsidR="00AC041E" w:rsidRPr="00BF1AD0" w:rsidRDefault="00AC041E" w:rsidP="00212C1B">
            <w:pPr>
              <w:jc w:val="center"/>
              <w:rPr>
                <w:sz w:val="22"/>
                <w:szCs w:val="22"/>
              </w:rPr>
            </w:pPr>
            <w:r w:rsidRPr="00BF1AD0">
              <w:rPr>
                <w:rFonts w:ascii="Calibri" w:hAnsi="Calibri" w:cs="Calibri"/>
                <w:color w:val="000000"/>
                <w:sz w:val="22"/>
                <w:szCs w:val="22"/>
              </w:rPr>
              <w:t>9%</w:t>
            </w:r>
          </w:p>
        </w:tc>
        <w:tc>
          <w:tcPr>
            <w:tcW w:w="1377" w:type="pct"/>
            <w:vAlign w:val="center"/>
          </w:tcPr>
          <w:p w14:paraId="62D86D2C" w14:textId="781A9279" w:rsidR="00AC041E" w:rsidRPr="00BF1AD0" w:rsidRDefault="00AC041E" w:rsidP="00212C1B">
            <w:pPr>
              <w:jc w:val="center"/>
              <w:rPr>
                <w:b/>
                <w:sz w:val="22"/>
                <w:szCs w:val="22"/>
              </w:rPr>
            </w:pPr>
            <w:r w:rsidRPr="00BF1AD0">
              <w:rPr>
                <w:rFonts w:ascii="Calibri" w:hAnsi="Calibri" w:cs="Calibri"/>
                <w:color w:val="000000"/>
                <w:sz w:val="22"/>
                <w:szCs w:val="22"/>
              </w:rPr>
              <w:t>Bacteria</w:t>
            </w:r>
          </w:p>
        </w:tc>
        <w:tc>
          <w:tcPr>
            <w:tcW w:w="417" w:type="pct"/>
            <w:vAlign w:val="center"/>
          </w:tcPr>
          <w:p w14:paraId="23E11F6E" w14:textId="4930C12F" w:rsidR="00AC041E" w:rsidRPr="00BF1AD0" w:rsidRDefault="00AC041E" w:rsidP="00212C1B">
            <w:pPr>
              <w:jc w:val="center"/>
              <w:rPr>
                <w:sz w:val="22"/>
                <w:szCs w:val="22"/>
              </w:rPr>
            </w:pPr>
            <w:r w:rsidRPr="00BF1AD0">
              <w:rPr>
                <w:rFonts w:ascii="Calibri" w:hAnsi="Calibri" w:cs="Calibri"/>
                <w:color w:val="000000"/>
                <w:sz w:val="22"/>
                <w:szCs w:val="22"/>
              </w:rPr>
              <w:t>25%</w:t>
            </w:r>
          </w:p>
        </w:tc>
      </w:tr>
      <w:tr w:rsidR="00CA4160" w:rsidRPr="00D730B7" w14:paraId="5BDA7587" w14:textId="77777777" w:rsidTr="004B26BC">
        <w:trPr>
          <w:cantSplit/>
          <w:trHeight w:val="360"/>
        </w:trPr>
        <w:tc>
          <w:tcPr>
            <w:tcW w:w="1296" w:type="pct"/>
            <w:vAlign w:val="center"/>
          </w:tcPr>
          <w:p w14:paraId="4E949379" w14:textId="0F4D07D2" w:rsidR="00AC041E" w:rsidRPr="00BF1AD0" w:rsidRDefault="00AC041E" w:rsidP="00212C1B">
            <w:pPr>
              <w:jc w:val="center"/>
              <w:rPr>
                <w:b/>
                <w:sz w:val="22"/>
                <w:szCs w:val="22"/>
              </w:rPr>
            </w:pPr>
            <w:r w:rsidRPr="00BF1AD0">
              <w:rPr>
                <w:rFonts w:ascii="Calibri" w:hAnsi="Calibri" w:cs="Calibri"/>
                <w:color w:val="000000"/>
                <w:sz w:val="22"/>
                <w:szCs w:val="22"/>
              </w:rPr>
              <w:t>Mercury in Fish Tissue</w:t>
            </w:r>
          </w:p>
        </w:tc>
        <w:tc>
          <w:tcPr>
            <w:tcW w:w="320" w:type="pct"/>
            <w:vAlign w:val="center"/>
          </w:tcPr>
          <w:p w14:paraId="34EA717C" w14:textId="0BB83D70" w:rsidR="00AC041E" w:rsidRPr="00BF1AD0" w:rsidRDefault="00AC041E" w:rsidP="00212C1B">
            <w:pPr>
              <w:jc w:val="center"/>
              <w:rPr>
                <w:sz w:val="22"/>
                <w:szCs w:val="22"/>
              </w:rPr>
            </w:pPr>
            <w:r w:rsidRPr="00BF1AD0">
              <w:rPr>
                <w:rFonts w:ascii="Calibri" w:hAnsi="Calibri" w:cs="Calibri"/>
                <w:color w:val="000000"/>
                <w:sz w:val="22"/>
                <w:szCs w:val="22"/>
              </w:rPr>
              <w:t>6%</w:t>
            </w:r>
          </w:p>
        </w:tc>
        <w:tc>
          <w:tcPr>
            <w:tcW w:w="1219" w:type="pct"/>
            <w:vAlign w:val="center"/>
          </w:tcPr>
          <w:p w14:paraId="21106470" w14:textId="147D5B8C" w:rsidR="00AC041E" w:rsidRPr="00BF1AD0" w:rsidRDefault="00AC041E" w:rsidP="00212C1B">
            <w:pPr>
              <w:jc w:val="center"/>
              <w:rPr>
                <w:b/>
                <w:sz w:val="22"/>
                <w:szCs w:val="22"/>
              </w:rPr>
            </w:pPr>
            <w:r w:rsidRPr="00BF1AD0">
              <w:rPr>
                <w:rFonts w:ascii="Calibri" w:hAnsi="Calibri" w:cs="Calibri"/>
                <w:color w:val="000000"/>
                <w:sz w:val="22"/>
                <w:szCs w:val="22"/>
              </w:rPr>
              <w:t>Bacteria</w:t>
            </w:r>
          </w:p>
        </w:tc>
        <w:tc>
          <w:tcPr>
            <w:tcW w:w="371" w:type="pct"/>
            <w:vAlign w:val="center"/>
          </w:tcPr>
          <w:p w14:paraId="0CE9CD9E" w14:textId="3ED9248F" w:rsidR="00AC041E" w:rsidRPr="00BF1AD0" w:rsidRDefault="00AC041E" w:rsidP="00212C1B">
            <w:pPr>
              <w:jc w:val="center"/>
              <w:rPr>
                <w:sz w:val="22"/>
                <w:szCs w:val="22"/>
              </w:rPr>
            </w:pPr>
            <w:r w:rsidRPr="00BF1AD0">
              <w:rPr>
                <w:rFonts w:ascii="Calibri" w:hAnsi="Calibri" w:cs="Calibri"/>
                <w:color w:val="000000"/>
                <w:sz w:val="22"/>
                <w:szCs w:val="22"/>
              </w:rPr>
              <w:t>5%</w:t>
            </w:r>
          </w:p>
        </w:tc>
        <w:tc>
          <w:tcPr>
            <w:tcW w:w="1377" w:type="pct"/>
            <w:vAlign w:val="center"/>
          </w:tcPr>
          <w:p w14:paraId="0081F155" w14:textId="6DCCEA5D" w:rsidR="00AC041E" w:rsidRPr="00BF1AD0" w:rsidRDefault="00AC041E" w:rsidP="00212C1B">
            <w:pPr>
              <w:jc w:val="center"/>
              <w:rPr>
                <w:b/>
                <w:sz w:val="22"/>
                <w:szCs w:val="22"/>
              </w:rPr>
            </w:pPr>
            <w:r w:rsidRPr="00BF1AD0">
              <w:rPr>
                <w:rFonts w:ascii="Calibri" w:hAnsi="Calibri" w:cs="Calibri"/>
                <w:color w:val="000000"/>
                <w:sz w:val="22"/>
                <w:szCs w:val="22"/>
              </w:rPr>
              <w:t>Sediment Bioassay</w:t>
            </w:r>
          </w:p>
        </w:tc>
        <w:tc>
          <w:tcPr>
            <w:tcW w:w="417" w:type="pct"/>
            <w:vAlign w:val="center"/>
          </w:tcPr>
          <w:p w14:paraId="1413EF92" w14:textId="5AF1F513" w:rsidR="00AC041E" w:rsidRPr="00BF1AD0" w:rsidRDefault="00AC041E" w:rsidP="00212C1B">
            <w:pPr>
              <w:jc w:val="center"/>
              <w:rPr>
                <w:sz w:val="22"/>
                <w:szCs w:val="22"/>
              </w:rPr>
            </w:pPr>
            <w:r w:rsidRPr="00BF1AD0">
              <w:rPr>
                <w:rFonts w:ascii="Calibri" w:hAnsi="Calibri" w:cs="Calibri"/>
                <w:color w:val="000000"/>
                <w:sz w:val="22"/>
                <w:szCs w:val="22"/>
              </w:rPr>
              <w:t>10%</w:t>
            </w:r>
          </w:p>
        </w:tc>
      </w:tr>
      <w:tr w:rsidR="00CA4160" w:rsidRPr="00D730B7" w14:paraId="74641104" w14:textId="77777777" w:rsidTr="004B26BC">
        <w:trPr>
          <w:cantSplit/>
          <w:trHeight w:val="360"/>
        </w:trPr>
        <w:tc>
          <w:tcPr>
            <w:tcW w:w="1296" w:type="pct"/>
            <w:vAlign w:val="center"/>
          </w:tcPr>
          <w:p w14:paraId="66DB97F1" w14:textId="262E6CFE" w:rsidR="00AC041E" w:rsidRPr="00BF1AD0" w:rsidRDefault="00AC041E" w:rsidP="00212C1B">
            <w:pPr>
              <w:jc w:val="center"/>
              <w:rPr>
                <w:b/>
                <w:sz w:val="22"/>
                <w:szCs w:val="22"/>
              </w:rPr>
            </w:pPr>
            <w:r w:rsidRPr="00BF1AD0">
              <w:rPr>
                <w:rFonts w:ascii="Calibri" w:hAnsi="Calibri" w:cs="Calibri"/>
                <w:color w:val="000000"/>
                <w:sz w:val="22"/>
                <w:szCs w:val="22"/>
              </w:rPr>
              <w:t>PCBs in Fish Tissue</w:t>
            </w:r>
          </w:p>
        </w:tc>
        <w:tc>
          <w:tcPr>
            <w:tcW w:w="320" w:type="pct"/>
            <w:vAlign w:val="center"/>
          </w:tcPr>
          <w:p w14:paraId="1160DD42" w14:textId="12ED3665" w:rsidR="00AC041E" w:rsidRPr="00BF1AD0" w:rsidRDefault="00AC041E" w:rsidP="00212C1B">
            <w:pPr>
              <w:jc w:val="center"/>
              <w:rPr>
                <w:sz w:val="22"/>
                <w:szCs w:val="22"/>
              </w:rPr>
            </w:pPr>
            <w:r w:rsidRPr="00BF1AD0">
              <w:rPr>
                <w:rFonts w:ascii="Calibri" w:hAnsi="Calibri" w:cs="Calibri"/>
                <w:color w:val="000000"/>
                <w:sz w:val="22"/>
                <w:szCs w:val="22"/>
              </w:rPr>
              <w:t>5%</w:t>
            </w:r>
          </w:p>
        </w:tc>
        <w:tc>
          <w:tcPr>
            <w:tcW w:w="1219" w:type="pct"/>
            <w:vAlign w:val="center"/>
          </w:tcPr>
          <w:p w14:paraId="4C14E53F" w14:textId="7F776A62" w:rsidR="00AC041E" w:rsidRPr="00BF1AD0" w:rsidRDefault="00AC041E" w:rsidP="00212C1B">
            <w:pPr>
              <w:jc w:val="center"/>
              <w:rPr>
                <w:b/>
                <w:sz w:val="22"/>
                <w:szCs w:val="22"/>
              </w:rPr>
            </w:pPr>
            <w:r w:rsidRPr="00BF1AD0">
              <w:rPr>
                <w:rFonts w:ascii="Calibri" w:hAnsi="Calibri" w:cs="Calibri"/>
                <w:color w:val="000000"/>
                <w:sz w:val="22"/>
                <w:szCs w:val="22"/>
              </w:rPr>
              <w:t>pH</w:t>
            </w:r>
          </w:p>
        </w:tc>
        <w:tc>
          <w:tcPr>
            <w:tcW w:w="371" w:type="pct"/>
            <w:vAlign w:val="center"/>
          </w:tcPr>
          <w:p w14:paraId="58AB8B89" w14:textId="0FF554AC" w:rsidR="00AC041E" w:rsidRPr="00BF1AD0" w:rsidRDefault="00AC041E" w:rsidP="00212C1B">
            <w:pPr>
              <w:jc w:val="center"/>
              <w:rPr>
                <w:sz w:val="22"/>
                <w:szCs w:val="22"/>
              </w:rPr>
            </w:pPr>
            <w:r w:rsidRPr="00BF1AD0">
              <w:rPr>
                <w:rFonts w:ascii="Calibri" w:hAnsi="Calibri" w:cs="Calibri"/>
                <w:color w:val="000000"/>
                <w:sz w:val="22"/>
                <w:szCs w:val="22"/>
              </w:rPr>
              <w:t>5%</w:t>
            </w:r>
          </w:p>
        </w:tc>
        <w:tc>
          <w:tcPr>
            <w:tcW w:w="1377" w:type="pct"/>
            <w:vAlign w:val="center"/>
          </w:tcPr>
          <w:p w14:paraId="4814E4F4" w14:textId="040D976C" w:rsidR="00AC041E" w:rsidRPr="00BF1AD0" w:rsidRDefault="00AC041E" w:rsidP="00212C1B">
            <w:pPr>
              <w:jc w:val="center"/>
              <w:rPr>
                <w:b/>
                <w:sz w:val="22"/>
                <w:szCs w:val="22"/>
              </w:rPr>
            </w:pPr>
            <w:r w:rsidRPr="00BF1AD0">
              <w:rPr>
                <w:rFonts w:ascii="Calibri" w:hAnsi="Calibri" w:cs="Calibri"/>
                <w:color w:val="000000"/>
                <w:sz w:val="22"/>
                <w:szCs w:val="22"/>
              </w:rPr>
              <w:t>pH</w:t>
            </w:r>
          </w:p>
        </w:tc>
        <w:tc>
          <w:tcPr>
            <w:tcW w:w="417" w:type="pct"/>
            <w:vAlign w:val="center"/>
          </w:tcPr>
          <w:p w14:paraId="64A04AD7" w14:textId="1A2BC5CD" w:rsidR="00AC041E" w:rsidRPr="00BF1AD0" w:rsidRDefault="00AC041E" w:rsidP="00212C1B">
            <w:pPr>
              <w:jc w:val="center"/>
              <w:rPr>
                <w:sz w:val="22"/>
                <w:szCs w:val="22"/>
              </w:rPr>
            </w:pPr>
            <w:r w:rsidRPr="00BF1AD0">
              <w:rPr>
                <w:rFonts w:ascii="Calibri" w:hAnsi="Calibri" w:cs="Calibri"/>
                <w:color w:val="000000"/>
                <w:sz w:val="22"/>
                <w:szCs w:val="22"/>
              </w:rPr>
              <w:t>1%</w:t>
            </w:r>
          </w:p>
        </w:tc>
      </w:tr>
      <w:tr w:rsidR="00CA4160" w:rsidRPr="00D730B7" w14:paraId="4DF97A3C" w14:textId="77777777" w:rsidTr="004B26BC">
        <w:trPr>
          <w:cantSplit/>
          <w:trHeight w:val="360"/>
        </w:trPr>
        <w:tc>
          <w:tcPr>
            <w:tcW w:w="1296" w:type="pct"/>
            <w:vAlign w:val="center"/>
          </w:tcPr>
          <w:p w14:paraId="3DEDAA68" w14:textId="5E95028D" w:rsidR="00AC041E" w:rsidRPr="00BF1AD0" w:rsidRDefault="00AC041E" w:rsidP="00212C1B">
            <w:pPr>
              <w:jc w:val="center"/>
              <w:rPr>
                <w:b/>
                <w:sz w:val="22"/>
                <w:szCs w:val="22"/>
              </w:rPr>
            </w:pPr>
            <w:r w:rsidRPr="00BF1AD0">
              <w:rPr>
                <w:rFonts w:ascii="Calibri" w:hAnsi="Calibri" w:cs="Calibri"/>
                <w:color w:val="000000"/>
                <w:sz w:val="22"/>
                <w:szCs w:val="22"/>
              </w:rPr>
              <w:t>Temperature</w:t>
            </w:r>
          </w:p>
        </w:tc>
        <w:tc>
          <w:tcPr>
            <w:tcW w:w="320" w:type="pct"/>
            <w:vAlign w:val="center"/>
          </w:tcPr>
          <w:p w14:paraId="61AF3D9B" w14:textId="5F954A53" w:rsidR="00AC041E" w:rsidRPr="00BF1AD0" w:rsidRDefault="00AC041E" w:rsidP="00212C1B">
            <w:pPr>
              <w:jc w:val="center"/>
              <w:rPr>
                <w:sz w:val="22"/>
                <w:szCs w:val="22"/>
              </w:rPr>
            </w:pPr>
            <w:r w:rsidRPr="00BF1AD0">
              <w:rPr>
                <w:rFonts w:ascii="Calibri" w:hAnsi="Calibri" w:cs="Calibri"/>
                <w:color w:val="000000"/>
                <w:sz w:val="22"/>
                <w:szCs w:val="22"/>
              </w:rPr>
              <w:t>2%</w:t>
            </w:r>
          </w:p>
        </w:tc>
        <w:tc>
          <w:tcPr>
            <w:tcW w:w="1219" w:type="pct"/>
            <w:vAlign w:val="center"/>
          </w:tcPr>
          <w:p w14:paraId="1ADB5DBE" w14:textId="62E26CE5" w:rsidR="00AC041E" w:rsidRPr="00BF1AD0" w:rsidRDefault="00AC041E" w:rsidP="00212C1B">
            <w:pPr>
              <w:jc w:val="center"/>
              <w:rPr>
                <w:b/>
                <w:sz w:val="22"/>
                <w:szCs w:val="22"/>
              </w:rPr>
            </w:pPr>
            <w:r w:rsidRPr="00BF1AD0">
              <w:rPr>
                <w:rFonts w:ascii="Calibri" w:hAnsi="Calibri" w:cs="Calibri"/>
                <w:color w:val="000000"/>
                <w:sz w:val="22"/>
                <w:szCs w:val="22"/>
              </w:rPr>
              <w:t>Temperature</w:t>
            </w:r>
          </w:p>
        </w:tc>
        <w:tc>
          <w:tcPr>
            <w:tcW w:w="371" w:type="pct"/>
            <w:vAlign w:val="center"/>
          </w:tcPr>
          <w:p w14:paraId="6CA81438" w14:textId="017F6FA3" w:rsidR="00AC041E" w:rsidRPr="00BF1AD0" w:rsidRDefault="00AC041E" w:rsidP="00212C1B">
            <w:pPr>
              <w:jc w:val="center"/>
              <w:rPr>
                <w:sz w:val="22"/>
                <w:szCs w:val="22"/>
              </w:rPr>
            </w:pPr>
            <w:r w:rsidRPr="00BF1AD0">
              <w:rPr>
                <w:rFonts w:ascii="Calibri" w:hAnsi="Calibri" w:cs="Calibri"/>
                <w:color w:val="000000"/>
                <w:sz w:val="22"/>
                <w:szCs w:val="22"/>
              </w:rPr>
              <w:t>4%</w:t>
            </w:r>
          </w:p>
        </w:tc>
        <w:tc>
          <w:tcPr>
            <w:tcW w:w="1377" w:type="pct"/>
            <w:vAlign w:val="center"/>
          </w:tcPr>
          <w:p w14:paraId="071C8C27" w14:textId="1F195820" w:rsidR="00AC041E" w:rsidRPr="00BF1AD0" w:rsidRDefault="00AC041E" w:rsidP="00212C1B">
            <w:pPr>
              <w:jc w:val="center"/>
              <w:rPr>
                <w:b/>
                <w:sz w:val="22"/>
                <w:szCs w:val="22"/>
              </w:rPr>
            </w:pPr>
            <w:r w:rsidRPr="00BF1AD0">
              <w:rPr>
                <w:rFonts w:ascii="Calibri" w:hAnsi="Calibri" w:cs="Calibri"/>
                <w:color w:val="000000"/>
                <w:sz w:val="22"/>
                <w:szCs w:val="22"/>
              </w:rPr>
              <w:t>Estuarine Bioassessments</w:t>
            </w:r>
          </w:p>
        </w:tc>
        <w:tc>
          <w:tcPr>
            <w:tcW w:w="417" w:type="pct"/>
            <w:vAlign w:val="center"/>
          </w:tcPr>
          <w:p w14:paraId="6D39658B" w14:textId="444300F7" w:rsidR="00AC041E" w:rsidRPr="00BF1AD0" w:rsidRDefault="00AC041E" w:rsidP="00212C1B">
            <w:pPr>
              <w:jc w:val="center"/>
              <w:rPr>
                <w:sz w:val="22"/>
                <w:szCs w:val="22"/>
              </w:rPr>
            </w:pPr>
            <w:r w:rsidRPr="00BF1AD0">
              <w:rPr>
                <w:rFonts w:ascii="Calibri" w:hAnsi="Calibri" w:cs="Calibri"/>
                <w:color w:val="000000"/>
                <w:sz w:val="22"/>
                <w:szCs w:val="22"/>
              </w:rPr>
              <w:t>1%</w:t>
            </w:r>
          </w:p>
        </w:tc>
      </w:tr>
    </w:tbl>
    <w:p w14:paraId="1DF123E4" w14:textId="2368FDD3" w:rsidR="00546B19" w:rsidRDefault="00546B19" w:rsidP="00546B19">
      <w:pPr>
        <w:rPr>
          <w:b/>
          <w:bCs/>
          <w:szCs w:val="24"/>
        </w:rPr>
      </w:pPr>
    </w:p>
    <w:p w14:paraId="1C0F54BD" w14:textId="3C078298" w:rsidR="0062574F" w:rsidRPr="0062574F" w:rsidRDefault="00692845" w:rsidP="00692845">
      <w:pPr>
        <w:pStyle w:val="Caption"/>
        <w:keepNext/>
      </w:pPr>
      <w:bookmarkStart w:id="116" w:name="_Toc164175166"/>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w:t>
      </w:r>
      <w:r w:rsidR="004F13BA">
        <w:rPr>
          <w:noProof/>
        </w:rPr>
        <w:fldChar w:fldCharType="end"/>
      </w:r>
      <w:r>
        <w:t>.</w:t>
      </w:r>
      <w:r w:rsidRPr="00692845">
        <w:t xml:space="preserve"> Suspected sources </w:t>
      </w:r>
      <w:proofErr w:type="gramStart"/>
      <w:r w:rsidRPr="00692845">
        <w:t>of use</w:t>
      </w:r>
      <w:proofErr w:type="gramEnd"/>
      <w:r w:rsidRPr="00692845">
        <w:t xml:space="preserve"> impairment in the Potomac-Shenandoah River</w:t>
      </w:r>
      <w:r w:rsidR="52249B57" w:rsidRPr="00692845">
        <w:t xml:space="preserve"> </w:t>
      </w:r>
      <w:bookmarkEnd w:id="116"/>
      <w:r>
        <w:t>basin, by water body type, ranked by percentage of impaired water size (note: Waters may have multiple sources of pollution).</w:t>
      </w:r>
    </w:p>
    <w:tbl>
      <w:tblPr>
        <w:tblStyle w:val="TableGrid"/>
        <w:tblW w:w="9734" w:type="dxa"/>
        <w:tblCellMar>
          <w:left w:w="115" w:type="dxa"/>
          <w:right w:w="115" w:type="dxa"/>
        </w:tblCellMar>
        <w:tblLook w:val="04A0" w:firstRow="1" w:lastRow="0" w:firstColumn="1" w:lastColumn="0" w:noHBand="0" w:noVBand="1"/>
        <w:tblCaption w:val="Table of Potomac-Shenandoah River Basin Suspected Sources of Designated Use Impairment"/>
        <w:tblDescription w:val="Potomac-Shenandoah River Basin suspected sources of Designated Use impairment for rivers, lakes, and estuaries ranked by percent of impaired water size"/>
      </w:tblPr>
      <w:tblGrid>
        <w:gridCol w:w="2425"/>
        <w:gridCol w:w="771"/>
        <w:gridCol w:w="2635"/>
        <w:gridCol w:w="622"/>
        <w:gridCol w:w="2659"/>
        <w:gridCol w:w="622"/>
      </w:tblGrid>
      <w:tr w:rsidR="00546B19" w:rsidRPr="00D730B7" w14:paraId="27CFD550" w14:textId="77777777" w:rsidTr="004B26BC">
        <w:trPr>
          <w:cantSplit/>
          <w:trHeight w:val="360"/>
          <w:tblHeader/>
        </w:trPr>
        <w:tc>
          <w:tcPr>
            <w:tcW w:w="3141" w:type="dxa"/>
            <w:gridSpan w:val="2"/>
            <w:vAlign w:val="center"/>
          </w:tcPr>
          <w:p w14:paraId="46FA9501" w14:textId="77777777" w:rsidR="00546B19" w:rsidRPr="00E45A1A" w:rsidRDefault="00546B19" w:rsidP="00BF1AD0">
            <w:pPr>
              <w:jc w:val="center"/>
              <w:rPr>
                <w:b/>
                <w:iCs/>
                <w:sz w:val="22"/>
                <w:szCs w:val="22"/>
              </w:rPr>
            </w:pPr>
            <w:r w:rsidRPr="00E45A1A">
              <w:rPr>
                <w:b/>
                <w:iCs/>
                <w:sz w:val="22"/>
                <w:szCs w:val="22"/>
              </w:rPr>
              <w:t>Rivers</w:t>
            </w:r>
          </w:p>
        </w:tc>
        <w:tc>
          <w:tcPr>
            <w:tcW w:w="3200" w:type="dxa"/>
            <w:gridSpan w:val="2"/>
            <w:vAlign w:val="center"/>
          </w:tcPr>
          <w:p w14:paraId="16332387" w14:textId="77777777" w:rsidR="00546B19" w:rsidRPr="00E45A1A" w:rsidRDefault="00546B19" w:rsidP="00BF1AD0">
            <w:pPr>
              <w:jc w:val="center"/>
              <w:rPr>
                <w:b/>
                <w:iCs/>
                <w:sz w:val="22"/>
                <w:szCs w:val="22"/>
              </w:rPr>
            </w:pPr>
            <w:r w:rsidRPr="00E45A1A">
              <w:rPr>
                <w:b/>
                <w:iCs/>
                <w:sz w:val="22"/>
                <w:szCs w:val="22"/>
              </w:rPr>
              <w:t>Lakes</w:t>
            </w:r>
          </w:p>
        </w:tc>
        <w:tc>
          <w:tcPr>
            <w:tcW w:w="3224" w:type="dxa"/>
            <w:gridSpan w:val="2"/>
            <w:vAlign w:val="center"/>
          </w:tcPr>
          <w:p w14:paraId="42E6B58E" w14:textId="77777777" w:rsidR="00546B19" w:rsidRPr="00E45A1A" w:rsidRDefault="00546B19" w:rsidP="00BF1AD0">
            <w:pPr>
              <w:jc w:val="center"/>
              <w:rPr>
                <w:b/>
                <w:iCs/>
                <w:sz w:val="22"/>
                <w:szCs w:val="22"/>
              </w:rPr>
            </w:pPr>
            <w:r w:rsidRPr="00E45A1A">
              <w:rPr>
                <w:b/>
                <w:iCs/>
                <w:sz w:val="22"/>
                <w:szCs w:val="22"/>
              </w:rPr>
              <w:t>Estuaries</w:t>
            </w:r>
          </w:p>
        </w:tc>
      </w:tr>
      <w:tr w:rsidR="00603CE2" w:rsidRPr="00D730B7" w14:paraId="2FA5687F" w14:textId="77777777" w:rsidTr="004B26BC">
        <w:trPr>
          <w:cantSplit/>
          <w:trHeight w:val="360"/>
        </w:trPr>
        <w:tc>
          <w:tcPr>
            <w:tcW w:w="2383" w:type="dxa"/>
            <w:vAlign w:val="center"/>
          </w:tcPr>
          <w:p w14:paraId="6B3737E6" w14:textId="4D034D6E" w:rsidR="00603CE2" w:rsidRPr="00E45A1A" w:rsidRDefault="00603CE2" w:rsidP="00BF1AD0">
            <w:pPr>
              <w:jc w:val="center"/>
              <w:rPr>
                <w:b/>
                <w:sz w:val="22"/>
                <w:szCs w:val="22"/>
              </w:rPr>
            </w:pPr>
            <w:r>
              <w:rPr>
                <w:rFonts w:ascii="Calibri" w:hAnsi="Calibri" w:cs="Calibri"/>
                <w:color w:val="000000"/>
                <w:sz w:val="22"/>
                <w:szCs w:val="22"/>
              </w:rPr>
              <w:t>Wildlife Other than Waterfowl</w:t>
            </w:r>
          </w:p>
        </w:tc>
        <w:tc>
          <w:tcPr>
            <w:tcW w:w="758" w:type="dxa"/>
            <w:vAlign w:val="center"/>
          </w:tcPr>
          <w:p w14:paraId="40686A97" w14:textId="65F404E1" w:rsidR="00603CE2" w:rsidRPr="00E45A1A" w:rsidRDefault="00603CE2" w:rsidP="00BF1AD0">
            <w:pPr>
              <w:jc w:val="center"/>
              <w:rPr>
                <w:sz w:val="22"/>
                <w:szCs w:val="22"/>
              </w:rPr>
            </w:pPr>
            <w:r>
              <w:rPr>
                <w:rFonts w:ascii="Calibri" w:hAnsi="Calibri" w:cs="Calibri"/>
                <w:color w:val="000000"/>
                <w:sz w:val="22"/>
                <w:szCs w:val="22"/>
              </w:rPr>
              <w:t>63%</w:t>
            </w:r>
          </w:p>
        </w:tc>
        <w:tc>
          <w:tcPr>
            <w:tcW w:w="2589" w:type="dxa"/>
            <w:vAlign w:val="center"/>
          </w:tcPr>
          <w:p w14:paraId="00CDFC66" w14:textId="4990A978" w:rsidR="00603CE2" w:rsidRPr="00E45A1A" w:rsidRDefault="00603CE2" w:rsidP="00BF1AD0">
            <w:pPr>
              <w:jc w:val="center"/>
              <w:rPr>
                <w:b/>
                <w:sz w:val="22"/>
                <w:szCs w:val="22"/>
              </w:rPr>
            </w:pPr>
            <w:r>
              <w:rPr>
                <w:rFonts w:ascii="Calibri" w:hAnsi="Calibri" w:cs="Calibri"/>
                <w:color w:val="000000"/>
                <w:sz w:val="22"/>
                <w:szCs w:val="22"/>
              </w:rPr>
              <w:t>Source Unknown</w:t>
            </w:r>
          </w:p>
        </w:tc>
        <w:tc>
          <w:tcPr>
            <w:tcW w:w="611" w:type="dxa"/>
            <w:vAlign w:val="center"/>
          </w:tcPr>
          <w:p w14:paraId="79588ADA" w14:textId="77777777" w:rsidR="00603CE2" w:rsidRPr="00E45A1A" w:rsidRDefault="00603CE2" w:rsidP="00BF1AD0">
            <w:pPr>
              <w:jc w:val="center"/>
              <w:rPr>
                <w:sz w:val="22"/>
                <w:szCs w:val="22"/>
              </w:rPr>
            </w:pPr>
            <w:r w:rsidRPr="00E45A1A">
              <w:rPr>
                <w:sz w:val="22"/>
                <w:szCs w:val="22"/>
              </w:rPr>
              <w:t>92%</w:t>
            </w:r>
          </w:p>
        </w:tc>
        <w:tc>
          <w:tcPr>
            <w:tcW w:w="2613" w:type="dxa"/>
            <w:vAlign w:val="center"/>
          </w:tcPr>
          <w:p w14:paraId="54D3B712" w14:textId="05CE3B67" w:rsidR="00603CE2" w:rsidRPr="00E45A1A" w:rsidRDefault="00603CE2" w:rsidP="00BF1AD0">
            <w:pPr>
              <w:jc w:val="center"/>
              <w:rPr>
                <w:b/>
                <w:sz w:val="22"/>
                <w:szCs w:val="22"/>
              </w:rPr>
            </w:pPr>
            <w:r>
              <w:rPr>
                <w:rFonts w:ascii="Calibri" w:hAnsi="Calibri" w:cs="Calibri"/>
                <w:color w:val="000000"/>
                <w:sz w:val="22"/>
                <w:szCs w:val="22"/>
              </w:rPr>
              <w:t>Agriculture</w:t>
            </w:r>
          </w:p>
        </w:tc>
        <w:tc>
          <w:tcPr>
            <w:tcW w:w="611" w:type="dxa"/>
            <w:vAlign w:val="center"/>
          </w:tcPr>
          <w:p w14:paraId="592305E1" w14:textId="0F16D66D" w:rsidR="00603CE2" w:rsidRPr="00E45A1A" w:rsidRDefault="00603CE2" w:rsidP="00BF1AD0">
            <w:pPr>
              <w:jc w:val="center"/>
              <w:rPr>
                <w:sz w:val="22"/>
                <w:szCs w:val="22"/>
              </w:rPr>
            </w:pPr>
            <w:r>
              <w:rPr>
                <w:rFonts w:ascii="Calibri" w:hAnsi="Calibri" w:cs="Calibri"/>
                <w:color w:val="000000"/>
                <w:sz w:val="22"/>
                <w:szCs w:val="22"/>
              </w:rPr>
              <w:t>57%</w:t>
            </w:r>
          </w:p>
        </w:tc>
      </w:tr>
      <w:tr w:rsidR="00603CE2" w:rsidRPr="00D730B7" w14:paraId="73C34C78" w14:textId="77777777" w:rsidTr="004B26BC">
        <w:trPr>
          <w:cantSplit/>
          <w:trHeight w:val="360"/>
        </w:trPr>
        <w:tc>
          <w:tcPr>
            <w:tcW w:w="2383" w:type="dxa"/>
            <w:vAlign w:val="center"/>
          </w:tcPr>
          <w:p w14:paraId="77A6AF38" w14:textId="2BD049E7" w:rsidR="00603CE2" w:rsidRPr="00E45A1A" w:rsidRDefault="00603CE2" w:rsidP="00BF1AD0">
            <w:pPr>
              <w:jc w:val="center"/>
              <w:rPr>
                <w:b/>
                <w:sz w:val="22"/>
                <w:szCs w:val="22"/>
              </w:rPr>
            </w:pPr>
            <w:r>
              <w:rPr>
                <w:rFonts w:ascii="Calibri" w:hAnsi="Calibri" w:cs="Calibri"/>
                <w:color w:val="000000"/>
                <w:sz w:val="22"/>
                <w:szCs w:val="22"/>
              </w:rPr>
              <w:t>Agriculture</w:t>
            </w:r>
          </w:p>
        </w:tc>
        <w:tc>
          <w:tcPr>
            <w:tcW w:w="758" w:type="dxa"/>
            <w:vAlign w:val="center"/>
          </w:tcPr>
          <w:p w14:paraId="509CE470" w14:textId="16C531EB" w:rsidR="00603CE2" w:rsidRPr="00E45A1A" w:rsidRDefault="00603CE2" w:rsidP="00BF1AD0">
            <w:pPr>
              <w:jc w:val="center"/>
              <w:rPr>
                <w:sz w:val="22"/>
                <w:szCs w:val="22"/>
              </w:rPr>
            </w:pPr>
            <w:r>
              <w:rPr>
                <w:rFonts w:ascii="Calibri" w:hAnsi="Calibri" w:cs="Calibri"/>
                <w:color w:val="000000"/>
                <w:sz w:val="22"/>
                <w:szCs w:val="22"/>
              </w:rPr>
              <w:t>55%</w:t>
            </w:r>
          </w:p>
        </w:tc>
        <w:tc>
          <w:tcPr>
            <w:tcW w:w="2589" w:type="dxa"/>
            <w:vAlign w:val="center"/>
          </w:tcPr>
          <w:p w14:paraId="2DF48883" w14:textId="2E207351" w:rsidR="00603CE2" w:rsidRPr="00E45A1A" w:rsidRDefault="00603CE2" w:rsidP="00BF1AD0">
            <w:pPr>
              <w:jc w:val="center"/>
              <w:rPr>
                <w:b/>
                <w:sz w:val="22"/>
                <w:szCs w:val="22"/>
              </w:rPr>
            </w:pPr>
            <w:r>
              <w:rPr>
                <w:rFonts w:ascii="Calibri" w:hAnsi="Calibri" w:cs="Calibri"/>
                <w:color w:val="000000"/>
                <w:sz w:val="22"/>
                <w:szCs w:val="22"/>
              </w:rPr>
              <w:t>Upstream Source</w:t>
            </w:r>
          </w:p>
        </w:tc>
        <w:tc>
          <w:tcPr>
            <w:tcW w:w="611" w:type="dxa"/>
            <w:vAlign w:val="center"/>
          </w:tcPr>
          <w:p w14:paraId="1925CBAE" w14:textId="77777777" w:rsidR="00603CE2" w:rsidRPr="00E45A1A" w:rsidRDefault="00603CE2" w:rsidP="00BF1AD0">
            <w:pPr>
              <w:jc w:val="center"/>
              <w:rPr>
                <w:sz w:val="22"/>
                <w:szCs w:val="22"/>
              </w:rPr>
            </w:pPr>
            <w:r w:rsidRPr="00E45A1A">
              <w:rPr>
                <w:sz w:val="22"/>
                <w:szCs w:val="22"/>
              </w:rPr>
              <w:t>5%</w:t>
            </w:r>
          </w:p>
        </w:tc>
        <w:tc>
          <w:tcPr>
            <w:tcW w:w="2613" w:type="dxa"/>
            <w:vAlign w:val="center"/>
          </w:tcPr>
          <w:p w14:paraId="5A038DA1" w14:textId="786A3ECA" w:rsidR="00603CE2" w:rsidRPr="00E45A1A" w:rsidRDefault="00603CE2" w:rsidP="00BF1AD0">
            <w:pPr>
              <w:jc w:val="center"/>
              <w:rPr>
                <w:b/>
                <w:sz w:val="22"/>
                <w:szCs w:val="22"/>
              </w:rPr>
            </w:pPr>
            <w:r>
              <w:rPr>
                <w:rFonts w:ascii="Calibri" w:hAnsi="Calibri" w:cs="Calibri"/>
                <w:color w:val="000000"/>
                <w:sz w:val="22"/>
                <w:szCs w:val="22"/>
              </w:rPr>
              <w:t>Clean Sediments</w:t>
            </w:r>
          </w:p>
        </w:tc>
        <w:tc>
          <w:tcPr>
            <w:tcW w:w="611" w:type="dxa"/>
            <w:vAlign w:val="center"/>
          </w:tcPr>
          <w:p w14:paraId="555D34E6" w14:textId="24790315" w:rsidR="00603CE2" w:rsidRPr="00E45A1A" w:rsidRDefault="00603CE2" w:rsidP="00BF1AD0">
            <w:pPr>
              <w:jc w:val="center"/>
              <w:rPr>
                <w:sz w:val="22"/>
                <w:szCs w:val="22"/>
              </w:rPr>
            </w:pPr>
            <w:r>
              <w:rPr>
                <w:rFonts w:ascii="Calibri" w:hAnsi="Calibri" w:cs="Calibri"/>
                <w:color w:val="000000"/>
                <w:sz w:val="22"/>
                <w:szCs w:val="22"/>
              </w:rPr>
              <w:t>56%</w:t>
            </w:r>
          </w:p>
        </w:tc>
      </w:tr>
      <w:tr w:rsidR="00603CE2" w:rsidRPr="00D730B7" w14:paraId="55964BE5" w14:textId="77777777" w:rsidTr="004B26BC">
        <w:trPr>
          <w:cantSplit/>
          <w:trHeight w:val="360"/>
        </w:trPr>
        <w:tc>
          <w:tcPr>
            <w:tcW w:w="2383" w:type="dxa"/>
            <w:vAlign w:val="center"/>
          </w:tcPr>
          <w:p w14:paraId="26598D88" w14:textId="27B1D07B" w:rsidR="00603CE2" w:rsidRPr="00E45A1A" w:rsidRDefault="00603CE2" w:rsidP="00BF1AD0">
            <w:pPr>
              <w:jc w:val="center"/>
              <w:rPr>
                <w:b/>
                <w:sz w:val="22"/>
                <w:szCs w:val="22"/>
              </w:rPr>
            </w:pPr>
            <w:r>
              <w:rPr>
                <w:rFonts w:ascii="Calibri" w:hAnsi="Calibri" w:cs="Calibri"/>
                <w:color w:val="000000"/>
                <w:sz w:val="22"/>
                <w:szCs w:val="22"/>
              </w:rPr>
              <w:t>Non-Point Source</w:t>
            </w:r>
          </w:p>
        </w:tc>
        <w:tc>
          <w:tcPr>
            <w:tcW w:w="758" w:type="dxa"/>
            <w:vAlign w:val="center"/>
          </w:tcPr>
          <w:p w14:paraId="549770A6" w14:textId="20FAE759" w:rsidR="00603CE2" w:rsidRPr="00E45A1A" w:rsidRDefault="00603CE2" w:rsidP="00BF1AD0">
            <w:pPr>
              <w:jc w:val="center"/>
              <w:rPr>
                <w:sz w:val="22"/>
                <w:szCs w:val="22"/>
              </w:rPr>
            </w:pPr>
            <w:r>
              <w:rPr>
                <w:rFonts w:ascii="Calibri" w:hAnsi="Calibri" w:cs="Calibri"/>
                <w:color w:val="000000"/>
                <w:sz w:val="22"/>
                <w:szCs w:val="22"/>
              </w:rPr>
              <w:t>54%</w:t>
            </w:r>
          </w:p>
        </w:tc>
        <w:tc>
          <w:tcPr>
            <w:tcW w:w="2589" w:type="dxa"/>
            <w:vAlign w:val="center"/>
          </w:tcPr>
          <w:p w14:paraId="50C96CC4" w14:textId="2267D2E3" w:rsidR="00603CE2" w:rsidRPr="00E45A1A" w:rsidRDefault="00603CE2" w:rsidP="00BF1AD0">
            <w:pPr>
              <w:jc w:val="center"/>
              <w:rPr>
                <w:b/>
                <w:sz w:val="22"/>
                <w:szCs w:val="22"/>
              </w:rPr>
            </w:pPr>
            <w:r>
              <w:rPr>
                <w:rFonts w:ascii="Calibri" w:hAnsi="Calibri" w:cs="Calibri"/>
                <w:color w:val="000000"/>
                <w:sz w:val="22"/>
                <w:szCs w:val="22"/>
              </w:rPr>
              <w:t>Atmospheric Deposition - Toxics</w:t>
            </w:r>
          </w:p>
        </w:tc>
        <w:tc>
          <w:tcPr>
            <w:tcW w:w="611" w:type="dxa"/>
            <w:vAlign w:val="center"/>
          </w:tcPr>
          <w:p w14:paraId="5A5E7A96" w14:textId="77777777" w:rsidR="00603CE2" w:rsidRPr="00E45A1A" w:rsidRDefault="00603CE2" w:rsidP="00BF1AD0">
            <w:pPr>
              <w:jc w:val="center"/>
              <w:rPr>
                <w:sz w:val="22"/>
                <w:szCs w:val="22"/>
              </w:rPr>
            </w:pPr>
            <w:r w:rsidRPr="00E45A1A">
              <w:rPr>
                <w:sz w:val="22"/>
                <w:szCs w:val="22"/>
              </w:rPr>
              <w:t>5%</w:t>
            </w:r>
          </w:p>
        </w:tc>
        <w:tc>
          <w:tcPr>
            <w:tcW w:w="2613" w:type="dxa"/>
            <w:vAlign w:val="center"/>
          </w:tcPr>
          <w:p w14:paraId="7591AF18" w14:textId="223057EA" w:rsidR="00603CE2" w:rsidRPr="00E45A1A" w:rsidRDefault="00603CE2" w:rsidP="00BF1AD0">
            <w:pPr>
              <w:jc w:val="center"/>
              <w:rPr>
                <w:b/>
                <w:sz w:val="22"/>
                <w:szCs w:val="22"/>
              </w:rPr>
            </w:pPr>
            <w:r>
              <w:rPr>
                <w:rFonts w:ascii="Calibri" w:hAnsi="Calibri" w:cs="Calibri"/>
                <w:color w:val="000000"/>
                <w:sz w:val="22"/>
                <w:szCs w:val="22"/>
              </w:rPr>
              <w:t>Atmospheric Deposition - Nitrogen</w:t>
            </w:r>
          </w:p>
        </w:tc>
        <w:tc>
          <w:tcPr>
            <w:tcW w:w="611" w:type="dxa"/>
            <w:vAlign w:val="center"/>
          </w:tcPr>
          <w:p w14:paraId="70F72D6B" w14:textId="04E0A3D7" w:rsidR="00603CE2" w:rsidRPr="00E45A1A" w:rsidRDefault="00603CE2" w:rsidP="00BF1AD0">
            <w:pPr>
              <w:jc w:val="center"/>
              <w:rPr>
                <w:sz w:val="22"/>
                <w:szCs w:val="22"/>
              </w:rPr>
            </w:pPr>
            <w:r>
              <w:rPr>
                <w:rFonts w:ascii="Calibri" w:hAnsi="Calibri" w:cs="Calibri"/>
                <w:color w:val="000000"/>
                <w:sz w:val="22"/>
                <w:szCs w:val="22"/>
              </w:rPr>
              <w:t>56%</w:t>
            </w:r>
          </w:p>
        </w:tc>
      </w:tr>
      <w:tr w:rsidR="00603CE2" w:rsidRPr="00D730B7" w14:paraId="0188D2E0" w14:textId="77777777" w:rsidTr="004B26BC">
        <w:trPr>
          <w:cantSplit/>
          <w:trHeight w:val="360"/>
        </w:trPr>
        <w:tc>
          <w:tcPr>
            <w:tcW w:w="2383" w:type="dxa"/>
            <w:vAlign w:val="center"/>
          </w:tcPr>
          <w:p w14:paraId="01EA6AEF" w14:textId="3A7468B3" w:rsidR="00603CE2" w:rsidRPr="00E45A1A" w:rsidRDefault="00603CE2" w:rsidP="00BF1AD0">
            <w:pPr>
              <w:jc w:val="center"/>
              <w:rPr>
                <w:b/>
                <w:sz w:val="22"/>
                <w:szCs w:val="22"/>
              </w:rPr>
            </w:pPr>
            <w:r>
              <w:rPr>
                <w:rFonts w:ascii="Calibri" w:hAnsi="Calibri" w:cs="Calibri"/>
                <w:color w:val="000000"/>
                <w:sz w:val="22"/>
                <w:szCs w:val="22"/>
              </w:rPr>
              <w:t>Livestock (Grazing or Feeding Operations)</w:t>
            </w:r>
          </w:p>
        </w:tc>
        <w:tc>
          <w:tcPr>
            <w:tcW w:w="758" w:type="dxa"/>
            <w:vAlign w:val="center"/>
          </w:tcPr>
          <w:p w14:paraId="19150507" w14:textId="4B537CF1" w:rsidR="00603CE2" w:rsidRPr="00E45A1A" w:rsidRDefault="00603CE2" w:rsidP="00BF1AD0">
            <w:pPr>
              <w:jc w:val="center"/>
              <w:rPr>
                <w:sz w:val="22"/>
                <w:szCs w:val="22"/>
              </w:rPr>
            </w:pPr>
            <w:r>
              <w:rPr>
                <w:rFonts w:ascii="Calibri" w:hAnsi="Calibri" w:cs="Calibri"/>
                <w:color w:val="000000"/>
                <w:sz w:val="22"/>
                <w:szCs w:val="22"/>
              </w:rPr>
              <w:t>44%</w:t>
            </w:r>
          </w:p>
        </w:tc>
        <w:tc>
          <w:tcPr>
            <w:tcW w:w="2589" w:type="dxa"/>
            <w:vAlign w:val="center"/>
          </w:tcPr>
          <w:p w14:paraId="566EABD8" w14:textId="4262A667" w:rsidR="00603CE2" w:rsidRPr="00E45A1A" w:rsidRDefault="00603CE2" w:rsidP="00BF1AD0">
            <w:pPr>
              <w:jc w:val="center"/>
              <w:rPr>
                <w:b/>
                <w:sz w:val="22"/>
                <w:szCs w:val="22"/>
              </w:rPr>
            </w:pPr>
            <w:r>
              <w:rPr>
                <w:rFonts w:ascii="Calibri" w:hAnsi="Calibri" w:cs="Calibri"/>
                <w:color w:val="000000"/>
                <w:sz w:val="22"/>
                <w:szCs w:val="22"/>
              </w:rPr>
              <w:t>Combined Sewer Overflows</w:t>
            </w:r>
          </w:p>
        </w:tc>
        <w:tc>
          <w:tcPr>
            <w:tcW w:w="611" w:type="dxa"/>
            <w:vAlign w:val="center"/>
          </w:tcPr>
          <w:p w14:paraId="6EC36731" w14:textId="77777777" w:rsidR="00603CE2" w:rsidRPr="00E45A1A" w:rsidRDefault="00603CE2" w:rsidP="00BF1AD0">
            <w:pPr>
              <w:jc w:val="center"/>
              <w:rPr>
                <w:sz w:val="22"/>
                <w:szCs w:val="22"/>
              </w:rPr>
            </w:pPr>
            <w:r w:rsidRPr="00E45A1A">
              <w:rPr>
                <w:sz w:val="22"/>
                <w:szCs w:val="22"/>
              </w:rPr>
              <w:t>5%</w:t>
            </w:r>
          </w:p>
        </w:tc>
        <w:tc>
          <w:tcPr>
            <w:tcW w:w="2613" w:type="dxa"/>
            <w:vAlign w:val="center"/>
          </w:tcPr>
          <w:p w14:paraId="595AA7F4" w14:textId="07C31B8E" w:rsidR="00603CE2" w:rsidRPr="00E45A1A" w:rsidRDefault="00603CE2" w:rsidP="00BF1AD0">
            <w:pPr>
              <w:jc w:val="center"/>
              <w:rPr>
                <w:b/>
                <w:sz w:val="22"/>
                <w:szCs w:val="22"/>
              </w:rPr>
            </w:pPr>
            <w:r>
              <w:rPr>
                <w:rFonts w:ascii="Calibri" w:hAnsi="Calibri" w:cs="Calibri"/>
                <w:color w:val="000000"/>
                <w:sz w:val="22"/>
                <w:szCs w:val="22"/>
              </w:rPr>
              <w:t>Industrial Point Source Discharge</w:t>
            </w:r>
          </w:p>
        </w:tc>
        <w:tc>
          <w:tcPr>
            <w:tcW w:w="611" w:type="dxa"/>
            <w:vAlign w:val="center"/>
          </w:tcPr>
          <w:p w14:paraId="05EA1DE0" w14:textId="7157E56A" w:rsidR="00603CE2" w:rsidRPr="00E45A1A" w:rsidRDefault="00603CE2" w:rsidP="00BF1AD0">
            <w:pPr>
              <w:jc w:val="center"/>
              <w:rPr>
                <w:sz w:val="22"/>
                <w:szCs w:val="22"/>
              </w:rPr>
            </w:pPr>
            <w:r>
              <w:rPr>
                <w:rFonts w:ascii="Calibri" w:hAnsi="Calibri" w:cs="Calibri"/>
                <w:color w:val="000000"/>
                <w:sz w:val="22"/>
                <w:szCs w:val="22"/>
              </w:rPr>
              <w:t>56%</w:t>
            </w:r>
          </w:p>
        </w:tc>
      </w:tr>
      <w:tr w:rsidR="00603CE2" w:rsidRPr="00D730B7" w14:paraId="2A8B26F7" w14:textId="77777777" w:rsidTr="004B26BC">
        <w:trPr>
          <w:cantSplit/>
          <w:trHeight w:val="360"/>
        </w:trPr>
        <w:tc>
          <w:tcPr>
            <w:tcW w:w="2383" w:type="dxa"/>
            <w:vAlign w:val="center"/>
          </w:tcPr>
          <w:p w14:paraId="790E8D33" w14:textId="37AA620A" w:rsidR="00603CE2" w:rsidRPr="00E45A1A" w:rsidRDefault="00603CE2" w:rsidP="00BF1AD0">
            <w:pPr>
              <w:jc w:val="center"/>
              <w:rPr>
                <w:b/>
                <w:sz w:val="22"/>
                <w:szCs w:val="22"/>
              </w:rPr>
            </w:pPr>
            <w:r>
              <w:rPr>
                <w:rFonts w:ascii="Calibri" w:hAnsi="Calibri" w:cs="Calibri"/>
                <w:color w:val="000000"/>
                <w:sz w:val="22"/>
                <w:szCs w:val="22"/>
              </w:rPr>
              <w:t xml:space="preserve">On-site </w:t>
            </w:r>
            <w:r w:rsidR="00817033">
              <w:rPr>
                <w:rFonts w:ascii="Calibri" w:hAnsi="Calibri" w:cs="Calibri"/>
                <w:color w:val="000000"/>
                <w:sz w:val="22"/>
                <w:szCs w:val="22"/>
              </w:rPr>
              <w:t xml:space="preserve">Septic </w:t>
            </w:r>
            <w:r>
              <w:rPr>
                <w:rFonts w:ascii="Calibri" w:hAnsi="Calibri" w:cs="Calibri"/>
                <w:color w:val="000000"/>
                <w:sz w:val="22"/>
                <w:szCs w:val="22"/>
              </w:rPr>
              <w:t>Treatment Systems</w:t>
            </w:r>
          </w:p>
        </w:tc>
        <w:tc>
          <w:tcPr>
            <w:tcW w:w="758" w:type="dxa"/>
            <w:vAlign w:val="center"/>
          </w:tcPr>
          <w:p w14:paraId="3E4BD5B7" w14:textId="09F8B867" w:rsidR="00603CE2" w:rsidRPr="00E45A1A" w:rsidRDefault="00603CE2" w:rsidP="00BF1AD0">
            <w:pPr>
              <w:jc w:val="center"/>
              <w:rPr>
                <w:sz w:val="22"/>
                <w:szCs w:val="22"/>
              </w:rPr>
            </w:pPr>
            <w:r>
              <w:rPr>
                <w:rFonts w:ascii="Calibri" w:hAnsi="Calibri" w:cs="Calibri"/>
                <w:color w:val="000000"/>
                <w:sz w:val="22"/>
                <w:szCs w:val="22"/>
              </w:rPr>
              <w:t>31%</w:t>
            </w:r>
          </w:p>
        </w:tc>
        <w:tc>
          <w:tcPr>
            <w:tcW w:w="2589" w:type="dxa"/>
            <w:vAlign w:val="center"/>
          </w:tcPr>
          <w:p w14:paraId="7E5299FB" w14:textId="7618A66E" w:rsidR="00603CE2" w:rsidRPr="00E45A1A" w:rsidRDefault="00603CE2" w:rsidP="00BF1AD0">
            <w:pPr>
              <w:jc w:val="center"/>
              <w:rPr>
                <w:b/>
                <w:sz w:val="22"/>
                <w:szCs w:val="22"/>
              </w:rPr>
            </w:pPr>
            <w:r>
              <w:rPr>
                <w:rFonts w:ascii="Calibri" w:hAnsi="Calibri" w:cs="Calibri"/>
                <w:color w:val="000000"/>
                <w:sz w:val="22"/>
                <w:szCs w:val="22"/>
              </w:rPr>
              <w:t>Contaminated Sediments</w:t>
            </w:r>
          </w:p>
        </w:tc>
        <w:tc>
          <w:tcPr>
            <w:tcW w:w="611" w:type="dxa"/>
            <w:vAlign w:val="center"/>
          </w:tcPr>
          <w:p w14:paraId="41EA1D7B" w14:textId="77777777" w:rsidR="00603CE2" w:rsidRPr="00E45A1A" w:rsidRDefault="00603CE2" w:rsidP="00BF1AD0">
            <w:pPr>
              <w:jc w:val="center"/>
              <w:rPr>
                <w:sz w:val="22"/>
                <w:szCs w:val="22"/>
              </w:rPr>
            </w:pPr>
            <w:r w:rsidRPr="00E45A1A">
              <w:rPr>
                <w:sz w:val="22"/>
                <w:szCs w:val="22"/>
              </w:rPr>
              <w:t>5%</w:t>
            </w:r>
          </w:p>
        </w:tc>
        <w:tc>
          <w:tcPr>
            <w:tcW w:w="2613" w:type="dxa"/>
            <w:vAlign w:val="center"/>
          </w:tcPr>
          <w:p w14:paraId="4D79D5B8" w14:textId="47B4D169" w:rsidR="00603CE2" w:rsidRPr="00E45A1A" w:rsidRDefault="00603CE2" w:rsidP="00BF1AD0">
            <w:pPr>
              <w:jc w:val="center"/>
              <w:rPr>
                <w:b/>
                <w:sz w:val="22"/>
                <w:szCs w:val="22"/>
              </w:rPr>
            </w:pPr>
            <w:r>
              <w:rPr>
                <w:rFonts w:ascii="Calibri" w:hAnsi="Calibri" w:cs="Calibri"/>
                <w:color w:val="000000"/>
                <w:sz w:val="22"/>
                <w:szCs w:val="22"/>
              </w:rPr>
              <w:t>Internal Nutrient Recycling</w:t>
            </w:r>
          </w:p>
        </w:tc>
        <w:tc>
          <w:tcPr>
            <w:tcW w:w="611" w:type="dxa"/>
            <w:vAlign w:val="center"/>
          </w:tcPr>
          <w:p w14:paraId="5608CC1C" w14:textId="7BB339F2" w:rsidR="00603CE2" w:rsidRPr="00E45A1A" w:rsidRDefault="00603CE2" w:rsidP="00BF1AD0">
            <w:pPr>
              <w:jc w:val="center"/>
              <w:rPr>
                <w:sz w:val="22"/>
                <w:szCs w:val="22"/>
              </w:rPr>
            </w:pPr>
            <w:r>
              <w:rPr>
                <w:rFonts w:ascii="Calibri" w:hAnsi="Calibri" w:cs="Calibri"/>
                <w:color w:val="000000"/>
                <w:sz w:val="22"/>
                <w:szCs w:val="22"/>
              </w:rPr>
              <w:t>56%</w:t>
            </w:r>
          </w:p>
        </w:tc>
      </w:tr>
      <w:tr w:rsidR="00603CE2" w:rsidRPr="00D730B7" w14:paraId="2A57EDCE" w14:textId="77777777" w:rsidTr="004B26BC">
        <w:trPr>
          <w:cantSplit/>
          <w:trHeight w:val="360"/>
        </w:trPr>
        <w:tc>
          <w:tcPr>
            <w:tcW w:w="2383" w:type="dxa"/>
            <w:vAlign w:val="center"/>
          </w:tcPr>
          <w:p w14:paraId="37628E93" w14:textId="13A988F4" w:rsidR="00603CE2" w:rsidRPr="00E45A1A" w:rsidRDefault="00603CE2" w:rsidP="00BF1AD0">
            <w:pPr>
              <w:jc w:val="center"/>
              <w:rPr>
                <w:b/>
                <w:sz w:val="22"/>
                <w:szCs w:val="22"/>
              </w:rPr>
            </w:pPr>
            <w:r>
              <w:rPr>
                <w:rFonts w:ascii="Calibri" w:hAnsi="Calibri" w:cs="Calibri"/>
                <w:color w:val="000000"/>
                <w:sz w:val="22"/>
                <w:szCs w:val="22"/>
              </w:rPr>
              <w:t>Grazing in Riparian or Shoreline Zones</w:t>
            </w:r>
          </w:p>
        </w:tc>
        <w:tc>
          <w:tcPr>
            <w:tcW w:w="758" w:type="dxa"/>
            <w:vAlign w:val="center"/>
          </w:tcPr>
          <w:p w14:paraId="5B0463C2" w14:textId="5E296E23" w:rsidR="00603CE2" w:rsidRPr="00E45A1A" w:rsidRDefault="00603CE2" w:rsidP="00BF1AD0">
            <w:pPr>
              <w:jc w:val="center"/>
              <w:rPr>
                <w:sz w:val="22"/>
                <w:szCs w:val="22"/>
              </w:rPr>
            </w:pPr>
            <w:r>
              <w:rPr>
                <w:rFonts w:ascii="Calibri" w:hAnsi="Calibri" w:cs="Calibri"/>
                <w:color w:val="000000"/>
                <w:sz w:val="22"/>
                <w:szCs w:val="22"/>
              </w:rPr>
              <w:t>21%</w:t>
            </w:r>
          </w:p>
        </w:tc>
        <w:tc>
          <w:tcPr>
            <w:tcW w:w="2589" w:type="dxa"/>
            <w:vAlign w:val="center"/>
          </w:tcPr>
          <w:p w14:paraId="5273F8D2" w14:textId="183C7FE9" w:rsidR="00603CE2" w:rsidRPr="00E45A1A" w:rsidRDefault="00603CE2" w:rsidP="00BF1AD0">
            <w:pPr>
              <w:jc w:val="center"/>
              <w:rPr>
                <w:b/>
                <w:sz w:val="22"/>
                <w:szCs w:val="22"/>
              </w:rPr>
            </w:pPr>
            <w:r>
              <w:rPr>
                <w:rFonts w:ascii="Calibri" w:hAnsi="Calibri" w:cs="Calibri"/>
                <w:color w:val="000000"/>
                <w:sz w:val="22"/>
                <w:szCs w:val="22"/>
              </w:rPr>
              <w:t>Grazing in Riparian or Shoreline Zones</w:t>
            </w:r>
          </w:p>
        </w:tc>
        <w:tc>
          <w:tcPr>
            <w:tcW w:w="611" w:type="dxa"/>
            <w:vAlign w:val="center"/>
          </w:tcPr>
          <w:p w14:paraId="461D66FB" w14:textId="77777777" w:rsidR="00603CE2" w:rsidRPr="00E45A1A" w:rsidRDefault="00603CE2" w:rsidP="00BF1AD0">
            <w:pPr>
              <w:jc w:val="center"/>
              <w:rPr>
                <w:sz w:val="22"/>
                <w:szCs w:val="22"/>
              </w:rPr>
            </w:pPr>
            <w:r w:rsidRPr="00E45A1A">
              <w:rPr>
                <w:sz w:val="22"/>
                <w:szCs w:val="22"/>
              </w:rPr>
              <w:t>5%</w:t>
            </w:r>
          </w:p>
        </w:tc>
        <w:tc>
          <w:tcPr>
            <w:tcW w:w="2613" w:type="dxa"/>
            <w:vAlign w:val="center"/>
          </w:tcPr>
          <w:p w14:paraId="71048B17" w14:textId="6C2BB866" w:rsidR="00603CE2" w:rsidRPr="00E45A1A" w:rsidRDefault="00603CE2" w:rsidP="00BF1AD0">
            <w:pPr>
              <w:jc w:val="center"/>
              <w:rPr>
                <w:b/>
                <w:sz w:val="22"/>
                <w:szCs w:val="22"/>
              </w:rPr>
            </w:pPr>
            <w:r>
              <w:rPr>
                <w:rFonts w:ascii="Calibri" w:hAnsi="Calibri" w:cs="Calibri"/>
                <w:color w:val="000000"/>
                <w:sz w:val="22"/>
                <w:szCs w:val="22"/>
              </w:rPr>
              <w:t>Loss of Riparian Habitat</w:t>
            </w:r>
          </w:p>
        </w:tc>
        <w:tc>
          <w:tcPr>
            <w:tcW w:w="611" w:type="dxa"/>
            <w:vAlign w:val="center"/>
          </w:tcPr>
          <w:p w14:paraId="5658DE60" w14:textId="445D1FC0" w:rsidR="00603CE2" w:rsidRPr="00E45A1A" w:rsidRDefault="00603CE2" w:rsidP="00BF1AD0">
            <w:pPr>
              <w:jc w:val="center"/>
              <w:rPr>
                <w:sz w:val="22"/>
                <w:szCs w:val="22"/>
              </w:rPr>
            </w:pPr>
            <w:r>
              <w:rPr>
                <w:rFonts w:ascii="Calibri" w:hAnsi="Calibri" w:cs="Calibri"/>
                <w:color w:val="000000"/>
                <w:sz w:val="22"/>
                <w:szCs w:val="22"/>
              </w:rPr>
              <w:t>56%</w:t>
            </w:r>
          </w:p>
        </w:tc>
      </w:tr>
    </w:tbl>
    <w:p w14:paraId="19E3CBFA" w14:textId="77777777" w:rsidR="00546B19" w:rsidRDefault="00546B19" w:rsidP="00546B19">
      <w:pPr>
        <w:jc w:val="both"/>
        <w:rPr>
          <w:b/>
          <w:szCs w:val="24"/>
        </w:rPr>
      </w:pPr>
    </w:p>
    <w:p w14:paraId="66ADFE9A" w14:textId="6C4DDE57" w:rsidR="00546B19" w:rsidRPr="000B6FF6" w:rsidRDefault="00546B19" w:rsidP="000B6FF6">
      <w:pPr>
        <w:pStyle w:val="Heading3"/>
      </w:pPr>
      <w:r w:rsidRPr="00AD1FB7">
        <w:t>James River Basin</w:t>
      </w:r>
    </w:p>
    <w:p w14:paraId="3C0D5A26" w14:textId="0D42E3CD" w:rsidR="00546B19" w:rsidRPr="00D730B7" w:rsidRDefault="00546B19" w:rsidP="00863573">
      <w:pPr>
        <w:rPr>
          <w:szCs w:val="24"/>
        </w:rPr>
      </w:pPr>
      <w:r w:rsidRPr="00D730B7">
        <w:rPr>
          <w:szCs w:val="24"/>
        </w:rPr>
        <w:t xml:space="preserve">The James River Basin occupies the central portion of Virginia and covers 10,265 square miles or approximately 24 percent of the </w:t>
      </w:r>
      <w:r w:rsidR="00D66F43">
        <w:rPr>
          <w:szCs w:val="24"/>
        </w:rPr>
        <w:t>C</w:t>
      </w:r>
      <w:r w:rsidRPr="00D730B7">
        <w:rPr>
          <w:szCs w:val="24"/>
        </w:rPr>
        <w:t>ommonwealth’s total land area. It is Virginia’s largest river basin and is made up of the Upper, Middle, and Lower James River sub-basins as well as the Appomattox River sub-basin.</w:t>
      </w:r>
    </w:p>
    <w:p w14:paraId="67483579" w14:textId="77777777" w:rsidR="00546B19" w:rsidRPr="00D730B7" w:rsidRDefault="00546B19" w:rsidP="00546B19">
      <w:pPr>
        <w:rPr>
          <w:szCs w:val="24"/>
        </w:rPr>
      </w:pPr>
    </w:p>
    <w:p w14:paraId="583862B5" w14:textId="33A8835A" w:rsidR="00546B19" w:rsidRPr="00D730B7" w:rsidRDefault="00546B19" w:rsidP="00546B19">
      <w:pPr>
        <w:rPr>
          <w:szCs w:val="24"/>
        </w:rPr>
      </w:pPr>
      <w:r w:rsidRPr="00D730B7">
        <w:rPr>
          <w:szCs w:val="24"/>
        </w:rPr>
        <w:t xml:space="preserve">The James River basin is defined by both hydrologic and political boundaries. The Potomac-Shenandoah River basin, the Rappahannock River basin and the York River basins bound the basin to the north. The southern boundary is made up of the New River basin, the Roanoke River basin and the Chowan River basin. Its </w:t>
      </w:r>
      <w:proofErr w:type="gramStart"/>
      <w:r w:rsidRPr="00D730B7">
        <w:rPr>
          <w:szCs w:val="24"/>
        </w:rPr>
        <w:t>headwaters originate</w:t>
      </w:r>
      <w:proofErr w:type="gramEnd"/>
      <w:r w:rsidRPr="00D730B7">
        <w:rPr>
          <w:szCs w:val="24"/>
        </w:rPr>
        <w:t xml:space="preserve"> along the Virginia/West Virginia state line.</w:t>
      </w:r>
    </w:p>
    <w:p w14:paraId="062FAE59" w14:textId="77777777" w:rsidR="00546B19" w:rsidRPr="00D730B7" w:rsidRDefault="00546B19" w:rsidP="00546B19">
      <w:pPr>
        <w:rPr>
          <w:szCs w:val="24"/>
        </w:rPr>
      </w:pPr>
    </w:p>
    <w:p w14:paraId="6E4031B8" w14:textId="62C3DEC6" w:rsidR="00546B19" w:rsidRPr="00D730B7" w:rsidRDefault="00546B19" w:rsidP="00546B19">
      <w:pPr>
        <w:rPr>
          <w:szCs w:val="24"/>
        </w:rPr>
      </w:pPr>
      <w:r w:rsidRPr="00D730B7">
        <w:rPr>
          <w:szCs w:val="24"/>
        </w:rPr>
        <w:t xml:space="preserve">The James River basin begins in the Alleghany Mountains and flows in a southeasterly direction to Hampton Roads where it enters the Chesapeake Bay. </w:t>
      </w:r>
      <w:proofErr w:type="gramStart"/>
      <w:r w:rsidRPr="00D730B7">
        <w:rPr>
          <w:szCs w:val="24"/>
        </w:rPr>
        <w:t>The James</w:t>
      </w:r>
      <w:proofErr w:type="gramEnd"/>
      <w:r w:rsidRPr="00D730B7">
        <w:rPr>
          <w:szCs w:val="24"/>
        </w:rPr>
        <w:t xml:space="preserve"> is formed by the confluence of the Jackson and Cowpasture Rivers and flows 242 miles to the Fall Line at Richmond and another 106 miles to the Chesapeake Bay.</w:t>
      </w:r>
    </w:p>
    <w:p w14:paraId="2FC05230" w14:textId="77777777" w:rsidR="00546B19" w:rsidRPr="00D730B7" w:rsidRDefault="00546B19" w:rsidP="00546B19">
      <w:pPr>
        <w:rPr>
          <w:szCs w:val="24"/>
        </w:rPr>
      </w:pPr>
    </w:p>
    <w:p w14:paraId="001DB61C" w14:textId="5F2F6BF0" w:rsidR="00546B19" w:rsidRPr="00D730B7" w:rsidRDefault="00546B19" w:rsidP="00546B19">
      <w:pPr>
        <w:rPr>
          <w:szCs w:val="24"/>
        </w:rPr>
      </w:pPr>
      <w:r w:rsidRPr="00D730B7">
        <w:rPr>
          <w:szCs w:val="24"/>
        </w:rPr>
        <w:lastRenderedPageBreak/>
        <w:t xml:space="preserve">The topography of the James River basin varies throughout the four physiographic provinces </w:t>
      </w:r>
      <w:proofErr w:type="gramStart"/>
      <w:r w:rsidRPr="00D730B7">
        <w:rPr>
          <w:szCs w:val="24"/>
        </w:rPr>
        <w:t>that it</w:t>
      </w:r>
      <w:proofErr w:type="gramEnd"/>
      <w:r w:rsidRPr="00D730B7">
        <w:rPr>
          <w:szCs w:val="24"/>
        </w:rPr>
        <w:t xml:space="preserve"> spans. The Valley and Ridge Province extends from the Appalachian Plateau in West Virginia to the Blue Ridge Province. The Blue Ridge Province, a remnant of a former highland, differs from the Valley and Ridge Province. It is a province of rugged terrain with steep slopes and narrow ridges in the north and broad moderate slopes in the south. The Piedmont Province extends to the Fall Line and has scattered hills and small mountains, gradually turning into gently rolling slopes and lower elevation in the eastern portion of the province. The Fall Zone separates the Coastal Plain Province from </w:t>
      </w:r>
      <w:proofErr w:type="gramStart"/>
      <w:r w:rsidRPr="00D730B7">
        <w:rPr>
          <w:szCs w:val="24"/>
        </w:rPr>
        <w:t>the Piedmont</w:t>
      </w:r>
      <w:proofErr w:type="gramEnd"/>
      <w:r w:rsidRPr="00D730B7">
        <w:rPr>
          <w:szCs w:val="24"/>
        </w:rPr>
        <w:t>. The Fall Zone is a three-mile stretch of river running through Richmond where the river descends 84 feet as it flows from the resistant rocks of the Piedmont to the softer sediments of the Coastal Plain.</w:t>
      </w:r>
    </w:p>
    <w:p w14:paraId="0EE00C45" w14:textId="77777777" w:rsidR="00546B19" w:rsidRPr="00D730B7" w:rsidRDefault="00546B19" w:rsidP="00546B19">
      <w:pPr>
        <w:rPr>
          <w:szCs w:val="24"/>
        </w:rPr>
      </w:pPr>
    </w:p>
    <w:p w14:paraId="44435A1B" w14:textId="57A43ED5" w:rsidR="00546B19" w:rsidRPr="00D730B7" w:rsidRDefault="00546B19" w:rsidP="00546B19">
      <w:pPr>
        <w:rPr>
          <w:color w:val="000000"/>
          <w:szCs w:val="24"/>
        </w:rPr>
      </w:pPr>
      <w:r w:rsidRPr="00D730B7">
        <w:rPr>
          <w:szCs w:val="24"/>
        </w:rPr>
        <w:t xml:space="preserve">Over 65 percent of the James River basin is forested, with 19 percent in cropland and pasture. Approximately 12 percent </w:t>
      </w:r>
      <w:proofErr w:type="gramStart"/>
      <w:r w:rsidRPr="00D730B7">
        <w:rPr>
          <w:szCs w:val="24"/>
        </w:rPr>
        <w:t>is</w:t>
      </w:r>
      <w:proofErr w:type="gramEnd"/>
      <w:r w:rsidRPr="00D730B7">
        <w:rPr>
          <w:szCs w:val="24"/>
        </w:rPr>
        <w:t xml:space="preserve"> considered urban. The 2010 population for the James River basin was approximately </w:t>
      </w:r>
      <w:r w:rsidRPr="00D730B7">
        <w:rPr>
          <w:color w:val="000000"/>
          <w:szCs w:val="24"/>
        </w:rPr>
        <w:t>2,892,000</w:t>
      </w:r>
      <w:r w:rsidR="00AC5510">
        <w:rPr>
          <w:color w:val="000000"/>
          <w:szCs w:val="24"/>
        </w:rPr>
        <w:t xml:space="preserve"> (VA WIP III)</w:t>
      </w:r>
      <w:r w:rsidRPr="00D730B7">
        <w:rPr>
          <w:szCs w:val="24"/>
        </w:rPr>
        <w:t>. This population is concentrated in two metropolitan areas: Tidewater, with over one million people, and the Greater Richmond – Petersburg area with over 650,000. Two smaller population centers are the Lynchburg and Charlottesville areas, each with over 100,000 people. All or portions of the following 38 counties and 17 cities lie within the basin: counties – Albemarle, Alleghany, Amelia, Amherst, Appomattox, Augusta, Bath, Bedford, Botetourt, Buckingham, Campbell, Charles City, Chesterfield, Craig, Cumberland, Dinwiddie, Fluvanna, Giles, Goochland, Greene, Hanover, Henrico, Highland, Isle of Wight, James City, Louisa, Montgomery, Nelson, New Kent, Nottoway, Orange, Powhatan, Prince Edward, Prince George, Roanoke, Rockbridge, Surry, and York; cities – Buena Vista, Charlottesville, Chesapeake, Colonial Heights, Covington, Hampton, Hopewell, Lexington, Lynchburg, Newport News, Norfolk, Petersburg, Portsmouth, Richmond, Suffolk, Williamsburg, and Virginia Beach.</w:t>
      </w:r>
    </w:p>
    <w:p w14:paraId="66E49800" w14:textId="77777777" w:rsidR="00546B19" w:rsidRPr="00D730B7" w:rsidRDefault="00546B19" w:rsidP="00546B19">
      <w:pPr>
        <w:rPr>
          <w:szCs w:val="24"/>
        </w:rPr>
      </w:pPr>
    </w:p>
    <w:p w14:paraId="6AA83461" w14:textId="7390E61A" w:rsidR="00546B19" w:rsidRPr="00D730B7" w:rsidRDefault="00546B19" w:rsidP="00546B19">
      <w:pPr>
        <w:rPr>
          <w:szCs w:val="24"/>
        </w:rPr>
      </w:pPr>
      <w:r w:rsidRPr="00D730B7">
        <w:rPr>
          <w:szCs w:val="24"/>
        </w:rPr>
        <w:t xml:space="preserve">Average annual precipitation is 42.5 inches. Average annual </w:t>
      </w:r>
      <w:proofErr w:type="gramStart"/>
      <w:r w:rsidRPr="00D730B7">
        <w:rPr>
          <w:szCs w:val="24"/>
        </w:rPr>
        <w:t>snowfall amount</w:t>
      </w:r>
      <w:proofErr w:type="gramEnd"/>
      <w:r w:rsidRPr="00D730B7">
        <w:rPr>
          <w:szCs w:val="24"/>
        </w:rPr>
        <w:t xml:space="preserve"> ranges from over 30 inches in the mountains to less than 10 inches along the coast.</w:t>
      </w:r>
    </w:p>
    <w:p w14:paraId="51EE5B28" w14:textId="77777777" w:rsidR="00546B19" w:rsidRPr="00D730B7" w:rsidRDefault="00546B19" w:rsidP="00546B19">
      <w:pPr>
        <w:rPr>
          <w:szCs w:val="24"/>
        </w:rPr>
      </w:pPr>
    </w:p>
    <w:p w14:paraId="402BF947" w14:textId="77777777" w:rsidR="00546B19" w:rsidRPr="00D730B7" w:rsidRDefault="00546B19" w:rsidP="00546B19">
      <w:pPr>
        <w:rPr>
          <w:szCs w:val="24"/>
        </w:rPr>
      </w:pPr>
      <w:r w:rsidRPr="00D730B7">
        <w:rPr>
          <w:szCs w:val="24"/>
        </w:rPr>
        <w:t>Major tributaries to the James River are Jackson River, Cowpasture River, Craig Creek, Maury River, Tye River, Rockfish River, Slate River, Rivanna River, Willis River, Appomattox River, Chickahominy River, Pagan River, Nansemond River, and the Elizabeth River.</w:t>
      </w:r>
    </w:p>
    <w:p w14:paraId="7206FA46" w14:textId="77777777" w:rsidR="00546B19" w:rsidRPr="00D730B7" w:rsidRDefault="00546B19" w:rsidP="008C67BA"/>
    <w:p w14:paraId="10BC3556" w14:textId="3EB4C8D9" w:rsidR="00546B19" w:rsidRPr="00D730B7" w:rsidRDefault="00546B19" w:rsidP="00546B19">
      <w:pPr>
        <w:rPr>
          <w:szCs w:val="24"/>
        </w:rPr>
      </w:pPr>
      <w:r w:rsidRPr="00D730B7">
        <w:rPr>
          <w:szCs w:val="24"/>
        </w:rPr>
        <w:t>The James River Basin is divided into eight USGS hydrologic units as follows: HUC 02080201 –Upper James, HUC 02080202 – Maury, HUC 02080203 – Upper Middle James, HUC 02080204 – Rivanna, HUC 02080205 – Lower Middle James, HUC 02080206 – Lower James, HUC 02080207 – Appomattox, and HUC 02080208 – the Elizabeth. The eight hydrologic units are further divided into 109 waterbodies or watersheds and 298 6</w:t>
      </w:r>
      <w:r w:rsidRPr="00D730B7">
        <w:rPr>
          <w:szCs w:val="24"/>
          <w:vertAlign w:val="superscript"/>
        </w:rPr>
        <w:t>th</w:t>
      </w:r>
      <w:r w:rsidRPr="00D730B7">
        <w:rPr>
          <w:szCs w:val="24"/>
        </w:rPr>
        <w:t xml:space="preserve"> order sub-watersheds.</w:t>
      </w:r>
    </w:p>
    <w:p w14:paraId="1F56D8EB" w14:textId="77777777" w:rsidR="00546B19" w:rsidRPr="00D730B7" w:rsidRDefault="00546B19" w:rsidP="00546B19">
      <w:pPr>
        <w:rPr>
          <w:szCs w:val="24"/>
        </w:rPr>
      </w:pPr>
    </w:p>
    <w:p w14:paraId="7CF56297" w14:textId="59A8E0BA" w:rsidR="00546B19" w:rsidRPr="00815716" w:rsidRDefault="00546B19" w:rsidP="00815716">
      <w:pPr>
        <w:rPr>
          <w:szCs w:val="24"/>
        </w:rPr>
      </w:pPr>
      <w:r w:rsidRPr="00D730B7">
        <w:rPr>
          <w:szCs w:val="24"/>
        </w:rPr>
        <w:t>Basin assessment information is presented in the following tables and figures.</w:t>
      </w:r>
    </w:p>
    <w:p w14:paraId="2412E9D3" w14:textId="77777777" w:rsidR="00546B19" w:rsidRPr="00815716" w:rsidRDefault="00546B19" w:rsidP="00546B19">
      <w:pPr>
        <w:jc w:val="both"/>
        <w:rPr>
          <w:b/>
          <w:szCs w:val="24"/>
        </w:rPr>
      </w:pPr>
    </w:p>
    <w:p w14:paraId="14AA9860" w14:textId="77777777" w:rsidR="008F20E4" w:rsidRPr="00D730B7" w:rsidRDefault="008F20E4" w:rsidP="008F20E4">
      <w:pPr>
        <w:jc w:val="both"/>
        <w:rPr>
          <w:b/>
          <w:szCs w:val="24"/>
        </w:rPr>
      </w:pPr>
      <w:r>
        <w:rPr>
          <w:b/>
          <w:szCs w:val="24"/>
        </w:rPr>
        <w:t>Total basin water body sizes, note all values rounded to the nearest whole number.</w:t>
      </w:r>
    </w:p>
    <w:p w14:paraId="667BEF88" w14:textId="301803B2" w:rsidR="007A6F66" w:rsidRPr="007A6F66" w:rsidRDefault="007A6F66" w:rsidP="007A6F66">
      <w:pPr>
        <w:rPr>
          <w:szCs w:val="24"/>
        </w:rPr>
      </w:pPr>
      <w:r w:rsidRPr="007A6F66">
        <w:rPr>
          <w:szCs w:val="24"/>
        </w:rPr>
        <w:t>Rivers - 26,06</w:t>
      </w:r>
      <w:r w:rsidR="003D26E7">
        <w:rPr>
          <w:szCs w:val="24"/>
        </w:rPr>
        <w:t>0</w:t>
      </w:r>
      <w:r w:rsidRPr="007A6F66">
        <w:rPr>
          <w:szCs w:val="24"/>
        </w:rPr>
        <w:t xml:space="preserve"> miles</w:t>
      </w:r>
    </w:p>
    <w:p w14:paraId="3BA11B6F" w14:textId="77777777" w:rsidR="007A6F66" w:rsidRPr="007A6F66" w:rsidRDefault="007A6F66" w:rsidP="007A6F66">
      <w:pPr>
        <w:rPr>
          <w:szCs w:val="24"/>
        </w:rPr>
      </w:pPr>
      <w:r w:rsidRPr="007A6F66">
        <w:rPr>
          <w:szCs w:val="24"/>
        </w:rPr>
        <w:t>Lakes - 18,564 acres</w:t>
      </w:r>
    </w:p>
    <w:p w14:paraId="7EE1404E" w14:textId="113A667C" w:rsidR="00546B19" w:rsidRDefault="007A6F66" w:rsidP="00546B19">
      <w:pPr>
        <w:rPr>
          <w:b/>
          <w:szCs w:val="24"/>
        </w:rPr>
      </w:pPr>
      <w:r w:rsidRPr="007A6F66">
        <w:rPr>
          <w:szCs w:val="24"/>
        </w:rPr>
        <w:t>Estuaries - 26</w:t>
      </w:r>
      <w:r w:rsidR="003D26E7">
        <w:rPr>
          <w:szCs w:val="24"/>
        </w:rPr>
        <w:t>5</w:t>
      </w:r>
      <w:r w:rsidRPr="007A6F66">
        <w:rPr>
          <w:szCs w:val="24"/>
        </w:rPr>
        <w:t xml:space="preserve"> sq. miles</w:t>
      </w:r>
    </w:p>
    <w:p w14:paraId="1DAB9F97" w14:textId="38D743A7" w:rsidR="000B6FF6" w:rsidRDefault="00A34CDD" w:rsidP="000B6FF6">
      <w:pPr>
        <w:keepNext/>
        <w:ind w:left="90"/>
        <w:jc w:val="both"/>
      </w:pPr>
      <w:r>
        <w:rPr>
          <w:noProof/>
        </w:rPr>
        <w:lastRenderedPageBreak/>
        <w:drawing>
          <wp:inline distT="0" distB="0" distL="0" distR="0" wp14:anchorId="354B3E67" wp14:editId="30ECEC30">
            <wp:extent cx="5334000" cy="3810000"/>
            <wp:effectExtent l="0" t="0" r="0" b="0"/>
            <wp:docPr id="49" name="Picture" descr="Chart, waterfall chart&#10;&#10;Figure 4.3 6. Designated use summary for rivers in the James River basin (21,413 miles not assessed)."/>
            <wp:cNvGraphicFramePr/>
            <a:graphic xmlns:a="http://schemas.openxmlformats.org/drawingml/2006/main">
              <a:graphicData uri="http://schemas.openxmlformats.org/drawingml/2006/picture">
                <pic:pic xmlns:pic="http://schemas.openxmlformats.org/drawingml/2006/picture">
                  <pic:nvPicPr>
                    <pic:cNvPr id="49" name="Picture" descr="Chart, waterfall chart&#10;&#10;Figure 4.3 6. Designated use summary for rivers in the James River basin (21,413 miles not assessed)."/>
                    <pic:cNvPicPr>
                      <a:picLocks noChangeAspect="1" noChangeArrowheads="1"/>
                    </pic:cNvPicPr>
                  </pic:nvPicPr>
                  <pic:blipFill>
                    <a:blip r:embed="rId149"/>
                    <a:stretch>
                      <a:fillRect/>
                    </a:stretch>
                  </pic:blipFill>
                  <pic:spPr bwMode="auto">
                    <a:xfrm>
                      <a:off x="0" y="0"/>
                      <a:ext cx="5334000" cy="3810000"/>
                    </a:xfrm>
                    <a:prstGeom prst="rect">
                      <a:avLst/>
                    </a:prstGeom>
                    <a:noFill/>
                    <a:ln w="9525">
                      <a:noFill/>
                      <a:headEnd/>
                      <a:tailEnd/>
                    </a:ln>
                  </pic:spPr>
                </pic:pic>
              </a:graphicData>
            </a:graphic>
          </wp:inline>
        </w:drawing>
      </w:r>
    </w:p>
    <w:p w14:paraId="59FB7332" w14:textId="524A18B0" w:rsidR="00206F22" w:rsidRPr="00206F22" w:rsidRDefault="000B6FF6" w:rsidP="000B6FF6">
      <w:pPr>
        <w:pStyle w:val="Caption"/>
        <w:jc w:val="both"/>
      </w:pPr>
      <w:bookmarkStart w:id="117" w:name="_Toc164175062"/>
      <w:bookmarkStart w:id="118" w:name="_Toc152766237"/>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6</w:t>
      </w:r>
      <w:r w:rsidR="004F13BA">
        <w:rPr>
          <w:noProof/>
        </w:rPr>
        <w:fldChar w:fldCharType="end"/>
      </w:r>
      <w:r>
        <w:t xml:space="preserve">. </w:t>
      </w:r>
      <w:r w:rsidR="00E92C09">
        <w:t>Designated use summary for river</w:t>
      </w:r>
      <w:r w:rsidR="00C227E1">
        <w:t>s</w:t>
      </w:r>
      <w:r w:rsidR="00E92C09">
        <w:t xml:space="preserve"> in the </w:t>
      </w:r>
      <w:r w:rsidRPr="0A5BE548">
        <w:t>James River</w:t>
      </w:r>
      <w:r w:rsidR="1293FAA1" w:rsidRPr="0A5BE548">
        <w:t xml:space="preserve"> </w:t>
      </w:r>
      <w:bookmarkEnd w:id="117"/>
      <w:r>
        <w:t>basin</w:t>
      </w:r>
      <w:bookmarkEnd w:id="118"/>
      <w:r w:rsidR="00E03B77">
        <w:t xml:space="preserve"> </w:t>
      </w:r>
      <w:r w:rsidR="00F57EE7">
        <w:t>(</w:t>
      </w:r>
      <w:r w:rsidR="00E03B77">
        <w:t>21,</w:t>
      </w:r>
      <w:r w:rsidR="00E50697">
        <w:t>413</w:t>
      </w:r>
      <w:r w:rsidR="00E03B77">
        <w:t xml:space="preserve"> </w:t>
      </w:r>
      <w:r w:rsidR="00F57EE7">
        <w:t>miles not assessed</w:t>
      </w:r>
      <w:r w:rsidR="00E03B77">
        <w:t>)</w:t>
      </w:r>
      <w:r w:rsidR="00434CD0">
        <w:t>.</w:t>
      </w:r>
    </w:p>
    <w:p w14:paraId="1E7F2D18" w14:textId="50AF58BA" w:rsidR="00546B19" w:rsidRDefault="00546B19" w:rsidP="00546B19">
      <w:pPr>
        <w:rPr>
          <w:b/>
          <w:szCs w:val="24"/>
        </w:rPr>
      </w:pPr>
    </w:p>
    <w:p w14:paraId="22E127DE" w14:textId="4333C0B1" w:rsidR="00FE2007" w:rsidRDefault="009C7A28" w:rsidP="00FE2007">
      <w:pPr>
        <w:keepNext/>
        <w:jc w:val="both"/>
      </w:pPr>
      <w:r>
        <w:rPr>
          <w:noProof/>
        </w:rPr>
        <w:drawing>
          <wp:inline distT="0" distB="0" distL="0" distR="0" wp14:anchorId="337410EE" wp14:editId="6E9FB830">
            <wp:extent cx="5334000" cy="3810000"/>
            <wp:effectExtent l="0" t="0" r="0" b="0"/>
            <wp:docPr id="55" name="Picture" descr="Chart, bar chart&#10;&#10;Figure 4.3 7. Designated use summary for lakes in the James River basin (157 acres not assessed)."/>
            <wp:cNvGraphicFramePr/>
            <a:graphic xmlns:a="http://schemas.openxmlformats.org/drawingml/2006/main">
              <a:graphicData uri="http://schemas.openxmlformats.org/drawingml/2006/picture">
                <pic:pic xmlns:pic="http://schemas.openxmlformats.org/drawingml/2006/picture">
                  <pic:nvPicPr>
                    <pic:cNvPr id="55" name="Picture" descr="Chart, bar chart&#10;&#10;Figure 4.3 7. Designated use summary for lakes in the James River basin (157 acres not assessed)."/>
                    <pic:cNvPicPr>
                      <a:picLocks noChangeAspect="1" noChangeArrowheads="1"/>
                    </pic:cNvPicPr>
                  </pic:nvPicPr>
                  <pic:blipFill>
                    <a:blip r:embed="rId150"/>
                    <a:stretch>
                      <a:fillRect/>
                    </a:stretch>
                  </pic:blipFill>
                  <pic:spPr bwMode="auto">
                    <a:xfrm>
                      <a:off x="0" y="0"/>
                      <a:ext cx="5334000" cy="3810000"/>
                    </a:xfrm>
                    <a:prstGeom prst="rect">
                      <a:avLst/>
                    </a:prstGeom>
                    <a:noFill/>
                    <a:ln w="9525">
                      <a:noFill/>
                      <a:headEnd/>
                      <a:tailEnd/>
                    </a:ln>
                  </pic:spPr>
                </pic:pic>
              </a:graphicData>
            </a:graphic>
          </wp:inline>
        </w:drawing>
      </w:r>
    </w:p>
    <w:p w14:paraId="44BF84BD" w14:textId="26DEEEB2" w:rsidR="00240F88" w:rsidRPr="00240F88" w:rsidRDefault="00FE2007" w:rsidP="00FE2007">
      <w:pPr>
        <w:pStyle w:val="Caption"/>
        <w:jc w:val="both"/>
      </w:pPr>
      <w:bookmarkStart w:id="119" w:name="_Toc164175063"/>
      <w:bookmarkStart w:id="120" w:name="_Toc152766238"/>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7</w:t>
      </w:r>
      <w:r w:rsidR="004F13BA">
        <w:rPr>
          <w:noProof/>
        </w:rPr>
        <w:fldChar w:fldCharType="end"/>
      </w:r>
      <w:r>
        <w:t xml:space="preserve">. </w:t>
      </w:r>
      <w:r w:rsidR="000033E2">
        <w:t>Designated</w:t>
      </w:r>
      <w:r>
        <w:t xml:space="preserve"> use summary for </w:t>
      </w:r>
      <w:r w:rsidR="000033E2">
        <w:t xml:space="preserve">lakes in </w:t>
      </w:r>
      <w:r>
        <w:t xml:space="preserve">the </w:t>
      </w:r>
      <w:r w:rsidRPr="0A5BE548">
        <w:t>James River</w:t>
      </w:r>
      <w:r w:rsidR="21532E25" w:rsidRPr="0A5BE548">
        <w:t xml:space="preserve"> </w:t>
      </w:r>
      <w:bookmarkEnd w:id="119"/>
      <w:r>
        <w:t>basin</w:t>
      </w:r>
      <w:bookmarkEnd w:id="120"/>
      <w:r w:rsidR="00E03B77">
        <w:t xml:space="preserve"> (</w:t>
      </w:r>
      <w:r w:rsidR="00B735A9">
        <w:t>157 acres not assessed</w:t>
      </w:r>
      <w:r w:rsidR="00E03B77">
        <w:t>)</w:t>
      </w:r>
      <w:r w:rsidR="00434CD0">
        <w:t>.</w:t>
      </w:r>
    </w:p>
    <w:p w14:paraId="02542EE4" w14:textId="0BD24FE3" w:rsidR="00546B19" w:rsidRDefault="00546B19" w:rsidP="00546B19">
      <w:pPr>
        <w:rPr>
          <w:b/>
          <w:szCs w:val="24"/>
        </w:rPr>
      </w:pPr>
    </w:p>
    <w:p w14:paraId="31D99381" w14:textId="074CB89D" w:rsidR="00FE2007" w:rsidRDefault="00276DC1" w:rsidP="00FE2007">
      <w:pPr>
        <w:keepNext/>
      </w:pPr>
      <w:r>
        <w:rPr>
          <w:noProof/>
        </w:rPr>
        <w:lastRenderedPageBreak/>
        <w:drawing>
          <wp:inline distT="0" distB="0" distL="0" distR="0" wp14:anchorId="255302FC" wp14:editId="2558EB4F">
            <wp:extent cx="5334000" cy="3810000"/>
            <wp:effectExtent l="0" t="0" r="0" b="0"/>
            <wp:docPr id="61" name="Picture" descr="Chart, bar chart&#10;&#10;Figure 4.3 8. Designated use summary for estuaries in the James River basin (all miles2 assessed)."/>
            <wp:cNvGraphicFramePr/>
            <a:graphic xmlns:a="http://schemas.openxmlformats.org/drawingml/2006/main">
              <a:graphicData uri="http://schemas.openxmlformats.org/drawingml/2006/picture">
                <pic:pic xmlns:pic="http://schemas.openxmlformats.org/drawingml/2006/picture">
                  <pic:nvPicPr>
                    <pic:cNvPr id="61" name="Picture" descr="Chart, bar chart&#10;&#10;Figure 4.3 8. Designated use summary for estuaries in the James River basin (all miles2 assessed)."/>
                    <pic:cNvPicPr>
                      <a:picLocks noChangeAspect="1" noChangeArrowheads="1"/>
                    </pic:cNvPicPr>
                  </pic:nvPicPr>
                  <pic:blipFill>
                    <a:blip r:embed="rId151"/>
                    <a:stretch>
                      <a:fillRect/>
                    </a:stretch>
                  </pic:blipFill>
                  <pic:spPr bwMode="auto">
                    <a:xfrm>
                      <a:off x="0" y="0"/>
                      <a:ext cx="5334000" cy="3810000"/>
                    </a:xfrm>
                    <a:prstGeom prst="rect">
                      <a:avLst/>
                    </a:prstGeom>
                    <a:noFill/>
                    <a:ln w="9525">
                      <a:noFill/>
                      <a:headEnd/>
                      <a:tailEnd/>
                    </a:ln>
                  </pic:spPr>
                </pic:pic>
              </a:graphicData>
            </a:graphic>
          </wp:inline>
        </w:drawing>
      </w:r>
    </w:p>
    <w:p w14:paraId="5DF21C08" w14:textId="16CD33DE" w:rsidR="000033E2" w:rsidRPr="00240F88" w:rsidRDefault="00FE2007" w:rsidP="0A5BE548">
      <w:pPr>
        <w:pStyle w:val="Caption"/>
        <w:jc w:val="both"/>
        <w:rPr>
          <w:b/>
          <w:bCs/>
        </w:rPr>
      </w:pPr>
      <w:bookmarkStart w:id="121" w:name="_Toc164175064"/>
      <w:bookmarkStart w:id="122" w:name="_Toc152766239"/>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8</w:t>
      </w:r>
      <w:r w:rsidR="004F13BA">
        <w:rPr>
          <w:noProof/>
        </w:rPr>
        <w:fldChar w:fldCharType="end"/>
      </w:r>
      <w:r>
        <w:t xml:space="preserve">. </w:t>
      </w:r>
      <w:r w:rsidR="000033E2">
        <w:t>Designated</w:t>
      </w:r>
      <w:r>
        <w:t xml:space="preserve"> use summary for </w:t>
      </w:r>
      <w:r w:rsidR="000033E2">
        <w:t xml:space="preserve">estuaries in </w:t>
      </w:r>
      <w:r>
        <w:t xml:space="preserve">the </w:t>
      </w:r>
      <w:r w:rsidRPr="0A5BE548">
        <w:t>James River</w:t>
      </w:r>
      <w:r w:rsidR="3640632A" w:rsidRPr="0A5BE548">
        <w:t xml:space="preserve"> </w:t>
      </w:r>
      <w:bookmarkEnd w:id="121"/>
      <w:r>
        <w:t>basin</w:t>
      </w:r>
      <w:r w:rsidR="00B735A9">
        <w:t xml:space="preserve"> (</w:t>
      </w:r>
      <w:r w:rsidR="00914C9F">
        <w:t xml:space="preserve">all </w:t>
      </w:r>
      <w:r w:rsidR="00B735A9">
        <w:t>miles</w:t>
      </w:r>
      <w:r w:rsidR="00B735A9" w:rsidRPr="0A5BE548">
        <w:rPr>
          <w:vertAlign w:val="superscript"/>
        </w:rPr>
        <w:t>2</w:t>
      </w:r>
      <w:r w:rsidR="00B735A9">
        <w:t xml:space="preserve"> assessed</w:t>
      </w:r>
      <w:r w:rsidR="00914C9F">
        <w:t>)</w:t>
      </w:r>
      <w:r>
        <w:t>.</w:t>
      </w:r>
      <w:bookmarkEnd w:id="122"/>
    </w:p>
    <w:p w14:paraId="2C2A5658" w14:textId="77431CB2" w:rsidR="00546B19" w:rsidRDefault="00546B19" w:rsidP="00546B19">
      <w:pPr>
        <w:rPr>
          <w:b/>
          <w:szCs w:val="24"/>
        </w:rPr>
      </w:pPr>
    </w:p>
    <w:p w14:paraId="5927FEC9" w14:textId="3A74B756" w:rsidR="00FE2007" w:rsidRDefault="00B769F7" w:rsidP="00FE2007">
      <w:pPr>
        <w:keepNext/>
        <w:jc w:val="both"/>
      </w:pPr>
      <w:r>
        <w:rPr>
          <w:noProof/>
        </w:rPr>
        <w:drawing>
          <wp:inline distT="0" distB="0" distL="0" distR="0" wp14:anchorId="2AAA22A7" wp14:editId="7C71CE52">
            <wp:extent cx="5334000" cy="3810000"/>
            <wp:effectExtent l="0" t="0" r="0" b="0"/>
            <wp:docPr id="67" name="Picture" descr="Bar Chart&#10;&#10;Figure 4.3 9. Chesapeake Bay-specific designated use summary for the James River basin.basin."/>
            <wp:cNvGraphicFramePr/>
            <a:graphic xmlns:a="http://schemas.openxmlformats.org/drawingml/2006/main">
              <a:graphicData uri="http://schemas.openxmlformats.org/drawingml/2006/picture">
                <pic:pic xmlns:pic="http://schemas.openxmlformats.org/drawingml/2006/picture">
                  <pic:nvPicPr>
                    <pic:cNvPr id="67" name="Picture" descr="Bar Chart&#10;&#10;Figure 4.3 9. Chesapeake Bay-specific designated use summary for the James River basin.basin."/>
                    <pic:cNvPicPr>
                      <a:picLocks noChangeAspect="1" noChangeArrowheads="1"/>
                    </pic:cNvPicPr>
                  </pic:nvPicPr>
                  <pic:blipFill>
                    <a:blip r:embed="rId152"/>
                    <a:stretch>
                      <a:fillRect/>
                    </a:stretch>
                  </pic:blipFill>
                  <pic:spPr bwMode="auto">
                    <a:xfrm>
                      <a:off x="0" y="0"/>
                      <a:ext cx="5334000" cy="3810000"/>
                    </a:xfrm>
                    <a:prstGeom prst="rect">
                      <a:avLst/>
                    </a:prstGeom>
                    <a:noFill/>
                    <a:ln w="9525">
                      <a:noFill/>
                      <a:headEnd/>
                      <a:tailEnd/>
                    </a:ln>
                  </pic:spPr>
                </pic:pic>
              </a:graphicData>
            </a:graphic>
          </wp:inline>
        </w:drawing>
      </w:r>
    </w:p>
    <w:p w14:paraId="670680A6" w14:textId="14F1EB3E" w:rsidR="00D04429" w:rsidRPr="0062574F" w:rsidRDefault="00FE2007" w:rsidP="00D04429">
      <w:pPr>
        <w:pStyle w:val="Caption"/>
        <w:jc w:val="both"/>
      </w:pPr>
      <w:bookmarkStart w:id="123" w:name="_Toc164175065"/>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9</w:t>
      </w:r>
      <w:r w:rsidR="004F13BA">
        <w:rPr>
          <w:noProof/>
        </w:rPr>
        <w:fldChar w:fldCharType="end"/>
      </w:r>
      <w:r>
        <w:t xml:space="preserve">. </w:t>
      </w:r>
      <w:r w:rsidR="008D2E9F">
        <w:t>Chesapeake Bay-specific designated use summary</w:t>
      </w:r>
      <w:r w:rsidR="008D2E9F" w:rsidRPr="0A5BE548">
        <w:rPr>
          <w:rFonts w:cstheme="minorBidi"/>
        </w:rPr>
        <w:t xml:space="preserve"> for </w:t>
      </w:r>
      <w:r w:rsidR="00A24A88">
        <w:t>the James River</w:t>
      </w:r>
      <w:r w:rsidR="2296CD76">
        <w:t xml:space="preserve"> </w:t>
      </w:r>
      <w:bookmarkEnd w:id="123"/>
      <w:r w:rsidR="00E17686">
        <w:t>basin</w:t>
      </w:r>
      <w:r w:rsidR="00E17686" w:rsidRPr="00E17686">
        <w:rPr>
          <w:szCs w:val="24"/>
        </w:rPr>
        <w:t>.</w:t>
      </w:r>
    </w:p>
    <w:p w14:paraId="452DCA62" w14:textId="77777777" w:rsidR="00546B19" w:rsidRPr="00D730B7" w:rsidRDefault="00546B19" w:rsidP="00546B19">
      <w:pPr>
        <w:tabs>
          <w:tab w:val="left" w:pos="0"/>
        </w:tabs>
        <w:jc w:val="both"/>
        <w:rPr>
          <w:b/>
          <w:szCs w:val="24"/>
        </w:rPr>
      </w:pPr>
    </w:p>
    <w:p w14:paraId="7661364E" w14:textId="77990077" w:rsidR="0043251B" w:rsidRPr="00CD5013" w:rsidRDefault="00FE2007" w:rsidP="0043251B">
      <w:pPr>
        <w:pStyle w:val="Caption"/>
      </w:pPr>
      <w:bookmarkStart w:id="124" w:name="_Toc164175167"/>
      <w:r>
        <w:lastRenderedPageBreak/>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3</w:t>
      </w:r>
      <w:r w:rsidR="004F13BA">
        <w:rPr>
          <w:noProof/>
        </w:rPr>
        <w:fldChar w:fldCharType="end"/>
      </w:r>
      <w:r>
        <w:t>.</w:t>
      </w:r>
      <w:r w:rsidRPr="00FE2007">
        <w:t xml:space="preserve"> Significant causes of use impairment in the James River</w:t>
      </w:r>
      <w:r w:rsidR="3484AA9E">
        <w:t xml:space="preserve"> </w:t>
      </w:r>
      <w:r w:rsidRPr="00FE2007">
        <w:t>basin</w:t>
      </w:r>
      <w:bookmarkEnd w:id="124"/>
      <w:r>
        <w:t>, by waterbody type, ranked by percentage of impaired water size. (Note: Waters can have multiple pollutants.)</w:t>
      </w:r>
    </w:p>
    <w:tbl>
      <w:tblPr>
        <w:tblStyle w:val="TableGrid"/>
        <w:tblW w:w="9715" w:type="dxa"/>
        <w:tblCellMar>
          <w:left w:w="115" w:type="dxa"/>
          <w:right w:w="115" w:type="dxa"/>
        </w:tblCellMar>
        <w:tblLook w:val="04A0" w:firstRow="1" w:lastRow="0" w:firstColumn="1" w:lastColumn="0" w:noHBand="0" w:noVBand="1"/>
        <w:tblCaption w:val="Table of James River Basin Significant Causes of Designated Use Impairment"/>
        <w:tblDescription w:val="James River Basin significant causes of Designated Use impairment for rivers, lakes, and estuaries ranked by percent of impaired water size"/>
      </w:tblPr>
      <w:tblGrid>
        <w:gridCol w:w="2515"/>
        <w:gridCol w:w="650"/>
        <w:gridCol w:w="2781"/>
        <w:gridCol w:w="611"/>
        <w:gridCol w:w="2529"/>
        <w:gridCol w:w="629"/>
      </w:tblGrid>
      <w:tr w:rsidR="00546B19" w:rsidRPr="00D730B7" w14:paraId="4DCFCF18" w14:textId="77777777" w:rsidTr="00FF6A00">
        <w:trPr>
          <w:cantSplit/>
          <w:trHeight w:val="360"/>
          <w:tblHeader/>
        </w:trPr>
        <w:tc>
          <w:tcPr>
            <w:tcW w:w="3165" w:type="dxa"/>
            <w:gridSpan w:val="2"/>
            <w:vAlign w:val="center"/>
          </w:tcPr>
          <w:p w14:paraId="08B9FE07" w14:textId="77777777" w:rsidR="00546B19" w:rsidRPr="00DB100D" w:rsidRDefault="00546B19" w:rsidP="00FF6A00">
            <w:pPr>
              <w:jc w:val="center"/>
              <w:rPr>
                <w:b/>
                <w:iCs/>
                <w:sz w:val="22"/>
                <w:szCs w:val="22"/>
              </w:rPr>
            </w:pPr>
            <w:r w:rsidRPr="00DB100D">
              <w:rPr>
                <w:b/>
                <w:iCs/>
                <w:sz w:val="22"/>
                <w:szCs w:val="22"/>
              </w:rPr>
              <w:t>Rivers</w:t>
            </w:r>
          </w:p>
        </w:tc>
        <w:tc>
          <w:tcPr>
            <w:tcW w:w="3392" w:type="dxa"/>
            <w:gridSpan w:val="2"/>
            <w:vAlign w:val="center"/>
          </w:tcPr>
          <w:p w14:paraId="6252FFA6" w14:textId="77777777" w:rsidR="00546B19" w:rsidRPr="00DB100D" w:rsidRDefault="00546B19" w:rsidP="00FF6A00">
            <w:pPr>
              <w:jc w:val="center"/>
              <w:rPr>
                <w:b/>
                <w:iCs/>
                <w:sz w:val="22"/>
                <w:szCs w:val="22"/>
              </w:rPr>
            </w:pPr>
            <w:r w:rsidRPr="00DB100D">
              <w:rPr>
                <w:b/>
                <w:iCs/>
                <w:sz w:val="22"/>
                <w:szCs w:val="22"/>
              </w:rPr>
              <w:t>Lakes</w:t>
            </w:r>
          </w:p>
        </w:tc>
        <w:tc>
          <w:tcPr>
            <w:tcW w:w="3158" w:type="dxa"/>
            <w:gridSpan w:val="2"/>
            <w:vAlign w:val="center"/>
          </w:tcPr>
          <w:p w14:paraId="25266A7C" w14:textId="77777777" w:rsidR="00546B19" w:rsidRPr="00DB100D" w:rsidRDefault="00546B19" w:rsidP="00FF6A00">
            <w:pPr>
              <w:jc w:val="center"/>
              <w:rPr>
                <w:b/>
                <w:iCs/>
                <w:sz w:val="22"/>
                <w:szCs w:val="22"/>
              </w:rPr>
            </w:pPr>
            <w:r w:rsidRPr="00DB100D">
              <w:rPr>
                <w:b/>
                <w:iCs/>
                <w:sz w:val="22"/>
                <w:szCs w:val="22"/>
              </w:rPr>
              <w:t>Estuaries</w:t>
            </w:r>
          </w:p>
        </w:tc>
      </w:tr>
      <w:tr w:rsidR="00FF6A00" w:rsidRPr="00D730B7" w14:paraId="773A38A6" w14:textId="77777777" w:rsidTr="00FF6A00">
        <w:trPr>
          <w:cantSplit/>
          <w:trHeight w:val="360"/>
        </w:trPr>
        <w:tc>
          <w:tcPr>
            <w:tcW w:w="2515" w:type="dxa"/>
            <w:vAlign w:val="center"/>
          </w:tcPr>
          <w:p w14:paraId="3848A077" w14:textId="7E577F02" w:rsidR="00FF6A00" w:rsidRPr="00DB100D" w:rsidRDefault="00FF6A00" w:rsidP="00FF6A00">
            <w:pPr>
              <w:jc w:val="center"/>
              <w:rPr>
                <w:b/>
                <w:sz w:val="22"/>
                <w:szCs w:val="22"/>
              </w:rPr>
            </w:pPr>
            <w:r>
              <w:rPr>
                <w:rFonts w:ascii="Calibri" w:hAnsi="Calibri" w:cs="Calibri"/>
                <w:color w:val="000000"/>
                <w:sz w:val="22"/>
                <w:szCs w:val="22"/>
              </w:rPr>
              <w:t>Bacteria</w:t>
            </w:r>
          </w:p>
        </w:tc>
        <w:tc>
          <w:tcPr>
            <w:tcW w:w="650" w:type="dxa"/>
            <w:vAlign w:val="center"/>
          </w:tcPr>
          <w:p w14:paraId="5540B96A" w14:textId="79A8E96F" w:rsidR="00FF6A00" w:rsidRPr="00DB100D" w:rsidRDefault="00FF6A00" w:rsidP="00FF6A00">
            <w:pPr>
              <w:jc w:val="center"/>
              <w:rPr>
                <w:sz w:val="22"/>
                <w:szCs w:val="22"/>
              </w:rPr>
            </w:pPr>
            <w:r>
              <w:rPr>
                <w:rFonts w:ascii="Calibri" w:hAnsi="Calibri" w:cs="Calibri"/>
                <w:color w:val="000000"/>
                <w:sz w:val="22"/>
                <w:szCs w:val="22"/>
              </w:rPr>
              <w:t>76%</w:t>
            </w:r>
          </w:p>
        </w:tc>
        <w:tc>
          <w:tcPr>
            <w:tcW w:w="2781" w:type="dxa"/>
            <w:vAlign w:val="center"/>
          </w:tcPr>
          <w:p w14:paraId="2F15FC96" w14:textId="3F272F72" w:rsidR="00FF6A00" w:rsidRPr="00DB100D" w:rsidRDefault="00FF6A00" w:rsidP="00FF6A00">
            <w:pPr>
              <w:jc w:val="center"/>
              <w:rPr>
                <w:b/>
                <w:sz w:val="22"/>
                <w:szCs w:val="22"/>
              </w:rPr>
            </w:pPr>
            <w:r>
              <w:rPr>
                <w:rFonts w:ascii="Calibri" w:hAnsi="Calibri" w:cs="Calibri"/>
                <w:color w:val="000000"/>
                <w:sz w:val="22"/>
                <w:szCs w:val="22"/>
              </w:rPr>
              <w:t>Dissolved Oxygen</w:t>
            </w:r>
          </w:p>
        </w:tc>
        <w:tc>
          <w:tcPr>
            <w:tcW w:w="611" w:type="dxa"/>
            <w:vAlign w:val="center"/>
          </w:tcPr>
          <w:p w14:paraId="7987E19A" w14:textId="316A5714" w:rsidR="00FF6A00" w:rsidRPr="00DB100D" w:rsidRDefault="00FF6A00" w:rsidP="00FF6A00">
            <w:pPr>
              <w:jc w:val="center"/>
              <w:rPr>
                <w:sz w:val="22"/>
                <w:szCs w:val="22"/>
              </w:rPr>
            </w:pPr>
            <w:r>
              <w:rPr>
                <w:rFonts w:ascii="Calibri" w:hAnsi="Calibri" w:cs="Calibri"/>
                <w:color w:val="000000"/>
                <w:sz w:val="22"/>
                <w:szCs w:val="22"/>
              </w:rPr>
              <w:t>79%</w:t>
            </w:r>
          </w:p>
        </w:tc>
        <w:tc>
          <w:tcPr>
            <w:tcW w:w="2529" w:type="dxa"/>
            <w:vAlign w:val="center"/>
          </w:tcPr>
          <w:p w14:paraId="6CE6CC5A" w14:textId="7A26D665" w:rsidR="00FF6A00" w:rsidRPr="00DB100D" w:rsidRDefault="00FF6A00" w:rsidP="00FF6A00">
            <w:pPr>
              <w:jc w:val="center"/>
              <w:rPr>
                <w:b/>
                <w:sz w:val="22"/>
                <w:szCs w:val="22"/>
              </w:rPr>
            </w:pPr>
            <w:r>
              <w:rPr>
                <w:rFonts w:ascii="Calibri" w:hAnsi="Calibri" w:cs="Calibri"/>
                <w:color w:val="000000"/>
                <w:sz w:val="22"/>
                <w:szCs w:val="22"/>
              </w:rPr>
              <w:t>PCBs in Fish Tissue</w:t>
            </w:r>
          </w:p>
        </w:tc>
        <w:tc>
          <w:tcPr>
            <w:tcW w:w="629" w:type="dxa"/>
            <w:vAlign w:val="center"/>
          </w:tcPr>
          <w:p w14:paraId="6D3A78D3" w14:textId="044F6BFC" w:rsidR="00FF6A00" w:rsidRPr="00DB100D" w:rsidRDefault="00FF6A00" w:rsidP="00FF6A00">
            <w:pPr>
              <w:jc w:val="center"/>
              <w:rPr>
                <w:sz w:val="22"/>
                <w:szCs w:val="22"/>
              </w:rPr>
            </w:pPr>
            <w:r>
              <w:rPr>
                <w:rFonts w:ascii="Calibri" w:hAnsi="Calibri" w:cs="Calibri"/>
                <w:color w:val="000000"/>
                <w:sz w:val="22"/>
                <w:szCs w:val="22"/>
              </w:rPr>
              <w:t>94%</w:t>
            </w:r>
          </w:p>
        </w:tc>
      </w:tr>
      <w:tr w:rsidR="00FF6A00" w:rsidRPr="00D730B7" w14:paraId="6CB01BFD" w14:textId="77777777" w:rsidTr="00FF6A00">
        <w:trPr>
          <w:cantSplit/>
          <w:trHeight w:val="360"/>
        </w:trPr>
        <w:tc>
          <w:tcPr>
            <w:tcW w:w="2515" w:type="dxa"/>
            <w:vAlign w:val="center"/>
          </w:tcPr>
          <w:p w14:paraId="0F9C3E34" w14:textId="11E7C988" w:rsidR="00FF6A00" w:rsidRPr="00DB100D" w:rsidRDefault="00FF6A00" w:rsidP="00FF6A00">
            <w:pPr>
              <w:jc w:val="center"/>
              <w:rPr>
                <w:b/>
                <w:sz w:val="22"/>
                <w:szCs w:val="22"/>
              </w:rPr>
            </w:pPr>
            <w:r>
              <w:rPr>
                <w:rFonts w:ascii="Calibri" w:hAnsi="Calibri" w:cs="Calibri"/>
                <w:color w:val="000000"/>
                <w:sz w:val="22"/>
                <w:szCs w:val="22"/>
              </w:rPr>
              <w:t>Impaired Benthics</w:t>
            </w:r>
          </w:p>
        </w:tc>
        <w:tc>
          <w:tcPr>
            <w:tcW w:w="650" w:type="dxa"/>
            <w:vAlign w:val="center"/>
          </w:tcPr>
          <w:p w14:paraId="780B1B24" w14:textId="6BFC60C5" w:rsidR="00FF6A00" w:rsidRPr="00DB100D" w:rsidRDefault="00FF6A00" w:rsidP="00FF6A00">
            <w:pPr>
              <w:jc w:val="center"/>
              <w:rPr>
                <w:sz w:val="22"/>
                <w:szCs w:val="22"/>
              </w:rPr>
            </w:pPr>
            <w:r>
              <w:rPr>
                <w:rFonts w:ascii="Calibri" w:hAnsi="Calibri" w:cs="Calibri"/>
                <w:color w:val="000000"/>
                <w:sz w:val="22"/>
                <w:szCs w:val="22"/>
              </w:rPr>
              <w:t>21%</w:t>
            </w:r>
          </w:p>
        </w:tc>
        <w:tc>
          <w:tcPr>
            <w:tcW w:w="2781" w:type="dxa"/>
            <w:vAlign w:val="center"/>
          </w:tcPr>
          <w:p w14:paraId="5D1D3481" w14:textId="77D96C75" w:rsidR="00FF6A00" w:rsidRPr="00DB100D" w:rsidRDefault="00FF6A00" w:rsidP="00FF6A00">
            <w:pPr>
              <w:jc w:val="center"/>
              <w:rPr>
                <w:b/>
                <w:sz w:val="22"/>
                <w:szCs w:val="22"/>
              </w:rPr>
            </w:pPr>
            <w:r>
              <w:rPr>
                <w:rFonts w:ascii="Calibri" w:hAnsi="Calibri" w:cs="Calibri"/>
                <w:color w:val="000000"/>
                <w:sz w:val="22"/>
                <w:szCs w:val="22"/>
              </w:rPr>
              <w:t>Mercury in Fish Tissue</w:t>
            </w:r>
          </w:p>
        </w:tc>
        <w:tc>
          <w:tcPr>
            <w:tcW w:w="611" w:type="dxa"/>
            <w:vAlign w:val="center"/>
          </w:tcPr>
          <w:p w14:paraId="44741F97" w14:textId="01D62094" w:rsidR="00FF6A00" w:rsidRPr="00DB100D" w:rsidRDefault="00FF6A00" w:rsidP="00FF6A00">
            <w:pPr>
              <w:jc w:val="center"/>
              <w:rPr>
                <w:sz w:val="22"/>
                <w:szCs w:val="22"/>
              </w:rPr>
            </w:pPr>
            <w:r>
              <w:rPr>
                <w:rFonts w:ascii="Calibri" w:hAnsi="Calibri" w:cs="Calibri"/>
                <w:color w:val="000000"/>
                <w:sz w:val="22"/>
                <w:szCs w:val="22"/>
              </w:rPr>
              <w:t>21%</w:t>
            </w:r>
          </w:p>
        </w:tc>
        <w:tc>
          <w:tcPr>
            <w:tcW w:w="2529" w:type="dxa"/>
            <w:vAlign w:val="center"/>
          </w:tcPr>
          <w:p w14:paraId="35ECBED2" w14:textId="1B758CCC" w:rsidR="00FF6A00" w:rsidRPr="00DB100D" w:rsidRDefault="00FF6A00" w:rsidP="00FF6A00">
            <w:pPr>
              <w:jc w:val="center"/>
              <w:rPr>
                <w:b/>
                <w:sz w:val="22"/>
                <w:szCs w:val="22"/>
              </w:rPr>
            </w:pPr>
            <w:r>
              <w:rPr>
                <w:rFonts w:ascii="Calibri" w:hAnsi="Calibri" w:cs="Calibri"/>
                <w:color w:val="000000"/>
                <w:sz w:val="22"/>
                <w:szCs w:val="22"/>
              </w:rPr>
              <w:t>SAV</w:t>
            </w:r>
          </w:p>
        </w:tc>
        <w:tc>
          <w:tcPr>
            <w:tcW w:w="629" w:type="dxa"/>
            <w:vAlign w:val="center"/>
          </w:tcPr>
          <w:p w14:paraId="56614565" w14:textId="548C28A9" w:rsidR="00FF6A00" w:rsidRPr="00DB100D" w:rsidRDefault="00FF6A00" w:rsidP="00FF6A00">
            <w:pPr>
              <w:jc w:val="center"/>
              <w:rPr>
                <w:sz w:val="22"/>
                <w:szCs w:val="22"/>
              </w:rPr>
            </w:pPr>
            <w:r>
              <w:rPr>
                <w:rFonts w:ascii="Calibri" w:hAnsi="Calibri" w:cs="Calibri"/>
                <w:color w:val="000000"/>
                <w:sz w:val="22"/>
                <w:szCs w:val="22"/>
              </w:rPr>
              <w:t>71%</w:t>
            </w:r>
          </w:p>
        </w:tc>
      </w:tr>
      <w:tr w:rsidR="00FF6A00" w:rsidRPr="00D730B7" w14:paraId="03C5E2A2" w14:textId="77777777" w:rsidTr="00FF6A00">
        <w:trPr>
          <w:cantSplit/>
          <w:trHeight w:val="360"/>
        </w:trPr>
        <w:tc>
          <w:tcPr>
            <w:tcW w:w="2515" w:type="dxa"/>
            <w:vAlign w:val="center"/>
          </w:tcPr>
          <w:p w14:paraId="3B2EB31E" w14:textId="3376A042" w:rsidR="00FF6A00" w:rsidRPr="00DB100D" w:rsidRDefault="00FF6A00" w:rsidP="00FF6A00">
            <w:pPr>
              <w:jc w:val="center"/>
              <w:rPr>
                <w:b/>
                <w:sz w:val="22"/>
                <w:szCs w:val="22"/>
              </w:rPr>
            </w:pPr>
            <w:r>
              <w:rPr>
                <w:rFonts w:ascii="Calibri" w:hAnsi="Calibri" w:cs="Calibri"/>
                <w:color w:val="000000"/>
                <w:sz w:val="22"/>
                <w:szCs w:val="22"/>
              </w:rPr>
              <w:t>PCBs in Fish Tissue</w:t>
            </w:r>
          </w:p>
        </w:tc>
        <w:tc>
          <w:tcPr>
            <w:tcW w:w="650" w:type="dxa"/>
            <w:vAlign w:val="center"/>
          </w:tcPr>
          <w:p w14:paraId="099A69A2" w14:textId="01B61288" w:rsidR="00FF6A00" w:rsidRPr="00DB100D" w:rsidRDefault="00FF6A00" w:rsidP="00FF6A00">
            <w:pPr>
              <w:jc w:val="center"/>
              <w:rPr>
                <w:sz w:val="22"/>
                <w:szCs w:val="22"/>
              </w:rPr>
            </w:pPr>
            <w:r>
              <w:rPr>
                <w:rFonts w:ascii="Calibri" w:hAnsi="Calibri" w:cs="Calibri"/>
                <w:color w:val="000000"/>
                <w:sz w:val="22"/>
                <w:szCs w:val="22"/>
              </w:rPr>
              <w:t>9%</w:t>
            </w:r>
          </w:p>
        </w:tc>
        <w:tc>
          <w:tcPr>
            <w:tcW w:w="2781" w:type="dxa"/>
            <w:vAlign w:val="center"/>
          </w:tcPr>
          <w:p w14:paraId="03D31644" w14:textId="3111D7CB" w:rsidR="00FF6A00" w:rsidRPr="00DB100D" w:rsidRDefault="00FF6A00" w:rsidP="00FF6A00">
            <w:pPr>
              <w:jc w:val="center"/>
              <w:rPr>
                <w:b/>
                <w:sz w:val="22"/>
                <w:szCs w:val="22"/>
              </w:rPr>
            </w:pPr>
            <w:r>
              <w:rPr>
                <w:rFonts w:ascii="Calibri" w:hAnsi="Calibri" w:cs="Calibri"/>
                <w:color w:val="000000"/>
                <w:sz w:val="22"/>
                <w:szCs w:val="22"/>
              </w:rPr>
              <w:t>pH</w:t>
            </w:r>
          </w:p>
        </w:tc>
        <w:tc>
          <w:tcPr>
            <w:tcW w:w="611" w:type="dxa"/>
            <w:vAlign w:val="center"/>
          </w:tcPr>
          <w:p w14:paraId="5409DAD6" w14:textId="0C42C98D" w:rsidR="00FF6A00" w:rsidRPr="00DB100D" w:rsidRDefault="00FF6A00" w:rsidP="00FF6A00">
            <w:pPr>
              <w:jc w:val="center"/>
              <w:rPr>
                <w:sz w:val="22"/>
                <w:szCs w:val="22"/>
              </w:rPr>
            </w:pPr>
            <w:r>
              <w:rPr>
                <w:rFonts w:ascii="Calibri" w:hAnsi="Calibri" w:cs="Calibri"/>
                <w:color w:val="000000"/>
                <w:sz w:val="22"/>
                <w:szCs w:val="22"/>
              </w:rPr>
              <w:t>5%</w:t>
            </w:r>
          </w:p>
        </w:tc>
        <w:tc>
          <w:tcPr>
            <w:tcW w:w="2529" w:type="dxa"/>
            <w:vAlign w:val="center"/>
          </w:tcPr>
          <w:p w14:paraId="191D1D0F" w14:textId="2EF876D5" w:rsidR="00FF6A00" w:rsidRPr="00DB100D" w:rsidRDefault="00FF6A00" w:rsidP="00FF6A00">
            <w:pPr>
              <w:jc w:val="center"/>
              <w:rPr>
                <w:b/>
                <w:sz w:val="22"/>
                <w:szCs w:val="22"/>
              </w:rPr>
            </w:pPr>
            <w:r>
              <w:rPr>
                <w:rFonts w:ascii="Calibri" w:hAnsi="Calibri" w:cs="Calibri"/>
                <w:color w:val="000000"/>
                <w:sz w:val="22"/>
                <w:szCs w:val="22"/>
              </w:rPr>
              <w:t>Estuarine Bioassessments</w:t>
            </w:r>
          </w:p>
        </w:tc>
        <w:tc>
          <w:tcPr>
            <w:tcW w:w="629" w:type="dxa"/>
            <w:vAlign w:val="center"/>
          </w:tcPr>
          <w:p w14:paraId="0CF08FB6" w14:textId="6BFEA1FB" w:rsidR="00FF6A00" w:rsidRPr="00DB100D" w:rsidRDefault="0041577D" w:rsidP="00FF6A00">
            <w:pPr>
              <w:jc w:val="center"/>
              <w:rPr>
                <w:sz w:val="22"/>
                <w:szCs w:val="22"/>
              </w:rPr>
            </w:pPr>
            <w:r>
              <w:rPr>
                <w:rFonts w:ascii="Calibri" w:hAnsi="Calibri" w:cs="Calibri"/>
                <w:color w:val="000000"/>
                <w:sz w:val="22"/>
                <w:szCs w:val="22"/>
              </w:rPr>
              <w:t>53</w:t>
            </w:r>
            <w:r w:rsidR="00FF6A00">
              <w:rPr>
                <w:rFonts w:ascii="Calibri" w:hAnsi="Calibri" w:cs="Calibri"/>
                <w:color w:val="000000"/>
                <w:sz w:val="22"/>
                <w:szCs w:val="22"/>
              </w:rPr>
              <w:t>%</w:t>
            </w:r>
          </w:p>
        </w:tc>
      </w:tr>
      <w:tr w:rsidR="00FF6A00" w:rsidRPr="00D730B7" w14:paraId="3E977B09" w14:textId="77777777" w:rsidTr="00FF6A00">
        <w:trPr>
          <w:cantSplit/>
          <w:trHeight w:val="360"/>
        </w:trPr>
        <w:tc>
          <w:tcPr>
            <w:tcW w:w="2515" w:type="dxa"/>
            <w:vAlign w:val="center"/>
          </w:tcPr>
          <w:p w14:paraId="59940617" w14:textId="2B64F345" w:rsidR="00FF6A00" w:rsidRPr="00DB100D" w:rsidRDefault="00FF6A00" w:rsidP="00FF6A00">
            <w:pPr>
              <w:jc w:val="center"/>
              <w:rPr>
                <w:b/>
                <w:sz w:val="22"/>
                <w:szCs w:val="22"/>
              </w:rPr>
            </w:pPr>
            <w:r>
              <w:rPr>
                <w:rFonts w:ascii="Calibri" w:hAnsi="Calibri" w:cs="Calibri"/>
                <w:color w:val="000000"/>
                <w:sz w:val="22"/>
                <w:szCs w:val="22"/>
              </w:rPr>
              <w:t>Dissolved Oxygen</w:t>
            </w:r>
          </w:p>
        </w:tc>
        <w:tc>
          <w:tcPr>
            <w:tcW w:w="650" w:type="dxa"/>
            <w:vAlign w:val="center"/>
          </w:tcPr>
          <w:p w14:paraId="1EBA84C3" w14:textId="1112AE26" w:rsidR="00FF6A00" w:rsidRPr="00DB100D" w:rsidRDefault="00FF6A00" w:rsidP="00FF6A00">
            <w:pPr>
              <w:jc w:val="center"/>
              <w:rPr>
                <w:sz w:val="22"/>
                <w:szCs w:val="22"/>
              </w:rPr>
            </w:pPr>
            <w:r>
              <w:rPr>
                <w:rFonts w:ascii="Calibri" w:hAnsi="Calibri" w:cs="Calibri"/>
                <w:color w:val="000000"/>
                <w:sz w:val="22"/>
                <w:szCs w:val="22"/>
              </w:rPr>
              <w:t>8%</w:t>
            </w:r>
          </w:p>
        </w:tc>
        <w:tc>
          <w:tcPr>
            <w:tcW w:w="2781" w:type="dxa"/>
            <w:vAlign w:val="center"/>
          </w:tcPr>
          <w:p w14:paraId="7483EF99" w14:textId="0099FA65" w:rsidR="00FF6A00" w:rsidRPr="00DB100D" w:rsidRDefault="00FF6A00" w:rsidP="00FF6A00">
            <w:pPr>
              <w:jc w:val="center"/>
              <w:rPr>
                <w:b/>
                <w:sz w:val="22"/>
                <w:szCs w:val="22"/>
              </w:rPr>
            </w:pPr>
            <w:r>
              <w:rPr>
                <w:rFonts w:ascii="Calibri" w:hAnsi="Calibri" w:cs="Calibri"/>
                <w:color w:val="000000"/>
                <w:sz w:val="22"/>
                <w:szCs w:val="22"/>
              </w:rPr>
              <w:t>Chlorophyll-a</w:t>
            </w:r>
          </w:p>
        </w:tc>
        <w:tc>
          <w:tcPr>
            <w:tcW w:w="611" w:type="dxa"/>
            <w:vAlign w:val="center"/>
          </w:tcPr>
          <w:p w14:paraId="048BBAB8" w14:textId="652292A4" w:rsidR="00FF6A00" w:rsidRPr="00DB100D" w:rsidRDefault="00FF6A00" w:rsidP="00FF6A00">
            <w:pPr>
              <w:jc w:val="center"/>
              <w:rPr>
                <w:sz w:val="22"/>
                <w:szCs w:val="22"/>
              </w:rPr>
            </w:pPr>
            <w:r>
              <w:rPr>
                <w:rFonts w:ascii="Calibri" w:hAnsi="Calibri" w:cs="Calibri"/>
                <w:color w:val="000000"/>
                <w:sz w:val="22"/>
                <w:szCs w:val="22"/>
              </w:rPr>
              <w:t>5%</w:t>
            </w:r>
          </w:p>
        </w:tc>
        <w:tc>
          <w:tcPr>
            <w:tcW w:w="2529" w:type="dxa"/>
            <w:vAlign w:val="center"/>
          </w:tcPr>
          <w:p w14:paraId="7F86DB50" w14:textId="76907221" w:rsidR="00FF6A00" w:rsidRPr="00DB100D" w:rsidRDefault="00FF6A00" w:rsidP="00FF6A00">
            <w:pPr>
              <w:jc w:val="center"/>
              <w:rPr>
                <w:b/>
                <w:sz w:val="22"/>
                <w:szCs w:val="22"/>
              </w:rPr>
            </w:pPr>
            <w:r>
              <w:rPr>
                <w:rFonts w:ascii="Calibri" w:hAnsi="Calibri" w:cs="Calibri"/>
                <w:color w:val="000000"/>
                <w:sz w:val="22"/>
                <w:szCs w:val="22"/>
              </w:rPr>
              <w:t>Bacteria</w:t>
            </w:r>
          </w:p>
        </w:tc>
        <w:tc>
          <w:tcPr>
            <w:tcW w:w="629" w:type="dxa"/>
            <w:vAlign w:val="center"/>
          </w:tcPr>
          <w:p w14:paraId="73988E49" w14:textId="6900A904" w:rsidR="00FF6A00" w:rsidRPr="00DB100D" w:rsidRDefault="00FF6A00" w:rsidP="00FF6A00">
            <w:pPr>
              <w:jc w:val="center"/>
              <w:rPr>
                <w:sz w:val="22"/>
                <w:szCs w:val="22"/>
              </w:rPr>
            </w:pPr>
            <w:r>
              <w:rPr>
                <w:rFonts w:ascii="Calibri" w:hAnsi="Calibri" w:cs="Calibri"/>
                <w:color w:val="000000"/>
                <w:sz w:val="22"/>
                <w:szCs w:val="22"/>
              </w:rPr>
              <w:t>22%</w:t>
            </w:r>
          </w:p>
        </w:tc>
      </w:tr>
      <w:tr w:rsidR="00FF6A00" w:rsidRPr="00D730B7" w14:paraId="79F8B1BB" w14:textId="77777777" w:rsidTr="00FF6A00">
        <w:trPr>
          <w:cantSplit/>
          <w:trHeight w:val="360"/>
        </w:trPr>
        <w:tc>
          <w:tcPr>
            <w:tcW w:w="2515" w:type="dxa"/>
            <w:vAlign w:val="center"/>
          </w:tcPr>
          <w:p w14:paraId="5457CD21" w14:textId="45442C0E" w:rsidR="00FF6A00" w:rsidRPr="00DB100D" w:rsidRDefault="00FF6A00" w:rsidP="00FF6A00">
            <w:pPr>
              <w:jc w:val="center"/>
              <w:rPr>
                <w:b/>
                <w:sz w:val="22"/>
                <w:szCs w:val="22"/>
              </w:rPr>
            </w:pPr>
            <w:r>
              <w:rPr>
                <w:rFonts w:ascii="Calibri" w:hAnsi="Calibri" w:cs="Calibri"/>
                <w:color w:val="000000"/>
                <w:sz w:val="22"/>
                <w:szCs w:val="22"/>
              </w:rPr>
              <w:t>pH</w:t>
            </w:r>
          </w:p>
        </w:tc>
        <w:tc>
          <w:tcPr>
            <w:tcW w:w="650" w:type="dxa"/>
            <w:vAlign w:val="center"/>
          </w:tcPr>
          <w:p w14:paraId="4765420E" w14:textId="3154DA47" w:rsidR="00FF6A00" w:rsidRPr="00DB100D" w:rsidRDefault="00FF6A00" w:rsidP="00FF6A00">
            <w:pPr>
              <w:jc w:val="center"/>
              <w:rPr>
                <w:sz w:val="22"/>
                <w:szCs w:val="22"/>
              </w:rPr>
            </w:pPr>
            <w:r>
              <w:rPr>
                <w:rFonts w:ascii="Calibri" w:hAnsi="Calibri" w:cs="Calibri"/>
                <w:color w:val="000000"/>
                <w:sz w:val="22"/>
                <w:szCs w:val="22"/>
              </w:rPr>
              <w:t>7%</w:t>
            </w:r>
          </w:p>
        </w:tc>
        <w:tc>
          <w:tcPr>
            <w:tcW w:w="2781" w:type="dxa"/>
            <w:vAlign w:val="center"/>
          </w:tcPr>
          <w:p w14:paraId="12A3EF7A" w14:textId="414BD83A" w:rsidR="00FF6A00" w:rsidRPr="00DB100D" w:rsidRDefault="00FF6A00" w:rsidP="00FF6A00">
            <w:pPr>
              <w:jc w:val="center"/>
              <w:rPr>
                <w:b/>
                <w:sz w:val="22"/>
                <w:szCs w:val="22"/>
              </w:rPr>
            </w:pPr>
            <w:r>
              <w:rPr>
                <w:rFonts w:ascii="Calibri" w:hAnsi="Calibri" w:cs="Calibri"/>
                <w:color w:val="000000"/>
                <w:sz w:val="22"/>
                <w:szCs w:val="22"/>
              </w:rPr>
              <w:t>Copper</w:t>
            </w:r>
          </w:p>
        </w:tc>
        <w:tc>
          <w:tcPr>
            <w:tcW w:w="611" w:type="dxa"/>
            <w:vAlign w:val="center"/>
          </w:tcPr>
          <w:p w14:paraId="3626CD60" w14:textId="64F6F154" w:rsidR="00FF6A00" w:rsidRPr="00DB100D" w:rsidRDefault="00FF6A00" w:rsidP="00FF6A00">
            <w:pPr>
              <w:jc w:val="center"/>
              <w:rPr>
                <w:sz w:val="22"/>
                <w:szCs w:val="22"/>
              </w:rPr>
            </w:pPr>
            <w:r>
              <w:rPr>
                <w:rFonts w:ascii="Calibri" w:hAnsi="Calibri" w:cs="Calibri"/>
                <w:color w:val="000000"/>
                <w:sz w:val="22"/>
                <w:szCs w:val="22"/>
              </w:rPr>
              <w:t>3%</w:t>
            </w:r>
          </w:p>
        </w:tc>
        <w:tc>
          <w:tcPr>
            <w:tcW w:w="2529" w:type="dxa"/>
            <w:vAlign w:val="center"/>
          </w:tcPr>
          <w:p w14:paraId="09A19C3E" w14:textId="630D41A6" w:rsidR="00FF6A00" w:rsidRPr="00DB100D" w:rsidRDefault="00FF6A00" w:rsidP="00FF6A00">
            <w:pPr>
              <w:jc w:val="center"/>
              <w:rPr>
                <w:b/>
                <w:sz w:val="22"/>
                <w:szCs w:val="22"/>
              </w:rPr>
            </w:pPr>
            <w:r>
              <w:rPr>
                <w:rFonts w:ascii="Calibri" w:hAnsi="Calibri" w:cs="Calibri"/>
                <w:color w:val="000000"/>
                <w:sz w:val="22"/>
                <w:szCs w:val="22"/>
              </w:rPr>
              <w:t>Chlorophyll-a</w:t>
            </w:r>
          </w:p>
        </w:tc>
        <w:tc>
          <w:tcPr>
            <w:tcW w:w="629" w:type="dxa"/>
            <w:vAlign w:val="center"/>
          </w:tcPr>
          <w:p w14:paraId="17F3AB20" w14:textId="7447FC0D" w:rsidR="00FF6A00" w:rsidRPr="00DB100D" w:rsidRDefault="00FF6A00" w:rsidP="00FF6A00">
            <w:pPr>
              <w:jc w:val="center"/>
              <w:rPr>
                <w:sz w:val="22"/>
                <w:szCs w:val="22"/>
              </w:rPr>
            </w:pPr>
            <w:r>
              <w:rPr>
                <w:rFonts w:ascii="Calibri" w:hAnsi="Calibri" w:cs="Calibri"/>
                <w:color w:val="000000"/>
                <w:sz w:val="22"/>
                <w:szCs w:val="22"/>
              </w:rPr>
              <w:t>19%</w:t>
            </w:r>
          </w:p>
        </w:tc>
      </w:tr>
      <w:tr w:rsidR="00FF6A00" w:rsidRPr="00D730B7" w14:paraId="23C2C5CD" w14:textId="77777777" w:rsidTr="00FF6A00">
        <w:trPr>
          <w:cantSplit/>
          <w:trHeight w:val="360"/>
        </w:trPr>
        <w:tc>
          <w:tcPr>
            <w:tcW w:w="2515" w:type="dxa"/>
            <w:vAlign w:val="center"/>
          </w:tcPr>
          <w:p w14:paraId="54C73B3C" w14:textId="3302A678" w:rsidR="00FF6A00" w:rsidRPr="00DB100D" w:rsidRDefault="00FF6A00" w:rsidP="00FF6A00">
            <w:pPr>
              <w:jc w:val="center"/>
              <w:rPr>
                <w:b/>
                <w:sz w:val="22"/>
                <w:szCs w:val="22"/>
              </w:rPr>
            </w:pPr>
            <w:r>
              <w:rPr>
                <w:rFonts w:ascii="Calibri" w:hAnsi="Calibri" w:cs="Calibri"/>
                <w:color w:val="000000"/>
                <w:sz w:val="22"/>
                <w:szCs w:val="22"/>
              </w:rPr>
              <w:t>Temperature</w:t>
            </w:r>
          </w:p>
        </w:tc>
        <w:tc>
          <w:tcPr>
            <w:tcW w:w="650" w:type="dxa"/>
            <w:vAlign w:val="center"/>
          </w:tcPr>
          <w:p w14:paraId="7A3840A3" w14:textId="716B9DF5" w:rsidR="00FF6A00" w:rsidRPr="00DB100D" w:rsidRDefault="00FF6A00" w:rsidP="00FF6A00">
            <w:pPr>
              <w:jc w:val="center"/>
              <w:rPr>
                <w:sz w:val="22"/>
                <w:szCs w:val="22"/>
              </w:rPr>
            </w:pPr>
            <w:r>
              <w:rPr>
                <w:rFonts w:ascii="Calibri" w:hAnsi="Calibri" w:cs="Calibri"/>
                <w:color w:val="000000"/>
                <w:sz w:val="22"/>
                <w:szCs w:val="22"/>
              </w:rPr>
              <w:t>3%</w:t>
            </w:r>
          </w:p>
        </w:tc>
        <w:tc>
          <w:tcPr>
            <w:tcW w:w="2781" w:type="dxa"/>
            <w:vAlign w:val="center"/>
          </w:tcPr>
          <w:p w14:paraId="5B14B73B" w14:textId="0FB0045A" w:rsidR="00FF6A00" w:rsidRPr="00DB100D" w:rsidRDefault="00FF6A00" w:rsidP="00FF6A00">
            <w:pPr>
              <w:jc w:val="center"/>
              <w:rPr>
                <w:b/>
                <w:sz w:val="22"/>
                <w:szCs w:val="22"/>
              </w:rPr>
            </w:pPr>
            <w:r>
              <w:rPr>
                <w:rFonts w:ascii="Calibri" w:hAnsi="Calibri" w:cs="Calibri"/>
                <w:color w:val="000000"/>
                <w:sz w:val="22"/>
                <w:szCs w:val="22"/>
              </w:rPr>
              <w:t>Bacteria</w:t>
            </w:r>
          </w:p>
        </w:tc>
        <w:tc>
          <w:tcPr>
            <w:tcW w:w="611" w:type="dxa"/>
            <w:vAlign w:val="center"/>
          </w:tcPr>
          <w:p w14:paraId="44C642C0" w14:textId="2409A135" w:rsidR="00FF6A00" w:rsidRPr="00DB100D" w:rsidRDefault="00FF6A00" w:rsidP="00FF6A00">
            <w:pPr>
              <w:jc w:val="center"/>
              <w:rPr>
                <w:sz w:val="22"/>
                <w:szCs w:val="22"/>
              </w:rPr>
            </w:pPr>
            <w:r>
              <w:rPr>
                <w:rFonts w:ascii="Calibri" w:hAnsi="Calibri" w:cs="Calibri"/>
                <w:color w:val="000000"/>
                <w:sz w:val="22"/>
                <w:szCs w:val="22"/>
              </w:rPr>
              <w:t>3%</w:t>
            </w:r>
          </w:p>
        </w:tc>
        <w:tc>
          <w:tcPr>
            <w:tcW w:w="2529" w:type="dxa"/>
            <w:vAlign w:val="center"/>
          </w:tcPr>
          <w:p w14:paraId="04FBA44F" w14:textId="20BF017C" w:rsidR="00FF6A00" w:rsidRPr="00DB100D" w:rsidRDefault="00FF6A00" w:rsidP="00FF6A00">
            <w:pPr>
              <w:jc w:val="center"/>
              <w:rPr>
                <w:b/>
                <w:sz w:val="22"/>
                <w:szCs w:val="22"/>
              </w:rPr>
            </w:pPr>
            <w:r>
              <w:rPr>
                <w:rFonts w:ascii="Calibri" w:hAnsi="Calibri" w:cs="Calibri"/>
                <w:color w:val="000000"/>
                <w:sz w:val="22"/>
                <w:szCs w:val="22"/>
              </w:rPr>
              <w:t>Dissolved Oxygen</w:t>
            </w:r>
          </w:p>
        </w:tc>
        <w:tc>
          <w:tcPr>
            <w:tcW w:w="629" w:type="dxa"/>
            <w:vAlign w:val="center"/>
          </w:tcPr>
          <w:p w14:paraId="44DB1509" w14:textId="1CE75E2D" w:rsidR="00FF6A00" w:rsidRPr="00DB100D" w:rsidRDefault="00FF6A00" w:rsidP="00FF6A00">
            <w:pPr>
              <w:jc w:val="center"/>
              <w:rPr>
                <w:sz w:val="22"/>
                <w:szCs w:val="22"/>
              </w:rPr>
            </w:pPr>
            <w:r>
              <w:rPr>
                <w:rFonts w:ascii="Calibri" w:hAnsi="Calibri" w:cs="Calibri"/>
                <w:color w:val="000000"/>
                <w:sz w:val="22"/>
                <w:szCs w:val="22"/>
              </w:rPr>
              <w:t>8%</w:t>
            </w:r>
          </w:p>
        </w:tc>
      </w:tr>
    </w:tbl>
    <w:p w14:paraId="46C0C1BE" w14:textId="77777777" w:rsidR="00546B19" w:rsidRPr="00D730B7" w:rsidRDefault="00546B19" w:rsidP="00546B19">
      <w:pPr>
        <w:jc w:val="both"/>
        <w:rPr>
          <w:b/>
          <w:bCs/>
          <w:szCs w:val="24"/>
        </w:rPr>
      </w:pPr>
    </w:p>
    <w:p w14:paraId="77CA9CF1" w14:textId="40261CF8" w:rsidR="00FE2007" w:rsidRPr="008E52B7" w:rsidRDefault="00FE2007" w:rsidP="00FE2007">
      <w:pPr>
        <w:pStyle w:val="Caption"/>
        <w:keepNext/>
        <w:rPr>
          <w:vanish/>
        </w:rPr>
      </w:pPr>
      <w:bookmarkStart w:id="125" w:name="_Toc164175168"/>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4</w:t>
      </w:r>
      <w:r w:rsidR="004F13BA">
        <w:rPr>
          <w:noProof/>
        </w:rPr>
        <w:fldChar w:fldCharType="end"/>
      </w:r>
      <w:r>
        <w:t xml:space="preserve">. </w:t>
      </w:r>
      <w:r w:rsidRPr="00887BAC">
        <w:rPr>
          <w:szCs w:val="24"/>
        </w:rPr>
        <w:t>Suspected sources of designated use impairment in the James River</w:t>
      </w:r>
      <w:bookmarkEnd w:id="125"/>
      <w:r w:rsidR="00F200CF">
        <w:rPr>
          <w:vanish/>
        </w:rPr>
        <w:t xml:space="preserve"> b</w:t>
      </w:r>
      <w:r w:rsidRPr="00887BAC">
        <w:rPr>
          <w:szCs w:val="24"/>
        </w:rPr>
        <w:t>asin, by water body type, ranked by percentage of impaired water size. (Note: Waters can have multiple sources of pollution.)</w:t>
      </w:r>
    </w:p>
    <w:tbl>
      <w:tblPr>
        <w:tblStyle w:val="TableGrid"/>
        <w:tblW w:w="9738" w:type="dxa"/>
        <w:tblCellMar>
          <w:left w:w="115" w:type="dxa"/>
          <w:right w:w="115" w:type="dxa"/>
        </w:tblCellMar>
        <w:tblLook w:val="04A0" w:firstRow="1" w:lastRow="0" w:firstColumn="1" w:lastColumn="0" w:noHBand="0" w:noVBand="1"/>
        <w:tblCaption w:val="Table of James River Basin Suspected Sources of Designated Use Impairment"/>
        <w:tblDescription w:val="James River Basin suspected sources of Designated Use impairment for rivers, lakes, and estuaries ranked by percent of impaired waters size"/>
      </w:tblPr>
      <w:tblGrid>
        <w:gridCol w:w="2559"/>
        <w:gridCol w:w="611"/>
        <w:gridCol w:w="2897"/>
        <w:gridCol w:w="678"/>
        <w:gridCol w:w="2382"/>
        <w:gridCol w:w="611"/>
      </w:tblGrid>
      <w:tr w:rsidR="00546B19" w:rsidRPr="00D730B7" w14:paraId="62B4FDDB" w14:textId="77777777" w:rsidTr="007533E8">
        <w:trPr>
          <w:cantSplit/>
          <w:trHeight w:val="360"/>
          <w:tblHeader/>
        </w:trPr>
        <w:tc>
          <w:tcPr>
            <w:tcW w:w="3170" w:type="dxa"/>
            <w:gridSpan w:val="2"/>
            <w:vAlign w:val="center"/>
          </w:tcPr>
          <w:p w14:paraId="6BD5696B" w14:textId="77777777" w:rsidR="00546B19" w:rsidRPr="00923F2A" w:rsidRDefault="00546B19" w:rsidP="00770B5B">
            <w:pPr>
              <w:jc w:val="center"/>
              <w:rPr>
                <w:b/>
                <w:iCs/>
                <w:sz w:val="22"/>
                <w:szCs w:val="22"/>
              </w:rPr>
            </w:pPr>
            <w:r w:rsidRPr="00923F2A">
              <w:rPr>
                <w:b/>
                <w:iCs/>
                <w:sz w:val="22"/>
                <w:szCs w:val="22"/>
              </w:rPr>
              <w:t>Rivers</w:t>
            </w:r>
          </w:p>
        </w:tc>
        <w:tc>
          <w:tcPr>
            <w:tcW w:w="3575" w:type="dxa"/>
            <w:gridSpan w:val="2"/>
            <w:vAlign w:val="center"/>
          </w:tcPr>
          <w:p w14:paraId="753A2514" w14:textId="77777777" w:rsidR="00546B19" w:rsidRPr="00923F2A" w:rsidRDefault="00546B19" w:rsidP="00770B5B">
            <w:pPr>
              <w:jc w:val="center"/>
              <w:rPr>
                <w:b/>
                <w:iCs/>
                <w:sz w:val="22"/>
                <w:szCs w:val="22"/>
              </w:rPr>
            </w:pPr>
            <w:r w:rsidRPr="00923F2A">
              <w:rPr>
                <w:b/>
                <w:iCs/>
                <w:sz w:val="22"/>
                <w:szCs w:val="22"/>
              </w:rPr>
              <w:t>Lakes</w:t>
            </w:r>
          </w:p>
        </w:tc>
        <w:tc>
          <w:tcPr>
            <w:tcW w:w="2993" w:type="dxa"/>
            <w:gridSpan w:val="2"/>
            <w:vAlign w:val="center"/>
          </w:tcPr>
          <w:p w14:paraId="52AD702B" w14:textId="77777777" w:rsidR="00546B19" w:rsidRPr="00923F2A" w:rsidRDefault="00546B19" w:rsidP="00770B5B">
            <w:pPr>
              <w:jc w:val="center"/>
              <w:rPr>
                <w:b/>
                <w:iCs/>
                <w:sz w:val="22"/>
                <w:szCs w:val="22"/>
              </w:rPr>
            </w:pPr>
            <w:r w:rsidRPr="00923F2A">
              <w:rPr>
                <w:b/>
                <w:iCs/>
                <w:sz w:val="22"/>
                <w:szCs w:val="22"/>
              </w:rPr>
              <w:t>Estuaries</w:t>
            </w:r>
          </w:p>
        </w:tc>
      </w:tr>
      <w:tr w:rsidR="00770B5B" w:rsidRPr="00D730B7" w14:paraId="4F57D5A0" w14:textId="77777777" w:rsidTr="007533E8">
        <w:trPr>
          <w:cantSplit/>
          <w:trHeight w:val="360"/>
        </w:trPr>
        <w:tc>
          <w:tcPr>
            <w:tcW w:w="2559" w:type="dxa"/>
            <w:vAlign w:val="center"/>
          </w:tcPr>
          <w:p w14:paraId="547BAB66" w14:textId="734C0CCF" w:rsidR="00770B5B" w:rsidRPr="00923F2A" w:rsidRDefault="00770B5B" w:rsidP="00770B5B">
            <w:pPr>
              <w:jc w:val="center"/>
              <w:rPr>
                <w:b/>
                <w:iCs/>
                <w:sz w:val="22"/>
                <w:szCs w:val="22"/>
              </w:rPr>
            </w:pPr>
            <w:r>
              <w:rPr>
                <w:rFonts w:ascii="Calibri" w:hAnsi="Calibri" w:cs="Calibri"/>
                <w:color w:val="000000"/>
                <w:sz w:val="22"/>
                <w:szCs w:val="22"/>
              </w:rPr>
              <w:t>Agriculture</w:t>
            </w:r>
          </w:p>
        </w:tc>
        <w:tc>
          <w:tcPr>
            <w:tcW w:w="611" w:type="dxa"/>
            <w:vAlign w:val="center"/>
          </w:tcPr>
          <w:p w14:paraId="276B5706" w14:textId="19170473" w:rsidR="00770B5B" w:rsidRPr="00923F2A" w:rsidRDefault="00770B5B" w:rsidP="00770B5B">
            <w:pPr>
              <w:jc w:val="center"/>
              <w:rPr>
                <w:iCs/>
                <w:sz w:val="22"/>
                <w:szCs w:val="22"/>
              </w:rPr>
            </w:pPr>
            <w:r>
              <w:rPr>
                <w:rFonts w:ascii="Calibri" w:hAnsi="Calibri" w:cs="Calibri"/>
                <w:color w:val="000000"/>
                <w:sz w:val="22"/>
                <w:szCs w:val="22"/>
              </w:rPr>
              <w:t>61%</w:t>
            </w:r>
          </w:p>
        </w:tc>
        <w:tc>
          <w:tcPr>
            <w:tcW w:w="2897" w:type="dxa"/>
            <w:vAlign w:val="center"/>
          </w:tcPr>
          <w:p w14:paraId="5BF65B64" w14:textId="2FB37133" w:rsidR="00770B5B" w:rsidRPr="00923F2A" w:rsidRDefault="00770B5B" w:rsidP="00770B5B">
            <w:pPr>
              <w:jc w:val="center"/>
              <w:rPr>
                <w:b/>
                <w:iCs/>
                <w:sz w:val="22"/>
                <w:szCs w:val="22"/>
              </w:rPr>
            </w:pPr>
            <w:r>
              <w:rPr>
                <w:rFonts w:ascii="Calibri" w:hAnsi="Calibri" w:cs="Calibri"/>
                <w:color w:val="000000"/>
                <w:sz w:val="22"/>
                <w:szCs w:val="22"/>
              </w:rPr>
              <w:t>Source Unknown</w:t>
            </w:r>
          </w:p>
        </w:tc>
        <w:tc>
          <w:tcPr>
            <w:tcW w:w="678" w:type="dxa"/>
            <w:vAlign w:val="center"/>
          </w:tcPr>
          <w:p w14:paraId="151CFFD8" w14:textId="64E86050" w:rsidR="00770B5B" w:rsidRPr="00923F2A" w:rsidRDefault="00770B5B" w:rsidP="00770B5B">
            <w:pPr>
              <w:jc w:val="center"/>
              <w:rPr>
                <w:iCs/>
                <w:sz w:val="22"/>
                <w:szCs w:val="22"/>
              </w:rPr>
            </w:pPr>
            <w:r>
              <w:rPr>
                <w:rFonts w:ascii="Calibri" w:hAnsi="Calibri" w:cs="Calibri"/>
                <w:color w:val="000000"/>
                <w:sz w:val="22"/>
                <w:szCs w:val="22"/>
              </w:rPr>
              <w:t>60%</w:t>
            </w:r>
          </w:p>
        </w:tc>
        <w:tc>
          <w:tcPr>
            <w:tcW w:w="2382" w:type="dxa"/>
            <w:vAlign w:val="center"/>
          </w:tcPr>
          <w:p w14:paraId="148FC642" w14:textId="70A58CB9" w:rsidR="00770B5B" w:rsidRPr="00923F2A" w:rsidRDefault="00770B5B" w:rsidP="00770B5B">
            <w:pPr>
              <w:jc w:val="center"/>
              <w:rPr>
                <w:b/>
                <w:iCs/>
                <w:sz w:val="22"/>
                <w:szCs w:val="22"/>
              </w:rPr>
            </w:pPr>
            <w:r>
              <w:rPr>
                <w:rFonts w:ascii="Calibri" w:hAnsi="Calibri" w:cs="Calibri"/>
                <w:color w:val="000000"/>
                <w:sz w:val="22"/>
                <w:szCs w:val="22"/>
              </w:rPr>
              <w:t>Source Unknown</w:t>
            </w:r>
          </w:p>
        </w:tc>
        <w:tc>
          <w:tcPr>
            <w:tcW w:w="611" w:type="dxa"/>
            <w:vAlign w:val="center"/>
          </w:tcPr>
          <w:p w14:paraId="6AB57BB6" w14:textId="0D569C73" w:rsidR="00770B5B" w:rsidRPr="00923F2A" w:rsidRDefault="00770B5B" w:rsidP="00770B5B">
            <w:pPr>
              <w:jc w:val="center"/>
              <w:rPr>
                <w:iCs/>
                <w:sz w:val="22"/>
                <w:szCs w:val="22"/>
              </w:rPr>
            </w:pPr>
            <w:r>
              <w:rPr>
                <w:rFonts w:ascii="Calibri" w:hAnsi="Calibri" w:cs="Calibri"/>
                <w:color w:val="000000"/>
                <w:sz w:val="22"/>
                <w:szCs w:val="22"/>
              </w:rPr>
              <w:t>9</w:t>
            </w:r>
            <w:r w:rsidR="005451B4">
              <w:rPr>
                <w:rFonts w:ascii="Calibri" w:hAnsi="Calibri" w:cs="Calibri"/>
                <w:color w:val="000000"/>
                <w:sz w:val="22"/>
                <w:szCs w:val="22"/>
              </w:rPr>
              <w:t>5</w:t>
            </w:r>
            <w:r>
              <w:rPr>
                <w:rFonts w:ascii="Calibri" w:hAnsi="Calibri" w:cs="Calibri"/>
                <w:color w:val="000000"/>
                <w:sz w:val="22"/>
                <w:szCs w:val="22"/>
              </w:rPr>
              <w:t>%</w:t>
            </w:r>
          </w:p>
        </w:tc>
      </w:tr>
      <w:tr w:rsidR="00770B5B" w:rsidRPr="00D730B7" w14:paraId="5582DF99" w14:textId="77777777" w:rsidTr="007533E8">
        <w:trPr>
          <w:cantSplit/>
          <w:trHeight w:val="360"/>
        </w:trPr>
        <w:tc>
          <w:tcPr>
            <w:tcW w:w="2559" w:type="dxa"/>
            <w:vAlign w:val="center"/>
          </w:tcPr>
          <w:p w14:paraId="77AB332A" w14:textId="53D1B70E" w:rsidR="00770B5B" w:rsidRPr="00923F2A" w:rsidRDefault="00770B5B" w:rsidP="00770B5B">
            <w:pPr>
              <w:jc w:val="center"/>
              <w:rPr>
                <w:b/>
                <w:iCs/>
                <w:sz w:val="22"/>
                <w:szCs w:val="22"/>
              </w:rPr>
            </w:pPr>
            <w:r>
              <w:rPr>
                <w:rFonts w:ascii="Calibri" w:hAnsi="Calibri" w:cs="Calibri"/>
                <w:color w:val="000000"/>
                <w:sz w:val="22"/>
                <w:szCs w:val="22"/>
              </w:rPr>
              <w:t>On-site Septic Treatment Systems</w:t>
            </w:r>
          </w:p>
        </w:tc>
        <w:tc>
          <w:tcPr>
            <w:tcW w:w="611" w:type="dxa"/>
            <w:vAlign w:val="center"/>
          </w:tcPr>
          <w:p w14:paraId="7DD6BC81" w14:textId="16B2610B" w:rsidR="00770B5B" w:rsidRPr="00923F2A" w:rsidRDefault="00770B5B" w:rsidP="00770B5B">
            <w:pPr>
              <w:jc w:val="center"/>
              <w:rPr>
                <w:iCs/>
                <w:sz w:val="22"/>
                <w:szCs w:val="22"/>
              </w:rPr>
            </w:pPr>
            <w:r>
              <w:rPr>
                <w:rFonts w:ascii="Calibri" w:hAnsi="Calibri" w:cs="Calibri"/>
                <w:color w:val="000000"/>
                <w:sz w:val="22"/>
                <w:szCs w:val="22"/>
              </w:rPr>
              <w:t>59%</w:t>
            </w:r>
          </w:p>
        </w:tc>
        <w:tc>
          <w:tcPr>
            <w:tcW w:w="2897" w:type="dxa"/>
            <w:vAlign w:val="center"/>
          </w:tcPr>
          <w:p w14:paraId="320A9095" w14:textId="381BB7A2" w:rsidR="00770B5B" w:rsidRPr="00923F2A" w:rsidRDefault="00770B5B" w:rsidP="00770B5B">
            <w:pPr>
              <w:jc w:val="center"/>
              <w:rPr>
                <w:b/>
                <w:iCs/>
                <w:sz w:val="22"/>
                <w:szCs w:val="22"/>
              </w:rPr>
            </w:pPr>
            <w:r>
              <w:rPr>
                <w:rFonts w:ascii="Calibri" w:hAnsi="Calibri" w:cs="Calibri"/>
                <w:color w:val="000000"/>
                <w:sz w:val="22"/>
                <w:szCs w:val="22"/>
              </w:rPr>
              <w:t>Dam or Impoundment</w:t>
            </w:r>
          </w:p>
        </w:tc>
        <w:tc>
          <w:tcPr>
            <w:tcW w:w="678" w:type="dxa"/>
            <w:vAlign w:val="center"/>
          </w:tcPr>
          <w:p w14:paraId="5A59775F" w14:textId="0C5DCCD1" w:rsidR="00770B5B" w:rsidRPr="00923F2A" w:rsidRDefault="00770B5B" w:rsidP="00770B5B">
            <w:pPr>
              <w:jc w:val="center"/>
              <w:rPr>
                <w:iCs/>
                <w:sz w:val="22"/>
                <w:szCs w:val="22"/>
              </w:rPr>
            </w:pPr>
            <w:r>
              <w:rPr>
                <w:rFonts w:ascii="Calibri" w:hAnsi="Calibri" w:cs="Calibri"/>
                <w:color w:val="000000"/>
                <w:sz w:val="22"/>
                <w:szCs w:val="22"/>
              </w:rPr>
              <w:t>39%</w:t>
            </w:r>
          </w:p>
        </w:tc>
        <w:tc>
          <w:tcPr>
            <w:tcW w:w="2382" w:type="dxa"/>
            <w:vAlign w:val="center"/>
          </w:tcPr>
          <w:p w14:paraId="35457026" w14:textId="210B4209" w:rsidR="00770B5B" w:rsidRPr="00923F2A" w:rsidRDefault="00770B5B" w:rsidP="00770B5B">
            <w:pPr>
              <w:jc w:val="center"/>
              <w:rPr>
                <w:b/>
                <w:iCs/>
                <w:sz w:val="22"/>
                <w:szCs w:val="22"/>
              </w:rPr>
            </w:pPr>
            <w:r>
              <w:rPr>
                <w:rFonts w:ascii="Calibri" w:hAnsi="Calibri" w:cs="Calibri"/>
                <w:color w:val="000000"/>
                <w:sz w:val="22"/>
                <w:szCs w:val="22"/>
              </w:rPr>
              <w:t>Agriculture</w:t>
            </w:r>
          </w:p>
        </w:tc>
        <w:tc>
          <w:tcPr>
            <w:tcW w:w="611" w:type="dxa"/>
            <w:vAlign w:val="center"/>
          </w:tcPr>
          <w:p w14:paraId="43EC2637" w14:textId="5D3F674F" w:rsidR="00770B5B" w:rsidRPr="00923F2A" w:rsidRDefault="00770B5B" w:rsidP="00770B5B">
            <w:pPr>
              <w:jc w:val="center"/>
              <w:rPr>
                <w:iCs/>
                <w:sz w:val="22"/>
                <w:szCs w:val="22"/>
              </w:rPr>
            </w:pPr>
            <w:r>
              <w:rPr>
                <w:rFonts w:ascii="Calibri" w:hAnsi="Calibri" w:cs="Calibri"/>
                <w:color w:val="000000"/>
                <w:sz w:val="22"/>
                <w:szCs w:val="22"/>
              </w:rPr>
              <w:t>87%</w:t>
            </w:r>
          </w:p>
        </w:tc>
      </w:tr>
      <w:tr w:rsidR="00770B5B" w:rsidRPr="00D730B7" w14:paraId="69167F1B" w14:textId="77777777" w:rsidTr="007533E8">
        <w:trPr>
          <w:cantSplit/>
          <w:trHeight w:val="360"/>
        </w:trPr>
        <w:tc>
          <w:tcPr>
            <w:tcW w:w="2559" w:type="dxa"/>
            <w:vAlign w:val="center"/>
          </w:tcPr>
          <w:p w14:paraId="18C8E5B3" w14:textId="32AD75D5" w:rsidR="00770B5B" w:rsidRPr="00923F2A" w:rsidRDefault="00770B5B" w:rsidP="00770B5B">
            <w:pPr>
              <w:jc w:val="center"/>
              <w:rPr>
                <w:b/>
                <w:iCs/>
                <w:sz w:val="22"/>
                <w:szCs w:val="22"/>
              </w:rPr>
            </w:pPr>
            <w:r>
              <w:rPr>
                <w:rFonts w:ascii="Calibri" w:hAnsi="Calibri" w:cs="Calibri"/>
                <w:color w:val="000000"/>
                <w:sz w:val="22"/>
                <w:szCs w:val="22"/>
              </w:rPr>
              <w:t>Non-Point Source</w:t>
            </w:r>
          </w:p>
        </w:tc>
        <w:tc>
          <w:tcPr>
            <w:tcW w:w="611" w:type="dxa"/>
            <w:vAlign w:val="center"/>
          </w:tcPr>
          <w:p w14:paraId="6E20B3D4" w14:textId="2DCFB5A0" w:rsidR="00770B5B" w:rsidRPr="00923F2A" w:rsidRDefault="00770B5B" w:rsidP="00770B5B">
            <w:pPr>
              <w:jc w:val="center"/>
              <w:rPr>
                <w:iCs/>
                <w:sz w:val="22"/>
                <w:szCs w:val="22"/>
              </w:rPr>
            </w:pPr>
            <w:r>
              <w:rPr>
                <w:rFonts w:ascii="Calibri" w:hAnsi="Calibri" w:cs="Calibri"/>
                <w:color w:val="000000"/>
                <w:sz w:val="22"/>
                <w:szCs w:val="22"/>
              </w:rPr>
              <w:t>5</w:t>
            </w:r>
            <w:r w:rsidR="000F5713">
              <w:rPr>
                <w:rFonts w:ascii="Calibri" w:hAnsi="Calibri" w:cs="Calibri"/>
                <w:color w:val="000000"/>
                <w:sz w:val="22"/>
                <w:szCs w:val="22"/>
              </w:rPr>
              <w:t>5</w:t>
            </w:r>
            <w:r>
              <w:rPr>
                <w:rFonts w:ascii="Calibri" w:hAnsi="Calibri" w:cs="Calibri"/>
                <w:color w:val="000000"/>
                <w:sz w:val="22"/>
                <w:szCs w:val="22"/>
              </w:rPr>
              <w:t>%</w:t>
            </w:r>
          </w:p>
        </w:tc>
        <w:tc>
          <w:tcPr>
            <w:tcW w:w="2897" w:type="dxa"/>
            <w:vAlign w:val="center"/>
          </w:tcPr>
          <w:p w14:paraId="779FC7DE" w14:textId="06FCAA15" w:rsidR="00770B5B" w:rsidRPr="00923F2A" w:rsidRDefault="00770B5B" w:rsidP="00770B5B">
            <w:pPr>
              <w:jc w:val="center"/>
              <w:rPr>
                <w:b/>
                <w:iCs/>
                <w:sz w:val="22"/>
                <w:szCs w:val="22"/>
              </w:rPr>
            </w:pPr>
            <w:r>
              <w:rPr>
                <w:rFonts w:ascii="Calibri" w:hAnsi="Calibri" w:cs="Calibri"/>
                <w:color w:val="000000"/>
                <w:sz w:val="22"/>
                <w:szCs w:val="22"/>
              </w:rPr>
              <w:t>Atmospheric Deposition - Toxics</w:t>
            </w:r>
          </w:p>
        </w:tc>
        <w:tc>
          <w:tcPr>
            <w:tcW w:w="678" w:type="dxa"/>
            <w:vAlign w:val="center"/>
          </w:tcPr>
          <w:p w14:paraId="47C39997" w14:textId="2E132754" w:rsidR="00770B5B" w:rsidRPr="00923F2A" w:rsidRDefault="00770B5B" w:rsidP="00770B5B">
            <w:pPr>
              <w:jc w:val="center"/>
              <w:rPr>
                <w:iCs/>
                <w:sz w:val="22"/>
                <w:szCs w:val="22"/>
              </w:rPr>
            </w:pPr>
            <w:r>
              <w:rPr>
                <w:rFonts w:ascii="Calibri" w:hAnsi="Calibri" w:cs="Calibri"/>
                <w:color w:val="000000"/>
                <w:sz w:val="22"/>
                <w:szCs w:val="22"/>
              </w:rPr>
              <w:t>21%</w:t>
            </w:r>
          </w:p>
        </w:tc>
        <w:tc>
          <w:tcPr>
            <w:tcW w:w="2382" w:type="dxa"/>
            <w:vAlign w:val="center"/>
          </w:tcPr>
          <w:p w14:paraId="35E81F21" w14:textId="05013A89" w:rsidR="00770B5B" w:rsidRPr="00923F2A" w:rsidRDefault="00770B5B" w:rsidP="00770B5B">
            <w:pPr>
              <w:jc w:val="center"/>
              <w:rPr>
                <w:b/>
                <w:iCs/>
                <w:sz w:val="22"/>
                <w:szCs w:val="22"/>
              </w:rPr>
            </w:pPr>
            <w:r>
              <w:rPr>
                <w:rFonts w:ascii="Calibri" w:hAnsi="Calibri" w:cs="Calibri"/>
                <w:color w:val="000000"/>
                <w:sz w:val="22"/>
                <w:szCs w:val="22"/>
              </w:rPr>
              <w:t>Industrial Point Source Discharge</w:t>
            </w:r>
          </w:p>
        </w:tc>
        <w:tc>
          <w:tcPr>
            <w:tcW w:w="611" w:type="dxa"/>
            <w:vAlign w:val="center"/>
          </w:tcPr>
          <w:p w14:paraId="24FF16B2" w14:textId="7B79B566" w:rsidR="00770B5B" w:rsidRPr="00923F2A" w:rsidRDefault="00770B5B" w:rsidP="00770B5B">
            <w:pPr>
              <w:jc w:val="center"/>
              <w:rPr>
                <w:iCs/>
                <w:sz w:val="22"/>
                <w:szCs w:val="22"/>
              </w:rPr>
            </w:pPr>
            <w:r>
              <w:rPr>
                <w:rFonts w:ascii="Calibri" w:hAnsi="Calibri" w:cs="Calibri"/>
                <w:color w:val="000000"/>
                <w:sz w:val="22"/>
                <w:szCs w:val="22"/>
              </w:rPr>
              <w:t>29%</w:t>
            </w:r>
          </w:p>
        </w:tc>
      </w:tr>
      <w:tr w:rsidR="00770B5B" w:rsidRPr="00D730B7" w14:paraId="38C43886" w14:textId="77777777" w:rsidTr="007533E8">
        <w:trPr>
          <w:cantSplit/>
          <w:trHeight w:val="360"/>
        </w:trPr>
        <w:tc>
          <w:tcPr>
            <w:tcW w:w="2559" w:type="dxa"/>
            <w:vAlign w:val="center"/>
          </w:tcPr>
          <w:p w14:paraId="1F1723D9" w14:textId="3FE73508" w:rsidR="00770B5B" w:rsidRPr="00923F2A" w:rsidRDefault="00770B5B" w:rsidP="00770B5B">
            <w:pPr>
              <w:jc w:val="center"/>
              <w:rPr>
                <w:b/>
                <w:iCs/>
                <w:sz w:val="22"/>
                <w:szCs w:val="22"/>
              </w:rPr>
            </w:pPr>
            <w:r>
              <w:rPr>
                <w:rFonts w:ascii="Calibri" w:hAnsi="Calibri" w:cs="Calibri"/>
                <w:color w:val="000000"/>
                <w:sz w:val="22"/>
                <w:szCs w:val="22"/>
              </w:rPr>
              <w:t>Wildlife Other than Waterfowl</w:t>
            </w:r>
          </w:p>
        </w:tc>
        <w:tc>
          <w:tcPr>
            <w:tcW w:w="611" w:type="dxa"/>
            <w:vAlign w:val="center"/>
          </w:tcPr>
          <w:p w14:paraId="55C70B08" w14:textId="407ED950" w:rsidR="00770B5B" w:rsidRPr="00923F2A" w:rsidRDefault="00770B5B" w:rsidP="00770B5B">
            <w:pPr>
              <w:jc w:val="center"/>
              <w:rPr>
                <w:iCs/>
                <w:sz w:val="22"/>
                <w:szCs w:val="22"/>
              </w:rPr>
            </w:pPr>
            <w:r>
              <w:rPr>
                <w:rFonts w:ascii="Calibri" w:hAnsi="Calibri" w:cs="Calibri"/>
                <w:color w:val="000000"/>
                <w:sz w:val="22"/>
                <w:szCs w:val="22"/>
              </w:rPr>
              <w:t>41%</w:t>
            </w:r>
          </w:p>
        </w:tc>
        <w:tc>
          <w:tcPr>
            <w:tcW w:w="2897" w:type="dxa"/>
            <w:vAlign w:val="center"/>
          </w:tcPr>
          <w:p w14:paraId="4FFF0B85" w14:textId="236E0931" w:rsidR="00770B5B" w:rsidRPr="00923F2A" w:rsidRDefault="00770B5B" w:rsidP="00770B5B">
            <w:pPr>
              <w:jc w:val="center"/>
              <w:rPr>
                <w:b/>
                <w:iCs/>
                <w:sz w:val="22"/>
                <w:szCs w:val="22"/>
              </w:rPr>
            </w:pPr>
            <w:r>
              <w:rPr>
                <w:rFonts w:ascii="Calibri" w:hAnsi="Calibri" w:cs="Calibri"/>
                <w:color w:val="000000"/>
                <w:sz w:val="22"/>
                <w:szCs w:val="22"/>
              </w:rPr>
              <w:t>Natural Sources</w:t>
            </w:r>
          </w:p>
        </w:tc>
        <w:tc>
          <w:tcPr>
            <w:tcW w:w="678" w:type="dxa"/>
            <w:vAlign w:val="center"/>
          </w:tcPr>
          <w:p w14:paraId="0669D073" w14:textId="24457E4D" w:rsidR="00770B5B" w:rsidRPr="00923F2A" w:rsidRDefault="00770B5B" w:rsidP="00770B5B">
            <w:pPr>
              <w:jc w:val="center"/>
              <w:rPr>
                <w:iCs/>
                <w:sz w:val="22"/>
                <w:szCs w:val="22"/>
              </w:rPr>
            </w:pPr>
            <w:r>
              <w:rPr>
                <w:rFonts w:ascii="Calibri" w:hAnsi="Calibri" w:cs="Calibri"/>
                <w:color w:val="000000"/>
                <w:sz w:val="22"/>
                <w:szCs w:val="22"/>
              </w:rPr>
              <w:t>15%</w:t>
            </w:r>
          </w:p>
        </w:tc>
        <w:tc>
          <w:tcPr>
            <w:tcW w:w="2382" w:type="dxa"/>
            <w:vAlign w:val="center"/>
          </w:tcPr>
          <w:p w14:paraId="246E8B2B" w14:textId="02038C6E" w:rsidR="00770B5B" w:rsidRPr="00923F2A" w:rsidRDefault="00770B5B" w:rsidP="00770B5B">
            <w:pPr>
              <w:jc w:val="center"/>
              <w:rPr>
                <w:b/>
                <w:iCs/>
                <w:sz w:val="22"/>
                <w:szCs w:val="22"/>
              </w:rPr>
            </w:pPr>
            <w:r>
              <w:rPr>
                <w:rFonts w:ascii="Calibri" w:hAnsi="Calibri" w:cs="Calibri"/>
                <w:color w:val="000000"/>
                <w:sz w:val="22"/>
                <w:szCs w:val="22"/>
              </w:rPr>
              <w:t>Municipal Point Source Discharges</w:t>
            </w:r>
          </w:p>
        </w:tc>
        <w:tc>
          <w:tcPr>
            <w:tcW w:w="611" w:type="dxa"/>
            <w:vAlign w:val="center"/>
          </w:tcPr>
          <w:p w14:paraId="3FDDBDB9" w14:textId="7C529B1A" w:rsidR="00770B5B" w:rsidRPr="00923F2A" w:rsidRDefault="00770B5B" w:rsidP="00770B5B">
            <w:pPr>
              <w:jc w:val="center"/>
              <w:rPr>
                <w:iCs/>
                <w:sz w:val="22"/>
                <w:szCs w:val="22"/>
              </w:rPr>
            </w:pPr>
            <w:r>
              <w:rPr>
                <w:rFonts w:ascii="Calibri" w:hAnsi="Calibri" w:cs="Calibri"/>
                <w:color w:val="000000"/>
                <w:sz w:val="22"/>
                <w:szCs w:val="22"/>
              </w:rPr>
              <w:t>29%</w:t>
            </w:r>
          </w:p>
        </w:tc>
      </w:tr>
      <w:tr w:rsidR="00770B5B" w:rsidRPr="00D730B7" w14:paraId="3AB00F01" w14:textId="77777777" w:rsidTr="007533E8">
        <w:trPr>
          <w:cantSplit/>
          <w:trHeight w:val="360"/>
        </w:trPr>
        <w:tc>
          <w:tcPr>
            <w:tcW w:w="2559" w:type="dxa"/>
            <w:vAlign w:val="center"/>
          </w:tcPr>
          <w:p w14:paraId="5AB9501C" w14:textId="6CFD9DD8" w:rsidR="00770B5B" w:rsidRPr="00923F2A" w:rsidRDefault="00770B5B" w:rsidP="00770B5B">
            <w:pPr>
              <w:jc w:val="center"/>
              <w:rPr>
                <w:b/>
                <w:iCs/>
                <w:sz w:val="22"/>
                <w:szCs w:val="22"/>
              </w:rPr>
            </w:pPr>
            <w:r>
              <w:rPr>
                <w:rFonts w:ascii="Calibri" w:hAnsi="Calibri" w:cs="Calibri"/>
                <w:color w:val="000000"/>
                <w:sz w:val="22"/>
                <w:szCs w:val="22"/>
              </w:rPr>
              <w:t>Source Unknown</w:t>
            </w:r>
          </w:p>
        </w:tc>
        <w:tc>
          <w:tcPr>
            <w:tcW w:w="611" w:type="dxa"/>
            <w:vAlign w:val="center"/>
          </w:tcPr>
          <w:p w14:paraId="12431D70" w14:textId="507C547B" w:rsidR="00770B5B" w:rsidRPr="00923F2A" w:rsidRDefault="00770B5B" w:rsidP="00770B5B">
            <w:pPr>
              <w:jc w:val="center"/>
              <w:rPr>
                <w:iCs/>
                <w:sz w:val="22"/>
                <w:szCs w:val="22"/>
              </w:rPr>
            </w:pPr>
            <w:r>
              <w:rPr>
                <w:rFonts w:ascii="Calibri" w:hAnsi="Calibri" w:cs="Calibri"/>
                <w:color w:val="000000"/>
                <w:sz w:val="22"/>
                <w:szCs w:val="22"/>
              </w:rPr>
              <w:t>26%</w:t>
            </w:r>
          </w:p>
        </w:tc>
        <w:tc>
          <w:tcPr>
            <w:tcW w:w="2897" w:type="dxa"/>
            <w:vAlign w:val="center"/>
          </w:tcPr>
          <w:p w14:paraId="33CD0E4E" w14:textId="34D9CE1D" w:rsidR="00770B5B" w:rsidRPr="00923F2A" w:rsidRDefault="00770B5B" w:rsidP="00770B5B">
            <w:pPr>
              <w:jc w:val="center"/>
              <w:rPr>
                <w:b/>
                <w:iCs/>
                <w:sz w:val="22"/>
                <w:szCs w:val="22"/>
              </w:rPr>
            </w:pPr>
            <w:r>
              <w:rPr>
                <w:rFonts w:ascii="Calibri" w:hAnsi="Calibri" w:cs="Calibri"/>
                <w:color w:val="000000"/>
                <w:sz w:val="22"/>
                <w:szCs w:val="22"/>
              </w:rPr>
              <w:t>Non-Point Source</w:t>
            </w:r>
          </w:p>
        </w:tc>
        <w:tc>
          <w:tcPr>
            <w:tcW w:w="678" w:type="dxa"/>
            <w:vAlign w:val="center"/>
          </w:tcPr>
          <w:p w14:paraId="5CAA9E27" w14:textId="2DAABBAF" w:rsidR="00770B5B" w:rsidRPr="00923F2A" w:rsidRDefault="000F5713" w:rsidP="00770B5B">
            <w:pPr>
              <w:jc w:val="center"/>
              <w:rPr>
                <w:iCs/>
                <w:sz w:val="22"/>
                <w:szCs w:val="22"/>
              </w:rPr>
            </w:pPr>
            <w:r>
              <w:rPr>
                <w:rFonts w:ascii="Calibri" w:hAnsi="Calibri" w:cs="Calibri"/>
                <w:color w:val="000000"/>
                <w:sz w:val="22"/>
                <w:szCs w:val="22"/>
              </w:rPr>
              <w:t>6</w:t>
            </w:r>
            <w:r w:rsidR="00770B5B">
              <w:rPr>
                <w:rFonts w:ascii="Calibri" w:hAnsi="Calibri" w:cs="Calibri"/>
                <w:color w:val="000000"/>
                <w:sz w:val="22"/>
                <w:szCs w:val="22"/>
              </w:rPr>
              <w:t>%</w:t>
            </w:r>
          </w:p>
        </w:tc>
        <w:tc>
          <w:tcPr>
            <w:tcW w:w="2382" w:type="dxa"/>
            <w:vAlign w:val="center"/>
          </w:tcPr>
          <w:p w14:paraId="18821384" w14:textId="73409D8E" w:rsidR="00770B5B" w:rsidRPr="00923F2A" w:rsidRDefault="00770B5B" w:rsidP="00770B5B">
            <w:pPr>
              <w:jc w:val="center"/>
              <w:rPr>
                <w:b/>
                <w:iCs/>
                <w:sz w:val="22"/>
                <w:szCs w:val="22"/>
              </w:rPr>
            </w:pPr>
            <w:r>
              <w:rPr>
                <w:rFonts w:ascii="Calibri" w:hAnsi="Calibri" w:cs="Calibri"/>
                <w:color w:val="000000"/>
                <w:sz w:val="22"/>
                <w:szCs w:val="22"/>
              </w:rPr>
              <w:t>Non-Point Source</w:t>
            </w:r>
          </w:p>
        </w:tc>
        <w:tc>
          <w:tcPr>
            <w:tcW w:w="611" w:type="dxa"/>
            <w:vAlign w:val="center"/>
          </w:tcPr>
          <w:p w14:paraId="51335E28" w14:textId="2EB74B77" w:rsidR="00770B5B" w:rsidRPr="00923F2A" w:rsidRDefault="00770B5B" w:rsidP="00770B5B">
            <w:pPr>
              <w:jc w:val="center"/>
              <w:rPr>
                <w:iCs/>
                <w:sz w:val="22"/>
                <w:szCs w:val="22"/>
              </w:rPr>
            </w:pPr>
            <w:r>
              <w:rPr>
                <w:rFonts w:ascii="Calibri" w:hAnsi="Calibri" w:cs="Calibri"/>
                <w:color w:val="000000"/>
                <w:sz w:val="22"/>
                <w:szCs w:val="22"/>
              </w:rPr>
              <w:t>23%</w:t>
            </w:r>
          </w:p>
        </w:tc>
      </w:tr>
      <w:tr w:rsidR="00770B5B" w:rsidRPr="00D730B7" w14:paraId="66409AE3" w14:textId="77777777" w:rsidTr="007533E8">
        <w:trPr>
          <w:cantSplit/>
          <w:trHeight w:val="360"/>
        </w:trPr>
        <w:tc>
          <w:tcPr>
            <w:tcW w:w="2559" w:type="dxa"/>
            <w:vAlign w:val="center"/>
          </w:tcPr>
          <w:p w14:paraId="0F3C777A" w14:textId="264F094F" w:rsidR="00770B5B" w:rsidRPr="00923F2A" w:rsidRDefault="00770B5B" w:rsidP="00770B5B">
            <w:pPr>
              <w:jc w:val="center"/>
              <w:rPr>
                <w:b/>
                <w:iCs/>
                <w:sz w:val="22"/>
                <w:szCs w:val="22"/>
              </w:rPr>
            </w:pPr>
            <w:r>
              <w:rPr>
                <w:rFonts w:ascii="Calibri" w:hAnsi="Calibri" w:cs="Calibri"/>
                <w:color w:val="000000"/>
                <w:sz w:val="22"/>
                <w:szCs w:val="22"/>
              </w:rPr>
              <w:t>Urban Runoff/Storm Sewers</w:t>
            </w:r>
          </w:p>
        </w:tc>
        <w:tc>
          <w:tcPr>
            <w:tcW w:w="611" w:type="dxa"/>
            <w:vAlign w:val="center"/>
          </w:tcPr>
          <w:p w14:paraId="1DC03C31" w14:textId="447943B4" w:rsidR="00770B5B" w:rsidRPr="00923F2A" w:rsidRDefault="00770B5B" w:rsidP="00770B5B">
            <w:pPr>
              <w:jc w:val="center"/>
              <w:rPr>
                <w:iCs/>
                <w:sz w:val="22"/>
                <w:szCs w:val="22"/>
              </w:rPr>
            </w:pPr>
            <w:r>
              <w:rPr>
                <w:rFonts w:ascii="Calibri" w:hAnsi="Calibri" w:cs="Calibri"/>
                <w:color w:val="000000"/>
                <w:sz w:val="22"/>
                <w:szCs w:val="22"/>
              </w:rPr>
              <w:t>25%</w:t>
            </w:r>
          </w:p>
        </w:tc>
        <w:tc>
          <w:tcPr>
            <w:tcW w:w="2897" w:type="dxa"/>
            <w:vAlign w:val="center"/>
          </w:tcPr>
          <w:p w14:paraId="72D1F878" w14:textId="7BF05BC4" w:rsidR="00770B5B" w:rsidRPr="00923F2A" w:rsidRDefault="00770B5B" w:rsidP="00770B5B">
            <w:pPr>
              <w:jc w:val="center"/>
              <w:rPr>
                <w:b/>
                <w:iCs/>
                <w:sz w:val="22"/>
                <w:szCs w:val="22"/>
              </w:rPr>
            </w:pPr>
            <w:r>
              <w:rPr>
                <w:rFonts w:ascii="Calibri" w:hAnsi="Calibri" w:cs="Calibri"/>
                <w:color w:val="000000"/>
                <w:sz w:val="22"/>
                <w:szCs w:val="22"/>
              </w:rPr>
              <w:t>Agriculture</w:t>
            </w:r>
          </w:p>
        </w:tc>
        <w:tc>
          <w:tcPr>
            <w:tcW w:w="678" w:type="dxa"/>
            <w:vAlign w:val="center"/>
          </w:tcPr>
          <w:p w14:paraId="7C35F72C" w14:textId="4E9B9652" w:rsidR="00770B5B" w:rsidRPr="00923F2A" w:rsidRDefault="00770B5B" w:rsidP="00770B5B">
            <w:pPr>
              <w:jc w:val="center"/>
              <w:rPr>
                <w:iCs/>
                <w:sz w:val="22"/>
                <w:szCs w:val="22"/>
              </w:rPr>
            </w:pPr>
            <w:r>
              <w:rPr>
                <w:rFonts w:ascii="Calibri" w:hAnsi="Calibri" w:cs="Calibri"/>
                <w:color w:val="000000"/>
                <w:sz w:val="22"/>
                <w:szCs w:val="22"/>
              </w:rPr>
              <w:t>3%</w:t>
            </w:r>
          </w:p>
        </w:tc>
        <w:tc>
          <w:tcPr>
            <w:tcW w:w="2382" w:type="dxa"/>
            <w:vAlign w:val="center"/>
          </w:tcPr>
          <w:p w14:paraId="3D583C42" w14:textId="5EE1C8C1" w:rsidR="00770B5B" w:rsidRPr="00923F2A" w:rsidRDefault="00770B5B" w:rsidP="00770B5B">
            <w:pPr>
              <w:jc w:val="center"/>
              <w:rPr>
                <w:b/>
                <w:iCs/>
                <w:sz w:val="22"/>
                <w:szCs w:val="22"/>
              </w:rPr>
            </w:pPr>
            <w:r>
              <w:rPr>
                <w:rFonts w:ascii="Calibri" w:hAnsi="Calibri" w:cs="Calibri"/>
                <w:color w:val="000000"/>
                <w:sz w:val="22"/>
                <w:szCs w:val="22"/>
              </w:rPr>
              <w:t>Internal Nutrient Recycling</w:t>
            </w:r>
          </w:p>
        </w:tc>
        <w:tc>
          <w:tcPr>
            <w:tcW w:w="611" w:type="dxa"/>
            <w:vAlign w:val="center"/>
          </w:tcPr>
          <w:p w14:paraId="7D0C91C1" w14:textId="78E8152A" w:rsidR="00770B5B" w:rsidRPr="00923F2A" w:rsidRDefault="00770B5B" w:rsidP="00770B5B">
            <w:pPr>
              <w:jc w:val="center"/>
              <w:rPr>
                <w:iCs/>
                <w:sz w:val="22"/>
                <w:szCs w:val="22"/>
              </w:rPr>
            </w:pPr>
            <w:r>
              <w:rPr>
                <w:rFonts w:ascii="Calibri" w:hAnsi="Calibri" w:cs="Calibri"/>
                <w:color w:val="000000"/>
                <w:sz w:val="22"/>
                <w:szCs w:val="22"/>
              </w:rPr>
              <w:t>22%</w:t>
            </w:r>
          </w:p>
        </w:tc>
      </w:tr>
    </w:tbl>
    <w:p w14:paraId="53F36A2D" w14:textId="77777777" w:rsidR="00546B19" w:rsidRPr="00D730B7" w:rsidRDefault="00546B19" w:rsidP="00546B19">
      <w:pPr>
        <w:jc w:val="both"/>
        <w:rPr>
          <w:szCs w:val="24"/>
        </w:rPr>
      </w:pPr>
    </w:p>
    <w:p w14:paraId="0E92BB94" w14:textId="4EFFF749" w:rsidR="00546B19" w:rsidRPr="00FE2007" w:rsidRDefault="00546B19" w:rsidP="00FE2007">
      <w:pPr>
        <w:pStyle w:val="Heading3"/>
      </w:pPr>
      <w:r w:rsidRPr="00AD1FB7">
        <w:t>Rappahannock River Basin</w:t>
      </w:r>
    </w:p>
    <w:p w14:paraId="7655EF6F" w14:textId="0A01C794" w:rsidR="00546B19" w:rsidRPr="00D730B7" w:rsidRDefault="00546B19" w:rsidP="00546B19">
      <w:pPr>
        <w:pStyle w:val="Header"/>
        <w:rPr>
          <w:szCs w:val="24"/>
        </w:rPr>
      </w:pPr>
      <w:r w:rsidRPr="00D730B7">
        <w:rPr>
          <w:szCs w:val="24"/>
        </w:rPr>
        <w:t xml:space="preserve">The Rappahannock River basin </w:t>
      </w:r>
      <w:r w:rsidR="004E7E92" w:rsidRPr="00D730B7">
        <w:rPr>
          <w:szCs w:val="24"/>
        </w:rPr>
        <w:t>is in</w:t>
      </w:r>
      <w:r w:rsidRPr="00D730B7">
        <w:rPr>
          <w:szCs w:val="24"/>
        </w:rPr>
        <w:t xml:space="preserve"> the northeastern portion of Virginia and covers 2,712 square miles or approximately 6 percent of the </w:t>
      </w:r>
      <w:r w:rsidR="00D66F43">
        <w:rPr>
          <w:szCs w:val="24"/>
        </w:rPr>
        <w:t>C</w:t>
      </w:r>
      <w:r w:rsidRPr="00D730B7">
        <w:rPr>
          <w:szCs w:val="24"/>
        </w:rPr>
        <w:t>ommonwealth’s total area.</w:t>
      </w:r>
      <w:r w:rsidR="00FE2007">
        <w:rPr>
          <w:szCs w:val="24"/>
        </w:rPr>
        <w:t xml:space="preserve"> </w:t>
      </w:r>
      <w:r w:rsidRPr="00D730B7">
        <w:rPr>
          <w:szCs w:val="24"/>
        </w:rPr>
        <w:t>The Rappahannock River basin is bordered by the Potomac-Shenandoah basin to the north and the York River basin and Chesapeake/Atlantic Coastal basin to the south and east. The headwaters lie in Fauquier and Rappahannock counties and flow in a southeasterly direction to its confluence with the Chesapeake Bay between Lancaster and Middlesex counties. The Rappahannock River basin is 184 miles in length and varies in width from 20 to 50 miles.</w:t>
      </w:r>
      <w:r w:rsidR="0078450F">
        <w:rPr>
          <w:szCs w:val="24"/>
        </w:rPr>
        <w:t>’</w:t>
      </w:r>
      <w:r w:rsidRPr="00D730B7">
        <w:rPr>
          <w:szCs w:val="24"/>
        </w:rPr>
        <w:t xml:space="preserve"> The Rappahannock River</w:t>
      </w:r>
      <w:r w:rsidR="0078450F">
        <w:rPr>
          <w:szCs w:val="24"/>
        </w:rPr>
        <w:t>’</w:t>
      </w:r>
      <w:r w:rsidRPr="00D730B7">
        <w:rPr>
          <w:szCs w:val="24"/>
        </w:rPr>
        <w:t xml:space="preserve">s major tributaries are the Hazel River, Thornton River, Mountain Run, Rapidan River, Robinson River, Cat Point Creek, and the </w:t>
      </w:r>
      <w:proofErr w:type="spellStart"/>
      <w:r w:rsidRPr="00D730B7">
        <w:rPr>
          <w:szCs w:val="24"/>
        </w:rPr>
        <w:t>Corrotoman</w:t>
      </w:r>
      <w:proofErr w:type="spellEnd"/>
      <w:r w:rsidRPr="00D730B7">
        <w:rPr>
          <w:szCs w:val="24"/>
        </w:rPr>
        <w:t xml:space="preserve"> River.</w:t>
      </w:r>
    </w:p>
    <w:p w14:paraId="59CF6232" w14:textId="77777777" w:rsidR="00546B19" w:rsidRPr="00D730B7" w:rsidRDefault="00546B19" w:rsidP="00546B19">
      <w:pPr>
        <w:pStyle w:val="Header"/>
        <w:rPr>
          <w:szCs w:val="24"/>
        </w:rPr>
      </w:pPr>
    </w:p>
    <w:p w14:paraId="03F6EF29" w14:textId="76ADAE58" w:rsidR="00546B19" w:rsidRPr="00D730B7" w:rsidRDefault="00546B19" w:rsidP="00546B19">
      <w:pPr>
        <w:pStyle w:val="Header"/>
        <w:rPr>
          <w:szCs w:val="24"/>
        </w:rPr>
      </w:pPr>
      <w:r w:rsidRPr="00D730B7">
        <w:rPr>
          <w:szCs w:val="24"/>
        </w:rPr>
        <w:t>The topography of the Rappahannock River basin changes from steep slopes to flat land as it flows from the Blue Ridge Mountains to the Chesapeake Bay. About 51 percent of the basin land is forested, while pasture and cropland make up another 36 percent. Only about 6 percent of the land area is considered urban.</w:t>
      </w:r>
    </w:p>
    <w:p w14:paraId="3341A6F3" w14:textId="77777777" w:rsidR="00546B19" w:rsidRPr="00D730B7" w:rsidRDefault="00546B19" w:rsidP="00546B19">
      <w:pPr>
        <w:pStyle w:val="Header"/>
        <w:rPr>
          <w:szCs w:val="24"/>
        </w:rPr>
      </w:pPr>
    </w:p>
    <w:p w14:paraId="78AE94D0" w14:textId="15953B2B" w:rsidR="00546B19" w:rsidRPr="00D730B7" w:rsidRDefault="00546B19" w:rsidP="00546B19">
      <w:pPr>
        <w:pStyle w:val="Header"/>
        <w:rPr>
          <w:szCs w:val="24"/>
        </w:rPr>
      </w:pPr>
      <w:r w:rsidRPr="00D730B7">
        <w:rPr>
          <w:szCs w:val="24"/>
        </w:rPr>
        <w:t xml:space="preserve">Most of the Rappahannock River basin lies in the eastern Piedmont and Coastal Plain areas of the </w:t>
      </w:r>
      <w:r w:rsidR="00D66F43">
        <w:rPr>
          <w:szCs w:val="24"/>
        </w:rPr>
        <w:t>C</w:t>
      </w:r>
      <w:r w:rsidRPr="00D730B7">
        <w:rPr>
          <w:szCs w:val="24"/>
        </w:rPr>
        <w:t xml:space="preserve">ommonwealth while its headwaters, located on the eastern slopes of the Blue Ridge, </w:t>
      </w:r>
      <w:r w:rsidR="004D2316" w:rsidRPr="00D730B7">
        <w:rPr>
          <w:szCs w:val="24"/>
        </w:rPr>
        <w:t>are</w:t>
      </w:r>
      <w:r w:rsidRPr="00D730B7">
        <w:rPr>
          <w:szCs w:val="24"/>
        </w:rPr>
        <w:t xml:space="preserve"> in the northwestern Piedmont section.</w:t>
      </w:r>
    </w:p>
    <w:p w14:paraId="5C8FD5EA" w14:textId="77777777" w:rsidR="00546B19" w:rsidRPr="00D730B7" w:rsidRDefault="00546B19" w:rsidP="00546B19">
      <w:pPr>
        <w:pStyle w:val="Header"/>
        <w:rPr>
          <w:szCs w:val="24"/>
        </w:rPr>
      </w:pPr>
    </w:p>
    <w:p w14:paraId="150E50A5" w14:textId="4CB82BCE" w:rsidR="00546B19" w:rsidRPr="00D730B7" w:rsidRDefault="00546B19" w:rsidP="00546B19">
      <w:pPr>
        <w:rPr>
          <w:szCs w:val="24"/>
        </w:rPr>
      </w:pPr>
      <w:r w:rsidRPr="00D730B7">
        <w:rPr>
          <w:szCs w:val="24"/>
        </w:rPr>
        <w:t xml:space="preserve">The 2010 population of the Rappahannock River basin was approximately </w:t>
      </w:r>
      <w:r w:rsidRPr="00D730B7">
        <w:rPr>
          <w:color w:val="000000"/>
          <w:szCs w:val="24"/>
        </w:rPr>
        <w:t>483,770</w:t>
      </w:r>
      <w:r w:rsidR="00AC5510">
        <w:rPr>
          <w:color w:val="000000"/>
          <w:szCs w:val="24"/>
        </w:rPr>
        <w:t xml:space="preserve"> (VA WIP III)</w:t>
      </w:r>
      <w:r w:rsidRPr="00D730B7">
        <w:rPr>
          <w:szCs w:val="24"/>
        </w:rPr>
        <w:t>. The basin is mostly rural in character, with Fredericksburg, Spotsylvania, and Stafford as the main population centers. In recent years, the basin has seen increasing urban pressure from the influence of metropolitan Washington in the Fredericksburg and Fauquier areas of the basin. All or portions of the following 17 counties and one city lie within the basin: Albemarle, Caroline, Culpeper, Essex, Fauquier, Greene, King George, Lancaster, Madison, Middlesex, Northumberland, Orange, Rappahannock, Richmond, Spotsylvania, Stafford, and Westmoreland; City - Fredericksburg.</w:t>
      </w:r>
    </w:p>
    <w:p w14:paraId="61388D3A" w14:textId="77777777" w:rsidR="00546B19" w:rsidRPr="00D730B7" w:rsidRDefault="00546B19" w:rsidP="00546B19">
      <w:pPr>
        <w:pStyle w:val="Header"/>
        <w:rPr>
          <w:szCs w:val="24"/>
        </w:rPr>
      </w:pPr>
    </w:p>
    <w:p w14:paraId="518EC841" w14:textId="6F381AF0" w:rsidR="00546B19" w:rsidRPr="00D730B7" w:rsidRDefault="00546B19" w:rsidP="00546B19">
      <w:pPr>
        <w:pStyle w:val="Header"/>
        <w:rPr>
          <w:szCs w:val="24"/>
        </w:rPr>
      </w:pPr>
      <w:r w:rsidRPr="00D730B7">
        <w:rPr>
          <w:szCs w:val="24"/>
        </w:rPr>
        <w:t>The Rappahannock River Basin is divided into two USGS hydrologic units as follows: HUC 02080103 – Rapidan – Upper Rappahannock; and HUC 02080104 – Lower Rappahannock. The two hydrologic units are further divided into 26 waterbodies or watersheds and 74 6</w:t>
      </w:r>
      <w:r w:rsidRPr="00D730B7">
        <w:rPr>
          <w:szCs w:val="24"/>
          <w:vertAlign w:val="superscript"/>
        </w:rPr>
        <w:t>th</w:t>
      </w:r>
      <w:r w:rsidRPr="00D730B7">
        <w:rPr>
          <w:szCs w:val="24"/>
        </w:rPr>
        <w:t xml:space="preserve"> order sub-watersheds.</w:t>
      </w:r>
    </w:p>
    <w:p w14:paraId="6DA54BD0" w14:textId="77777777" w:rsidR="00546B19" w:rsidRPr="00D730B7" w:rsidRDefault="00546B19" w:rsidP="00546B19">
      <w:pPr>
        <w:pStyle w:val="Header"/>
        <w:jc w:val="both"/>
        <w:rPr>
          <w:szCs w:val="24"/>
        </w:rPr>
      </w:pPr>
    </w:p>
    <w:p w14:paraId="795A6178" w14:textId="77777777" w:rsidR="00546B19" w:rsidRPr="00D730B7" w:rsidRDefault="00546B19" w:rsidP="00546B19">
      <w:pPr>
        <w:pStyle w:val="Header"/>
        <w:jc w:val="both"/>
        <w:rPr>
          <w:szCs w:val="24"/>
        </w:rPr>
      </w:pPr>
      <w:r w:rsidRPr="00D730B7">
        <w:rPr>
          <w:szCs w:val="24"/>
        </w:rPr>
        <w:t>Basin assessment information is presented in the following figures and tables.</w:t>
      </w:r>
    </w:p>
    <w:p w14:paraId="1B5A42FD" w14:textId="77777777" w:rsidR="00546B19" w:rsidRPr="00D730B7" w:rsidRDefault="00546B19" w:rsidP="00546B19">
      <w:pPr>
        <w:rPr>
          <w:b/>
          <w:szCs w:val="24"/>
        </w:rPr>
      </w:pPr>
    </w:p>
    <w:p w14:paraId="263FFD4C" w14:textId="77777777" w:rsidR="008F20E4" w:rsidRPr="00D730B7" w:rsidRDefault="008F20E4" w:rsidP="008F20E4">
      <w:pPr>
        <w:jc w:val="both"/>
        <w:rPr>
          <w:b/>
          <w:szCs w:val="24"/>
        </w:rPr>
      </w:pPr>
      <w:r>
        <w:rPr>
          <w:b/>
          <w:szCs w:val="24"/>
        </w:rPr>
        <w:t>Total basin water body sizes, note all values rounded to the nearest whole number.</w:t>
      </w:r>
    </w:p>
    <w:p w14:paraId="78EE3D30" w14:textId="35FCB86A" w:rsidR="00BD2469" w:rsidRPr="00BD2469" w:rsidRDefault="00BD2469" w:rsidP="00BD2469">
      <w:pPr>
        <w:jc w:val="both"/>
        <w:rPr>
          <w:szCs w:val="24"/>
        </w:rPr>
      </w:pPr>
      <w:r w:rsidRPr="00BD2469">
        <w:rPr>
          <w:szCs w:val="24"/>
        </w:rPr>
        <w:t>Rivers - 6,48</w:t>
      </w:r>
      <w:r w:rsidR="00F275B9">
        <w:rPr>
          <w:szCs w:val="24"/>
        </w:rPr>
        <w:t>0</w:t>
      </w:r>
      <w:r w:rsidRPr="00BD2469">
        <w:rPr>
          <w:szCs w:val="24"/>
        </w:rPr>
        <w:t xml:space="preserve"> miles</w:t>
      </w:r>
    </w:p>
    <w:p w14:paraId="66AE4DD3" w14:textId="77777777" w:rsidR="00BD2469" w:rsidRPr="00BD2469" w:rsidRDefault="00BD2469" w:rsidP="00BD2469">
      <w:pPr>
        <w:jc w:val="both"/>
        <w:rPr>
          <w:szCs w:val="24"/>
        </w:rPr>
      </w:pPr>
      <w:r w:rsidRPr="00BD2469">
        <w:rPr>
          <w:szCs w:val="24"/>
        </w:rPr>
        <w:t>Lakes - 1,486 acres</w:t>
      </w:r>
    </w:p>
    <w:p w14:paraId="6A881693" w14:textId="47EC8D5D" w:rsidR="00546B19" w:rsidRDefault="00BD2469" w:rsidP="00BD2469">
      <w:pPr>
        <w:jc w:val="both"/>
        <w:rPr>
          <w:szCs w:val="24"/>
        </w:rPr>
      </w:pPr>
      <w:r w:rsidRPr="00BD2469">
        <w:rPr>
          <w:szCs w:val="24"/>
        </w:rPr>
        <w:t>Estuaries - 155 sq. miles</w:t>
      </w:r>
    </w:p>
    <w:p w14:paraId="4A26F563" w14:textId="77777777" w:rsidR="005B485C" w:rsidRDefault="005B485C" w:rsidP="00BD2469">
      <w:pPr>
        <w:jc w:val="both"/>
        <w:rPr>
          <w:szCs w:val="24"/>
        </w:rPr>
      </w:pPr>
    </w:p>
    <w:p w14:paraId="449E47AD" w14:textId="59736AE5" w:rsidR="00FE2007" w:rsidRDefault="00E1152B" w:rsidP="00FE2007">
      <w:pPr>
        <w:keepNext/>
        <w:jc w:val="both"/>
      </w:pPr>
      <w:r>
        <w:rPr>
          <w:noProof/>
        </w:rPr>
        <w:drawing>
          <wp:inline distT="0" distB="0" distL="0" distR="0" wp14:anchorId="3BD8A9A9" wp14:editId="6440AF0A">
            <wp:extent cx="5334000" cy="3810000"/>
            <wp:effectExtent l="0" t="0" r="0" b="0"/>
            <wp:docPr id="74" name="Picture" descr="Chart&#10;&#10;Figure 4.3 10. Designated use summary for rivers in the Rappahannock River basin (5,199 miles not assessed)."/>
            <wp:cNvGraphicFramePr/>
            <a:graphic xmlns:a="http://schemas.openxmlformats.org/drawingml/2006/main">
              <a:graphicData uri="http://schemas.openxmlformats.org/drawingml/2006/picture">
                <pic:pic xmlns:pic="http://schemas.openxmlformats.org/drawingml/2006/picture">
                  <pic:nvPicPr>
                    <pic:cNvPr id="74" name="Picture" descr="Chart&#10;&#10;Figure 4.3 10. Designated use summary for rivers in the Rappahannock River basin (5,199 miles not assessed)."/>
                    <pic:cNvPicPr>
                      <a:picLocks noChangeAspect="1" noChangeArrowheads="1"/>
                    </pic:cNvPicPr>
                  </pic:nvPicPr>
                  <pic:blipFill>
                    <a:blip r:embed="rId153"/>
                    <a:stretch>
                      <a:fillRect/>
                    </a:stretch>
                  </pic:blipFill>
                  <pic:spPr bwMode="auto">
                    <a:xfrm>
                      <a:off x="0" y="0"/>
                      <a:ext cx="5334000" cy="3810000"/>
                    </a:xfrm>
                    <a:prstGeom prst="rect">
                      <a:avLst/>
                    </a:prstGeom>
                    <a:noFill/>
                    <a:ln w="9525">
                      <a:noFill/>
                      <a:headEnd/>
                      <a:tailEnd/>
                    </a:ln>
                  </pic:spPr>
                </pic:pic>
              </a:graphicData>
            </a:graphic>
          </wp:inline>
        </w:drawing>
      </w:r>
    </w:p>
    <w:p w14:paraId="2BF4370D" w14:textId="1D75A9CC" w:rsidR="00D04429" w:rsidRPr="0062574F" w:rsidRDefault="00FE2007" w:rsidP="0A5BE548">
      <w:pPr>
        <w:pStyle w:val="Caption"/>
        <w:jc w:val="both"/>
        <w:rPr>
          <w:b/>
          <w:bCs/>
        </w:rPr>
      </w:pPr>
      <w:bookmarkStart w:id="126" w:name="_Toc164175066"/>
      <w:bookmarkStart w:id="127" w:name="_Toc152766241"/>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10</w:t>
      </w:r>
      <w:r w:rsidR="004F13BA">
        <w:rPr>
          <w:noProof/>
        </w:rPr>
        <w:fldChar w:fldCharType="end"/>
      </w:r>
      <w:r>
        <w:t xml:space="preserve">. </w:t>
      </w:r>
      <w:r w:rsidR="0062144E">
        <w:t>Designated</w:t>
      </w:r>
      <w:r>
        <w:t xml:space="preserve"> use summary for </w:t>
      </w:r>
      <w:r w:rsidR="0062144E">
        <w:t>rivers in</w:t>
      </w:r>
      <w:r w:rsidRPr="0A5BE548">
        <w:t xml:space="preserve"> the Rappahannock River</w:t>
      </w:r>
      <w:r w:rsidR="09548756" w:rsidRPr="0A5BE548">
        <w:t xml:space="preserve"> </w:t>
      </w:r>
      <w:bookmarkEnd w:id="126"/>
      <w:r>
        <w:t>basin</w:t>
      </w:r>
      <w:bookmarkEnd w:id="127"/>
      <w:r w:rsidR="00914C9F">
        <w:t xml:space="preserve"> (</w:t>
      </w:r>
      <w:r w:rsidR="004771DF">
        <w:t xml:space="preserve">5,199 </w:t>
      </w:r>
      <w:r w:rsidR="00914C9F">
        <w:t>miles not assessed)</w:t>
      </w:r>
      <w:r w:rsidR="00434CD0">
        <w:t>.</w:t>
      </w:r>
    </w:p>
    <w:p w14:paraId="52F0A9AB" w14:textId="77777777" w:rsidR="00546B19" w:rsidRDefault="00546B19" w:rsidP="00546B19">
      <w:pPr>
        <w:jc w:val="both"/>
        <w:rPr>
          <w:b/>
          <w:szCs w:val="24"/>
        </w:rPr>
      </w:pPr>
    </w:p>
    <w:p w14:paraId="3BCF1820" w14:textId="3B2DAE14" w:rsidR="00FE2007" w:rsidRDefault="008C329F" w:rsidP="00FE2007">
      <w:pPr>
        <w:keepNext/>
      </w:pPr>
      <w:r>
        <w:rPr>
          <w:noProof/>
        </w:rPr>
        <w:lastRenderedPageBreak/>
        <w:drawing>
          <wp:inline distT="0" distB="0" distL="0" distR="0" wp14:anchorId="627C0CDB" wp14:editId="211DE160">
            <wp:extent cx="5334000" cy="3810000"/>
            <wp:effectExtent l="0" t="0" r="0" b="0"/>
            <wp:docPr id="80" name="Picture" descr="Chart, bar chart&#10;&#10;Figure 4.3 11. Designated use summary for lakes in the Rappahannock River basin (20 acres not assessed)."/>
            <wp:cNvGraphicFramePr/>
            <a:graphic xmlns:a="http://schemas.openxmlformats.org/drawingml/2006/main">
              <a:graphicData uri="http://schemas.openxmlformats.org/drawingml/2006/picture">
                <pic:pic xmlns:pic="http://schemas.openxmlformats.org/drawingml/2006/picture">
                  <pic:nvPicPr>
                    <pic:cNvPr id="80" name="Picture" descr="Chart, bar chart&#10;&#10;Figure 4.3 11. Designated use summary for lakes in the Rappahannock River basin (20 acres not assessed)."/>
                    <pic:cNvPicPr>
                      <a:picLocks noChangeAspect="1" noChangeArrowheads="1"/>
                    </pic:cNvPicPr>
                  </pic:nvPicPr>
                  <pic:blipFill>
                    <a:blip r:embed="rId154"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2CB687CA" w14:textId="77777777" w:rsidR="00684973" w:rsidRDefault="00684973" w:rsidP="00FE2007">
      <w:pPr>
        <w:keepNext/>
      </w:pPr>
    </w:p>
    <w:p w14:paraId="11098D27" w14:textId="6B96E2FC" w:rsidR="00D04429" w:rsidRPr="0062574F" w:rsidRDefault="00FE2007" w:rsidP="00D04429">
      <w:pPr>
        <w:pStyle w:val="Caption"/>
        <w:jc w:val="both"/>
      </w:pPr>
      <w:bookmarkStart w:id="128" w:name="_Toc164175067"/>
      <w:bookmarkStart w:id="129" w:name="_Toc152766242"/>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11</w:t>
      </w:r>
      <w:r w:rsidR="004F13BA">
        <w:rPr>
          <w:noProof/>
        </w:rPr>
        <w:fldChar w:fldCharType="end"/>
      </w:r>
      <w:r>
        <w:t xml:space="preserve">. </w:t>
      </w:r>
      <w:r w:rsidR="00465F72">
        <w:t xml:space="preserve">Designated use summary for lakes in </w:t>
      </w:r>
      <w:r w:rsidRPr="0A5BE548">
        <w:t>the Rappahannock River</w:t>
      </w:r>
      <w:r w:rsidR="1F66C58C" w:rsidRPr="0A5BE548">
        <w:t xml:space="preserve"> </w:t>
      </w:r>
      <w:bookmarkEnd w:id="128"/>
      <w:r>
        <w:t>basin</w:t>
      </w:r>
      <w:bookmarkEnd w:id="129"/>
      <w:r w:rsidR="00A7217D">
        <w:t xml:space="preserve"> </w:t>
      </w:r>
      <w:r w:rsidR="006B6868">
        <w:t>(</w:t>
      </w:r>
      <w:r w:rsidR="0071007C">
        <w:t>20</w:t>
      </w:r>
      <w:r w:rsidR="006B6868">
        <w:t xml:space="preserve"> acres not assessed)</w:t>
      </w:r>
      <w:r w:rsidR="008C329F">
        <w:t>.</w:t>
      </w:r>
    </w:p>
    <w:p w14:paraId="3678DDD2" w14:textId="77777777" w:rsidR="00546B19" w:rsidRPr="00D730B7" w:rsidRDefault="00546B19" w:rsidP="00546B19">
      <w:pPr>
        <w:rPr>
          <w:b/>
          <w:szCs w:val="24"/>
        </w:rPr>
      </w:pPr>
    </w:p>
    <w:p w14:paraId="31C59A5B" w14:textId="32C2E4C3" w:rsidR="00FE2007" w:rsidRDefault="000D7216" w:rsidP="00FE2007">
      <w:pPr>
        <w:keepNext/>
        <w:jc w:val="both"/>
      </w:pPr>
      <w:r>
        <w:rPr>
          <w:noProof/>
        </w:rPr>
        <w:drawing>
          <wp:inline distT="0" distB="0" distL="0" distR="0" wp14:anchorId="79CEED45" wp14:editId="7B8B478B">
            <wp:extent cx="5334000" cy="3810000"/>
            <wp:effectExtent l="0" t="0" r="0" b="0"/>
            <wp:docPr id="86" name="Picture" descr="Figure 4.3 12. Designated use summary for estuaries in the Rappahannock River basin (all miles2 assessed)."/>
            <wp:cNvGraphicFramePr/>
            <a:graphic xmlns:a="http://schemas.openxmlformats.org/drawingml/2006/main">
              <a:graphicData uri="http://schemas.openxmlformats.org/drawingml/2006/picture">
                <pic:pic xmlns:pic="http://schemas.openxmlformats.org/drawingml/2006/picture">
                  <pic:nvPicPr>
                    <pic:cNvPr id="86" name="Picture" descr="Figure 4.3 12. Designated use summary for estuaries in the Rappahannock River basin (all miles2 assessed)."/>
                    <pic:cNvPicPr>
                      <a:picLocks noChangeAspect="1" noChangeArrowheads="1"/>
                    </pic:cNvPicPr>
                  </pic:nvPicPr>
                  <pic:blipFill>
                    <a:blip r:embed="rId155"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705ABEAF" w14:textId="44688E4B" w:rsidR="00D04429" w:rsidRPr="0062574F" w:rsidRDefault="00FE2007" w:rsidP="0A5BE548">
      <w:pPr>
        <w:pStyle w:val="Caption"/>
        <w:jc w:val="both"/>
        <w:rPr>
          <w:b/>
          <w:bCs/>
        </w:rPr>
      </w:pPr>
      <w:bookmarkStart w:id="130" w:name="_Toc164175068"/>
      <w:bookmarkStart w:id="131" w:name="_Toc152766243"/>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12</w:t>
      </w:r>
      <w:r w:rsidR="004F13BA">
        <w:rPr>
          <w:noProof/>
        </w:rPr>
        <w:fldChar w:fldCharType="end"/>
      </w:r>
      <w:r>
        <w:t>.</w:t>
      </w:r>
      <w:r w:rsidRPr="00FE2007">
        <w:t xml:space="preserve"> </w:t>
      </w:r>
      <w:r w:rsidR="00482F96">
        <w:t>Designated</w:t>
      </w:r>
      <w:r>
        <w:t xml:space="preserve"> use summary for </w:t>
      </w:r>
      <w:r w:rsidR="00482F96">
        <w:t xml:space="preserve">estuaries in </w:t>
      </w:r>
      <w:r w:rsidRPr="0A5BE548">
        <w:t>the Rappahannock River</w:t>
      </w:r>
      <w:r w:rsidR="68D6E927" w:rsidRPr="0A5BE548">
        <w:t xml:space="preserve"> </w:t>
      </w:r>
      <w:bookmarkEnd w:id="130"/>
      <w:r>
        <w:t>basin</w:t>
      </w:r>
      <w:bookmarkEnd w:id="131"/>
      <w:r w:rsidR="00A7217D">
        <w:t xml:space="preserve"> (all miles</w:t>
      </w:r>
      <w:r w:rsidR="00A7217D" w:rsidRPr="0A5BE548">
        <w:rPr>
          <w:vertAlign w:val="superscript"/>
        </w:rPr>
        <w:t>2</w:t>
      </w:r>
      <w:r w:rsidR="00A7217D">
        <w:t xml:space="preserve"> assessed)</w:t>
      </w:r>
      <w:r w:rsidR="002326E8">
        <w:t>.</w:t>
      </w:r>
    </w:p>
    <w:p w14:paraId="4245E863" w14:textId="3026B89A" w:rsidR="00546B19" w:rsidRDefault="00546B19" w:rsidP="00546B19">
      <w:pPr>
        <w:rPr>
          <w:b/>
          <w:szCs w:val="24"/>
        </w:rPr>
      </w:pPr>
    </w:p>
    <w:p w14:paraId="42F1028B" w14:textId="107E785D" w:rsidR="00FE2007" w:rsidRDefault="006A788E" w:rsidP="00FE2007">
      <w:pPr>
        <w:keepNext/>
        <w:jc w:val="both"/>
      </w:pPr>
      <w:r>
        <w:rPr>
          <w:noProof/>
        </w:rPr>
        <w:drawing>
          <wp:inline distT="0" distB="0" distL="0" distR="0" wp14:anchorId="5EDC4FA4" wp14:editId="073B809A">
            <wp:extent cx="5334000" cy="3810000"/>
            <wp:effectExtent l="0" t="0" r="0" b="0"/>
            <wp:docPr id="92" name="Picture" descr="Chart, bar chart&#10;&#10;Figure 4.3 13. Chesapeake Bay-specific designated use summary for the Rappahannock River basin."/>
            <wp:cNvGraphicFramePr/>
            <a:graphic xmlns:a="http://schemas.openxmlformats.org/drawingml/2006/main">
              <a:graphicData uri="http://schemas.openxmlformats.org/drawingml/2006/picture">
                <pic:pic xmlns:pic="http://schemas.openxmlformats.org/drawingml/2006/picture">
                  <pic:nvPicPr>
                    <pic:cNvPr id="92" name="Picture" descr="Chart, bar chart&#10;&#10;Figure 4.3 13. Chesapeake Bay-specific designated use summary for the Rappahannock River basin."/>
                    <pic:cNvPicPr>
                      <a:picLocks noChangeAspect="1" noChangeArrowheads="1"/>
                    </pic:cNvPicPr>
                  </pic:nvPicPr>
                  <pic:blipFill>
                    <a:blip r:embed="rId156"/>
                    <a:stretch>
                      <a:fillRect/>
                    </a:stretch>
                  </pic:blipFill>
                  <pic:spPr bwMode="auto">
                    <a:xfrm>
                      <a:off x="0" y="0"/>
                      <a:ext cx="5334000" cy="3810000"/>
                    </a:xfrm>
                    <a:prstGeom prst="rect">
                      <a:avLst/>
                    </a:prstGeom>
                    <a:noFill/>
                    <a:ln w="9525">
                      <a:noFill/>
                      <a:headEnd/>
                      <a:tailEnd/>
                    </a:ln>
                  </pic:spPr>
                </pic:pic>
              </a:graphicData>
            </a:graphic>
          </wp:inline>
        </w:drawing>
      </w:r>
    </w:p>
    <w:p w14:paraId="4E598042" w14:textId="7B715D71" w:rsidR="00D04429" w:rsidRPr="0062574F" w:rsidRDefault="00FE2007" w:rsidP="0A5BE548">
      <w:pPr>
        <w:pStyle w:val="Caption"/>
        <w:jc w:val="both"/>
        <w:rPr>
          <w:b/>
          <w:bCs/>
        </w:rPr>
      </w:pPr>
      <w:bookmarkStart w:id="132" w:name="_Toc164175069"/>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13</w:t>
      </w:r>
      <w:r w:rsidR="004F13BA">
        <w:rPr>
          <w:noProof/>
        </w:rPr>
        <w:fldChar w:fldCharType="end"/>
      </w:r>
      <w:r>
        <w:t xml:space="preserve">. </w:t>
      </w:r>
      <w:r w:rsidR="00780BED">
        <w:t>Chesapeake Bay-specific designated use summary</w:t>
      </w:r>
      <w:r w:rsidR="00780BED" w:rsidRPr="0A5BE548">
        <w:rPr>
          <w:rFonts w:cstheme="minorBidi"/>
        </w:rPr>
        <w:t xml:space="preserve"> for </w:t>
      </w:r>
      <w:r w:rsidR="005B0ED2">
        <w:t xml:space="preserve">the Rappahannock </w:t>
      </w:r>
      <w:r w:rsidR="00D54F96">
        <w:t>River</w:t>
      </w:r>
      <w:r w:rsidR="47C1A0C2">
        <w:t xml:space="preserve"> </w:t>
      </w:r>
      <w:bookmarkEnd w:id="132"/>
      <w:r w:rsidR="00D54F96">
        <w:t>ba</w:t>
      </w:r>
      <w:r w:rsidR="00A24E26">
        <w:t>sin</w:t>
      </w:r>
      <w:r w:rsidR="00326D48">
        <w:t>.</w:t>
      </w:r>
    </w:p>
    <w:p w14:paraId="68344443" w14:textId="77777777" w:rsidR="00546B19" w:rsidRPr="00D730B7" w:rsidRDefault="00546B19" w:rsidP="00546B19">
      <w:pPr>
        <w:rPr>
          <w:b/>
          <w:szCs w:val="24"/>
        </w:rPr>
      </w:pPr>
    </w:p>
    <w:p w14:paraId="40772B95" w14:textId="3B5FFED4" w:rsidR="00D04429" w:rsidRPr="0062574F" w:rsidRDefault="000B0212" w:rsidP="00D04429">
      <w:pPr>
        <w:pStyle w:val="Caption"/>
        <w:jc w:val="both"/>
      </w:pPr>
      <w:bookmarkStart w:id="133" w:name="_Toc164175169"/>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5</w:t>
      </w:r>
      <w:r w:rsidR="004F13BA">
        <w:rPr>
          <w:noProof/>
        </w:rPr>
        <w:fldChar w:fldCharType="end"/>
      </w:r>
      <w:r>
        <w:t>.</w:t>
      </w:r>
      <w:r w:rsidRPr="000B0212">
        <w:t xml:space="preserve"> Significant causes of designated use impairment in the Rappahannock River</w:t>
      </w:r>
      <w:r w:rsidR="4BE3FD42" w:rsidRPr="000B0212">
        <w:t xml:space="preserve"> </w:t>
      </w:r>
      <w:bookmarkEnd w:id="133"/>
      <w:r>
        <w:t>basin, by waterbody type, ranked by percentage of impaired water size (note: Waters can have multiple pollutants).</w:t>
      </w:r>
    </w:p>
    <w:tbl>
      <w:tblPr>
        <w:tblStyle w:val="TableGrid"/>
        <w:tblW w:w="9734" w:type="dxa"/>
        <w:tblCellMar>
          <w:left w:w="115" w:type="dxa"/>
          <w:right w:w="115" w:type="dxa"/>
        </w:tblCellMar>
        <w:tblLook w:val="04A0" w:firstRow="1" w:lastRow="0" w:firstColumn="1" w:lastColumn="0" w:noHBand="0" w:noVBand="1"/>
        <w:tblCaption w:val="Table of Rappahannock River Basin Significant Causes of Designated Use Impairment"/>
        <w:tblDescription w:val="Rappahannock River Basin significant causes of Designated Use impairment for rivers, lakes, and estuaries ranked by impaired water size"/>
      </w:tblPr>
      <w:tblGrid>
        <w:gridCol w:w="2525"/>
        <w:gridCol w:w="661"/>
        <w:gridCol w:w="2779"/>
        <w:gridCol w:w="636"/>
        <w:gridCol w:w="2310"/>
        <w:gridCol w:w="823"/>
      </w:tblGrid>
      <w:tr w:rsidR="00546B19" w:rsidRPr="00D730B7" w14:paraId="5780D79D" w14:textId="77777777" w:rsidTr="001413BE">
        <w:trPr>
          <w:cantSplit/>
          <w:trHeight w:val="360"/>
          <w:tblHeader/>
        </w:trPr>
        <w:tc>
          <w:tcPr>
            <w:tcW w:w="3060" w:type="dxa"/>
            <w:gridSpan w:val="2"/>
            <w:vAlign w:val="center"/>
          </w:tcPr>
          <w:p w14:paraId="382BB0FB" w14:textId="77777777" w:rsidR="00546B19" w:rsidRPr="004D2316" w:rsidRDefault="00546B19" w:rsidP="003D37F0">
            <w:pPr>
              <w:jc w:val="center"/>
              <w:rPr>
                <w:b/>
                <w:iCs/>
                <w:sz w:val="22"/>
                <w:szCs w:val="22"/>
              </w:rPr>
            </w:pPr>
            <w:r w:rsidRPr="004D2316">
              <w:rPr>
                <w:b/>
                <w:iCs/>
                <w:sz w:val="22"/>
                <w:szCs w:val="22"/>
              </w:rPr>
              <w:t>Rivers</w:t>
            </w:r>
          </w:p>
        </w:tc>
        <w:tc>
          <w:tcPr>
            <w:tcW w:w="3280" w:type="dxa"/>
            <w:gridSpan w:val="2"/>
            <w:vAlign w:val="center"/>
          </w:tcPr>
          <w:p w14:paraId="7F316393" w14:textId="77777777" w:rsidR="00546B19" w:rsidRPr="004D2316" w:rsidRDefault="00546B19" w:rsidP="003D37F0">
            <w:pPr>
              <w:jc w:val="center"/>
              <w:rPr>
                <w:b/>
                <w:iCs/>
                <w:sz w:val="22"/>
                <w:szCs w:val="22"/>
              </w:rPr>
            </w:pPr>
            <w:r w:rsidRPr="004D2316">
              <w:rPr>
                <w:b/>
                <w:iCs/>
                <w:sz w:val="22"/>
                <w:szCs w:val="22"/>
              </w:rPr>
              <w:t>Lakes</w:t>
            </w:r>
          </w:p>
        </w:tc>
        <w:tc>
          <w:tcPr>
            <w:tcW w:w="3010" w:type="dxa"/>
            <w:gridSpan w:val="2"/>
            <w:vAlign w:val="center"/>
          </w:tcPr>
          <w:p w14:paraId="24C5E8CD" w14:textId="77777777" w:rsidR="00546B19" w:rsidRPr="004D2316" w:rsidRDefault="00546B19" w:rsidP="003D37F0">
            <w:pPr>
              <w:jc w:val="center"/>
              <w:rPr>
                <w:b/>
                <w:iCs/>
                <w:sz w:val="22"/>
                <w:szCs w:val="22"/>
              </w:rPr>
            </w:pPr>
            <w:r w:rsidRPr="004D2316">
              <w:rPr>
                <w:b/>
                <w:iCs/>
                <w:sz w:val="22"/>
                <w:szCs w:val="22"/>
              </w:rPr>
              <w:t>Estuaries</w:t>
            </w:r>
          </w:p>
        </w:tc>
      </w:tr>
      <w:tr w:rsidR="003D37F0" w:rsidRPr="00D730B7" w14:paraId="22F5BE80" w14:textId="77777777" w:rsidTr="001413BE">
        <w:trPr>
          <w:cantSplit/>
          <w:trHeight w:val="360"/>
        </w:trPr>
        <w:tc>
          <w:tcPr>
            <w:tcW w:w="2425" w:type="dxa"/>
            <w:vAlign w:val="center"/>
          </w:tcPr>
          <w:p w14:paraId="04DC8565" w14:textId="44A52679" w:rsidR="003D37F0" w:rsidRPr="00D730B7" w:rsidRDefault="003D37F0" w:rsidP="003D37F0">
            <w:pPr>
              <w:jc w:val="center"/>
              <w:rPr>
                <w:b/>
                <w:szCs w:val="24"/>
              </w:rPr>
            </w:pPr>
            <w:r>
              <w:rPr>
                <w:rFonts w:ascii="Calibri" w:hAnsi="Calibri" w:cs="Calibri"/>
                <w:color w:val="000000"/>
                <w:sz w:val="22"/>
                <w:szCs w:val="22"/>
              </w:rPr>
              <w:t>Bacteria</w:t>
            </w:r>
          </w:p>
        </w:tc>
        <w:tc>
          <w:tcPr>
            <w:tcW w:w="635" w:type="dxa"/>
            <w:vAlign w:val="center"/>
          </w:tcPr>
          <w:p w14:paraId="1AF621A0" w14:textId="1A970F1B" w:rsidR="003D37F0" w:rsidRPr="004D2316" w:rsidRDefault="003D37F0" w:rsidP="003D37F0">
            <w:pPr>
              <w:jc w:val="center"/>
              <w:rPr>
                <w:iCs/>
                <w:sz w:val="22"/>
                <w:szCs w:val="22"/>
              </w:rPr>
            </w:pPr>
            <w:r>
              <w:rPr>
                <w:rFonts w:ascii="Calibri" w:hAnsi="Calibri" w:cs="Calibri"/>
                <w:color w:val="000000"/>
                <w:sz w:val="22"/>
                <w:szCs w:val="22"/>
              </w:rPr>
              <w:t>90%</w:t>
            </w:r>
          </w:p>
        </w:tc>
        <w:tc>
          <w:tcPr>
            <w:tcW w:w="2669" w:type="dxa"/>
            <w:vAlign w:val="center"/>
          </w:tcPr>
          <w:p w14:paraId="6F74B7DC" w14:textId="3B33017B" w:rsidR="003D37F0" w:rsidRPr="004D2316" w:rsidRDefault="003D37F0" w:rsidP="003D37F0">
            <w:pPr>
              <w:jc w:val="center"/>
              <w:rPr>
                <w:b/>
                <w:iCs/>
                <w:sz w:val="22"/>
                <w:szCs w:val="22"/>
              </w:rPr>
            </w:pPr>
            <w:r>
              <w:rPr>
                <w:rFonts w:ascii="Calibri" w:hAnsi="Calibri" w:cs="Calibri"/>
                <w:color w:val="000000"/>
                <w:sz w:val="22"/>
                <w:szCs w:val="22"/>
              </w:rPr>
              <w:t>Chlorophyll-a</w:t>
            </w:r>
          </w:p>
        </w:tc>
        <w:tc>
          <w:tcPr>
            <w:tcW w:w="611" w:type="dxa"/>
            <w:vAlign w:val="center"/>
          </w:tcPr>
          <w:p w14:paraId="6BBE70B9" w14:textId="117A585D" w:rsidR="003D37F0" w:rsidRPr="004D2316" w:rsidRDefault="003D37F0" w:rsidP="003D37F0">
            <w:pPr>
              <w:jc w:val="center"/>
              <w:rPr>
                <w:iCs/>
                <w:sz w:val="22"/>
                <w:szCs w:val="22"/>
              </w:rPr>
            </w:pPr>
            <w:r>
              <w:rPr>
                <w:rFonts w:ascii="Calibri" w:hAnsi="Calibri" w:cs="Calibri"/>
                <w:color w:val="000000"/>
                <w:sz w:val="22"/>
                <w:szCs w:val="22"/>
              </w:rPr>
              <w:t>64%</w:t>
            </w:r>
          </w:p>
        </w:tc>
        <w:tc>
          <w:tcPr>
            <w:tcW w:w="2219" w:type="dxa"/>
            <w:vAlign w:val="center"/>
          </w:tcPr>
          <w:p w14:paraId="03F76884" w14:textId="33738D04" w:rsidR="003D37F0" w:rsidRPr="004D2316" w:rsidRDefault="003D37F0" w:rsidP="003D37F0">
            <w:pPr>
              <w:jc w:val="center"/>
              <w:rPr>
                <w:b/>
                <w:iCs/>
                <w:sz w:val="22"/>
                <w:szCs w:val="22"/>
              </w:rPr>
            </w:pPr>
            <w:r>
              <w:rPr>
                <w:rFonts w:ascii="Calibri" w:hAnsi="Calibri" w:cs="Calibri"/>
                <w:color w:val="000000"/>
                <w:sz w:val="22"/>
                <w:szCs w:val="22"/>
              </w:rPr>
              <w:t>SAV</w:t>
            </w:r>
          </w:p>
        </w:tc>
        <w:tc>
          <w:tcPr>
            <w:tcW w:w="791" w:type="dxa"/>
            <w:vAlign w:val="center"/>
          </w:tcPr>
          <w:p w14:paraId="45713471" w14:textId="60A15E8A" w:rsidR="003D37F0" w:rsidRPr="004D2316" w:rsidRDefault="003D37F0" w:rsidP="003D37F0">
            <w:pPr>
              <w:jc w:val="center"/>
              <w:rPr>
                <w:iCs/>
                <w:sz w:val="22"/>
                <w:szCs w:val="22"/>
              </w:rPr>
            </w:pPr>
            <w:r>
              <w:rPr>
                <w:rFonts w:ascii="Calibri" w:hAnsi="Calibri" w:cs="Calibri"/>
                <w:color w:val="000000"/>
                <w:sz w:val="22"/>
                <w:szCs w:val="22"/>
              </w:rPr>
              <w:t>86%</w:t>
            </w:r>
          </w:p>
        </w:tc>
      </w:tr>
      <w:tr w:rsidR="003D37F0" w:rsidRPr="00D730B7" w14:paraId="65D5750A" w14:textId="77777777" w:rsidTr="001413BE">
        <w:trPr>
          <w:cantSplit/>
          <w:trHeight w:val="360"/>
        </w:trPr>
        <w:tc>
          <w:tcPr>
            <w:tcW w:w="2425" w:type="dxa"/>
            <w:vAlign w:val="center"/>
          </w:tcPr>
          <w:p w14:paraId="4899FA1C" w14:textId="5D929EAB" w:rsidR="003D37F0" w:rsidRPr="00D730B7" w:rsidRDefault="003D37F0" w:rsidP="003D37F0">
            <w:pPr>
              <w:jc w:val="center"/>
              <w:rPr>
                <w:b/>
                <w:szCs w:val="24"/>
              </w:rPr>
            </w:pPr>
            <w:r>
              <w:rPr>
                <w:rFonts w:ascii="Calibri" w:hAnsi="Calibri" w:cs="Calibri"/>
                <w:color w:val="000000"/>
                <w:sz w:val="22"/>
                <w:szCs w:val="22"/>
              </w:rPr>
              <w:t>Impaired Benthics</w:t>
            </w:r>
          </w:p>
        </w:tc>
        <w:tc>
          <w:tcPr>
            <w:tcW w:w="635" w:type="dxa"/>
            <w:vAlign w:val="center"/>
          </w:tcPr>
          <w:p w14:paraId="561CD432" w14:textId="6A03FBA1" w:rsidR="003D37F0" w:rsidRPr="004D2316" w:rsidRDefault="003D37F0" w:rsidP="003D37F0">
            <w:pPr>
              <w:jc w:val="center"/>
              <w:rPr>
                <w:iCs/>
                <w:sz w:val="22"/>
                <w:szCs w:val="22"/>
              </w:rPr>
            </w:pPr>
            <w:r>
              <w:rPr>
                <w:rFonts w:ascii="Calibri" w:hAnsi="Calibri" w:cs="Calibri"/>
                <w:color w:val="000000"/>
                <w:sz w:val="22"/>
                <w:szCs w:val="22"/>
              </w:rPr>
              <w:t>1</w:t>
            </w:r>
            <w:r w:rsidR="00865AE0">
              <w:rPr>
                <w:rFonts w:ascii="Calibri" w:hAnsi="Calibri" w:cs="Calibri"/>
                <w:color w:val="000000"/>
                <w:sz w:val="22"/>
                <w:szCs w:val="22"/>
              </w:rPr>
              <w:t>8</w:t>
            </w:r>
            <w:r>
              <w:rPr>
                <w:rFonts w:ascii="Calibri" w:hAnsi="Calibri" w:cs="Calibri"/>
                <w:color w:val="000000"/>
                <w:sz w:val="22"/>
                <w:szCs w:val="22"/>
              </w:rPr>
              <w:t>%</w:t>
            </w:r>
          </w:p>
        </w:tc>
        <w:tc>
          <w:tcPr>
            <w:tcW w:w="2669" w:type="dxa"/>
            <w:vAlign w:val="center"/>
          </w:tcPr>
          <w:p w14:paraId="2B055BB4" w14:textId="7D136A8B" w:rsidR="003D37F0" w:rsidRPr="004D2316" w:rsidRDefault="003D37F0" w:rsidP="003D37F0">
            <w:pPr>
              <w:jc w:val="center"/>
              <w:rPr>
                <w:b/>
                <w:iCs/>
                <w:sz w:val="22"/>
                <w:szCs w:val="22"/>
              </w:rPr>
            </w:pPr>
            <w:r>
              <w:rPr>
                <w:rFonts w:ascii="Calibri" w:hAnsi="Calibri" w:cs="Calibri"/>
                <w:color w:val="000000"/>
                <w:sz w:val="22"/>
                <w:szCs w:val="22"/>
              </w:rPr>
              <w:t>Dissolved Oxygen</w:t>
            </w:r>
          </w:p>
        </w:tc>
        <w:tc>
          <w:tcPr>
            <w:tcW w:w="611" w:type="dxa"/>
            <w:vAlign w:val="center"/>
          </w:tcPr>
          <w:p w14:paraId="079BE48E" w14:textId="1C508744" w:rsidR="003D37F0" w:rsidRPr="004D2316" w:rsidRDefault="003D37F0" w:rsidP="003D37F0">
            <w:pPr>
              <w:jc w:val="center"/>
              <w:rPr>
                <w:iCs/>
                <w:sz w:val="22"/>
                <w:szCs w:val="22"/>
              </w:rPr>
            </w:pPr>
            <w:r>
              <w:rPr>
                <w:rFonts w:ascii="Calibri" w:hAnsi="Calibri" w:cs="Calibri"/>
                <w:color w:val="000000"/>
                <w:sz w:val="22"/>
                <w:szCs w:val="22"/>
              </w:rPr>
              <w:t>64%</w:t>
            </w:r>
          </w:p>
        </w:tc>
        <w:tc>
          <w:tcPr>
            <w:tcW w:w="2219" w:type="dxa"/>
            <w:vAlign w:val="center"/>
          </w:tcPr>
          <w:p w14:paraId="029BDF1A" w14:textId="3BE057A2" w:rsidR="003D37F0" w:rsidRPr="004D2316" w:rsidRDefault="003D37F0" w:rsidP="003D37F0">
            <w:pPr>
              <w:jc w:val="center"/>
              <w:rPr>
                <w:b/>
                <w:iCs/>
                <w:sz w:val="22"/>
                <w:szCs w:val="22"/>
              </w:rPr>
            </w:pPr>
            <w:r>
              <w:rPr>
                <w:rFonts w:ascii="Calibri" w:hAnsi="Calibri" w:cs="Calibri"/>
                <w:color w:val="000000"/>
                <w:sz w:val="22"/>
                <w:szCs w:val="22"/>
              </w:rPr>
              <w:t>PCBs in Fish Tissue</w:t>
            </w:r>
          </w:p>
        </w:tc>
        <w:tc>
          <w:tcPr>
            <w:tcW w:w="791" w:type="dxa"/>
            <w:vAlign w:val="center"/>
          </w:tcPr>
          <w:p w14:paraId="30CA8ECF" w14:textId="1731D0B6" w:rsidR="003D37F0" w:rsidRPr="004D2316" w:rsidRDefault="003D37F0" w:rsidP="003D37F0">
            <w:pPr>
              <w:jc w:val="center"/>
              <w:rPr>
                <w:iCs/>
                <w:sz w:val="22"/>
                <w:szCs w:val="22"/>
              </w:rPr>
            </w:pPr>
            <w:r>
              <w:rPr>
                <w:rFonts w:ascii="Calibri" w:hAnsi="Calibri" w:cs="Calibri"/>
                <w:color w:val="000000"/>
                <w:sz w:val="22"/>
                <w:szCs w:val="22"/>
              </w:rPr>
              <w:t>84%</w:t>
            </w:r>
          </w:p>
        </w:tc>
      </w:tr>
      <w:tr w:rsidR="003D37F0" w:rsidRPr="00D730B7" w14:paraId="4C734CA5" w14:textId="77777777" w:rsidTr="001413BE">
        <w:trPr>
          <w:cantSplit/>
          <w:trHeight w:val="360"/>
        </w:trPr>
        <w:tc>
          <w:tcPr>
            <w:tcW w:w="2425" w:type="dxa"/>
            <w:vAlign w:val="center"/>
          </w:tcPr>
          <w:p w14:paraId="48F7E94F" w14:textId="57A3C3A9" w:rsidR="003D37F0" w:rsidRPr="00D730B7" w:rsidRDefault="003D37F0" w:rsidP="003D37F0">
            <w:pPr>
              <w:jc w:val="center"/>
              <w:rPr>
                <w:b/>
                <w:szCs w:val="24"/>
              </w:rPr>
            </w:pPr>
            <w:r>
              <w:rPr>
                <w:rFonts w:ascii="Calibri" w:hAnsi="Calibri" w:cs="Calibri"/>
                <w:color w:val="000000"/>
                <w:sz w:val="22"/>
                <w:szCs w:val="22"/>
              </w:rPr>
              <w:t>pH</w:t>
            </w:r>
          </w:p>
        </w:tc>
        <w:tc>
          <w:tcPr>
            <w:tcW w:w="635" w:type="dxa"/>
            <w:vAlign w:val="center"/>
          </w:tcPr>
          <w:p w14:paraId="69BE4C05" w14:textId="2C3CB2EB" w:rsidR="003D37F0" w:rsidRPr="004D2316" w:rsidRDefault="003D37F0" w:rsidP="003D37F0">
            <w:pPr>
              <w:jc w:val="center"/>
              <w:rPr>
                <w:iCs/>
                <w:sz w:val="22"/>
                <w:szCs w:val="22"/>
              </w:rPr>
            </w:pPr>
            <w:r>
              <w:rPr>
                <w:rFonts w:ascii="Calibri" w:hAnsi="Calibri" w:cs="Calibri"/>
                <w:color w:val="000000"/>
                <w:sz w:val="22"/>
                <w:szCs w:val="22"/>
              </w:rPr>
              <w:t>9%</w:t>
            </w:r>
          </w:p>
        </w:tc>
        <w:tc>
          <w:tcPr>
            <w:tcW w:w="2669" w:type="dxa"/>
            <w:vAlign w:val="center"/>
          </w:tcPr>
          <w:p w14:paraId="4477513B" w14:textId="1D722B4B" w:rsidR="003D37F0" w:rsidRPr="004D2316" w:rsidRDefault="003D37F0" w:rsidP="003D37F0">
            <w:pPr>
              <w:jc w:val="center"/>
              <w:rPr>
                <w:b/>
                <w:iCs/>
                <w:sz w:val="22"/>
                <w:szCs w:val="22"/>
              </w:rPr>
            </w:pPr>
            <w:r>
              <w:rPr>
                <w:rFonts w:ascii="Calibri" w:hAnsi="Calibri" w:cs="Calibri"/>
                <w:color w:val="000000"/>
                <w:sz w:val="22"/>
                <w:szCs w:val="22"/>
              </w:rPr>
              <w:t>Phosphorus, Total</w:t>
            </w:r>
          </w:p>
        </w:tc>
        <w:tc>
          <w:tcPr>
            <w:tcW w:w="611" w:type="dxa"/>
            <w:vAlign w:val="center"/>
          </w:tcPr>
          <w:p w14:paraId="3074101D" w14:textId="3F66B1CA" w:rsidR="003D37F0" w:rsidRPr="004D2316" w:rsidRDefault="003D37F0" w:rsidP="003D37F0">
            <w:pPr>
              <w:jc w:val="center"/>
              <w:rPr>
                <w:iCs/>
                <w:sz w:val="22"/>
                <w:szCs w:val="22"/>
              </w:rPr>
            </w:pPr>
            <w:r>
              <w:rPr>
                <w:rFonts w:ascii="Calibri" w:hAnsi="Calibri" w:cs="Calibri"/>
                <w:color w:val="000000"/>
                <w:sz w:val="22"/>
                <w:szCs w:val="22"/>
              </w:rPr>
              <w:t>49%</w:t>
            </w:r>
          </w:p>
        </w:tc>
        <w:tc>
          <w:tcPr>
            <w:tcW w:w="2219" w:type="dxa"/>
            <w:vAlign w:val="center"/>
          </w:tcPr>
          <w:p w14:paraId="6F9AED8B" w14:textId="04A3FF6B" w:rsidR="003D37F0" w:rsidRPr="004D2316" w:rsidRDefault="003D37F0" w:rsidP="003D37F0">
            <w:pPr>
              <w:jc w:val="center"/>
              <w:rPr>
                <w:b/>
                <w:iCs/>
                <w:sz w:val="22"/>
                <w:szCs w:val="22"/>
              </w:rPr>
            </w:pPr>
            <w:r>
              <w:rPr>
                <w:rFonts w:ascii="Calibri" w:hAnsi="Calibri" w:cs="Calibri"/>
                <w:color w:val="000000"/>
                <w:sz w:val="22"/>
                <w:szCs w:val="22"/>
              </w:rPr>
              <w:t>Dissolved Oxygen</w:t>
            </w:r>
          </w:p>
        </w:tc>
        <w:tc>
          <w:tcPr>
            <w:tcW w:w="791" w:type="dxa"/>
            <w:vAlign w:val="center"/>
          </w:tcPr>
          <w:p w14:paraId="2597D280" w14:textId="18A0EBF9" w:rsidR="003D37F0" w:rsidRPr="004D2316" w:rsidRDefault="003D37F0" w:rsidP="003D37F0">
            <w:pPr>
              <w:jc w:val="center"/>
              <w:rPr>
                <w:iCs/>
                <w:sz w:val="22"/>
                <w:szCs w:val="22"/>
              </w:rPr>
            </w:pPr>
            <w:r>
              <w:rPr>
                <w:rFonts w:ascii="Calibri" w:hAnsi="Calibri" w:cs="Calibri"/>
                <w:color w:val="000000"/>
                <w:sz w:val="22"/>
                <w:szCs w:val="22"/>
              </w:rPr>
              <w:t>82%</w:t>
            </w:r>
          </w:p>
        </w:tc>
      </w:tr>
      <w:tr w:rsidR="003D37F0" w:rsidRPr="00D730B7" w14:paraId="0E4848C2" w14:textId="77777777" w:rsidTr="001413BE">
        <w:trPr>
          <w:cantSplit/>
          <w:trHeight w:val="360"/>
        </w:trPr>
        <w:tc>
          <w:tcPr>
            <w:tcW w:w="2425" w:type="dxa"/>
            <w:vAlign w:val="center"/>
          </w:tcPr>
          <w:p w14:paraId="7E502F1A" w14:textId="5A0A16FB" w:rsidR="003D37F0" w:rsidRPr="00D730B7" w:rsidRDefault="003D37F0" w:rsidP="003D37F0">
            <w:pPr>
              <w:jc w:val="center"/>
              <w:rPr>
                <w:b/>
                <w:szCs w:val="24"/>
              </w:rPr>
            </w:pPr>
            <w:r>
              <w:rPr>
                <w:rFonts w:ascii="Calibri" w:hAnsi="Calibri" w:cs="Calibri"/>
                <w:color w:val="000000"/>
                <w:sz w:val="22"/>
                <w:szCs w:val="22"/>
              </w:rPr>
              <w:t>Dissolved Oxygen</w:t>
            </w:r>
          </w:p>
        </w:tc>
        <w:tc>
          <w:tcPr>
            <w:tcW w:w="635" w:type="dxa"/>
            <w:vAlign w:val="center"/>
          </w:tcPr>
          <w:p w14:paraId="652BFE7D" w14:textId="73996106" w:rsidR="003D37F0" w:rsidRPr="004D2316" w:rsidRDefault="003D37F0" w:rsidP="003D37F0">
            <w:pPr>
              <w:jc w:val="center"/>
              <w:rPr>
                <w:iCs/>
                <w:sz w:val="22"/>
                <w:szCs w:val="22"/>
              </w:rPr>
            </w:pPr>
            <w:r>
              <w:rPr>
                <w:rFonts w:ascii="Calibri" w:hAnsi="Calibri" w:cs="Calibri"/>
                <w:color w:val="000000"/>
                <w:sz w:val="22"/>
                <w:szCs w:val="22"/>
              </w:rPr>
              <w:t>5%</w:t>
            </w:r>
          </w:p>
        </w:tc>
        <w:tc>
          <w:tcPr>
            <w:tcW w:w="2669" w:type="dxa"/>
            <w:vAlign w:val="center"/>
          </w:tcPr>
          <w:p w14:paraId="63CEFFF6" w14:textId="010259AC" w:rsidR="003D37F0" w:rsidRPr="004D2316" w:rsidRDefault="003D37F0" w:rsidP="003D37F0">
            <w:pPr>
              <w:jc w:val="center"/>
              <w:rPr>
                <w:b/>
                <w:iCs/>
                <w:sz w:val="22"/>
                <w:szCs w:val="22"/>
              </w:rPr>
            </w:pPr>
            <w:r>
              <w:rPr>
                <w:rFonts w:ascii="Calibri" w:hAnsi="Calibri" w:cs="Calibri"/>
                <w:color w:val="000000"/>
                <w:sz w:val="22"/>
                <w:szCs w:val="22"/>
              </w:rPr>
              <w:t>Mercury in Fish Tissue</w:t>
            </w:r>
          </w:p>
        </w:tc>
        <w:tc>
          <w:tcPr>
            <w:tcW w:w="611" w:type="dxa"/>
            <w:vAlign w:val="center"/>
          </w:tcPr>
          <w:p w14:paraId="173E788E" w14:textId="077C7A53" w:rsidR="003D37F0" w:rsidRPr="004D2316" w:rsidRDefault="003D37F0" w:rsidP="003D37F0">
            <w:pPr>
              <w:jc w:val="center"/>
              <w:rPr>
                <w:iCs/>
                <w:sz w:val="22"/>
                <w:szCs w:val="22"/>
              </w:rPr>
            </w:pPr>
            <w:r>
              <w:rPr>
                <w:rFonts w:ascii="Calibri" w:hAnsi="Calibri" w:cs="Calibri"/>
                <w:color w:val="000000"/>
                <w:sz w:val="22"/>
                <w:szCs w:val="22"/>
              </w:rPr>
              <w:t>36%</w:t>
            </w:r>
          </w:p>
        </w:tc>
        <w:tc>
          <w:tcPr>
            <w:tcW w:w="2219" w:type="dxa"/>
            <w:vAlign w:val="center"/>
          </w:tcPr>
          <w:p w14:paraId="52A3A08C" w14:textId="3324F7BC" w:rsidR="003D37F0" w:rsidRPr="004D2316" w:rsidRDefault="003D37F0" w:rsidP="003D37F0">
            <w:pPr>
              <w:jc w:val="center"/>
              <w:rPr>
                <w:b/>
                <w:iCs/>
                <w:sz w:val="22"/>
                <w:szCs w:val="22"/>
              </w:rPr>
            </w:pPr>
            <w:r>
              <w:rPr>
                <w:rFonts w:ascii="Calibri" w:hAnsi="Calibri" w:cs="Calibri"/>
                <w:color w:val="000000"/>
                <w:sz w:val="22"/>
                <w:szCs w:val="22"/>
              </w:rPr>
              <w:t>Estuarine Bioassessments</w:t>
            </w:r>
          </w:p>
        </w:tc>
        <w:tc>
          <w:tcPr>
            <w:tcW w:w="791" w:type="dxa"/>
            <w:vAlign w:val="center"/>
          </w:tcPr>
          <w:p w14:paraId="6A530734" w14:textId="64A799D6" w:rsidR="003D37F0" w:rsidRPr="004D2316" w:rsidRDefault="003D37F0" w:rsidP="003D37F0">
            <w:pPr>
              <w:jc w:val="center"/>
              <w:rPr>
                <w:iCs/>
                <w:sz w:val="22"/>
                <w:szCs w:val="22"/>
              </w:rPr>
            </w:pPr>
            <w:r>
              <w:rPr>
                <w:rFonts w:ascii="Calibri" w:hAnsi="Calibri" w:cs="Calibri"/>
                <w:color w:val="000000"/>
                <w:sz w:val="22"/>
                <w:szCs w:val="22"/>
              </w:rPr>
              <w:t>78%</w:t>
            </w:r>
          </w:p>
        </w:tc>
      </w:tr>
      <w:tr w:rsidR="003D37F0" w:rsidRPr="00D730B7" w14:paraId="00697383" w14:textId="77777777" w:rsidTr="001413BE">
        <w:trPr>
          <w:cantSplit/>
          <w:trHeight w:val="360"/>
        </w:trPr>
        <w:tc>
          <w:tcPr>
            <w:tcW w:w="2425" w:type="dxa"/>
            <w:vAlign w:val="center"/>
          </w:tcPr>
          <w:p w14:paraId="061BFF6A" w14:textId="0869F687" w:rsidR="003D37F0" w:rsidRPr="00D730B7" w:rsidRDefault="003D37F0" w:rsidP="003D37F0">
            <w:pPr>
              <w:jc w:val="center"/>
              <w:rPr>
                <w:b/>
                <w:szCs w:val="24"/>
              </w:rPr>
            </w:pPr>
            <w:r>
              <w:rPr>
                <w:rFonts w:ascii="Calibri" w:hAnsi="Calibri" w:cs="Calibri"/>
                <w:color w:val="000000"/>
                <w:sz w:val="22"/>
                <w:szCs w:val="22"/>
              </w:rPr>
              <w:t>PCBs in Fish Tissue</w:t>
            </w:r>
          </w:p>
        </w:tc>
        <w:tc>
          <w:tcPr>
            <w:tcW w:w="635" w:type="dxa"/>
            <w:vAlign w:val="center"/>
          </w:tcPr>
          <w:p w14:paraId="7B223D2D" w14:textId="5D5663EF" w:rsidR="003D37F0" w:rsidRPr="004D2316" w:rsidRDefault="003D37F0" w:rsidP="003D37F0">
            <w:pPr>
              <w:jc w:val="center"/>
              <w:rPr>
                <w:iCs/>
                <w:sz w:val="22"/>
                <w:szCs w:val="22"/>
              </w:rPr>
            </w:pPr>
            <w:r>
              <w:rPr>
                <w:rFonts w:ascii="Calibri" w:hAnsi="Calibri" w:cs="Calibri"/>
                <w:color w:val="000000"/>
                <w:sz w:val="22"/>
                <w:szCs w:val="22"/>
              </w:rPr>
              <w:t>4%</w:t>
            </w:r>
          </w:p>
        </w:tc>
        <w:tc>
          <w:tcPr>
            <w:tcW w:w="2669" w:type="dxa"/>
            <w:vAlign w:val="center"/>
          </w:tcPr>
          <w:p w14:paraId="6B91E5F9" w14:textId="1B2A4AFE" w:rsidR="003D37F0" w:rsidRPr="004D2316" w:rsidRDefault="003D37F0" w:rsidP="003D37F0">
            <w:pPr>
              <w:jc w:val="center"/>
              <w:rPr>
                <w:b/>
                <w:iCs/>
                <w:sz w:val="22"/>
                <w:szCs w:val="22"/>
              </w:rPr>
            </w:pPr>
            <w:r>
              <w:rPr>
                <w:rFonts w:ascii="Calibri" w:hAnsi="Calibri" w:cs="Calibri"/>
                <w:color w:val="000000"/>
                <w:sz w:val="22"/>
                <w:szCs w:val="22"/>
              </w:rPr>
              <w:t>Bacteria</w:t>
            </w:r>
          </w:p>
        </w:tc>
        <w:tc>
          <w:tcPr>
            <w:tcW w:w="611" w:type="dxa"/>
            <w:vAlign w:val="center"/>
          </w:tcPr>
          <w:p w14:paraId="573080C2" w14:textId="78F92DAB" w:rsidR="003D37F0" w:rsidRPr="004D2316" w:rsidRDefault="003D37F0" w:rsidP="003D37F0">
            <w:pPr>
              <w:jc w:val="center"/>
              <w:rPr>
                <w:iCs/>
                <w:sz w:val="22"/>
                <w:szCs w:val="22"/>
              </w:rPr>
            </w:pPr>
            <w:r>
              <w:rPr>
                <w:rFonts w:ascii="Calibri" w:hAnsi="Calibri" w:cs="Calibri"/>
                <w:color w:val="000000"/>
                <w:sz w:val="22"/>
                <w:szCs w:val="22"/>
              </w:rPr>
              <w:t>14%</w:t>
            </w:r>
          </w:p>
        </w:tc>
        <w:tc>
          <w:tcPr>
            <w:tcW w:w="2219" w:type="dxa"/>
            <w:vAlign w:val="center"/>
          </w:tcPr>
          <w:p w14:paraId="7AC883B1" w14:textId="4B244E8D" w:rsidR="003D37F0" w:rsidRPr="004D2316" w:rsidRDefault="003D37F0" w:rsidP="003D37F0">
            <w:pPr>
              <w:jc w:val="center"/>
              <w:rPr>
                <w:b/>
                <w:iCs/>
                <w:sz w:val="22"/>
                <w:szCs w:val="22"/>
              </w:rPr>
            </w:pPr>
            <w:r>
              <w:rPr>
                <w:rFonts w:ascii="Calibri" w:hAnsi="Calibri" w:cs="Calibri"/>
                <w:color w:val="000000"/>
                <w:sz w:val="22"/>
                <w:szCs w:val="22"/>
              </w:rPr>
              <w:t>Bacteria</w:t>
            </w:r>
          </w:p>
        </w:tc>
        <w:tc>
          <w:tcPr>
            <w:tcW w:w="791" w:type="dxa"/>
            <w:vAlign w:val="center"/>
          </w:tcPr>
          <w:p w14:paraId="797108BF" w14:textId="110D985B" w:rsidR="003D37F0" w:rsidRPr="004D2316" w:rsidRDefault="003D37F0" w:rsidP="003D37F0">
            <w:pPr>
              <w:jc w:val="center"/>
              <w:rPr>
                <w:iCs/>
                <w:sz w:val="22"/>
                <w:szCs w:val="22"/>
              </w:rPr>
            </w:pPr>
            <w:r>
              <w:rPr>
                <w:rFonts w:ascii="Calibri" w:hAnsi="Calibri" w:cs="Calibri"/>
                <w:color w:val="000000"/>
                <w:sz w:val="22"/>
                <w:szCs w:val="22"/>
              </w:rPr>
              <w:t>22%</w:t>
            </w:r>
          </w:p>
        </w:tc>
      </w:tr>
      <w:tr w:rsidR="003D37F0" w:rsidRPr="00D730B7" w14:paraId="4D3D2567" w14:textId="77777777" w:rsidTr="001413BE">
        <w:trPr>
          <w:cantSplit/>
          <w:trHeight w:val="360"/>
        </w:trPr>
        <w:tc>
          <w:tcPr>
            <w:tcW w:w="2425" w:type="dxa"/>
            <w:vAlign w:val="center"/>
          </w:tcPr>
          <w:p w14:paraId="68812042" w14:textId="398BD85E" w:rsidR="003D37F0" w:rsidRPr="00D730B7" w:rsidRDefault="003D37F0" w:rsidP="003D37F0">
            <w:pPr>
              <w:jc w:val="center"/>
              <w:rPr>
                <w:b/>
                <w:szCs w:val="24"/>
              </w:rPr>
            </w:pPr>
            <w:r>
              <w:rPr>
                <w:rFonts w:ascii="Calibri" w:hAnsi="Calibri" w:cs="Calibri"/>
                <w:color w:val="000000"/>
                <w:sz w:val="22"/>
                <w:szCs w:val="22"/>
              </w:rPr>
              <w:t>Polychlorinated biphenyls (PCBs)</w:t>
            </w:r>
          </w:p>
        </w:tc>
        <w:tc>
          <w:tcPr>
            <w:tcW w:w="635" w:type="dxa"/>
            <w:vAlign w:val="center"/>
          </w:tcPr>
          <w:p w14:paraId="3CBF829B" w14:textId="21796E40" w:rsidR="003D37F0" w:rsidRPr="004D2316" w:rsidRDefault="003D37F0" w:rsidP="003D37F0">
            <w:pPr>
              <w:jc w:val="center"/>
              <w:rPr>
                <w:iCs/>
                <w:sz w:val="22"/>
                <w:szCs w:val="22"/>
              </w:rPr>
            </w:pPr>
            <w:r>
              <w:rPr>
                <w:rFonts w:ascii="Calibri" w:hAnsi="Calibri" w:cs="Calibri"/>
                <w:color w:val="000000"/>
                <w:sz w:val="22"/>
                <w:szCs w:val="22"/>
              </w:rPr>
              <w:t>3%</w:t>
            </w:r>
          </w:p>
        </w:tc>
        <w:tc>
          <w:tcPr>
            <w:tcW w:w="2669" w:type="dxa"/>
            <w:vAlign w:val="center"/>
          </w:tcPr>
          <w:p w14:paraId="1A025B7D" w14:textId="77777777" w:rsidR="003D37F0" w:rsidRPr="004D2316" w:rsidRDefault="003D37F0" w:rsidP="003D37F0">
            <w:pPr>
              <w:jc w:val="center"/>
              <w:rPr>
                <w:b/>
                <w:iCs/>
                <w:sz w:val="22"/>
                <w:szCs w:val="22"/>
              </w:rPr>
            </w:pPr>
            <w:r w:rsidRPr="004D2316">
              <w:rPr>
                <w:b/>
                <w:iCs/>
                <w:sz w:val="22"/>
                <w:szCs w:val="22"/>
              </w:rPr>
              <w:t>--</w:t>
            </w:r>
          </w:p>
        </w:tc>
        <w:tc>
          <w:tcPr>
            <w:tcW w:w="611" w:type="dxa"/>
            <w:vAlign w:val="center"/>
          </w:tcPr>
          <w:p w14:paraId="677C8274" w14:textId="77777777" w:rsidR="003D37F0" w:rsidRPr="004D2316" w:rsidRDefault="003D37F0" w:rsidP="003D37F0">
            <w:pPr>
              <w:jc w:val="center"/>
              <w:rPr>
                <w:iCs/>
                <w:sz w:val="22"/>
                <w:szCs w:val="22"/>
              </w:rPr>
            </w:pPr>
            <w:r w:rsidRPr="004D2316">
              <w:rPr>
                <w:iCs/>
                <w:sz w:val="22"/>
                <w:szCs w:val="22"/>
              </w:rPr>
              <w:t>--</w:t>
            </w:r>
          </w:p>
        </w:tc>
        <w:tc>
          <w:tcPr>
            <w:tcW w:w="2219" w:type="dxa"/>
            <w:vAlign w:val="center"/>
          </w:tcPr>
          <w:p w14:paraId="2EA59740" w14:textId="007E8777" w:rsidR="003D37F0" w:rsidRPr="004D2316" w:rsidRDefault="003D37F0" w:rsidP="003D37F0">
            <w:pPr>
              <w:jc w:val="center"/>
              <w:rPr>
                <w:b/>
                <w:iCs/>
                <w:sz w:val="22"/>
                <w:szCs w:val="22"/>
              </w:rPr>
            </w:pPr>
            <w:r>
              <w:rPr>
                <w:rFonts w:ascii="Calibri" w:hAnsi="Calibri" w:cs="Calibri"/>
                <w:color w:val="000000"/>
                <w:sz w:val="22"/>
                <w:szCs w:val="22"/>
              </w:rPr>
              <w:t>Sediment Bioassay</w:t>
            </w:r>
          </w:p>
        </w:tc>
        <w:tc>
          <w:tcPr>
            <w:tcW w:w="791" w:type="dxa"/>
            <w:vAlign w:val="center"/>
          </w:tcPr>
          <w:p w14:paraId="21A83670" w14:textId="304CBB99" w:rsidR="003D37F0" w:rsidRPr="004D2316" w:rsidRDefault="003D37F0" w:rsidP="003D37F0">
            <w:pPr>
              <w:jc w:val="center"/>
              <w:rPr>
                <w:iCs/>
                <w:sz w:val="22"/>
                <w:szCs w:val="22"/>
              </w:rPr>
            </w:pPr>
            <w:r>
              <w:rPr>
                <w:rFonts w:ascii="Calibri" w:hAnsi="Calibri" w:cs="Calibri"/>
                <w:color w:val="000000"/>
                <w:sz w:val="22"/>
                <w:szCs w:val="22"/>
              </w:rPr>
              <w:t>1%</w:t>
            </w:r>
          </w:p>
        </w:tc>
      </w:tr>
    </w:tbl>
    <w:p w14:paraId="62E16EA4" w14:textId="77777777" w:rsidR="00510C84" w:rsidRDefault="00510C84" w:rsidP="00546B19">
      <w:pPr>
        <w:jc w:val="both"/>
        <w:rPr>
          <w:b/>
          <w:bCs/>
          <w:szCs w:val="24"/>
        </w:rPr>
      </w:pPr>
    </w:p>
    <w:p w14:paraId="2CC7A720" w14:textId="77777777" w:rsidR="00510C84" w:rsidRDefault="00510C84">
      <w:pPr>
        <w:widowControl/>
        <w:spacing w:after="160" w:line="259" w:lineRule="auto"/>
        <w:rPr>
          <w:b/>
          <w:bCs/>
          <w:szCs w:val="24"/>
        </w:rPr>
      </w:pPr>
      <w:r>
        <w:rPr>
          <w:b/>
          <w:bCs/>
          <w:szCs w:val="24"/>
        </w:rPr>
        <w:br w:type="page"/>
      </w:r>
    </w:p>
    <w:p w14:paraId="1B1B5994" w14:textId="3B381F5B" w:rsidR="00D04429" w:rsidRPr="0062574F" w:rsidRDefault="000B0212" w:rsidP="00D04429">
      <w:pPr>
        <w:pStyle w:val="Caption"/>
        <w:jc w:val="both"/>
      </w:pPr>
      <w:bookmarkStart w:id="134" w:name="_Toc164175170"/>
      <w:r>
        <w:lastRenderedPageBreak/>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6</w:t>
      </w:r>
      <w:r w:rsidR="004F13BA">
        <w:rPr>
          <w:noProof/>
        </w:rPr>
        <w:fldChar w:fldCharType="end"/>
      </w:r>
      <w:r>
        <w:t>.</w:t>
      </w:r>
      <w:r w:rsidR="00DB7BD1">
        <w:t xml:space="preserve"> </w:t>
      </w:r>
      <w:r w:rsidR="00DB7BD1" w:rsidRPr="0A5BE548">
        <w:t>Suspected sources of designated use impairment in the Rappahannock River</w:t>
      </w:r>
      <w:r w:rsidR="6B2B48E5" w:rsidRPr="0A5BE548">
        <w:t xml:space="preserve"> </w:t>
      </w:r>
      <w:bookmarkEnd w:id="134"/>
      <w:r w:rsidR="00DB7BD1">
        <w:t>basin, by water body type, ranked by percentage of impaired water size. (Note: Waters can have multiple sources of pollution.)</w:t>
      </w:r>
    </w:p>
    <w:tbl>
      <w:tblPr>
        <w:tblStyle w:val="TableGrid"/>
        <w:tblW w:w="9734" w:type="dxa"/>
        <w:tblCellMar>
          <w:left w:w="115" w:type="dxa"/>
          <w:right w:w="115" w:type="dxa"/>
        </w:tblCellMar>
        <w:tblLook w:val="04A0" w:firstRow="1" w:lastRow="0" w:firstColumn="1" w:lastColumn="0" w:noHBand="0" w:noVBand="1"/>
        <w:tblCaption w:val="Table of Rappahannock River Basin Suspected Sources of Designated Use Impairment"/>
        <w:tblDescription w:val="Rappahannock River Basin suspected sources of Designated Use impairment for river, lakes, and estuaries ranked by percent of impaired water size"/>
      </w:tblPr>
      <w:tblGrid>
        <w:gridCol w:w="2561"/>
        <w:gridCol w:w="636"/>
        <w:gridCol w:w="2675"/>
        <w:gridCol w:w="752"/>
        <w:gridCol w:w="2460"/>
        <w:gridCol w:w="650"/>
      </w:tblGrid>
      <w:tr w:rsidR="00546B19" w:rsidRPr="00D730B7" w14:paraId="0A074D85" w14:textId="77777777" w:rsidTr="001413BE">
        <w:trPr>
          <w:cantSplit/>
          <w:trHeight w:val="360"/>
          <w:tblHeader/>
        </w:trPr>
        <w:tc>
          <w:tcPr>
            <w:tcW w:w="3072" w:type="dxa"/>
            <w:gridSpan w:val="2"/>
            <w:vAlign w:val="center"/>
          </w:tcPr>
          <w:p w14:paraId="0C248CD7" w14:textId="77777777" w:rsidR="00546B19" w:rsidRPr="006F4F5C" w:rsidRDefault="00546B19" w:rsidP="007F062C">
            <w:pPr>
              <w:jc w:val="center"/>
              <w:rPr>
                <w:b/>
                <w:iCs/>
                <w:sz w:val="22"/>
                <w:szCs w:val="22"/>
              </w:rPr>
            </w:pPr>
            <w:r w:rsidRPr="006F4F5C">
              <w:rPr>
                <w:b/>
                <w:iCs/>
                <w:sz w:val="22"/>
                <w:szCs w:val="22"/>
              </w:rPr>
              <w:t>Rivers</w:t>
            </w:r>
          </w:p>
        </w:tc>
        <w:tc>
          <w:tcPr>
            <w:tcW w:w="3291" w:type="dxa"/>
            <w:gridSpan w:val="2"/>
            <w:vAlign w:val="center"/>
          </w:tcPr>
          <w:p w14:paraId="713BC255" w14:textId="77777777" w:rsidR="00546B19" w:rsidRPr="006F4F5C" w:rsidRDefault="00546B19" w:rsidP="007F062C">
            <w:pPr>
              <w:jc w:val="center"/>
              <w:rPr>
                <w:b/>
                <w:iCs/>
                <w:sz w:val="22"/>
                <w:szCs w:val="22"/>
              </w:rPr>
            </w:pPr>
            <w:r w:rsidRPr="006F4F5C">
              <w:rPr>
                <w:b/>
                <w:iCs/>
                <w:sz w:val="22"/>
                <w:szCs w:val="22"/>
              </w:rPr>
              <w:t>Lakes</w:t>
            </w:r>
          </w:p>
        </w:tc>
        <w:tc>
          <w:tcPr>
            <w:tcW w:w="2987" w:type="dxa"/>
            <w:gridSpan w:val="2"/>
            <w:vAlign w:val="center"/>
          </w:tcPr>
          <w:p w14:paraId="1C9B39DB" w14:textId="77777777" w:rsidR="00546B19" w:rsidRPr="006F4F5C" w:rsidRDefault="00546B19" w:rsidP="007F062C">
            <w:pPr>
              <w:jc w:val="center"/>
              <w:rPr>
                <w:b/>
                <w:iCs/>
                <w:sz w:val="22"/>
                <w:szCs w:val="22"/>
              </w:rPr>
            </w:pPr>
            <w:r w:rsidRPr="006F4F5C">
              <w:rPr>
                <w:b/>
                <w:iCs/>
                <w:sz w:val="22"/>
                <w:szCs w:val="22"/>
              </w:rPr>
              <w:t>Estuaries</w:t>
            </w:r>
          </w:p>
        </w:tc>
      </w:tr>
      <w:tr w:rsidR="007F062C" w:rsidRPr="00D730B7" w14:paraId="18DC5727" w14:textId="77777777" w:rsidTr="001413BE">
        <w:trPr>
          <w:cantSplit/>
          <w:trHeight w:val="360"/>
        </w:trPr>
        <w:tc>
          <w:tcPr>
            <w:tcW w:w="2461" w:type="dxa"/>
            <w:vAlign w:val="center"/>
          </w:tcPr>
          <w:p w14:paraId="55359B51" w14:textId="6C8AB5A1" w:rsidR="007F062C" w:rsidRPr="005553DF" w:rsidRDefault="007F062C" w:rsidP="007F062C">
            <w:pPr>
              <w:jc w:val="center"/>
              <w:rPr>
                <w:b/>
                <w:iCs/>
                <w:sz w:val="22"/>
                <w:szCs w:val="22"/>
              </w:rPr>
            </w:pPr>
            <w:r>
              <w:rPr>
                <w:rFonts w:ascii="Calibri" w:hAnsi="Calibri" w:cs="Calibri"/>
                <w:color w:val="000000"/>
                <w:sz w:val="22"/>
                <w:szCs w:val="22"/>
              </w:rPr>
              <w:t xml:space="preserve">On-site </w:t>
            </w:r>
            <w:r w:rsidR="005B2BDD">
              <w:rPr>
                <w:rFonts w:ascii="Calibri" w:hAnsi="Calibri" w:cs="Calibri"/>
                <w:color w:val="000000"/>
                <w:sz w:val="22"/>
                <w:szCs w:val="22"/>
              </w:rPr>
              <w:t>Septic</w:t>
            </w:r>
            <w:r w:rsidR="00C86F21">
              <w:rPr>
                <w:rFonts w:ascii="Calibri" w:hAnsi="Calibri" w:cs="Calibri"/>
                <w:color w:val="000000"/>
                <w:sz w:val="22"/>
                <w:szCs w:val="22"/>
              </w:rPr>
              <w:t xml:space="preserve"> </w:t>
            </w:r>
            <w:r>
              <w:rPr>
                <w:rFonts w:ascii="Calibri" w:hAnsi="Calibri" w:cs="Calibri"/>
                <w:color w:val="000000"/>
                <w:sz w:val="22"/>
                <w:szCs w:val="22"/>
              </w:rPr>
              <w:t>Treatment Systems</w:t>
            </w:r>
            <w:r w:rsidR="005B2BDD">
              <w:rPr>
                <w:rFonts w:ascii="Calibri" w:hAnsi="Calibri" w:cs="Calibri"/>
                <w:color w:val="000000"/>
                <w:sz w:val="22"/>
                <w:szCs w:val="22"/>
              </w:rPr>
              <w:t xml:space="preserve"> </w:t>
            </w:r>
          </w:p>
        </w:tc>
        <w:tc>
          <w:tcPr>
            <w:tcW w:w="611" w:type="dxa"/>
            <w:vAlign w:val="center"/>
          </w:tcPr>
          <w:p w14:paraId="04944E84" w14:textId="57FD91D3" w:rsidR="007F062C" w:rsidRPr="006F4F5C" w:rsidRDefault="007F062C" w:rsidP="007F062C">
            <w:pPr>
              <w:jc w:val="center"/>
              <w:rPr>
                <w:iCs/>
                <w:sz w:val="22"/>
                <w:szCs w:val="22"/>
              </w:rPr>
            </w:pPr>
            <w:r>
              <w:rPr>
                <w:rFonts w:ascii="Calibri" w:hAnsi="Calibri" w:cs="Calibri"/>
                <w:color w:val="000000"/>
                <w:sz w:val="22"/>
                <w:szCs w:val="22"/>
              </w:rPr>
              <w:t>70%</w:t>
            </w:r>
          </w:p>
        </w:tc>
        <w:tc>
          <w:tcPr>
            <w:tcW w:w="2569" w:type="dxa"/>
            <w:vAlign w:val="center"/>
          </w:tcPr>
          <w:p w14:paraId="4894DA7F" w14:textId="25D04769" w:rsidR="007F062C" w:rsidRPr="005553DF" w:rsidRDefault="007F062C" w:rsidP="007F062C">
            <w:pPr>
              <w:jc w:val="center"/>
              <w:rPr>
                <w:b/>
                <w:iCs/>
                <w:sz w:val="22"/>
                <w:szCs w:val="22"/>
              </w:rPr>
            </w:pPr>
            <w:r>
              <w:rPr>
                <w:rFonts w:ascii="Calibri" w:hAnsi="Calibri" w:cs="Calibri"/>
                <w:color w:val="000000"/>
                <w:sz w:val="22"/>
                <w:szCs w:val="22"/>
              </w:rPr>
              <w:t>Source Unknown</w:t>
            </w:r>
          </w:p>
        </w:tc>
        <w:tc>
          <w:tcPr>
            <w:tcW w:w="722" w:type="dxa"/>
            <w:vAlign w:val="center"/>
          </w:tcPr>
          <w:p w14:paraId="118F0AFD" w14:textId="6F613178" w:rsidR="007F062C" w:rsidRPr="006F4F5C" w:rsidRDefault="007F062C" w:rsidP="007F062C">
            <w:pPr>
              <w:jc w:val="center"/>
              <w:rPr>
                <w:iCs/>
                <w:sz w:val="22"/>
                <w:szCs w:val="22"/>
              </w:rPr>
            </w:pPr>
            <w:r>
              <w:rPr>
                <w:rFonts w:ascii="Calibri" w:hAnsi="Calibri" w:cs="Calibri"/>
                <w:color w:val="000000"/>
                <w:sz w:val="22"/>
                <w:szCs w:val="22"/>
              </w:rPr>
              <w:t>100%</w:t>
            </w:r>
          </w:p>
        </w:tc>
        <w:tc>
          <w:tcPr>
            <w:tcW w:w="2363" w:type="dxa"/>
            <w:vAlign w:val="center"/>
          </w:tcPr>
          <w:p w14:paraId="37A53F03" w14:textId="11AA1E47" w:rsidR="007F062C" w:rsidRPr="005553DF" w:rsidRDefault="007F062C" w:rsidP="007F062C">
            <w:pPr>
              <w:jc w:val="center"/>
              <w:rPr>
                <w:b/>
                <w:iCs/>
                <w:sz w:val="22"/>
                <w:szCs w:val="22"/>
              </w:rPr>
            </w:pPr>
            <w:r>
              <w:rPr>
                <w:rFonts w:ascii="Calibri" w:hAnsi="Calibri" w:cs="Calibri"/>
                <w:color w:val="000000"/>
                <w:sz w:val="22"/>
                <w:szCs w:val="22"/>
              </w:rPr>
              <w:t>Agriculture</w:t>
            </w:r>
          </w:p>
        </w:tc>
        <w:tc>
          <w:tcPr>
            <w:tcW w:w="624" w:type="dxa"/>
            <w:vAlign w:val="center"/>
          </w:tcPr>
          <w:p w14:paraId="596F2B48" w14:textId="3211F936" w:rsidR="007F062C" w:rsidRPr="006F4F5C" w:rsidRDefault="007F062C" w:rsidP="007F062C">
            <w:pPr>
              <w:jc w:val="center"/>
              <w:rPr>
                <w:iCs/>
                <w:sz w:val="22"/>
                <w:szCs w:val="22"/>
              </w:rPr>
            </w:pPr>
            <w:r>
              <w:rPr>
                <w:rFonts w:ascii="Calibri" w:hAnsi="Calibri" w:cs="Calibri"/>
                <w:color w:val="000000"/>
                <w:sz w:val="22"/>
                <w:szCs w:val="22"/>
              </w:rPr>
              <w:t>98%</w:t>
            </w:r>
          </w:p>
        </w:tc>
      </w:tr>
      <w:tr w:rsidR="007F062C" w:rsidRPr="00D730B7" w14:paraId="12A711CB" w14:textId="77777777" w:rsidTr="001413BE">
        <w:trPr>
          <w:cantSplit/>
          <w:trHeight w:val="360"/>
        </w:trPr>
        <w:tc>
          <w:tcPr>
            <w:tcW w:w="2461" w:type="dxa"/>
            <w:vAlign w:val="center"/>
          </w:tcPr>
          <w:p w14:paraId="58083F85" w14:textId="112533AC" w:rsidR="007F062C" w:rsidRPr="005553DF" w:rsidRDefault="007F062C" w:rsidP="007F062C">
            <w:pPr>
              <w:jc w:val="center"/>
              <w:rPr>
                <w:b/>
                <w:iCs/>
                <w:sz w:val="22"/>
                <w:szCs w:val="22"/>
              </w:rPr>
            </w:pPr>
            <w:r>
              <w:rPr>
                <w:rFonts w:ascii="Calibri" w:hAnsi="Calibri" w:cs="Calibri"/>
                <w:color w:val="000000"/>
                <w:sz w:val="22"/>
                <w:szCs w:val="22"/>
              </w:rPr>
              <w:t>Livestock (Grazing or Feeding Operations)</w:t>
            </w:r>
          </w:p>
        </w:tc>
        <w:tc>
          <w:tcPr>
            <w:tcW w:w="611" w:type="dxa"/>
            <w:vAlign w:val="center"/>
          </w:tcPr>
          <w:p w14:paraId="4F79AEAD" w14:textId="11AD713C" w:rsidR="007F062C" w:rsidRPr="006F4F5C" w:rsidRDefault="007F062C" w:rsidP="007F062C">
            <w:pPr>
              <w:jc w:val="center"/>
              <w:rPr>
                <w:iCs/>
                <w:sz w:val="22"/>
                <w:szCs w:val="22"/>
              </w:rPr>
            </w:pPr>
            <w:r>
              <w:rPr>
                <w:rFonts w:ascii="Calibri" w:hAnsi="Calibri" w:cs="Calibri"/>
                <w:color w:val="000000"/>
                <w:sz w:val="22"/>
                <w:szCs w:val="22"/>
              </w:rPr>
              <w:t>57%</w:t>
            </w:r>
          </w:p>
        </w:tc>
        <w:tc>
          <w:tcPr>
            <w:tcW w:w="2569" w:type="dxa"/>
            <w:vAlign w:val="center"/>
          </w:tcPr>
          <w:p w14:paraId="0A2F0921" w14:textId="4DF9EBC3" w:rsidR="007F062C" w:rsidRPr="005553DF" w:rsidRDefault="007F062C" w:rsidP="007F062C">
            <w:pPr>
              <w:jc w:val="center"/>
              <w:rPr>
                <w:b/>
                <w:iCs/>
                <w:sz w:val="22"/>
                <w:szCs w:val="22"/>
              </w:rPr>
            </w:pPr>
            <w:r>
              <w:rPr>
                <w:rFonts w:ascii="Calibri" w:hAnsi="Calibri" w:cs="Calibri"/>
                <w:color w:val="000000"/>
                <w:sz w:val="22"/>
                <w:szCs w:val="22"/>
              </w:rPr>
              <w:t xml:space="preserve">Natural Conditions </w:t>
            </w:r>
          </w:p>
        </w:tc>
        <w:tc>
          <w:tcPr>
            <w:tcW w:w="722" w:type="dxa"/>
            <w:vAlign w:val="center"/>
          </w:tcPr>
          <w:p w14:paraId="497DE824" w14:textId="4DFDBBF7" w:rsidR="007F062C" w:rsidRPr="006F4F5C" w:rsidRDefault="007F062C" w:rsidP="007F062C">
            <w:pPr>
              <w:jc w:val="center"/>
              <w:rPr>
                <w:iCs/>
                <w:sz w:val="22"/>
                <w:szCs w:val="22"/>
              </w:rPr>
            </w:pPr>
            <w:r>
              <w:rPr>
                <w:rFonts w:ascii="Calibri" w:hAnsi="Calibri" w:cs="Calibri"/>
                <w:color w:val="000000"/>
                <w:sz w:val="22"/>
                <w:szCs w:val="22"/>
              </w:rPr>
              <w:t>64%</w:t>
            </w:r>
          </w:p>
        </w:tc>
        <w:tc>
          <w:tcPr>
            <w:tcW w:w="2363" w:type="dxa"/>
            <w:vAlign w:val="center"/>
          </w:tcPr>
          <w:p w14:paraId="7E3F8CE8" w14:textId="42C5EB25" w:rsidR="007F062C" w:rsidRPr="005553DF" w:rsidRDefault="007F062C" w:rsidP="007F062C">
            <w:pPr>
              <w:jc w:val="center"/>
              <w:rPr>
                <w:b/>
                <w:iCs/>
                <w:sz w:val="22"/>
                <w:szCs w:val="22"/>
              </w:rPr>
            </w:pPr>
            <w:r>
              <w:rPr>
                <w:rFonts w:ascii="Calibri" w:hAnsi="Calibri" w:cs="Calibri"/>
                <w:color w:val="000000"/>
                <w:sz w:val="22"/>
                <w:szCs w:val="22"/>
              </w:rPr>
              <w:t>Municipal Point Source Discharges</w:t>
            </w:r>
          </w:p>
        </w:tc>
        <w:tc>
          <w:tcPr>
            <w:tcW w:w="624" w:type="dxa"/>
            <w:vAlign w:val="center"/>
          </w:tcPr>
          <w:p w14:paraId="670DACB2" w14:textId="676EDF53" w:rsidR="007F062C" w:rsidRPr="006F4F5C" w:rsidRDefault="007F062C" w:rsidP="007F062C">
            <w:pPr>
              <w:jc w:val="center"/>
              <w:rPr>
                <w:iCs/>
                <w:sz w:val="22"/>
                <w:szCs w:val="22"/>
              </w:rPr>
            </w:pPr>
            <w:r>
              <w:rPr>
                <w:rFonts w:ascii="Calibri" w:hAnsi="Calibri" w:cs="Calibri"/>
                <w:color w:val="000000"/>
                <w:sz w:val="22"/>
                <w:szCs w:val="22"/>
              </w:rPr>
              <w:t>98%</w:t>
            </w:r>
          </w:p>
        </w:tc>
      </w:tr>
      <w:tr w:rsidR="007F062C" w:rsidRPr="00D730B7" w14:paraId="256CBD1F" w14:textId="77777777" w:rsidTr="001413BE">
        <w:trPr>
          <w:cantSplit/>
          <w:trHeight w:val="360"/>
        </w:trPr>
        <w:tc>
          <w:tcPr>
            <w:tcW w:w="2461" w:type="dxa"/>
            <w:vAlign w:val="center"/>
          </w:tcPr>
          <w:p w14:paraId="2E624627" w14:textId="2A8D118E" w:rsidR="007F062C" w:rsidRPr="005553DF" w:rsidRDefault="007F062C" w:rsidP="007F062C">
            <w:pPr>
              <w:jc w:val="center"/>
              <w:rPr>
                <w:b/>
                <w:iCs/>
                <w:sz w:val="22"/>
                <w:szCs w:val="22"/>
              </w:rPr>
            </w:pPr>
            <w:r>
              <w:rPr>
                <w:rFonts w:ascii="Calibri" w:hAnsi="Calibri" w:cs="Calibri"/>
                <w:color w:val="000000"/>
                <w:sz w:val="22"/>
                <w:szCs w:val="22"/>
              </w:rPr>
              <w:t>Waterfowl</w:t>
            </w:r>
          </w:p>
        </w:tc>
        <w:tc>
          <w:tcPr>
            <w:tcW w:w="611" w:type="dxa"/>
            <w:vAlign w:val="center"/>
          </w:tcPr>
          <w:p w14:paraId="0B2A22DC" w14:textId="696E775B" w:rsidR="007F062C" w:rsidRPr="006F4F5C" w:rsidRDefault="007F062C" w:rsidP="007F062C">
            <w:pPr>
              <w:jc w:val="center"/>
              <w:rPr>
                <w:iCs/>
                <w:sz w:val="22"/>
                <w:szCs w:val="22"/>
              </w:rPr>
            </w:pPr>
            <w:r>
              <w:rPr>
                <w:rFonts w:ascii="Calibri" w:hAnsi="Calibri" w:cs="Calibri"/>
                <w:color w:val="000000"/>
                <w:sz w:val="22"/>
                <w:szCs w:val="22"/>
              </w:rPr>
              <w:t>57%</w:t>
            </w:r>
          </w:p>
        </w:tc>
        <w:tc>
          <w:tcPr>
            <w:tcW w:w="2569" w:type="dxa"/>
            <w:vAlign w:val="center"/>
          </w:tcPr>
          <w:p w14:paraId="6A87F97B" w14:textId="2F43E0E9" w:rsidR="007F062C" w:rsidRPr="005553DF" w:rsidRDefault="007F062C" w:rsidP="007F062C">
            <w:pPr>
              <w:jc w:val="center"/>
              <w:rPr>
                <w:b/>
                <w:iCs/>
                <w:sz w:val="22"/>
                <w:szCs w:val="22"/>
              </w:rPr>
            </w:pPr>
            <w:r>
              <w:rPr>
                <w:rFonts w:ascii="Calibri" w:hAnsi="Calibri" w:cs="Calibri"/>
                <w:color w:val="000000"/>
                <w:sz w:val="22"/>
                <w:szCs w:val="22"/>
              </w:rPr>
              <w:t>Non-Point Source</w:t>
            </w:r>
          </w:p>
        </w:tc>
        <w:tc>
          <w:tcPr>
            <w:tcW w:w="722" w:type="dxa"/>
            <w:vAlign w:val="center"/>
          </w:tcPr>
          <w:p w14:paraId="7D7AE049" w14:textId="781845EA" w:rsidR="007F062C" w:rsidRPr="006F4F5C" w:rsidRDefault="007F062C" w:rsidP="007F062C">
            <w:pPr>
              <w:jc w:val="center"/>
              <w:rPr>
                <w:iCs/>
                <w:sz w:val="22"/>
                <w:szCs w:val="22"/>
              </w:rPr>
            </w:pPr>
            <w:r>
              <w:rPr>
                <w:rFonts w:ascii="Calibri" w:hAnsi="Calibri" w:cs="Calibri"/>
                <w:color w:val="000000"/>
                <w:sz w:val="22"/>
                <w:szCs w:val="22"/>
              </w:rPr>
              <w:t>14%</w:t>
            </w:r>
          </w:p>
        </w:tc>
        <w:tc>
          <w:tcPr>
            <w:tcW w:w="2363" w:type="dxa"/>
            <w:vAlign w:val="center"/>
          </w:tcPr>
          <w:p w14:paraId="6DFB5358" w14:textId="09D7504B" w:rsidR="007F062C" w:rsidRPr="005553DF" w:rsidRDefault="007F062C" w:rsidP="007F062C">
            <w:pPr>
              <w:jc w:val="center"/>
              <w:rPr>
                <w:b/>
                <w:iCs/>
                <w:sz w:val="22"/>
                <w:szCs w:val="22"/>
              </w:rPr>
            </w:pPr>
            <w:r>
              <w:rPr>
                <w:rFonts w:ascii="Calibri" w:hAnsi="Calibri" w:cs="Calibri"/>
                <w:color w:val="000000"/>
                <w:sz w:val="22"/>
                <w:szCs w:val="22"/>
              </w:rPr>
              <w:t>Loss of Riparian Habitat</w:t>
            </w:r>
          </w:p>
        </w:tc>
        <w:tc>
          <w:tcPr>
            <w:tcW w:w="624" w:type="dxa"/>
            <w:vAlign w:val="center"/>
          </w:tcPr>
          <w:p w14:paraId="5DB93680" w14:textId="272A6F76" w:rsidR="007F062C" w:rsidRPr="006F4F5C" w:rsidRDefault="007F062C" w:rsidP="007F062C">
            <w:pPr>
              <w:jc w:val="center"/>
              <w:rPr>
                <w:iCs/>
                <w:sz w:val="22"/>
                <w:szCs w:val="22"/>
              </w:rPr>
            </w:pPr>
            <w:r>
              <w:rPr>
                <w:rFonts w:ascii="Calibri" w:hAnsi="Calibri" w:cs="Calibri"/>
                <w:color w:val="000000"/>
                <w:sz w:val="22"/>
                <w:szCs w:val="22"/>
              </w:rPr>
              <w:t>95%</w:t>
            </w:r>
          </w:p>
        </w:tc>
      </w:tr>
      <w:tr w:rsidR="007F062C" w:rsidRPr="00D730B7" w14:paraId="304C043E" w14:textId="77777777" w:rsidTr="001413BE">
        <w:trPr>
          <w:cantSplit/>
          <w:trHeight w:val="360"/>
        </w:trPr>
        <w:tc>
          <w:tcPr>
            <w:tcW w:w="2461" w:type="dxa"/>
            <w:vAlign w:val="center"/>
          </w:tcPr>
          <w:p w14:paraId="57A001F6" w14:textId="41D2DEA3" w:rsidR="007F062C" w:rsidRPr="005553DF" w:rsidRDefault="007F062C" w:rsidP="007F062C">
            <w:pPr>
              <w:jc w:val="center"/>
              <w:rPr>
                <w:b/>
                <w:iCs/>
                <w:sz w:val="22"/>
                <w:szCs w:val="22"/>
              </w:rPr>
            </w:pPr>
            <w:r>
              <w:rPr>
                <w:rFonts w:ascii="Calibri" w:hAnsi="Calibri" w:cs="Calibri"/>
                <w:color w:val="000000"/>
                <w:sz w:val="22"/>
                <w:szCs w:val="22"/>
              </w:rPr>
              <w:t>Wildlife Other than Waterfowl</w:t>
            </w:r>
          </w:p>
        </w:tc>
        <w:tc>
          <w:tcPr>
            <w:tcW w:w="611" w:type="dxa"/>
            <w:vAlign w:val="center"/>
          </w:tcPr>
          <w:p w14:paraId="307820F2" w14:textId="026AB19C" w:rsidR="007F062C" w:rsidRPr="006F4F5C" w:rsidRDefault="007F062C" w:rsidP="007F062C">
            <w:pPr>
              <w:jc w:val="center"/>
              <w:rPr>
                <w:iCs/>
                <w:sz w:val="22"/>
                <w:szCs w:val="22"/>
              </w:rPr>
            </w:pPr>
            <w:r>
              <w:rPr>
                <w:rFonts w:ascii="Calibri" w:hAnsi="Calibri" w:cs="Calibri"/>
                <w:color w:val="000000"/>
                <w:sz w:val="22"/>
                <w:szCs w:val="22"/>
              </w:rPr>
              <w:t>57%</w:t>
            </w:r>
          </w:p>
        </w:tc>
        <w:tc>
          <w:tcPr>
            <w:tcW w:w="2569" w:type="dxa"/>
            <w:vAlign w:val="center"/>
          </w:tcPr>
          <w:p w14:paraId="0B94B0F2" w14:textId="6984AE81" w:rsidR="007F062C" w:rsidRPr="000E6EB5" w:rsidRDefault="007F062C" w:rsidP="007F062C">
            <w:pPr>
              <w:jc w:val="center"/>
              <w:rPr>
                <w:bCs/>
                <w:iCs/>
                <w:sz w:val="22"/>
                <w:szCs w:val="22"/>
              </w:rPr>
            </w:pPr>
            <w:r>
              <w:rPr>
                <w:rFonts w:ascii="Calibri" w:hAnsi="Calibri" w:cs="Calibri"/>
                <w:color w:val="000000"/>
                <w:sz w:val="22"/>
                <w:szCs w:val="22"/>
              </w:rPr>
              <w:t>Atmospheric Deposition - Toxics</w:t>
            </w:r>
          </w:p>
        </w:tc>
        <w:tc>
          <w:tcPr>
            <w:tcW w:w="722" w:type="dxa"/>
            <w:vAlign w:val="center"/>
          </w:tcPr>
          <w:p w14:paraId="6254DCE6" w14:textId="4D3E9850" w:rsidR="007F062C" w:rsidRPr="006F4F5C" w:rsidRDefault="007F062C" w:rsidP="007F062C">
            <w:pPr>
              <w:jc w:val="center"/>
              <w:rPr>
                <w:iCs/>
                <w:sz w:val="22"/>
                <w:szCs w:val="22"/>
              </w:rPr>
            </w:pPr>
            <w:r>
              <w:rPr>
                <w:rFonts w:ascii="Calibri" w:hAnsi="Calibri" w:cs="Calibri"/>
                <w:color w:val="000000"/>
                <w:sz w:val="22"/>
                <w:szCs w:val="22"/>
              </w:rPr>
              <w:t>9%</w:t>
            </w:r>
          </w:p>
        </w:tc>
        <w:tc>
          <w:tcPr>
            <w:tcW w:w="2363" w:type="dxa"/>
            <w:vAlign w:val="center"/>
          </w:tcPr>
          <w:p w14:paraId="6CAB4B1A" w14:textId="6050AE1C" w:rsidR="007F062C" w:rsidRPr="005553DF" w:rsidRDefault="007F062C" w:rsidP="007F062C">
            <w:pPr>
              <w:jc w:val="center"/>
              <w:rPr>
                <w:b/>
                <w:iCs/>
                <w:sz w:val="22"/>
                <w:szCs w:val="22"/>
              </w:rPr>
            </w:pPr>
            <w:r>
              <w:rPr>
                <w:rFonts w:ascii="Calibri" w:hAnsi="Calibri" w:cs="Calibri"/>
                <w:color w:val="000000"/>
                <w:sz w:val="22"/>
                <w:szCs w:val="22"/>
              </w:rPr>
              <w:t>Atmospheric Deposition - Nitrogen</w:t>
            </w:r>
          </w:p>
        </w:tc>
        <w:tc>
          <w:tcPr>
            <w:tcW w:w="624" w:type="dxa"/>
            <w:vAlign w:val="center"/>
          </w:tcPr>
          <w:p w14:paraId="026D25B3" w14:textId="62744345" w:rsidR="007F062C" w:rsidRPr="006F4F5C" w:rsidRDefault="007F062C" w:rsidP="007F062C">
            <w:pPr>
              <w:jc w:val="center"/>
              <w:rPr>
                <w:iCs/>
                <w:sz w:val="22"/>
                <w:szCs w:val="22"/>
              </w:rPr>
            </w:pPr>
            <w:r>
              <w:rPr>
                <w:rFonts w:ascii="Calibri" w:hAnsi="Calibri" w:cs="Calibri"/>
                <w:color w:val="000000"/>
                <w:sz w:val="22"/>
                <w:szCs w:val="22"/>
              </w:rPr>
              <w:t>95%</w:t>
            </w:r>
          </w:p>
        </w:tc>
      </w:tr>
      <w:tr w:rsidR="007F062C" w:rsidRPr="00D730B7" w14:paraId="635909EE" w14:textId="77777777" w:rsidTr="001413BE">
        <w:trPr>
          <w:cantSplit/>
          <w:trHeight w:val="360"/>
        </w:trPr>
        <w:tc>
          <w:tcPr>
            <w:tcW w:w="2461" w:type="dxa"/>
            <w:vAlign w:val="center"/>
          </w:tcPr>
          <w:p w14:paraId="6F4B8B8D" w14:textId="7CE522E0" w:rsidR="007F062C" w:rsidRPr="005553DF" w:rsidRDefault="007F062C" w:rsidP="007F062C">
            <w:pPr>
              <w:jc w:val="center"/>
              <w:rPr>
                <w:b/>
                <w:iCs/>
                <w:sz w:val="22"/>
                <w:szCs w:val="22"/>
              </w:rPr>
            </w:pPr>
            <w:r>
              <w:rPr>
                <w:rFonts w:ascii="Calibri" w:hAnsi="Calibri" w:cs="Calibri"/>
                <w:color w:val="000000"/>
                <w:sz w:val="22"/>
                <w:szCs w:val="22"/>
              </w:rPr>
              <w:t>Wastes from Pets</w:t>
            </w:r>
          </w:p>
        </w:tc>
        <w:tc>
          <w:tcPr>
            <w:tcW w:w="611" w:type="dxa"/>
            <w:vAlign w:val="center"/>
          </w:tcPr>
          <w:p w14:paraId="40358693" w14:textId="08D4A04C" w:rsidR="007F062C" w:rsidRPr="006F4F5C" w:rsidRDefault="007F062C" w:rsidP="007F062C">
            <w:pPr>
              <w:jc w:val="center"/>
              <w:rPr>
                <w:iCs/>
                <w:sz w:val="22"/>
                <w:szCs w:val="22"/>
              </w:rPr>
            </w:pPr>
            <w:r>
              <w:rPr>
                <w:rFonts w:ascii="Calibri" w:hAnsi="Calibri" w:cs="Calibri"/>
                <w:color w:val="000000"/>
                <w:sz w:val="22"/>
                <w:szCs w:val="22"/>
              </w:rPr>
              <w:t>53%</w:t>
            </w:r>
          </w:p>
        </w:tc>
        <w:tc>
          <w:tcPr>
            <w:tcW w:w="2569" w:type="dxa"/>
            <w:vAlign w:val="center"/>
          </w:tcPr>
          <w:p w14:paraId="60789409" w14:textId="77777777" w:rsidR="007F062C" w:rsidRPr="006F4F5C" w:rsidRDefault="007F062C" w:rsidP="007F062C">
            <w:pPr>
              <w:jc w:val="center"/>
              <w:rPr>
                <w:b/>
                <w:iCs/>
                <w:sz w:val="22"/>
                <w:szCs w:val="22"/>
              </w:rPr>
            </w:pPr>
            <w:r w:rsidRPr="006F4F5C">
              <w:rPr>
                <w:b/>
                <w:iCs/>
                <w:sz w:val="22"/>
                <w:szCs w:val="22"/>
              </w:rPr>
              <w:t>--</w:t>
            </w:r>
          </w:p>
        </w:tc>
        <w:tc>
          <w:tcPr>
            <w:tcW w:w="722" w:type="dxa"/>
            <w:vAlign w:val="center"/>
          </w:tcPr>
          <w:p w14:paraId="0CD406EC" w14:textId="77777777" w:rsidR="007F062C" w:rsidRPr="006F4F5C" w:rsidRDefault="007F062C" w:rsidP="007F062C">
            <w:pPr>
              <w:jc w:val="center"/>
              <w:rPr>
                <w:iCs/>
                <w:sz w:val="22"/>
                <w:szCs w:val="22"/>
              </w:rPr>
            </w:pPr>
            <w:r w:rsidRPr="006F4F5C">
              <w:rPr>
                <w:iCs/>
                <w:sz w:val="22"/>
                <w:szCs w:val="22"/>
              </w:rPr>
              <w:t>--</w:t>
            </w:r>
          </w:p>
        </w:tc>
        <w:tc>
          <w:tcPr>
            <w:tcW w:w="2363" w:type="dxa"/>
            <w:vAlign w:val="center"/>
          </w:tcPr>
          <w:p w14:paraId="3D1A438E" w14:textId="7DB4F224" w:rsidR="007F062C" w:rsidRPr="005553DF" w:rsidRDefault="007F062C" w:rsidP="007F062C">
            <w:pPr>
              <w:jc w:val="center"/>
              <w:rPr>
                <w:b/>
                <w:iCs/>
                <w:sz w:val="22"/>
                <w:szCs w:val="22"/>
              </w:rPr>
            </w:pPr>
            <w:r>
              <w:rPr>
                <w:rFonts w:ascii="Calibri" w:hAnsi="Calibri" w:cs="Calibri"/>
                <w:color w:val="000000"/>
                <w:sz w:val="22"/>
                <w:szCs w:val="22"/>
              </w:rPr>
              <w:t>Industrial Point Source Discharge</w:t>
            </w:r>
          </w:p>
        </w:tc>
        <w:tc>
          <w:tcPr>
            <w:tcW w:w="624" w:type="dxa"/>
            <w:vAlign w:val="center"/>
          </w:tcPr>
          <w:p w14:paraId="339E84CA" w14:textId="058109AE" w:rsidR="007F062C" w:rsidRPr="006F4F5C" w:rsidRDefault="007F062C" w:rsidP="007F062C">
            <w:pPr>
              <w:jc w:val="center"/>
              <w:rPr>
                <w:iCs/>
                <w:sz w:val="22"/>
                <w:szCs w:val="22"/>
              </w:rPr>
            </w:pPr>
            <w:r>
              <w:rPr>
                <w:rFonts w:ascii="Calibri" w:hAnsi="Calibri" w:cs="Calibri"/>
                <w:color w:val="000000"/>
                <w:sz w:val="22"/>
                <w:szCs w:val="22"/>
              </w:rPr>
              <w:t>95%</w:t>
            </w:r>
          </w:p>
        </w:tc>
      </w:tr>
      <w:tr w:rsidR="007F062C" w:rsidRPr="00D730B7" w14:paraId="5F15959D" w14:textId="77777777" w:rsidTr="001413BE">
        <w:trPr>
          <w:cantSplit/>
          <w:trHeight w:val="360"/>
        </w:trPr>
        <w:tc>
          <w:tcPr>
            <w:tcW w:w="2461" w:type="dxa"/>
            <w:vAlign w:val="center"/>
          </w:tcPr>
          <w:p w14:paraId="69DED36A" w14:textId="7D337779" w:rsidR="007F062C" w:rsidRPr="005553DF" w:rsidRDefault="007F062C" w:rsidP="007F062C">
            <w:pPr>
              <w:jc w:val="center"/>
              <w:rPr>
                <w:b/>
                <w:iCs/>
                <w:sz w:val="22"/>
                <w:szCs w:val="22"/>
              </w:rPr>
            </w:pPr>
            <w:r>
              <w:rPr>
                <w:rFonts w:ascii="Calibri" w:hAnsi="Calibri" w:cs="Calibri"/>
                <w:color w:val="000000"/>
                <w:sz w:val="22"/>
                <w:szCs w:val="22"/>
              </w:rPr>
              <w:t>Urban Runoff/Storm Sewers</w:t>
            </w:r>
          </w:p>
        </w:tc>
        <w:tc>
          <w:tcPr>
            <w:tcW w:w="611" w:type="dxa"/>
            <w:vAlign w:val="center"/>
          </w:tcPr>
          <w:p w14:paraId="24616F30" w14:textId="4F6037C2" w:rsidR="007F062C" w:rsidRPr="006F4F5C" w:rsidRDefault="007F062C" w:rsidP="007F062C">
            <w:pPr>
              <w:jc w:val="center"/>
              <w:rPr>
                <w:iCs/>
                <w:sz w:val="22"/>
                <w:szCs w:val="22"/>
              </w:rPr>
            </w:pPr>
            <w:r>
              <w:rPr>
                <w:rFonts w:ascii="Calibri" w:hAnsi="Calibri" w:cs="Calibri"/>
                <w:color w:val="000000"/>
                <w:sz w:val="22"/>
                <w:szCs w:val="22"/>
              </w:rPr>
              <w:t>38%</w:t>
            </w:r>
          </w:p>
        </w:tc>
        <w:tc>
          <w:tcPr>
            <w:tcW w:w="2569" w:type="dxa"/>
            <w:vAlign w:val="center"/>
          </w:tcPr>
          <w:p w14:paraId="48F34A92" w14:textId="77777777" w:rsidR="007F062C" w:rsidRPr="006F4F5C" w:rsidRDefault="007F062C" w:rsidP="007F062C">
            <w:pPr>
              <w:jc w:val="center"/>
              <w:rPr>
                <w:b/>
                <w:iCs/>
                <w:sz w:val="22"/>
                <w:szCs w:val="22"/>
              </w:rPr>
            </w:pPr>
            <w:r w:rsidRPr="006F4F5C">
              <w:rPr>
                <w:b/>
                <w:iCs/>
                <w:sz w:val="22"/>
                <w:szCs w:val="22"/>
              </w:rPr>
              <w:t>--</w:t>
            </w:r>
          </w:p>
        </w:tc>
        <w:tc>
          <w:tcPr>
            <w:tcW w:w="722" w:type="dxa"/>
            <w:vAlign w:val="center"/>
          </w:tcPr>
          <w:p w14:paraId="38809D7A" w14:textId="77777777" w:rsidR="007F062C" w:rsidRPr="006F4F5C" w:rsidRDefault="007F062C" w:rsidP="007F062C">
            <w:pPr>
              <w:jc w:val="center"/>
              <w:rPr>
                <w:iCs/>
                <w:sz w:val="22"/>
                <w:szCs w:val="22"/>
              </w:rPr>
            </w:pPr>
            <w:r w:rsidRPr="006F4F5C">
              <w:rPr>
                <w:iCs/>
                <w:sz w:val="22"/>
                <w:szCs w:val="22"/>
              </w:rPr>
              <w:t>--</w:t>
            </w:r>
          </w:p>
        </w:tc>
        <w:tc>
          <w:tcPr>
            <w:tcW w:w="2363" w:type="dxa"/>
            <w:vAlign w:val="center"/>
          </w:tcPr>
          <w:p w14:paraId="39263460" w14:textId="0315F3C4" w:rsidR="007F062C" w:rsidRPr="005553DF" w:rsidRDefault="007F062C" w:rsidP="007F062C">
            <w:pPr>
              <w:jc w:val="center"/>
              <w:rPr>
                <w:b/>
                <w:iCs/>
                <w:sz w:val="22"/>
                <w:szCs w:val="22"/>
              </w:rPr>
            </w:pPr>
            <w:r>
              <w:rPr>
                <w:rFonts w:ascii="Calibri" w:hAnsi="Calibri" w:cs="Calibri"/>
                <w:color w:val="000000"/>
                <w:sz w:val="22"/>
                <w:szCs w:val="22"/>
              </w:rPr>
              <w:t>Internal Nutrient Recycling</w:t>
            </w:r>
          </w:p>
        </w:tc>
        <w:tc>
          <w:tcPr>
            <w:tcW w:w="624" w:type="dxa"/>
            <w:vAlign w:val="center"/>
          </w:tcPr>
          <w:p w14:paraId="09B425AA" w14:textId="049687A2" w:rsidR="007F062C" w:rsidRPr="006F4F5C" w:rsidRDefault="007F062C" w:rsidP="007F062C">
            <w:pPr>
              <w:jc w:val="center"/>
              <w:rPr>
                <w:iCs/>
                <w:sz w:val="22"/>
                <w:szCs w:val="22"/>
              </w:rPr>
            </w:pPr>
            <w:r>
              <w:rPr>
                <w:rFonts w:ascii="Calibri" w:hAnsi="Calibri" w:cs="Calibri"/>
                <w:color w:val="000000"/>
                <w:sz w:val="22"/>
                <w:szCs w:val="22"/>
              </w:rPr>
              <w:t>95%</w:t>
            </w:r>
          </w:p>
        </w:tc>
      </w:tr>
    </w:tbl>
    <w:p w14:paraId="24C2848F" w14:textId="77777777" w:rsidR="00546B19" w:rsidRDefault="00546B19" w:rsidP="00546B19">
      <w:pPr>
        <w:jc w:val="both"/>
        <w:rPr>
          <w:b/>
          <w:szCs w:val="24"/>
          <w:u w:val="single"/>
        </w:rPr>
      </w:pPr>
    </w:p>
    <w:p w14:paraId="7EE3E23F" w14:textId="14550006" w:rsidR="00546B19" w:rsidRPr="00DB7BD1" w:rsidRDefault="00546B19" w:rsidP="00DB7BD1">
      <w:pPr>
        <w:pStyle w:val="Heading3"/>
      </w:pPr>
      <w:r w:rsidRPr="00AD1FB7">
        <w:t>Roanoke River Basin</w:t>
      </w:r>
    </w:p>
    <w:p w14:paraId="076B7451" w14:textId="77924E0C" w:rsidR="00546B19" w:rsidRPr="00D730B7" w:rsidRDefault="00546B19" w:rsidP="00DB7BD1">
      <w:pPr>
        <w:rPr>
          <w:szCs w:val="24"/>
        </w:rPr>
      </w:pPr>
      <w:r w:rsidRPr="00D730B7">
        <w:rPr>
          <w:szCs w:val="24"/>
        </w:rPr>
        <w:t xml:space="preserve">The Roanoke River basin covers 6,393 square miles or approximately 15 percent of the </w:t>
      </w:r>
      <w:r w:rsidR="00D66F43">
        <w:rPr>
          <w:szCs w:val="24"/>
        </w:rPr>
        <w:t>C</w:t>
      </w:r>
      <w:r w:rsidRPr="00D730B7">
        <w:rPr>
          <w:szCs w:val="24"/>
        </w:rPr>
        <w:t>ommonwealth’s total area. In addition to the Roanoke itself, the basin also contains the Yadkin, Dan, Smith, Staunton, and Banister Rivers and numerous other sub-basins.</w:t>
      </w:r>
    </w:p>
    <w:p w14:paraId="4059EA6B" w14:textId="77777777" w:rsidR="00546B19" w:rsidRPr="00D730B7" w:rsidRDefault="00546B19" w:rsidP="00546B19">
      <w:pPr>
        <w:rPr>
          <w:szCs w:val="24"/>
        </w:rPr>
      </w:pPr>
    </w:p>
    <w:p w14:paraId="5482DE0A" w14:textId="77B2C47C" w:rsidR="00546B19" w:rsidRPr="00D730B7" w:rsidRDefault="00546B19" w:rsidP="00546B19">
      <w:pPr>
        <w:rPr>
          <w:szCs w:val="24"/>
        </w:rPr>
      </w:pPr>
      <w:r w:rsidRPr="00D730B7">
        <w:rPr>
          <w:szCs w:val="24"/>
        </w:rPr>
        <w:t>The Virginia portion of the Roanoke River basin is defined by both hydrologic and political boundaries. The basin is bound by the James River basin on the north, to the east by the Chowan River basin, and to the west by the New River basin. The southern boundary of the basin is the Virginia/North Carolina state line.</w:t>
      </w:r>
    </w:p>
    <w:p w14:paraId="3B8D174D" w14:textId="77777777" w:rsidR="00546B19" w:rsidRPr="00D730B7" w:rsidRDefault="00546B19" w:rsidP="00546B19">
      <w:pPr>
        <w:rPr>
          <w:szCs w:val="24"/>
        </w:rPr>
      </w:pPr>
    </w:p>
    <w:p w14:paraId="2EC3AD81" w14:textId="77777777" w:rsidR="00546B19" w:rsidRPr="00D730B7" w:rsidRDefault="00546B19" w:rsidP="00546B19">
      <w:pPr>
        <w:rPr>
          <w:szCs w:val="24"/>
        </w:rPr>
      </w:pPr>
      <w:r w:rsidRPr="00D730B7">
        <w:rPr>
          <w:szCs w:val="24"/>
        </w:rPr>
        <w:t>The topography of the Roanoke River basin ranges from steep slopes and valleys in the Valley and Ridge Province to gently sloping terrain east of the mountains in the Piedmont Province.</w:t>
      </w:r>
    </w:p>
    <w:p w14:paraId="23E4011C" w14:textId="77777777" w:rsidR="00546B19" w:rsidRPr="00D730B7" w:rsidRDefault="00546B19" w:rsidP="00546B19">
      <w:pPr>
        <w:jc w:val="both"/>
        <w:rPr>
          <w:szCs w:val="24"/>
        </w:rPr>
      </w:pPr>
    </w:p>
    <w:p w14:paraId="7D0B6171" w14:textId="2028CE6C" w:rsidR="00546B19" w:rsidRPr="00D730B7" w:rsidRDefault="00546B19" w:rsidP="00546B19">
      <w:pPr>
        <w:rPr>
          <w:szCs w:val="24"/>
        </w:rPr>
      </w:pPr>
      <w:r w:rsidRPr="00D730B7">
        <w:rPr>
          <w:szCs w:val="24"/>
        </w:rPr>
        <w:t xml:space="preserve">The Roanoke River basin headwaters begin in the mountainous terrain of eastern Montgomery County and flow in a southeasterly direction to the Virginia/North Carolina state line. The Roanoke basin passes through three physiographic provinces- the Valley and Ridge Province to the northwest, and the Blue Ridge and Piedmont Provinces to the southeast. </w:t>
      </w:r>
    </w:p>
    <w:p w14:paraId="38A616D3" w14:textId="77777777" w:rsidR="00546B19" w:rsidRPr="00D730B7" w:rsidRDefault="00546B19" w:rsidP="00546B19">
      <w:pPr>
        <w:rPr>
          <w:szCs w:val="24"/>
        </w:rPr>
      </w:pPr>
    </w:p>
    <w:p w14:paraId="56C67059" w14:textId="1A16F471" w:rsidR="00546B19" w:rsidRPr="00D730B7" w:rsidRDefault="00546B19" w:rsidP="00546B19">
      <w:r>
        <w:t>The Roanoke watershed is large enough to accommodate two major reservoirs, Smith Mountain and Leesville Lakes to the north and Kerr Reservoir and Lake Gaston located at the junction of the Roanoke River and the North Carolina state line. These reservoirs range in size from the 33,300</w:t>
      </w:r>
      <w:r w:rsidR="26A01342">
        <w:t>-</w:t>
      </w:r>
      <w:r>
        <w:t xml:space="preserve">acre Kerr Reservoir to the 2,600-acre Leesville Lake. These impoundments are used for both recreation and hydroelectricity. Major tributaries in the northern section of the basin are the Little Otter and Big Otter Rivers along with the Blackwater and Pigg Rivers. Major tributaries in the southern portion include the Dan River, Smith River, and Banister River. Over 62 percent of the Roanoke River Basin is forested, while nearly 25 percent is in cropland and pasture. Approximately 10 percent </w:t>
      </w:r>
      <w:proofErr w:type="gramStart"/>
      <w:r>
        <w:t>is</w:t>
      </w:r>
      <w:proofErr w:type="gramEnd"/>
      <w:r>
        <w:t xml:space="preserve"> considered urban.</w:t>
      </w:r>
    </w:p>
    <w:p w14:paraId="15D0DC0E" w14:textId="77777777" w:rsidR="00546B19" w:rsidRPr="00D730B7" w:rsidRDefault="00546B19" w:rsidP="00546B19">
      <w:pPr>
        <w:rPr>
          <w:szCs w:val="24"/>
        </w:rPr>
      </w:pPr>
    </w:p>
    <w:p w14:paraId="0896B0C6" w14:textId="30994EE9" w:rsidR="00546B19" w:rsidRPr="00D730B7" w:rsidRDefault="00546B19" w:rsidP="00546B19">
      <w:pPr>
        <w:rPr>
          <w:color w:val="000000"/>
          <w:szCs w:val="24"/>
        </w:rPr>
      </w:pPr>
      <w:r w:rsidRPr="00D730B7">
        <w:rPr>
          <w:szCs w:val="24"/>
        </w:rPr>
        <w:t>The 2010 population for the Roanoke River Basin was approximately 943,200</w:t>
      </w:r>
      <w:r w:rsidR="00AC5510">
        <w:rPr>
          <w:szCs w:val="24"/>
        </w:rPr>
        <w:t xml:space="preserve"> </w:t>
      </w:r>
      <w:r w:rsidR="00AC5510">
        <w:rPr>
          <w:color w:val="000000"/>
          <w:szCs w:val="24"/>
        </w:rPr>
        <w:t>(VA WIP III)</w:t>
      </w:r>
      <w:r w:rsidRPr="00D730B7">
        <w:rPr>
          <w:szCs w:val="24"/>
        </w:rPr>
        <w:t xml:space="preserve">. All or portions of the following 17 counties and 4 cities lie within the basin: counties – Appomattox, </w:t>
      </w:r>
      <w:r w:rsidRPr="00D730B7">
        <w:rPr>
          <w:szCs w:val="24"/>
        </w:rPr>
        <w:lastRenderedPageBreak/>
        <w:t xml:space="preserve">Bedford, Botetourt, Brunswick, Campbell, Carroll, Charlotte, Floyd, Franklin, Grayson, Halifax, Henry, Mecklenburg, Montgomery, Patrick, Pittsylvania, and Roanoke; cities – Danville, Martinsville, Roanoke, and Salem. </w:t>
      </w:r>
    </w:p>
    <w:p w14:paraId="18084B70" w14:textId="77777777" w:rsidR="00546B19" w:rsidRPr="00D730B7" w:rsidRDefault="00546B19" w:rsidP="00546B19">
      <w:pPr>
        <w:rPr>
          <w:szCs w:val="24"/>
        </w:rPr>
      </w:pPr>
    </w:p>
    <w:p w14:paraId="1142C14F" w14:textId="424CB7F5" w:rsidR="00546B19" w:rsidRPr="00D730B7" w:rsidRDefault="00546B19" w:rsidP="00546B19">
      <w:pPr>
        <w:rPr>
          <w:szCs w:val="24"/>
        </w:rPr>
      </w:pPr>
      <w:r w:rsidRPr="00D730B7">
        <w:rPr>
          <w:szCs w:val="24"/>
        </w:rPr>
        <w:t>The Roanoke River basin is divided into seven USGS hydrologic units as follows: HUC 03010101 – Upper Roanoke; HUC 03010102 – Middle Roanoke; HUC 03010103 – Upper Dan; HUC 03010104 – Lower Dan; HUC 03010105 – Banister; HUC 03010106 – Roanoke Rapids and HUC 03040101 – Upper Yadkin. The seven hydrologic units are further divided into 87 waterbodies or watersheds and 202 6</w:t>
      </w:r>
      <w:r w:rsidRPr="00D730B7">
        <w:rPr>
          <w:szCs w:val="24"/>
          <w:vertAlign w:val="superscript"/>
        </w:rPr>
        <w:t>th</w:t>
      </w:r>
      <w:r w:rsidRPr="00D730B7">
        <w:rPr>
          <w:szCs w:val="24"/>
        </w:rPr>
        <w:t xml:space="preserve"> order sub-watersheds.</w:t>
      </w:r>
    </w:p>
    <w:p w14:paraId="48FEC153" w14:textId="77777777" w:rsidR="00546B19" w:rsidRPr="00D730B7" w:rsidRDefault="00546B19" w:rsidP="00546B19">
      <w:pPr>
        <w:rPr>
          <w:szCs w:val="24"/>
        </w:rPr>
      </w:pPr>
    </w:p>
    <w:p w14:paraId="704B6DE2" w14:textId="77777777" w:rsidR="00546B19" w:rsidRPr="00D730B7" w:rsidRDefault="00546B19" w:rsidP="00546B19">
      <w:pPr>
        <w:rPr>
          <w:szCs w:val="24"/>
        </w:rPr>
      </w:pPr>
      <w:r w:rsidRPr="00D730B7">
        <w:rPr>
          <w:szCs w:val="24"/>
        </w:rPr>
        <w:t>Basin assessment information is presented in the following figures and tables.</w:t>
      </w:r>
    </w:p>
    <w:p w14:paraId="6AE940F4" w14:textId="77777777" w:rsidR="00546B19" w:rsidRPr="00D730B7" w:rsidRDefault="00546B19" w:rsidP="00546B19">
      <w:pPr>
        <w:jc w:val="both"/>
        <w:rPr>
          <w:b/>
          <w:szCs w:val="24"/>
        </w:rPr>
      </w:pPr>
    </w:p>
    <w:p w14:paraId="098B9C7A" w14:textId="77777777" w:rsidR="008F20E4" w:rsidRPr="00D730B7" w:rsidRDefault="008F20E4" w:rsidP="008F20E4">
      <w:pPr>
        <w:jc w:val="both"/>
        <w:rPr>
          <w:b/>
          <w:szCs w:val="24"/>
        </w:rPr>
      </w:pPr>
      <w:r>
        <w:rPr>
          <w:b/>
          <w:szCs w:val="24"/>
        </w:rPr>
        <w:t>Total basin water body sizes, note all values rounded to the nearest whole number.</w:t>
      </w:r>
    </w:p>
    <w:p w14:paraId="4DD7005C" w14:textId="29DFDD99" w:rsidR="00AE708E" w:rsidRPr="00AE708E" w:rsidRDefault="00AE708E" w:rsidP="00AE708E">
      <w:pPr>
        <w:jc w:val="both"/>
        <w:rPr>
          <w:szCs w:val="24"/>
        </w:rPr>
      </w:pPr>
      <w:r w:rsidRPr="00AE708E">
        <w:rPr>
          <w:szCs w:val="24"/>
        </w:rPr>
        <w:t>Rivers - 17,2</w:t>
      </w:r>
      <w:r w:rsidR="00BA225D">
        <w:rPr>
          <w:szCs w:val="24"/>
        </w:rPr>
        <w:t>79</w:t>
      </w:r>
      <w:r w:rsidRPr="00AE708E">
        <w:rPr>
          <w:szCs w:val="24"/>
        </w:rPr>
        <w:t xml:space="preserve"> miles</w:t>
      </w:r>
    </w:p>
    <w:p w14:paraId="65547F55" w14:textId="571EC7EA" w:rsidR="00AE708E" w:rsidRDefault="00AE708E" w:rsidP="00AE708E">
      <w:pPr>
        <w:jc w:val="both"/>
        <w:rPr>
          <w:szCs w:val="24"/>
        </w:rPr>
      </w:pPr>
      <w:r w:rsidRPr="00AE708E">
        <w:rPr>
          <w:szCs w:val="24"/>
        </w:rPr>
        <w:t>Lakes - 66,</w:t>
      </w:r>
      <w:r w:rsidR="00E16043">
        <w:rPr>
          <w:szCs w:val="24"/>
        </w:rPr>
        <w:t>870</w:t>
      </w:r>
      <w:r w:rsidR="00E16043" w:rsidRPr="00AE708E">
        <w:rPr>
          <w:szCs w:val="24"/>
        </w:rPr>
        <w:t xml:space="preserve"> </w:t>
      </w:r>
      <w:r w:rsidRPr="00AE708E">
        <w:rPr>
          <w:szCs w:val="24"/>
        </w:rPr>
        <w:t xml:space="preserve">acres </w:t>
      </w:r>
    </w:p>
    <w:p w14:paraId="7A9D16DE" w14:textId="75DAC8C1" w:rsidR="00546B19" w:rsidRPr="00D730B7" w:rsidRDefault="00546B19" w:rsidP="00AE708E">
      <w:pPr>
        <w:jc w:val="both"/>
        <w:rPr>
          <w:szCs w:val="24"/>
        </w:rPr>
      </w:pPr>
      <w:r w:rsidRPr="00D730B7">
        <w:rPr>
          <w:szCs w:val="24"/>
        </w:rPr>
        <w:t>Estuaries - 0 sq. miles</w:t>
      </w:r>
    </w:p>
    <w:p w14:paraId="77834013" w14:textId="77777777" w:rsidR="00546B19" w:rsidRDefault="00546B19" w:rsidP="00546B19">
      <w:pPr>
        <w:rPr>
          <w:b/>
          <w:szCs w:val="24"/>
        </w:rPr>
      </w:pPr>
    </w:p>
    <w:p w14:paraId="013E1BCE" w14:textId="17A08873" w:rsidR="00546B19" w:rsidRDefault="00546B19" w:rsidP="00546B19">
      <w:pPr>
        <w:rPr>
          <w:b/>
          <w:szCs w:val="24"/>
        </w:rPr>
      </w:pPr>
    </w:p>
    <w:p w14:paraId="0F7DFF19" w14:textId="66CB362F" w:rsidR="00DB7BD1" w:rsidRDefault="00597109" w:rsidP="00DB7BD1">
      <w:pPr>
        <w:keepNext/>
        <w:jc w:val="both"/>
      </w:pPr>
      <w:r>
        <w:rPr>
          <w:noProof/>
        </w:rPr>
        <w:drawing>
          <wp:inline distT="0" distB="0" distL="0" distR="0" wp14:anchorId="1CEAA17D" wp14:editId="5CEA7088">
            <wp:extent cx="5334000" cy="3810000"/>
            <wp:effectExtent l="0" t="0" r="0" b="0"/>
            <wp:docPr id="99" name="Picture" descr="Chart&#10;&#10;Figure 4.3 14. Designated use summary for rivers in the Roanoke River basin (14,583 miles not assessed)."/>
            <wp:cNvGraphicFramePr/>
            <a:graphic xmlns:a="http://schemas.openxmlformats.org/drawingml/2006/main">
              <a:graphicData uri="http://schemas.openxmlformats.org/drawingml/2006/picture">
                <pic:pic xmlns:pic="http://schemas.openxmlformats.org/drawingml/2006/picture">
                  <pic:nvPicPr>
                    <pic:cNvPr id="99" name="Picture" descr="Chart&#10;&#10;Figure 4.3 14. Designated use summary for rivers in the Roanoke River basin (14,583 miles not assessed)."/>
                    <pic:cNvPicPr>
                      <a:picLocks noChangeAspect="1" noChangeArrowheads="1"/>
                    </pic:cNvPicPr>
                  </pic:nvPicPr>
                  <pic:blipFill>
                    <a:blip r:embed="rId157"/>
                    <a:stretch>
                      <a:fillRect/>
                    </a:stretch>
                  </pic:blipFill>
                  <pic:spPr bwMode="auto">
                    <a:xfrm>
                      <a:off x="0" y="0"/>
                      <a:ext cx="5334000" cy="3810000"/>
                    </a:xfrm>
                    <a:prstGeom prst="rect">
                      <a:avLst/>
                    </a:prstGeom>
                    <a:noFill/>
                    <a:ln w="9525">
                      <a:noFill/>
                      <a:headEnd/>
                      <a:tailEnd/>
                    </a:ln>
                  </pic:spPr>
                </pic:pic>
              </a:graphicData>
            </a:graphic>
          </wp:inline>
        </w:drawing>
      </w:r>
    </w:p>
    <w:p w14:paraId="6C2DF602" w14:textId="25EBC27B" w:rsidR="00D04429" w:rsidRPr="0062574F" w:rsidRDefault="00DB7BD1" w:rsidP="0A5BE548">
      <w:pPr>
        <w:pStyle w:val="Caption"/>
        <w:jc w:val="both"/>
        <w:rPr>
          <w:b/>
          <w:bCs/>
        </w:rPr>
      </w:pPr>
      <w:bookmarkStart w:id="135" w:name="_Toc164175070"/>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14</w:t>
      </w:r>
      <w:r w:rsidR="004F13BA">
        <w:rPr>
          <w:noProof/>
        </w:rPr>
        <w:fldChar w:fldCharType="end"/>
      </w:r>
      <w:r>
        <w:t xml:space="preserve">. </w:t>
      </w:r>
      <w:proofErr w:type="gramStart"/>
      <w:r w:rsidR="002275D1" w:rsidRPr="0A5BE548">
        <w:t>Designated</w:t>
      </w:r>
      <w:r w:rsidRPr="0A5BE548">
        <w:t xml:space="preserve"> use</w:t>
      </w:r>
      <w:proofErr w:type="gramEnd"/>
      <w:r w:rsidRPr="0A5BE548">
        <w:t xml:space="preserve"> summary for </w:t>
      </w:r>
      <w:r w:rsidR="002275D1" w:rsidRPr="0A5BE548">
        <w:t>rivers in</w:t>
      </w:r>
      <w:r w:rsidRPr="0A5BE548">
        <w:t xml:space="preserve"> the Roanoke River</w:t>
      </w:r>
      <w:r w:rsidR="6B2CDF32" w:rsidRPr="0A5BE548">
        <w:t xml:space="preserve"> </w:t>
      </w:r>
      <w:bookmarkEnd w:id="135"/>
      <w:r>
        <w:t xml:space="preserve">basin </w:t>
      </w:r>
      <w:r w:rsidR="009A291C">
        <w:t>(</w:t>
      </w:r>
      <w:r w:rsidR="00596F8A">
        <w:t xml:space="preserve">14,583 </w:t>
      </w:r>
      <w:r w:rsidR="009A291C">
        <w:t>miles not assessed)</w:t>
      </w:r>
      <w:r w:rsidR="00596F8A">
        <w:t>.</w:t>
      </w:r>
    </w:p>
    <w:p w14:paraId="26C05004" w14:textId="77777777" w:rsidR="00546B19" w:rsidRPr="00D730B7" w:rsidRDefault="00546B19" w:rsidP="00546B19">
      <w:pPr>
        <w:jc w:val="both"/>
        <w:rPr>
          <w:b/>
          <w:szCs w:val="24"/>
        </w:rPr>
      </w:pPr>
    </w:p>
    <w:p w14:paraId="4FE8479B" w14:textId="28C71EFB" w:rsidR="00DB7BD1" w:rsidRDefault="00513E18" w:rsidP="00DB7BD1">
      <w:pPr>
        <w:keepNext/>
        <w:jc w:val="both"/>
      </w:pPr>
      <w:r>
        <w:rPr>
          <w:noProof/>
        </w:rPr>
        <w:lastRenderedPageBreak/>
        <w:drawing>
          <wp:inline distT="0" distB="0" distL="0" distR="0" wp14:anchorId="79FC4DE2" wp14:editId="6029BF77">
            <wp:extent cx="5334000" cy="3810000"/>
            <wp:effectExtent l="0" t="0" r="0" b="0"/>
            <wp:docPr id="105" name="Picture" descr="Figure 4.3 15. Designated use summary for lakes in the Roanoke River basin (455 acres not assessed)."/>
            <wp:cNvGraphicFramePr/>
            <a:graphic xmlns:a="http://schemas.openxmlformats.org/drawingml/2006/main">
              <a:graphicData uri="http://schemas.openxmlformats.org/drawingml/2006/picture">
                <pic:pic xmlns:pic="http://schemas.openxmlformats.org/drawingml/2006/picture">
                  <pic:nvPicPr>
                    <pic:cNvPr id="105" name="Picture" descr="Figure 4.3 15. Designated use summary for lakes in the Roanoke River basin (455 acres not assessed)."/>
                    <pic:cNvPicPr>
                      <a:picLocks noChangeAspect="1" noChangeArrowheads="1"/>
                    </pic:cNvPicPr>
                  </pic:nvPicPr>
                  <pic:blipFill>
                    <a:blip r:embed="rId158"/>
                    <a:stretch>
                      <a:fillRect/>
                    </a:stretch>
                  </pic:blipFill>
                  <pic:spPr bwMode="auto">
                    <a:xfrm>
                      <a:off x="0" y="0"/>
                      <a:ext cx="5334000" cy="3810000"/>
                    </a:xfrm>
                    <a:prstGeom prst="rect">
                      <a:avLst/>
                    </a:prstGeom>
                    <a:noFill/>
                    <a:ln w="9525">
                      <a:noFill/>
                      <a:headEnd/>
                      <a:tailEnd/>
                    </a:ln>
                  </pic:spPr>
                </pic:pic>
              </a:graphicData>
            </a:graphic>
          </wp:inline>
        </w:drawing>
      </w:r>
    </w:p>
    <w:p w14:paraId="0449FADF" w14:textId="4B04689B" w:rsidR="00D04429" w:rsidRPr="0062574F" w:rsidRDefault="00DB7BD1" w:rsidP="0A5BE548">
      <w:pPr>
        <w:pStyle w:val="Caption"/>
        <w:jc w:val="both"/>
        <w:rPr>
          <w:b/>
          <w:bCs/>
        </w:rPr>
      </w:pPr>
      <w:bookmarkStart w:id="136" w:name="_Toc164175071"/>
      <w:bookmarkStart w:id="137" w:name="_Toc152766246"/>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15</w:t>
      </w:r>
      <w:r w:rsidR="004F13BA">
        <w:rPr>
          <w:noProof/>
        </w:rPr>
        <w:fldChar w:fldCharType="end"/>
      </w:r>
      <w:r>
        <w:t xml:space="preserve">. </w:t>
      </w:r>
      <w:r w:rsidR="00512EE9" w:rsidRPr="0A5BE548">
        <w:t>Designated</w:t>
      </w:r>
      <w:r w:rsidRPr="0A5BE548">
        <w:t xml:space="preserve"> use summary </w:t>
      </w:r>
      <w:r w:rsidR="00663E5C" w:rsidRPr="0A5BE548">
        <w:t>for lakes in</w:t>
      </w:r>
      <w:r w:rsidRPr="0A5BE548">
        <w:t xml:space="preserve"> the Roanoke River</w:t>
      </w:r>
      <w:r w:rsidR="168E5915" w:rsidRPr="0A5BE548">
        <w:t xml:space="preserve"> </w:t>
      </w:r>
      <w:bookmarkEnd w:id="136"/>
      <w:r>
        <w:t>basin</w:t>
      </w:r>
      <w:bookmarkEnd w:id="137"/>
      <w:r w:rsidR="00596F8A">
        <w:t xml:space="preserve"> (</w:t>
      </w:r>
      <w:r w:rsidR="00BC35B0">
        <w:t>455</w:t>
      </w:r>
      <w:r w:rsidR="002E63E9">
        <w:t xml:space="preserve"> </w:t>
      </w:r>
      <w:r w:rsidR="00596F8A">
        <w:t>acres not assessed)</w:t>
      </w:r>
      <w:r w:rsidR="00B451E1">
        <w:t>.</w:t>
      </w:r>
    </w:p>
    <w:p w14:paraId="573AA337" w14:textId="77777777" w:rsidR="00546B19" w:rsidRPr="00D730B7" w:rsidRDefault="00546B19" w:rsidP="004E7E92">
      <w:pPr>
        <w:jc w:val="both"/>
        <w:rPr>
          <w:b/>
          <w:szCs w:val="24"/>
        </w:rPr>
      </w:pPr>
    </w:p>
    <w:p w14:paraId="362504E8" w14:textId="72E25D94" w:rsidR="00D04429" w:rsidRPr="0062574F" w:rsidRDefault="00DB7BD1" w:rsidP="00D04429">
      <w:pPr>
        <w:pStyle w:val="Caption"/>
        <w:jc w:val="both"/>
      </w:pPr>
      <w:bookmarkStart w:id="138" w:name="_Toc164175171"/>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7</w:t>
      </w:r>
      <w:r w:rsidR="004F13BA">
        <w:rPr>
          <w:noProof/>
        </w:rPr>
        <w:fldChar w:fldCharType="end"/>
      </w:r>
      <w:r>
        <w:t xml:space="preserve">. </w:t>
      </w:r>
      <w:r w:rsidRPr="0A5BE548">
        <w:t>Significant causes of designated use impairment in the Roanoke River</w:t>
      </w:r>
      <w:r w:rsidR="78811FE6" w:rsidRPr="0A5BE548">
        <w:t xml:space="preserve"> </w:t>
      </w:r>
      <w:bookmarkEnd w:id="138"/>
      <w:r>
        <w:t>basin, by waterbody type, ranked by percentage of impaired water size (note: Waters can have multiple pollutants).</w:t>
      </w:r>
    </w:p>
    <w:tbl>
      <w:tblPr>
        <w:tblStyle w:val="TableGrid"/>
        <w:tblW w:w="9734" w:type="dxa"/>
        <w:tblCellMar>
          <w:left w:w="115" w:type="dxa"/>
          <w:right w:w="115" w:type="dxa"/>
        </w:tblCellMar>
        <w:tblLook w:val="04A0" w:firstRow="1" w:lastRow="0" w:firstColumn="1" w:lastColumn="0" w:noHBand="0" w:noVBand="1"/>
        <w:tblCaption w:val="Table of Roanoke River Basin Significant Causes of Designated Use Impairment"/>
        <w:tblDescription w:val="Roanoke River Basin significant causes of Designated Use impairment for rivers and lakes ranked by percent of impaired water size"/>
      </w:tblPr>
      <w:tblGrid>
        <w:gridCol w:w="4162"/>
        <w:gridCol w:w="704"/>
        <w:gridCol w:w="4189"/>
        <w:gridCol w:w="679"/>
      </w:tblGrid>
      <w:tr w:rsidR="00546B19" w:rsidRPr="00D730B7" w14:paraId="0B1C318D" w14:textId="77777777" w:rsidTr="001413BE">
        <w:trPr>
          <w:cantSplit/>
          <w:trHeight w:val="360"/>
          <w:tblHeader/>
        </w:trPr>
        <w:tc>
          <w:tcPr>
            <w:tcW w:w="4834" w:type="dxa"/>
            <w:gridSpan w:val="2"/>
            <w:vAlign w:val="center"/>
          </w:tcPr>
          <w:p w14:paraId="7F946226" w14:textId="77777777" w:rsidR="00546B19" w:rsidRPr="006F4F5C" w:rsidRDefault="00546B19" w:rsidP="005222F6">
            <w:pPr>
              <w:jc w:val="center"/>
              <w:rPr>
                <w:b/>
                <w:iCs/>
                <w:sz w:val="22"/>
                <w:szCs w:val="22"/>
              </w:rPr>
            </w:pPr>
            <w:r w:rsidRPr="006F4F5C">
              <w:rPr>
                <w:b/>
                <w:iCs/>
                <w:sz w:val="22"/>
                <w:szCs w:val="22"/>
              </w:rPr>
              <w:t>Rivers</w:t>
            </w:r>
          </w:p>
        </w:tc>
        <w:tc>
          <w:tcPr>
            <w:tcW w:w="4835" w:type="dxa"/>
            <w:gridSpan w:val="2"/>
            <w:vAlign w:val="center"/>
          </w:tcPr>
          <w:p w14:paraId="7A863E97" w14:textId="77777777" w:rsidR="00546B19" w:rsidRPr="006F4F5C" w:rsidRDefault="00546B19" w:rsidP="005222F6">
            <w:pPr>
              <w:jc w:val="center"/>
              <w:rPr>
                <w:b/>
                <w:iCs/>
                <w:sz w:val="22"/>
                <w:szCs w:val="22"/>
              </w:rPr>
            </w:pPr>
            <w:r w:rsidRPr="006F4F5C">
              <w:rPr>
                <w:b/>
                <w:iCs/>
                <w:sz w:val="22"/>
                <w:szCs w:val="22"/>
              </w:rPr>
              <w:t>Lakes</w:t>
            </w:r>
          </w:p>
        </w:tc>
      </w:tr>
      <w:tr w:rsidR="005222F6" w:rsidRPr="00D730B7" w14:paraId="4CDA9029" w14:textId="77777777" w:rsidTr="001413BE">
        <w:trPr>
          <w:cantSplit/>
          <w:trHeight w:val="360"/>
        </w:trPr>
        <w:tc>
          <w:tcPr>
            <w:tcW w:w="4135" w:type="dxa"/>
            <w:vAlign w:val="center"/>
          </w:tcPr>
          <w:p w14:paraId="53A5AA17" w14:textId="49FE524B" w:rsidR="005222F6" w:rsidRPr="005553DF" w:rsidRDefault="005222F6" w:rsidP="005222F6">
            <w:pPr>
              <w:jc w:val="center"/>
              <w:rPr>
                <w:b/>
                <w:sz w:val="22"/>
                <w:szCs w:val="22"/>
              </w:rPr>
            </w:pPr>
            <w:r>
              <w:rPr>
                <w:rFonts w:ascii="Calibri" w:hAnsi="Calibri" w:cs="Calibri"/>
                <w:color w:val="000000"/>
                <w:sz w:val="22"/>
                <w:szCs w:val="22"/>
              </w:rPr>
              <w:t>Bacteria</w:t>
            </w:r>
          </w:p>
        </w:tc>
        <w:tc>
          <w:tcPr>
            <w:tcW w:w="699" w:type="dxa"/>
            <w:vAlign w:val="center"/>
          </w:tcPr>
          <w:p w14:paraId="157B1338" w14:textId="6C70045B" w:rsidR="005222F6" w:rsidRPr="006F4F5C" w:rsidRDefault="005222F6" w:rsidP="005222F6">
            <w:pPr>
              <w:jc w:val="center"/>
              <w:rPr>
                <w:iCs/>
                <w:sz w:val="22"/>
                <w:szCs w:val="22"/>
              </w:rPr>
            </w:pPr>
            <w:r>
              <w:rPr>
                <w:rFonts w:ascii="Calibri" w:hAnsi="Calibri" w:cs="Calibri"/>
                <w:color w:val="000000"/>
                <w:sz w:val="22"/>
                <w:szCs w:val="22"/>
              </w:rPr>
              <w:t>90%</w:t>
            </w:r>
          </w:p>
        </w:tc>
        <w:tc>
          <w:tcPr>
            <w:tcW w:w="4161" w:type="dxa"/>
            <w:vAlign w:val="center"/>
          </w:tcPr>
          <w:p w14:paraId="2D9CFD2C" w14:textId="4698A3B5" w:rsidR="005222F6" w:rsidRPr="005553DF" w:rsidRDefault="005222F6" w:rsidP="005222F6">
            <w:pPr>
              <w:jc w:val="center"/>
              <w:rPr>
                <w:b/>
                <w:iCs/>
                <w:sz w:val="22"/>
                <w:szCs w:val="22"/>
              </w:rPr>
            </w:pPr>
            <w:r>
              <w:rPr>
                <w:rFonts w:ascii="Calibri" w:hAnsi="Calibri" w:cs="Calibri"/>
                <w:color w:val="000000"/>
                <w:sz w:val="22"/>
                <w:szCs w:val="22"/>
              </w:rPr>
              <w:t>PCBs in Fish Tissue</w:t>
            </w:r>
          </w:p>
        </w:tc>
        <w:tc>
          <w:tcPr>
            <w:tcW w:w="674" w:type="dxa"/>
            <w:vAlign w:val="center"/>
          </w:tcPr>
          <w:p w14:paraId="7AA952CE" w14:textId="5E3112B3" w:rsidR="005222F6" w:rsidRPr="006F4F5C" w:rsidRDefault="00872ECF" w:rsidP="005222F6">
            <w:pPr>
              <w:jc w:val="center"/>
              <w:rPr>
                <w:iCs/>
                <w:sz w:val="22"/>
                <w:szCs w:val="22"/>
              </w:rPr>
            </w:pPr>
            <w:r>
              <w:rPr>
                <w:rFonts w:ascii="Calibri" w:hAnsi="Calibri" w:cs="Calibri"/>
                <w:color w:val="000000"/>
                <w:sz w:val="22"/>
                <w:szCs w:val="22"/>
              </w:rPr>
              <w:t>88</w:t>
            </w:r>
            <w:r w:rsidR="005222F6">
              <w:rPr>
                <w:rFonts w:ascii="Calibri" w:hAnsi="Calibri" w:cs="Calibri"/>
                <w:color w:val="000000"/>
                <w:sz w:val="22"/>
                <w:szCs w:val="22"/>
              </w:rPr>
              <w:t>%</w:t>
            </w:r>
          </w:p>
        </w:tc>
      </w:tr>
      <w:tr w:rsidR="005222F6" w:rsidRPr="00D730B7" w14:paraId="0548B17A" w14:textId="77777777" w:rsidTr="001413BE">
        <w:trPr>
          <w:cantSplit/>
          <w:trHeight w:val="360"/>
        </w:trPr>
        <w:tc>
          <w:tcPr>
            <w:tcW w:w="4135" w:type="dxa"/>
            <w:vAlign w:val="center"/>
          </w:tcPr>
          <w:p w14:paraId="77D96150" w14:textId="55B633EA" w:rsidR="005222F6" w:rsidRPr="005553DF" w:rsidRDefault="005222F6" w:rsidP="005222F6">
            <w:pPr>
              <w:jc w:val="center"/>
              <w:rPr>
                <w:b/>
                <w:sz w:val="22"/>
                <w:szCs w:val="22"/>
              </w:rPr>
            </w:pPr>
            <w:r>
              <w:rPr>
                <w:rFonts w:ascii="Calibri" w:hAnsi="Calibri" w:cs="Calibri"/>
                <w:color w:val="000000"/>
                <w:sz w:val="22"/>
                <w:szCs w:val="22"/>
              </w:rPr>
              <w:t>Impaired Benthics</w:t>
            </w:r>
          </w:p>
        </w:tc>
        <w:tc>
          <w:tcPr>
            <w:tcW w:w="699" w:type="dxa"/>
            <w:vAlign w:val="center"/>
          </w:tcPr>
          <w:p w14:paraId="697733E5" w14:textId="3B3BDB26" w:rsidR="005222F6" w:rsidRPr="006F4F5C" w:rsidRDefault="005222F6" w:rsidP="005222F6">
            <w:pPr>
              <w:jc w:val="center"/>
              <w:rPr>
                <w:iCs/>
                <w:sz w:val="22"/>
                <w:szCs w:val="22"/>
              </w:rPr>
            </w:pPr>
            <w:r>
              <w:rPr>
                <w:rFonts w:ascii="Calibri" w:hAnsi="Calibri" w:cs="Calibri"/>
                <w:color w:val="000000"/>
                <w:sz w:val="22"/>
                <w:szCs w:val="22"/>
              </w:rPr>
              <w:t>3</w:t>
            </w:r>
            <w:r w:rsidR="00547F65">
              <w:rPr>
                <w:rFonts w:ascii="Calibri" w:hAnsi="Calibri" w:cs="Calibri"/>
                <w:color w:val="000000"/>
                <w:sz w:val="22"/>
                <w:szCs w:val="22"/>
              </w:rPr>
              <w:t>1</w:t>
            </w:r>
            <w:r>
              <w:rPr>
                <w:rFonts w:ascii="Calibri" w:hAnsi="Calibri" w:cs="Calibri"/>
                <w:color w:val="000000"/>
                <w:sz w:val="22"/>
                <w:szCs w:val="22"/>
              </w:rPr>
              <w:t>%</w:t>
            </w:r>
          </w:p>
        </w:tc>
        <w:tc>
          <w:tcPr>
            <w:tcW w:w="4161" w:type="dxa"/>
            <w:vAlign w:val="center"/>
          </w:tcPr>
          <w:p w14:paraId="1D0EBF85" w14:textId="24EA7094" w:rsidR="005222F6" w:rsidRPr="005553DF" w:rsidRDefault="005222F6" w:rsidP="005222F6">
            <w:pPr>
              <w:jc w:val="center"/>
              <w:rPr>
                <w:b/>
                <w:iCs/>
                <w:sz w:val="22"/>
                <w:szCs w:val="22"/>
              </w:rPr>
            </w:pPr>
            <w:r>
              <w:rPr>
                <w:rFonts w:ascii="Calibri" w:hAnsi="Calibri" w:cs="Calibri"/>
                <w:color w:val="000000"/>
                <w:sz w:val="22"/>
                <w:szCs w:val="22"/>
              </w:rPr>
              <w:t>Mercury in Fish Tissue</w:t>
            </w:r>
          </w:p>
        </w:tc>
        <w:tc>
          <w:tcPr>
            <w:tcW w:w="674" w:type="dxa"/>
            <w:vAlign w:val="center"/>
          </w:tcPr>
          <w:p w14:paraId="59D6174C" w14:textId="7C8842A2" w:rsidR="005222F6" w:rsidRPr="006F4F5C" w:rsidRDefault="005222F6" w:rsidP="005222F6">
            <w:pPr>
              <w:jc w:val="center"/>
              <w:rPr>
                <w:iCs/>
                <w:sz w:val="22"/>
                <w:szCs w:val="22"/>
              </w:rPr>
            </w:pPr>
            <w:r>
              <w:rPr>
                <w:rFonts w:ascii="Calibri" w:hAnsi="Calibri" w:cs="Calibri"/>
                <w:color w:val="000000"/>
                <w:sz w:val="22"/>
                <w:szCs w:val="22"/>
              </w:rPr>
              <w:t>6</w:t>
            </w:r>
            <w:r w:rsidR="00D91953">
              <w:rPr>
                <w:rFonts w:ascii="Calibri" w:hAnsi="Calibri" w:cs="Calibri"/>
                <w:color w:val="000000"/>
                <w:sz w:val="22"/>
                <w:szCs w:val="22"/>
              </w:rPr>
              <w:t>6</w:t>
            </w:r>
            <w:r>
              <w:rPr>
                <w:rFonts w:ascii="Calibri" w:hAnsi="Calibri" w:cs="Calibri"/>
                <w:color w:val="000000"/>
                <w:sz w:val="22"/>
                <w:szCs w:val="22"/>
              </w:rPr>
              <w:t>%</w:t>
            </w:r>
          </w:p>
        </w:tc>
      </w:tr>
      <w:tr w:rsidR="005222F6" w:rsidRPr="00D730B7" w14:paraId="582095F6" w14:textId="77777777" w:rsidTr="001413BE">
        <w:trPr>
          <w:cantSplit/>
          <w:trHeight w:val="360"/>
        </w:trPr>
        <w:tc>
          <w:tcPr>
            <w:tcW w:w="4135" w:type="dxa"/>
            <w:vAlign w:val="center"/>
          </w:tcPr>
          <w:p w14:paraId="50CD5A41" w14:textId="07167645" w:rsidR="005222F6" w:rsidRPr="005553DF" w:rsidRDefault="005222F6" w:rsidP="005222F6">
            <w:pPr>
              <w:jc w:val="center"/>
              <w:rPr>
                <w:b/>
                <w:sz w:val="22"/>
                <w:szCs w:val="22"/>
              </w:rPr>
            </w:pPr>
            <w:r>
              <w:rPr>
                <w:rFonts w:ascii="Calibri" w:hAnsi="Calibri" w:cs="Calibri"/>
                <w:color w:val="000000"/>
                <w:sz w:val="22"/>
                <w:szCs w:val="22"/>
              </w:rPr>
              <w:t>PCBs in Fish Tissue</w:t>
            </w:r>
          </w:p>
        </w:tc>
        <w:tc>
          <w:tcPr>
            <w:tcW w:w="699" w:type="dxa"/>
            <w:vAlign w:val="center"/>
          </w:tcPr>
          <w:p w14:paraId="710C4DA5" w14:textId="0EF12109" w:rsidR="005222F6" w:rsidRPr="006F4F5C" w:rsidRDefault="005222F6" w:rsidP="005222F6">
            <w:pPr>
              <w:jc w:val="center"/>
              <w:rPr>
                <w:iCs/>
                <w:sz w:val="22"/>
                <w:szCs w:val="22"/>
              </w:rPr>
            </w:pPr>
            <w:r>
              <w:rPr>
                <w:rFonts w:ascii="Calibri" w:hAnsi="Calibri" w:cs="Calibri"/>
                <w:color w:val="000000"/>
                <w:sz w:val="22"/>
                <w:szCs w:val="22"/>
              </w:rPr>
              <w:t>11%</w:t>
            </w:r>
          </w:p>
        </w:tc>
        <w:tc>
          <w:tcPr>
            <w:tcW w:w="4161" w:type="dxa"/>
            <w:vAlign w:val="center"/>
          </w:tcPr>
          <w:p w14:paraId="000BB193" w14:textId="4978D4B0" w:rsidR="005222F6" w:rsidRPr="005553DF" w:rsidRDefault="005222F6" w:rsidP="005222F6">
            <w:pPr>
              <w:jc w:val="center"/>
              <w:rPr>
                <w:b/>
                <w:iCs/>
                <w:sz w:val="22"/>
                <w:szCs w:val="22"/>
              </w:rPr>
            </w:pPr>
            <w:r>
              <w:rPr>
                <w:rFonts w:ascii="Calibri" w:hAnsi="Calibri" w:cs="Calibri"/>
                <w:color w:val="000000"/>
                <w:sz w:val="22"/>
                <w:szCs w:val="22"/>
              </w:rPr>
              <w:t>Dissolved Oxygen</w:t>
            </w:r>
          </w:p>
        </w:tc>
        <w:tc>
          <w:tcPr>
            <w:tcW w:w="674" w:type="dxa"/>
            <w:vAlign w:val="center"/>
          </w:tcPr>
          <w:p w14:paraId="5BA806FA" w14:textId="12712C27" w:rsidR="005222F6" w:rsidRPr="006F4F5C" w:rsidRDefault="005222F6" w:rsidP="005222F6">
            <w:pPr>
              <w:jc w:val="center"/>
              <w:rPr>
                <w:iCs/>
                <w:sz w:val="22"/>
                <w:szCs w:val="22"/>
              </w:rPr>
            </w:pPr>
            <w:r>
              <w:rPr>
                <w:rFonts w:ascii="Calibri" w:hAnsi="Calibri" w:cs="Calibri"/>
                <w:color w:val="000000"/>
                <w:sz w:val="22"/>
                <w:szCs w:val="22"/>
              </w:rPr>
              <w:t>4</w:t>
            </w:r>
            <w:r w:rsidR="00547F65">
              <w:rPr>
                <w:rFonts w:ascii="Calibri" w:hAnsi="Calibri" w:cs="Calibri"/>
                <w:color w:val="000000"/>
                <w:sz w:val="22"/>
                <w:szCs w:val="22"/>
              </w:rPr>
              <w:t>8</w:t>
            </w:r>
            <w:r>
              <w:rPr>
                <w:rFonts w:ascii="Calibri" w:hAnsi="Calibri" w:cs="Calibri"/>
                <w:color w:val="000000"/>
                <w:sz w:val="22"/>
                <w:szCs w:val="22"/>
              </w:rPr>
              <w:t>%</w:t>
            </w:r>
          </w:p>
        </w:tc>
      </w:tr>
      <w:tr w:rsidR="005222F6" w:rsidRPr="00D730B7" w14:paraId="57748C4D" w14:textId="77777777" w:rsidTr="001413BE">
        <w:trPr>
          <w:cantSplit/>
          <w:trHeight w:val="360"/>
        </w:trPr>
        <w:tc>
          <w:tcPr>
            <w:tcW w:w="4135" w:type="dxa"/>
            <w:vAlign w:val="center"/>
          </w:tcPr>
          <w:p w14:paraId="7525F07B" w14:textId="0C4CFEBA" w:rsidR="005222F6" w:rsidRPr="005553DF" w:rsidRDefault="005222F6" w:rsidP="005222F6">
            <w:pPr>
              <w:jc w:val="center"/>
              <w:rPr>
                <w:b/>
                <w:sz w:val="22"/>
                <w:szCs w:val="22"/>
              </w:rPr>
            </w:pPr>
            <w:r>
              <w:rPr>
                <w:rFonts w:ascii="Calibri" w:hAnsi="Calibri" w:cs="Calibri"/>
                <w:color w:val="000000"/>
                <w:sz w:val="22"/>
                <w:szCs w:val="22"/>
              </w:rPr>
              <w:t>Mercury in Fish Tissue</w:t>
            </w:r>
          </w:p>
        </w:tc>
        <w:tc>
          <w:tcPr>
            <w:tcW w:w="699" w:type="dxa"/>
            <w:vAlign w:val="center"/>
          </w:tcPr>
          <w:p w14:paraId="4B879106" w14:textId="679E74D2" w:rsidR="005222F6" w:rsidRPr="006F4F5C" w:rsidRDefault="005222F6" w:rsidP="005222F6">
            <w:pPr>
              <w:jc w:val="center"/>
              <w:rPr>
                <w:iCs/>
                <w:sz w:val="22"/>
                <w:szCs w:val="22"/>
              </w:rPr>
            </w:pPr>
            <w:r>
              <w:rPr>
                <w:rFonts w:ascii="Calibri" w:hAnsi="Calibri" w:cs="Calibri"/>
                <w:color w:val="000000"/>
                <w:sz w:val="22"/>
                <w:szCs w:val="22"/>
              </w:rPr>
              <w:t>11%</w:t>
            </w:r>
          </w:p>
        </w:tc>
        <w:tc>
          <w:tcPr>
            <w:tcW w:w="4161" w:type="dxa"/>
            <w:vAlign w:val="center"/>
          </w:tcPr>
          <w:p w14:paraId="2AD37437" w14:textId="5D6AB422" w:rsidR="005222F6" w:rsidRPr="005553DF" w:rsidRDefault="005222F6" w:rsidP="005222F6">
            <w:pPr>
              <w:jc w:val="center"/>
              <w:rPr>
                <w:b/>
                <w:iCs/>
                <w:sz w:val="22"/>
                <w:szCs w:val="22"/>
              </w:rPr>
            </w:pPr>
            <w:r>
              <w:rPr>
                <w:rFonts w:ascii="Calibri" w:hAnsi="Calibri" w:cs="Calibri"/>
                <w:color w:val="000000"/>
                <w:sz w:val="22"/>
                <w:szCs w:val="22"/>
              </w:rPr>
              <w:t>Temperature</w:t>
            </w:r>
          </w:p>
        </w:tc>
        <w:tc>
          <w:tcPr>
            <w:tcW w:w="674" w:type="dxa"/>
            <w:vAlign w:val="center"/>
          </w:tcPr>
          <w:p w14:paraId="0D1E1E14" w14:textId="79B2E71E" w:rsidR="005222F6" w:rsidRPr="006F4F5C" w:rsidRDefault="005222F6" w:rsidP="005222F6">
            <w:pPr>
              <w:jc w:val="center"/>
              <w:rPr>
                <w:iCs/>
                <w:sz w:val="22"/>
                <w:szCs w:val="22"/>
              </w:rPr>
            </w:pPr>
            <w:r>
              <w:rPr>
                <w:rFonts w:ascii="Calibri" w:hAnsi="Calibri" w:cs="Calibri"/>
                <w:color w:val="000000"/>
                <w:sz w:val="22"/>
                <w:szCs w:val="22"/>
              </w:rPr>
              <w:t>5%</w:t>
            </w:r>
          </w:p>
        </w:tc>
      </w:tr>
      <w:tr w:rsidR="005222F6" w:rsidRPr="00D730B7" w14:paraId="114D8270" w14:textId="77777777" w:rsidTr="001413BE">
        <w:trPr>
          <w:cantSplit/>
          <w:trHeight w:val="360"/>
        </w:trPr>
        <w:tc>
          <w:tcPr>
            <w:tcW w:w="4135" w:type="dxa"/>
            <w:vAlign w:val="center"/>
          </w:tcPr>
          <w:p w14:paraId="2D37582A" w14:textId="7F16445B" w:rsidR="005222F6" w:rsidRPr="005553DF" w:rsidRDefault="005222F6" w:rsidP="005222F6">
            <w:pPr>
              <w:jc w:val="center"/>
              <w:rPr>
                <w:b/>
                <w:sz w:val="22"/>
                <w:szCs w:val="22"/>
              </w:rPr>
            </w:pPr>
            <w:r>
              <w:rPr>
                <w:rFonts w:ascii="Calibri" w:hAnsi="Calibri" w:cs="Calibri"/>
                <w:color w:val="000000"/>
                <w:sz w:val="22"/>
                <w:szCs w:val="22"/>
              </w:rPr>
              <w:t>Temperature</w:t>
            </w:r>
          </w:p>
        </w:tc>
        <w:tc>
          <w:tcPr>
            <w:tcW w:w="699" w:type="dxa"/>
            <w:vAlign w:val="center"/>
          </w:tcPr>
          <w:p w14:paraId="3F3E1634" w14:textId="73952870" w:rsidR="005222F6" w:rsidRPr="006F4F5C" w:rsidRDefault="005222F6" w:rsidP="005222F6">
            <w:pPr>
              <w:jc w:val="center"/>
              <w:rPr>
                <w:iCs/>
                <w:sz w:val="22"/>
                <w:szCs w:val="22"/>
              </w:rPr>
            </w:pPr>
            <w:r>
              <w:rPr>
                <w:rFonts w:ascii="Calibri" w:hAnsi="Calibri" w:cs="Calibri"/>
                <w:color w:val="000000"/>
                <w:sz w:val="22"/>
                <w:szCs w:val="22"/>
              </w:rPr>
              <w:t>4%</w:t>
            </w:r>
          </w:p>
        </w:tc>
        <w:tc>
          <w:tcPr>
            <w:tcW w:w="4161" w:type="dxa"/>
            <w:vAlign w:val="center"/>
          </w:tcPr>
          <w:p w14:paraId="4BE6A5A7" w14:textId="08470F6C" w:rsidR="005222F6" w:rsidRPr="005553DF" w:rsidRDefault="005222F6" w:rsidP="005222F6">
            <w:pPr>
              <w:jc w:val="center"/>
              <w:rPr>
                <w:b/>
                <w:iCs/>
                <w:sz w:val="22"/>
                <w:szCs w:val="22"/>
              </w:rPr>
            </w:pPr>
            <w:r>
              <w:rPr>
                <w:rFonts w:ascii="Calibri" w:hAnsi="Calibri" w:cs="Calibri"/>
                <w:color w:val="000000"/>
                <w:sz w:val="22"/>
                <w:szCs w:val="22"/>
              </w:rPr>
              <w:t>Phosphorus, Total</w:t>
            </w:r>
          </w:p>
        </w:tc>
        <w:tc>
          <w:tcPr>
            <w:tcW w:w="674" w:type="dxa"/>
            <w:vAlign w:val="center"/>
          </w:tcPr>
          <w:p w14:paraId="6A6DCC8F" w14:textId="02540FB3" w:rsidR="005222F6" w:rsidRPr="006F4F5C" w:rsidRDefault="005222F6" w:rsidP="005222F6">
            <w:pPr>
              <w:jc w:val="center"/>
              <w:rPr>
                <w:iCs/>
                <w:sz w:val="22"/>
                <w:szCs w:val="22"/>
              </w:rPr>
            </w:pPr>
            <w:r>
              <w:rPr>
                <w:rFonts w:ascii="Calibri" w:hAnsi="Calibri" w:cs="Calibri"/>
                <w:color w:val="000000"/>
                <w:sz w:val="22"/>
                <w:szCs w:val="22"/>
              </w:rPr>
              <w:t>4%</w:t>
            </w:r>
          </w:p>
        </w:tc>
      </w:tr>
      <w:tr w:rsidR="005222F6" w:rsidRPr="00D730B7" w14:paraId="7FF693BE" w14:textId="77777777" w:rsidTr="001413BE">
        <w:trPr>
          <w:cantSplit/>
          <w:trHeight w:val="360"/>
        </w:trPr>
        <w:tc>
          <w:tcPr>
            <w:tcW w:w="4135" w:type="dxa"/>
            <w:vAlign w:val="center"/>
          </w:tcPr>
          <w:p w14:paraId="6591B929" w14:textId="5ED8E947" w:rsidR="005222F6" w:rsidRPr="005553DF" w:rsidRDefault="005222F6" w:rsidP="005222F6">
            <w:pPr>
              <w:jc w:val="center"/>
              <w:rPr>
                <w:b/>
                <w:sz w:val="22"/>
                <w:szCs w:val="22"/>
              </w:rPr>
            </w:pPr>
            <w:r>
              <w:rPr>
                <w:rFonts w:ascii="Calibri" w:hAnsi="Calibri" w:cs="Calibri"/>
                <w:color w:val="000000"/>
                <w:sz w:val="22"/>
                <w:szCs w:val="22"/>
              </w:rPr>
              <w:t>Polychlorinated biphenyls (PCBs)</w:t>
            </w:r>
          </w:p>
        </w:tc>
        <w:tc>
          <w:tcPr>
            <w:tcW w:w="699" w:type="dxa"/>
            <w:vAlign w:val="center"/>
          </w:tcPr>
          <w:p w14:paraId="227935C2" w14:textId="179169C9" w:rsidR="005222F6" w:rsidRPr="006F4F5C" w:rsidRDefault="005222F6" w:rsidP="005222F6">
            <w:pPr>
              <w:jc w:val="center"/>
              <w:rPr>
                <w:iCs/>
                <w:sz w:val="22"/>
                <w:szCs w:val="22"/>
              </w:rPr>
            </w:pPr>
            <w:r>
              <w:rPr>
                <w:rFonts w:ascii="Calibri" w:hAnsi="Calibri" w:cs="Calibri"/>
                <w:color w:val="000000"/>
                <w:sz w:val="22"/>
                <w:szCs w:val="22"/>
              </w:rPr>
              <w:t>4%</w:t>
            </w:r>
          </w:p>
        </w:tc>
        <w:tc>
          <w:tcPr>
            <w:tcW w:w="4161" w:type="dxa"/>
            <w:vAlign w:val="center"/>
          </w:tcPr>
          <w:p w14:paraId="1F10217B" w14:textId="651B7845" w:rsidR="005222F6" w:rsidRPr="005553DF" w:rsidRDefault="005222F6" w:rsidP="005222F6">
            <w:pPr>
              <w:jc w:val="center"/>
              <w:rPr>
                <w:b/>
                <w:iCs/>
                <w:sz w:val="22"/>
                <w:szCs w:val="22"/>
              </w:rPr>
            </w:pPr>
            <w:r>
              <w:rPr>
                <w:rFonts w:ascii="Calibri" w:hAnsi="Calibri" w:cs="Calibri"/>
                <w:color w:val="000000"/>
                <w:sz w:val="22"/>
                <w:szCs w:val="22"/>
              </w:rPr>
              <w:t>Bacteria</w:t>
            </w:r>
          </w:p>
        </w:tc>
        <w:tc>
          <w:tcPr>
            <w:tcW w:w="674" w:type="dxa"/>
            <w:vAlign w:val="center"/>
          </w:tcPr>
          <w:p w14:paraId="48E12288" w14:textId="69A684B8" w:rsidR="005222F6" w:rsidRPr="006F4F5C" w:rsidRDefault="005222F6" w:rsidP="005222F6">
            <w:pPr>
              <w:jc w:val="center"/>
              <w:rPr>
                <w:iCs/>
                <w:sz w:val="22"/>
                <w:szCs w:val="22"/>
              </w:rPr>
            </w:pPr>
            <w:r>
              <w:rPr>
                <w:rFonts w:ascii="Calibri" w:hAnsi="Calibri" w:cs="Calibri"/>
                <w:color w:val="000000"/>
                <w:sz w:val="22"/>
                <w:szCs w:val="22"/>
              </w:rPr>
              <w:t>3%</w:t>
            </w:r>
          </w:p>
        </w:tc>
      </w:tr>
    </w:tbl>
    <w:p w14:paraId="521FF8AD" w14:textId="77777777" w:rsidR="00546B19" w:rsidRPr="00F036A6" w:rsidRDefault="00546B19" w:rsidP="00546B19">
      <w:pPr>
        <w:jc w:val="both"/>
        <w:rPr>
          <w:szCs w:val="24"/>
        </w:rPr>
      </w:pPr>
    </w:p>
    <w:p w14:paraId="681816CE" w14:textId="5FE368E7" w:rsidR="00D04429" w:rsidRPr="0062574F" w:rsidRDefault="00DB7BD1" w:rsidP="00D04429">
      <w:pPr>
        <w:pStyle w:val="Caption"/>
        <w:jc w:val="both"/>
      </w:pPr>
      <w:bookmarkStart w:id="139" w:name="_Toc164175172"/>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8</w:t>
      </w:r>
      <w:r w:rsidR="004F13BA">
        <w:rPr>
          <w:noProof/>
        </w:rPr>
        <w:fldChar w:fldCharType="end"/>
      </w:r>
      <w:r>
        <w:t xml:space="preserve">. </w:t>
      </w:r>
      <w:r w:rsidRPr="00DB7BD1">
        <w:t>Suspected sources of designated use impairment in the Roanoke River</w:t>
      </w:r>
      <w:r w:rsidR="1713355B" w:rsidRPr="00DB7BD1">
        <w:t xml:space="preserve"> </w:t>
      </w:r>
      <w:bookmarkEnd w:id="139"/>
      <w:r>
        <w:t>basin, by water body type, ranked by percentage of impaired water size. (Note: Waters can have multiple sources of pollution.)</w:t>
      </w:r>
    </w:p>
    <w:tbl>
      <w:tblPr>
        <w:tblStyle w:val="TableGrid"/>
        <w:tblW w:w="9731" w:type="dxa"/>
        <w:tblCellMar>
          <w:left w:w="115" w:type="dxa"/>
          <w:right w:w="115" w:type="dxa"/>
        </w:tblCellMar>
        <w:tblLook w:val="04A0" w:firstRow="1" w:lastRow="0" w:firstColumn="1" w:lastColumn="0" w:noHBand="0" w:noVBand="1"/>
        <w:tblCaption w:val="Table of Roanoke River Basin Suspected Sources of Designated Use Impairment"/>
        <w:tblDescription w:val="Roanoke River Basin suspected sources of Designated Use impairment for rivers and lakes ranked by percent of impaired water size"/>
      </w:tblPr>
      <w:tblGrid>
        <w:gridCol w:w="4324"/>
        <w:gridCol w:w="611"/>
        <w:gridCol w:w="4063"/>
        <w:gridCol w:w="733"/>
      </w:tblGrid>
      <w:tr w:rsidR="00546B19" w:rsidRPr="005553DF" w14:paraId="38ABCA9B" w14:textId="77777777" w:rsidTr="000F63F5">
        <w:trPr>
          <w:cantSplit/>
          <w:trHeight w:val="360"/>
          <w:tblHeader/>
        </w:trPr>
        <w:tc>
          <w:tcPr>
            <w:tcW w:w="4935" w:type="dxa"/>
            <w:gridSpan w:val="2"/>
            <w:vAlign w:val="center"/>
          </w:tcPr>
          <w:p w14:paraId="2F93D985" w14:textId="77777777" w:rsidR="00546B19" w:rsidRPr="005553DF" w:rsidRDefault="00546B19" w:rsidP="000F63F5">
            <w:pPr>
              <w:jc w:val="center"/>
              <w:rPr>
                <w:b/>
                <w:iCs/>
                <w:sz w:val="22"/>
                <w:szCs w:val="22"/>
              </w:rPr>
            </w:pPr>
            <w:r w:rsidRPr="005553DF">
              <w:rPr>
                <w:b/>
                <w:iCs/>
                <w:sz w:val="22"/>
                <w:szCs w:val="22"/>
              </w:rPr>
              <w:t>Rivers</w:t>
            </w:r>
          </w:p>
        </w:tc>
        <w:tc>
          <w:tcPr>
            <w:tcW w:w="4796" w:type="dxa"/>
            <w:gridSpan w:val="2"/>
            <w:vAlign w:val="center"/>
          </w:tcPr>
          <w:p w14:paraId="560C8088" w14:textId="77777777" w:rsidR="00546B19" w:rsidRPr="005553DF" w:rsidRDefault="00546B19" w:rsidP="000F63F5">
            <w:pPr>
              <w:jc w:val="center"/>
              <w:rPr>
                <w:b/>
                <w:iCs/>
                <w:sz w:val="22"/>
                <w:szCs w:val="22"/>
              </w:rPr>
            </w:pPr>
            <w:r w:rsidRPr="005553DF">
              <w:rPr>
                <w:b/>
                <w:iCs/>
                <w:sz w:val="22"/>
                <w:szCs w:val="22"/>
              </w:rPr>
              <w:t>Lakes</w:t>
            </w:r>
          </w:p>
        </w:tc>
      </w:tr>
      <w:tr w:rsidR="000F63F5" w:rsidRPr="005553DF" w14:paraId="2F902627" w14:textId="77777777" w:rsidTr="000F63F5">
        <w:trPr>
          <w:cantSplit/>
          <w:trHeight w:val="360"/>
        </w:trPr>
        <w:tc>
          <w:tcPr>
            <w:tcW w:w="4324" w:type="dxa"/>
            <w:vAlign w:val="center"/>
          </w:tcPr>
          <w:p w14:paraId="3188770C" w14:textId="370FFF2E" w:rsidR="000F63F5" w:rsidRPr="005553DF" w:rsidRDefault="000F63F5" w:rsidP="000F63F5">
            <w:pPr>
              <w:jc w:val="center"/>
              <w:rPr>
                <w:b/>
                <w:iCs/>
                <w:sz w:val="22"/>
                <w:szCs w:val="22"/>
              </w:rPr>
            </w:pPr>
            <w:r>
              <w:rPr>
                <w:rFonts w:ascii="Calibri" w:hAnsi="Calibri" w:cs="Calibri"/>
                <w:color w:val="000000"/>
                <w:sz w:val="22"/>
                <w:szCs w:val="22"/>
              </w:rPr>
              <w:t>Wildlife Other than Waterfowl</w:t>
            </w:r>
          </w:p>
        </w:tc>
        <w:tc>
          <w:tcPr>
            <w:tcW w:w="611" w:type="dxa"/>
            <w:vAlign w:val="center"/>
          </w:tcPr>
          <w:p w14:paraId="5B4BDFEC" w14:textId="573D8179" w:rsidR="000F63F5" w:rsidRPr="005553DF" w:rsidRDefault="000F63F5" w:rsidP="000F63F5">
            <w:pPr>
              <w:jc w:val="center"/>
              <w:rPr>
                <w:iCs/>
                <w:sz w:val="22"/>
                <w:szCs w:val="22"/>
              </w:rPr>
            </w:pPr>
            <w:r>
              <w:rPr>
                <w:rFonts w:ascii="Calibri" w:hAnsi="Calibri" w:cs="Calibri"/>
                <w:color w:val="000000"/>
                <w:sz w:val="22"/>
                <w:szCs w:val="22"/>
              </w:rPr>
              <w:t>85%</w:t>
            </w:r>
          </w:p>
        </w:tc>
        <w:tc>
          <w:tcPr>
            <w:tcW w:w="4063" w:type="dxa"/>
            <w:vAlign w:val="center"/>
          </w:tcPr>
          <w:p w14:paraId="08DA5567" w14:textId="2184B559" w:rsidR="000F63F5" w:rsidRPr="005553DF" w:rsidRDefault="000F63F5" w:rsidP="000F63F5">
            <w:pPr>
              <w:jc w:val="center"/>
              <w:rPr>
                <w:b/>
                <w:iCs/>
                <w:sz w:val="22"/>
                <w:szCs w:val="22"/>
              </w:rPr>
            </w:pPr>
            <w:r>
              <w:rPr>
                <w:rFonts w:ascii="Calibri" w:hAnsi="Calibri" w:cs="Calibri"/>
                <w:color w:val="000000"/>
                <w:sz w:val="22"/>
                <w:szCs w:val="22"/>
              </w:rPr>
              <w:t>Source Unknown</w:t>
            </w:r>
          </w:p>
        </w:tc>
        <w:tc>
          <w:tcPr>
            <w:tcW w:w="733" w:type="dxa"/>
            <w:vAlign w:val="center"/>
          </w:tcPr>
          <w:p w14:paraId="3B0AFCC7" w14:textId="611E6A6F" w:rsidR="000F63F5" w:rsidRPr="005553DF" w:rsidRDefault="0009521C" w:rsidP="000F63F5">
            <w:pPr>
              <w:jc w:val="center"/>
              <w:rPr>
                <w:iCs/>
                <w:sz w:val="22"/>
                <w:szCs w:val="22"/>
              </w:rPr>
            </w:pPr>
            <w:r>
              <w:rPr>
                <w:rFonts w:ascii="Calibri" w:hAnsi="Calibri" w:cs="Calibri"/>
                <w:color w:val="000000"/>
                <w:sz w:val="22"/>
                <w:szCs w:val="22"/>
              </w:rPr>
              <w:t>70</w:t>
            </w:r>
            <w:r w:rsidR="000F63F5">
              <w:rPr>
                <w:rFonts w:ascii="Calibri" w:hAnsi="Calibri" w:cs="Calibri"/>
                <w:color w:val="000000"/>
                <w:sz w:val="22"/>
                <w:szCs w:val="22"/>
              </w:rPr>
              <w:t>%</w:t>
            </w:r>
          </w:p>
        </w:tc>
      </w:tr>
      <w:tr w:rsidR="000F63F5" w:rsidRPr="005553DF" w14:paraId="38562AF0" w14:textId="77777777" w:rsidTr="000F63F5">
        <w:trPr>
          <w:cantSplit/>
          <w:trHeight w:val="360"/>
        </w:trPr>
        <w:tc>
          <w:tcPr>
            <w:tcW w:w="4324" w:type="dxa"/>
            <w:vAlign w:val="center"/>
          </w:tcPr>
          <w:p w14:paraId="48146110" w14:textId="2A34BCD4" w:rsidR="000F63F5" w:rsidRPr="005553DF" w:rsidRDefault="000F63F5" w:rsidP="000F63F5">
            <w:pPr>
              <w:jc w:val="center"/>
              <w:rPr>
                <w:b/>
                <w:iCs/>
                <w:sz w:val="22"/>
                <w:szCs w:val="22"/>
              </w:rPr>
            </w:pPr>
            <w:r>
              <w:rPr>
                <w:rFonts w:ascii="Calibri" w:hAnsi="Calibri" w:cs="Calibri"/>
                <w:color w:val="000000"/>
                <w:sz w:val="22"/>
                <w:szCs w:val="22"/>
              </w:rPr>
              <w:t>Livestock (Grazing or Feeding Operations)</w:t>
            </w:r>
          </w:p>
        </w:tc>
        <w:tc>
          <w:tcPr>
            <w:tcW w:w="611" w:type="dxa"/>
            <w:vAlign w:val="center"/>
          </w:tcPr>
          <w:p w14:paraId="50DC73CF" w14:textId="7D7A7156" w:rsidR="000F63F5" w:rsidRPr="005553DF" w:rsidRDefault="000F63F5" w:rsidP="000F63F5">
            <w:pPr>
              <w:jc w:val="center"/>
              <w:rPr>
                <w:iCs/>
                <w:sz w:val="22"/>
                <w:szCs w:val="22"/>
              </w:rPr>
            </w:pPr>
            <w:r>
              <w:rPr>
                <w:rFonts w:ascii="Calibri" w:hAnsi="Calibri" w:cs="Calibri"/>
                <w:color w:val="000000"/>
                <w:sz w:val="22"/>
                <w:szCs w:val="22"/>
              </w:rPr>
              <w:t>8</w:t>
            </w:r>
            <w:r w:rsidR="00944B53">
              <w:rPr>
                <w:rFonts w:ascii="Calibri" w:hAnsi="Calibri" w:cs="Calibri"/>
                <w:color w:val="000000"/>
                <w:sz w:val="22"/>
                <w:szCs w:val="22"/>
              </w:rPr>
              <w:t>4</w:t>
            </w:r>
            <w:r>
              <w:rPr>
                <w:rFonts w:ascii="Calibri" w:hAnsi="Calibri" w:cs="Calibri"/>
                <w:color w:val="000000"/>
                <w:sz w:val="22"/>
                <w:szCs w:val="22"/>
              </w:rPr>
              <w:t>%</w:t>
            </w:r>
          </w:p>
        </w:tc>
        <w:tc>
          <w:tcPr>
            <w:tcW w:w="4063" w:type="dxa"/>
            <w:vAlign w:val="center"/>
          </w:tcPr>
          <w:p w14:paraId="3453B39A" w14:textId="26C75901" w:rsidR="000F63F5" w:rsidRPr="005553DF" w:rsidRDefault="000F63F5" w:rsidP="000F63F5">
            <w:pPr>
              <w:jc w:val="center"/>
              <w:rPr>
                <w:b/>
                <w:iCs/>
                <w:sz w:val="22"/>
                <w:szCs w:val="22"/>
              </w:rPr>
            </w:pPr>
            <w:r>
              <w:rPr>
                <w:rFonts w:ascii="Calibri" w:hAnsi="Calibri" w:cs="Calibri"/>
                <w:color w:val="000000"/>
                <w:sz w:val="22"/>
                <w:szCs w:val="22"/>
              </w:rPr>
              <w:t>Industrial Point Source Discharge</w:t>
            </w:r>
          </w:p>
        </w:tc>
        <w:tc>
          <w:tcPr>
            <w:tcW w:w="733" w:type="dxa"/>
            <w:vAlign w:val="center"/>
          </w:tcPr>
          <w:p w14:paraId="0A1DE7E6" w14:textId="068F7EF8" w:rsidR="000F63F5" w:rsidRPr="005553DF" w:rsidRDefault="000F63F5" w:rsidP="000F63F5">
            <w:pPr>
              <w:jc w:val="center"/>
              <w:rPr>
                <w:iCs/>
                <w:sz w:val="22"/>
                <w:szCs w:val="22"/>
              </w:rPr>
            </w:pPr>
            <w:r>
              <w:rPr>
                <w:rFonts w:ascii="Calibri" w:hAnsi="Calibri" w:cs="Calibri"/>
                <w:color w:val="000000"/>
                <w:sz w:val="22"/>
                <w:szCs w:val="22"/>
              </w:rPr>
              <w:t>3</w:t>
            </w:r>
            <w:r w:rsidR="0009521C">
              <w:rPr>
                <w:rFonts w:ascii="Calibri" w:hAnsi="Calibri" w:cs="Calibri"/>
                <w:color w:val="000000"/>
                <w:sz w:val="22"/>
                <w:szCs w:val="22"/>
              </w:rPr>
              <w:t>0</w:t>
            </w:r>
            <w:r>
              <w:rPr>
                <w:rFonts w:ascii="Calibri" w:hAnsi="Calibri" w:cs="Calibri"/>
                <w:color w:val="000000"/>
                <w:sz w:val="22"/>
                <w:szCs w:val="22"/>
              </w:rPr>
              <w:t>%</w:t>
            </w:r>
          </w:p>
        </w:tc>
      </w:tr>
      <w:tr w:rsidR="000F63F5" w:rsidRPr="005553DF" w14:paraId="261F254F" w14:textId="77777777" w:rsidTr="000F63F5">
        <w:trPr>
          <w:cantSplit/>
          <w:trHeight w:val="360"/>
        </w:trPr>
        <w:tc>
          <w:tcPr>
            <w:tcW w:w="4324" w:type="dxa"/>
            <w:vAlign w:val="center"/>
          </w:tcPr>
          <w:p w14:paraId="5CB9FE7F" w14:textId="6E83B6D1" w:rsidR="000F63F5" w:rsidRPr="005553DF" w:rsidRDefault="000F63F5" w:rsidP="000F63F5">
            <w:pPr>
              <w:jc w:val="center"/>
              <w:rPr>
                <w:b/>
                <w:iCs/>
                <w:sz w:val="22"/>
                <w:szCs w:val="22"/>
              </w:rPr>
            </w:pPr>
            <w:r>
              <w:rPr>
                <w:rFonts w:ascii="Calibri" w:hAnsi="Calibri" w:cs="Calibri"/>
                <w:color w:val="000000"/>
                <w:sz w:val="22"/>
                <w:szCs w:val="22"/>
              </w:rPr>
              <w:t>Unspecified Domestic Waste</w:t>
            </w:r>
          </w:p>
        </w:tc>
        <w:tc>
          <w:tcPr>
            <w:tcW w:w="611" w:type="dxa"/>
            <w:vAlign w:val="center"/>
          </w:tcPr>
          <w:p w14:paraId="666528A6" w14:textId="6674488B" w:rsidR="000F63F5" w:rsidRPr="005553DF" w:rsidRDefault="000F63F5" w:rsidP="000F63F5">
            <w:pPr>
              <w:jc w:val="center"/>
              <w:rPr>
                <w:iCs/>
                <w:sz w:val="22"/>
                <w:szCs w:val="22"/>
              </w:rPr>
            </w:pPr>
            <w:r>
              <w:rPr>
                <w:rFonts w:ascii="Calibri" w:hAnsi="Calibri" w:cs="Calibri"/>
                <w:color w:val="000000"/>
                <w:sz w:val="22"/>
                <w:szCs w:val="22"/>
              </w:rPr>
              <w:t>84%</w:t>
            </w:r>
          </w:p>
        </w:tc>
        <w:tc>
          <w:tcPr>
            <w:tcW w:w="4063" w:type="dxa"/>
            <w:vAlign w:val="center"/>
          </w:tcPr>
          <w:p w14:paraId="51D55254" w14:textId="5DD7794F" w:rsidR="000F63F5" w:rsidRPr="005553DF" w:rsidRDefault="000F63F5" w:rsidP="000F63F5">
            <w:pPr>
              <w:jc w:val="center"/>
              <w:rPr>
                <w:b/>
                <w:iCs/>
                <w:strike/>
                <w:sz w:val="22"/>
                <w:szCs w:val="22"/>
              </w:rPr>
            </w:pPr>
            <w:r>
              <w:rPr>
                <w:rFonts w:ascii="Calibri" w:hAnsi="Calibri" w:cs="Calibri"/>
                <w:color w:val="000000"/>
                <w:sz w:val="22"/>
                <w:szCs w:val="22"/>
              </w:rPr>
              <w:t>Atmospheric Deposition</w:t>
            </w:r>
          </w:p>
        </w:tc>
        <w:tc>
          <w:tcPr>
            <w:tcW w:w="733" w:type="dxa"/>
            <w:vAlign w:val="center"/>
          </w:tcPr>
          <w:p w14:paraId="7FC43B2D" w14:textId="0585DE43" w:rsidR="000F63F5" w:rsidRPr="005553DF" w:rsidRDefault="000F63F5" w:rsidP="000F63F5">
            <w:pPr>
              <w:jc w:val="center"/>
              <w:rPr>
                <w:iCs/>
                <w:sz w:val="22"/>
                <w:szCs w:val="22"/>
              </w:rPr>
            </w:pPr>
            <w:r>
              <w:rPr>
                <w:rFonts w:ascii="Calibri" w:hAnsi="Calibri" w:cs="Calibri"/>
                <w:color w:val="000000"/>
                <w:sz w:val="22"/>
                <w:szCs w:val="22"/>
              </w:rPr>
              <w:t>3</w:t>
            </w:r>
            <w:r w:rsidR="0009521C">
              <w:rPr>
                <w:rFonts w:ascii="Calibri" w:hAnsi="Calibri" w:cs="Calibri"/>
                <w:color w:val="000000"/>
                <w:sz w:val="22"/>
                <w:szCs w:val="22"/>
              </w:rPr>
              <w:t>0</w:t>
            </w:r>
            <w:r>
              <w:rPr>
                <w:rFonts w:ascii="Calibri" w:hAnsi="Calibri" w:cs="Calibri"/>
                <w:color w:val="000000"/>
                <w:sz w:val="22"/>
                <w:szCs w:val="22"/>
              </w:rPr>
              <w:t>%</w:t>
            </w:r>
          </w:p>
        </w:tc>
      </w:tr>
      <w:tr w:rsidR="000F63F5" w:rsidRPr="005553DF" w14:paraId="3B32C433" w14:textId="77777777" w:rsidTr="000F63F5">
        <w:trPr>
          <w:cantSplit/>
          <w:trHeight w:val="360"/>
        </w:trPr>
        <w:tc>
          <w:tcPr>
            <w:tcW w:w="4324" w:type="dxa"/>
            <w:vAlign w:val="center"/>
          </w:tcPr>
          <w:p w14:paraId="13E71A33" w14:textId="58CF4E60" w:rsidR="000F63F5" w:rsidRPr="005553DF" w:rsidRDefault="000F63F5" w:rsidP="000F63F5">
            <w:pPr>
              <w:jc w:val="center"/>
              <w:rPr>
                <w:b/>
                <w:iCs/>
                <w:sz w:val="22"/>
                <w:szCs w:val="22"/>
              </w:rPr>
            </w:pPr>
            <w:r>
              <w:rPr>
                <w:rFonts w:ascii="Calibri" w:hAnsi="Calibri" w:cs="Calibri"/>
                <w:color w:val="000000"/>
                <w:sz w:val="22"/>
                <w:szCs w:val="22"/>
              </w:rPr>
              <w:t>Wastes from Pets</w:t>
            </w:r>
          </w:p>
        </w:tc>
        <w:tc>
          <w:tcPr>
            <w:tcW w:w="611" w:type="dxa"/>
            <w:vAlign w:val="center"/>
          </w:tcPr>
          <w:p w14:paraId="23E4C97B" w14:textId="78F4AF08" w:rsidR="000F63F5" w:rsidRPr="005553DF" w:rsidRDefault="000F63F5" w:rsidP="000F63F5">
            <w:pPr>
              <w:jc w:val="center"/>
              <w:rPr>
                <w:iCs/>
                <w:sz w:val="22"/>
                <w:szCs w:val="22"/>
              </w:rPr>
            </w:pPr>
            <w:r>
              <w:rPr>
                <w:rFonts w:ascii="Calibri" w:hAnsi="Calibri" w:cs="Calibri"/>
                <w:color w:val="000000"/>
                <w:sz w:val="22"/>
                <w:szCs w:val="22"/>
              </w:rPr>
              <w:t>50%</w:t>
            </w:r>
          </w:p>
        </w:tc>
        <w:tc>
          <w:tcPr>
            <w:tcW w:w="4063" w:type="dxa"/>
            <w:vAlign w:val="center"/>
          </w:tcPr>
          <w:p w14:paraId="1B123AF1" w14:textId="2A48C7F0" w:rsidR="000F63F5" w:rsidRPr="005553DF" w:rsidRDefault="000F63F5" w:rsidP="000F63F5">
            <w:pPr>
              <w:jc w:val="center"/>
              <w:rPr>
                <w:b/>
                <w:iCs/>
                <w:sz w:val="22"/>
                <w:szCs w:val="22"/>
              </w:rPr>
            </w:pPr>
            <w:r>
              <w:rPr>
                <w:rFonts w:ascii="Calibri" w:hAnsi="Calibri" w:cs="Calibri"/>
                <w:color w:val="000000"/>
                <w:sz w:val="22"/>
                <w:szCs w:val="22"/>
              </w:rPr>
              <w:t>Contaminated Sediments</w:t>
            </w:r>
          </w:p>
        </w:tc>
        <w:tc>
          <w:tcPr>
            <w:tcW w:w="733" w:type="dxa"/>
            <w:vAlign w:val="center"/>
          </w:tcPr>
          <w:p w14:paraId="256BFF6D" w14:textId="7BAC76FE" w:rsidR="000F63F5" w:rsidRPr="005553DF" w:rsidRDefault="000F63F5" w:rsidP="000F63F5">
            <w:pPr>
              <w:jc w:val="center"/>
              <w:rPr>
                <w:iCs/>
                <w:sz w:val="22"/>
                <w:szCs w:val="22"/>
              </w:rPr>
            </w:pPr>
            <w:r>
              <w:rPr>
                <w:rFonts w:ascii="Calibri" w:hAnsi="Calibri" w:cs="Calibri"/>
                <w:color w:val="000000"/>
                <w:sz w:val="22"/>
                <w:szCs w:val="22"/>
              </w:rPr>
              <w:t>3</w:t>
            </w:r>
            <w:r w:rsidR="0009521C">
              <w:rPr>
                <w:rFonts w:ascii="Calibri" w:hAnsi="Calibri" w:cs="Calibri"/>
                <w:color w:val="000000"/>
                <w:sz w:val="22"/>
                <w:szCs w:val="22"/>
              </w:rPr>
              <w:t>0</w:t>
            </w:r>
            <w:r>
              <w:rPr>
                <w:rFonts w:ascii="Calibri" w:hAnsi="Calibri" w:cs="Calibri"/>
                <w:color w:val="000000"/>
                <w:sz w:val="22"/>
                <w:szCs w:val="22"/>
              </w:rPr>
              <w:t>%</w:t>
            </w:r>
          </w:p>
        </w:tc>
      </w:tr>
      <w:tr w:rsidR="000F63F5" w:rsidRPr="005553DF" w14:paraId="3A2D5E8B" w14:textId="77777777" w:rsidTr="000F63F5">
        <w:trPr>
          <w:cantSplit/>
          <w:trHeight w:val="360"/>
        </w:trPr>
        <w:tc>
          <w:tcPr>
            <w:tcW w:w="4324" w:type="dxa"/>
            <w:vAlign w:val="center"/>
          </w:tcPr>
          <w:p w14:paraId="259DBCEF" w14:textId="7ED828DF" w:rsidR="000F63F5" w:rsidRPr="005553DF" w:rsidRDefault="000F63F5" w:rsidP="000F63F5">
            <w:pPr>
              <w:jc w:val="center"/>
              <w:rPr>
                <w:b/>
                <w:iCs/>
                <w:sz w:val="22"/>
                <w:szCs w:val="22"/>
              </w:rPr>
            </w:pPr>
            <w:r>
              <w:rPr>
                <w:rFonts w:ascii="Calibri" w:hAnsi="Calibri" w:cs="Calibri"/>
                <w:color w:val="000000"/>
                <w:sz w:val="22"/>
                <w:szCs w:val="22"/>
              </w:rPr>
              <w:t>On-site Septic Treatment Systems</w:t>
            </w:r>
          </w:p>
        </w:tc>
        <w:tc>
          <w:tcPr>
            <w:tcW w:w="611" w:type="dxa"/>
            <w:vAlign w:val="center"/>
          </w:tcPr>
          <w:p w14:paraId="2F65DF96" w14:textId="37C30170" w:rsidR="000F63F5" w:rsidRPr="005553DF" w:rsidRDefault="000F63F5" w:rsidP="000F63F5">
            <w:pPr>
              <w:jc w:val="center"/>
              <w:rPr>
                <w:iCs/>
                <w:sz w:val="22"/>
                <w:szCs w:val="22"/>
              </w:rPr>
            </w:pPr>
            <w:r>
              <w:rPr>
                <w:rFonts w:ascii="Calibri" w:hAnsi="Calibri" w:cs="Calibri"/>
                <w:color w:val="000000"/>
                <w:sz w:val="22"/>
                <w:szCs w:val="22"/>
              </w:rPr>
              <w:t>36%</w:t>
            </w:r>
          </w:p>
        </w:tc>
        <w:tc>
          <w:tcPr>
            <w:tcW w:w="4063" w:type="dxa"/>
            <w:vAlign w:val="center"/>
          </w:tcPr>
          <w:p w14:paraId="723F5142" w14:textId="45A4F17E" w:rsidR="000F63F5" w:rsidRPr="005553DF" w:rsidRDefault="000F63F5" w:rsidP="000F63F5">
            <w:pPr>
              <w:jc w:val="center"/>
              <w:rPr>
                <w:b/>
                <w:iCs/>
                <w:sz w:val="22"/>
                <w:szCs w:val="22"/>
              </w:rPr>
            </w:pPr>
            <w:r>
              <w:rPr>
                <w:rFonts w:ascii="Calibri" w:hAnsi="Calibri" w:cs="Calibri"/>
                <w:color w:val="000000"/>
                <w:sz w:val="22"/>
                <w:szCs w:val="22"/>
              </w:rPr>
              <w:t>On-site Septic Treatment Systems</w:t>
            </w:r>
          </w:p>
        </w:tc>
        <w:tc>
          <w:tcPr>
            <w:tcW w:w="733" w:type="dxa"/>
            <w:vAlign w:val="center"/>
          </w:tcPr>
          <w:p w14:paraId="021D5408" w14:textId="44995AE0" w:rsidR="000F63F5" w:rsidRPr="005553DF" w:rsidRDefault="000F63F5" w:rsidP="000F63F5">
            <w:pPr>
              <w:jc w:val="center"/>
              <w:rPr>
                <w:iCs/>
                <w:sz w:val="22"/>
                <w:szCs w:val="22"/>
              </w:rPr>
            </w:pPr>
            <w:r>
              <w:rPr>
                <w:rFonts w:ascii="Calibri" w:hAnsi="Calibri" w:cs="Calibri"/>
                <w:color w:val="000000"/>
                <w:sz w:val="22"/>
                <w:szCs w:val="22"/>
              </w:rPr>
              <w:t>2%</w:t>
            </w:r>
          </w:p>
        </w:tc>
      </w:tr>
      <w:tr w:rsidR="000F63F5" w:rsidRPr="005553DF" w14:paraId="6617208B" w14:textId="77777777" w:rsidTr="000F63F5">
        <w:trPr>
          <w:cantSplit/>
          <w:trHeight w:val="360"/>
        </w:trPr>
        <w:tc>
          <w:tcPr>
            <w:tcW w:w="4324" w:type="dxa"/>
            <w:vAlign w:val="center"/>
          </w:tcPr>
          <w:p w14:paraId="7990D7B5" w14:textId="66360058" w:rsidR="000F63F5" w:rsidRPr="005553DF" w:rsidRDefault="000F63F5" w:rsidP="000F63F5">
            <w:pPr>
              <w:jc w:val="center"/>
              <w:rPr>
                <w:b/>
                <w:iCs/>
                <w:sz w:val="22"/>
                <w:szCs w:val="22"/>
              </w:rPr>
            </w:pPr>
            <w:r>
              <w:rPr>
                <w:rFonts w:ascii="Calibri" w:hAnsi="Calibri" w:cs="Calibri"/>
                <w:color w:val="000000"/>
                <w:sz w:val="22"/>
                <w:szCs w:val="22"/>
              </w:rPr>
              <w:t>Source Unknown</w:t>
            </w:r>
          </w:p>
        </w:tc>
        <w:tc>
          <w:tcPr>
            <w:tcW w:w="611" w:type="dxa"/>
            <w:vAlign w:val="center"/>
          </w:tcPr>
          <w:p w14:paraId="44B02A19" w14:textId="33DB4EAE" w:rsidR="000F63F5" w:rsidRPr="005553DF" w:rsidRDefault="000F63F5" w:rsidP="000F63F5">
            <w:pPr>
              <w:jc w:val="center"/>
              <w:rPr>
                <w:iCs/>
                <w:sz w:val="22"/>
                <w:szCs w:val="22"/>
              </w:rPr>
            </w:pPr>
            <w:r>
              <w:rPr>
                <w:rFonts w:ascii="Calibri" w:hAnsi="Calibri" w:cs="Calibri"/>
                <w:color w:val="000000"/>
                <w:sz w:val="22"/>
                <w:szCs w:val="22"/>
              </w:rPr>
              <w:t>3</w:t>
            </w:r>
            <w:r w:rsidR="00052AD6">
              <w:rPr>
                <w:rFonts w:ascii="Calibri" w:hAnsi="Calibri" w:cs="Calibri"/>
                <w:color w:val="000000"/>
                <w:sz w:val="22"/>
                <w:szCs w:val="22"/>
              </w:rPr>
              <w:t>1</w:t>
            </w:r>
            <w:r>
              <w:rPr>
                <w:rFonts w:ascii="Calibri" w:hAnsi="Calibri" w:cs="Calibri"/>
                <w:color w:val="000000"/>
                <w:sz w:val="22"/>
                <w:szCs w:val="22"/>
              </w:rPr>
              <w:t>%</w:t>
            </w:r>
          </w:p>
        </w:tc>
        <w:tc>
          <w:tcPr>
            <w:tcW w:w="4063" w:type="dxa"/>
            <w:vAlign w:val="center"/>
          </w:tcPr>
          <w:p w14:paraId="354BD7ED" w14:textId="143E2433" w:rsidR="000F63F5" w:rsidRPr="005553DF" w:rsidRDefault="000F63F5" w:rsidP="000F63F5">
            <w:pPr>
              <w:jc w:val="center"/>
              <w:rPr>
                <w:b/>
                <w:iCs/>
                <w:sz w:val="22"/>
                <w:szCs w:val="22"/>
              </w:rPr>
            </w:pPr>
            <w:r>
              <w:rPr>
                <w:rFonts w:ascii="Calibri" w:hAnsi="Calibri" w:cs="Calibri"/>
                <w:color w:val="000000"/>
                <w:sz w:val="22"/>
                <w:szCs w:val="22"/>
              </w:rPr>
              <w:t>Wildlife Other than Waterfowl</w:t>
            </w:r>
          </w:p>
        </w:tc>
        <w:tc>
          <w:tcPr>
            <w:tcW w:w="733" w:type="dxa"/>
            <w:vAlign w:val="center"/>
          </w:tcPr>
          <w:p w14:paraId="39A76694" w14:textId="16DECD7A" w:rsidR="000F63F5" w:rsidRPr="005553DF" w:rsidRDefault="000F63F5" w:rsidP="000F63F5">
            <w:pPr>
              <w:jc w:val="center"/>
              <w:rPr>
                <w:iCs/>
                <w:sz w:val="22"/>
                <w:szCs w:val="22"/>
              </w:rPr>
            </w:pPr>
            <w:r>
              <w:rPr>
                <w:rFonts w:ascii="Calibri" w:hAnsi="Calibri" w:cs="Calibri"/>
                <w:color w:val="000000"/>
                <w:sz w:val="22"/>
                <w:szCs w:val="22"/>
              </w:rPr>
              <w:t>1%</w:t>
            </w:r>
          </w:p>
        </w:tc>
      </w:tr>
    </w:tbl>
    <w:p w14:paraId="12B5569D" w14:textId="77777777" w:rsidR="00546B19" w:rsidRPr="00D730B7" w:rsidRDefault="00546B19" w:rsidP="00546B19">
      <w:pPr>
        <w:jc w:val="both"/>
        <w:rPr>
          <w:i/>
          <w:szCs w:val="24"/>
        </w:rPr>
      </w:pPr>
    </w:p>
    <w:p w14:paraId="1379231E" w14:textId="0BA46669" w:rsidR="00546B19" w:rsidRPr="00DB7BD1" w:rsidRDefault="00546B19" w:rsidP="00DB7BD1">
      <w:pPr>
        <w:pStyle w:val="Heading3"/>
      </w:pPr>
      <w:r w:rsidRPr="004816BD">
        <w:t>Chowan River-Dismal Swamp Basin</w:t>
      </w:r>
    </w:p>
    <w:p w14:paraId="2944F1D8" w14:textId="030A2E9A" w:rsidR="00546B19" w:rsidRPr="00D730B7" w:rsidRDefault="00546B19" w:rsidP="00DB7BD1">
      <w:pPr>
        <w:rPr>
          <w:szCs w:val="24"/>
        </w:rPr>
      </w:pPr>
      <w:r w:rsidRPr="00D730B7">
        <w:rPr>
          <w:szCs w:val="24"/>
        </w:rPr>
        <w:t xml:space="preserve">The Chowan River and Dismal Swamp basin </w:t>
      </w:r>
      <w:proofErr w:type="gramStart"/>
      <w:r w:rsidRPr="00D730B7">
        <w:rPr>
          <w:szCs w:val="24"/>
        </w:rPr>
        <w:t>is located in</w:t>
      </w:r>
      <w:proofErr w:type="gramEnd"/>
      <w:r w:rsidRPr="00D730B7">
        <w:rPr>
          <w:szCs w:val="24"/>
        </w:rPr>
        <w:t xml:space="preserve"> the southeastern portion of Virginia and covers 4,220 square miles or approximately 10 percent of the </w:t>
      </w:r>
      <w:r w:rsidR="00020140">
        <w:rPr>
          <w:szCs w:val="24"/>
        </w:rPr>
        <w:t>C</w:t>
      </w:r>
      <w:r w:rsidRPr="00D730B7">
        <w:rPr>
          <w:szCs w:val="24"/>
        </w:rPr>
        <w:t>ommonwealth’s total area.</w:t>
      </w:r>
    </w:p>
    <w:p w14:paraId="54FEAAEF" w14:textId="77777777" w:rsidR="00546B19" w:rsidRPr="00D730B7" w:rsidRDefault="00546B19" w:rsidP="00546B19">
      <w:pPr>
        <w:rPr>
          <w:szCs w:val="24"/>
        </w:rPr>
      </w:pPr>
    </w:p>
    <w:p w14:paraId="48F066E5" w14:textId="13EBB3A2" w:rsidR="00546B19" w:rsidRPr="00D730B7" w:rsidRDefault="00546B19" w:rsidP="00546B19">
      <w:pPr>
        <w:rPr>
          <w:szCs w:val="24"/>
        </w:rPr>
      </w:pPr>
      <w:r w:rsidRPr="00D730B7">
        <w:rPr>
          <w:szCs w:val="24"/>
        </w:rPr>
        <w:t xml:space="preserve">The basin extends eastward from Charlotte County to </w:t>
      </w:r>
      <w:proofErr w:type="gramStart"/>
      <w:r w:rsidRPr="00D730B7">
        <w:rPr>
          <w:szCs w:val="24"/>
        </w:rPr>
        <w:t>the Chesapeake</w:t>
      </w:r>
      <w:proofErr w:type="gramEnd"/>
      <w:r w:rsidRPr="00D730B7">
        <w:rPr>
          <w:szCs w:val="24"/>
        </w:rPr>
        <w:t xml:space="preserve"> Bay. The Chowan River-Dismal Swamp basin in Virginia is defined by both hydrologic and political boundaries - the James River basin to the north, the Chesapeake/Atlantic and Small Coastal River basins to the east, the Roanoke River basin to the west and the Virginia/North Carolina State line to the south. The basin is approximately 145 miles in length and varies from 10 to 50 miles in width. The Chowan River-Dismal Swamp basin flows through the Piedmont and Coastal Plain Physiological Provinces. The Chowan portion flows 130 miles from west to east, crossing both the Piedmont and Coastal Plain, while the Dismal Swamp lies entirely within the Coastal Plain. The Piedmont portion is characterized by rolling hills, steeper </w:t>
      </w:r>
      <w:r w:rsidR="0048611B" w:rsidRPr="00D730B7">
        <w:rPr>
          <w:szCs w:val="24"/>
        </w:rPr>
        <w:t>slopes,</w:t>
      </w:r>
      <w:r w:rsidRPr="00D730B7">
        <w:rPr>
          <w:szCs w:val="24"/>
        </w:rPr>
        <w:t xml:space="preserve"> and somewhat more pronounced stream valleys. The Coastal Plain, in contrast, is nearly flat with a descending series of terraces.</w:t>
      </w:r>
    </w:p>
    <w:p w14:paraId="49A83163" w14:textId="77777777" w:rsidR="00546B19" w:rsidRPr="00D730B7" w:rsidRDefault="00546B19" w:rsidP="00546B19">
      <w:pPr>
        <w:rPr>
          <w:szCs w:val="24"/>
        </w:rPr>
      </w:pPr>
    </w:p>
    <w:p w14:paraId="547B86C5" w14:textId="5A5006BC" w:rsidR="00546B19" w:rsidRPr="00D730B7" w:rsidRDefault="00546B19" w:rsidP="00546B19">
      <w:pPr>
        <w:rPr>
          <w:szCs w:val="24"/>
        </w:rPr>
      </w:pPr>
      <w:r w:rsidRPr="00D730B7">
        <w:rPr>
          <w:szCs w:val="24"/>
        </w:rPr>
        <w:t>The Chowan River-Dismal Swamp basin is mostly rural with approximately 64 percent of its land covered by forest. Cropland and pasture make up another 28 percent, while only about 6 percent is classified as urban.</w:t>
      </w:r>
    </w:p>
    <w:p w14:paraId="21EE0B4F" w14:textId="77777777" w:rsidR="00546B19" w:rsidRPr="00D730B7" w:rsidRDefault="00546B19" w:rsidP="00546B19">
      <w:pPr>
        <w:rPr>
          <w:szCs w:val="24"/>
        </w:rPr>
      </w:pPr>
    </w:p>
    <w:p w14:paraId="4434A413" w14:textId="575778B5" w:rsidR="00546B19" w:rsidRPr="00D730B7" w:rsidRDefault="00546B19" w:rsidP="00546B19">
      <w:pPr>
        <w:rPr>
          <w:szCs w:val="24"/>
        </w:rPr>
      </w:pPr>
      <w:r w:rsidRPr="00D730B7">
        <w:rPr>
          <w:szCs w:val="24"/>
        </w:rPr>
        <w:t xml:space="preserve">The 2010 population for the Chowan River-Dismal Swamp basin was approximately </w:t>
      </w:r>
      <w:r w:rsidRPr="00D730B7">
        <w:rPr>
          <w:color w:val="000000"/>
          <w:szCs w:val="24"/>
        </w:rPr>
        <w:t>597,900</w:t>
      </w:r>
      <w:r w:rsidR="00AC5510">
        <w:rPr>
          <w:color w:val="000000"/>
          <w:szCs w:val="24"/>
        </w:rPr>
        <w:t xml:space="preserve"> (VA WIP III)</w:t>
      </w:r>
      <w:r w:rsidRPr="00D730B7">
        <w:rPr>
          <w:szCs w:val="24"/>
        </w:rPr>
        <w:t>. All or portions of the following 13 counties and 6 cities lie within the basin: counties – Brunswick, Charlotte, Dinwiddie, Greensville, Isle of Wight, Lunenburg, Mecklenburg, Nottoway, Prince Edward, Prince George, Southampton, Surry, and Sussex; Cities – Chesapeake, Emporia, Franklin, Petersburg, Suffolk, and Virginia Beach.</w:t>
      </w:r>
    </w:p>
    <w:p w14:paraId="32874698" w14:textId="77777777" w:rsidR="00546B19" w:rsidRPr="00D730B7" w:rsidRDefault="00546B19" w:rsidP="00546B19">
      <w:pPr>
        <w:rPr>
          <w:szCs w:val="24"/>
        </w:rPr>
      </w:pPr>
    </w:p>
    <w:p w14:paraId="0AABF8F5" w14:textId="6840F989" w:rsidR="00546B19" w:rsidRPr="00D730B7" w:rsidRDefault="00546B19" w:rsidP="00546B19">
      <w:pPr>
        <w:rPr>
          <w:szCs w:val="24"/>
        </w:rPr>
      </w:pPr>
      <w:r w:rsidRPr="00D730B7">
        <w:rPr>
          <w:szCs w:val="24"/>
        </w:rPr>
        <w:t>Major tributaries of the Chowan River are the Meherrin, the Nottoway and the Blackwater. The Nottoway and the Blackwater join at the Virginia/North Carolina state line to form the Chowan River. The Dismal Swamp portion is mostly flat with many swamp and marshland areas.</w:t>
      </w:r>
    </w:p>
    <w:p w14:paraId="027A8A47" w14:textId="77777777" w:rsidR="00546B19" w:rsidRPr="00D730B7" w:rsidRDefault="00546B19" w:rsidP="00546B19">
      <w:pPr>
        <w:rPr>
          <w:szCs w:val="24"/>
        </w:rPr>
      </w:pPr>
    </w:p>
    <w:p w14:paraId="32176CE8" w14:textId="07D5CA11" w:rsidR="00546B19" w:rsidRPr="00D730B7" w:rsidRDefault="00546B19" w:rsidP="00546B19">
      <w:pPr>
        <w:rPr>
          <w:szCs w:val="24"/>
        </w:rPr>
      </w:pPr>
      <w:r w:rsidRPr="00D730B7">
        <w:rPr>
          <w:szCs w:val="24"/>
        </w:rPr>
        <w:t>The Chowan River-Dismal Swamp basin is divided into five USGS hydrologic units as follows: HUC 03010201 – Nottoway; HUC 03010202 – Blackwater; HUC 03010203 – Chowan; HUC 03010204 – Meherrin; and HUC 03010205 – Albemarle Sound. The five hydrologic units are further divided into 42 waterbodies or watersheds and 127 6</w:t>
      </w:r>
      <w:r w:rsidRPr="00D730B7">
        <w:rPr>
          <w:szCs w:val="24"/>
          <w:vertAlign w:val="superscript"/>
        </w:rPr>
        <w:t>th</w:t>
      </w:r>
      <w:r w:rsidRPr="00D730B7">
        <w:rPr>
          <w:szCs w:val="24"/>
        </w:rPr>
        <w:t xml:space="preserve"> order sub-watersheds.</w:t>
      </w:r>
    </w:p>
    <w:p w14:paraId="47B9D314" w14:textId="77777777" w:rsidR="00546B19" w:rsidRPr="00D730B7" w:rsidRDefault="00546B19" w:rsidP="00546B19">
      <w:pPr>
        <w:jc w:val="both"/>
        <w:rPr>
          <w:szCs w:val="24"/>
        </w:rPr>
      </w:pPr>
    </w:p>
    <w:p w14:paraId="3EE38C18" w14:textId="77777777" w:rsidR="00546B19" w:rsidRPr="00D730B7" w:rsidRDefault="00546B19" w:rsidP="00546B19">
      <w:pPr>
        <w:rPr>
          <w:szCs w:val="24"/>
        </w:rPr>
      </w:pPr>
      <w:r w:rsidRPr="00D730B7">
        <w:rPr>
          <w:szCs w:val="24"/>
        </w:rPr>
        <w:t>Basin assessment information is presented in the following figures and tables.</w:t>
      </w:r>
    </w:p>
    <w:p w14:paraId="36A6F492" w14:textId="77777777" w:rsidR="00546B19" w:rsidRPr="00D730B7" w:rsidRDefault="00546B19" w:rsidP="00546B19">
      <w:pPr>
        <w:jc w:val="both"/>
        <w:rPr>
          <w:b/>
          <w:szCs w:val="24"/>
        </w:rPr>
      </w:pPr>
    </w:p>
    <w:p w14:paraId="3363DEB3" w14:textId="77777777" w:rsidR="008F20E4" w:rsidRPr="00D730B7" w:rsidRDefault="008F20E4" w:rsidP="008F20E4">
      <w:pPr>
        <w:jc w:val="both"/>
        <w:rPr>
          <w:b/>
          <w:szCs w:val="24"/>
        </w:rPr>
      </w:pPr>
      <w:r>
        <w:rPr>
          <w:b/>
          <w:szCs w:val="24"/>
        </w:rPr>
        <w:t>Total basin water body sizes, note all values rounded to the nearest whole number.</w:t>
      </w:r>
    </w:p>
    <w:p w14:paraId="55513308" w14:textId="1ED492EF" w:rsidR="00546B19" w:rsidRPr="00D730B7" w:rsidRDefault="00546B19" w:rsidP="00546B19">
      <w:pPr>
        <w:ind w:firstLine="720"/>
        <w:jc w:val="both"/>
        <w:rPr>
          <w:szCs w:val="24"/>
        </w:rPr>
      </w:pPr>
      <w:r w:rsidRPr="00D730B7">
        <w:rPr>
          <w:szCs w:val="24"/>
        </w:rPr>
        <w:t>Rivers - 10,93</w:t>
      </w:r>
      <w:r w:rsidR="00EB677D">
        <w:rPr>
          <w:szCs w:val="24"/>
        </w:rPr>
        <w:t>3</w:t>
      </w:r>
      <w:r w:rsidRPr="00D730B7">
        <w:rPr>
          <w:szCs w:val="24"/>
        </w:rPr>
        <w:t xml:space="preserve"> miles</w:t>
      </w:r>
    </w:p>
    <w:p w14:paraId="271F9399" w14:textId="77777777" w:rsidR="00546B19" w:rsidRPr="00D730B7" w:rsidRDefault="00546B19" w:rsidP="00546B19">
      <w:pPr>
        <w:ind w:firstLine="720"/>
        <w:jc w:val="both"/>
        <w:rPr>
          <w:szCs w:val="24"/>
        </w:rPr>
      </w:pPr>
      <w:r w:rsidRPr="00D730B7">
        <w:rPr>
          <w:szCs w:val="24"/>
        </w:rPr>
        <w:t>Lakes - 4,700 acres</w:t>
      </w:r>
    </w:p>
    <w:p w14:paraId="016E1852" w14:textId="77777777" w:rsidR="00546B19" w:rsidRPr="00D730B7" w:rsidRDefault="00546B19" w:rsidP="00546B19">
      <w:pPr>
        <w:ind w:firstLine="720"/>
        <w:jc w:val="both"/>
        <w:rPr>
          <w:szCs w:val="24"/>
        </w:rPr>
      </w:pPr>
      <w:r w:rsidRPr="00D730B7">
        <w:rPr>
          <w:szCs w:val="24"/>
        </w:rPr>
        <w:t>Estuaries - 39 sq. miles</w:t>
      </w:r>
    </w:p>
    <w:p w14:paraId="77A7BD0E" w14:textId="77777777" w:rsidR="00546B19" w:rsidRPr="00D730B7" w:rsidRDefault="00546B19" w:rsidP="00546B19">
      <w:pPr>
        <w:rPr>
          <w:b/>
          <w:szCs w:val="24"/>
        </w:rPr>
      </w:pPr>
    </w:p>
    <w:p w14:paraId="19408070" w14:textId="67D241C3" w:rsidR="00A13E5C" w:rsidRDefault="00807C71" w:rsidP="00A13E5C">
      <w:pPr>
        <w:keepNext/>
        <w:jc w:val="both"/>
      </w:pPr>
      <w:r>
        <w:rPr>
          <w:noProof/>
        </w:rPr>
        <w:lastRenderedPageBreak/>
        <w:drawing>
          <wp:inline distT="0" distB="0" distL="0" distR="0" wp14:anchorId="0831B5C0" wp14:editId="2BC41045">
            <wp:extent cx="5334000" cy="3810000"/>
            <wp:effectExtent l="0" t="0" r="0" b="0"/>
            <wp:docPr id="112" name="Picture" descr="Chart&#10;&#10;Figure 4.3 16. Designated use summary for rivers in the Chowan River-Dismal Swamp basin (7,344 miles not assessed."/>
            <wp:cNvGraphicFramePr/>
            <a:graphic xmlns:a="http://schemas.openxmlformats.org/drawingml/2006/main">
              <a:graphicData uri="http://schemas.openxmlformats.org/drawingml/2006/picture">
                <pic:pic xmlns:pic="http://schemas.openxmlformats.org/drawingml/2006/picture">
                  <pic:nvPicPr>
                    <pic:cNvPr id="112" name="Picture" descr="Chart&#10;&#10;Figure 4.3 16. Designated use summary for rivers in the Chowan River-Dismal Swamp basin (7,344 miles not assessed."/>
                    <pic:cNvPicPr>
                      <a:picLocks noChangeAspect="1" noChangeArrowheads="1"/>
                    </pic:cNvPicPr>
                  </pic:nvPicPr>
                  <pic:blipFill>
                    <a:blip r:embed="rId159"/>
                    <a:stretch>
                      <a:fillRect/>
                    </a:stretch>
                  </pic:blipFill>
                  <pic:spPr bwMode="auto">
                    <a:xfrm>
                      <a:off x="0" y="0"/>
                      <a:ext cx="5334000" cy="3810000"/>
                    </a:xfrm>
                    <a:prstGeom prst="rect">
                      <a:avLst/>
                    </a:prstGeom>
                    <a:noFill/>
                    <a:ln w="9525">
                      <a:noFill/>
                      <a:headEnd/>
                      <a:tailEnd/>
                    </a:ln>
                  </pic:spPr>
                </pic:pic>
              </a:graphicData>
            </a:graphic>
          </wp:inline>
        </w:drawing>
      </w:r>
    </w:p>
    <w:p w14:paraId="7C63B8B1" w14:textId="2BF8082A" w:rsidR="00D04429" w:rsidRPr="0062574F" w:rsidRDefault="00A13E5C" w:rsidP="0A5BE548">
      <w:pPr>
        <w:pStyle w:val="Caption"/>
        <w:rPr>
          <w:b/>
          <w:bCs/>
        </w:rPr>
      </w:pPr>
      <w:bookmarkStart w:id="140" w:name="_Toc164175072"/>
      <w:bookmarkStart w:id="141" w:name="_Toc152766247"/>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16</w:t>
      </w:r>
      <w:r w:rsidR="004F13BA">
        <w:rPr>
          <w:noProof/>
        </w:rPr>
        <w:fldChar w:fldCharType="end"/>
      </w:r>
      <w:r>
        <w:t>.</w:t>
      </w:r>
      <w:r w:rsidRPr="00A13E5C">
        <w:t xml:space="preserve"> </w:t>
      </w:r>
      <w:r w:rsidR="008F52FD">
        <w:t>Designated</w:t>
      </w:r>
      <w:r w:rsidRPr="00A13E5C">
        <w:t xml:space="preserve"> use summary for </w:t>
      </w:r>
      <w:r w:rsidR="008F52FD">
        <w:t xml:space="preserve">rivers in the </w:t>
      </w:r>
      <w:r w:rsidRPr="00A13E5C">
        <w:t>Chowan River-Dismal Swamp</w:t>
      </w:r>
      <w:r w:rsidR="58108426" w:rsidRPr="00A13E5C">
        <w:t xml:space="preserve"> </w:t>
      </w:r>
      <w:bookmarkEnd w:id="140"/>
      <w:r>
        <w:t>basin</w:t>
      </w:r>
      <w:bookmarkEnd w:id="141"/>
      <w:r w:rsidR="00744B9F">
        <w:t xml:space="preserve"> (</w:t>
      </w:r>
      <w:r w:rsidR="006D752C">
        <w:t>7,34</w:t>
      </w:r>
      <w:r w:rsidR="00BB5BE3">
        <w:t>4</w:t>
      </w:r>
      <w:r w:rsidR="006D752C">
        <w:t xml:space="preserve"> </w:t>
      </w:r>
      <w:r w:rsidR="00744B9F">
        <w:t>miles not assessed</w:t>
      </w:r>
      <w:r w:rsidR="00AF20E7">
        <w:t>.</w:t>
      </w:r>
    </w:p>
    <w:p w14:paraId="18B16C38" w14:textId="77777777" w:rsidR="00546B19" w:rsidRDefault="00546B19" w:rsidP="00546B19">
      <w:pPr>
        <w:jc w:val="both"/>
        <w:rPr>
          <w:b/>
          <w:szCs w:val="24"/>
        </w:rPr>
      </w:pPr>
    </w:p>
    <w:p w14:paraId="715FA55B" w14:textId="32EA6EE6" w:rsidR="00A13E5C" w:rsidRDefault="00B30776" w:rsidP="00A13E5C">
      <w:pPr>
        <w:keepNext/>
        <w:jc w:val="both"/>
      </w:pPr>
      <w:r>
        <w:rPr>
          <w:noProof/>
        </w:rPr>
        <w:drawing>
          <wp:inline distT="0" distB="0" distL="0" distR="0" wp14:anchorId="66AD3555" wp14:editId="7343245A">
            <wp:extent cx="5334000" cy="3810000"/>
            <wp:effectExtent l="0" t="0" r="0" b="0"/>
            <wp:docPr id="118" name="Picture" descr="Chart, bar chart&#10;&#10;Figure 4.3 17. Designated use summary for lakes in the Chowan River-Dismal Swamp basin (295 acres not assessed)."/>
            <wp:cNvGraphicFramePr/>
            <a:graphic xmlns:a="http://schemas.openxmlformats.org/drawingml/2006/main">
              <a:graphicData uri="http://schemas.openxmlformats.org/drawingml/2006/picture">
                <pic:pic xmlns:pic="http://schemas.openxmlformats.org/drawingml/2006/picture">
                  <pic:nvPicPr>
                    <pic:cNvPr id="118" name="Picture" descr="Chart, bar chart&#10;&#10;Figure 4.3 17. Designated use summary for lakes in the Chowan River-Dismal Swamp basin (295 acres not assessed)."/>
                    <pic:cNvPicPr>
                      <a:picLocks noChangeAspect="1" noChangeArrowheads="1"/>
                    </pic:cNvPicPr>
                  </pic:nvPicPr>
                  <pic:blipFill>
                    <a:blip r:embed="rId160"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07776EE5" w14:textId="4E2CB308" w:rsidR="00D04429" w:rsidRPr="0062574F" w:rsidRDefault="00A13E5C" w:rsidP="0A5BE548">
      <w:pPr>
        <w:pStyle w:val="Caption"/>
        <w:jc w:val="both"/>
        <w:rPr>
          <w:b/>
          <w:bCs/>
        </w:rPr>
      </w:pPr>
      <w:bookmarkStart w:id="142" w:name="_Toc164175073"/>
      <w:bookmarkStart w:id="143" w:name="_Toc152766248"/>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17</w:t>
      </w:r>
      <w:r w:rsidR="004F13BA">
        <w:rPr>
          <w:noProof/>
        </w:rPr>
        <w:fldChar w:fldCharType="end"/>
      </w:r>
      <w:r>
        <w:t xml:space="preserve">. </w:t>
      </w:r>
      <w:r w:rsidR="007C5645" w:rsidRPr="0A5BE548">
        <w:t>Designated</w:t>
      </w:r>
      <w:r w:rsidRPr="0A5BE548">
        <w:t xml:space="preserve"> use summary for </w:t>
      </w:r>
      <w:r w:rsidR="007C5645" w:rsidRPr="0A5BE548">
        <w:t>lakes in</w:t>
      </w:r>
      <w:r w:rsidRPr="0A5BE548">
        <w:t xml:space="preserve"> the Chowan River-Dismal Swamp</w:t>
      </w:r>
      <w:r w:rsidR="52CF7AB8" w:rsidRPr="0A5BE548">
        <w:t xml:space="preserve"> b</w:t>
      </w:r>
      <w:bookmarkEnd w:id="142"/>
      <w:r>
        <w:t>asin</w:t>
      </w:r>
      <w:bookmarkEnd w:id="143"/>
      <w:r w:rsidR="006D752C">
        <w:t xml:space="preserve"> (</w:t>
      </w:r>
      <w:r w:rsidR="000050E6">
        <w:t>29</w:t>
      </w:r>
      <w:r w:rsidR="00BB5BE3">
        <w:t>5</w:t>
      </w:r>
      <w:r w:rsidR="000050E6">
        <w:t xml:space="preserve"> acres not assessed</w:t>
      </w:r>
      <w:r w:rsidR="006D752C">
        <w:t>).</w:t>
      </w:r>
    </w:p>
    <w:p w14:paraId="4600B10C" w14:textId="77777777" w:rsidR="00546B19" w:rsidRPr="00D730B7" w:rsidRDefault="00546B19" w:rsidP="00546B19">
      <w:pPr>
        <w:rPr>
          <w:b/>
          <w:szCs w:val="24"/>
        </w:rPr>
      </w:pPr>
    </w:p>
    <w:p w14:paraId="7E471098" w14:textId="34FD75DF" w:rsidR="00A13E5C" w:rsidRDefault="006A3988" w:rsidP="00A13E5C">
      <w:pPr>
        <w:keepNext/>
        <w:jc w:val="both"/>
      </w:pPr>
      <w:r>
        <w:rPr>
          <w:noProof/>
        </w:rPr>
        <w:drawing>
          <wp:inline distT="0" distB="0" distL="0" distR="0" wp14:anchorId="7A9FBA4F" wp14:editId="2496E8F5">
            <wp:extent cx="5334000" cy="3810000"/>
            <wp:effectExtent l="0" t="0" r="0" b="0"/>
            <wp:docPr id="124" name="Picture" descr="Chart, box and whisker chart&#10;Figure 4.3 18. Designated use summary for estuaries in the Chowan River-Dismal Swamp basin (&lt; 1 acre not assessed)."/>
            <wp:cNvGraphicFramePr/>
            <a:graphic xmlns:a="http://schemas.openxmlformats.org/drawingml/2006/main">
              <a:graphicData uri="http://schemas.openxmlformats.org/drawingml/2006/picture">
                <pic:pic xmlns:pic="http://schemas.openxmlformats.org/drawingml/2006/picture">
                  <pic:nvPicPr>
                    <pic:cNvPr id="124" name="Picture" descr="Chart, box and whisker chart&#10;Figure 4.3 18. Designated use summary for estuaries in the Chowan River-Dismal Swamp basin (&lt; 1 acre not assessed)."/>
                    <pic:cNvPicPr>
                      <a:picLocks noChangeAspect="1" noChangeArrowheads="1"/>
                    </pic:cNvPicPr>
                  </pic:nvPicPr>
                  <pic:blipFill>
                    <a:blip r:embed="rId161"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2484DA3A" w14:textId="116B8476" w:rsidR="00D04429" w:rsidRPr="0062574F" w:rsidRDefault="00A13E5C" w:rsidP="0A5BE548">
      <w:pPr>
        <w:pStyle w:val="Caption"/>
        <w:jc w:val="both"/>
        <w:rPr>
          <w:b/>
          <w:bCs/>
        </w:rPr>
      </w:pPr>
      <w:bookmarkStart w:id="144" w:name="_Toc164175074"/>
      <w:bookmarkStart w:id="145" w:name="_Toc152766249"/>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18</w:t>
      </w:r>
      <w:r w:rsidR="004F13BA">
        <w:rPr>
          <w:noProof/>
        </w:rPr>
        <w:fldChar w:fldCharType="end"/>
      </w:r>
      <w:r>
        <w:t>.</w:t>
      </w:r>
      <w:r w:rsidRPr="00A13E5C">
        <w:rPr>
          <w:szCs w:val="24"/>
        </w:rPr>
        <w:t xml:space="preserve"> </w:t>
      </w:r>
      <w:proofErr w:type="gramStart"/>
      <w:r w:rsidR="005171C8" w:rsidRPr="0A5BE548">
        <w:t>Designated</w:t>
      </w:r>
      <w:r w:rsidRPr="0A5BE548">
        <w:t xml:space="preserve"> use</w:t>
      </w:r>
      <w:proofErr w:type="gramEnd"/>
      <w:r w:rsidRPr="0A5BE548">
        <w:t xml:space="preserve"> summary for </w:t>
      </w:r>
      <w:r w:rsidR="00AF616A" w:rsidRPr="0A5BE548">
        <w:t>estuaries in</w:t>
      </w:r>
      <w:r w:rsidRPr="0A5BE548">
        <w:t xml:space="preserve"> the Chowan River-Dismal Swamp</w:t>
      </w:r>
      <w:r w:rsidR="086998ED" w:rsidRPr="0A5BE548">
        <w:t xml:space="preserve"> </w:t>
      </w:r>
      <w:bookmarkEnd w:id="144"/>
      <w:r>
        <w:t>basin</w:t>
      </w:r>
      <w:bookmarkEnd w:id="145"/>
      <w:r w:rsidR="000050E6">
        <w:t xml:space="preserve"> (</w:t>
      </w:r>
      <w:r w:rsidR="00086B9D">
        <w:t>&lt; 1 acre not assessed</w:t>
      </w:r>
      <w:r w:rsidR="000050E6">
        <w:t>)</w:t>
      </w:r>
      <w:r w:rsidR="006A3988">
        <w:t>.</w:t>
      </w:r>
    </w:p>
    <w:p w14:paraId="08FA0843" w14:textId="77777777" w:rsidR="00546B19" w:rsidRPr="00D730B7" w:rsidRDefault="00546B19" w:rsidP="00546B19">
      <w:pPr>
        <w:jc w:val="both"/>
        <w:rPr>
          <w:b/>
          <w:szCs w:val="24"/>
        </w:rPr>
      </w:pPr>
    </w:p>
    <w:p w14:paraId="22B4BDDF" w14:textId="288F9BB1" w:rsidR="00D04429" w:rsidRPr="0062574F" w:rsidRDefault="00A13E5C" w:rsidP="00D04429">
      <w:pPr>
        <w:pStyle w:val="Caption"/>
        <w:jc w:val="both"/>
      </w:pPr>
      <w:bookmarkStart w:id="146" w:name="_Toc164175173"/>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9</w:t>
      </w:r>
      <w:r w:rsidR="004F13BA">
        <w:rPr>
          <w:noProof/>
        </w:rPr>
        <w:fldChar w:fldCharType="end"/>
      </w:r>
      <w:r>
        <w:t>.</w:t>
      </w:r>
      <w:r w:rsidRPr="00A13E5C">
        <w:t xml:space="preserve"> Significant causes of use impairment in the Chowan River-Dismal Swamp</w:t>
      </w:r>
      <w:r w:rsidR="007F0119" w:rsidRPr="00A13E5C">
        <w:t xml:space="preserve"> </w:t>
      </w:r>
      <w:bookmarkEnd w:id="146"/>
      <w:r>
        <w:t>basin, by waterbody type, ranked by percentage of impaired water size. (Note: Waters can have multiple pollutants.)</w:t>
      </w:r>
    </w:p>
    <w:tbl>
      <w:tblPr>
        <w:tblStyle w:val="TableGrid"/>
        <w:tblW w:w="9734" w:type="dxa"/>
        <w:tblCellMar>
          <w:left w:w="115" w:type="dxa"/>
          <w:right w:w="115" w:type="dxa"/>
        </w:tblCellMar>
        <w:tblLook w:val="04A0" w:firstRow="1" w:lastRow="0" w:firstColumn="1" w:lastColumn="0" w:noHBand="0" w:noVBand="1"/>
        <w:tblCaption w:val="Table of Chowan River-Dismal Swamp Basin Significant Causes of Designated Use Impairment"/>
        <w:tblDescription w:val="Chowan River-Dismal Swamp Basin significant causes of Designated Use impairment for rivers, lakes and estuaries ranked by percent of impaired water size"/>
      </w:tblPr>
      <w:tblGrid>
        <w:gridCol w:w="2664"/>
        <w:gridCol w:w="669"/>
        <w:gridCol w:w="2615"/>
        <w:gridCol w:w="636"/>
        <w:gridCol w:w="2354"/>
        <w:gridCol w:w="796"/>
      </w:tblGrid>
      <w:tr w:rsidR="00546B19" w:rsidRPr="00D730B7" w14:paraId="3F2046C4" w14:textId="77777777" w:rsidTr="006C7B74">
        <w:trPr>
          <w:cantSplit/>
          <w:trHeight w:val="360"/>
          <w:tblHeader/>
        </w:trPr>
        <w:tc>
          <w:tcPr>
            <w:tcW w:w="3201" w:type="dxa"/>
            <w:gridSpan w:val="2"/>
            <w:vAlign w:val="center"/>
          </w:tcPr>
          <w:p w14:paraId="7B1BB9D1" w14:textId="77777777" w:rsidR="00546B19" w:rsidRPr="005A437B" w:rsidRDefault="00546B19" w:rsidP="00690BEA">
            <w:pPr>
              <w:jc w:val="center"/>
              <w:rPr>
                <w:b/>
                <w:iCs/>
                <w:sz w:val="22"/>
                <w:szCs w:val="22"/>
              </w:rPr>
            </w:pPr>
            <w:r w:rsidRPr="005A437B">
              <w:rPr>
                <w:b/>
                <w:iCs/>
                <w:sz w:val="22"/>
                <w:szCs w:val="22"/>
              </w:rPr>
              <w:t>Rivers</w:t>
            </w:r>
          </w:p>
        </w:tc>
        <w:tc>
          <w:tcPr>
            <w:tcW w:w="3123" w:type="dxa"/>
            <w:gridSpan w:val="2"/>
            <w:vAlign w:val="center"/>
          </w:tcPr>
          <w:p w14:paraId="71B49211" w14:textId="77777777" w:rsidR="00546B19" w:rsidRPr="005A437B" w:rsidRDefault="00546B19" w:rsidP="00690BEA">
            <w:pPr>
              <w:jc w:val="center"/>
              <w:rPr>
                <w:b/>
                <w:iCs/>
                <w:sz w:val="22"/>
                <w:szCs w:val="22"/>
              </w:rPr>
            </w:pPr>
            <w:r w:rsidRPr="005A437B">
              <w:rPr>
                <w:b/>
                <w:iCs/>
                <w:sz w:val="22"/>
                <w:szCs w:val="22"/>
              </w:rPr>
              <w:t>Lakes</w:t>
            </w:r>
          </w:p>
        </w:tc>
        <w:tc>
          <w:tcPr>
            <w:tcW w:w="3026" w:type="dxa"/>
            <w:gridSpan w:val="2"/>
            <w:vAlign w:val="center"/>
          </w:tcPr>
          <w:p w14:paraId="37547BDB" w14:textId="77777777" w:rsidR="00546B19" w:rsidRPr="005A437B" w:rsidRDefault="00546B19" w:rsidP="00690BEA">
            <w:pPr>
              <w:jc w:val="center"/>
              <w:rPr>
                <w:b/>
                <w:iCs/>
                <w:sz w:val="22"/>
                <w:szCs w:val="22"/>
              </w:rPr>
            </w:pPr>
            <w:r w:rsidRPr="005A437B">
              <w:rPr>
                <w:b/>
                <w:iCs/>
                <w:sz w:val="22"/>
                <w:szCs w:val="22"/>
              </w:rPr>
              <w:t>Estuaries</w:t>
            </w:r>
          </w:p>
        </w:tc>
      </w:tr>
      <w:tr w:rsidR="00690BEA" w:rsidRPr="00D730B7" w14:paraId="3A7217EC" w14:textId="77777777" w:rsidTr="006C7B74">
        <w:trPr>
          <w:cantSplit/>
          <w:trHeight w:val="360"/>
        </w:trPr>
        <w:tc>
          <w:tcPr>
            <w:tcW w:w="2558" w:type="dxa"/>
            <w:vAlign w:val="center"/>
          </w:tcPr>
          <w:p w14:paraId="5447AE9C" w14:textId="3FD0BC28" w:rsidR="00690BEA" w:rsidRPr="005A437B" w:rsidRDefault="00690BEA" w:rsidP="00690BEA">
            <w:pPr>
              <w:jc w:val="center"/>
              <w:rPr>
                <w:b/>
                <w:sz w:val="22"/>
                <w:szCs w:val="22"/>
              </w:rPr>
            </w:pPr>
            <w:r>
              <w:rPr>
                <w:rFonts w:ascii="Calibri" w:hAnsi="Calibri" w:cs="Calibri"/>
                <w:color w:val="000000"/>
                <w:sz w:val="22"/>
                <w:szCs w:val="22"/>
              </w:rPr>
              <w:t>Mercury in Fish Tissue</w:t>
            </w:r>
          </w:p>
        </w:tc>
        <w:tc>
          <w:tcPr>
            <w:tcW w:w="643" w:type="dxa"/>
            <w:vAlign w:val="center"/>
          </w:tcPr>
          <w:p w14:paraId="5D02759B" w14:textId="5B661ED8" w:rsidR="00690BEA" w:rsidRPr="005A437B" w:rsidRDefault="00690BEA" w:rsidP="00690BEA">
            <w:pPr>
              <w:jc w:val="center"/>
              <w:rPr>
                <w:iCs/>
                <w:sz w:val="22"/>
                <w:szCs w:val="22"/>
              </w:rPr>
            </w:pPr>
            <w:r>
              <w:rPr>
                <w:rFonts w:ascii="Calibri" w:hAnsi="Calibri" w:cs="Calibri"/>
                <w:color w:val="000000"/>
                <w:sz w:val="22"/>
                <w:szCs w:val="22"/>
              </w:rPr>
              <w:t>67%</w:t>
            </w:r>
          </w:p>
        </w:tc>
        <w:tc>
          <w:tcPr>
            <w:tcW w:w="2512" w:type="dxa"/>
            <w:vAlign w:val="center"/>
          </w:tcPr>
          <w:p w14:paraId="42669A78" w14:textId="0E6B848C" w:rsidR="00690BEA" w:rsidRPr="005A437B" w:rsidRDefault="00690BEA" w:rsidP="00690BEA">
            <w:pPr>
              <w:jc w:val="center"/>
              <w:rPr>
                <w:b/>
                <w:iCs/>
                <w:sz w:val="22"/>
                <w:szCs w:val="22"/>
              </w:rPr>
            </w:pPr>
            <w:r>
              <w:rPr>
                <w:rFonts w:ascii="Calibri" w:hAnsi="Calibri" w:cs="Calibri"/>
                <w:color w:val="000000"/>
                <w:sz w:val="22"/>
                <w:szCs w:val="22"/>
              </w:rPr>
              <w:t>Mercury in Fish Tissue</w:t>
            </w:r>
          </w:p>
        </w:tc>
        <w:tc>
          <w:tcPr>
            <w:tcW w:w="611" w:type="dxa"/>
            <w:vAlign w:val="center"/>
          </w:tcPr>
          <w:p w14:paraId="7540BB4B" w14:textId="7E6C8772" w:rsidR="00690BEA" w:rsidRPr="005A437B" w:rsidRDefault="00690BEA" w:rsidP="00690BEA">
            <w:pPr>
              <w:jc w:val="center"/>
              <w:rPr>
                <w:iCs/>
                <w:sz w:val="22"/>
                <w:szCs w:val="22"/>
              </w:rPr>
            </w:pPr>
            <w:r>
              <w:rPr>
                <w:rFonts w:ascii="Calibri" w:hAnsi="Calibri" w:cs="Calibri"/>
                <w:color w:val="000000"/>
                <w:sz w:val="22"/>
                <w:szCs w:val="22"/>
              </w:rPr>
              <w:t>89%</w:t>
            </w:r>
          </w:p>
        </w:tc>
        <w:tc>
          <w:tcPr>
            <w:tcW w:w="2261" w:type="dxa"/>
            <w:vAlign w:val="center"/>
          </w:tcPr>
          <w:p w14:paraId="4F5E13F2" w14:textId="28EB297A" w:rsidR="00690BEA" w:rsidRPr="005A437B" w:rsidRDefault="00690BEA" w:rsidP="00690BEA">
            <w:pPr>
              <w:jc w:val="center"/>
              <w:rPr>
                <w:b/>
                <w:iCs/>
                <w:sz w:val="22"/>
                <w:szCs w:val="22"/>
              </w:rPr>
            </w:pPr>
            <w:r>
              <w:rPr>
                <w:rFonts w:ascii="Calibri" w:hAnsi="Calibri" w:cs="Calibri"/>
                <w:color w:val="000000"/>
                <w:sz w:val="22"/>
                <w:szCs w:val="22"/>
              </w:rPr>
              <w:t>Bacteria</w:t>
            </w:r>
          </w:p>
        </w:tc>
        <w:tc>
          <w:tcPr>
            <w:tcW w:w="765" w:type="dxa"/>
            <w:vAlign w:val="center"/>
          </w:tcPr>
          <w:p w14:paraId="673013BD" w14:textId="2E3418E6" w:rsidR="00690BEA" w:rsidRPr="005A437B" w:rsidRDefault="00690BEA" w:rsidP="00690BEA">
            <w:pPr>
              <w:jc w:val="center"/>
              <w:rPr>
                <w:iCs/>
                <w:sz w:val="22"/>
                <w:szCs w:val="22"/>
              </w:rPr>
            </w:pPr>
            <w:r>
              <w:rPr>
                <w:rFonts w:ascii="Calibri" w:hAnsi="Calibri" w:cs="Calibri"/>
                <w:color w:val="000000"/>
                <w:sz w:val="22"/>
                <w:szCs w:val="22"/>
              </w:rPr>
              <w:t>100%</w:t>
            </w:r>
          </w:p>
        </w:tc>
      </w:tr>
      <w:tr w:rsidR="00690BEA" w:rsidRPr="00D730B7" w14:paraId="427CD505" w14:textId="77777777" w:rsidTr="006C7B74">
        <w:trPr>
          <w:cantSplit/>
          <w:trHeight w:val="360"/>
        </w:trPr>
        <w:tc>
          <w:tcPr>
            <w:tcW w:w="2558" w:type="dxa"/>
            <w:vAlign w:val="center"/>
          </w:tcPr>
          <w:p w14:paraId="460C7F8B" w14:textId="38F7C80F" w:rsidR="00690BEA" w:rsidRPr="005A437B" w:rsidRDefault="00690BEA" w:rsidP="00690BEA">
            <w:pPr>
              <w:jc w:val="center"/>
              <w:rPr>
                <w:b/>
                <w:sz w:val="22"/>
                <w:szCs w:val="22"/>
              </w:rPr>
            </w:pPr>
            <w:r>
              <w:rPr>
                <w:rFonts w:ascii="Calibri" w:hAnsi="Calibri" w:cs="Calibri"/>
                <w:color w:val="000000"/>
                <w:sz w:val="22"/>
                <w:szCs w:val="22"/>
              </w:rPr>
              <w:t>Bacteria</w:t>
            </w:r>
          </w:p>
        </w:tc>
        <w:tc>
          <w:tcPr>
            <w:tcW w:w="643" w:type="dxa"/>
            <w:vAlign w:val="center"/>
          </w:tcPr>
          <w:p w14:paraId="6885C3EC" w14:textId="3966172A" w:rsidR="00690BEA" w:rsidRPr="005A437B" w:rsidRDefault="00690BEA" w:rsidP="00690BEA">
            <w:pPr>
              <w:jc w:val="center"/>
              <w:rPr>
                <w:iCs/>
                <w:sz w:val="22"/>
                <w:szCs w:val="22"/>
              </w:rPr>
            </w:pPr>
            <w:r>
              <w:rPr>
                <w:rFonts w:ascii="Calibri" w:hAnsi="Calibri" w:cs="Calibri"/>
                <w:color w:val="000000"/>
                <w:sz w:val="22"/>
                <w:szCs w:val="22"/>
              </w:rPr>
              <w:t>42%</w:t>
            </w:r>
          </w:p>
        </w:tc>
        <w:tc>
          <w:tcPr>
            <w:tcW w:w="2512" w:type="dxa"/>
            <w:vAlign w:val="center"/>
          </w:tcPr>
          <w:p w14:paraId="6EBA1910" w14:textId="276153E3" w:rsidR="00690BEA" w:rsidRPr="005A437B" w:rsidRDefault="00690BEA" w:rsidP="00690BEA">
            <w:pPr>
              <w:jc w:val="center"/>
              <w:rPr>
                <w:b/>
                <w:iCs/>
                <w:sz w:val="22"/>
                <w:szCs w:val="22"/>
              </w:rPr>
            </w:pPr>
            <w:r>
              <w:rPr>
                <w:rFonts w:ascii="Calibri" w:hAnsi="Calibri" w:cs="Calibri"/>
                <w:color w:val="000000"/>
                <w:sz w:val="22"/>
                <w:szCs w:val="22"/>
              </w:rPr>
              <w:t>pH</w:t>
            </w:r>
          </w:p>
        </w:tc>
        <w:tc>
          <w:tcPr>
            <w:tcW w:w="611" w:type="dxa"/>
            <w:vAlign w:val="center"/>
          </w:tcPr>
          <w:p w14:paraId="74605CF7" w14:textId="071FAA03" w:rsidR="00690BEA" w:rsidRPr="005A437B" w:rsidRDefault="00690BEA" w:rsidP="00690BEA">
            <w:pPr>
              <w:jc w:val="center"/>
              <w:rPr>
                <w:iCs/>
                <w:sz w:val="22"/>
                <w:szCs w:val="22"/>
              </w:rPr>
            </w:pPr>
            <w:r>
              <w:rPr>
                <w:rFonts w:ascii="Calibri" w:hAnsi="Calibri" w:cs="Calibri"/>
                <w:color w:val="000000"/>
                <w:sz w:val="22"/>
                <w:szCs w:val="22"/>
              </w:rPr>
              <w:t>77%</w:t>
            </w:r>
          </w:p>
        </w:tc>
        <w:tc>
          <w:tcPr>
            <w:tcW w:w="2261" w:type="dxa"/>
            <w:vAlign w:val="center"/>
          </w:tcPr>
          <w:p w14:paraId="2FDB6E23" w14:textId="65379107" w:rsidR="00690BEA" w:rsidRPr="005A437B" w:rsidRDefault="00690BEA" w:rsidP="00690BEA">
            <w:pPr>
              <w:jc w:val="center"/>
              <w:rPr>
                <w:b/>
                <w:iCs/>
                <w:sz w:val="22"/>
                <w:szCs w:val="22"/>
              </w:rPr>
            </w:pPr>
            <w:r>
              <w:rPr>
                <w:rFonts w:ascii="Calibri" w:hAnsi="Calibri" w:cs="Calibri"/>
                <w:color w:val="000000"/>
                <w:sz w:val="22"/>
                <w:szCs w:val="22"/>
              </w:rPr>
              <w:t>Dissolved Oxygen</w:t>
            </w:r>
          </w:p>
        </w:tc>
        <w:tc>
          <w:tcPr>
            <w:tcW w:w="765" w:type="dxa"/>
            <w:vAlign w:val="center"/>
          </w:tcPr>
          <w:p w14:paraId="101CF8AE" w14:textId="261C576D" w:rsidR="00690BEA" w:rsidRPr="005A437B" w:rsidRDefault="00690BEA" w:rsidP="00690BEA">
            <w:pPr>
              <w:jc w:val="center"/>
              <w:rPr>
                <w:iCs/>
                <w:sz w:val="22"/>
                <w:szCs w:val="22"/>
              </w:rPr>
            </w:pPr>
            <w:r>
              <w:rPr>
                <w:rFonts w:ascii="Calibri" w:hAnsi="Calibri" w:cs="Calibri"/>
                <w:color w:val="000000"/>
                <w:sz w:val="22"/>
                <w:szCs w:val="22"/>
              </w:rPr>
              <w:t>45%</w:t>
            </w:r>
          </w:p>
        </w:tc>
      </w:tr>
      <w:tr w:rsidR="00690BEA" w:rsidRPr="00D730B7" w14:paraId="0C037EA3" w14:textId="77777777" w:rsidTr="006C7B74">
        <w:trPr>
          <w:cantSplit/>
          <w:trHeight w:val="360"/>
        </w:trPr>
        <w:tc>
          <w:tcPr>
            <w:tcW w:w="2558" w:type="dxa"/>
            <w:vAlign w:val="center"/>
          </w:tcPr>
          <w:p w14:paraId="4A05084B" w14:textId="62A0D9F6" w:rsidR="00690BEA" w:rsidRPr="005A437B" w:rsidRDefault="00690BEA" w:rsidP="00690BEA">
            <w:pPr>
              <w:jc w:val="center"/>
              <w:rPr>
                <w:b/>
                <w:sz w:val="22"/>
                <w:szCs w:val="22"/>
              </w:rPr>
            </w:pPr>
            <w:r>
              <w:rPr>
                <w:rFonts w:ascii="Calibri" w:hAnsi="Calibri" w:cs="Calibri"/>
                <w:color w:val="000000"/>
                <w:sz w:val="22"/>
                <w:szCs w:val="22"/>
              </w:rPr>
              <w:t>Impaired Benthics</w:t>
            </w:r>
          </w:p>
        </w:tc>
        <w:tc>
          <w:tcPr>
            <w:tcW w:w="643" w:type="dxa"/>
            <w:vAlign w:val="center"/>
          </w:tcPr>
          <w:p w14:paraId="3E1BF92B" w14:textId="635AFD18" w:rsidR="00690BEA" w:rsidRPr="005A437B" w:rsidRDefault="00690BEA" w:rsidP="00690BEA">
            <w:pPr>
              <w:jc w:val="center"/>
              <w:rPr>
                <w:iCs/>
                <w:sz w:val="22"/>
                <w:szCs w:val="22"/>
              </w:rPr>
            </w:pPr>
            <w:r>
              <w:rPr>
                <w:rFonts w:ascii="Calibri" w:hAnsi="Calibri" w:cs="Calibri"/>
                <w:color w:val="000000"/>
                <w:sz w:val="22"/>
                <w:szCs w:val="22"/>
              </w:rPr>
              <w:t>8%</w:t>
            </w:r>
          </w:p>
        </w:tc>
        <w:tc>
          <w:tcPr>
            <w:tcW w:w="2512" w:type="dxa"/>
            <w:vAlign w:val="center"/>
          </w:tcPr>
          <w:p w14:paraId="5232AAE1" w14:textId="201B11A9" w:rsidR="00690BEA" w:rsidRPr="005A437B" w:rsidRDefault="00690BEA" w:rsidP="00690BEA">
            <w:pPr>
              <w:jc w:val="center"/>
              <w:rPr>
                <w:b/>
                <w:iCs/>
                <w:sz w:val="22"/>
                <w:szCs w:val="22"/>
              </w:rPr>
            </w:pPr>
            <w:r>
              <w:rPr>
                <w:rFonts w:ascii="Calibri" w:hAnsi="Calibri" w:cs="Calibri"/>
                <w:color w:val="000000"/>
                <w:sz w:val="22"/>
                <w:szCs w:val="22"/>
              </w:rPr>
              <w:t>Dissolved Oxygen</w:t>
            </w:r>
          </w:p>
        </w:tc>
        <w:tc>
          <w:tcPr>
            <w:tcW w:w="611" w:type="dxa"/>
            <w:vAlign w:val="center"/>
          </w:tcPr>
          <w:p w14:paraId="7CD265C8" w14:textId="3208678C" w:rsidR="00690BEA" w:rsidRPr="005A437B" w:rsidRDefault="00690BEA" w:rsidP="00690BEA">
            <w:pPr>
              <w:jc w:val="center"/>
              <w:rPr>
                <w:iCs/>
                <w:sz w:val="22"/>
                <w:szCs w:val="22"/>
              </w:rPr>
            </w:pPr>
            <w:r>
              <w:rPr>
                <w:rFonts w:ascii="Calibri" w:hAnsi="Calibri" w:cs="Calibri"/>
                <w:color w:val="000000"/>
                <w:sz w:val="22"/>
                <w:szCs w:val="22"/>
              </w:rPr>
              <w:t>10%</w:t>
            </w:r>
          </w:p>
        </w:tc>
        <w:tc>
          <w:tcPr>
            <w:tcW w:w="2261" w:type="dxa"/>
            <w:vAlign w:val="center"/>
          </w:tcPr>
          <w:p w14:paraId="2E97A703" w14:textId="77777777" w:rsidR="00690BEA" w:rsidRPr="005A437B" w:rsidRDefault="00690BEA" w:rsidP="00690BEA">
            <w:pPr>
              <w:jc w:val="center"/>
              <w:rPr>
                <w:b/>
                <w:iCs/>
                <w:sz w:val="22"/>
                <w:szCs w:val="22"/>
              </w:rPr>
            </w:pPr>
            <w:r w:rsidRPr="005A437B">
              <w:rPr>
                <w:b/>
                <w:iCs/>
                <w:sz w:val="22"/>
                <w:szCs w:val="22"/>
              </w:rPr>
              <w:t>--</w:t>
            </w:r>
          </w:p>
        </w:tc>
        <w:tc>
          <w:tcPr>
            <w:tcW w:w="765" w:type="dxa"/>
            <w:vAlign w:val="center"/>
          </w:tcPr>
          <w:p w14:paraId="0AEEF396" w14:textId="77777777" w:rsidR="00690BEA" w:rsidRPr="005A437B" w:rsidRDefault="00690BEA" w:rsidP="00690BEA">
            <w:pPr>
              <w:jc w:val="center"/>
              <w:rPr>
                <w:iCs/>
                <w:sz w:val="22"/>
                <w:szCs w:val="22"/>
              </w:rPr>
            </w:pPr>
            <w:r w:rsidRPr="005A437B">
              <w:rPr>
                <w:iCs/>
                <w:sz w:val="22"/>
                <w:szCs w:val="22"/>
              </w:rPr>
              <w:t>--</w:t>
            </w:r>
          </w:p>
        </w:tc>
      </w:tr>
      <w:tr w:rsidR="00690BEA" w:rsidRPr="00D730B7" w14:paraId="30488A94" w14:textId="77777777" w:rsidTr="006C7B74">
        <w:trPr>
          <w:cantSplit/>
          <w:trHeight w:val="360"/>
        </w:trPr>
        <w:tc>
          <w:tcPr>
            <w:tcW w:w="2558" w:type="dxa"/>
            <w:vAlign w:val="center"/>
          </w:tcPr>
          <w:p w14:paraId="7D1DEF14" w14:textId="1519300F" w:rsidR="00690BEA" w:rsidRPr="005A437B" w:rsidRDefault="00690BEA" w:rsidP="00690BEA">
            <w:pPr>
              <w:jc w:val="center"/>
              <w:rPr>
                <w:b/>
                <w:sz w:val="22"/>
                <w:szCs w:val="22"/>
              </w:rPr>
            </w:pPr>
            <w:r>
              <w:rPr>
                <w:rFonts w:ascii="Calibri" w:hAnsi="Calibri" w:cs="Calibri"/>
                <w:color w:val="000000"/>
                <w:sz w:val="22"/>
                <w:szCs w:val="22"/>
              </w:rPr>
              <w:t>Dissolved Oxygen</w:t>
            </w:r>
          </w:p>
        </w:tc>
        <w:tc>
          <w:tcPr>
            <w:tcW w:w="643" w:type="dxa"/>
            <w:vAlign w:val="center"/>
          </w:tcPr>
          <w:p w14:paraId="0069D77E" w14:textId="570CE2E8" w:rsidR="00690BEA" w:rsidRPr="005A437B" w:rsidRDefault="00690BEA" w:rsidP="00690BEA">
            <w:pPr>
              <w:jc w:val="center"/>
              <w:rPr>
                <w:iCs/>
                <w:sz w:val="22"/>
                <w:szCs w:val="22"/>
              </w:rPr>
            </w:pPr>
            <w:r>
              <w:rPr>
                <w:rFonts w:ascii="Calibri" w:hAnsi="Calibri" w:cs="Calibri"/>
                <w:color w:val="000000"/>
                <w:sz w:val="22"/>
                <w:szCs w:val="22"/>
              </w:rPr>
              <w:t>7%</w:t>
            </w:r>
          </w:p>
        </w:tc>
        <w:tc>
          <w:tcPr>
            <w:tcW w:w="2512" w:type="dxa"/>
            <w:vAlign w:val="center"/>
          </w:tcPr>
          <w:p w14:paraId="777CAEBF" w14:textId="7F420610" w:rsidR="00690BEA" w:rsidRPr="005A437B" w:rsidRDefault="00690BEA" w:rsidP="00690BEA">
            <w:pPr>
              <w:jc w:val="center"/>
              <w:rPr>
                <w:b/>
                <w:iCs/>
                <w:sz w:val="22"/>
                <w:szCs w:val="22"/>
              </w:rPr>
            </w:pPr>
            <w:r>
              <w:rPr>
                <w:rFonts w:ascii="Calibri" w:hAnsi="Calibri" w:cs="Calibri"/>
                <w:color w:val="000000"/>
                <w:sz w:val="22"/>
                <w:szCs w:val="22"/>
              </w:rPr>
              <w:t>Phosphorus, Total</w:t>
            </w:r>
          </w:p>
        </w:tc>
        <w:tc>
          <w:tcPr>
            <w:tcW w:w="611" w:type="dxa"/>
            <w:vAlign w:val="center"/>
          </w:tcPr>
          <w:p w14:paraId="0548DB84" w14:textId="4DD61281" w:rsidR="00690BEA" w:rsidRPr="005A437B" w:rsidRDefault="00690BEA" w:rsidP="00690BEA">
            <w:pPr>
              <w:jc w:val="center"/>
              <w:rPr>
                <w:iCs/>
                <w:sz w:val="22"/>
                <w:szCs w:val="22"/>
              </w:rPr>
            </w:pPr>
            <w:r>
              <w:rPr>
                <w:rFonts w:ascii="Calibri" w:hAnsi="Calibri" w:cs="Calibri"/>
                <w:color w:val="000000"/>
                <w:sz w:val="22"/>
                <w:szCs w:val="22"/>
              </w:rPr>
              <w:t>8%</w:t>
            </w:r>
          </w:p>
        </w:tc>
        <w:tc>
          <w:tcPr>
            <w:tcW w:w="2261" w:type="dxa"/>
            <w:vAlign w:val="center"/>
          </w:tcPr>
          <w:p w14:paraId="5719F7B2" w14:textId="77777777" w:rsidR="00690BEA" w:rsidRPr="005A437B" w:rsidRDefault="00690BEA" w:rsidP="00690BEA">
            <w:pPr>
              <w:jc w:val="center"/>
              <w:rPr>
                <w:b/>
                <w:iCs/>
                <w:sz w:val="22"/>
                <w:szCs w:val="22"/>
              </w:rPr>
            </w:pPr>
            <w:r w:rsidRPr="005A437B">
              <w:rPr>
                <w:b/>
                <w:iCs/>
                <w:sz w:val="22"/>
                <w:szCs w:val="22"/>
              </w:rPr>
              <w:t>--</w:t>
            </w:r>
          </w:p>
        </w:tc>
        <w:tc>
          <w:tcPr>
            <w:tcW w:w="765" w:type="dxa"/>
            <w:vAlign w:val="center"/>
          </w:tcPr>
          <w:p w14:paraId="1A404FF8" w14:textId="77777777" w:rsidR="00690BEA" w:rsidRPr="005A437B" w:rsidRDefault="00690BEA" w:rsidP="00690BEA">
            <w:pPr>
              <w:jc w:val="center"/>
              <w:rPr>
                <w:iCs/>
                <w:sz w:val="22"/>
                <w:szCs w:val="22"/>
              </w:rPr>
            </w:pPr>
            <w:r w:rsidRPr="005A437B">
              <w:rPr>
                <w:iCs/>
                <w:sz w:val="22"/>
                <w:szCs w:val="22"/>
              </w:rPr>
              <w:t>--</w:t>
            </w:r>
          </w:p>
        </w:tc>
      </w:tr>
      <w:tr w:rsidR="00690BEA" w:rsidRPr="00D730B7" w14:paraId="58E1776C" w14:textId="77777777" w:rsidTr="006C7B74">
        <w:trPr>
          <w:cantSplit/>
          <w:trHeight w:val="360"/>
        </w:trPr>
        <w:tc>
          <w:tcPr>
            <w:tcW w:w="2558" w:type="dxa"/>
            <w:vAlign w:val="center"/>
          </w:tcPr>
          <w:p w14:paraId="69F90D0E" w14:textId="2105ECAB" w:rsidR="00690BEA" w:rsidRPr="005A437B" w:rsidRDefault="00690BEA" w:rsidP="00690BEA">
            <w:pPr>
              <w:jc w:val="center"/>
              <w:rPr>
                <w:b/>
                <w:sz w:val="22"/>
                <w:szCs w:val="22"/>
              </w:rPr>
            </w:pPr>
            <w:r>
              <w:rPr>
                <w:rFonts w:ascii="Calibri" w:hAnsi="Calibri" w:cs="Calibri"/>
                <w:color w:val="000000"/>
                <w:sz w:val="22"/>
                <w:szCs w:val="22"/>
              </w:rPr>
              <w:t>pH</w:t>
            </w:r>
          </w:p>
        </w:tc>
        <w:tc>
          <w:tcPr>
            <w:tcW w:w="643" w:type="dxa"/>
            <w:vAlign w:val="center"/>
          </w:tcPr>
          <w:p w14:paraId="1276C242" w14:textId="0AB1A1EF" w:rsidR="00690BEA" w:rsidRPr="005A437B" w:rsidRDefault="00690BEA" w:rsidP="00690BEA">
            <w:pPr>
              <w:jc w:val="center"/>
              <w:rPr>
                <w:iCs/>
                <w:sz w:val="22"/>
                <w:szCs w:val="22"/>
              </w:rPr>
            </w:pPr>
            <w:r>
              <w:rPr>
                <w:rFonts w:ascii="Calibri" w:hAnsi="Calibri" w:cs="Calibri"/>
                <w:color w:val="000000"/>
                <w:sz w:val="22"/>
                <w:szCs w:val="22"/>
              </w:rPr>
              <w:t>2%</w:t>
            </w:r>
          </w:p>
        </w:tc>
        <w:tc>
          <w:tcPr>
            <w:tcW w:w="2512" w:type="dxa"/>
            <w:vAlign w:val="center"/>
          </w:tcPr>
          <w:p w14:paraId="71070E3A" w14:textId="5E4A358A" w:rsidR="00690BEA" w:rsidRPr="005A437B" w:rsidRDefault="00690BEA" w:rsidP="00690BEA">
            <w:pPr>
              <w:jc w:val="center"/>
              <w:rPr>
                <w:b/>
                <w:iCs/>
                <w:sz w:val="22"/>
                <w:szCs w:val="22"/>
              </w:rPr>
            </w:pPr>
            <w:r>
              <w:rPr>
                <w:rFonts w:ascii="Calibri" w:hAnsi="Calibri" w:cs="Calibri"/>
                <w:color w:val="000000"/>
                <w:sz w:val="22"/>
                <w:szCs w:val="22"/>
              </w:rPr>
              <w:t>Chlorophyll-a</w:t>
            </w:r>
          </w:p>
        </w:tc>
        <w:tc>
          <w:tcPr>
            <w:tcW w:w="611" w:type="dxa"/>
            <w:vAlign w:val="center"/>
          </w:tcPr>
          <w:p w14:paraId="36B9C660" w14:textId="562C9EFB" w:rsidR="00690BEA" w:rsidRPr="005A437B" w:rsidRDefault="00690BEA" w:rsidP="00690BEA">
            <w:pPr>
              <w:jc w:val="center"/>
              <w:rPr>
                <w:iCs/>
                <w:sz w:val="22"/>
                <w:szCs w:val="22"/>
              </w:rPr>
            </w:pPr>
            <w:r>
              <w:rPr>
                <w:rFonts w:ascii="Calibri" w:hAnsi="Calibri" w:cs="Calibri"/>
                <w:color w:val="000000"/>
                <w:sz w:val="22"/>
                <w:szCs w:val="22"/>
              </w:rPr>
              <w:t>4%</w:t>
            </w:r>
          </w:p>
        </w:tc>
        <w:tc>
          <w:tcPr>
            <w:tcW w:w="2261" w:type="dxa"/>
            <w:vAlign w:val="center"/>
          </w:tcPr>
          <w:p w14:paraId="0FFC1BBB" w14:textId="77777777" w:rsidR="00690BEA" w:rsidRPr="005A437B" w:rsidRDefault="00690BEA" w:rsidP="00690BEA">
            <w:pPr>
              <w:jc w:val="center"/>
              <w:rPr>
                <w:b/>
                <w:iCs/>
                <w:sz w:val="22"/>
                <w:szCs w:val="22"/>
              </w:rPr>
            </w:pPr>
            <w:r w:rsidRPr="005A437B">
              <w:rPr>
                <w:b/>
                <w:iCs/>
                <w:sz w:val="22"/>
                <w:szCs w:val="22"/>
              </w:rPr>
              <w:t>--</w:t>
            </w:r>
          </w:p>
        </w:tc>
        <w:tc>
          <w:tcPr>
            <w:tcW w:w="765" w:type="dxa"/>
            <w:vAlign w:val="center"/>
          </w:tcPr>
          <w:p w14:paraId="55C09A04" w14:textId="77777777" w:rsidR="00690BEA" w:rsidRPr="005A437B" w:rsidRDefault="00690BEA" w:rsidP="00690BEA">
            <w:pPr>
              <w:jc w:val="center"/>
              <w:rPr>
                <w:iCs/>
                <w:sz w:val="22"/>
                <w:szCs w:val="22"/>
              </w:rPr>
            </w:pPr>
            <w:r w:rsidRPr="005A437B">
              <w:rPr>
                <w:iCs/>
                <w:sz w:val="22"/>
                <w:szCs w:val="22"/>
              </w:rPr>
              <w:t>--</w:t>
            </w:r>
          </w:p>
        </w:tc>
      </w:tr>
      <w:tr w:rsidR="00690BEA" w:rsidRPr="00D730B7" w14:paraId="500118F3" w14:textId="77777777" w:rsidTr="006C7B74">
        <w:trPr>
          <w:cantSplit/>
          <w:trHeight w:val="360"/>
        </w:trPr>
        <w:tc>
          <w:tcPr>
            <w:tcW w:w="2558" w:type="dxa"/>
            <w:vAlign w:val="center"/>
          </w:tcPr>
          <w:p w14:paraId="5CAF609F" w14:textId="0B9FEE1A" w:rsidR="00690BEA" w:rsidRPr="005A437B" w:rsidRDefault="00690BEA" w:rsidP="00690BEA">
            <w:pPr>
              <w:jc w:val="center"/>
              <w:rPr>
                <w:b/>
                <w:sz w:val="22"/>
                <w:szCs w:val="22"/>
              </w:rPr>
            </w:pPr>
            <w:r>
              <w:rPr>
                <w:rFonts w:ascii="Calibri" w:hAnsi="Calibri" w:cs="Calibri"/>
                <w:color w:val="000000"/>
                <w:sz w:val="22"/>
                <w:szCs w:val="22"/>
              </w:rPr>
              <w:t>PCBs in Fish Tissue</w:t>
            </w:r>
          </w:p>
        </w:tc>
        <w:tc>
          <w:tcPr>
            <w:tcW w:w="643" w:type="dxa"/>
            <w:vAlign w:val="center"/>
          </w:tcPr>
          <w:p w14:paraId="4F1A8D4D" w14:textId="556012C4" w:rsidR="00690BEA" w:rsidRPr="005A437B" w:rsidRDefault="00690BEA" w:rsidP="00690BEA">
            <w:pPr>
              <w:jc w:val="center"/>
              <w:rPr>
                <w:iCs/>
                <w:sz w:val="22"/>
                <w:szCs w:val="22"/>
              </w:rPr>
            </w:pPr>
            <w:r>
              <w:rPr>
                <w:rFonts w:ascii="Calibri" w:hAnsi="Calibri" w:cs="Calibri"/>
                <w:color w:val="000000"/>
                <w:sz w:val="22"/>
                <w:szCs w:val="22"/>
              </w:rPr>
              <w:t>1%</w:t>
            </w:r>
          </w:p>
        </w:tc>
        <w:tc>
          <w:tcPr>
            <w:tcW w:w="2512" w:type="dxa"/>
            <w:vAlign w:val="center"/>
          </w:tcPr>
          <w:p w14:paraId="48AB9F22" w14:textId="77777777" w:rsidR="00690BEA" w:rsidRPr="005A437B" w:rsidRDefault="00690BEA" w:rsidP="00690BEA">
            <w:pPr>
              <w:jc w:val="center"/>
              <w:rPr>
                <w:b/>
                <w:iCs/>
                <w:sz w:val="22"/>
                <w:szCs w:val="22"/>
              </w:rPr>
            </w:pPr>
            <w:r w:rsidRPr="005A437B">
              <w:rPr>
                <w:b/>
                <w:iCs/>
                <w:sz w:val="22"/>
                <w:szCs w:val="22"/>
              </w:rPr>
              <w:t>--</w:t>
            </w:r>
          </w:p>
        </w:tc>
        <w:tc>
          <w:tcPr>
            <w:tcW w:w="611" w:type="dxa"/>
            <w:vAlign w:val="center"/>
          </w:tcPr>
          <w:p w14:paraId="7B04C539" w14:textId="77777777" w:rsidR="00690BEA" w:rsidRPr="005A437B" w:rsidRDefault="00690BEA" w:rsidP="00690BEA">
            <w:pPr>
              <w:jc w:val="center"/>
              <w:rPr>
                <w:iCs/>
                <w:sz w:val="22"/>
                <w:szCs w:val="22"/>
              </w:rPr>
            </w:pPr>
            <w:r w:rsidRPr="005A437B">
              <w:rPr>
                <w:iCs/>
                <w:sz w:val="22"/>
                <w:szCs w:val="22"/>
              </w:rPr>
              <w:t>--</w:t>
            </w:r>
          </w:p>
        </w:tc>
        <w:tc>
          <w:tcPr>
            <w:tcW w:w="2261" w:type="dxa"/>
            <w:vAlign w:val="center"/>
          </w:tcPr>
          <w:p w14:paraId="010F0ECD" w14:textId="77777777" w:rsidR="00690BEA" w:rsidRPr="005A437B" w:rsidRDefault="00690BEA" w:rsidP="00690BEA">
            <w:pPr>
              <w:jc w:val="center"/>
              <w:rPr>
                <w:b/>
                <w:iCs/>
                <w:sz w:val="22"/>
                <w:szCs w:val="22"/>
              </w:rPr>
            </w:pPr>
            <w:r w:rsidRPr="005A437B">
              <w:rPr>
                <w:b/>
                <w:iCs/>
                <w:sz w:val="22"/>
                <w:szCs w:val="22"/>
              </w:rPr>
              <w:t>--</w:t>
            </w:r>
          </w:p>
        </w:tc>
        <w:tc>
          <w:tcPr>
            <w:tcW w:w="765" w:type="dxa"/>
            <w:vAlign w:val="center"/>
          </w:tcPr>
          <w:p w14:paraId="39B781F3" w14:textId="77777777" w:rsidR="00690BEA" w:rsidRPr="005A437B" w:rsidRDefault="00690BEA" w:rsidP="00690BEA">
            <w:pPr>
              <w:jc w:val="center"/>
              <w:rPr>
                <w:iCs/>
                <w:sz w:val="22"/>
                <w:szCs w:val="22"/>
              </w:rPr>
            </w:pPr>
            <w:r w:rsidRPr="005A437B">
              <w:rPr>
                <w:iCs/>
                <w:sz w:val="22"/>
                <w:szCs w:val="22"/>
              </w:rPr>
              <w:t>--</w:t>
            </w:r>
          </w:p>
        </w:tc>
      </w:tr>
    </w:tbl>
    <w:p w14:paraId="65A9B710" w14:textId="77777777" w:rsidR="00510C84" w:rsidRDefault="00510C84" w:rsidP="00546B19">
      <w:pPr>
        <w:jc w:val="both"/>
        <w:rPr>
          <w:b/>
          <w:bCs/>
          <w:szCs w:val="24"/>
        </w:rPr>
      </w:pPr>
    </w:p>
    <w:p w14:paraId="5E423DDA" w14:textId="77777777" w:rsidR="00510C84" w:rsidRDefault="00510C84">
      <w:pPr>
        <w:widowControl/>
        <w:spacing w:after="160" w:line="259" w:lineRule="auto"/>
        <w:rPr>
          <w:b/>
          <w:bCs/>
          <w:szCs w:val="24"/>
        </w:rPr>
      </w:pPr>
      <w:r>
        <w:rPr>
          <w:b/>
          <w:bCs/>
          <w:szCs w:val="24"/>
        </w:rPr>
        <w:br w:type="page"/>
      </w:r>
    </w:p>
    <w:p w14:paraId="1FBEF600" w14:textId="2CA639D0" w:rsidR="00D04429" w:rsidRPr="0062574F" w:rsidRDefault="00A13E5C" w:rsidP="00D04429">
      <w:pPr>
        <w:pStyle w:val="Caption"/>
        <w:jc w:val="both"/>
      </w:pPr>
      <w:bookmarkStart w:id="147" w:name="_Toc164175174"/>
      <w:r>
        <w:lastRenderedPageBreak/>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10</w:t>
      </w:r>
      <w:r w:rsidR="004F13BA">
        <w:rPr>
          <w:noProof/>
        </w:rPr>
        <w:fldChar w:fldCharType="end"/>
      </w:r>
      <w:r>
        <w:t xml:space="preserve">. </w:t>
      </w:r>
      <w:r w:rsidRPr="0A5BE548">
        <w:t>Suspected sources of use impairment in the Chowan River-Dismal Swamp</w:t>
      </w:r>
      <w:r w:rsidR="5156CD84" w:rsidRPr="0A5BE548">
        <w:t xml:space="preserve"> </w:t>
      </w:r>
      <w:bookmarkEnd w:id="147"/>
      <w:r>
        <w:t>basin, by water body type, ranked by percentage of impaired water size. (Note: Waters can have multiple sources of pollution.)</w:t>
      </w:r>
    </w:p>
    <w:tbl>
      <w:tblPr>
        <w:tblStyle w:val="TableGrid"/>
        <w:tblW w:w="9734" w:type="dxa"/>
        <w:tblCellMar>
          <w:left w:w="115" w:type="dxa"/>
          <w:right w:w="115" w:type="dxa"/>
        </w:tblCellMar>
        <w:tblLook w:val="04A0" w:firstRow="1" w:lastRow="0" w:firstColumn="1" w:lastColumn="0" w:noHBand="0" w:noVBand="1"/>
        <w:tblCaption w:val="Table of Chowan River-Dismal Swamp Basin Suspected Sources of Designated Use Impairment"/>
        <w:tblDescription w:val="Chowan River-Dismal Swamp Basin suspected sources of Designated Use impairment for rivers, lakes,a nd estuaries ranked by percent of impaired water size"/>
      </w:tblPr>
      <w:tblGrid>
        <w:gridCol w:w="2526"/>
        <w:gridCol w:w="671"/>
        <w:gridCol w:w="2562"/>
        <w:gridCol w:w="671"/>
        <w:gridCol w:w="2633"/>
        <w:gridCol w:w="671"/>
      </w:tblGrid>
      <w:tr w:rsidR="00546B19" w:rsidRPr="00D730B7" w14:paraId="60B8AFE5" w14:textId="77777777" w:rsidTr="00C639A0">
        <w:trPr>
          <w:cantSplit/>
          <w:trHeight w:val="245"/>
          <w:tblHeader/>
        </w:trPr>
        <w:tc>
          <w:tcPr>
            <w:tcW w:w="3070" w:type="dxa"/>
            <w:gridSpan w:val="2"/>
            <w:vAlign w:val="center"/>
          </w:tcPr>
          <w:p w14:paraId="7C63745A" w14:textId="77777777" w:rsidR="00546B19" w:rsidRPr="005A437B" w:rsidRDefault="00546B19" w:rsidP="00D73E60">
            <w:pPr>
              <w:jc w:val="center"/>
              <w:rPr>
                <w:b/>
                <w:iCs/>
                <w:sz w:val="22"/>
                <w:szCs w:val="22"/>
              </w:rPr>
            </w:pPr>
            <w:r w:rsidRPr="005A437B">
              <w:rPr>
                <w:b/>
                <w:iCs/>
                <w:sz w:val="22"/>
                <w:szCs w:val="22"/>
              </w:rPr>
              <w:t>Rivers</w:t>
            </w:r>
          </w:p>
        </w:tc>
        <w:tc>
          <w:tcPr>
            <w:tcW w:w="3106" w:type="dxa"/>
            <w:gridSpan w:val="2"/>
            <w:vAlign w:val="center"/>
          </w:tcPr>
          <w:p w14:paraId="0E73A5FF" w14:textId="77777777" w:rsidR="00546B19" w:rsidRPr="005A437B" w:rsidRDefault="00546B19" w:rsidP="00D73E60">
            <w:pPr>
              <w:jc w:val="center"/>
              <w:rPr>
                <w:b/>
                <w:iCs/>
                <w:sz w:val="22"/>
                <w:szCs w:val="22"/>
              </w:rPr>
            </w:pPr>
            <w:r w:rsidRPr="005A437B">
              <w:rPr>
                <w:b/>
                <w:iCs/>
                <w:sz w:val="22"/>
                <w:szCs w:val="22"/>
              </w:rPr>
              <w:t>Lakes</w:t>
            </w:r>
          </w:p>
        </w:tc>
        <w:tc>
          <w:tcPr>
            <w:tcW w:w="3174" w:type="dxa"/>
            <w:gridSpan w:val="2"/>
            <w:vAlign w:val="center"/>
          </w:tcPr>
          <w:p w14:paraId="05B3E083" w14:textId="77777777" w:rsidR="00546B19" w:rsidRPr="005A437B" w:rsidRDefault="00546B19" w:rsidP="00D73E60">
            <w:pPr>
              <w:jc w:val="center"/>
              <w:rPr>
                <w:b/>
                <w:iCs/>
                <w:sz w:val="22"/>
                <w:szCs w:val="22"/>
              </w:rPr>
            </w:pPr>
            <w:r w:rsidRPr="005A437B">
              <w:rPr>
                <w:b/>
                <w:iCs/>
                <w:sz w:val="22"/>
                <w:szCs w:val="22"/>
              </w:rPr>
              <w:t>Estuaries</w:t>
            </w:r>
          </w:p>
        </w:tc>
      </w:tr>
      <w:tr w:rsidR="003A2E2E" w:rsidRPr="00D730B7" w14:paraId="4F3DAB1B" w14:textId="77777777" w:rsidTr="00C639A0">
        <w:trPr>
          <w:cantSplit/>
          <w:trHeight w:val="245"/>
        </w:trPr>
        <w:tc>
          <w:tcPr>
            <w:tcW w:w="2425" w:type="dxa"/>
            <w:vAlign w:val="center"/>
          </w:tcPr>
          <w:p w14:paraId="2840C7C6" w14:textId="086B8349" w:rsidR="003A2E2E" w:rsidRPr="005A437B" w:rsidRDefault="003A2E2E" w:rsidP="00D73E60">
            <w:pPr>
              <w:jc w:val="center"/>
              <w:rPr>
                <w:b/>
                <w:iCs/>
                <w:sz w:val="22"/>
                <w:szCs w:val="22"/>
              </w:rPr>
            </w:pPr>
            <w:r>
              <w:rPr>
                <w:rFonts w:ascii="Calibri" w:hAnsi="Calibri" w:cs="Calibri"/>
                <w:color w:val="000000"/>
                <w:sz w:val="22"/>
                <w:szCs w:val="22"/>
              </w:rPr>
              <w:t>Source Unknown</w:t>
            </w:r>
          </w:p>
        </w:tc>
        <w:tc>
          <w:tcPr>
            <w:tcW w:w="645" w:type="dxa"/>
            <w:vAlign w:val="center"/>
          </w:tcPr>
          <w:p w14:paraId="583CB9C4" w14:textId="6B138B45" w:rsidR="003A2E2E" w:rsidRPr="005A437B" w:rsidRDefault="003A2E2E" w:rsidP="00D73E60">
            <w:pPr>
              <w:jc w:val="center"/>
              <w:rPr>
                <w:iCs/>
                <w:sz w:val="22"/>
                <w:szCs w:val="22"/>
              </w:rPr>
            </w:pPr>
            <w:r>
              <w:rPr>
                <w:rFonts w:ascii="Calibri" w:hAnsi="Calibri" w:cs="Calibri"/>
                <w:color w:val="000000"/>
                <w:sz w:val="22"/>
                <w:szCs w:val="22"/>
              </w:rPr>
              <w:t>85%</w:t>
            </w:r>
          </w:p>
        </w:tc>
        <w:tc>
          <w:tcPr>
            <w:tcW w:w="2461" w:type="dxa"/>
            <w:vAlign w:val="center"/>
          </w:tcPr>
          <w:p w14:paraId="2CAF6EF1" w14:textId="486D5152" w:rsidR="003A2E2E" w:rsidRPr="005A437B" w:rsidRDefault="003A2E2E" w:rsidP="00D73E60">
            <w:pPr>
              <w:jc w:val="center"/>
              <w:rPr>
                <w:b/>
                <w:iCs/>
                <w:sz w:val="22"/>
                <w:szCs w:val="22"/>
              </w:rPr>
            </w:pPr>
            <w:r>
              <w:rPr>
                <w:rFonts w:ascii="Calibri" w:hAnsi="Calibri" w:cs="Calibri"/>
                <w:color w:val="000000"/>
                <w:sz w:val="22"/>
                <w:szCs w:val="22"/>
              </w:rPr>
              <w:t>Source Unknown</w:t>
            </w:r>
          </w:p>
        </w:tc>
        <w:tc>
          <w:tcPr>
            <w:tcW w:w="645" w:type="dxa"/>
            <w:vAlign w:val="center"/>
          </w:tcPr>
          <w:p w14:paraId="613FEC1D" w14:textId="481E09B8" w:rsidR="003A2E2E" w:rsidRPr="005A437B" w:rsidRDefault="003A2E2E" w:rsidP="00D73E60">
            <w:pPr>
              <w:jc w:val="center"/>
              <w:rPr>
                <w:iCs/>
                <w:sz w:val="22"/>
                <w:szCs w:val="22"/>
              </w:rPr>
            </w:pPr>
            <w:r>
              <w:rPr>
                <w:rFonts w:ascii="Calibri" w:hAnsi="Calibri" w:cs="Calibri"/>
                <w:color w:val="000000"/>
                <w:sz w:val="22"/>
                <w:szCs w:val="22"/>
              </w:rPr>
              <w:t>90%</w:t>
            </w:r>
          </w:p>
        </w:tc>
        <w:tc>
          <w:tcPr>
            <w:tcW w:w="2529" w:type="dxa"/>
            <w:vAlign w:val="center"/>
          </w:tcPr>
          <w:p w14:paraId="6C520932" w14:textId="25E86BFF" w:rsidR="003A2E2E" w:rsidRPr="005A437B" w:rsidRDefault="003A2E2E" w:rsidP="00D73E60">
            <w:pPr>
              <w:jc w:val="center"/>
              <w:rPr>
                <w:b/>
                <w:iCs/>
                <w:sz w:val="22"/>
                <w:szCs w:val="22"/>
              </w:rPr>
            </w:pPr>
            <w:r>
              <w:rPr>
                <w:rFonts w:ascii="Calibri" w:hAnsi="Calibri" w:cs="Calibri"/>
                <w:color w:val="000000"/>
                <w:sz w:val="22"/>
                <w:szCs w:val="22"/>
              </w:rPr>
              <w:t>On-site Septic Treatment Systems</w:t>
            </w:r>
          </w:p>
        </w:tc>
        <w:tc>
          <w:tcPr>
            <w:tcW w:w="645" w:type="dxa"/>
            <w:vAlign w:val="center"/>
          </w:tcPr>
          <w:p w14:paraId="2237BC40" w14:textId="231C10E7" w:rsidR="003A2E2E" w:rsidRPr="005A437B" w:rsidRDefault="003A2E2E" w:rsidP="00D73E60">
            <w:pPr>
              <w:jc w:val="center"/>
              <w:rPr>
                <w:iCs/>
                <w:sz w:val="22"/>
                <w:szCs w:val="22"/>
              </w:rPr>
            </w:pPr>
            <w:r>
              <w:rPr>
                <w:rFonts w:ascii="Calibri" w:hAnsi="Calibri" w:cs="Calibri"/>
                <w:color w:val="000000"/>
                <w:sz w:val="22"/>
                <w:szCs w:val="22"/>
              </w:rPr>
              <w:t>73%</w:t>
            </w:r>
          </w:p>
        </w:tc>
      </w:tr>
      <w:tr w:rsidR="003A2E2E" w:rsidRPr="00D730B7" w14:paraId="316F15A4" w14:textId="77777777" w:rsidTr="00C639A0">
        <w:trPr>
          <w:cantSplit/>
          <w:trHeight w:val="245"/>
        </w:trPr>
        <w:tc>
          <w:tcPr>
            <w:tcW w:w="2425" w:type="dxa"/>
            <w:vAlign w:val="center"/>
          </w:tcPr>
          <w:p w14:paraId="0BDA0C12" w14:textId="2D8980E8" w:rsidR="003A2E2E" w:rsidRPr="005A437B" w:rsidRDefault="003A2E2E" w:rsidP="00D73E60">
            <w:pPr>
              <w:jc w:val="center"/>
              <w:rPr>
                <w:b/>
                <w:sz w:val="22"/>
                <w:szCs w:val="22"/>
              </w:rPr>
            </w:pPr>
            <w:r>
              <w:rPr>
                <w:rFonts w:ascii="Calibri" w:hAnsi="Calibri" w:cs="Calibri"/>
                <w:color w:val="000000"/>
                <w:sz w:val="22"/>
                <w:szCs w:val="22"/>
              </w:rPr>
              <w:t>Atmospheric Deposition - Toxics</w:t>
            </w:r>
          </w:p>
        </w:tc>
        <w:tc>
          <w:tcPr>
            <w:tcW w:w="645" w:type="dxa"/>
            <w:vAlign w:val="center"/>
          </w:tcPr>
          <w:p w14:paraId="470DB92C" w14:textId="1DA9AFDE" w:rsidR="003A2E2E" w:rsidRPr="005A437B" w:rsidRDefault="003A2E2E" w:rsidP="00D73E60">
            <w:pPr>
              <w:jc w:val="center"/>
              <w:rPr>
                <w:sz w:val="22"/>
                <w:szCs w:val="22"/>
              </w:rPr>
            </w:pPr>
            <w:r>
              <w:rPr>
                <w:rFonts w:ascii="Calibri" w:hAnsi="Calibri" w:cs="Calibri"/>
                <w:color w:val="000000"/>
                <w:sz w:val="22"/>
                <w:szCs w:val="22"/>
              </w:rPr>
              <w:t>29%</w:t>
            </w:r>
          </w:p>
        </w:tc>
        <w:tc>
          <w:tcPr>
            <w:tcW w:w="2461" w:type="dxa"/>
            <w:vAlign w:val="center"/>
          </w:tcPr>
          <w:p w14:paraId="7485B462" w14:textId="00D4637D" w:rsidR="003A2E2E" w:rsidRPr="005A437B" w:rsidRDefault="003A2E2E" w:rsidP="00D73E60">
            <w:pPr>
              <w:jc w:val="center"/>
              <w:rPr>
                <w:b/>
                <w:sz w:val="22"/>
                <w:szCs w:val="22"/>
              </w:rPr>
            </w:pPr>
            <w:r>
              <w:rPr>
                <w:rFonts w:ascii="Calibri" w:hAnsi="Calibri" w:cs="Calibri"/>
                <w:color w:val="000000"/>
                <w:sz w:val="22"/>
                <w:szCs w:val="22"/>
              </w:rPr>
              <w:t xml:space="preserve">Natural Conditions </w:t>
            </w:r>
          </w:p>
        </w:tc>
        <w:tc>
          <w:tcPr>
            <w:tcW w:w="645" w:type="dxa"/>
            <w:vAlign w:val="center"/>
          </w:tcPr>
          <w:p w14:paraId="486606EB" w14:textId="7A830A7A" w:rsidR="003A2E2E" w:rsidRPr="005A437B" w:rsidRDefault="003A2E2E" w:rsidP="00D73E60">
            <w:pPr>
              <w:jc w:val="center"/>
              <w:rPr>
                <w:sz w:val="22"/>
                <w:szCs w:val="22"/>
              </w:rPr>
            </w:pPr>
            <w:r>
              <w:rPr>
                <w:rFonts w:ascii="Calibri" w:hAnsi="Calibri" w:cs="Calibri"/>
                <w:color w:val="000000"/>
                <w:sz w:val="22"/>
                <w:szCs w:val="22"/>
              </w:rPr>
              <w:t>80%</w:t>
            </w:r>
          </w:p>
        </w:tc>
        <w:tc>
          <w:tcPr>
            <w:tcW w:w="2529" w:type="dxa"/>
            <w:vAlign w:val="center"/>
          </w:tcPr>
          <w:p w14:paraId="0D242DD5" w14:textId="4085D103" w:rsidR="003A2E2E" w:rsidRPr="005A437B" w:rsidRDefault="003A2E2E" w:rsidP="00D73E60">
            <w:pPr>
              <w:jc w:val="center"/>
              <w:rPr>
                <w:b/>
                <w:sz w:val="22"/>
                <w:szCs w:val="22"/>
              </w:rPr>
            </w:pPr>
            <w:r>
              <w:rPr>
                <w:rFonts w:ascii="Calibri" w:hAnsi="Calibri" w:cs="Calibri"/>
                <w:color w:val="000000"/>
                <w:sz w:val="22"/>
                <w:szCs w:val="22"/>
              </w:rPr>
              <w:t>Municipal Point Source Discharges</w:t>
            </w:r>
          </w:p>
        </w:tc>
        <w:tc>
          <w:tcPr>
            <w:tcW w:w="645" w:type="dxa"/>
            <w:vAlign w:val="center"/>
          </w:tcPr>
          <w:p w14:paraId="3FFEEA4B" w14:textId="3CEE118D" w:rsidR="003A2E2E" w:rsidRPr="005A437B" w:rsidRDefault="003A2E2E" w:rsidP="00D73E60">
            <w:pPr>
              <w:jc w:val="center"/>
              <w:rPr>
                <w:sz w:val="22"/>
                <w:szCs w:val="22"/>
              </w:rPr>
            </w:pPr>
            <w:r>
              <w:rPr>
                <w:rFonts w:ascii="Calibri" w:hAnsi="Calibri" w:cs="Calibri"/>
                <w:color w:val="000000"/>
                <w:sz w:val="22"/>
                <w:szCs w:val="22"/>
              </w:rPr>
              <w:t>72%</w:t>
            </w:r>
          </w:p>
        </w:tc>
      </w:tr>
      <w:tr w:rsidR="003A2E2E" w:rsidRPr="00D730B7" w14:paraId="79C95EC0" w14:textId="77777777" w:rsidTr="00C639A0">
        <w:trPr>
          <w:cantSplit/>
          <w:trHeight w:val="245"/>
        </w:trPr>
        <w:tc>
          <w:tcPr>
            <w:tcW w:w="2425" w:type="dxa"/>
            <w:vAlign w:val="center"/>
          </w:tcPr>
          <w:p w14:paraId="0D9DF89E" w14:textId="4E36A03D" w:rsidR="003A2E2E" w:rsidRPr="005A437B" w:rsidRDefault="003A2E2E" w:rsidP="00D73E60">
            <w:pPr>
              <w:jc w:val="center"/>
              <w:rPr>
                <w:b/>
                <w:sz w:val="22"/>
                <w:szCs w:val="22"/>
              </w:rPr>
            </w:pPr>
            <w:r>
              <w:rPr>
                <w:rFonts w:ascii="Calibri" w:hAnsi="Calibri" w:cs="Calibri"/>
                <w:color w:val="000000"/>
                <w:sz w:val="22"/>
                <w:szCs w:val="22"/>
              </w:rPr>
              <w:t>Agriculture</w:t>
            </w:r>
          </w:p>
        </w:tc>
        <w:tc>
          <w:tcPr>
            <w:tcW w:w="645" w:type="dxa"/>
            <w:vAlign w:val="center"/>
          </w:tcPr>
          <w:p w14:paraId="0057762E" w14:textId="72F8CEA4" w:rsidR="003A2E2E" w:rsidRPr="005A437B" w:rsidRDefault="003A2E2E" w:rsidP="00D73E60">
            <w:pPr>
              <w:jc w:val="center"/>
              <w:rPr>
                <w:sz w:val="22"/>
                <w:szCs w:val="22"/>
              </w:rPr>
            </w:pPr>
            <w:r>
              <w:rPr>
                <w:rFonts w:ascii="Calibri" w:hAnsi="Calibri" w:cs="Calibri"/>
                <w:color w:val="000000"/>
                <w:sz w:val="22"/>
                <w:szCs w:val="22"/>
              </w:rPr>
              <w:t>26%</w:t>
            </w:r>
          </w:p>
        </w:tc>
        <w:tc>
          <w:tcPr>
            <w:tcW w:w="2461" w:type="dxa"/>
            <w:vAlign w:val="center"/>
          </w:tcPr>
          <w:p w14:paraId="365D7FB4" w14:textId="1DF9AD7A" w:rsidR="003A2E2E" w:rsidRPr="005A437B" w:rsidRDefault="003A2E2E" w:rsidP="00D73E60">
            <w:pPr>
              <w:jc w:val="center"/>
              <w:rPr>
                <w:b/>
                <w:sz w:val="22"/>
                <w:szCs w:val="22"/>
              </w:rPr>
            </w:pPr>
            <w:r>
              <w:rPr>
                <w:rFonts w:ascii="Calibri" w:hAnsi="Calibri" w:cs="Calibri"/>
                <w:color w:val="000000"/>
                <w:sz w:val="22"/>
                <w:szCs w:val="22"/>
              </w:rPr>
              <w:t>Natural Sources</w:t>
            </w:r>
          </w:p>
        </w:tc>
        <w:tc>
          <w:tcPr>
            <w:tcW w:w="645" w:type="dxa"/>
            <w:vAlign w:val="center"/>
          </w:tcPr>
          <w:p w14:paraId="3BF8F0B0" w14:textId="00393F6F" w:rsidR="003A2E2E" w:rsidRPr="005A437B" w:rsidRDefault="003A2E2E" w:rsidP="00D73E60">
            <w:pPr>
              <w:jc w:val="center"/>
              <w:rPr>
                <w:sz w:val="22"/>
                <w:szCs w:val="22"/>
              </w:rPr>
            </w:pPr>
            <w:r>
              <w:rPr>
                <w:rFonts w:ascii="Calibri" w:hAnsi="Calibri" w:cs="Calibri"/>
                <w:color w:val="000000"/>
                <w:sz w:val="22"/>
                <w:szCs w:val="22"/>
              </w:rPr>
              <w:t>10%</w:t>
            </w:r>
          </w:p>
        </w:tc>
        <w:tc>
          <w:tcPr>
            <w:tcW w:w="2529" w:type="dxa"/>
            <w:vAlign w:val="center"/>
          </w:tcPr>
          <w:p w14:paraId="58365F10" w14:textId="4ACAFB38" w:rsidR="003A2E2E" w:rsidRPr="005A437B" w:rsidRDefault="003A2E2E" w:rsidP="00D73E60">
            <w:pPr>
              <w:jc w:val="center"/>
              <w:rPr>
                <w:b/>
                <w:sz w:val="22"/>
                <w:szCs w:val="22"/>
              </w:rPr>
            </w:pPr>
            <w:r>
              <w:rPr>
                <w:rFonts w:ascii="Calibri" w:hAnsi="Calibri" w:cs="Calibri"/>
                <w:color w:val="000000"/>
                <w:sz w:val="22"/>
                <w:szCs w:val="22"/>
              </w:rPr>
              <w:t>Urban Runoff/Storm Sewers</w:t>
            </w:r>
          </w:p>
        </w:tc>
        <w:tc>
          <w:tcPr>
            <w:tcW w:w="645" w:type="dxa"/>
            <w:vAlign w:val="center"/>
          </w:tcPr>
          <w:p w14:paraId="38E9BB76" w14:textId="479DDC74" w:rsidR="003A2E2E" w:rsidRPr="005A437B" w:rsidRDefault="003A2E2E" w:rsidP="00D73E60">
            <w:pPr>
              <w:jc w:val="center"/>
              <w:rPr>
                <w:sz w:val="22"/>
                <w:szCs w:val="22"/>
              </w:rPr>
            </w:pPr>
            <w:r>
              <w:rPr>
                <w:rFonts w:ascii="Calibri" w:hAnsi="Calibri" w:cs="Calibri"/>
                <w:color w:val="000000"/>
                <w:sz w:val="22"/>
                <w:szCs w:val="22"/>
              </w:rPr>
              <w:t>63%</w:t>
            </w:r>
          </w:p>
        </w:tc>
      </w:tr>
      <w:tr w:rsidR="003A2E2E" w:rsidRPr="00D730B7" w14:paraId="6E3097A8" w14:textId="77777777" w:rsidTr="00C639A0">
        <w:trPr>
          <w:cantSplit/>
          <w:trHeight w:val="245"/>
        </w:trPr>
        <w:tc>
          <w:tcPr>
            <w:tcW w:w="2425" w:type="dxa"/>
            <w:vAlign w:val="center"/>
          </w:tcPr>
          <w:p w14:paraId="3D44F77E" w14:textId="6E184062" w:rsidR="003A2E2E" w:rsidRPr="005A437B" w:rsidRDefault="003A2E2E" w:rsidP="00D73E60">
            <w:pPr>
              <w:jc w:val="center"/>
              <w:rPr>
                <w:b/>
                <w:sz w:val="22"/>
                <w:szCs w:val="22"/>
              </w:rPr>
            </w:pPr>
            <w:r>
              <w:rPr>
                <w:rFonts w:ascii="Calibri" w:hAnsi="Calibri" w:cs="Calibri"/>
                <w:color w:val="000000"/>
                <w:sz w:val="22"/>
                <w:szCs w:val="22"/>
              </w:rPr>
              <w:t xml:space="preserve">On-site </w:t>
            </w:r>
            <w:r w:rsidR="00104519">
              <w:rPr>
                <w:rFonts w:ascii="Calibri" w:hAnsi="Calibri" w:cs="Calibri"/>
                <w:color w:val="000000"/>
                <w:sz w:val="22"/>
                <w:szCs w:val="22"/>
              </w:rPr>
              <w:t xml:space="preserve">Septic </w:t>
            </w:r>
            <w:r>
              <w:rPr>
                <w:rFonts w:ascii="Calibri" w:hAnsi="Calibri" w:cs="Calibri"/>
                <w:color w:val="000000"/>
                <w:sz w:val="22"/>
                <w:szCs w:val="22"/>
              </w:rPr>
              <w:t xml:space="preserve">Treatment Systems </w:t>
            </w:r>
          </w:p>
        </w:tc>
        <w:tc>
          <w:tcPr>
            <w:tcW w:w="645" w:type="dxa"/>
            <w:vAlign w:val="center"/>
          </w:tcPr>
          <w:p w14:paraId="19D76D79" w14:textId="33778AF4" w:rsidR="003A2E2E" w:rsidRPr="005A437B" w:rsidRDefault="003A2E2E" w:rsidP="00D73E60">
            <w:pPr>
              <w:jc w:val="center"/>
              <w:rPr>
                <w:sz w:val="22"/>
                <w:szCs w:val="22"/>
              </w:rPr>
            </w:pPr>
            <w:r>
              <w:rPr>
                <w:rFonts w:ascii="Calibri" w:hAnsi="Calibri" w:cs="Calibri"/>
                <w:color w:val="000000"/>
                <w:sz w:val="22"/>
                <w:szCs w:val="22"/>
              </w:rPr>
              <w:t>25%</w:t>
            </w:r>
          </w:p>
        </w:tc>
        <w:tc>
          <w:tcPr>
            <w:tcW w:w="2461" w:type="dxa"/>
            <w:vAlign w:val="center"/>
          </w:tcPr>
          <w:p w14:paraId="788F867B" w14:textId="00030131" w:rsidR="003A2E2E" w:rsidRPr="005A437B" w:rsidRDefault="003A2E2E" w:rsidP="00D73E60">
            <w:pPr>
              <w:jc w:val="center"/>
              <w:rPr>
                <w:b/>
                <w:sz w:val="22"/>
                <w:szCs w:val="22"/>
              </w:rPr>
            </w:pPr>
            <w:r>
              <w:rPr>
                <w:rFonts w:ascii="Calibri" w:hAnsi="Calibri" w:cs="Calibri"/>
                <w:color w:val="000000"/>
                <w:sz w:val="22"/>
                <w:szCs w:val="22"/>
              </w:rPr>
              <w:t>Atmospheric Deposition - Toxics</w:t>
            </w:r>
          </w:p>
        </w:tc>
        <w:tc>
          <w:tcPr>
            <w:tcW w:w="645" w:type="dxa"/>
            <w:vAlign w:val="center"/>
          </w:tcPr>
          <w:p w14:paraId="3527207C" w14:textId="3E771E36" w:rsidR="003A2E2E" w:rsidRPr="005A437B" w:rsidRDefault="003A2E2E" w:rsidP="00D73E60">
            <w:pPr>
              <w:jc w:val="center"/>
              <w:rPr>
                <w:sz w:val="22"/>
                <w:szCs w:val="22"/>
              </w:rPr>
            </w:pPr>
            <w:r>
              <w:rPr>
                <w:rFonts w:ascii="Calibri" w:hAnsi="Calibri" w:cs="Calibri"/>
                <w:color w:val="000000"/>
                <w:sz w:val="22"/>
                <w:szCs w:val="22"/>
              </w:rPr>
              <w:t>6%</w:t>
            </w:r>
          </w:p>
        </w:tc>
        <w:tc>
          <w:tcPr>
            <w:tcW w:w="2529" w:type="dxa"/>
            <w:vAlign w:val="center"/>
          </w:tcPr>
          <w:p w14:paraId="3915FC01" w14:textId="74C9DD6E" w:rsidR="003A2E2E" w:rsidRPr="005A437B" w:rsidRDefault="003A2E2E" w:rsidP="00D73E60">
            <w:pPr>
              <w:jc w:val="center"/>
              <w:rPr>
                <w:b/>
                <w:sz w:val="22"/>
                <w:szCs w:val="22"/>
              </w:rPr>
            </w:pPr>
            <w:r>
              <w:rPr>
                <w:rFonts w:ascii="Calibri" w:hAnsi="Calibri" w:cs="Calibri"/>
                <w:color w:val="000000"/>
                <w:sz w:val="22"/>
                <w:szCs w:val="22"/>
              </w:rPr>
              <w:t>Agriculture</w:t>
            </w:r>
          </w:p>
        </w:tc>
        <w:tc>
          <w:tcPr>
            <w:tcW w:w="645" w:type="dxa"/>
            <w:vAlign w:val="center"/>
          </w:tcPr>
          <w:p w14:paraId="1B718CBB" w14:textId="5C98567E" w:rsidR="003A2E2E" w:rsidRPr="005A437B" w:rsidRDefault="003A2E2E" w:rsidP="00D73E60">
            <w:pPr>
              <w:jc w:val="center"/>
              <w:rPr>
                <w:sz w:val="22"/>
                <w:szCs w:val="22"/>
              </w:rPr>
            </w:pPr>
            <w:r>
              <w:rPr>
                <w:rFonts w:ascii="Calibri" w:hAnsi="Calibri" w:cs="Calibri"/>
                <w:color w:val="000000"/>
                <w:sz w:val="22"/>
                <w:szCs w:val="22"/>
              </w:rPr>
              <w:t>54%</w:t>
            </w:r>
          </w:p>
        </w:tc>
      </w:tr>
      <w:tr w:rsidR="003A2E2E" w:rsidRPr="00D730B7" w14:paraId="335E19B7" w14:textId="77777777" w:rsidTr="00C639A0">
        <w:trPr>
          <w:cantSplit/>
          <w:trHeight w:val="863"/>
        </w:trPr>
        <w:tc>
          <w:tcPr>
            <w:tcW w:w="2425" w:type="dxa"/>
            <w:vAlign w:val="center"/>
          </w:tcPr>
          <w:p w14:paraId="5936EAEF" w14:textId="4E02423F" w:rsidR="003A2E2E" w:rsidRPr="005A437B" w:rsidRDefault="003A2E2E" w:rsidP="00D73E60">
            <w:pPr>
              <w:jc w:val="center"/>
              <w:rPr>
                <w:b/>
                <w:sz w:val="22"/>
                <w:szCs w:val="22"/>
              </w:rPr>
            </w:pPr>
            <w:r>
              <w:rPr>
                <w:rFonts w:ascii="Calibri" w:hAnsi="Calibri" w:cs="Calibri"/>
                <w:color w:val="000000"/>
                <w:sz w:val="22"/>
                <w:szCs w:val="22"/>
              </w:rPr>
              <w:t>Non-Point Source</w:t>
            </w:r>
          </w:p>
        </w:tc>
        <w:tc>
          <w:tcPr>
            <w:tcW w:w="645" w:type="dxa"/>
            <w:vAlign w:val="center"/>
          </w:tcPr>
          <w:p w14:paraId="2ADFCA09" w14:textId="6F335762" w:rsidR="003A2E2E" w:rsidRPr="005A437B" w:rsidRDefault="003A2E2E" w:rsidP="00D73E60">
            <w:pPr>
              <w:jc w:val="center"/>
              <w:rPr>
                <w:sz w:val="22"/>
                <w:szCs w:val="22"/>
              </w:rPr>
            </w:pPr>
            <w:r>
              <w:rPr>
                <w:rFonts w:ascii="Calibri" w:hAnsi="Calibri" w:cs="Calibri"/>
                <w:color w:val="000000"/>
                <w:sz w:val="22"/>
                <w:szCs w:val="22"/>
              </w:rPr>
              <w:t>20%</w:t>
            </w:r>
          </w:p>
        </w:tc>
        <w:tc>
          <w:tcPr>
            <w:tcW w:w="2461" w:type="dxa"/>
            <w:vAlign w:val="center"/>
          </w:tcPr>
          <w:p w14:paraId="665694BB" w14:textId="6148BDED" w:rsidR="003A2E2E" w:rsidRPr="005A437B" w:rsidRDefault="003A2E2E" w:rsidP="00D73E60">
            <w:pPr>
              <w:jc w:val="center"/>
              <w:rPr>
                <w:b/>
                <w:sz w:val="22"/>
                <w:szCs w:val="22"/>
              </w:rPr>
            </w:pPr>
            <w:r>
              <w:rPr>
                <w:rFonts w:ascii="Calibri" w:hAnsi="Calibri" w:cs="Calibri"/>
                <w:color w:val="000000"/>
                <w:sz w:val="22"/>
                <w:szCs w:val="22"/>
              </w:rPr>
              <w:t>Agriculture</w:t>
            </w:r>
          </w:p>
        </w:tc>
        <w:tc>
          <w:tcPr>
            <w:tcW w:w="645" w:type="dxa"/>
            <w:vAlign w:val="center"/>
          </w:tcPr>
          <w:p w14:paraId="2294C57E" w14:textId="6A4C6AC5" w:rsidR="003A2E2E" w:rsidRPr="005A437B" w:rsidRDefault="003A2E2E" w:rsidP="00D73E60">
            <w:pPr>
              <w:jc w:val="center"/>
              <w:rPr>
                <w:sz w:val="22"/>
                <w:szCs w:val="22"/>
              </w:rPr>
            </w:pPr>
            <w:r>
              <w:rPr>
                <w:rFonts w:ascii="Calibri" w:hAnsi="Calibri" w:cs="Calibri"/>
                <w:color w:val="000000"/>
                <w:sz w:val="22"/>
                <w:szCs w:val="22"/>
              </w:rPr>
              <w:t>4%</w:t>
            </w:r>
          </w:p>
        </w:tc>
        <w:tc>
          <w:tcPr>
            <w:tcW w:w="2529" w:type="dxa"/>
            <w:vAlign w:val="center"/>
          </w:tcPr>
          <w:p w14:paraId="40693A68" w14:textId="71A7FBB6" w:rsidR="003A2E2E" w:rsidRPr="005A437B" w:rsidRDefault="003A2E2E" w:rsidP="00D73E60">
            <w:pPr>
              <w:jc w:val="center"/>
              <w:rPr>
                <w:b/>
                <w:sz w:val="22"/>
                <w:szCs w:val="22"/>
              </w:rPr>
            </w:pPr>
            <w:r>
              <w:rPr>
                <w:rFonts w:ascii="Calibri" w:hAnsi="Calibri" w:cs="Calibri"/>
                <w:color w:val="000000"/>
                <w:sz w:val="22"/>
                <w:szCs w:val="22"/>
              </w:rPr>
              <w:t>Livestock (Grazing or Feeding Operations)</w:t>
            </w:r>
          </w:p>
        </w:tc>
        <w:tc>
          <w:tcPr>
            <w:tcW w:w="645" w:type="dxa"/>
            <w:vAlign w:val="center"/>
          </w:tcPr>
          <w:p w14:paraId="1FF27423" w14:textId="01A640C7" w:rsidR="003A2E2E" w:rsidRPr="005A437B" w:rsidRDefault="003A2E2E" w:rsidP="00D73E60">
            <w:pPr>
              <w:jc w:val="center"/>
              <w:rPr>
                <w:sz w:val="22"/>
                <w:szCs w:val="22"/>
              </w:rPr>
            </w:pPr>
            <w:r>
              <w:rPr>
                <w:rFonts w:ascii="Calibri" w:hAnsi="Calibri" w:cs="Calibri"/>
                <w:color w:val="000000"/>
                <w:sz w:val="22"/>
                <w:szCs w:val="22"/>
              </w:rPr>
              <w:t>28%</w:t>
            </w:r>
          </w:p>
        </w:tc>
      </w:tr>
      <w:tr w:rsidR="003A2E2E" w:rsidRPr="00D730B7" w14:paraId="52E1DDCF" w14:textId="77777777" w:rsidTr="00C639A0">
        <w:trPr>
          <w:cantSplit/>
          <w:trHeight w:val="245"/>
        </w:trPr>
        <w:tc>
          <w:tcPr>
            <w:tcW w:w="2425" w:type="dxa"/>
            <w:vAlign w:val="center"/>
          </w:tcPr>
          <w:p w14:paraId="3C0D4165" w14:textId="68E5CEF0" w:rsidR="003A2E2E" w:rsidRPr="005A437B" w:rsidRDefault="003A2E2E" w:rsidP="00D73E60">
            <w:pPr>
              <w:jc w:val="center"/>
              <w:rPr>
                <w:b/>
                <w:sz w:val="22"/>
                <w:szCs w:val="22"/>
              </w:rPr>
            </w:pPr>
            <w:r>
              <w:rPr>
                <w:rFonts w:ascii="Calibri" w:hAnsi="Calibri" w:cs="Calibri"/>
                <w:color w:val="000000"/>
                <w:sz w:val="22"/>
                <w:szCs w:val="22"/>
              </w:rPr>
              <w:t>Municipal Point Source Discharges</w:t>
            </w:r>
          </w:p>
        </w:tc>
        <w:tc>
          <w:tcPr>
            <w:tcW w:w="645" w:type="dxa"/>
            <w:vAlign w:val="center"/>
          </w:tcPr>
          <w:p w14:paraId="63929735" w14:textId="2C8597A0" w:rsidR="003A2E2E" w:rsidRPr="005A437B" w:rsidRDefault="003A2E2E" w:rsidP="00D73E60">
            <w:pPr>
              <w:jc w:val="center"/>
              <w:rPr>
                <w:sz w:val="22"/>
                <w:szCs w:val="22"/>
              </w:rPr>
            </w:pPr>
            <w:r>
              <w:rPr>
                <w:rFonts w:ascii="Calibri" w:hAnsi="Calibri" w:cs="Calibri"/>
                <w:color w:val="000000"/>
                <w:sz w:val="22"/>
                <w:szCs w:val="22"/>
              </w:rPr>
              <w:t>11%</w:t>
            </w:r>
          </w:p>
        </w:tc>
        <w:tc>
          <w:tcPr>
            <w:tcW w:w="2461" w:type="dxa"/>
            <w:vAlign w:val="center"/>
          </w:tcPr>
          <w:p w14:paraId="09BFAC17" w14:textId="77777777" w:rsidR="003A2E2E" w:rsidRPr="005A437B" w:rsidRDefault="003A2E2E" w:rsidP="00D73E60">
            <w:pPr>
              <w:jc w:val="center"/>
              <w:rPr>
                <w:b/>
                <w:sz w:val="22"/>
                <w:szCs w:val="22"/>
              </w:rPr>
            </w:pPr>
            <w:r w:rsidRPr="005A437B">
              <w:rPr>
                <w:b/>
                <w:sz w:val="22"/>
                <w:szCs w:val="22"/>
              </w:rPr>
              <w:t>--</w:t>
            </w:r>
          </w:p>
        </w:tc>
        <w:tc>
          <w:tcPr>
            <w:tcW w:w="645" w:type="dxa"/>
            <w:vAlign w:val="center"/>
          </w:tcPr>
          <w:p w14:paraId="1939AE0C" w14:textId="77777777" w:rsidR="003A2E2E" w:rsidRPr="005A437B" w:rsidRDefault="003A2E2E" w:rsidP="00D73E60">
            <w:pPr>
              <w:jc w:val="center"/>
              <w:rPr>
                <w:sz w:val="22"/>
                <w:szCs w:val="22"/>
              </w:rPr>
            </w:pPr>
            <w:r w:rsidRPr="005A437B">
              <w:rPr>
                <w:sz w:val="22"/>
                <w:szCs w:val="22"/>
              </w:rPr>
              <w:t>--</w:t>
            </w:r>
          </w:p>
        </w:tc>
        <w:tc>
          <w:tcPr>
            <w:tcW w:w="2529" w:type="dxa"/>
            <w:vAlign w:val="center"/>
          </w:tcPr>
          <w:p w14:paraId="54D6C4F8" w14:textId="76C7F9C3" w:rsidR="003A2E2E" w:rsidRPr="005A437B" w:rsidRDefault="003A2E2E" w:rsidP="00D73E60">
            <w:pPr>
              <w:jc w:val="center"/>
              <w:rPr>
                <w:b/>
                <w:sz w:val="22"/>
                <w:szCs w:val="22"/>
              </w:rPr>
            </w:pPr>
            <w:r>
              <w:rPr>
                <w:rFonts w:ascii="Calibri" w:hAnsi="Calibri" w:cs="Calibri"/>
                <w:color w:val="000000"/>
                <w:sz w:val="22"/>
                <w:szCs w:val="22"/>
              </w:rPr>
              <w:t>Source Unknown</w:t>
            </w:r>
          </w:p>
        </w:tc>
        <w:tc>
          <w:tcPr>
            <w:tcW w:w="645" w:type="dxa"/>
            <w:vAlign w:val="center"/>
          </w:tcPr>
          <w:p w14:paraId="4E4F4A4A" w14:textId="138D17F3" w:rsidR="003A2E2E" w:rsidRPr="005A437B" w:rsidRDefault="003A2E2E" w:rsidP="00D73E60">
            <w:pPr>
              <w:jc w:val="center"/>
              <w:rPr>
                <w:sz w:val="22"/>
                <w:szCs w:val="22"/>
              </w:rPr>
            </w:pPr>
            <w:r>
              <w:rPr>
                <w:rFonts w:ascii="Calibri" w:hAnsi="Calibri" w:cs="Calibri"/>
                <w:color w:val="000000"/>
                <w:sz w:val="22"/>
                <w:szCs w:val="22"/>
              </w:rPr>
              <w:t>25%</w:t>
            </w:r>
          </w:p>
        </w:tc>
      </w:tr>
    </w:tbl>
    <w:p w14:paraId="3771CCF2" w14:textId="77777777" w:rsidR="00546B19" w:rsidRPr="00D730B7" w:rsidRDefault="00546B19" w:rsidP="00546B19">
      <w:pPr>
        <w:jc w:val="both"/>
        <w:rPr>
          <w:szCs w:val="24"/>
        </w:rPr>
      </w:pPr>
    </w:p>
    <w:p w14:paraId="07164959" w14:textId="5013FF35" w:rsidR="00546B19" w:rsidRPr="00A13E5C" w:rsidRDefault="00546B19" w:rsidP="00A13E5C">
      <w:pPr>
        <w:pStyle w:val="Heading3"/>
      </w:pPr>
      <w:r w:rsidRPr="004816BD">
        <w:t>Tennessee-Big Sandy River Basin</w:t>
      </w:r>
    </w:p>
    <w:p w14:paraId="7D08946D" w14:textId="7335949C" w:rsidR="00546B19" w:rsidRPr="00D730B7" w:rsidRDefault="00546B19" w:rsidP="00A13E5C">
      <w:pPr>
        <w:pStyle w:val="Header"/>
        <w:rPr>
          <w:szCs w:val="24"/>
        </w:rPr>
      </w:pPr>
      <w:r w:rsidRPr="00D730B7">
        <w:rPr>
          <w:szCs w:val="24"/>
        </w:rPr>
        <w:t xml:space="preserve">The segment of the Tennessee and Big Sandy River basin which lies in Virginia is made up of the Holston, Clinch-Powell, and Big Sandy River sub-basins. These sub-basins </w:t>
      </w:r>
      <w:proofErr w:type="gramStart"/>
      <w:r w:rsidRPr="00D730B7">
        <w:rPr>
          <w:szCs w:val="24"/>
        </w:rPr>
        <w:t>are located in</w:t>
      </w:r>
      <w:proofErr w:type="gramEnd"/>
      <w:r w:rsidRPr="00D730B7">
        <w:rPr>
          <w:szCs w:val="24"/>
        </w:rPr>
        <w:t xml:space="preserve"> the extreme southwest portion of Virginia and cover 4,132 square miles or approximately 10 percent of the </w:t>
      </w:r>
      <w:r w:rsidR="00020140">
        <w:rPr>
          <w:szCs w:val="24"/>
        </w:rPr>
        <w:t>C</w:t>
      </w:r>
      <w:r w:rsidRPr="00D730B7">
        <w:rPr>
          <w:szCs w:val="24"/>
        </w:rPr>
        <w:t>ommonwealth’s total land area.</w:t>
      </w:r>
    </w:p>
    <w:p w14:paraId="4D33032C" w14:textId="77777777" w:rsidR="00546B19" w:rsidRPr="00D730B7" w:rsidRDefault="00546B19" w:rsidP="00546B19">
      <w:pPr>
        <w:pStyle w:val="Header"/>
        <w:rPr>
          <w:szCs w:val="24"/>
        </w:rPr>
      </w:pPr>
    </w:p>
    <w:p w14:paraId="390D8647" w14:textId="7EDF8FBB" w:rsidR="00546B19" w:rsidRPr="00D730B7" w:rsidRDefault="00546B19" w:rsidP="00546B19">
      <w:pPr>
        <w:pStyle w:val="Header"/>
        <w:rPr>
          <w:szCs w:val="24"/>
        </w:rPr>
      </w:pPr>
      <w:r w:rsidRPr="00D730B7">
        <w:rPr>
          <w:szCs w:val="24"/>
        </w:rPr>
        <w:t>The Virginia portion of the Tennessee-Big Sandy River basin is defined by both hydrologic and political boundaries. The West Virginia state line lies to the north, Kentucky to the west, and Tennessee to the south. The New River basin makes up the eastern boundary.</w:t>
      </w:r>
    </w:p>
    <w:p w14:paraId="56E51CB8" w14:textId="77777777" w:rsidR="00546B19" w:rsidRPr="00D730B7" w:rsidRDefault="00546B19" w:rsidP="00546B19">
      <w:pPr>
        <w:pStyle w:val="Header"/>
        <w:rPr>
          <w:szCs w:val="24"/>
        </w:rPr>
      </w:pPr>
    </w:p>
    <w:p w14:paraId="2E8BB143" w14:textId="2CC31C25" w:rsidR="00546B19" w:rsidRPr="00D730B7" w:rsidRDefault="00546B19" w:rsidP="00546B19">
      <w:pPr>
        <w:pStyle w:val="Header"/>
        <w:rPr>
          <w:szCs w:val="24"/>
        </w:rPr>
      </w:pPr>
      <w:r w:rsidRPr="00D730B7">
        <w:rPr>
          <w:szCs w:val="24"/>
        </w:rPr>
        <w:t xml:space="preserve">While numerous southwestern Virginia streams feed the Tennessee and Big Sandy Rivers, neither river forms within the </w:t>
      </w:r>
      <w:r w:rsidR="00020140">
        <w:rPr>
          <w:szCs w:val="24"/>
        </w:rPr>
        <w:t>C</w:t>
      </w:r>
      <w:r w:rsidRPr="00D730B7">
        <w:rPr>
          <w:szCs w:val="24"/>
        </w:rPr>
        <w:t xml:space="preserve">ommonwealth itself. The Big Sandy sub-basin contains the Levisa and Tug Forks that flows northward into Kentucky forming the Big Sandy River. The southwestward flowing Holston, Clinch, and Powell tributaries form the Tennessee River in Tennessee. </w:t>
      </w:r>
      <w:proofErr w:type="gramStart"/>
      <w:r w:rsidRPr="00D730B7">
        <w:rPr>
          <w:szCs w:val="24"/>
        </w:rPr>
        <w:t>Both of the major</w:t>
      </w:r>
      <w:proofErr w:type="gramEnd"/>
      <w:r w:rsidRPr="00D730B7">
        <w:rPr>
          <w:szCs w:val="24"/>
        </w:rPr>
        <w:t xml:space="preserve"> river sub-basins eventually empty into the Gulf of Mexico via the Ohio and Mississippi Rivers.</w:t>
      </w:r>
    </w:p>
    <w:p w14:paraId="401C18D4" w14:textId="77777777" w:rsidR="00546B19" w:rsidRPr="00D730B7" w:rsidRDefault="00546B19" w:rsidP="00546B19">
      <w:pPr>
        <w:pStyle w:val="Header"/>
        <w:rPr>
          <w:szCs w:val="24"/>
        </w:rPr>
      </w:pPr>
    </w:p>
    <w:p w14:paraId="10F14D6B" w14:textId="613A5D0A" w:rsidR="00546B19" w:rsidRPr="00D730B7" w:rsidRDefault="00546B19" w:rsidP="00546B19">
      <w:pPr>
        <w:pStyle w:val="Header"/>
        <w:rPr>
          <w:szCs w:val="24"/>
        </w:rPr>
      </w:pPr>
      <w:r w:rsidRPr="00D730B7">
        <w:rPr>
          <w:szCs w:val="24"/>
        </w:rPr>
        <w:t>The Tennessee-Big Sandy River basin spans three physiographic provinces: Appalachian Plateau, Valley and Ridge, and the Blue Ridge. The Big Sandy portion of the basin lies within the Appalachian Plateau. This province is characterized as rugged, with mountainous terrain and steep valleys. Parallel valleys and ridges running in a northeast to southwest direction characterize the Tennessee portion, lying in the Valley and Ridge Province. A small portion of the basin, located in the Blue Ridge Province, is more like a plateau with no single, prominent ridge that characterizes the province to the southeast.</w:t>
      </w:r>
    </w:p>
    <w:p w14:paraId="1433B187" w14:textId="77777777" w:rsidR="00546B19" w:rsidRPr="00D730B7" w:rsidRDefault="00546B19" w:rsidP="00546B19">
      <w:pPr>
        <w:pStyle w:val="Header"/>
        <w:rPr>
          <w:szCs w:val="24"/>
        </w:rPr>
      </w:pPr>
    </w:p>
    <w:p w14:paraId="1E2E4F9A" w14:textId="171030CA" w:rsidR="00546B19" w:rsidRPr="00D730B7" w:rsidRDefault="00546B19" w:rsidP="00546B19">
      <w:pPr>
        <w:pStyle w:val="Header"/>
        <w:rPr>
          <w:szCs w:val="24"/>
        </w:rPr>
      </w:pPr>
      <w:r w:rsidRPr="00D730B7">
        <w:rPr>
          <w:szCs w:val="24"/>
        </w:rPr>
        <w:t>Within Virginia, approximately 48 percent of the Tennessee River basin is forested, while cropland and pasture make up another 39.7 percent. The Big Sandy portion of the basin is approximately 86 percent forest, with only about 5 percent in cropland and pasture. Urban areas make up only a small percentage of the total land area.</w:t>
      </w:r>
    </w:p>
    <w:p w14:paraId="71B08C54" w14:textId="77777777" w:rsidR="00546B19" w:rsidRPr="00D730B7" w:rsidRDefault="00546B19" w:rsidP="00546B19">
      <w:pPr>
        <w:pStyle w:val="Header"/>
        <w:rPr>
          <w:szCs w:val="24"/>
        </w:rPr>
      </w:pPr>
    </w:p>
    <w:p w14:paraId="1D045400" w14:textId="632C6BEE" w:rsidR="00546B19" w:rsidRPr="00D730B7" w:rsidRDefault="00546B19" w:rsidP="00546B19">
      <w:pPr>
        <w:rPr>
          <w:color w:val="000000"/>
          <w:szCs w:val="24"/>
        </w:rPr>
      </w:pPr>
      <w:r w:rsidRPr="00D730B7">
        <w:rPr>
          <w:szCs w:val="24"/>
        </w:rPr>
        <w:t xml:space="preserve">The 2010 population for the Tennessee-Big Sandy River Basin was approximately </w:t>
      </w:r>
      <w:r w:rsidRPr="00D730B7">
        <w:rPr>
          <w:color w:val="000000"/>
          <w:szCs w:val="24"/>
        </w:rPr>
        <w:t>458,700</w:t>
      </w:r>
      <w:r w:rsidRPr="00D730B7">
        <w:rPr>
          <w:szCs w:val="24"/>
        </w:rPr>
        <w:t>. All or parts of the following jurisdictions lie within the basin: counties – Bland, Buchanan, Dickenson, Grayson, Lee, Russell, Scott, Smyth, Tazewell, Washington, Wise, and Wythe; Cities – Bristol and Norton.</w:t>
      </w:r>
    </w:p>
    <w:p w14:paraId="4A17439D" w14:textId="77777777" w:rsidR="00546B19" w:rsidRPr="00D730B7" w:rsidRDefault="00546B19" w:rsidP="00546B19">
      <w:pPr>
        <w:pStyle w:val="Header"/>
        <w:jc w:val="both"/>
        <w:rPr>
          <w:szCs w:val="24"/>
        </w:rPr>
      </w:pPr>
    </w:p>
    <w:p w14:paraId="7989C00A" w14:textId="2E884320" w:rsidR="00546B19" w:rsidRPr="00D730B7" w:rsidRDefault="00546B19" w:rsidP="00546B19">
      <w:pPr>
        <w:pStyle w:val="Header"/>
        <w:rPr>
          <w:szCs w:val="24"/>
        </w:rPr>
      </w:pPr>
      <w:r w:rsidRPr="00D730B7">
        <w:rPr>
          <w:szCs w:val="24"/>
        </w:rPr>
        <w:t>The Tennessee-Big Sandy River basin is divided into six USGS hydrologic units as follows: HUC 05070201 – Tug Fork; HUC 05070202 – Upper Levisa; HUC 06010101 – North Fork Holston; HUC 06010102 - South and Middle Fork Holston; HUC 06010205 – Upper Clinch; and HUC 06010206 – Powell River. The six hydrologic units are further divided into 56 waterbodies or watersheds and 135 6</w:t>
      </w:r>
      <w:r w:rsidRPr="00D730B7">
        <w:rPr>
          <w:szCs w:val="24"/>
          <w:vertAlign w:val="superscript"/>
        </w:rPr>
        <w:t>th</w:t>
      </w:r>
      <w:r w:rsidRPr="00D730B7">
        <w:rPr>
          <w:szCs w:val="24"/>
        </w:rPr>
        <w:t xml:space="preserve"> order sub-watersheds.</w:t>
      </w:r>
    </w:p>
    <w:p w14:paraId="34992FF4" w14:textId="77777777" w:rsidR="00546B19" w:rsidRPr="00D730B7" w:rsidRDefault="00546B19" w:rsidP="00546B19">
      <w:pPr>
        <w:pStyle w:val="Header"/>
        <w:rPr>
          <w:szCs w:val="24"/>
        </w:rPr>
      </w:pPr>
    </w:p>
    <w:p w14:paraId="73D161E7" w14:textId="77777777" w:rsidR="00546B19" w:rsidRPr="00535F48" w:rsidRDefault="00546B19" w:rsidP="00546B19">
      <w:pPr>
        <w:pStyle w:val="Header"/>
        <w:rPr>
          <w:szCs w:val="24"/>
        </w:rPr>
      </w:pPr>
      <w:r w:rsidRPr="00D730B7">
        <w:rPr>
          <w:szCs w:val="24"/>
        </w:rPr>
        <w:t>Basin assessment information is presented in the following figures and tables.</w:t>
      </w:r>
    </w:p>
    <w:p w14:paraId="36003C20" w14:textId="77777777" w:rsidR="00546B19" w:rsidRPr="00D730B7" w:rsidRDefault="00546B19" w:rsidP="00546B19">
      <w:pPr>
        <w:jc w:val="both"/>
        <w:rPr>
          <w:b/>
          <w:szCs w:val="24"/>
        </w:rPr>
      </w:pPr>
    </w:p>
    <w:p w14:paraId="2381C7AE" w14:textId="77777777" w:rsidR="008F20E4" w:rsidRPr="00D730B7" w:rsidRDefault="008F20E4" w:rsidP="008F20E4">
      <w:pPr>
        <w:jc w:val="both"/>
        <w:rPr>
          <w:b/>
          <w:szCs w:val="24"/>
        </w:rPr>
      </w:pPr>
      <w:r>
        <w:rPr>
          <w:b/>
          <w:szCs w:val="24"/>
        </w:rPr>
        <w:t>Total basin water body sizes, note all values rounded to the nearest whole number.</w:t>
      </w:r>
    </w:p>
    <w:p w14:paraId="66ABA673" w14:textId="632FA97E" w:rsidR="00546B19" w:rsidRPr="00D730B7" w:rsidRDefault="00546B19" w:rsidP="00546B19">
      <w:pPr>
        <w:ind w:firstLine="720"/>
        <w:jc w:val="both"/>
        <w:rPr>
          <w:szCs w:val="24"/>
        </w:rPr>
      </w:pPr>
      <w:r w:rsidRPr="00D730B7">
        <w:rPr>
          <w:szCs w:val="24"/>
        </w:rPr>
        <w:t>Rivers - 10,66</w:t>
      </w:r>
      <w:r w:rsidR="00251C48">
        <w:rPr>
          <w:szCs w:val="24"/>
        </w:rPr>
        <w:t>8</w:t>
      </w:r>
      <w:r w:rsidRPr="00D730B7">
        <w:rPr>
          <w:szCs w:val="24"/>
        </w:rPr>
        <w:t xml:space="preserve"> miles</w:t>
      </w:r>
    </w:p>
    <w:p w14:paraId="621D82EF" w14:textId="77777777" w:rsidR="00546B19" w:rsidRPr="00D730B7" w:rsidRDefault="00546B19" w:rsidP="00546B19">
      <w:pPr>
        <w:ind w:firstLine="720"/>
        <w:jc w:val="both"/>
        <w:rPr>
          <w:szCs w:val="24"/>
        </w:rPr>
      </w:pPr>
      <w:r w:rsidRPr="00D730B7">
        <w:rPr>
          <w:szCs w:val="24"/>
        </w:rPr>
        <w:t>Lakes - 3,857 acres</w:t>
      </w:r>
    </w:p>
    <w:p w14:paraId="21350004" w14:textId="77777777" w:rsidR="00546B19" w:rsidRPr="00D730B7" w:rsidRDefault="00546B19" w:rsidP="00546B19">
      <w:pPr>
        <w:ind w:firstLine="720"/>
        <w:jc w:val="both"/>
        <w:rPr>
          <w:szCs w:val="24"/>
        </w:rPr>
      </w:pPr>
      <w:r w:rsidRPr="00D730B7">
        <w:rPr>
          <w:szCs w:val="24"/>
        </w:rPr>
        <w:t>Estuaries - 0 sq. miles</w:t>
      </w:r>
    </w:p>
    <w:p w14:paraId="1C689272" w14:textId="465C4C74" w:rsidR="00546B19" w:rsidRDefault="00546B19" w:rsidP="00546B19">
      <w:pPr>
        <w:rPr>
          <w:b/>
          <w:szCs w:val="24"/>
        </w:rPr>
      </w:pPr>
    </w:p>
    <w:p w14:paraId="22DD0BEC" w14:textId="39A0174A" w:rsidR="00C23ADA" w:rsidRDefault="007208C0" w:rsidP="00C23ADA">
      <w:pPr>
        <w:keepNext/>
        <w:jc w:val="both"/>
      </w:pPr>
      <w:r>
        <w:rPr>
          <w:noProof/>
        </w:rPr>
        <w:drawing>
          <wp:inline distT="0" distB="0" distL="0" distR="0" wp14:anchorId="4DAA36AB" wp14:editId="4292D9B4">
            <wp:extent cx="5334000" cy="3810000"/>
            <wp:effectExtent l="0" t="0" r="0" b="0"/>
            <wp:docPr id="131" name="Picture" descr="Chart&#10;&#10;Figure 4.3 19. Designated use summary for rivers in the Tennessee-Big Sandy River basin (8,339 miles not assessed)."/>
            <wp:cNvGraphicFramePr/>
            <a:graphic xmlns:a="http://schemas.openxmlformats.org/drawingml/2006/main">
              <a:graphicData uri="http://schemas.openxmlformats.org/drawingml/2006/picture">
                <pic:pic xmlns:pic="http://schemas.openxmlformats.org/drawingml/2006/picture">
                  <pic:nvPicPr>
                    <pic:cNvPr id="131" name="Picture" descr="Chart&#10;&#10;Figure 4.3 19. Designated use summary for rivers in the Tennessee-Big Sandy River basin (8,339 miles not assessed)."/>
                    <pic:cNvPicPr>
                      <a:picLocks noChangeAspect="1" noChangeArrowheads="1"/>
                    </pic:cNvPicPr>
                  </pic:nvPicPr>
                  <pic:blipFill>
                    <a:blip r:embed="rId162"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5216752B" w14:textId="169A00A1" w:rsidR="00D04429" w:rsidRPr="0062574F" w:rsidRDefault="00C23ADA" w:rsidP="0A5BE548">
      <w:pPr>
        <w:pStyle w:val="Caption"/>
        <w:jc w:val="both"/>
        <w:rPr>
          <w:b/>
          <w:bCs/>
        </w:rPr>
      </w:pPr>
      <w:bookmarkStart w:id="148" w:name="_Toc164175075"/>
      <w:bookmarkStart w:id="149" w:name="_Toc152766250"/>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19</w:t>
      </w:r>
      <w:r w:rsidR="004F13BA">
        <w:rPr>
          <w:noProof/>
        </w:rPr>
        <w:fldChar w:fldCharType="end"/>
      </w:r>
      <w:r>
        <w:t xml:space="preserve">. </w:t>
      </w:r>
      <w:r w:rsidR="00D36560">
        <w:t>Designated</w:t>
      </w:r>
      <w:r w:rsidRPr="00C23ADA">
        <w:t xml:space="preserve"> use summary for </w:t>
      </w:r>
      <w:r w:rsidR="00D36560">
        <w:t>rivers in</w:t>
      </w:r>
      <w:r w:rsidRPr="00C23ADA">
        <w:t xml:space="preserve"> the Tennessee-Big Sandy River</w:t>
      </w:r>
      <w:r w:rsidR="173D4EAE" w:rsidRPr="00C23ADA">
        <w:t xml:space="preserve"> </w:t>
      </w:r>
      <w:bookmarkEnd w:id="148"/>
      <w:r>
        <w:t>basin</w:t>
      </w:r>
      <w:bookmarkEnd w:id="149"/>
      <w:r w:rsidR="00EE5456">
        <w:t xml:space="preserve"> (</w:t>
      </w:r>
      <w:r w:rsidR="00395B81">
        <w:t>8,339 miles not assessed</w:t>
      </w:r>
      <w:r w:rsidR="00EE5456">
        <w:t>).</w:t>
      </w:r>
    </w:p>
    <w:p w14:paraId="24AF753A" w14:textId="718416E3" w:rsidR="00546B19" w:rsidRDefault="00546B19" w:rsidP="00546B19">
      <w:pPr>
        <w:rPr>
          <w:b/>
          <w:szCs w:val="24"/>
        </w:rPr>
      </w:pPr>
    </w:p>
    <w:p w14:paraId="1EF05DDC" w14:textId="44BA2CC3" w:rsidR="00085B1D" w:rsidRDefault="00E35F08" w:rsidP="00085B1D">
      <w:pPr>
        <w:keepNext/>
        <w:jc w:val="both"/>
      </w:pPr>
      <w:r>
        <w:rPr>
          <w:noProof/>
        </w:rPr>
        <w:lastRenderedPageBreak/>
        <w:drawing>
          <wp:inline distT="0" distB="0" distL="0" distR="0" wp14:anchorId="355410C7" wp14:editId="59A2FC7C">
            <wp:extent cx="5334000" cy="3810000"/>
            <wp:effectExtent l="0" t="0" r="0" b="0"/>
            <wp:docPr id="137" name="Picture" descr="Chart, bar chart&#10;&#10;Figure 4.3 20. Designated use summary for lakes in the Tennessee-Big Sandy River basin (all acres assessed). "/>
            <wp:cNvGraphicFramePr/>
            <a:graphic xmlns:a="http://schemas.openxmlformats.org/drawingml/2006/main">
              <a:graphicData uri="http://schemas.openxmlformats.org/drawingml/2006/picture">
                <pic:pic xmlns:pic="http://schemas.openxmlformats.org/drawingml/2006/picture">
                  <pic:nvPicPr>
                    <pic:cNvPr id="137" name="Picture" descr="Chart, bar chart&#10;&#10;Figure 4.3 20. Designated use summary for lakes in the Tennessee-Big Sandy River basin (all acres assessed). "/>
                    <pic:cNvPicPr>
                      <a:picLocks noChangeAspect="1" noChangeArrowheads="1"/>
                    </pic:cNvPicPr>
                  </pic:nvPicPr>
                  <pic:blipFill>
                    <a:blip r:embed="rId163"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19E77536" w14:textId="10E260B5" w:rsidR="00D04429" w:rsidRPr="0062574F" w:rsidRDefault="00085B1D" w:rsidP="00D04429">
      <w:pPr>
        <w:pStyle w:val="Caption"/>
        <w:jc w:val="both"/>
      </w:pPr>
      <w:bookmarkStart w:id="150" w:name="_Toc164175076"/>
      <w:bookmarkStart w:id="151" w:name="_Toc152766251"/>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20</w:t>
      </w:r>
      <w:r w:rsidR="004F13BA">
        <w:rPr>
          <w:noProof/>
        </w:rPr>
        <w:fldChar w:fldCharType="end"/>
      </w:r>
      <w:r>
        <w:t xml:space="preserve">. </w:t>
      </w:r>
      <w:r w:rsidR="00CA198F">
        <w:t>Designated</w:t>
      </w:r>
      <w:r w:rsidRPr="00085B1D">
        <w:t xml:space="preserve"> use summary for </w:t>
      </w:r>
      <w:r w:rsidR="00E71122">
        <w:t>lakes in</w:t>
      </w:r>
      <w:r w:rsidRPr="00085B1D">
        <w:t xml:space="preserve"> the Tennessee-Big Sandy River</w:t>
      </w:r>
      <w:r w:rsidR="5F9EFB8B" w:rsidRPr="00085B1D">
        <w:t xml:space="preserve"> </w:t>
      </w:r>
      <w:bookmarkEnd w:id="150"/>
      <w:r>
        <w:t>basin</w:t>
      </w:r>
      <w:r w:rsidR="00395B81">
        <w:t xml:space="preserve"> (all acres assessed)</w:t>
      </w:r>
      <w:r>
        <w:t xml:space="preserve">. </w:t>
      </w:r>
      <w:bookmarkEnd w:id="151"/>
    </w:p>
    <w:p w14:paraId="5F8859CE" w14:textId="77777777" w:rsidR="00546B19" w:rsidRPr="00D730B7" w:rsidRDefault="00546B19" w:rsidP="00546B19">
      <w:pPr>
        <w:jc w:val="both"/>
        <w:rPr>
          <w:b/>
          <w:szCs w:val="24"/>
        </w:rPr>
      </w:pPr>
    </w:p>
    <w:p w14:paraId="6819B6C2" w14:textId="14C6083A" w:rsidR="00D04429" w:rsidRPr="0062574F" w:rsidRDefault="00085B1D" w:rsidP="00D04429">
      <w:pPr>
        <w:pStyle w:val="Caption"/>
        <w:jc w:val="both"/>
      </w:pPr>
      <w:bookmarkStart w:id="152" w:name="_Toc164175175"/>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11</w:t>
      </w:r>
      <w:r w:rsidR="004F13BA">
        <w:rPr>
          <w:noProof/>
        </w:rPr>
        <w:fldChar w:fldCharType="end"/>
      </w:r>
      <w:r>
        <w:t xml:space="preserve">. </w:t>
      </w:r>
      <w:r w:rsidRPr="0A5BE548">
        <w:t xml:space="preserve">Significant causes </w:t>
      </w:r>
      <w:proofErr w:type="gramStart"/>
      <w:r w:rsidRPr="0A5BE548">
        <w:t>of use</w:t>
      </w:r>
      <w:proofErr w:type="gramEnd"/>
      <w:r w:rsidRPr="0A5BE548">
        <w:t xml:space="preserve"> impairment in the Tennessee-Big Sandy River</w:t>
      </w:r>
      <w:r w:rsidR="409A97E1" w:rsidRPr="0A5BE548">
        <w:t xml:space="preserve"> </w:t>
      </w:r>
      <w:bookmarkEnd w:id="152"/>
      <w:r>
        <w:t>basin, by waterbody type, ranked by percentage of impaired water size. (Note: Waters can have multiple pollutants.)</w:t>
      </w:r>
    </w:p>
    <w:tbl>
      <w:tblPr>
        <w:tblStyle w:val="TableGrid"/>
        <w:tblW w:w="9734" w:type="dxa"/>
        <w:tblCellMar>
          <w:left w:w="115" w:type="dxa"/>
          <w:right w:w="115" w:type="dxa"/>
        </w:tblCellMar>
        <w:tblLook w:val="04A0" w:firstRow="1" w:lastRow="0" w:firstColumn="1" w:lastColumn="0" w:noHBand="0" w:noVBand="1"/>
        <w:tblCaption w:val="Table of Tennessee-Big Sandy River Basin Significant Causes of Designated Use Impairment"/>
        <w:tblDescription w:val="Tennessee-Big Sandy River Basin significant causes of Designated Use impairment for rivers and lakes ranked by percent of impaired water size"/>
      </w:tblPr>
      <w:tblGrid>
        <w:gridCol w:w="4312"/>
        <w:gridCol w:w="636"/>
        <w:gridCol w:w="4135"/>
        <w:gridCol w:w="651"/>
      </w:tblGrid>
      <w:tr w:rsidR="00546B19" w:rsidRPr="00D730B7" w14:paraId="629ECD2C" w14:textId="77777777" w:rsidTr="00DD69F6">
        <w:trPr>
          <w:cantSplit/>
          <w:trHeight w:val="360"/>
          <w:tblHeader/>
        </w:trPr>
        <w:tc>
          <w:tcPr>
            <w:tcW w:w="4753" w:type="dxa"/>
            <w:gridSpan w:val="2"/>
            <w:vAlign w:val="center"/>
          </w:tcPr>
          <w:p w14:paraId="0CEA0EBA" w14:textId="77777777" w:rsidR="00546B19" w:rsidRPr="005A437B" w:rsidRDefault="00546B19" w:rsidP="008E18E2">
            <w:pPr>
              <w:jc w:val="center"/>
              <w:rPr>
                <w:b/>
                <w:iCs/>
                <w:sz w:val="22"/>
                <w:szCs w:val="22"/>
              </w:rPr>
            </w:pPr>
            <w:r w:rsidRPr="005A437B">
              <w:rPr>
                <w:b/>
                <w:iCs/>
                <w:sz w:val="22"/>
                <w:szCs w:val="22"/>
              </w:rPr>
              <w:t>Rivers</w:t>
            </w:r>
          </w:p>
        </w:tc>
        <w:tc>
          <w:tcPr>
            <w:tcW w:w="4597" w:type="dxa"/>
            <w:gridSpan w:val="2"/>
            <w:vAlign w:val="center"/>
          </w:tcPr>
          <w:p w14:paraId="0A43B5B6" w14:textId="77777777" w:rsidR="00546B19" w:rsidRPr="005A437B" w:rsidRDefault="00546B19" w:rsidP="008E18E2">
            <w:pPr>
              <w:jc w:val="center"/>
              <w:rPr>
                <w:b/>
                <w:iCs/>
                <w:sz w:val="22"/>
                <w:szCs w:val="22"/>
              </w:rPr>
            </w:pPr>
            <w:r w:rsidRPr="005A437B">
              <w:rPr>
                <w:b/>
                <w:iCs/>
                <w:sz w:val="22"/>
                <w:szCs w:val="22"/>
              </w:rPr>
              <w:t>Lakes</w:t>
            </w:r>
          </w:p>
        </w:tc>
      </w:tr>
      <w:tr w:rsidR="006D6D1C" w:rsidRPr="00D730B7" w14:paraId="4B71D09B" w14:textId="77777777" w:rsidTr="00DD69F6">
        <w:trPr>
          <w:cantSplit/>
          <w:trHeight w:val="360"/>
        </w:trPr>
        <w:tc>
          <w:tcPr>
            <w:tcW w:w="4142" w:type="dxa"/>
            <w:vAlign w:val="center"/>
          </w:tcPr>
          <w:p w14:paraId="01320AD2" w14:textId="3D2CD96D" w:rsidR="006D6D1C" w:rsidRPr="005A437B" w:rsidRDefault="006D6D1C" w:rsidP="008E18E2">
            <w:pPr>
              <w:jc w:val="center"/>
              <w:rPr>
                <w:b/>
                <w:iCs/>
                <w:sz w:val="22"/>
                <w:szCs w:val="22"/>
              </w:rPr>
            </w:pPr>
            <w:r>
              <w:rPr>
                <w:rFonts w:ascii="Calibri" w:hAnsi="Calibri" w:cs="Calibri"/>
                <w:color w:val="000000"/>
                <w:sz w:val="22"/>
                <w:szCs w:val="22"/>
              </w:rPr>
              <w:t>Bacteria</w:t>
            </w:r>
          </w:p>
        </w:tc>
        <w:tc>
          <w:tcPr>
            <w:tcW w:w="611" w:type="dxa"/>
            <w:vAlign w:val="center"/>
          </w:tcPr>
          <w:p w14:paraId="77D5DB19" w14:textId="1BF56580" w:rsidR="006D6D1C" w:rsidRPr="005A437B" w:rsidRDefault="006D6D1C" w:rsidP="008E18E2">
            <w:pPr>
              <w:jc w:val="center"/>
              <w:rPr>
                <w:iCs/>
                <w:sz w:val="22"/>
                <w:szCs w:val="22"/>
              </w:rPr>
            </w:pPr>
            <w:r>
              <w:rPr>
                <w:rFonts w:ascii="Calibri" w:hAnsi="Calibri" w:cs="Calibri"/>
                <w:color w:val="000000"/>
                <w:sz w:val="22"/>
                <w:szCs w:val="22"/>
              </w:rPr>
              <w:t>76%</w:t>
            </w:r>
          </w:p>
        </w:tc>
        <w:tc>
          <w:tcPr>
            <w:tcW w:w="3972" w:type="dxa"/>
            <w:vAlign w:val="center"/>
          </w:tcPr>
          <w:p w14:paraId="624352DB" w14:textId="2C80E414" w:rsidR="006D6D1C" w:rsidRPr="005A437B" w:rsidRDefault="006D6D1C" w:rsidP="008E18E2">
            <w:pPr>
              <w:jc w:val="center"/>
              <w:rPr>
                <w:b/>
                <w:iCs/>
                <w:sz w:val="22"/>
                <w:szCs w:val="22"/>
              </w:rPr>
            </w:pPr>
            <w:r>
              <w:rPr>
                <w:rFonts w:ascii="Calibri" w:hAnsi="Calibri" w:cs="Calibri"/>
                <w:color w:val="000000"/>
                <w:sz w:val="22"/>
                <w:szCs w:val="22"/>
              </w:rPr>
              <w:t>Mercury in Fish Tissue</w:t>
            </w:r>
          </w:p>
        </w:tc>
        <w:tc>
          <w:tcPr>
            <w:tcW w:w="625" w:type="dxa"/>
            <w:vAlign w:val="center"/>
          </w:tcPr>
          <w:p w14:paraId="4BCE7BD7" w14:textId="596EC794" w:rsidR="006D6D1C" w:rsidRPr="005A437B" w:rsidRDefault="006D6D1C" w:rsidP="008E18E2">
            <w:pPr>
              <w:jc w:val="center"/>
              <w:rPr>
                <w:iCs/>
                <w:sz w:val="22"/>
                <w:szCs w:val="22"/>
              </w:rPr>
            </w:pPr>
            <w:r>
              <w:rPr>
                <w:rFonts w:ascii="Calibri" w:hAnsi="Calibri" w:cs="Calibri"/>
                <w:color w:val="000000"/>
                <w:sz w:val="22"/>
                <w:szCs w:val="22"/>
              </w:rPr>
              <w:t>97%</w:t>
            </w:r>
          </w:p>
        </w:tc>
      </w:tr>
      <w:tr w:rsidR="006D6D1C" w:rsidRPr="00D730B7" w14:paraId="7155EC7D" w14:textId="77777777" w:rsidTr="00DD69F6">
        <w:trPr>
          <w:cantSplit/>
          <w:trHeight w:val="360"/>
        </w:trPr>
        <w:tc>
          <w:tcPr>
            <w:tcW w:w="4142" w:type="dxa"/>
            <w:vAlign w:val="center"/>
          </w:tcPr>
          <w:p w14:paraId="685C9A8E" w14:textId="3563C9A6" w:rsidR="006D6D1C" w:rsidRPr="005A437B" w:rsidRDefault="008E18E2" w:rsidP="008E18E2">
            <w:pPr>
              <w:jc w:val="center"/>
              <w:rPr>
                <w:b/>
                <w:iCs/>
                <w:sz w:val="22"/>
                <w:szCs w:val="22"/>
              </w:rPr>
            </w:pPr>
            <w:r>
              <w:rPr>
                <w:rFonts w:ascii="Calibri" w:hAnsi="Calibri" w:cs="Calibri"/>
                <w:color w:val="000000"/>
                <w:sz w:val="22"/>
                <w:szCs w:val="22"/>
              </w:rPr>
              <w:t>Impaired Benthics</w:t>
            </w:r>
          </w:p>
        </w:tc>
        <w:tc>
          <w:tcPr>
            <w:tcW w:w="611" w:type="dxa"/>
            <w:vAlign w:val="center"/>
          </w:tcPr>
          <w:p w14:paraId="43A22808" w14:textId="2BC36E7C" w:rsidR="006D6D1C" w:rsidRPr="005A437B" w:rsidRDefault="006D6D1C" w:rsidP="008E18E2">
            <w:pPr>
              <w:jc w:val="center"/>
              <w:rPr>
                <w:iCs/>
                <w:sz w:val="22"/>
                <w:szCs w:val="22"/>
              </w:rPr>
            </w:pPr>
            <w:r>
              <w:rPr>
                <w:rFonts w:ascii="Calibri" w:hAnsi="Calibri" w:cs="Calibri"/>
                <w:color w:val="000000"/>
                <w:sz w:val="22"/>
                <w:szCs w:val="22"/>
              </w:rPr>
              <w:t>29%</w:t>
            </w:r>
          </w:p>
        </w:tc>
        <w:tc>
          <w:tcPr>
            <w:tcW w:w="3972" w:type="dxa"/>
            <w:vAlign w:val="center"/>
          </w:tcPr>
          <w:p w14:paraId="3EE68AB5" w14:textId="7D0613B4" w:rsidR="006D6D1C" w:rsidRPr="005A437B" w:rsidRDefault="006D6D1C" w:rsidP="008E18E2">
            <w:pPr>
              <w:jc w:val="center"/>
              <w:rPr>
                <w:b/>
                <w:iCs/>
                <w:sz w:val="22"/>
                <w:szCs w:val="22"/>
              </w:rPr>
            </w:pPr>
            <w:r>
              <w:rPr>
                <w:rFonts w:ascii="Calibri" w:hAnsi="Calibri" w:cs="Calibri"/>
                <w:color w:val="000000"/>
                <w:sz w:val="22"/>
                <w:szCs w:val="22"/>
              </w:rPr>
              <w:t>Dissolved Oxygen</w:t>
            </w:r>
          </w:p>
        </w:tc>
        <w:tc>
          <w:tcPr>
            <w:tcW w:w="625" w:type="dxa"/>
            <w:vAlign w:val="center"/>
          </w:tcPr>
          <w:p w14:paraId="2D640664" w14:textId="253FA54D" w:rsidR="006D6D1C" w:rsidRPr="005A437B" w:rsidRDefault="006D6D1C" w:rsidP="008E18E2">
            <w:pPr>
              <w:jc w:val="center"/>
              <w:rPr>
                <w:iCs/>
                <w:sz w:val="22"/>
                <w:szCs w:val="22"/>
              </w:rPr>
            </w:pPr>
            <w:r>
              <w:rPr>
                <w:rFonts w:ascii="Calibri" w:hAnsi="Calibri" w:cs="Calibri"/>
                <w:color w:val="000000"/>
                <w:sz w:val="22"/>
                <w:szCs w:val="22"/>
              </w:rPr>
              <w:t>81%</w:t>
            </w:r>
          </w:p>
        </w:tc>
      </w:tr>
      <w:tr w:rsidR="006D6D1C" w:rsidRPr="00D730B7" w14:paraId="5DA56EC8" w14:textId="77777777" w:rsidTr="00DD69F6">
        <w:trPr>
          <w:cantSplit/>
          <w:trHeight w:val="360"/>
        </w:trPr>
        <w:tc>
          <w:tcPr>
            <w:tcW w:w="4142" w:type="dxa"/>
            <w:vAlign w:val="center"/>
          </w:tcPr>
          <w:p w14:paraId="085E602A" w14:textId="482C74D9" w:rsidR="006D6D1C" w:rsidRPr="005A437B" w:rsidRDefault="006D6D1C" w:rsidP="008E18E2">
            <w:pPr>
              <w:jc w:val="center"/>
              <w:rPr>
                <w:b/>
                <w:iCs/>
                <w:sz w:val="22"/>
                <w:szCs w:val="22"/>
              </w:rPr>
            </w:pPr>
            <w:r>
              <w:rPr>
                <w:rFonts w:ascii="Calibri" w:hAnsi="Calibri" w:cs="Calibri"/>
                <w:color w:val="000000"/>
                <w:sz w:val="22"/>
                <w:szCs w:val="22"/>
              </w:rPr>
              <w:t>PCBs in Fish Tissue</w:t>
            </w:r>
          </w:p>
        </w:tc>
        <w:tc>
          <w:tcPr>
            <w:tcW w:w="611" w:type="dxa"/>
            <w:vAlign w:val="center"/>
          </w:tcPr>
          <w:p w14:paraId="279BDC56" w14:textId="579514F1" w:rsidR="006D6D1C" w:rsidRPr="005A437B" w:rsidRDefault="006D6D1C" w:rsidP="008E18E2">
            <w:pPr>
              <w:jc w:val="center"/>
              <w:rPr>
                <w:iCs/>
                <w:sz w:val="22"/>
                <w:szCs w:val="22"/>
              </w:rPr>
            </w:pPr>
            <w:r>
              <w:rPr>
                <w:rFonts w:ascii="Calibri" w:hAnsi="Calibri" w:cs="Calibri"/>
                <w:color w:val="000000"/>
                <w:sz w:val="22"/>
                <w:szCs w:val="22"/>
              </w:rPr>
              <w:t>1</w:t>
            </w:r>
            <w:r w:rsidR="00216903">
              <w:rPr>
                <w:rFonts w:ascii="Calibri" w:hAnsi="Calibri" w:cs="Calibri"/>
                <w:color w:val="000000"/>
                <w:sz w:val="22"/>
                <w:szCs w:val="22"/>
              </w:rPr>
              <w:t>9</w:t>
            </w:r>
            <w:r>
              <w:rPr>
                <w:rFonts w:ascii="Calibri" w:hAnsi="Calibri" w:cs="Calibri"/>
                <w:color w:val="000000"/>
                <w:sz w:val="22"/>
                <w:szCs w:val="22"/>
              </w:rPr>
              <w:t>%</w:t>
            </w:r>
          </w:p>
        </w:tc>
        <w:tc>
          <w:tcPr>
            <w:tcW w:w="3972" w:type="dxa"/>
            <w:vAlign w:val="center"/>
          </w:tcPr>
          <w:p w14:paraId="2160A81C" w14:textId="3BF1E761" w:rsidR="006D6D1C" w:rsidRPr="005A437B" w:rsidRDefault="006D6D1C" w:rsidP="008E18E2">
            <w:pPr>
              <w:jc w:val="center"/>
              <w:rPr>
                <w:b/>
                <w:iCs/>
                <w:sz w:val="22"/>
                <w:szCs w:val="22"/>
              </w:rPr>
            </w:pPr>
            <w:r>
              <w:rPr>
                <w:rFonts w:ascii="Calibri" w:hAnsi="Calibri" w:cs="Calibri"/>
                <w:color w:val="000000"/>
                <w:sz w:val="22"/>
                <w:szCs w:val="22"/>
              </w:rPr>
              <w:t>PCBs in Fish Tissue</w:t>
            </w:r>
          </w:p>
        </w:tc>
        <w:tc>
          <w:tcPr>
            <w:tcW w:w="625" w:type="dxa"/>
            <w:vAlign w:val="center"/>
          </w:tcPr>
          <w:p w14:paraId="141DFDFC" w14:textId="63845AC8" w:rsidR="006D6D1C" w:rsidRPr="005A437B" w:rsidRDefault="006D6D1C" w:rsidP="008E18E2">
            <w:pPr>
              <w:jc w:val="center"/>
              <w:rPr>
                <w:iCs/>
                <w:sz w:val="22"/>
                <w:szCs w:val="22"/>
              </w:rPr>
            </w:pPr>
            <w:r>
              <w:rPr>
                <w:rFonts w:ascii="Calibri" w:hAnsi="Calibri" w:cs="Calibri"/>
                <w:color w:val="000000"/>
                <w:sz w:val="22"/>
                <w:szCs w:val="22"/>
              </w:rPr>
              <w:t>45%</w:t>
            </w:r>
          </w:p>
        </w:tc>
      </w:tr>
      <w:tr w:rsidR="006D6D1C" w:rsidRPr="00D730B7" w14:paraId="02BFBF22" w14:textId="77777777" w:rsidTr="00DD69F6">
        <w:trPr>
          <w:cantSplit/>
          <w:trHeight w:val="360"/>
        </w:trPr>
        <w:tc>
          <w:tcPr>
            <w:tcW w:w="4142" w:type="dxa"/>
            <w:vAlign w:val="center"/>
          </w:tcPr>
          <w:p w14:paraId="2E97DE60" w14:textId="3E0CDE92" w:rsidR="006D6D1C" w:rsidRPr="005A437B" w:rsidRDefault="006D6D1C" w:rsidP="008E18E2">
            <w:pPr>
              <w:jc w:val="center"/>
              <w:rPr>
                <w:b/>
                <w:iCs/>
                <w:sz w:val="22"/>
                <w:szCs w:val="22"/>
              </w:rPr>
            </w:pPr>
            <w:r>
              <w:rPr>
                <w:rFonts w:ascii="Calibri" w:hAnsi="Calibri" w:cs="Calibri"/>
                <w:color w:val="000000"/>
                <w:sz w:val="22"/>
                <w:szCs w:val="22"/>
              </w:rPr>
              <w:t>Mercury in Fish Tissue</w:t>
            </w:r>
          </w:p>
        </w:tc>
        <w:tc>
          <w:tcPr>
            <w:tcW w:w="611" w:type="dxa"/>
            <w:vAlign w:val="center"/>
          </w:tcPr>
          <w:p w14:paraId="133ADC0C" w14:textId="5028B88D" w:rsidR="006D6D1C" w:rsidRPr="005A437B" w:rsidRDefault="006D6D1C" w:rsidP="008E18E2">
            <w:pPr>
              <w:jc w:val="center"/>
              <w:rPr>
                <w:iCs/>
                <w:sz w:val="22"/>
                <w:szCs w:val="22"/>
              </w:rPr>
            </w:pPr>
            <w:r>
              <w:rPr>
                <w:rFonts w:ascii="Calibri" w:hAnsi="Calibri" w:cs="Calibri"/>
                <w:color w:val="000000"/>
                <w:sz w:val="22"/>
                <w:szCs w:val="22"/>
              </w:rPr>
              <w:t>5%</w:t>
            </w:r>
          </w:p>
        </w:tc>
        <w:tc>
          <w:tcPr>
            <w:tcW w:w="3972" w:type="dxa"/>
            <w:vAlign w:val="center"/>
          </w:tcPr>
          <w:p w14:paraId="541883A9" w14:textId="03AA43E9" w:rsidR="006D6D1C" w:rsidRPr="005A437B" w:rsidRDefault="006D6D1C" w:rsidP="008E18E2">
            <w:pPr>
              <w:jc w:val="center"/>
              <w:rPr>
                <w:b/>
                <w:iCs/>
                <w:sz w:val="22"/>
                <w:szCs w:val="22"/>
              </w:rPr>
            </w:pPr>
            <w:r>
              <w:rPr>
                <w:rFonts w:ascii="Calibri" w:hAnsi="Calibri" w:cs="Calibri"/>
                <w:color w:val="000000"/>
                <w:sz w:val="22"/>
                <w:szCs w:val="22"/>
              </w:rPr>
              <w:t>Temperature</w:t>
            </w:r>
          </w:p>
        </w:tc>
        <w:tc>
          <w:tcPr>
            <w:tcW w:w="625" w:type="dxa"/>
            <w:vAlign w:val="center"/>
          </w:tcPr>
          <w:p w14:paraId="4B7FD94A" w14:textId="58C2F96E" w:rsidR="006D6D1C" w:rsidRPr="005A437B" w:rsidRDefault="006D6D1C" w:rsidP="008E18E2">
            <w:pPr>
              <w:jc w:val="center"/>
              <w:rPr>
                <w:iCs/>
                <w:sz w:val="22"/>
                <w:szCs w:val="22"/>
              </w:rPr>
            </w:pPr>
            <w:r>
              <w:rPr>
                <w:rFonts w:ascii="Calibri" w:hAnsi="Calibri" w:cs="Calibri"/>
                <w:color w:val="000000"/>
                <w:sz w:val="22"/>
                <w:szCs w:val="22"/>
              </w:rPr>
              <w:t>12%</w:t>
            </w:r>
          </w:p>
        </w:tc>
      </w:tr>
      <w:tr w:rsidR="006D6D1C" w:rsidRPr="00D730B7" w14:paraId="7621D9F0" w14:textId="77777777" w:rsidTr="00DD69F6">
        <w:trPr>
          <w:cantSplit/>
          <w:trHeight w:val="360"/>
        </w:trPr>
        <w:tc>
          <w:tcPr>
            <w:tcW w:w="4142" w:type="dxa"/>
            <w:vAlign w:val="center"/>
          </w:tcPr>
          <w:p w14:paraId="11142743" w14:textId="7A28D53B" w:rsidR="006D6D1C" w:rsidRPr="005A437B" w:rsidRDefault="006D6D1C" w:rsidP="008E18E2">
            <w:pPr>
              <w:jc w:val="center"/>
              <w:rPr>
                <w:b/>
                <w:iCs/>
                <w:sz w:val="22"/>
                <w:szCs w:val="22"/>
              </w:rPr>
            </w:pPr>
            <w:r>
              <w:rPr>
                <w:rFonts w:ascii="Calibri" w:hAnsi="Calibri" w:cs="Calibri"/>
                <w:color w:val="000000"/>
                <w:sz w:val="22"/>
                <w:szCs w:val="22"/>
              </w:rPr>
              <w:t>pH</w:t>
            </w:r>
          </w:p>
        </w:tc>
        <w:tc>
          <w:tcPr>
            <w:tcW w:w="611" w:type="dxa"/>
            <w:vAlign w:val="center"/>
          </w:tcPr>
          <w:p w14:paraId="4D32F9C0" w14:textId="47BC5288" w:rsidR="006D6D1C" w:rsidRPr="005A437B" w:rsidRDefault="006D6D1C" w:rsidP="008E18E2">
            <w:pPr>
              <w:jc w:val="center"/>
              <w:rPr>
                <w:iCs/>
                <w:sz w:val="22"/>
                <w:szCs w:val="22"/>
              </w:rPr>
            </w:pPr>
            <w:r>
              <w:rPr>
                <w:rFonts w:ascii="Calibri" w:hAnsi="Calibri" w:cs="Calibri"/>
                <w:color w:val="000000"/>
                <w:sz w:val="22"/>
                <w:szCs w:val="22"/>
              </w:rPr>
              <w:t>1%</w:t>
            </w:r>
          </w:p>
        </w:tc>
        <w:tc>
          <w:tcPr>
            <w:tcW w:w="3972" w:type="dxa"/>
            <w:vAlign w:val="center"/>
          </w:tcPr>
          <w:p w14:paraId="37A42560" w14:textId="77777777" w:rsidR="006D6D1C" w:rsidRPr="005A437B" w:rsidRDefault="006D6D1C" w:rsidP="008E18E2">
            <w:pPr>
              <w:jc w:val="center"/>
              <w:rPr>
                <w:b/>
                <w:iCs/>
                <w:sz w:val="22"/>
                <w:szCs w:val="22"/>
              </w:rPr>
            </w:pPr>
            <w:r w:rsidRPr="005A437B">
              <w:rPr>
                <w:b/>
                <w:iCs/>
                <w:sz w:val="22"/>
                <w:szCs w:val="22"/>
              </w:rPr>
              <w:t>--</w:t>
            </w:r>
          </w:p>
        </w:tc>
        <w:tc>
          <w:tcPr>
            <w:tcW w:w="625" w:type="dxa"/>
            <w:vAlign w:val="center"/>
          </w:tcPr>
          <w:p w14:paraId="2F3A998F" w14:textId="77777777" w:rsidR="006D6D1C" w:rsidRPr="005A437B" w:rsidRDefault="006D6D1C" w:rsidP="008E18E2">
            <w:pPr>
              <w:jc w:val="center"/>
              <w:rPr>
                <w:iCs/>
                <w:sz w:val="22"/>
                <w:szCs w:val="22"/>
              </w:rPr>
            </w:pPr>
            <w:r w:rsidRPr="005A437B">
              <w:rPr>
                <w:iCs/>
                <w:sz w:val="22"/>
                <w:szCs w:val="22"/>
              </w:rPr>
              <w:t>--</w:t>
            </w:r>
          </w:p>
        </w:tc>
      </w:tr>
      <w:tr w:rsidR="006D6D1C" w:rsidRPr="00D730B7" w14:paraId="34F7C592" w14:textId="77777777" w:rsidTr="00DD69F6">
        <w:trPr>
          <w:cantSplit/>
          <w:trHeight w:val="360"/>
        </w:trPr>
        <w:tc>
          <w:tcPr>
            <w:tcW w:w="4142" w:type="dxa"/>
            <w:vAlign w:val="center"/>
          </w:tcPr>
          <w:p w14:paraId="0BB2C7F9" w14:textId="2BA1C7B4" w:rsidR="006D6D1C" w:rsidRPr="005A437B" w:rsidRDefault="006D6D1C" w:rsidP="008E18E2">
            <w:pPr>
              <w:jc w:val="center"/>
              <w:rPr>
                <w:b/>
                <w:iCs/>
                <w:sz w:val="22"/>
                <w:szCs w:val="22"/>
              </w:rPr>
            </w:pPr>
            <w:r>
              <w:rPr>
                <w:rFonts w:ascii="Calibri" w:hAnsi="Calibri" w:cs="Calibri"/>
                <w:color w:val="000000"/>
                <w:sz w:val="22"/>
                <w:szCs w:val="22"/>
              </w:rPr>
              <w:t>Temperature</w:t>
            </w:r>
          </w:p>
        </w:tc>
        <w:tc>
          <w:tcPr>
            <w:tcW w:w="611" w:type="dxa"/>
            <w:vAlign w:val="center"/>
          </w:tcPr>
          <w:p w14:paraId="64AE51A1" w14:textId="6C3D4B7B" w:rsidR="006D6D1C" w:rsidRPr="005A437B" w:rsidRDefault="006D6D1C" w:rsidP="008E18E2">
            <w:pPr>
              <w:jc w:val="center"/>
              <w:rPr>
                <w:iCs/>
                <w:sz w:val="22"/>
                <w:szCs w:val="22"/>
              </w:rPr>
            </w:pPr>
            <w:r>
              <w:rPr>
                <w:rFonts w:ascii="Calibri" w:hAnsi="Calibri" w:cs="Calibri"/>
                <w:color w:val="000000"/>
                <w:sz w:val="22"/>
                <w:szCs w:val="22"/>
              </w:rPr>
              <w:t>1%</w:t>
            </w:r>
          </w:p>
        </w:tc>
        <w:tc>
          <w:tcPr>
            <w:tcW w:w="3972" w:type="dxa"/>
            <w:vAlign w:val="center"/>
          </w:tcPr>
          <w:p w14:paraId="0E7E73D8" w14:textId="77777777" w:rsidR="006D6D1C" w:rsidRPr="005A437B" w:rsidRDefault="006D6D1C" w:rsidP="008E18E2">
            <w:pPr>
              <w:jc w:val="center"/>
              <w:rPr>
                <w:b/>
                <w:iCs/>
                <w:sz w:val="22"/>
                <w:szCs w:val="22"/>
              </w:rPr>
            </w:pPr>
            <w:r w:rsidRPr="005A437B">
              <w:rPr>
                <w:b/>
                <w:iCs/>
                <w:sz w:val="22"/>
                <w:szCs w:val="22"/>
              </w:rPr>
              <w:t>--</w:t>
            </w:r>
          </w:p>
        </w:tc>
        <w:tc>
          <w:tcPr>
            <w:tcW w:w="625" w:type="dxa"/>
            <w:vAlign w:val="center"/>
          </w:tcPr>
          <w:p w14:paraId="242EDD98" w14:textId="77777777" w:rsidR="006D6D1C" w:rsidRPr="005A437B" w:rsidRDefault="006D6D1C" w:rsidP="008E18E2">
            <w:pPr>
              <w:jc w:val="center"/>
              <w:rPr>
                <w:iCs/>
                <w:sz w:val="22"/>
                <w:szCs w:val="22"/>
              </w:rPr>
            </w:pPr>
            <w:r w:rsidRPr="005A437B">
              <w:rPr>
                <w:iCs/>
                <w:sz w:val="22"/>
                <w:szCs w:val="22"/>
              </w:rPr>
              <w:t>--</w:t>
            </w:r>
          </w:p>
        </w:tc>
      </w:tr>
    </w:tbl>
    <w:p w14:paraId="6610F325" w14:textId="77777777" w:rsidR="00546B19" w:rsidRPr="00D730B7" w:rsidRDefault="00546B19" w:rsidP="00546B19">
      <w:pPr>
        <w:jc w:val="both"/>
        <w:rPr>
          <w:b/>
          <w:bCs/>
          <w:szCs w:val="24"/>
        </w:rPr>
      </w:pPr>
    </w:p>
    <w:p w14:paraId="264AFF0A" w14:textId="1C4EB71D" w:rsidR="00D04429" w:rsidRPr="0062574F" w:rsidRDefault="00427B15" w:rsidP="00D04429">
      <w:pPr>
        <w:pStyle w:val="Caption"/>
        <w:jc w:val="both"/>
      </w:pPr>
      <w:bookmarkStart w:id="153" w:name="_Toc164175176"/>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12</w:t>
      </w:r>
      <w:r w:rsidR="004F13BA">
        <w:rPr>
          <w:noProof/>
        </w:rPr>
        <w:fldChar w:fldCharType="end"/>
      </w:r>
      <w:r>
        <w:t xml:space="preserve">. </w:t>
      </w:r>
      <w:r w:rsidRPr="00427B15">
        <w:t xml:space="preserve">Suspected sources of </w:t>
      </w:r>
      <w:proofErr w:type="gramStart"/>
      <w:r w:rsidRPr="00427B15">
        <w:t>use impairment</w:t>
      </w:r>
      <w:proofErr w:type="gramEnd"/>
      <w:r w:rsidRPr="00427B15">
        <w:t xml:space="preserve"> in the Tennessee-Big Sandy River</w:t>
      </w:r>
      <w:r w:rsidR="749FADD9" w:rsidRPr="00427B15">
        <w:t xml:space="preserve"> </w:t>
      </w:r>
      <w:bookmarkEnd w:id="153"/>
      <w:r>
        <w:t>basin, by water body type, ranked by percentage of impaired water size. (Note: Waters can have multiple sources of pollution.)</w:t>
      </w:r>
    </w:p>
    <w:tbl>
      <w:tblPr>
        <w:tblStyle w:val="TableGrid"/>
        <w:tblW w:w="9734" w:type="dxa"/>
        <w:tblCellMar>
          <w:left w:w="115" w:type="dxa"/>
          <w:right w:w="115" w:type="dxa"/>
        </w:tblCellMar>
        <w:tblLook w:val="04A0" w:firstRow="1" w:lastRow="0" w:firstColumn="1" w:lastColumn="0" w:noHBand="0" w:noVBand="1"/>
        <w:tblCaption w:val="Table of Tennessee-Big Sandy River Basin Suspected Sources of Designated Use Impairment"/>
        <w:tblDescription w:val="Tennessee-Big Sandy River Basin suspected sources of Designated Use impairment for rivers and lakes ranked by percent of impaired water size"/>
      </w:tblPr>
      <w:tblGrid>
        <w:gridCol w:w="4180"/>
        <w:gridCol w:w="677"/>
        <w:gridCol w:w="4206"/>
        <w:gridCol w:w="671"/>
      </w:tblGrid>
      <w:tr w:rsidR="00546B19" w:rsidRPr="00D730B7" w14:paraId="2F86887E" w14:textId="77777777" w:rsidTr="00DD69F6">
        <w:trPr>
          <w:cantSplit/>
          <w:trHeight w:val="360"/>
          <w:tblHeader/>
        </w:trPr>
        <w:tc>
          <w:tcPr>
            <w:tcW w:w="4665" w:type="dxa"/>
            <w:gridSpan w:val="2"/>
            <w:vAlign w:val="center"/>
          </w:tcPr>
          <w:p w14:paraId="334CB93E" w14:textId="77777777" w:rsidR="00546B19" w:rsidRPr="003A1E33" w:rsidRDefault="00546B19">
            <w:pPr>
              <w:jc w:val="center"/>
              <w:rPr>
                <w:b/>
                <w:iCs/>
                <w:sz w:val="22"/>
                <w:szCs w:val="22"/>
              </w:rPr>
            </w:pPr>
            <w:r w:rsidRPr="003A1E33">
              <w:rPr>
                <w:b/>
                <w:iCs/>
                <w:sz w:val="22"/>
                <w:szCs w:val="22"/>
              </w:rPr>
              <w:t>Rivers</w:t>
            </w:r>
          </w:p>
        </w:tc>
        <w:tc>
          <w:tcPr>
            <w:tcW w:w="4685" w:type="dxa"/>
            <w:gridSpan w:val="2"/>
            <w:vAlign w:val="center"/>
          </w:tcPr>
          <w:p w14:paraId="216B6175" w14:textId="77777777" w:rsidR="00546B19" w:rsidRPr="003A1E33" w:rsidRDefault="00546B19">
            <w:pPr>
              <w:jc w:val="center"/>
              <w:rPr>
                <w:b/>
                <w:iCs/>
                <w:sz w:val="22"/>
                <w:szCs w:val="22"/>
              </w:rPr>
            </w:pPr>
            <w:r w:rsidRPr="003A1E33">
              <w:rPr>
                <w:b/>
                <w:iCs/>
                <w:sz w:val="22"/>
                <w:szCs w:val="22"/>
              </w:rPr>
              <w:t>Lakes</w:t>
            </w:r>
          </w:p>
        </w:tc>
      </w:tr>
      <w:tr w:rsidR="00856ADD" w:rsidRPr="00D730B7" w14:paraId="1DFC6329" w14:textId="77777777" w:rsidTr="00DD69F6">
        <w:trPr>
          <w:cantSplit/>
          <w:trHeight w:val="360"/>
        </w:trPr>
        <w:tc>
          <w:tcPr>
            <w:tcW w:w="4015" w:type="dxa"/>
            <w:vAlign w:val="bottom"/>
          </w:tcPr>
          <w:p w14:paraId="572F0C15" w14:textId="77777777" w:rsidR="00856ADD" w:rsidRPr="003A1E33" w:rsidRDefault="00856ADD" w:rsidP="00856ADD">
            <w:pPr>
              <w:jc w:val="center"/>
              <w:rPr>
                <w:b/>
                <w:sz w:val="22"/>
                <w:szCs w:val="22"/>
              </w:rPr>
            </w:pPr>
            <w:r>
              <w:rPr>
                <w:rFonts w:ascii="Calibri" w:hAnsi="Calibri" w:cs="Calibri"/>
                <w:color w:val="000000"/>
                <w:sz w:val="22"/>
                <w:szCs w:val="22"/>
              </w:rPr>
              <w:t>Unrestricted Cattle Access</w:t>
            </w:r>
          </w:p>
        </w:tc>
        <w:tc>
          <w:tcPr>
            <w:tcW w:w="650" w:type="dxa"/>
            <w:vAlign w:val="bottom"/>
          </w:tcPr>
          <w:p w14:paraId="42EF7851" w14:textId="77777777" w:rsidR="00856ADD" w:rsidRPr="003A1E33" w:rsidRDefault="00856ADD" w:rsidP="00856ADD">
            <w:pPr>
              <w:jc w:val="center"/>
              <w:rPr>
                <w:iCs/>
                <w:sz w:val="22"/>
                <w:szCs w:val="22"/>
              </w:rPr>
            </w:pPr>
            <w:r>
              <w:rPr>
                <w:rFonts w:ascii="Calibri" w:hAnsi="Calibri" w:cs="Calibri"/>
                <w:color w:val="000000"/>
                <w:sz w:val="22"/>
                <w:szCs w:val="22"/>
              </w:rPr>
              <w:t>47%</w:t>
            </w:r>
          </w:p>
        </w:tc>
        <w:tc>
          <w:tcPr>
            <w:tcW w:w="4040" w:type="dxa"/>
            <w:vAlign w:val="bottom"/>
          </w:tcPr>
          <w:p w14:paraId="77E78A79" w14:textId="77777777" w:rsidR="00856ADD" w:rsidRPr="003A1E33" w:rsidRDefault="00856ADD" w:rsidP="00856ADD">
            <w:pPr>
              <w:jc w:val="center"/>
              <w:rPr>
                <w:b/>
                <w:iCs/>
                <w:sz w:val="22"/>
                <w:szCs w:val="22"/>
              </w:rPr>
            </w:pPr>
            <w:r>
              <w:rPr>
                <w:rFonts w:ascii="Calibri" w:hAnsi="Calibri" w:cs="Calibri"/>
                <w:color w:val="000000"/>
                <w:sz w:val="22"/>
                <w:szCs w:val="22"/>
              </w:rPr>
              <w:t>Source Unknown</w:t>
            </w:r>
          </w:p>
        </w:tc>
        <w:tc>
          <w:tcPr>
            <w:tcW w:w="645" w:type="dxa"/>
            <w:vAlign w:val="bottom"/>
          </w:tcPr>
          <w:p w14:paraId="08B83600" w14:textId="2F9096B3" w:rsidR="00856ADD" w:rsidRPr="003A1E33" w:rsidRDefault="00856ADD" w:rsidP="00856ADD">
            <w:pPr>
              <w:jc w:val="center"/>
              <w:rPr>
                <w:iCs/>
                <w:sz w:val="22"/>
                <w:szCs w:val="22"/>
              </w:rPr>
            </w:pPr>
            <w:r>
              <w:rPr>
                <w:rFonts w:ascii="Calibri" w:hAnsi="Calibri" w:cs="Calibri"/>
                <w:color w:val="000000"/>
                <w:sz w:val="22"/>
                <w:szCs w:val="22"/>
              </w:rPr>
              <w:t>79%</w:t>
            </w:r>
          </w:p>
        </w:tc>
      </w:tr>
      <w:tr w:rsidR="00856ADD" w:rsidRPr="00D730B7" w14:paraId="7343F2B4" w14:textId="77777777" w:rsidTr="00DD69F6">
        <w:trPr>
          <w:cantSplit/>
          <w:trHeight w:val="360"/>
        </w:trPr>
        <w:tc>
          <w:tcPr>
            <w:tcW w:w="4015" w:type="dxa"/>
            <w:vAlign w:val="bottom"/>
          </w:tcPr>
          <w:p w14:paraId="7674E878" w14:textId="2F3A28B0" w:rsidR="00856ADD" w:rsidRPr="003A1E33" w:rsidRDefault="00856ADD" w:rsidP="00856ADD">
            <w:pPr>
              <w:jc w:val="center"/>
              <w:rPr>
                <w:b/>
                <w:sz w:val="22"/>
                <w:szCs w:val="22"/>
              </w:rPr>
            </w:pPr>
            <w:r>
              <w:rPr>
                <w:rFonts w:ascii="Calibri" w:hAnsi="Calibri" w:cs="Calibri"/>
                <w:color w:val="000000"/>
                <w:sz w:val="22"/>
                <w:szCs w:val="22"/>
              </w:rPr>
              <w:t>Rural (Residential Areas)</w:t>
            </w:r>
          </w:p>
        </w:tc>
        <w:tc>
          <w:tcPr>
            <w:tcW w:w="650" w:type="dxa"/>
            <w:vAlign w:val="bottom"/>
          </w:tcPr>
          <w:p w14:paraId="7E0735DB" w14:textId="77777777" w:rsidR="00856ADD" w:rsidRPr="003A1E33" w:rsidRDefault="00856ADD" w:rsidP="00856ADD">
            <w:pPr>
              <w:jc w:val="center"/>
              <w:rPr>
                <w:iCs/>
                <w:sz w:val="22"/>
                <w:szCs w:val="22"/>
              </w:rPr>
            </w:pPr>
            <w:r>
              <w:rPr>
                <w:rFonts w:ascii="Calibri" w:hAnsi="Calibri" w:cs="Calibri"/>
                <w:color w:val="000000"/>
                <w:sz w:val="22"/>
                <w:szCs w:val="22"/>
              </w:rPr>
              <w:t>46%</w:t>
            </w:r>
          </w:p>
        </w:tc>
        <w:tc>
          <w:tcPr>
            <w:tcW w:w="4040" w:type="dxa"/>
            <w:vAlign w:val="bottom"/>
          </w:tcPr>
          <w:p w14:paraId="75AA12E8" w14:textId="39DE3539" w:rsidR="00856ADD" w:rsidRPr="003A1E33" w:rsidRDefault="00856ADD" w:rsidP="00856ADD">
            <w:pPr>
              <w:jc w:val="center"/>
              <w:rPr>
                <w:b/>
                <w:iCs/>
                <w:sz w:val="22"/>
                <w:szCs w:val="22"/>
              </w:rPr>
            </w:pPr>
            <w:r>
              <w:rPr>
                <w:rFonts w:ascii="Calibri" w:hAnsi="Calibri" w:cs="Calibri"/>
                <w:color w:val="000000"/>
                <w:sz w:val="22"/>
                <w:szCs w:val="22"/>
              </w:rPr>
              <w:t>Atmospheric Deposition - Toxics</w:t>
            </w:r>
          </w:p>
        </w:tc>
        <w:tc>
          <w:tcPr>
            <w:tcW w:w="645" w:type="dxa"/>
            <w:vAlign w:val="bottom"/>
          </w:tcPr>
          <w:p w14:paraId="18A45455" w14:textId="5E0FD08F" w:rsidR="00856ADD" w:rsidRPr="003A1E33" w:rsidRDefault="00856ADD" w:rsidP="00856ADD">
            <w:pPr>
              <w:jc w:val="center"/>
              <w:rPr>
                <w:iCs/>
                <w:sz w:val="22"/>
                <w:szCs w:val="22"/>
              </w:rPr>
            </w:pPr>
            <w:r>
              <w:rPr>
                <w:rFonts w:ascii="Calibri" w:hAnsi="Calibri" w:cs="Calibri"/>
                <w:color w:val="000000"/>
                <w:sz w:val="22"/>
                <w:szCs w:val="22"/>
              </w:rPr>
              <w:t>41%</w:t>
            </w:r>
          </w:p>
        </w:tc>
      </w:tr>
      <w:tr w:rsidR="00856ADD" w:rsidRPr="00D730B7" w14:paraId="72C8414E" w14:textId="77777777" w:rsidTr="00DD69F6">
        <w:trPr>
          <w:cantSplit/>
          <w:trHeight w:val="360"/>
        </w:trPr>
        <w:tc>
          <w:tcPr>
            <w:tcW w:w="4015" w:type="dxa"/>
            <w:vAlign w:val="bottom"/>
          </w:tcPr>
          <w:p w14:paraId="10C2DB94" w14:textId="77777777" w:rsidR="00856ADD" w:rsidRPr="003A1E33" w:rsidRDefault="00856ADD" w:rsidP="00856ADD">
            <w:pPr>
              <w:jc w:val="center"/>
              <w:rPr>
                <w:b/>
                <w:sz w:val="22"/>
                <w:szCs w:val="22"/>
              </w:rPr>
            </w:pPr>
            <w:r>
              <w:rPr>
                <w:rFonts w:ascii="Calibri" w:hAnsi="Calibri" w:cs="Calibri"/>
                <w:color w:val="000000"/>
                <w:sz w:val="22"/>
                <w:szCs w:val="22"/>
              </w:rPr>
              <w:t>Source Unknown</w:t>
            </w:r>
          </w:p>
        </w:tc>
        <w:tc>
          <w:tcPr>
            <w:tcW w:w="650" w:type="dxa"/>
            <w:vAlign w:val="bottom"/>
          </w:tcPr>
          <w:p w14:paraId="1E6E7DBB" w14:textId="7BB1A8F0" w:rsidR="00856ADD" w:rsidRPr="003A1E33" w:rsidRDefault="00856ADD" w:rsidP="00856ADD">
            <w:pPr>
              <w:jc w:val="center"/>
              <w:rPr>
                <w:iCs/>
                <w:sz w:val="22"/>
                <w:szCs w:val="22"/>
              </w:rPr>
            </w:pPr>
            <w:r>
              <w:rPr>
                <w:rFonts w:ascii="Calibri" w:hAnsi="Calibri" w:cs="Calibri"/>
                <w:color w:val="000000"/>
                <w:sz w:val="22"/>
                <w:szCs w:val="22"/>
              </w:rPr>
              <w:t>2</w:t>
            </w:r>
            <w:r w:rsidR="00171B54">
              <w:rPr>
                <w:rFonts w:ascii="Calibri" w:hAnsi="Calibri" w:cs="Calibri"/>
                <w:color w:val="000000"/>
                <w:sz w:val="22"/>
                <w:szCs w:val="22"/>
              </w:rPr>
              <w:t>1</w:t>
            </w:r>
            <w:r>
              <w:rPr>
                <w:rFonts w:ascii="Calibri" w:hAnsi="Calibri" w:cs="Calibri"/>
                <w:color w:val="000000"/>
                <w:sz w:val="22"/>
                <w:szCs w:val="22"/>
              </w:rPr>
              <w:t>%</w:t>
            </w:r>
          </w:p>
        </w:tc>
        <w:tc>
          <w:tcPr>
            <w:tcW w:w="4040" w:type="dxa"/>
            <w:vAlign w:val="bottom"/>
          </w:tcPr>
          <w:p w14:paraId="0FDA34EB" w14:textId="77777777" w:rsidR="00856ADD" w:rsidRPr="003A1E33" w:rsidRDefault="00856ADD" w:rsidP="00856ADD">
            <w:pPr>
              <w:jc w:val="center"/>
              <w:rPr>
                <w:b/>
                <w:iCs/>
                <w:sz w:val="22"/>
                <w:szCs w:val="22"/>
              </w:rPr>
            </w:pPr>
            <w:r>
              <w:rPr>
                <w:rFonts w:ascii="Calibri" w:hAnsi="Calibri" w:cs="Calibri"/>
                <w:color w:val="000000"/>
                <w:sz w:val="22"/>
                <w:szCs w:val="22"/>
              </w:rPr>
              <w:t>Natural Conditions</w:t>
            </w:r>
          </w:p>
        </w:tc>
        <w:tc>
          <w:tcPr>
            <w:tcW w:w="645" w:type="dxa"/>
            <w:vAlign w:val="bottom"/>
          </w:tcPr>
          <w:p w14:paraId="412CE7E0" w14:textId="47424E1A" w:rsidR="00856ADD" w:rsidRPr="003A1E33" w:rsidRDefault="00856ADD" w:rsidP="00856ADD">
            <w:pPr>
              <w:jc w:val="center"/>
              <w:rPr>
                <w:iCs/>
                <w:sz w:val="22"/>
                <w:szCs w:val="22"/>
              </w:rPr>
            </w:pPr>
            <w:r>
              <w:rPr>
                <w:rFonts w:ascii="Calibri" w:hAnsi="Calibri" w:cs="Calibri"/>
                <w:color w:val="000000"/>
                <w:sz w:val="22"/>
                <w:szCs w:val="22"/>
              </w:rPr>
              <w:t>15%</w:t>
            </w:r>
          </w:p>
        </w:tc>
      </w:tr>
      <w:tr w:rsidR="00856ADD" w:rsidRPr="00D730B7" w14:paraId="6C5F8F3A" w14:textId="77777777" w:rsidTr="00DD69F6">
        <w:trPr>
          <w:cantSplit/>
          <w:trHeight w:val="360"/>
        </w:trPr>
        <w:tc>
          <w:tcPr>
            <w:tcW w:w="4015" w:type="dxa"/>
            <w:vAlign w:val="bottom"/>
          </w:tcPr>
          <w:p w14:paraId="077E51BD" w14:textId="77777777" w:rsidR="00856ADD" w:rsidRPr="003A1E33" w:rsidRDefault="00856ADD" w:rsidP="00856ADD">
            <w:pPr>
              <w:jc w:val="center"/>
              <w:rPr>
                <w:b/>
                <w:sz w:val="22"/>
                <w:szCs w:val="22"/>
              </w:rPr>
            </w:pPr>
            <w:r>
              <w:rPr>
                <w:rFonts w:ascii="Calibri" w:hAnsi="Calibri" w:cs="Calibri"/>
                <w:color w:val="000000"/>
                <w:sz w:val="22"/>
                <w:szCs w:val="22"/>
              </w:rPr>
              <w:t>Sewage Discharges in Unsewered Areas</w:t>
            </w:r>
          </w:p>
        </w:tc>
        <w:tc>
          <w:tcPr>
            <w:tcW w:w="650" w:type="dxa"/>
            <w:vAlign w:val="bottom"/>
          </w:tcPr>
          <w:p w14:paraId="141271A4" w14:textId="4389222F" w:rsidR="00856ADD" w:rsidRPr="003A1E33" w:rsidRDefault="00856ADD" w:rsidP="00856ADD">
            <w:pPr>
              <w:jc w:val="center"/>
              <w:rPr>
                <w:iCs/>
                <w:sz w:val="22"/>
                <w:szCs w:val="22"/>
              </w:rPr>
            </w:pPr>
            <w:r>
              <w:rPr>
                <w:rFonts w:ascii="Calibri" w:hAnsi="Calibri" w:cs="Calibri"/>
                <w:color w:val="000000"/>
                <w:sz w:val="22"/>
                <w:szCs w:val="22"/>
              </w:rPr>
              <w:t>20%</w:t>
            </w:r>
          </w:p>
        </w:tc>
        <w:tc>
          <w:tcPr>
            <w:tcW w:w="4040" w:type="dxa"/>
            <w:vAlign w:val="bottom"/>
          </w:tcPr>
          <w:p w14:paraId="229E59FA" w14:textId="277F44BD" w:rsidR="00856ADD" w:rsidRPr="003A1E33" w:rsidRDefault="00856ADD" w:rsidP="00856ADD">
            <w:pPr>
              <w:jc w:val="center"/>
              <w:rPr>
                <w:b/>
                <w:iCs/>
                <w:sz w:val="22"/>
                <w:szCs w:val="22"/>
              </w:rPr>
            </w:pPr>
            <w:r>
              <w:rPr>
                <w:rFonts w:ascii="Calibri" w:hAnsi="Calibri" w:cs="Calibri"/>
                <w:color w:val="000000"/>
                <w:sz w:val="22"/>
                <w:szCs w:val="22"/>
              </w:rPr>
              <w:t>Atmospheric Deposition</w:t>
            </w:r>
          </w:p>
        </w:tc>
        <w:tc>
          <w:tcPr>
            <w:tcW w:w="645" w:type="dxa"/>
            <w:vAlign w:val="bottom"/>
          </w:tcPr>
          <w:p w14:paraId="2FEE848B" w14:textId="05E45AEB" w:rsidR="00856ADD" w:rsidRPr="003A1E33" w:rsidRDefault="00856ADD" w:rsidP="00856ADD">
            <w:pPr>
              <w:jc w:val="center"/>
              <w:rPr>
                <w:iCs/>
                <w:sz w:val="22"/>
                <w:szCs w:val="22"/>
              </w:rPr>
            </w:pPr>
            <w:r>
              <w:rPr>
                <w:rFonts w:ascii="Calibri" w:hAnsi="Calibri" w:cs="Calibri"/>
                <w:color w:val="000000"/>
                <w:sz w:val="22"/>
                <w:szCs w:val="22"/>
              </w:rPr>
              <w:t>11%</w:t>
            </w:r>
          </w:p>
        </w:tc>
      </w:tr>
      <w:tr w:rsidR="00856ADD" w:rsidRPr="00D730B7" w14:paraId="7F05D16C" w14:textId="77777777" w:rsidTr="00DD69F6">
        <w:trPr>
          <w:cantSplit/>
          <w:trHeight w:val="360"/>
        </w:trPr>
        <w:tc>
          <w:tcPr>
            <w:tcW w:w="4015" w:type="dxa"/>
            <w:vAlign w:val="bottom"/>
          </w:tcPr>
          <w:p w14:paraId="29068FE5" w14:textId="77777777" w:rsidR="00856ADD" w:rsidRPr="003A1E33" w:rsidRDefault="00856ADD" w:rsidP="00856ADD">
            <w:pPr>
              <w:jc w:val="center"/>
              <w:rPr>
                <w:b/>
                <w:sz w:val="22"/>
                <w:szCs w:val="22"/>
              </w:rPr>
            </w:pPr>
            <w:r>
              <w:rPr>
                <w:rFonts w:ascii="Calibri" w:hAnsi="Calibri" w:cs="Calibri"/>
                <w:color w:val="000000"/>
                <w:sz w:val="22"/>
                <w:szCs w:val="22"/>
              </w:rPr>
              <w:t>Coal Mining</w:t>
            </w:r>
          </w:p>
        </w:tc>
        <w:tc>
          <w:tcPr>
            <w:tcW w:w="650" w:type="dxa"/>
            <w:vAlign w:val="bottom"/>
          </w:tcPr>
          <w:p w14:paraId="7BCB065A" w14:textId="77777777" w:rsidR="00856ADD" w:rsidRPr="003A1E33" w:rsidRDefault="00856ADD" w:rsidP="00856ADD">
            <w:pPr>
              <w:jc w:val="center"/>
              <w:rPr>
                <w:iCs/>
                <w:sz w:val="22"/>
                <w:szCs w:val="22"/>
              </w:rPr>
            </w:pPr>
            <w:r>
              <w:rPr>
                <w:rFonts w:ascii="Calibri" w:hAnsi="Calibri" w:cs="Calibri"/>
                <w:color w:val="000000"/>
                <w:sz w:val="22"/>
                <w:szCs w:val="22"/>
              </w:rPr>
              <w:t>14%</w:t>
            </w:r>
          </w:p>
        </w:tc>
        <w:tc>
          <w:tcPr>
            <w:tcW w:w="4040" w:type="dxa"/>
            <w:vAlign w:val="bottom"/>
          </w:tcPr>
          <w:p w14:paraId="36BF9372" w14:textId="45D7ED0C" w:rsidR="00856ADD" w:rsidRPr="003A1E33" w:rsidRDefault="00856ADD" w:rsidP="00856ADD">
            <w:pPr>
              <w:jc w:val="center"/>
              <w:rPr>
                <w:b/>
                <w:iCs/>
                <w:sz w:val="22"/>
                <w:szCs w:val="22"/>
              </w:rPr>
            </w:pPr>
            <w:r>
              <w:rPr>
                <w:rFonts w:ascii="Calibri" w:hAnsi="Calibri" w:cs="Calibri"/>
                <w:color w:val="000000"/>
                <w:sz w:val="22"/>
                <w:szCs w:val="22"/>
              </w:rPr>
              <w:t>Natural Sources</w:t>
            </w:r>
          </w:p>
        </w:tc>
        <w:tc>
          <w:tcPr>
            <w:tcW w:w="645" w:type="dxa"/>
            <w:vAlign w:val="bottom"/>
          </w:tcPr>
          <w:p w14:paraId="6E8853DA" w14:textId="4B0F6C2B" w:rsidR="00856ADD" w:rsidRPr="003A1E33" w:rsidRDefault="00856ADD" w:rsidP="00856ADD">
            <w:pPr>
              <w:jc w:val="center"/>
              <w:rPr>
                <w:iCs/>
                <w:sz w:val="22"/>
                <w:szCs w:val="22"/>
              </w:rPr>
            </w:pPr>
            <w:r>
              <w:rPr>
                <w:rFonts w:ascii="Calibri" w:hAnsi="Calibri" w:cs="Calibri"/>
                <w:color w:val="000000"/>
                <w:sz w:val="22"/>
                <w:szCs w:val="22"/>
              </w:rPr>
              <w:t>1%</w:t>
            </w:r>
          </w:p>
        </w:tc>
      </w:tr>
      <w:tr w:rsidR="00856ADD" w:rsidRPr="00D730B7" w14:paraId="06F33E98" w14:textId="77777777" w:rsidTr="00DD69F6">
        <w:trPr>
          <w:cantSplit/>
          <w:trHeight w:val="360"/>
        </w:trPr>
        <w:tc>
          <w:tcPr>
            <w:tcW w:w="4015" w:type="dxa"/>
            <w:vAlign w:val="bottom"/>
          </w:tcPr>
          <w:p w14:paraId="1D40068F" w14:textId="77777777" w:rsidR="00856ADD" w:rsidRPr="003A1E33" w:rsidRDefault="00856ADD" w:rsidP="00856ADD">
            <w:pPr>
              <w:jc w:val="center"/>
              <w:rPr>
                <w:b/>
                <w:sz w:val="22"/>
                <w:szCs w:val="22"/>
              </w:rPr>
            </w:pPr>
            <w:r>
              <w:rPr>
                <w:rFonts w:ascii="Calibri" w:hAnsi="Calibri" w:cs="Calibri"/>
                <w:color w:val="000000"/>
                <w:sz w:val="22"/>
                <w:szCs w:val="22"/>
              </w:rPr>
              <w:t>Surface Mining</w:t>
            </w:r>
          </w:p>
        </w:tc>
        <w:tc>
          <w:tcPr>
            <w:tcW w:w="650" w:type="dxa"/>
            <w:vAlign w:val="bottom"/>
          </w:tcPr>
          <w:p w14:paraId="3C486C33" w14:textId="42730816" w:rsidR="00856ADD" w:rsidRPr="003A1E33" w:rsidRDefault="00856ADD" w:rsidP="00856ADD">
            <w:pPr>
              <w:jc w:val="center"/>
              <w:rPr>
                <w:iCs/>
                <w:sz w:val="22"/>
                <w:szCs w:val="22"/>
              </w:rPr>
            </w:pPr>
            <w:r>
              <w:rPr>
                <w:rFonts w:ascii="Calibri" w:hAnsi="Calibri" w:cs="Calibri"/>
                <w:color w:val="000000"/>
                <w:sz w:val="22"/>
                <w:szCs w:val="22"/>
              </w:rPr>
              <w:t>8%</w:t>
            </w:r>
          </w:p>
        </w:tc>
        <w:tc>
          <w:tcPr>
            <w:tcW w:w="4040" w:type="dxa"/>
            <w:vAlign w:val="center"/>
          </w:tcPr>
          <w:p w14:paraId="416BA89C" w14:textId="77777777" w:rsidR="00856ADD" w:rsidRPr="003A1E33" w:rsidRDefault="00856ADD" w:rsidP="00856ADD">
            <w:pPr>
              <w:jc w:val="center"/>
              <w:rPr>
                <w:b/>
                <w:iCs/>
                <w:sz w:val="22"/>
                <w:szCs w:val="22"/>
              </w:rPr>
            </w:pPr>
            <w:r w:rsidRPr="003A1E33">
              <w:rPr>
                <w:b/>
                <w:iCs/>
                <w:sz w:val="22"/>
                <w:szCs w:val="22"/>
              </w:rPr>
              <w:t>--</w:t>
            </w:r>
          </w:p>
        </w:tc>
        <w:tc>
          <w:tcPr>
            <w:tcW w:w="645" w:type="dxa"/>
            <w:vAlign w:val="center"/>
          </w:tcPr>
          <w:p w14:paraId="5A303878" w14:textId="77777777" w:rsidR="00856ADD" w:rsidRPr="003A1E33" w:rsidRDefault="00856ADD" w:rsidP="00856ADD">
            <w:pPr>
              <w:jc w:val="center"/>
              <w:rPr>
                <w:iCs/>
                <w:sz w:val="22"/>
                <w:szCs w:val="22"/>
              </w:rPr>
            </w:pPr>
            <w:r w:rsidRPr="003A1E33">
              <w:rPr>
                <w:iCs/>
                <w:sz w:val="22"/>
                <w:szCs w:val="22"/>
              </w:rPr>
              <w:t>--</w:t>
            </w:r>
          </w:p>
        </w:tc>
      </w:tr>
    </w:tbl>
    <w:p w14:paraId="091BE4FE" w14:textId="77777777" w:rsidR="00546B19" w:rsidRPr="00F036A6" w:rsidRDefault="00546B19" w:rsidP="00546B19">
      <w:pPr>
        <w:jc w:val="both"/>
        <w:rPr>
          <w:szCs w:val="24"/>
        </w:rPr>
      </w:pPr>
    </w:p>
    <w:p w14:paraId="0E2C9534" w14:textId="77777777" w:rsidR="00546B19" w:rsidRPr="004816BD" w:rsidRDefault="00546B19" w:rsidP="00077CF7">
      <w:pPr>
        <w:pStyle w:val="Heading3"/>
      </w:pPr>
      <w:r w:rsidRPr="004816BD">
        <w:t>Chesapeake Bay/Atlantic Ocean and Small Coastal Basins</w:t>
      </w:r>
    </w:p>
    <w:p w14:paraId="35C66258" w14:textId="15C6B1F2" w:rsidR="00546B19" w:rsidRPr="00D730B7" w:rsidRDefault="00546B19" w:rsidP="00546B19">
      <w:pPr>
        <w:tabs>
          <w:tab w:val="left" w:pos="720"/>
        </w:tabs>
        <w:rPr>
          <w:szCs w:val="24"/>
        </w:rPr>
      </w:pPr>
      <w:r w:rsidRPr="00D730B7">
        <w:rPr>
          <w:szCs w:val="24"/>
        </w:rPr>
        <w:t xml:space="preserve">The Chesapeake Bay/Atlantic Ocean and small coastal basins </w:t>
      </w:r>
      <w:proofErr w:type="gramStart"/>
      <w:r w:rsidRPr="00D730B7">
        <w:rPr>
          <w:szCs w:val="24"/>
        </w:rPr>
        <w:t>are located in</w:t>
      </w:r>
      <w:proofErr w:type="gramEnd"/>
      <w:r w:rsidRPr="00D730B7">
        <w:rPr>
          <w:szCs w:val="24"/>
        </w:rPr>
        <w:t xml:space="preserve"> the eastern part of Virginia and </w:t>
      </w:r>
      <w:proofErr w:type="gramStart"/>
      <w:r w:rsidRPr="00D730B7">
        <w:rPr>
          <w:szCs w:val="24"/>
        </w:rPr>
        <w:t>covers</w:t>
      </w:r>
      <w:proofErr w:type="gramEnd"/>
      <w:r w:rsidRPr="00D730B7">
        <w:rPr>
          <w:szCs w:val="24"/>
        </w:rPr>
        <w:t xml:space="preserve"> 3,592 square miles or approximately 8 percent of the </w:t>
      </w:r>
      <w:r w:rsidR="00020140">
        <w:rPr>
          <w:szCs w:val="24"/>
        </w:rPr>
        <w:t>C</w:t>
      </w:r>
      <w:r w:rsidRPr="00D730B7">
        <w:rPr>
          <w:szCs w:val="24"/>
        </w:rPr>
        <w:t>ommonwealth’s total land area. The combined basins encompass the small bays, river inlets, islands and shoreline immediately surrounding the Chesapeake Bay and the southern portion of the Delmarva Peninsula. These basins also include the Chesapeake Bay itself</w:t>
      </w:r>
      <w:r w:rsidR="00E430BF">
        <w:rPr>
          <w:szCs w:val="24"/>
        </w:rPr>
        <w:t>, but do not include the non-tidal and tidal waters of the major river</w:t>
      </w:r>
      <w:r w:rsidR="000C2865">
        <w:rPr>
          <w:szCs w:val="24"/>
        </w:rPr>
        <w:t xml:space="preserve"> basin</w:t>
      </w:r>
      <w:r w:rsidR="00E430BF">
        <w:rPr>
          <w:szCs w:val="24"/>
        </w:rPr>
        <w:t xml:space="preserve"> tributaries to the Bay</w:t>
      </w:r>
      <w:r w:rsidRPr="00D730B7">
        <w:rPr>
          <w:szCs w:val="24"/>
        </w:rPr>
        <w:t>.</w:t>
      </w:r>
      <w:r w:rsidR="00EC044C">
        <w:rPr>
          <w:szCs w:val="24"/>
        </w:rPr>
        <w:t xml:space="preserve"> </w:t>
      </w:r>
    </w:p>
    <w:p w14:paraId="16B78B75" w14:textId="77777777" w:rsidR="00546B19" w:rsidRPr="00D730B7" w:rsidRDefault="00546B19" w:rsidP="00546B19">
      <w:pPr>
        <w:tabs>
          <w:tab w:val="left" w:pos="720"/>
        </w:tabs>
        <w:rPr>
          <w:szCs w:val="24"/>
        </w:rPr>
      </w:pPr>
    </w:p>
    <w:p w14:paraId="1A6DD7E8" w14:textId="44CF2492" w:rsidR="00546B19" w:rsidRPr="00D730B7" w:rsidRDefault="00546B19" w:rsidP="00546B19">
      <w:pPr>
        <w:tabs>
          <w:tab w:val="left" w:pos="720"/>
        </w:tabs>
        <w:rPr>
          <w:szCs w:val="24"/>
        </w:rPr>
      </w:pPr>
      <w:r w:rsidRPr="00D730B7">
        <w:rPr>
          <w:szCs w:val="24"/>
        </w:rPr>
        <w:t xml:space="preserve">The Chesapeake Bay/Atlantic Ocean and small coastal basins are defined by both hydrologic and political boundaries. The Potomac River, the Rappahannock River, the York River, the James River, and the Chowan River-Dismal Swamp basins border the small coastal basins to its west. The Eastern Shore portion is bordered on the west by </w:t>
      </w:r>
      <w:proofErr w:type="gramStart"/>
      <w:r w:rsidRPr="00D730B7">
        <w:rPr>
          <w:szCs w:val="24"/>
        </w:rPr>
        <w:t>the Chesapeake</w:t>
      </w:r>
      <w:proofErr w:type="gramEnd"/>
      <w:r w:rsidRPr="00D730B7">
        <w:rPr>
          <w:szCs w:val="24"/>
        </w:rPr>
        <w:t xml:space="preserve"> Bay, on the north by Maryland, and on the east by the Atlantic Ocean.</w:t>
      </w:r>
    </w:p>
    <w:p w14:paraId="03008EF1" w14:textId="77777777" w:rsidR="00546B19" w:rsidRPr="00D730B7" w:rsidRDefault="00546B19" w:rsidP="00546B19">
      <w:pPr>
        <w:tabs>
          <w:tab w:val="left" w:pos="720"/>
        </w:tabs>
        <w:rPr>
          <w:szCs w:val="24"/>
        </w:rPr>
      </w:pPr>
    </w:p>
    <w:p w14:paraId="477854BE" w14:textId="5F863199" w:rsidR="00546B19" w:rsidRPr="00D730B7" w:rsidRDefault="00546B19" w:rsidP="00546B19">
      <w:pPr>
        <w:tabs>
          <w:tab w:val="left" w:pos="720"/>
        </w:tabs>
        <w:rPr>
          <w:szCs w:val="24"/>
        </w:rPr>
      </w:pPr>
      <w:r w:rsidRPr="00D730B7">
        <w:rPr>
          <w:szCs w:val="24"/>
        </w:rPr>
        <w:t xml:space="preserve">The topography of the Chesapeake Bay/Atlantic Ocean and small coastal basins does not </w:t>
      </w:r>
      <w:proofErr w:type="spellStart"/>
      <w:r w:rsidRPr="00D730B7">
        <w:rPr>
          <w:szCs w:val="24"/>
        </w:rPr>
        <w:t>vary</w:t>
      </w:r>
      <w:proofErr w:type="spellEnd"/>
      <w:r w:rsidRPr="00D730B7">
        <w:rPr>
          <w:szCs w:val="24"/>
        </w:rPr>
        <w:t xml:space="preserve"> much. The basins lie within the Coastal Plain Physiographic Province where elevations average no more than a few feet above sea level. More significant elevation occurs along the central spine of the Eastern Shore portion, which forms a plateau about 45 feet above sea level. Much of these basins consist of marshland. About 30 percent of the Chesapeake Bay/Atlantic Ocean and small coastal basins are forested, while nearly 22 percent </w:t>
      </w:r>
      <w:proofErr w:type="gramStart"/>
      <w:r w:rsidRPr="00D730B7">
        <w:rPr>
          <w:szCs w:val="24"/>
        </w:rPr>
        <w:t>is</w:t>
      </w:r>
      <w:proofErr w:type="gramEnd"/>
      <w:r w:rsidRPr="00D730B7">
        <w:rPr>
          <w:szCs w:val="24"/>
        </w:rPr>
        <w:t xml:space="preserve"> in cropland and pasture. Approximately 24 percent is considered urban.</w:t>
      </w:r>
    </w:p>
    <w:p w14:paraId="6E57E8C5" w14:textId="77777777" w:rsidR="00546B19" w:rsidRPr="00D730B7" w:rsidRDefault="00546B19" w:rsidP="00546B19">
      <w:pPr>
        <w:tabs>
          <w:tab w:val="left" w:pos="720"/>
        </w:tabs>
        <w:rPr>
          <w:szCs w:val="24"/>
        </w:rPr>
      </w:pPr>
    </w:p>
    <w:p w14:paraId="3D89C60D" w14:textId="6B9F5D55" w:rsidR="00546B19" w:rsidRPr="00D730B7" w:rsidRDefault="00546B19" w:rsidP="00546B19">
      <w:pPr>
        <w:rPr>
          <w:szCs w:val="24"/>
        </w:rPr>
      </w:pPr>
      <w:r w:rsidRPr="00D730B7">
        <w:rPr>
          <w:szCs w:val="24"/>
        </w:rPr>
        <w:t xml:space="preserve">The 2010 population for the Chesapeake Bay/Atlantic Ocean and small coastal basins was approximately </w:t>
      </w:r>
      <w:r w:rsidRPr="00D730B7">
        <w:rPr>
          <w:color w:val="000000"/>
          <w:szCs w:val="24"/>
        </w:rPr>
        <w:t>741,800</w:t>
      </w:r>
      <w:r w:rsidRPr="00D730B7">
        <w:rPr>
          <w:szCs w:val="24"/>
        </w:rPr>
        <w:t xml:space="preserve">. All or portions of the following jurisdictions lie within these basins: Counties – Accomack, Essex, Gloucester, King and Queen, Lancaster, Matthews, Middlesex, Northampton, Northumberland, and York; Cities – Hampton, Newport News, Norfolk, Poquoson, and Virginia Beach. </w:t>
      </w:r>
    </w:p>
    <w:p w14:paraId="697FBD8E" w14:textId="77777777" w:rsidR="00546B19" w:rsidRPr="00D730B7" w:rsidRDefault="00546B19" w:rsidP="00546B19">
      <w:pPr>
        <w:tabs>
          <w:tab w:val="left" w:pos="720"/>
        </w:tabs>
        <w:rPr>
          <w:szCs w:val="24"/>
        </w:rPr>
      </w:pPr>
    </w:p>
    <w:p w14:paraId="6497F2CF" w14:textId="26C23DA8" w:rsidR="00546B19" w:rsidRPr="00D730B7" w:rsidRDefault="00546B19" w:rsidP="00546B19">
      <w:pPr>
        <w:tabs>
          <w:tab w:val="left" w:pos="720"/>
        </w:tabs>
        <w:rPr>
          <w:szCs w:val="24"/>
        </w:rPr>
      </w:pPr>
      <w:r w:rsidRPr="00D730B7">
        <w:rPr>
          <w:szCs w:val="24"/>
        </w:rPr>
        <w:t xml:space="preserve">Tributaries in the Chesapeake Bay/coastal basins drain into the Chesapeake Bay or the Atlantic Ocean. Major tributaries flowing into the Chesapeake Bay from the western shore are the Great Wicomico River, </w:t>
      </w:r>
      <w:proofErr w:type="spellStart"/>
      <w:r w:rsidRPr="00D730B7">
        <w:rPr>
          <w:szCs w:val="24"/>
        </w:rPr>
        <w:t>Piankatank</w:t>
      </w:r>
      <w:proofErr w:type="spellEnd"/>
      <w:r w:rsidRPr="00D730B7">
        <w:rPr>
          <w:szCs w:val="24"/>
        </w:rPr>
        <w:t xml:space="preserve"> River, Fleets Bay, Mobjack Bay including the East, North, Ware, and Severn Rivers, Poquoson River, Back River and Lynnhaven River. Tributaries in the Eastern Shore portion that drain into the Bay are Pocomoke River, Onancock, </w:t>
      </w:r>
      <w:proofErr w:type="spellStart"/>
      <w:r w:rsidRPr="00D730B7">
        <w:rPr>
          <w:szCs w:val="24"/>
        </w:rPr>
        <w:t>Pungoteague</w:t>
      </w:r>
      <w:proofErr w:type="spellEnd"/>
      <w:r w:rsidRPr="00D730B7">
        <w:rPr>
          <w:szCs w:val="24"/>
        </w:rPr>
        <w:t xml:space="preserve">, </w:t>
      </w:r>
      <w:proofErr w:type="spellStart"/>
      <w:r w:rsidRPr="00D730B7">
        <w:rPr>
          <w:szCs w:val="24"/>
        </w:rPr>
        <w:t>Occohannock</w:t>
      </w:r>
      <w:proofErr w:type="spellEnd"/>
      <w:r w:rsidRPr="00D730B7">
        <w:rPr>
          <w:szCs w:val="24"/>
        </w:rPr>
        <w:t xml:space="preserve">, and </w:t>
      </w:r>
      <w:proofErr w:type="spellStart"/>
      <w:r w:rsidRPr="00D730B7">
        <w:rPr>
          <w:szCs w:val="24"/>
        </w:rPr>
        <w:t>Nassawadox</w:t>
      </w:r>
      <w:proofErr w:type="spellEnd"/>
      <w:r w:rsidRPr="00D730B7">
        <w:rPr>
          <w:szCs w:val="24"/>
        </w:rPr>
        <w:t xml:space="preserve"> Creeks. </w:t>
      </w:r>
      <w:proofErr w:type="spellStart"/>
      <w:r w:rsidRPr="00D730B7">
        <w:rPr>
          <w:szCs w:val="24"/>
        </w:rPr>
        <w:t>Machipongo</w:t>
      </w:r>
      <w:proofErr w:type="spellEnd"/>
      <w:r w:rsidRPr="00D730B7">
        <w:rPr>
          <w:szCs w:val="24"/>
        </w:rPr>
        <w:t xml:space="preserve"> River, Assawoman Creek, Parker Creek, Folly Creek, and Finney Creek drain east directly into the Atlantic Ocean.</w:t>
      </w:r>
    </w:p>
    <w:p w14:paraId="344AE390" w14:textId="77777777" w:rsidR="00546B19" w:rsidRPr="00D730B7" w:rsidRDefault="00546B19" w:rsidP="00546B19">
      <w:pPr>
        <w:tabs>
          <w:tab w:val="left" w:pos="720"/>
        </w:tabs>
        <w:rPr>
          <w:szCs w:val="24"/>
        </w:rPr>
      </w:pPr>
    </w:p>
    <w:p w14:paraId="3808E886" w14:textId="70B04642" w:rsidR="00546B19" w:rsidRPr="00D730B7" w:rsidRDefault="00546B19" w:rsidP="00546B19">
      <w:pPr>
        <w:tabs>
          <w:tab w:val="left" w:pos="720"/>
        </w:tabs>
        <w:rPr>
          <w:szCs w:val="24"/>
        </w:rPr>
      </w:pPr>
      <w:r w:rsidRPr="00D730B7">
        <w:rPr>
          <w:szCs w:val="24"/>
        </w:rPr>
        <w:t>The Chesapeake Bay/Atlantic Ocean and small coastal basins are divided into seven USGS hydrologic units as follows: HUC 02060009 – Pocomoke; HUC 02060010 – Chincoteague; HUC 02080101 – Lower Chesapeake Bay; HUC 02080102 – Great Wicomico-</w:t>
      </w:r>
      <w:proofErr w:type="spellStart"/>
      <w:r w:rsidRPr="00D730B7">
        <w:rPr>
          <w:szCs w:val="24"/>
        </w:rPr>
        <w:t>Piankatank</w:t>
      </w:r>
      <w:proofErr w:type="spellEnd"/>
      <w:r w:rsidRPr="00D730B7">
        <w:rPr>
          <w:szCs w:val="24"/>
        </w:rPr>
        <w:t>; HUC 02080108 – Lower Lynnhaven-Poquoson; HUC 02080109 – Western Lower Delmarva; and HUC 02080110 – Tangier. The seven hydrologic units are further divided into 24 waterbodies or watersheds and 73 6</w:t>
      </w:r>
      <w:r w:rsidRPr="00D730B7">
        <w:rPr>
          <w:szCs w:val="24"/>
          <w:vertAlign w:val="superscript"/>
        </w:rPr>
        <w:t>th</w:t>
      </w:r>
      <w:r w:rsidRPr="00D730B7">
        <w:rPr>
          <w:szCs w:val="24"/>
        </w:rPr>
        <w:t xml:space="preserve"> order sub-watersheds.</w:t>
      </w:r>
    </w:p>
    <w:p w14:paraId="48CD3505" w14:textId="77777777" w:rsidR="00546B19" w:rsidRPr="00D730B7" w:rsidRDefault="00546B19" w:rsidP="00546B19">
      <w:pPr>
        <w:tabs>
          <w:tab w:val="left" w:pos="720"/>
        </w:tabs>
        <w:rPr>
          <w:szCs w:val="24"/>
        </w:rPr>
      </w:pPr>
    </w:p>
    <w:p w14:paraId="28EF467D" w14:textId="4DCF959E" w:rsidR="00546B19" w:rsidRPr="00D730B7" w:rsidRDefault="00546B19" w:rsidP="00A76431">
      <w:pPr>
        <w:tabs>
          <w:tab w:val="left" w:pos="720"/>
        </w:tabs>
        <w:rPr>
          <w:szCs w:val="24"/>
        </w:rPr>
      </w:pPr>
      <w:r w:rsidRPr="00D730B7">
        <w:rPr>
          <w:szCs w:val="24"/>
        </w:rPr>
        <w:t>Basin assessment information is presented in the following figures and tables.</w:t>
      </w:r>
    </w:p>
    <w:p w14:paraId="275C80E7" w14:textId="77777777" w:rsidR="00546B19" w:rsidRPr="00D730B7" w:rsidRDefault="00546B19" w:rsidP="00546B19">
      <w:pPr>
        <w:jc w:val="both"/>
        <w:rPr>
          <w:b/>
          <w:szCs w:val="24"/>
        </w:rPr>
      </w:pPr>
    </w:p>
    <w:p w14:paraId="1B9D47EE" w14:textId="77777777" w:rsidR="008F20E4" w:rsidRPr="00D730B7" w:rsidRDefault="008F20E4" w:rsidP="008F20E4">
      <w:pPr>
        <w:jc w:val="both"/>
        <w:rPr>
          <w:b/>
          <w:szCs w:val="24"/>
        </w:rPr>
      </w:pPr>
      <w:r>
        <w:rPr>
          <w:b/>
          <w:szCs w:val="24"/>
        </w:rPr>
        <w:t>Total basin water body sizes, note all values rounded to the nearest whole number.</w:t>
      </w:r>
    </w:p>
    <w:p w14:paraId="35A64804" w14:textId="043A7A46" w:rsidR="00546B19" w:rsidRPr="00D730B7" w:rsidRDefault="00546B19" w:rsidP="00546B19">
      <w:pPr>
        <w:ind w:firstLine="720"/>
        <w:jc w:val="both"/>
        <w:rPr>
          <w:szCs w:val="24"/>
        </w:rPr>
      </w:pPr>
      <w:r w:rsidRPr="00D730B7">
        <w:rPr>
          <w:szCs w:val="24"/>
        </w:rPr>
        <w:t>Rivers - 1,</w:t>
      </w:r>
      <w:r>
        <w:rPr>
          <w:szCs w:val="24"/>
        </w:rPr>
        <w:t>87</w:t>
      </w:r>
      <w:r w:rsidR="00D47FD0">
        <w:rPr>
          <w:szCs w:val="24"/>
        </w:rPr>
        <w:t>7</w:t>
      </w:r>
      <w:r w:rsidRPr="00D730B7">
        <w:rPr>
          <w:szCs w:val="24"/>
        </w:rPr>
        <w:t xml:space="preserve"> miles</w:t>
      </w:r>
    </w:p>
    <w:p w14:paraId="472598BF" w14:textId="77777777" w:rsidR="00546B19" w:rsidRPr="00D730B7" w:rsidRDefault="00546B19" w:rsidP="00546B19">
      <w:pPr>
        <w:ind w:firstLine="720"/>
        <w:jc w:val="both"/>
        <w:rPr>
          <w:szCs w:val="24"/>
        </w:rPr>
      </w:pPr>
      <w:r w:rsidRPr="00D730B7">
        <w:rPr>
          <w:szCs w:val="24"/>
        </w:rPr>
        <w:t>Lakes - 2,150 acres</w:t>
      </w:r>
    </w:p>
    <w:p w14:paraId="0861A252" w14:textId="14587969" w:rsidR="00546B19" w:rsidRDefault="00546B19" w:rsidP="00546B19">
      <w:pPr>
        <w:ind w:firstLine="720"/>
        <w:jc w:val="both"/>
        <w:rPr>
          <w:szCs w:val="24"/>
        </w:rPr>
      </w:pPr>
      <w:r w:rsidRPr="00D730B7">
        <w:rPr>
          <w:szCs w:val="24"/>
        </w:rPr>
        <w:t>Estuaries - 2,</w:t>
      </w:r>
      <w:r>
        <w:rPr>
          <w:szCs w:val="24"/>
        </w:rPr>
        <w:t>24</w:t>
      </w:r>
      <w:r w:rsidR="004143B3">
        <w:rPr>
          <w:szCs w:val="24"/>
        </w:rPr>
        <w:t>2</w:t>
      </w:r>
      <w:r w:rsidRPr="00D730B7">
        <w:rPr>
          <w:szCs w:val="24"/>
        </w:rPr>
        <w:t xml:space="preserve"> sq. miles</w:t>
      </w:r>
    </w:p>
    <w:p w14:paraId="249CC97B" w14:textId="77777777" w:rsidR="00546B19" w:rsidRPr="00D730B7" w:rsidRDefault="00546B19" w:rsidP="00546B19">
      <w:pPr>
        <w:jc w:val="both"/>
        <w:rPr>
          <w:b/>
          <w:szCs w:val="24"/>
        </w:rPr>
      </w:pPr>
    </w:p>
    <w:p w14:paraId="0C47CB67" w14:textId="47D39420" w:rsidR="00A76431" w:rsidRDefault="00FE044E" w:rsidP="00A76431">
      <w:pPr>
        <w:pStyle w:val="ListParagraph"/>
        <w:keepNext/>
        <w:ind w:left="0"/>
        <w:jc w:val="both"/>
      </w:pPr>
      <w:r>
        <w:rPr>
          <w:noProof/>
        </w:rPr>
        <w:drawing>
          <wp:inline distT="0" distB="0" distL="0" distR="0" wp14:anchorId="1AE66259" wp14:editId="725619B4">
            <wp:extent cx="5334000" cy="3810000"/>
            <wp:effectExtent l="0" t="0" r="0" b="0"/>
            <wp:docPr id="144" name="Picture" descr="Chart, bar chart&#10;&#10;Figure 4.3 21. Designated use summary for rivers in the Chesapeake Bay/Atlantic Ocean and small coastal basins (1,698 miles not assessed). "/>
            <wp:cNvGraphicFramePr/>
            <a:graphic xmlns:a="http://schemas.openxmlformats.org/drawingml/2006/main">
              <a:graphicData uri="http://schemas.openxmlformats.org/drawingml/2006/picture">
                <pic:pic xmlns:pic="http://schemas.openxmlformats.org/drawingml/2006/picture">
                  <pic:nvPicPr>
                    <pic:cNvPr id="144" name="Picture" descr="Chart, bar chart&#10;&#10;Figure 4.3 21. Designated use summary for rivers in the Chesapeake Bay/Atlantic Ocean and small coastal basins (1,698 miles not assessed). "/>
                    <pic:cNvPicPr>
                      <a:picLocks noChangeAspect="1" noChangeArrowheads="1"/>
                    </pic:cNvPicPr>
                  </pic:nvPicPr>
                  <pic:blipFill>
                    <a:blip r:embed="rId164"/>
                    <a:stretch>
                      <a:fillRect/>
                    </a:stretch>
                  </pic:blipFill>
                  <pic:spPr bwMode="auto">
                    <a:xfrm>
                      <a:off x="0" y="0"/>
                      <a:ext cx="5334000" cy="3810000"/>
                    </a:xfrm>
                    <a:prstGeom prst="rect">
                      <a:avLst/>
                    </a:prstGeom>
                    <a:noFill/>
                    <a:ln w="9525">
                      <a:noFill/>
                      <a:headEnd/>
                      <a:tailEnd/>
                    </a:ln>
                  </pic:spPr>
                </pic:pic>
              </a:graphicData>
            </a:graphic>
          </wp:inline>
        </w:drawing>
      </w:r>
    </w:p>
    <w:p w14:paraId="0D06A963" w14:textId="6D0B648D" w:rsidR="00D04429" w:rsidRPr="0062574F" w:rsidRDefault="00A76431" w:rsidP="0A5BE548">
      <w:pPr>
        <w:pStyle w:val="Caption"/>
        <w:jc w:val="both"/>
        <w:rPr>
          <w:rFonts w:ascii="Times New Roman" w:hAnsi="Times New Roman"/>
        </w:rPr>
      </w:pPr>
      <w:bookmarkStart w:id="154" w:name="_Toc164175077"/>
      <w:bookmarkStart w:id="155" w:name="_Toc152766252"/>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21</w:t>
      </w:r>
      <w:r w:rsidR="004F13BA">
        <w:rPr>
          <w:noProof/>
        </w:rPr>
        <w:fldChar w:fldCharType="end"/>
      </w:r>
      <w:r>
        <w:t xml:space="preserve">. </w:t>
      </w:r>
      <w:r w:rsidR="00F1329F">
        <w:t>Designated</w:t>
      </w:r>
      <w:r w:rsidRPr="00A76431">
        <w:t xml:space="preserve"> </w:t>
      </w:r>
      <w:r w:rsidR="00934F80">
        <w:t>use summary for river</w:t>
      </w:r>
      <w:r w:rsidR="00BD0EF7">
        <w:t>s</w:t>
      </w:r>
      <w:r w:rsidR="00934F80">
        <w:t xml:space="preserve"> in</w:t>
      </w:r>
      <w:r w:rsidRPr="00A76431">
        <w:t xml:space="preserve"> the Chesapeake Bay/Atlantic Ocean</w:t>
      </w:r>
      <w:r w:rsidR="651196F8" w:rsidRPr="00A76431">
        <w:t xml:space="preserve"> </w:t>
      </w:r>
      <w:bookmarkEnd w:id="154"/>
      <w:r>
        <w:t>and small coastal basins</w:t>
      </w:r>
      <w:r w:rsidR="00C5447E">
        <w:t xml:space="preserve"> (1,69</w:t>
      </w:r>
      <w:r w:rsidR="00E44F87">
        <w:t>8</w:t>
      </w:r>
      <w:r w:rsidR="00C5447E">
        <w:t xml:space="preserve"> miles not assessed)</w:t>
      </w:r>
      <w:r>
        <w:t xml:space="preserve">. </w:t>
      </w:r>
      <w:bookmarkEnd w:id="155"/>
    </w:p>
    <w:p w14:paraId="539CEA9E" w14:textId="77777777" w:rsidR="00546B19" w:rsidRPr="004816BD" w:rsidRDefault="00546B19" w:rsidP="00684973"/>
    <w:p w14:paraId="60950F04" w14:textId="3265815D" w:rsidR="00A76431" w:rsidRDefault="00971B9F" w:rsidP="00A76431">
      <w:pPr>
        <w:keepNext/>
        <w:jc w:val="both"/>
      </w:pPr>
      <w:r>
        <w:rPr>
          <w:noProof/>
        </w:rPr>
        <w:lastRenderedPageBreak/>
        <w:drawing>
          <wp:inline distT="0" distB="0" distL="0" distR="0" wp14:anchorId="7B209889" wp14:editId="686A4B8A">
            <wp:extent cx="5334000" cy="3810000"/>
            <wp:effectExtent l="0" t="0" r="0" b="0"/>
            <wp:docPr id="150" name="Picture" descr="Chart, bar chart&#10;&#10;Figure 4.3 22. Designated use summary for lakes in the Chesapeake Bay/Atlantic Ocean and small coastal basins (308 acres not assessed). "/>
            <wp:cNvGraphicFramePr/>
            <a:graphic xmlns:a="http://schemas.openxmlformats.org/drawingml/2006/main">
              <a:graphicData uri="http://schemas.openxmlformats.org/drawingml/2006/picture">
                <pic:pic xmlns:pic="http://schemas.openxmlformats.org/drawingml/2006/picture">
                  <pic:nvPicPr>
                    <pic:cNvPr id="150" name="Picture" descr="Chart, bar chart&#10;&#10;Figure 4.3 22. Designated use summary for lakes in the Chesapeake Bay/Atlantic Ocean and small coastal basins (308 acres not assessed). "/>
                    <pic:cNvPicPr>
                      <a:picLocks noChangeAspect="1" noChangeArrowheads="1"/>
                    </pic:cNvPicPr>
                  </pic:nvPicPr>
                  <pic:blipFill>
                    <a:blip r:embed="rId165"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53F78835" w14:textId="25D7429D" w:rsidR="00D04429" w:rsidRPr="0062574F" w:rsidRDefault="00A76431" w:rsidP="0A5BE548">
      <w:pPr>
        <w:pStyle w:val="Caption"/>
        <w:jc w:val="both"/>
        <w:rPr>
          <w:b/>
          <w:bCs/>
        </w:rPr>
      </w:pPr>
      <w:bookmarkStart w:id="156" w:name="_Toc164175078"/>
      <w:bookmarkStart w:id="157" w:name="_Toc152766253"/>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22</w:t>
      </w:r>
      <w:r w:rsidR="004F13BA">
        <w:rPr>
          <w:noProof/>
        </w:rPr>
        <w:fldChar w:fldCharType="end"/>
      </w:r>
      <w:r>
        <w:t xml:space="preserve">. </w:t>
      </w:r>
      <w:r w:rsidR="00BD0EF7">
        <w:t>Designated</w:t>
      </w:r>
      <w:r w:rsidRPr="00A76431">
        <w:t xml:space="preserve"> use summary for </w:t>
      </w:r>
      <w:r w:rsidR="00BD0EF7">
        <w:t>lakes in</w:t>
      </w:r>
      <w:r w:rsidRPr="00A76431">
        <w:t xml:space="preserve"> the Chesapeake Bay/Atlantic Ocean</w:t>
      </w:r>
      <w:r w:rsidR="2B0FE651" w:rsidRPr="00A76431">
        <w:t xml:space="preserve"> </w:t>
      </w:r>
      <w:bookmarkEnd w:id="156"/>
      <w:r>
        <w:t xml:space="preserve">and small coastal </w:t>
      </w:r>
      <w:r w:rsidR="001A3FCF">
        <w:t>basins (</w:t>
      </w:r>
      <w:r w:rsidR="002164AE">
        <w:t>308 acres not assessed</w:t>
      </w:r>
      <w:r w:rsidR="00983C59">
        <w:t>)</w:t>
      </w:r>
      <w:r>
        <w:t xml:space="preserve">. </w:t>
      </w:r>
      <w:bookmarkEnd w:id="157"/>
    </w:p>
    <w:p w14:paraId="5A313B42" w14:textId="77777777" w:rsidR="00546B19" w:rsidRPr="00D730B7" w:rsidRDefault="00546B19" w:rsidP="00546B19">
      <w:pPr>
        <w:jc w:val="both"/>
        <w:rPr>
          <w:szCs w:val="24"/>
        </w:rPr>
      </w:pPr>
    </w:p>
    <w:p w14:paraId="64271FC7" w14:textId="1F11AB8D" w:rsidR="00A76431" w:rsidRDefault="00DB5009" w:rsidP="00A76431">
      <w:pPr>
        <w:keepNext/>
        <w:jc w:val="both"/>
      </w:pPr>
      <w:r>
        <w:rPr>
          <w:noProof/>
        </w:rPr>
        <w:drawing>
          <wp:inline distT="0" distB="0" distL="0" distR="0" wp14:anchorId="03EF0E01" wp14:editId="3F6CB3F9">
            <wp:extent cx="5334000" cy="3810000"/>
            <wp:effectExtent l="0" t="0" r="0" b="0"/>
            <wp:docPr id="156" name="Picture" descr="Chart, bar chart&#10;&#10;Figure 4.3 23. Designated use summary for estuaries in the Chesapeake Bay/Atlantic Ocean and small coastal basins (393 miles2 not assessed). "/>
            <wp:cNvGraphicFramePr/>
            <a:graphic xmlns:a="http://schemas.openxmlformats.org/drawingml/2006/main">
              <a:graphicData uri="http://schemas.openxmlformats.org/drawingml/2006/picture">
                <pic:pic xmlns:pic="http://schemas.openxmlformats.org/drawingml/2006/picture">
                  <pic:nvPicPr>
                    <pic:cNvPr id="156" name="Picture" descr="Chart, bar chart&#10;&#10;Figure 4.3 23. Designated use summary for estuaries in the Chesapeake Bay/Atlantic Ocean and small coastal basins (393 miles2 not assessed). "/>
                    <pic:cNvPicPr>
                      <a:picLocks noChangeAspect="1" noChangeArrowheads="1"/>
                    </pic:cNvPicPr>
                  </pic:nvPicPr>
                  <pic:blipFill>
                    <a:blip r:embed="rId166"/>
                    <a:stretch>
                      <a:fillRect/>
                    </a:stretch>
                  </pic:blipFill>
                  <pic:spPr bwMode="auto">
                    <a:xfrm>
                      <a:off x="0" y="0"/>
                      <a:ext cx="5334000" cy="3810000"/>
                    </a:xfrm>
                    <a:prstGeom prst="rect">
                      <a:avLst/>
                    </a:prstGeom>
                    <a:noFill/>
                    <a:ln w="9525">
                      <a:noFill/>
                      <a:headEnd/>
                      <a:tailEnd/>
                    </a:ln>
                  </pic:spPr>
                </pic:pic>
              </a:graphicData>
            </a:graphic>
          </wp:inline>
        </w:drawing>
      </w:r>
    </w:p>
    <w:p w14:paraId="041178CE" w14:textId="565BBD83" w:rsidR="00D04429" w:rsidRPr="0062574F" w:rsidRDefault="00A76431" w:rsidP="0A5BE548">
      <w:pPr>
        <w:pStyle w:val="Caption"/>
        <w:jc w:val="both"/>
        <w:rPr>
          <w:b/>
          <w:bCs/>
        </w:rPr>
      </w:pPr>
      <w:bookmarkStart w:id="158" w:name="_Toc164175079"/>
      <w:bookmarkStart w:id="159" w:name="_Toc152766254"/>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23</w:t>
      </w:r>
      <w:r w:rsidR="004F13BA">
        <w:rPr>
          <w:noProof/>
        </w:rPr>
        <w:fldChar w:fldCharType="end"/>
      </w:r>
      <w:r>
        <w:t xml:space="preserve">. </w:t>
      </w:r>
      <w:r w:rsidR="00C90689">
        <w:t>Desi</w:t>
      </w:r>
      <w:r w:rsidR="001D2132">
        <w:t>gnated use summary for estuaries in</w:t>
      </w:r>
      <w:r w:rsidRPr="00A76431">
        <w:t xml:space="preserve"> the Chesapeake Bay/Atlantic Ocean</w:t>
      </w:r>
      <w:r w:rsidR="697A73DC" w:rsidRPr="00A76431">
        <w:t xml:space="preserve"> </w:t>
      </w:r>
      <w:bookmarkEnd w:id="158"/>
      <w:r>
        <w:t>and small coastal basins</w:t>
      </w:r>
      <w:r w:rsidR="002164AE">
        <w:t xml:space="preserve"> (</w:t>
      </w:r>
      <w:r w:rsidR="000B508C">
        <w:t>393 miles</w:t>
      </w:r>
      <w:r w:rsidR="000B508C" w:rsidRPr="0A5BE548">
        <w:rPr>
          <w:vertAlign w:val="superscript"/>
        </w:rPr>
        <w:t>2</w:t>
      </w:r>
      <w:r w:rsidR="000B508C">
        <w:t xml:space="preserve"> not assessed</w:t>
      </w:r>
      <w:r w:rsidR="002164AE">
        <w:t>)</w:t>
      </w:r>
      <w:r>
        <w:t xml:space="preserve">. </w:t>
      </w:r>
      <w:bookmarkEnd w:id="159"/>
    </w:p>
    <w:p w14:paraId="24485F07" w14:textId="77777777" w:rsidR="00546B19" w:rsidRDefault="00546B19" w:rsidP="00546B19">
      <w:pPr>
        <w:rPr>
          <w:b/>
          <w:szCs w:val="24"/>
        </w:rPr>
      </w:pPr>
    </w:p>
    <w:p w14:paraId="7747C352" w14:textId="08714FA3" w:rsidR="00A76431" w:rsidRDefault="00525FC6" w:rsidP="00A76431">
      <w:pPr>
        <w:keepNext/>
        <w:jc w:val="both"/>
      </w:pPr>
      <w:r>
        <w:rPr>
          <w:noProof/>
        </w:rPr>
        <w:drawing>
          <wp:inline distT="0" distB="0" distL="0" distR="0" wp14:anchorId="7E08C2BE" wp14:editId="0B81BB50">
            <wp:extent cx="5334000" cy="3810000"/>
            <wp:effectExtent l="0" t="0" r="0" b="0"/>
            <wp:docPr id="162" name="Picture" descr="Chart&#10;&#10;Figure 4.3 24. Chesapeake Bay-specific designated use summary for the Chesapeake Bay/Atlantic Ocean and small coastal basins. "/>
            <wp:cNvGraphicFramePr/>
            <a:graphic xmlns:a="http://schemas.openxmlformats.org/drawingml/2006/main">
              <a:graphicData uri="http://schemas.openxmlformats.org/drawingml/2006/picture">
                <pic:pic xmlns:pic="http://schemas.openxmlformats.org/drawingml/2006/picture">
                  <pic:nvPicPr>
                    <pic:cNvPr id="162" name="Picture" descr="Chart&#10;&#10;Figure 4.3 24. Chesapeake Bay-specific designated use summary for the Chesapeake Bay/Atlantic Ocean and small coastal basins. "/>
                    <pic:cNvPicPr>
                      <a:picLocks noChangeAspect="1" noChangeArrowheads="1"/>
                    </pic:cNvPicPr>
                  </pic:nvPicPr>
                  <pic:blipFill>
                    <a:blip r:embed="rId167"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36471CAE" w14:textId="5AD4B09B" w:rsidR="00C226CA" w:rsidRPr="0062574F" w:rsidRDefault="00A76431" w:rsidP="0A5BE548">
      <w:pPr>
        <w:pStyle w:val="Caption"/>
        <w:jc w:val="both"/>
        <w:rPr>
          <w:b/>
          <w:bCs/>
        </w:rPr>
      </w:pPr>
      <w:bookmarkStart w:id="160" w:name="_Toc164175080"/>
      <w:bookmarkStart w:id="161" w:name="_Toc152766255"/>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24</w:t>
      </w:r>
      <w:r w:rsidR="004F13BA">
        <w:rPr>
          <w:noProof/>
        </w:rPr>
        <w:fldChar w:fldCharType="end"/>
      </w:r>
      <w:r>
        <w:t xml:space="preserve">. </w:t>
      </w:r>
      <w:r w:rsidR="00780BED">
        <w:t>Chesapeake Bay-specific designated use summary</w:t>
      </w:r>
      <w:r w:rsidR="00780BED" w:rsidRPr="0A5BE548">
        <w:rPr>
          <w:rFonts w:cstheme="minorBidi"/>
        </w:rPr>
        <w:t xml:space="preserve"> for </w:t>
      </w:r>
      <w:r w:rsidR="00C226CA">
        <w:t>the</w:t>
      </w:r>
      <w:r w:rsidR="00C226CA" w:rsidRPr="00A76431">
        <w:t xml:space="preserve"> Chesapeake Bay/Atlantic Ocean</w:t>
      </w:r>
      <w:r w:rsidR="76C4B61F" w:rsidRPr="00A76431">
        <w:t xml:space="preserve"> </w:t>
      </w:r>
      <w:bookmarkEnd w:id="160"/>
      <w:r w:rsidR="00C226CA">
        <w:t xml:space="preserve">and small coastal basins. </w:t>
      </w:r>
    </w:p>
    <w:bookmarkEnd w:id="161"/>
    <w:p w14:paraId="486A66FE" w14:textId="61241C1F" w:rsidR="00546B19" w:rsidRPr="00C226CA" w:rsidRDefault="00546B19" w:rsidP="00A76431">
      <w:pPr>
        <w:pStyle w:val="Caption"/>
        <w:jc w:val="both"/>
        <w:rPr>
          <w:vanish/>
          <w:szCs w:val="24"/>
        </w:rPr>
      </w:pPr>
    </w:p>
    <w:p w14:paraId="0F189738" w14:textId="77777777" w:rsidR="00546B19" w:rsidRPr="00D730B7" w:rsidRDefault="00546B19" w:rsidP="00546B19">
      <w:pPr>
        <w:jc w:val="both"/>
        <w:rPr>
          <w:b/>
          <w:szCs w:val="24"/>
        </w:rPr>
      </w:pPr>
    </w:p>
    <w:p w14:paraId="2F1A69BD" w14:textId="55068FE6" w:rsidR="00D04429" w:rsidRPr="0062574F" w:rsidRDefault="00A76431" w:rsidP="00D04429">
      <w:pPr>
        <w:pStyle w:val="Caption"/>
        <w:jc w:val="both"/>
      </w:pPr>
      <w:bookmarkStart w:id="162" w:name="_Toc164175177"/>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13</w:t>
      </w:r>
      <w:r w:rsidR="004F13BA">
        <w:rPr>
          <w:noProof/>
        </w:rPr>
        <w:fldChar w:fldCharType="end"/>
      </w:r>
      <w:r>
        <w:t xml:space="preserve">. </w:t>
      </w:r>
      <w:r w:rsidRPr="0A5BE548">
        <w:t>Significant causes of use impairment in the Chesapeake Bay/Atlantic Ocean</w:t>
      </w:r>
      <w:r w:rsidR="0C9EDCF3" w:rsidRPr="0A5BE548">
        <w:t xml:space="preserve"> </w:t>
      </w:r>
      <w:bookmarkEnd w:id="162"/>
      <w:r>
        <w:t>and small coastal basins, by waterbody type, ranked by percentage of impaired water size. (Note: Waters can have multiple pollutants.)</w:t>
      </w:r>
    </w:p>
    <w:tbl>
      <w:tblPr>
        <w:tblStyle w:val="TableGrid"/>
        <w:tblW w:w="9734" w:type="dxa"/>
        <w:tblCellMar>
          <w:left w:w="115" w:type="dxa"/>
          <w:right w:w="115" w:type="dxa"/>
        </w:tblCellMar>
        <w:tblLook w:val="04A0" w:firstRow="1" w:lastRow="0" w:firstColumn="1" w:lastColumn="0" w:noHBand="0" w:noVBand="1"/>
        <w:tblCaption w:val="Table of Chesapeake Bay, Atlantic Ocean and Small Coastal Basins Significant Causes of Designated Use Impairment"/>
        <w:tblDescription w:val="Chesapeake Bay, Atlantic Ocean and Small Coastal Basins significant causes of Designated Use impairment for rivers, lakes, and estuaries ranked by percent of impaired water size"/>
      </w:tblPr>
      <w:tblGrid>
        <w:gridCol w:w="2525"/>
        <w:gridCol w:w="664"/>
        <w:gridCol w:w="2710"/>
        <w:gridCol w:w="636"/>
        <w:gridCol w:w="2364"/>
        <w:gridCol w:w="835"/>
      </w:tblGrid>
      <w:tr w:rsidR="00546B19" w:rsidRPr="00D730B7" w14:paraId="795A2AE6" w14:textId="77777777" w:rsidTr="00DD69F6">
        <w:trPr>
          <w:cantSplit/>
          <w:trHeight w:val="360"/>
          <w:tblHeader/>
        </w:trPr>
        <w:tc>
          <w:tcPr>
            <w:tcW w:w="3063" w:type="dxa"/>
            <w:gridSpan w:val="2"/>
            <w:vAlign w:val="center"/>
          </w:tcPr>
          <w:p w14:paraId="3D6DED5A" w14:textId="77777777" w:rsidR="00546B19" w:rsidRPr="00613290" w:rsidRDefault="00546B19" w:rsidP="00905B39">
            <w:pPr>
              <w:jc w:val="center"/>
              <w:rPr>
                <w:b/>
                <w:iCs/>
                <w:sz w:val="22"/>
                <w:szCs w:val="22"/>
              </w:rPr>
            </w:pPr>
            <w:r w:rsidRPr="00613290">
              <w:rPr>
                <w:b/>
                <w:iCs/>
                <w:sz w:val="22"/>
                <w:szCs w:val="22"/>
              </w:rPr>
              <w:t>Rivers</w:t>
            </w:r>
          </w:p>
        </w:tc>
        <w:tc>
          <w:tcPr>
            <w:tcW w:w="3214" w:type="dxa"/>
            <w:gridSpan w:val="2"/>
            <w:vAlign w:val="center"/>
          </w:tcPr>
          <w:p w14:paraId="3D375D67" w14:textId="77777777" w:rsidR="00546B19" w:rsidRPr="00613290" w:rsidRDefault="00546B19" w:rsidP="00905B39">
            <w:pPr>
              <w:jc w:val="center"/>
              <w:rPr>
                <w:b/>
                <w:iCs/>
                <w:sz w:val="22"/>
                <w:szCs w:val="22"/>
              </w:rPr>
            </w:pPr>
            <w:r w:rsidRPr="00613290">
              <w:rPr>
                <w:b/>
                <w:iCs/>
                <w:sz w:val="22"/>
                <w:szCs w:val="22"/>
              </w:rPr>
              <w:t>Lakes</w:t>
            </w:r>
          </w:p>
        </w:tc>
        <w:tc>
          <w:tcPr>
            <w:tcW w:w="3073" w:type="dxa"/>
            <w:gridSpan w:val="2"/>
            <w:vAlign w:val="center"/>
          </w:tcPr>
          <w:p w14:paraId="10070BBE" w14:textId="77777777" w:rsidR="00546B19" w:rsidRPr="00613290" w:rsidRDefault="00546B19" w:rsidP="00905B39">
            <w:pPr>
              <w:jc w:val="center"/>
              <w:rPr>
                <w:b/>
                <w:iCs/>
                <w:sz w:val="22"/>
                <w:szCs w:val="22"/>
              </w:rPr>
            </w:pPr>
            <w:r w:rsidRPr="00613290">
              <w:rPr>
                <w:b/>
                <w:iCs/>
                <w:sz w:val="22"/>
                <w:szCs w:val="22"/>
              </w:rPr>
              <w:t>Estuaries</w:t>
            </w:r>
          </w:p>
        </w:tc>
      </w:tr>
      <w:tr w:rsidR="00905B39" w:rsidRPr="00D730B7" w14:paraId="1A115D56" w14:textId="77777777" w:rsidTr="00DD69F6">
        <w:trPr>
          <w:cantSplit/>
          <w:trHeight w:val="360"/>
        </w:trPr>
        <w:tc>
          <w:tcPr>
            <w:tcW w:w="2425" w:type="dxa"/>
            <w:vAlign w:val="center"/>
          </w:tcPr>
          <w:p w14:paraId="132CA036" w14:textId="56EB9C4C" w:rsidR="00905B39" w:rsidRPr="00613290" w:rsidRDefault="00905B39" w:rsidP="00905B39">
            <w:pPr>
              <w:jc w:val="center"/>
              <w:rPr>
                <w:b/>
                <w:iCs/>
                <w:sz w:val="22"/>
                <w:szCs w:val="22"/>
              </w:rPr>
            </w:pPr>
            <w:r>
              <w:rPr>
                <w:rFonts w:ascii="Calibri" w:hAnsi="Calibri" w:cs="Calibri"/>
                <w:color w:val="000000"/>
                <w:sz w:val="22"/>
                <w:szCs w:val="22"/>
              </w:rPr>
              <w:t>Bacteria</w:t>
            </w:r>
          </w:p>
        </w:tc>
        <w:tc>
          <w:tcPr>
            <w:tcW w:w="638" w:type="dxa"/>
            <w:vAlign w:val="center"/>
          </w:tcPr>
          <w:p w14:paraId="320AE566" w14:textId="7F209E4D" w:rsidR="00905B39" w:rsidRPr="00613290" w:rsidRDefault="00905B39" w:rsidP="00905B39">
            <w:pPr>
              <w:jc w:val="center"/>
              <w:rPr>
                <w:iCs/>
                <w:sz w:val="22"/>
                <w:szCs w:val="22"/>
              </w:rPr>
            </w:pPr>
            <w:r>
              <w:rPr>
                <w:rFonts w:ascii="Calibri" w:hAnsi="Calibri" w:cs="Calibri"/>
                <w:color w:val="000000"/>
                <w:sz w:val="22"/>
                <w:szCs w:val="22"/>
              </w:rPr>
              <w:t>6</w:t>
            </w:r>
            <w:r w:rsidR="00297B66">
              <w:rPr>
                <w:rFonts w:ascii="Calibri" w:hAnsi="Calibri" w:cs="Calibri"/>
                <w:color w:val="000000"/>
                <w:sz w:val="22"/>
                <w:szCs w:val="22"/>
              </w:rPr>
              <w:t>5</w:t>
            </w:r>
            <w:r>
              <w:rPr>
                <w:rFonts w:ascii="Calibri" w:hAnsi="Calibri" w:cs="Calibri"/>
                <w:color w:val="000000"/>
                <w:sz w:val="22"/>
                <w:szCs w:val="22"/>
              </w:rPr>
              <w:t>%</w:t>
            </w:r>
          </w:p>
        </w:tc>
        <w:tc>
          <w:tcPr>
            <w:tcW w:w="2603" w:type="dxa"/>
            <w:vAlign w:val="center"/>
          </w:tcPr>
          <w:p w14:paraId="670F5338" w14:textId="4B0BD5A5" w:rsidR="00905B39" w:rsidRPr="00613290" w:rsidRDefault="00905B39" w:rsidP="00905B39">
            <w:pPr>
              <w:jc w:val="center"/>
              <w:rPr>
                <w:b/>
                <w:iCs/>
                <w:sz w:val="22"/>
                <w:szCs w:val="22"/>
              </w:rPr>
            </w:pPr>
            <w:r>
              <w:rPr>
                <w:rFonts w:ascii="Calibri" w:hAnsi="Calibri" w:cs="Calibri"/>
                <w:color w:val="000000"/>
                <w:sz w:val="22"/>
                <w:szCs w:val="22"/>
              </w:rPr>
              <w:t>Chlorophyll-a</w:t>
            </w:r>
          </w:p>
        </w:tc>
        <w:tc>
          <w:tcPr>
            <w:tcW w:w="611" w:type="dxa"/>
            <w:vAlign w:val="center"/>
          </w:tcPr>
          <w:p w14:paraId="51F86B07" w14:textId="7C1BBFAA" w:rsidR="00905B39" w:rsidRPr="00613290" w:rsidRDefault="00905B39" w:rsidP="00905B39">
            <w:pPr>
              <w:jc w:val="center"/>
              <w:rPr>
                <w:iCs/>
                <w:sz w:val="22"/>
                <w:szCs w:val="22"/>
              </w:rPr>
            </w:pPr>
            <w:r>
              <w:rPr>
                <w:rFonts w:ascii="Calibri" w:hAnsi="Calibri" w:cs="Calibri"/>
                <w:color w:val="000000"/>
                <w:sz w:val="22"/>
                <w:szCs w:val="22"/>
              </w:rPr>
              <w:t>73%</w:t>
            </w:r>
          </w:p>
        </w:tc>
        <w:tc>
          <w:tcPr>
            <w:tcW w:w="2271" w:type="dxa"/>
            <w:vAlign w:val="center"/>
          </w:tcPr>
          <w:p w14:paraId="422EC3A9" w14:textId="4192994F" w:rsidR="00905B39" w:rsidRPr="00613290" w:rsidRDefault="00905B39" w:rsidP="00905B39">
            <w:pPr>
              <w:jc w:val="center"/>
              <w:rPr>
                <w:b/>
                <w:iCs/>
                <w:sz w:val="22"/>
                <w:szCs w:val="22"/>
              </w:rPr>
            </w:pPr>
            <w:r>
              <w:rPr>
                <w:rFonts w:ascii="Calibri" w:hAnsi="Calibri" w:cs="Calibri"/>
                <w:color w:val="000000"/>
                <w:sz w:val="22"/>
                <w:szCs w:val="22"/>
              </w:rPr>
              <w:t>SAV</w:t>
            </w:r>
          </w:p>
        </w:tc>
        <w:tc>
          <w:tcPr>
            <w:tcW w:w="802" w:type="dxa"/>
            <w:vAlign w:val="center"/>
          </w:tcPr>
          <w:p w14:paraId="1714F540" w14:textId="59C0F823" w:rsidR="00905B39" w:rsidRPr="00613290" w:rsidRDefault="00905B39" w:rsidP="00905B39">
            <w:pPr>
              <w:jc w:val="center"/>
              <w:rPr>
                <w:iCs/>
                <w:sz w:val="22"/>
                <w:szCs w:val="22"/>
              </w:rPr>
            </w:pPr>
            <w:r>
              <w:rPr>
                <w:rFonts w:ascii="Calibri" w:hAnsi="Calibri" w:cs="Calibri"/>
                <w:color w:val="000000"/>
                <w:sz w:val="22"/>
                <w:szCs w:val="22"/>
              </w:rPr>
              <w:t>99%</w:t>
            </w:r>
          </w:p>
        </w:tc>
      </w:tr>
      <w:tr w:rsidR="00905B39" w:rsidRPr="00D730B7" w14:paraId="6569D6CB" w14:textId="77777777" w:rsidTr="00DD69F6">
        <w:trPr>
          <w:cantSplit/>
          <w:trHeight w:val="360"/>
        </w:trPr>
        <w:tc>
          <w:tcPr>
            <w:tcW w:w="2425" w:type="dxa"/>
            <w:vAlign w:val="center"/>
          </w:tcPr>
          <w:p w14:paraId="273671DA" w14:textId="4B0719BC" w:rsidR="00905B39" w:rsidRPr="00613290" w:rsidRDefault="00905B39" w:rsidP="00905B39">
            <w:pPr>
              <w:jc w:val="center"/>
              <w:rPr>
                <w:b/>
                <w:iCs/>
                <w:sz w:val="22"/>
                <w:szCs w:val="22"/>
              </w:rPr>
            </w:pPr>
            <w:r>
              <w:rPr>
                <w:rFonts w:ascii="Calibri" w:hAnsi="Calibri" w:cs="Calibri"/>
                <w:color w:val="000000"/>
                <w:sz w:val="22"/>
                <w:szCs w:val="22"/>
              </w:rPr>
              <w:t>Impaired Benthics</w:t>
            </w:r>
          </w:p>
        </w:tc>
        <w:tc>
          <w:tcPr>
            <w:tcW w:w="638" w:type="dxa"/>
            <w:vAlign w:val="center"/>
          </w:tcPr>
          <w:p w14:paraId="6EBA8837" w14:textId="650B574A" w:rsidR="00905B39" w:rsidRPr="00613290" w:rsidRDefault="00905B39" w:rsidP="00905B39">
            <w:pPr>
              <w:jc w:val="center"/>
              <w:rPr>
                <w:iCs/>
                <w:sz w:val="22"/>
                <w:szCs w:val="22"/>
              </w:rPr>
            </w:pPr>
            <w:r>
              <w:rPr>
                <w:rFonts w:ascii="Calibri" w:hAnsi="Calibri" w:cs="Calibri"/>
                <w:color w:val="000000"/>
                <w:sz w:val="22"/>
                <w:szCs w:val="22"/>
              </w:rPr>
              <w:t>2</w:t>
            </w:r>
            <w:r w:rsidR="00297B66">
              <w:rPr>
                <w:rFonts w:ascii="Calibri" w:hAnsi="Calibri" w:cs="Calibri"/>
                <w:color w:val="000000"/>
                <w:sz w:val="22"/>
                <w:szCs w:val="22"/>
              </w:rPr>
              <w:t>9</w:t>
            </w:r>
            <w:r>
              <w:rPr>
                <w:rFonts w:ascii="Calibri" w:hAnsi="Calibri" w:cs="Calibri"/>
                <w:color w:val="000000"/>
                <w:sz w:val="22"/>
                <w:szCs w:val="22"/>
              </w:rPr>
              <w:t>%</w:t>
            </w:r>
          </w:p>
        </w:tc>
        <w:tc>
          <w:tcPr>
            <w:tcW w:w="2603" w:type="dxa"/>
            <w:vAlign w:val="center"/>
          </w:tcPr>
          <w:p w14:paraId="0508A5E3" w14:textId="20875ED0" w:rsidR="00905B39" w:rsidRPr="00613290" w:rsidRDefault="00905B39" w:rsidP="00905B39">
            <w:pPr>
              <w:jc w:val="center"/>
              <w:rPr>
                <w:b/>
                <w:iCs/>
                <w:sz w:val="22"/>
                <w:szCs w:val="22"/>
              </w:rPr>
            </w:pPr>
            <w:r>
              <w:rPr>
                <w:rFonts w:ascii="Calibri" w:hAnsi="Calibri" w:cs="Calibri"/>
                <w:color w:val="000000"/>
                <w:sz w:val="22"/>
                <w:szCs w:val="22"/>
              </w:rPr>
              <w:t>Phosphorus, Total</w:t>
            </w:r>
          </w:p>
        </w:tc>
        <w:tc>
          <w:tcPr>
            <w:tcW w:w="611" w:type="dxa"/>
            <w:vAlign w:val="center"/>
          </w:tcPr>
          <w:p w14:paraId="37D0AB57" w14:textId="1A2D5AE0" w:rsidR="00905B39" w:rsidRPr="00613290" w:rsidRDefault="00905B39" w:rsidP="00905B39">
            <w:pPr>
              <w:jc w:val="center"/>
              <w:rPr>
                <w:iCs/>
                <w:sz w:val="22"/>
                <w:szCs w:val="22"/>
              </w:rPr>
            </w:pPr>
            <w:r>
              <w:rPr>
                <w:rFonts w:ascii="Calibri" w:hAnsi="Calibri" w:cs="Calibri"/>
                <w:color w:val="000000"/>
                <w:sz w:val="22"/>
                <w:szCs w:val="22"/>
              </w:rPr>
              <w:t>73%</w:t>
            </w:r>
          </w:p>
        </w:tc>
        <w:tc>
          <w:tcPr>
            <w:tcW w:w="2271" w:type="dxa"/>
            <w:vAlign w:val="center"/>
          </w:tcPr>
          <w:p w14:paraId="5B49F315" w14:textId="53873B64" w:rsidR="00905B39" w:rsidRPr="00613290" w:rsidRDefault="00905B39" w:rsidP="00905B39">
            <w:pPr>
              <w:jc w:val="center"/>
              <w:rPr>
                <w:b/>
                <w:iCs/>
                <w:sz w:val="22"/>
                <w:szCs w:val="22"/>
              </w:rPr>
            </w:pPr>
            <w:r>
              <w:rPr>
                <w:rFonts w:ascii="Calibri" w:hAnsi="Calibri" w:cs="Calibri"/>
                <w:color w:val="000000"/>
                <w:sz w:val="22"/>
                <w:szCs w:val="22"/>
              </w:rPr>
              <w:t>PCBs in Fish Tissue</w:t>
            </w:r>
          </w:p>
        </w:tc>
        <w:tc>
          <w:tcPr>
            <w:tcW w:w="802" w:type="dxa"/>
            <w:vAlign w:val="center"/>
          </w:tcPr>
          <w:p w14:paraId="3EFF5B99" w14:textId="19217AC7" w:rsidR="00905B39" w:rsidRPr="00613290" w:rsidRDefault="00905B39" w:rsidP="00905B39">
            <w:pPr>
              <w:jc w:val="center"/>
              <w:rPr>
                <w:iCs/>
                <w:sz w:val="22"/>
                <w:szCs w:val="22"/>
              </w:rPr>
            </w:pPr>
            <w:r>
              <w:rPr>
                <w:rFonts w:ascii="Calibri" w:hAnsi="Calibri" w:cs="Calibri"/>
                <w:color w:val="000000"/>
                <w:sz w:val="22"/>
                <w:szCs w:val="22"/>
              </w:rPr>
              <w:t>99%</w:t>
            </w:r>
          </w:p>
        </w:tc>
      </w:tr>
      <w:tr w:rsidR="00905B39" w:rsidRPr="00D730B7" w14:paraId="4E1878E1" w14:textId="77777777" w:rsidTr="00DD69F6">
        <w:trPr>
          <w:cantSplit/>
          <w:trHeight w:val="360"/>
        </w:trPr>
        <w:tc>
          <w:tcPr>
            <w:tcW w:w="2425" w:type="dxa"/>
            <w:vAlign w:val="center"/>
          </w:tcPr>
          <w:p w14:paraId="28621E43" w14:textId="556245BD" w:rsidR="00905B39" w:rsidRPr="00613290" w:rsidRDefault="00905B39" w:rsidP="00905B39">
            <w:pPr>
              <w:jc w:val="center"/>
              <w:rPr>
                <w:b/>
                <w:iCs/>
                <w:sz w:val="22"/>
                <w:szCs w:val="22"/>
              </w:rPr>
            </w:pPr>
            <w:r>
              <w:rPr>
                <w:rFonts w:ascii="Calibri" w:hAnsi="Calibri" w:cs="Calibri"/>
                <w:color w:val="000000"/>
                <w:sz w:val="22"/>
                <w:szCs w:val="22"/>
              </w:rPr>
              <w:t>Mercury in Fish Tissue</w:t>
            </w:r>
          </w:p>
        </w:tc>
        <w:tc>
          <w:tcPr>
            <w:tcW w:w="638" w:type="dxa"/>
            <w:vAlign w:val="center"/>
          </w:tcPr>
          <w:p w14:paraId="572FB51F" w14:textId="1835C554" w:rsidR="00905B39" w:rsidRPr="00613290" w:rsidRDefault="00905B39" w:rsidP="00905B39">
            <w:pPr>
              <w:jc w:val="center"/>
              <w:rPr>
                <w:iCs/>
                <w:sz w:val="22"/>
                <w:szCs w:val="22"/>
              </w:rPr>
            </w:pPr>
            <w:r>
              <w:rPr>
                <w:rFonts w:ascii="Calibri" w:hAnsi="Calibri" w:cs="Calibri"/>
                <w:color w:val="000000"/>
                <w:sz w:val="22"/>
                <w:szCs w:val="22"/>
              </w:rPr>
              <w:t>2</w:t>
            </w:r>
            <w:r w:rsidR="00297B66">
              <w:rPr>
                <w:rFonts w:ascii="Calibri" w:hAnsi="Calibri" w:cs="Calibri"/>
                <w:color w:val="000000"/>
                <w:sz w:val="22"/>
                <w:szCs w:val="22"/>
              </w:rPr>
              <w:t>5</w:t>
            </w:r>
            <w:r>
              <w:rPr>
                <w:rFonts w:ascii="Calibri" w:hAnsi="Calibri" w:cs="Calibri"/>
                <w:color w:val="000000"/>
                <w:sz w:val="22"/>
                <w:szCs w:val="22"/>
              </w:rPr>
              <w:t>%</w:t>
            </w:r>
          </w:p>
        </w:tc>
        <w:tc>
          <w:tcPr>
            <w:tcW w:w="2603" w:type="dxa"/>
            <w:vAlign w:val="center"/>
          </w:tcPr>
          <w:p w14:paraId="5C445CB9" w14:textId="1A56DBD7" w:rsidR="00905B39" w:rsidRPr="00613290" w:rsidRDefault="00905B39" w:rsidP="00905B39">
            <w:pPr>
              <w:jc w:val="center"/>
              <w:rPr>
                <w:b/>
                <w:iCs/>
                <w:sz w:val="22"/>
                <w:szCs w:val="22"/>
              </w:rPr>
            </w:pPr>
            <w:r>
              <w:rPr>
                <w:rFonts w:ascii="Calibri" w:hAnsi="Calibri" w:cs="Calibri"/>
                <w:color w:val="000000"/>
                <w:sz w:val="22"/>
                <w:szCs w:val="22"/>
              </w:rPr>
              <w:t>Dissolved Oxygen</w:t>
            </w:r>
          </w:p>
        </w:tc>
        <w:tc>
          <w:tcPr>
            <w:tcW w:w="611" w:type="dxa"/>
            <w:vAlign w:val="center"/>
          </w:tcPr>
          <w:p w14:paraId="45A605B7" w14:textId="0BFBCE83" w:rsidR="00905B39" w:rsidRPr="00613290" w:rsidRDefault="00905B39" w:rsidP="00905B39">
            <w:pPr>
              <w:jc w:val="center"/>
              <w:rPr>
                <w:iCs/>
                <w:sz w:val="22"/>
                <w:szCs w:val="22"/>
              </w:rPr>
            </w:pPr>
            <w:r>
              <w:rPr>
                <w:rFonts w:ascii="Calibri" w:hAnsi="Calibri" w:cs="Calibri"/>
                <w:color w:val="000000"/>
                <w:sz w:val="22"/>
                <w:szCs w:val="22"/>
              </w:rPr>
              <w:t>63%</w:t>
            </w:r>
          </w:p>
        </w:tc>
        <w:tc>
          <w:tcPr>
            <w:tcW w:w="2271" w:type="dxa"/>
            <w:vAlign w:val="center"/>
          </w:tcPr>
          <w:p w14:paraId="0D361586" w14:textId="051826A9" w:rsidR="00905B39" w:rsidRPr="00613290" w:rsidRDefault="00905B39" w:rsidP="00905B39">
            <w:pPr>
              <w:jc w:val="center"/>
              <w:rPr>
                <w:b/>
                <w:iCs/>
                <w:sz w:val="22"/>
                <w:szCs w:val="22"/>
              </w:rPr>
            </w:pPr>
            <w:r>
              <w:rPr>
                <w:rFonts w:ascii="Calibri" w:hAnsi="Calibri" w:cs="Calibri"/>
                <w:color w:val="000000"/>
                <w:sz w:val="22"/>
                <w:szCs w:val="22"/>
              </w:rPr>
              <w:t>Dissolved Oxygen</w:t>
            </w:r>
          </w:p>
        </w:tc>
        <w:tc>
          <w:tcPr>
            <w:tcW w:w="802" w:type="dxa"/>
            <w:vAlign w:val="center"/>
          </w:tcPr>
          <w:p w14:paraId="6EE47990" w14:textId="41763515" w:rsidR="00905B39" w:rsidRPr="00613290" w:rsidRDefault="00905B39" w:rsidP="00905B39">
            <w:pPr>
              <w:jc w:val="center"/>
              <w:rPr>
                <w:iCs/>
                <w:sz w:val="22"/>
                <w:szCs w:val="22"/>
              </w:rPr>
            </w:pPr>
            <w:r>
              <w:rPr>
                <w:rFonts w:ascii="Calibri" w:hAnsi="Calibri" w:cs="Calibri"/>
                <w:color w:val="000000"/>
                <w:sz w:val="22"/>
                <w:szCs w:val="22"/>
              </w:rPr>
              <w:t>72%</w:t>
            </w:r>
          </w:p>
        </w:tc>
      </w:tr>
      <w:tr w:rsidR="00905B39" w:rsidRPr="00D730B7" w14:paraId="1DDFFC76" w14:textId="77777777" w:rsidTr="00DD69F6">
        <w:trPr>
          <w:cantSplit/>
          <w:trHeight w:val="360"/>
        </w:trPr>
        <w:tc>
          <w:tcPr>
            <w:tcW w:w="2425" w:type="dxa"/>
            <w:vAlign w:val="center"/>
          </w:tcPr>
          <w:p w14:paraId="1BE23B6A" w14:textId="2B1D21FD" w:rsidR="00905B39" w:rsidRPr="00613290" w:rsidRDefault="00905B39" w:rsidP="00905B39">
            <w:pPr>
              <w:jc w:val="center"/>
              <w:rPr>
                <w:b/>
                <w:iCs/>
                <w:sz w:val="22"/>
                <w:szCs w:val="22"/>
              </w:rPr>
            </w:pPr>
            <w:r>
              <w:rPr>
                <w:rFonts w:ascii="Calibri" w:hAnsi="Calibri" w:cs="Calibri"/>
                <w:color w:val="000000"/>
                <w:sz w:val="22"/>
                <w:szCs w:val="22"/>
              </w:rPr>
              <w:t>Dissolved Oxygen</w:t>
            </w:r>
          </w:p>
        </w:tc>
        <w:tc>
          <w:tcPr>
            <w:tcW w:w="638" w:type="dxa"/>
            <w:vAlign w:val="center"/>
          </w:tcPr>
          <w:p w14:paraId="510E05A8" w14:textId="7BA7D14C" w:rsidR="00905B39" w:rsidRPr="00613290" w:rsidRDefault="00905B39" w:rsidP="00905B39">
            <w:pPr>
              <w:jc w:val="center"/>
              <w:rPr>
                <w:iCs/>
                <w:sz w:val="22"/>
                <w:szCs w:val="22"/>
              </w:rPr>
            </w:pPr>
            <w:r>
              <w:rPr>
                <w:rFonts w:ascii="Calibri" w:hAnsi="Calibri" w:cs="Calibri"/>
                <w:color w:val="000000"/>
                <w:sz w:val="22"/>
                <w:szCs w:val="22"/>
              </w:rPr>
              <w:t>21%</w:t>
            </w:r>
          </w:p>
        </w:tc>
        <w:tc>
          <w:tcPr>
            <w:tcW w:w="2603" w:type="dxa"/>
            <w:vAlign w:val="center"/>
          </w:tcPr>
          <w:p w14:paraId="21FBE80F" w14:textId="5BC3CEEF" w:rsidR="00905B39" w:rsidRPr="00613290" w:rsidRDefault="00905B39" w:rsidP="00905B39">
            <w:pPr>
              <w:jc w:val="center"/>
              <w:rPr>
                <w:b/>
                <w:iCs/>
                <w:sz w:val="22"/>
                <w:szCs w:val="22"/>
              </w:rPr>
            </w:pPr>
            <w:r>
              <w:rPr>
                <w:rFonts w:ascii="Calibri" w:hAnsi="Calibri" w:cs="Calibri"/>
                <w:color w:val="000000"/>
                <w:sz w:val="22"/>
                <w:szCs w:val="22"/>
              </w:rPr>
              <w:t>PCBs in Fish Tissue</w:t>
            </w:r>
          </w:p>
        </w:tc>
        <w:tc>
          <w:tcPr>
            <w:tcW w:w="611" w:type="dxa"/>
            <w:vAlign w:val="center"/>
          </w:tcPr>
          <w:p w14:paraId="58023BBF" w14:textId="4508D368" w:rsidR="00905B39" w:rsidRPr="00613290" w:rsidRDefault="00905B39" w:rsidP="00905B39">
            <w:pPr>
              <w:jc w:val="center"/>
              <w:rPr>
                <w:iCs/>
                <w:sz w:val="22"/>
                <w:szCs w:val="22"/>
              </w:rPr>
            </w:pPr>
            <w:r>
              <w:rPr>
                <w:rFonts w:ascii="Calibri" w:hAnsi="Calibri" w:cs="Calibri"/>
                <w:color w:val="000000"/>
                <w:sz w:val="22"/>
                <w:szCs w:val="22"/>
              </w:rPr>
              <w:t>62%</w:t>
            </w:r>
          </w:p>
        </w:tc>
        <w:tc>
          <w:tcPr>
            <w:tcW w:w="2271" w:type="dxa"/>
            <w:vAlign w:val="center"/>
          </w:tcPr>
          <w:p w14:paraId="68BB0658" w14:textId="4C4AB0A6" w:rsidR="00905B39" w:rsidRPr="00613290" w:rsidRDefault="00905B39" w:rsidP="00905B39">
            <w:pPr>
              <w:jc w:val="center"/>
              <w:rPr>
                <w:b/>
                <w:iCs/>
                <w:sz w:val="22"/>
                <w:szCs w:val="22"/>
              </w:rPr>
            </w:pPr>
            <w:r>
              <w:rPr>
                <w:rFonts w:ascii="Calibri" w:hAnsi="Calibri" w:cs="Calibri"/>
                <w:color w:val="000000"/>
                <w:sz w:val="22"/>
                <w:szCs w:val="22"/>
              </w:rPr>
              <w:t>Estuarine Bioassessments</w:t>
            </w:r>
          </w:p>
        </w:tc>
        <w:tc>
          <w:tcPr>
            <w:tcW w:w="802" w:type="dxa"/>
            <w:vAlign w:val="center"/>
          </w:tcPr>
          <w:p w14:paraId="69EF56C0" w14:textId="3635203E" w:rsidR="00905B39" w:rsidRPr="00613290" w:rsidRDefault="00905B39" w:rsidP="00905B39">
            <w:pPr>
              <w:jc w:val="center"/>
              <w:rPr>
                <w:iCs/>
                <w:sz w:val="22"/>
                <w:szCs w:val="22"/>
              </w:rPr>
            </w:pPr>
            <w:r>
              <w:rPr>
                <w:rFonts w:ascii="Calibri" w:hAnsi="Calibri" w:cs="Calibri"/>
                <w:color w:val="000000"/>
                <w:sz w:val="22"/>
                <w:szCs w:val="22"/>
              </w:rPr>
              <w:t>1</w:t>
            </w:r>
            <w:r w:rsidR="00041175">
              <w:rPr>
                <w:rFonts w:ascii="Calibri" w:hAnsi="Calibri" w:cs="Calibri"/>
                <w:color w:val="000000"/>
                <w:sz w:val="22"/>
                <w:szCs w:val="22"/>
              </w:rPr>
              <w:t>5</w:t>
            </w:r>
            <w:r>
              <w:rPr>
                <w:rFonts w:ascii="Calibri" w:hAnsi="Calibri" w:cs="Calibri"/>
                <w:color w:val="000000"/>
                <w:sz w:val="22"/>
                <w:szCs w:val="22"/>
              </w:rPr>
              <w:t>%</w:t>
            </w:r>
          </w:p>
        </w:tc>
      </w:tr>
      <w:tr w:rsidR="00905B39" w:rsidRPr="00D730B7" w14:paraId="2A69401D" w14:textId="77777777" w:rsidTr="00DD69F6">
        <w:trPr>
          <w:cantSplit/>
          <w:trHeight w:val="360"/>
        </w:trPr>
        <w:tc>
          <w:tcPr>
            <w:tcW w:w="2425" w:type="dxa"/>
            <w:vAlign w:val="center"/>
          </w:tcPr>
          <w:p w14:paraId="34E5063F" w14:textId="7C8F5C89" w:rsidR="00905B39" w:rsidRPr="00613290" w:rsidRDefault="00905B39" w:rsidP="00905B39">
            <w:pPr>
              <w:jc w:val="center"/>
              <w:rPr>
                <w:b/>
                <w:iCs/>
                <w:sz w:val="22"/>
                <w:szCs w:val="22"/>
              </w:rPr>
            </w:pPr>
            <w:r>
              <w:rPr>
                <w:rFonts w:ascii="Calibri" w:hAnsi="Calibri" w:cs="Calibri"/>
                <w:color w:val="000000"/>
                <w:sz w:val="22"/>
                <w:szCs w:val="22"/>
              </w:rPr>
              <w:t>pH</w:t>
            </w:r>
          </w:p>
        </w:tc>
        <w:tc>
          <w:tcPr>
            <w:tcW w:w="638" w:type="dxa"/>
            <w:vAlign w:val="center"/>
          </w:tcPr>
          <w:p w14:paraId="512D6E63" w14:textId="7DF2200F" w:rsidR="00905B39" w:rsidRPr="00613290" w:rsidRDefault="00905B39" w:rsidP="00905B39">
            <w:pPr>
              <w:jc w:val="center"/>
              <w:rPr>
                <w:iCs/>
                <w:sz w:val="22"/>
                <w:szCs w:val="22"/>
              </w:rPr>
            </w:pPr>
            <w:r>
              <w:rPr>
                <w:rFonts w:ascii="Calibri" w:hAnsi="Calibri" w:cs="Calibri"/>
                <w:color w:val="000000"/>
                <w:sz w:val="22"/>
                <w:szCs w:val="22"/>
              </w:rPr>
              <w:t>8%</w:t>
            </w:r>
          </w:p>
        </w:tc>
        <w:tc>
          <w:tcPr>
            <w:tcW w:w="2603" w:type="dxa"/>
            <w:vAlign w:val="center"/>
          </w:tcPr>
          <w:p w14:paraId="56F09B17" w14:textId="03220897" w:rsidR="00905B39" w:rsidRPr="00613290" w:rsidRDefault="00905B39" w:rsidP="00905B39">
            <w:pPr>
              <w:jc w:val="center"/>
              <w:rPr>
                <w:b/>
                <w:iCs/>
                <w:sz w:val="22"/>
                <w:szCs w:val="22"/>
              </w:rPr>
            </w:pPr>
            <w:r>
              <w:rPr>
                <w:rFonts w:ascii="Calibri" w:hAnsi="Calibri" w:cs="Calibri"/>
                <w:color w:val="000000"/>
                <w:sz w:val="22"/>
                <w:szCs w:val="22"/>
              </w:rPr>
              <w:t>Mercury in Fish Tissue</w:t>
            </w:r>
          </w:p>
        </w:tc>
        <w:tc>
          <w:tcPr>
            <w:tcW w:w="611" w:type="dxa"/>
            <w:vAlign w:val="center"/>
          </w:tcPr>
          <w:p w14:paraId="677A9400" w14:textId="527F39BC" w:rsidR="00905B39" w:rsidRPr="00613290" w:rsidRDefault="00905B39" w:rsidP="00905B39">
            <w:pPr>
              <w:jc w:val="center"/>
              <w:rPr>
                <w:iCs/>
                <w:sz w:val="22"/>
                <w:szCs w:val="22"/>
              </w:rPr>
            </w:pPr>
            <w:r>
              <w:rPr>
                <w:rFonts w:ascii="Calibri" w:hAnsi="Calibri" w:cs="Calibri"/>
                <w:color w:val="000000"/>
                <w:sz w:val="22"/>
                <w:szCs w:val="22"/>
              </w:rPr>
              <w:t>45%</w:t>
            </w:r>
          </w:p>
        </w:tc>
        <w:tc>
          <w:tcPr>
            <w:tcW w:w="2271" w:type="dxa"/>
            <w:vAlign w:val="center"/>
          </w:tcPr>
          <w:p w14:paraId="648CAB40" w14:textId="6A0E7519" w:rsidR="00905B39" w:rsidRPr="00613290" w:rsidRDefault="00905B39" w:rsidP="00905B39">
            <w:pPr>
              <w:jc w:val="center"/>
              <w:rPr>
                <w:b/>
                <w:iCs/>
                <w:sz w:val="22"/>
                <w:szCs w:val="22"/>
              </w:rPr>
            </w:pPr>
            <w:r>
              <w:rPr>
                <w:rFonts w:ascii="Calibri" w:hAnsi="Calibri" w:cs="Calibri"/>
                <w:color w:val="000000"/>
                <w:sz w:val="22"/>
                <w:szCs w:val="22"/>
              </w:rPr>
              <w:t>Bacteria</w:t>
            </w:r>
          </w:p>
        </w:tc>
        <w:tc>
          <w:tcPr>
            <w:tcW w:w="802" w:type="dxa"/>
            <w:vAlign w:val="center"/>
          </w:tcPr>
          <w:p w14:paraId="03929BA2" w14:textId="7F7D622E" w:rsidR="00905B39" w:rsidRPr="00613290" w:rsidRDefault="00905B39" w:rsidP="00905B39">
            <w:pPr>
              <w:jc w:val="center"/>
              <w:rPr>
                <w:iCs/>
                <w:sz w:val="22"/>
                <w:szCs w:val="22"/>
              </w:rPr>
            </w:pPr>
            <w:r>
              <w:rPr>
                <w:rFonts w:ascii="Calibri" w:hAnsi="Calibri" w:cs="Calibri"/>
                <w:color w:val="000000"/>
                <w:sz w:val="22"/>
                <w:szCs w:val="22"/>
              </w:rPr>
              <w:t>3%</w:t>
            </w:r>
          </w:p>
        </w:tc>
      </w:tr>
      <w:tr w:rsidR="00A20646" w:rsidRPr="00D730B7" w14:paraId="5FAC07C1" w14:textId="77777777" w:rsidTr="00DD69F6">
        <w:trPr>
          <w:cantSplit/>
          <w:trHeight w:val="360"/>
        </w:trPr>
        <w:tc>
          <w:tcPr>
            <w:tcW w:w="2425" w:type="dxa"/>
            <w:vAlign w:val="center"/>
          </w:tcPr>
          <w:p w14:paraId="22CD5D19" w14:textId="77777777" w:rsidR="00A20646" w:rsidRPr="00613290" w:rsidRDefault="00A20646" w:rsidP="00905B39">
            <w:pPr>
              <w:jc w:val="center"/>
              <w:rPr>
                <w:b/>
                <w:iCs/>
                <w:sz w:val="22"/>
                <w:szCs w:val="22"/>
              </w:rPr>
            </w:pPr>
            <w:r w:rsidRPr="00613290">
              <w:rPr>
                <w:b/>
                <w:iCs/>
                <w:sz w:val="22"/>
                <w:szCs w:val="22"/>
              </w:rPr>
              <w:t>--</w:t>
            </w:r>
          </w:p>
        </w:tc>
        <w:tc>
          <w:tcPr>
            <w:tcW w:w="638" w:type="dxa"/>
            <w:vAlign w:val="center"/>
          </w:tcPr>
          <w:p w14:paraId="3B794347" w14:textId="77777777" w:rsidR="00A20646" w:rsidRPr="00613290" w:rsidRDefault="00A20646" w:rsidP="00905B39">
            <w:pPr>
              <w:jc w:val="center"/>
              <w:rPr>
                <w:iCs/>
                <w:sz w:val="22"/>
                <w:szCs w:val="22"/>
              </w:rPr>
            </w:pPr>
            <w:r w:rsidRPr="00613290">
              <w:rPr>
                <w:iCs/>
                <w:sz w:val="22"/>
                <w:szCs w:val="22"/>
              </w:rPr>
              <w:t>--</w:t>
            </w:r>
          </w:p>
        </w:tc>
        <w:tc>
          <w:tcPr>
            <w:tcW w:w="2603" w:type="dxa"/>
            <w:vAlign w:val="center"/>
          </w:tcPr>
          <w:p w14:paraId="3616C14D" w14:textId="40DF8A61" w:rsidR="00A20646" w:rsidRPr="00613290" w:rsidRDefault="00A20646" w:rsidP="00905B39">
            <w:pPr>
              <w:jc w:val="center"/>
              <w:rPr>
                <w:b/>
                <w:iCs/>
                <w:sz w:val="22"/>
                <w:szCs w:val="22"/>
              </w:rPr>
            </w:pPr>
            <w:r>
              <w:rPr>
                <w:rFonts w:ascii="Calibri" w:hAnsi="Calibri" w:cs="Calibri"/>
                <w:color w:val="000000"/>
                <w:sz w:val="22"/>
                <w:szCs w:val="22"/>
              </w:rPr>
              <w:t>Copper</w:t>
            </w:r>
          </w:p>
        </w:tc>
        <w:tc>
          <w:tcPr>
            <w:tcW w:w="611" w:type="dxa"/>
            <w:vAlign w:val="center"/>
          </w:tcPr>
          <w:p w14:paraId="22027DE4" w14:textId="497443C9" w:rsidR="00A20646" w:rsidRPr="00613290" w:rsidRDefault="00A20646" w:rsidP="00905B39">
            <w:pPr>
              <w:jc w:val="center"/>
              <w:rPr>
                <w:iCs/>
                <w:sz w:val="22"/>
                <w:szCs w:val="22"/>
              </w:rPr>
            </w:pPr>
            <w:r>
              <w:rPr>
                <w:rFonts w:ascii="Calibri" w:hAnsi="Calibri" w:cs="Calibri"/>
                <w:color w:val="000000"/>
                <w:sz w:val="22"/>
                <w:szCs w:val="22"/>
              </w:rPr>
              <w:t>22%</w:t>
            </w:r>
          </w:p>
        </w:tc>
        <w:tc>
          <w:tcPr>
            <w:tcW w:w="2271" w:type="dxa"/>
            <w:vAlign w:val="center"/>
          </w:tcPr>
          <w:p w14:paraId="54A46247" w14:textId="24F233DB" w:rsidR="00A20646" w:rsidRPr="00613290" w:rsidRDefault="00A20646" w:rsidP="00905B39">
            <w:pPr>
              <w:jc w:val="center"/>
              <w:rPr>
                <w:b/>
                <w:iCs/>
                <w:sz w:val="22"/>
                <w:szCs w:val="22"/>
              </w:rPr>
            </w:pPr>
            <w:r>
              <w:rPr>
                <w:rFonts w:ascii="Calibri" w:hAnsi="Calibri" w:cs="Calibri"/>
                <w:color w:val="000000"/>
                <w:sz w:val="22"/>
                <w:szCs w:val="22"/>
              </w:rPr>
              <w:t>Sediment Bioassay</w:t>
            </w:r>
          </w:p>
        </w:tc>
        <w:tc>
          <w:tcPr>
            <w:tcW w:w="802" w:type="dxa"/>
            <w:vAlign w:val="center"/>
          </w:tcPr>
          <w:p w14:paraId="415B1E73" w14:textId="77777777" w:rsidR="00A20646" w:rsidRPr="00613290" w:rsidRDefault="00A20646" w:rsidP="00905B39">
            <w:pPr>
              <w:jc w:val="center"/>
              <w:rPr>
                <w:iCs/>
                <w:sz w:val="22"/>
                <w:szCs w:val="22"/>
              </w:rPr>
            </w:pPr>
            <w:r w:rsidRPr="00613290">
              <w:rPr>
                <w:iCs/>
                <w:sz w:val="22"/>
                <w:szCs w:val="22"/>
              </w:rPr>
              <w:t>&lt;1%</w:t>
            </w:r>
          </w:p>
        </w:tc>
      </w:tr>
    </w:tbl>
    <w:p w14:paraId="000F4064" w14:textId="77777777" w:rsidR="00510C84" w:rsidRDefault="00510C84" w:rsidP="00546B19">
      <w:pPr>
        <w:rPr>
          <w:b/>
          <w:bCs/>
          <w:szCs w:val="24"/>
        </w:rPr>
      </w:pPr>
    </w:p>
    <w:p w14:paraId="1DE0B559" w14:textId="77777777" w:rsidR="00510C84" w:rsidRDefault="00510C84">
      <w:pPr>
        <w:widowControl/>
        <w:spacing w:after="160" w:line="259" w:lineRule="auto"/>
        <w:rPr>
          <w:b/>
          <w:bCs/>
          <w:szCs w:val="24"/>
        </w:rPr>
      </w:pPr>
      <w:r>
        <w:rPr>
          <w:b/>
          <w:bCs/>
          <w:szCs w:val="24"/>
        </w:rPr>
        <w:br w:type="page"/>
      </w:r>
    </w:p>
    <w:p w14:paraId="327B514B" w14:textId="50F83BF3" w:rsidR="00D04429" w:rsidRPr="0062574F" w:rsidRDefault="00A76431" w:rsidP="00D04429">
      <w:pPr>
        <w:pStyle w:val="Caption"/>
        <w:jc w:val="both"/>
      </w:pPr>
      <w:bookmarkStart w:id="163" w:name="_Toc164175178"/>
      <w:r>
        <w:lastRenderedPageBreak/>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14</w:t>
      </w:r>
      <w:r w:rsidR="004F13BA">
        <w:rPr>
          <w:noProof/>
        </w:rPr>
        <w:fldChar w:fldCharType="end"/>
      </w:r>
      <w:r>
        <w:t>.</w:t>
      </w:r>
      <w:r w:rsidR="00D279A3">
        <w:t xml:space="preserve"> </w:t>
      </w:r>
      <w:r w:rsidR="00D279A3" w:rsidRPr="00D279A3">
        <w:t>Suspected sources of use impairment in the Chesapeake Bay/Atlantic Ocean</w:t>
      </w:r>
      <w:r w:rsidR="5526A0E2" w:rsidRPr="00D279A3">
        <w:t xml:space="preserve"> </w:t>
      </w:r>
      <w:bookmarkEnd w:id="163"/>
      <w:r w:rsidR="00D279A3">
        <w:t>and small coastal basins, by water body type, ranked by percentage of impaired water size. (Note: Waters can have multiple sources of pollution.)</w:t>
      </w:r>
    </w:p>
    <w:tbl>
      <w:tblPr>
        <w:tblStyle w:val="TableGrid"/>
        <w:tblW w:w="9734" w:type="dxa"/>
        <w:tblCellMar>
          <w:left w:w="115" w:type="dxa"/>
          <w:right w:w="115" w:type="dxa"/>
        </w:tblCellMar>
        <w:tblLook w:val="04A0" w:firstRow="1" w:lastRow="0" w:firstColumn="1" w:lastColumn="0" w:noHBand="0" w:noVBand="1"/>
        <w:tblCaption w:val="Table of Chesapeake Bay, Atlantic Ocean and Small Coastal Basins Suspected Sources of Designated Use Impairment"/>
        <w:tblDescription w:val="Chesapeake Bay, Atlantic Ocean and Small Coastal Basins suspected sources of Designated Use impairment for rivers, lakes, and estuaries ranked by percent of impaired water size"/>
      </w:tblPr>
      <w:tblGrid>
        <w:gridCol w:w="2602"/>
        <w:gridCol w:w="637"/>
        <w:gridCol w:w="2520"/>
        <w:gridCol w:w="752"/>
        <w:gridCol w:w="2471"/>
        <w:gridCol w:w="752"/>
      </w:tblGrid>
      <w:tr w:rsidR="00546B19" w:rsidRPr="00D730B7" w14:paraId="44497391" w14:textId="77777777" w:rsidTr="0A5BE548">
        <w:trPr>
          <w:cantSplit/>
          <w:trHeight w:val="360"/>
          <w:tblHeader/>
        </w:trPr>
        <w:tc>
          <w:tcPr>
            <w:tcW w:w="3111" w:type="dxa"/>
            <w:gridSpan w:val="2"/>
            <w:vAlign w:val="center"/>
          </w:tcPr>
          <w:p w14:paraId="72A15688" w14:textId="77777777" w:rsidR="00546B19" w:rsidRPr="00613290" w:rsidRDefault="00546B19" w:rsidP="00D4158A">
            <w:pPr>
              <w:jc w:val="center"/>
              <w:rPr>
                <w:b/>
                <w:iCs/>
                <w:sz w:val="22"/>
                <w:szCs w:val="22"/>
              </w:rPr>
            </w:pPr>
            <w:r w:rsidRPr="00613290">
              <w:rPr>
                <w:b/>
                <w:iCs/>
                <w:sz w:val="22"/>
                <w:szCs w:val="22"/>
              </w:rPr>
              <w:t>Rivers</w:t>
            </w:r>
          </w:p>
        </w:tc>
        <w:tc>
          <w:tcPr>
            <w:tcW w:w="3143" w:type="dxa"/>
            <w:gridSpan w:val="2"/>
            <w:vAlign w:val="center"/>
          </w:tcPr>
          <w:p w14:paraId="32819678" w14:textId="77777777" w:rsidR="00546B19" w:rsidRPr="00613290" w:rsidRDefault="00546B19" w:rsidP="00D4158A">
            <w:pPr>
              <w:jc w:val="center"/>
              <w:rPr>
                <w:b/>
                <w:iCs/>
                <w:sz w:val="22"/>
                <w:szCs w:val="22"/>
              </w:rPr>
            </w:pPr>
            <w:r w:rsidRPr="00613290">
              <w:rPr>
                <w:b/>
                <w:iCs/>
                <w:sz w:val="22"/>
                <w:szCs w:val="22"/>
              </w:rPr>
              <w:t>Lakes</w:t>
            </w:r>
          </w:p>
        </w:tc>
        <w:tc>
          <w:tcPr>
            <w:tcW w:w="3096" w:type="dxa"/>
            <w:gridSpan w:val="2"/>
            <w:vAlign w:val="center"/>
          </w:tcPr>
          <w:p w14:paraId="30764533" w14:textId="77777777" w:rsidR="00546B19" w:rsidRPr="00613290" w:rsidRDefault="00546B19" w:rsidP="00D4158A">
            <w:pPr>
              <w:jc w:val="center"/>
              <w:rPr>
                <w:b/>
                <w:iCs/>
                <w:sz w:val="22"/>
                <w:szCs w:val="22"/>
              </w:rPr>
            </w:pPr>
            <w:r w:rsidRPr="00613290">
              <w:rPr>
                <w:b/>
                <w:iCs/>
                <w:sz w:val="22"/>
                <w:szCs w:val="22"/>
              </w:rPr>
              <w:t>Estuaries</w:t>
            </w:r>
          </w:p>
        </w:tc>
      </w:tr>
      <w:tr w:rsidR="00D4158A" w:rsidRPr="00D730B7" w14:paraId="1C7F57CC" w14:textId="77777777" w:rsidTr="0A5BE548">
        <w:trPr>
          <w:cantSplit/>
          <w:trHeight w:val="360"/>
        </w:trPr>
        <w:tc>
          <w:tcPr>
            <w:tcW w:w="2499" w:type="dxa"/>
            <w:vAlign w:val="center"/>
          </w:tcPr>
          <w:p w14:paraId="50E36ACD" w14:textId="5228A13F" w:rsidR="00D4158A" w:rsidRPr="00613290" w:rsidRDefault="00D4158A" w:rsidP="00D4158A">
            <w:pPr>
              <w:jc w:val="center"/>
              <w:rPr>
                <w:b/>
                <w:iCs/>
                <w:sz w:val="22"/>
                <w:szCs w:val="22"/>
              </w:rPr>
            </w:pPr>
            <w:r>
              <w:rPr>
                <w:rFonts w:ascii="Calibri" w:hAnsi="Calibri" w:cs="Calibri"/>
                <w:color w:val="000000"/>
                <w:sz w:val="22"/>
                <w:szCs w:val="22"/>
              </w:rPr>
              <w:t>Source Unknown</w:t>
            </w:r>
          </w:p>
        </w:tc>
        <w:tc>
          <w:tcPr>
            <w:tcW w:w="612" w:type="dxa"/>
            <w:vAlign w:val="center"/>
          </w:tcPr>
          <w:p w14:paraId="3F850E3E" w14:textId="5B475780" w:rsidR="00D4158A" w:rsidRPr="00613290" w:rsidRDefault="00D4158A" w:rsidP="00D4158A">
            <w:pPr>
              <w:jc w:val="center"/>
              <w:rPr>
                <w:iCs/>
                <w:sz w:val="22"/>
                <w:szCs w:val="22"/>
              </w:rPr>
            </w:pPr>
            <w:r>
              <w:rPr>
                <w:rFonts w:ascii="Calibri" w:hAnsi="Calibri" w:cs="Calibri"/>
                <w:color w:val="000000"/>
                <w:sz w:val="22"/>
                <w:szCs w:val="22"/>
              </w:rPr>
              <w:t>7</w:t>
            </w:r>
            <w:r w:rsidR="00113B0F">
              <w:rPr>
                <w:rFonts w:ascii="Calibri" w:hAnsi="Calibri" w:cs="Calibri"/>
                <w:color w:val="000000"/>
                <w:sz w:val="22"/>
                <w:szCs w:val="22"/>
              </w:rPr>
              <w:t>3</w:t>
            </w:r>
            <w:r>
              <w:rPr>
                <w:rFonts w:ascii="Calibri" w:hAnsi="Calibri" w:cs="Calibri"/>
                <w:color w:val="000000"/>
                <w:sz w:val="22"/>
                <w:szCs w:val="22"/>
              </w:rPr>
              <w:t>%</w:t>
            </w:r>
          </w:p>
        </w:tc>
        <w:tc>
          <w:tcPr>
            <w:tcW w:w="2421" w:type="dxa"/>
            <w:vAlign w:val="center"/>
          </w:tcPr>
          <w:p w14:paraId="6E803D35" w14:textId="77777777" w:rsidR="00D4158A" w:rsidRPr="00613290" w:rsidRDefault="0A858689" w:rsidP="0A5BE548">
            <w:pPr>
              <w:jc w:val="center"/>
              <w:rPr>
                <w:sz w:val="22"/>
                <w:szCs w:val="22"/>
              </w:rPr>
            </w:pPr>
            <w:r w:rsidRPr="0A5BE548">
              <w:rPr>
                <w:sz w:val="22"/>
                <w:szCs w:val="22"/>
              </w:rPr>
              <w:t>Source Unknown</w:t>
            </w:r>
          </w:p>
        </w:tc>
        <w:tc>
          <w:tcPr>
            <w:tcW w:w="722" w:type="dxa"/>
            <w:vAlign w:val="center"/>
          </w:tcPr>
          <w:p w14:paraId="48B90E8B" w14:textId="77777777" w:rsidR="00D4158A" w:rsidRPr="00613290" w:rsidRDefault="00D4158A" w:rsidP="00D4158A">
            <w:pPr>
              <w:jc w:val="center"/>
              <w:rPr>
                <w:iCs/>
                <w:sz w:val="22"/>
                <w:szCs w:val="22"/>
              </w:rPr>
            </w:pPr>
            <w:r w:rsidRPr="00613290">
              <w:rPr>
                <w:iCs/>
                <w:sz w:val="22"/>
                <w:szCs w:val="22"/>
              </w:rPr>
              <w:t>100%</w:t>
            </w:r>
          </w:p>
        </w:tc>
        <w:tc>
          <w:tcPr>
            <w:tcW w:w="2374" w:type="dxa"/>
            <w:vAlign w:val="center"/>
          </w:tcPr>
          <w:p w14:paraId="7E6FC0BC" w14:textId="63C7E9E4" w:rsidR="00D4158A" w:rsidRPr="00613290" w:rsidRDefault="00D4158A" w:rsidP="00D4158A">
            <w:pPr>
              <w:jc w:val="center"/>
              <w:rPr>
                <w:b/>
                <w:iCs/>
                <w:sz w:val="22"/>
                <w:szCs w:val="22"/>
              </w:rPr>
            </w:pPr>
            <w:r>
              <w:rPr>
                <w:rFonts w:ascii="Calibri" w:hAnsi="Calibri" w:cs="Calibri"/>
                <w:color w:val="000000"/>
                <w:sz w:val="22"/>
                <w:szCs w:val="22"/>
              </w:rPr>
              <w:t>Agriculture</w:t>
            </w:r>
          </w:p>
        </w:tc>
        <w:tc>
          <w:tcPr>
            <w:tcW w:w="722" w:type="dxa"/>
            <w:vAlign w:val="center"/>
          </w:tcPr>
          <w:p w14:paraId="2041EF20" w14:textId="1FAAEF4C" w:rsidR="00D4158A" w:rsidRPr="00613290" w:rsidRDefault="00D4158A" w:rsidP="00D4158A">
            <w:pPr>
              <w:jc w:val="center"/>
              <w:rPr>
                <w:iCs/>
                <w:sz w:val="22"/>
                <w:szCs w:val="22"/>
              </w:rPr>
            </w:pPr>
            <w:r>
              <w:rPr>
                <w:rFonts w:ascii="Calibri" w:hAnsi="Calibri" w:cs="Calibri"/>
                <w:color w:val="000000"/>
                <w:sz w:val="22"/>
                <w:szCs w:val="22"/>
              </w:rPr>
              <w:t>100%</w:t>
            </w:r>
          </w:p>
        </w:tc>
      </w:tr>
      <w:tr w:rsidR="00D4158A" w:rsidRPr="00D730B7" w14:paraId="7A5F45B1" w14:textId="77777777" w:rsidTr="0A5BE548">
        <w:trPr>
          <w:cantSplit/>
          <w:trHeight w:val="360"/>
        </w:trPr>
        <w:tc>
          <w:tcPr>
            <w:tcW w:w="2499" w:type="dxa"/>
            <w:vAlign w:val="center"/>
          </w:tcPr>
          <w:p w14:paraId="5C57F749" w14:textId="554E8DC3" w:rsidR="00D4158A" w:rsidRPr="00613290" w:rsidRDefault="00D4158A" w:rsidP="00D4158A">
            <w:pPr>
              <w:jc w:val="center"/>
              <w:rPr>
                <w:b/>
                <w:iCs/>
                <w:sz w:val="22"/>
                <w:szCs w:val="22"/>
              </w:rPr>
            </w:pPr>
            <w:r>
              <w:rPr>
                <w:rFonts w:ascii="Calibri" w:hAnsi="Calibri" w:cs="Calibri"/>
                <w:color w:val="000000"/>
                <w:sz w:val="22"/>
                <w:szCs w:val="22"/>
              </w:rPr>
              <w:t>On-site Septic Treatment Systems</w:t>
            </w:r>
          </w:p>
        </w:tc>
        <w:tc>
          <w:tcPr>
            <w:tcW w:w="612" w:type="dxa"/>
            <w:vAlign w:val="center"/>
          </w:tcPr>
          <w:p w14:paraId="35B6A4FB" w14:textId="0DD7BFB1" w:rsidR="00D4158A" w:rsidRPr="00613290" w:rsidRDefault="00113B0F" w:rsidP="00D4158A">
            <w:pPr>
              <w:jc w:val="center"/>
              <w:rPr>
                <w:iCs/>
                <w:sz w:val="22"/>
                <w:szCs w:val="22"/>
              </w:rPr>
            </w:pPr>
            <w:r>
              <w:rPr>
                <w:rFonts w:ascii="Calibri" w:hAnsi="Calibri" w:cs="Calibri"/>
                <w:color w:val="000000"/>
                <w:sz w:val="22"/>
                <w:szCs w:val="22"/>
              </w:rPr>
              <w:t>48</w:t>
            </w:r>
            <w:r w:rsidR="00D4158A">
              <w:rPr>
                <w:rFonts w:ascii="Calibri" w:hAnsi="Calibri" w:cs="Calibri"/>
                <w:color w:val="000000"/>
                <w:sz w:val="22"/>
                <w:szCs w:val="22"/>
              </w:rPr>
              <w:t>%</w:t>
            </w:r>
          </w:p>
        </w:tc>
        <w:tc>
          <w:tcPr>
            <w:tcW w:w="2421" w:type="dxa"/>
            <w:vAlign w:val="center"/>
          </w:tcPr>
          <w:p w14:paraId="3AE3F585" w14:textId="77777777" w:rsidR="00D4158A" w:rsidRPr="00613290" w:rsidRDefault="00D4158A" w:rsidP="00D4158A">
            <w:pPr>
              <w:jc w:val="center"/>
              <w:rPr>
                <w:b/>
                <w:iCs/>
                <w:sz w:val="22"/>
                <w:szCs w:val="22"/>
              </w:rPr>
            </w:pPr>
            <w:r w:rsidRPr="00613290">
              <w:rPr>
                <w:b/>
                <w:iCs/>
                <w:sz w:val="22"/>
                <w:szCs w:val="22"/>
              </w:rPr>
              <w:t>--</w:t>
            </w:r>
          </w:p>
        </w:tc>
        <w:tc>
          <w:tcPr>
            <w:tcW w:w="722" w:type="dxa"/>
            <w:vAlign w:val="center"/>
          </w:tcPr>
          <w:p w14:paraId="564EBBF8" w14:textId="77777777" w:rsidR="00D4158A" w:rsidRPr="00613290" w:rsidRDefault="00D4158A" w:rsidP="00D4158A">
            <w:pPr>
              <w:jc w:val="center"/>
              <w:rPr>
                <w:iCs/>
                <w:sz w:val="22"/>
                <w:szCs w:val="22"/>
              </w:rPr>
            </w:pPr>
            <w:r w:rsidRPr="00613290">
              <w:rPr>
                <w:iCs/>
                <w:sz w:val="22"/>
                <w:szCs w:val="22"/>
              </w:rPr>
              <w:t>--</w:t>
            </w:r>
          </w:p>
        </w:tc>
        <w:tc>
          <w:tcPr>
            <w:tcW w:w="2374" w:type="dxa"/>
            <w:vAlign w:val="center"/>
          </w:tcPr>
          <w:p w14:paraId="258DEBF7" w14:textId="3D0448D4" w:rsidR="00D4158A" w:rsidRPr="00613290" w:rsidRDefault="00D4158A" w:rsidP="00D4158A">
            <w:pPr>
              <w:jc w:val="center"/>
              <w:rPr>
                <w:b/>
                <w:iCs/>
                <w:sz w:val="22"/>
                <w:szCs w:val="22"/>
              </w:rPr>
            </w:pPr>
            <w:r>
              <w:rPr>
                <w:rFonts w:ascii="Calibri" w:hAnsi="Calibri" w:cs="Calibri"/>
                <w:color w:val="000000"/>
                <w:sz w:val="22"/>
                <w:szCs w:val="22"/>
              </w:rPr>
              <w:t>Source Unknown</w:t>
            </w:r>
          </w:p>
        </w:tc>
        <w:tc>
          <w:tcPr>
            <w:tcW w:w="722" w:type="dxa"/>
            <w:vAlign w:val="center"/>
          </w:tcPr>
          <w:p w14:paraId="50A23886" w14:textId="6941A460" w:rsidR="00D4158A" w:rsidRPr="00613290" w:rsidRDefault="00D4158A" w:rsidP="00D4158A">
            <w:pPr>
              <w:jc w:val="center"/>
              <w:rPr>
                <w:iCs/>
                <w:sz w:val="22"/>
                <w:szCs w:val="22"/>
              </w:rPr>
            </w:pPr>
            <w:r>
              <w:rPr>
                <w:rFonts w:ascii="Calibri" w:hAnsi="Calibri" w:cs="Calibri"/>
                <w:color w:val="000000"/>
                <w:sz w:val="22"/>
                <w:szCs w:val="22"/>
              </w:rPr>
              <w:t>100%</w:t>
            </w:r>
          </w:p>
        </w:tc>
      </w:tr>
      <w:tr w:rsidR="00D4158A" w:rsidRPr="00D730B7" w14:paraId="68BDD611" w14:textId="77777777" w:rsidTr="0A5BE548">
        <w:trPr>
          <w:cantSplit/>
          <w:trHeight w:val="360"/>
        </w:trPr>
        <w:tc>
          <w:tcPr>
            <w:tcW w:w="2499" w:type="dxa"/>
            <w:vAlign w:val="center"/>
          </w:tcPr>
          <w:p w14:paraId="34018F69" w14:textId="30447A62" w:rsidR="00D4158A" w:rsidRPr="00613290" w:rsidRDefault="00D4158A" w:rsidP="00D4158A">
            <w:pPr>
              <w:jc w:val="center"/>
              <w:rPr>
                <w:b/>
                <w:iCs/>
                <w:sz w:val="22"/>
                <w:szCs w:val="22"/>
              </w:rPr>
            </w:pPr>
            <w:r>
              <w:rPr>
                <w:rFonts w:ascii="Calibri" w:hAnsi="Calibri" w:cs="Calibri"/>
                <w:color w:val="000000"/>
                <w:sz w:val="22"/>
                <w:szCs w:val="22"/>
              </w:rPr>
              <w:t>Agriculture</w:t>
            </w:r>
          </w:p>
        </w:tc>
        <w:tc>
          <w:tcPr>
            <w:tcW w:w="612" w:type="dxa"/>
            <w:vAlign w:val="center"/>
          </w:tcPr>
          <w:p w14:paraId="3AE78F94" w14:textId="28E1A924" w:rsidR="00D4158A" w:rsidRPr="00613290" w:rsidRDefault="00D4158A" w:rsidP="00D4158A">
            <w:pPr>
              <w:jc w:val="center"/>
              <w:rPr>
                <w:iCs/>
                <w:sz w:val="22"/>
                <w:szCs w:val="22"/>
              </w:rPr>
            </w:pPr>
            <w:r>
              <w:rPr>
                <w:rFonts w:ascii="Calibri" w:hAnsi="Calibri" w:cs="Calibri"/>
                <w:color w:val="000000"/>
                <w:sz w:val="22"/>
                <w:szCs w:val="22"/>
              </w:rPr>
              <w:t>4</w:t>
            </w:r>
            <w:r w:rsidR="00113B0F">
              <w:rPr>
                <w:rFonts w:ascii="Calibri" w:hAnsi="Calibri" w:cs="Calibri"/>
                <w:color w:val="000000"/>
                <w:sz w:val="22"/>
                <w:szCs w:val="22"/>
              </w:rPr>
              <w:t>7</w:t>
            </w:r>
            <w:r>
              <w:rPr>
                <w:rFonts w:ascii="Calibri" w:hAnsi="Calibri" w:cs="Calibri"/>
                <w:color w:val="000000"/>
                <w:sz w:val="22"/>
                <w:szCs w:val="22"/>
              </w:rPr>
              <w:t>%</w:t>
            </w:r>
          </w:p>
        </w:tc>
        <w:tc>
          <w:tcPr>
            <w:tcW w:w="2421" w:type="dxa"/>
            <w:vAlign w:val="center"/>
          </w:tcPr>
          <w:p w14:paraId="607BF1D6" w14:textId="77777777" w:rsidR="00D4158A" w:rsidRPr="00613290" w:rsidRDefault="00D4158A" w:rsidP="00D4158A">
            <w:pPr>
              <w:jc w:val="center"/>
              <w:rPr>
                <w:b/>
                <w:iCs/>
                <w:sz w:val="22"/>
                <w:szCs w:val="22"/>
              </w:rPr>
            </w:pPr>
            <w:r w:rsidRPr="00613290">
              <w:rPr>
                <w:b/>
                <w:iCs/>
                <w:sz w:val="22"/>
                <w:szCs w:val="22"/>
              </w:rPr>
              <w:t>--</w:t>
            </w:r>
          </w:p>
        </w:tc>
        <w:tc>
          <w:tcPr>
            <w:tcW w:w="722" w:type="dxa"/>
            <w:vAlign w:val="center"/>
          </w:tcPr>
          <w:p w14:paraId="0DF98D1D" w14:textId="77777777" w:rsidR="00D4158A" w:rsidRPr="00613290" w:rsidRDefault="00D4158A" w:rsidP="00D4158A">
            <w:pPr>
              <w:jc w:val="center"/>
              <w:rPr>
                <w:iCs/>
                <w:sz w:val="22"/>
                <w:szCs w:val="22"/>
              </w:rPr>
            </w:pPr>
            <w:r w:rsidRPr="00613290">
              <w:rPr>
                <w:iCs/>
                <w:sz w:val="22"/>
                <w:szCs w:val="22"/>
              </w:rPr>
              <w:t>--</w:t>
            </w:r>
          </w:p>
        </w:tc>
        <w:tc>
          <w:tcPr>
            <w:tcW w:w="2374" w:type="dxa"/>
            <w:vAlign w:val="center"/>
          </w:tcPr>
          <w:p w14:paraId="39A75A5E" w14:textId="5FD4F9D6" w:rsidR="00D4158A" w:rsidRPr="00613290" w:rsidRDefault="00D4158A" w:rsidP="00D4158A">
            <w:pPr>
              <w:jc w:val="center"/>
              <w:rPr>
                <w:b/>
                <w:iCs/>
                <w:sz w:val="22"/>
                <w:szCs w:val="22"/>
              </w:rPr>
            </w:pPr>
            <w:r>
              <w:rPr>
                <w:rFonts w:ascii="Calibri" w:hAnsi="Calibri" w:cs="Calibri"/>
                <w:color w:val="000000"/>
                <w:sz w:val="22"/>
                <w:szCs w:val="22"/>
              </w:rPr>
              <w:t>Sources Outside State Jurisdiction or Borders</w:t>
            </w:r>
          </w:p>
        </w:tc>
        <w:tc>
          <w:tcPr>
            <w:tcW w:w="722" w:type="dxa"/>
            <w:vAlign w:val="center"/>
          </w:tcPr>
          <w:p w14:paraId="644290E7" w14:textId="776FF8AE" w:rsidR="00D4158A" w:rsidRPr="00613290" w:rsidRDefault="00D4158A" w:rsidP="00D4158A">
            <w:pPr>
              <w:jc w:val="center"/>
              <w:rPr>
                <w:iCs/>
                <w:sz w:val="22"/>
                <w:szCs w:val="22"/>
              </w:rPr>
            </w:pPr>
            <w:r>
              <w:rPr>
                <w:rFonts w:ascii="Calibri" w:hAnsi="Calibri" w:cs="Calibri"/>
                <w:color w:val="000000"/>
                <w:sz w:val="22"/>
                <w:szCs w:val="22"/>
              </w:rPr>
              <w:t>99%</w:t>
            </w:r>
          </w:p>
        </w:tc>
      </w:tr>
      <w:tr w:rsidR="00D4158A" w:rsidRPr="00D730B7" w14:paraId="75DB5280" w14:textId="77777777" w:rsidTr="0A5BE548">
        <w:trPr>
          <w:cantSplit/>
          <w:trHeight w:val="360"/>
        </w:trPr>
        <w:tc>
          <w:tcPr>
            <w:tcW w:w="2499" w:type="dxa"/>
            <w:vAlign w:val="center"/>
          </w:tcPr>
          <w:p w14:paraId="55CA3672" w14:textId="012B33AE" w:rsidR="00D4158A" w:rsidRPr="00613290" w:rsidRDefault="00D4158A" w:rsidP="00D4158A">
            <w:pPr>
              <w:jc w:val="center"/>
              <w:rPr>
                <w:b/>
                <w:iCs/>
                <w:sz w:val="22"/>
                <w:szCs w:val="22"/>
              </w:rPr>
            </w:pPr>
            <w:r>
              <w:rPr>
                <w:rFonts w:ascii="Calibri" w:hAnsi="Calibri" w:cs="Calibri"/>
                <w:color w:val="000000"/>
                <w:sz w:val="22"/>
                <w:szCs w:val="22"/>
              </w:rPr>
              <w:t>Non-Point Source</w:t>
            </w:r>
          </w:p>
        </w:tc>
        <w:tc>
          <w:tcPr>
            <w:tcW w:w="612" w:type="dxa"/>
            <w:vAlign w:val="center"/>
          </w:tcPr>
          <w:p w14:paraId="49979F4F" w14:textId="74229AA0" w:rsidR="00D4158A" w:rsidRPr="00613290" w:rsidRDefault="00D4158A" w:rsidP="00D4158A">
            <w:pPr>
              <w:jc w:val="center"/>
              <w:rPr>
                <w:iCs/>
                <w:sz w:val="22"/>
                <w:szCs w:val="22"/>
              </w:rPr>
            </w:pPr>
            <w:r>
              <w:rPr>
                <w:rFonts w:ascii="Calibri" w:hAnsi="Calibri" w:cs="Calibri"/>
                <w:color w:val="000000"/>
                <w:sz w:val="22"/>
                <w:szCs w:val="22"/>
              </w:rPr>
              <w:t>4</w:t>
            </w:r>
            <w:r w:rsidR="00113B0F">
              <w:rPr>
                <w:rFonts w:ascii="Calibri" w:hAnsi="Calibri" w:cs="Calibri"/>
                <w:color w:val="000000"/>
                <w:sz w:val="22"/>
                <w:szCs w:val="22"/>
              </w:rPr>
              <w:t>0</w:t>
            </w:r>
            <w:r>
              <w:rPr>
                <w:rFonts w:ascii="Calibri" w:hAnsi="Calibri" w:cs="Calibri"/>
                <w:color w:val="000000"/>
                <w:sz w:val="22"/>
                <w:szCs w:val="22"/>
              </w:rPr>
              <w:t>%</w:t>
            </w:r>
          </w:p>
        </w:tc>
        <w:tc>
          <w:tcPr>
            <w:tcW w:w="2421" w:type="dxa"/>
            <w:vAlign w:val="center"/>
          </w:tcPr>
          <w:p w14:paraId="58C7891E" w14:textId="77777777" w:rsidR="00D4158A" w:rsidRPr="00613290" w:rsidRDefault="00D4158A" w:rsidP="00D4158A">
            <w:pPr>
              <w:jc w:val="center"/>
              <w:rPr>
                <w:b/>
                <w:iCs/>
                <w:sz w:val="22"/>
                <w:szCs w:val="22"/>
              </w:rPr>
            </w:pPr>
            <w:r w:rsidRPr="00613290">
              <w:rPr>
                <w:b/>
                <w:iCs/>
                <w:sz w:val="22"/>
                <w:szCs w:val="22"/>
              </w:rPr>
              <w:t>--</w:t>
            </w:r>
          </w:p>
        </w:tc>
        <w:tc>
          <w:tcPr>
            <w:tcW w:w="722" w:type="dxa"/>
            <w:vAlign w:val="center"/>
          </w:tcPr>
          <w:p w14:paraId="79E4218E" w14:textId="77777777" w:rsidR="00D4158A" w:rsidRPr="00613290" w:rsidRDefault="00D4158A" w:rsidP="00D4158A">
            <w:pPr>
              <w:jc w:val="center"/>
              <w:rPr>
                <w:iCs/>
                <w:sz w:val="22"/>
                <w:szCs w:val="22"/>
              </w:rPr>
            </w:pPr>
            <w:r w:rsidRPr="00613290">
              <w:rPr>
                <w:iCs/>
                <w:sz w:val="22"/>
                <w:szCs w:val="22"/>
              </w:rPr>
              <w:t>--</w:t>
            </w:r>
          </w:p>
        </w:tc>
        <w:tc>
          <w:tcPr>
            <w:tcW w:w="2374" w:type="dxa"/>
            <w:vAlign w:val="center"/>
          </w:tcPr>
          <w:p w14:paraId="3FE846BD" w14:textId="6A84D635" w:rsidR="00D4158A" w:rsidRPr="00613290" w:rsidRDefault="00D4158A" w:rsidP="00D4158A">
            <w:pPr>
              <w:jc w:val="center"/>
              <w:rPr>
                <w:b/>
                <w:iCs/>
                <w:sz w:val="22"/>
                <w:szCs w:val="22"/>
              </w:rPr>
            </w:pPr>
            <w:r>
              <w:rPr>
                <w:rFonts w:ascii="Calibri" w:hAnsi="Calibri" w:cs="Calibri"/>
                <w:color w:val="000000"/>
                <w:sz w:val="22"/>
                <w:szCs w:val="22"/>
              </w:rPr>
              <w:t>Clean Sediments</w:t>
            </w:r>
          </w:p>
        </w:tc>
        <w:tc>
          <w:tcPr>
            <w:tcW w:w="722" w:type="dxa"/>
            <w:vAlign w:val="center"/>
          </w:tcPr>
          <w:p w14:paraId="4CEE87C4" w14:textId="3F0848E9" w:rsidR="00D4158A" w:rsidRPr="00613290" w:rsidRDefault="00D4158A" w:rsidP="00D4158A">
            <w:pPr>
              <w:jc w:val="center"/>
              <w:rPr>
                <w:iCs/>
                <w:sz w:val="22"/>
                <w:szCs w:val="22"/>
              </w:rPr>
            </w:pPr>
            <w:r>
              <w:rPr>
                <w:rFonts w:ascii="Calibri" w:hAnsi="Calibri" w:cs="Calibri"/>
                <w:color w:val="000000"/>
                <w:sz w:val="22"/>
                <w:szCs w:val="22"/>
              </w:rPr>
              <w:t>99%</w:t>
            </w:r>
          </w:p>
        </w:tc>
      </w:tr>
      <w:tr w:rsidR="00D4158A" w:rsidRPr="00D730B7" w14:paraId="5D449FBE" w14:textId="77777777" w:rsidTr="0A5BE548">
        <w:trPr>
          <w:cantSplit/>
          <w:trHeight w:val="360"/>
        </w:trPr>
        <w:tc>
          <w:tcPr>
            <w:tcW w:w="2499" w:type="dxa"/>
            <w:vAlign w:val="center"/>
          </w:tcPr>
          <w:p w14:paraId="79F8F2B4" w14:textId="1558B471" w:rsidR="00D4158A" w:rsidRPr="00613290" w:rsidRDefault="00D4158A" w:rsidP="00D4158A">
            <w:pPr>
              <w:jc w:val="center"/>
              <w:rPr>
                <w:b/>
                <w:iCs/>
                <w:sz w:val="22"/>
                <w:szCs w:val="22"/>
              </w:rPr>
            </w:pPr>
            <w:r>
              <w:rPr>
                <w:rFonts w:ascii="Calibri" w:hAnsi="Calibri" w:cs="Calibri"/>
                <w:color w:val="000000"/>
                <w:sz w:val="22"/>
                <w:szCs w:val="22"/>
              </w:rPr>
              <w:t>Urban Runoff/Storm Sewers</w:t>
            </w:r>
          </w:p>
        </w:tc>
        <w:tc>
          <w:tcPr>
            <w:tcW w:w="612" w:type="dxa"/>
            <w:vAlign w:val="center"/>
          </w:tcPr>
          <w:p w14:paraId="5E83ED7B" w14:textId="6E92D014" w:rsidR="00D4158A" w:rsidRPr="00613290" w:rsidRDefault="00113B0F" w:rsidP="00D4158A">
            <w:pPr>
              <w:jc w:val="center"/>
              <w:rPr>
                <w:iCs/>
                <w:sz w:val="22"/>
                <w:szCs w:val="22"/>
              </w:rPr>
            </w:pPr>
            <w:r>
              <w:rPr>
                <w:rFonts w:ascii="Calibri" w:hAnsi="Calibri" w:cs="Calibri"/>
                <w:color w:val="000000"/>
                <w:sz w:val="22"/>
                <w:szCs w:val="22"/>
              </w:rPr>
              <w:t>39</w:t>
            </w:r>
            <w:r w:rsidR="00D4158A">
              <w:rPr>
                <w:rFonts w:ascii="Calibri" w:hAnsi="Calibri" w:cs="Calibri"/>
                <w:color w:val="000000"/>
                <w:sz w:val="22"/>
                <w:szCs w:val="22"/>
              </w:rPr>
              <w:t>%</w:t>
            </w:r>
          </w:p>
        </w:tc>
        <w:tc>
          <w:tcPr>
            <w:tcW w:w="2421" w:type="dxa"/>
            <w:vAlign w:val="center"/>
          </w:tcPr>
          <w:p w14:paraId="063A7EE6" w14:textId="77777777" w:rsidR="00D4158A" w:rsidRPr="00613290" w:rsidRDefault="00D4158A" w:rsidP="00D4158A">
            <w:pPr>
              <w:jc w:val="center"/>
              <w:rPr>
                <w:b/>
                <w:iCs/>
                <w:sz w:val="22"/>
                <w:szCs w:val="22"/>
              </w:rPr>
            </w:pPr>
            <w:r w:rsidRPr="00613290">
              <w:rPr>
                <w:b/>
                <w:iCs/>
                <w:sz w:val="22"/>
                <w:szCs w:val="22"/>
              </w:rPr>
              <w:t>--</w:t>
            </w:r>
          </w:p>
        </w:tc>
        <w:tc>
          <w:tcPr>
            <w:tcW w:w="722" w:type="dxa"/>
            <w:vAlign w:val="center"/>
          </w:tcPr>
          <w:p w14:paraId="0D22F0A9" w14:textId="77777777" w:rsidR="00D4158A" w:rsidRPr="00613290" w:rsidRDefault="00D4158A" w:rsidP="00D4158A">
            <w:pPr>
              <w:jc w:val="center"/>
              <w:rPr>
                <w:iCs/>
                <w:sz w:val="22"/>
                <w:szCs w:val="22"/>
              </w:rPr>
            </w:pPr>
            <w:r w:rsidRPr="00613290">
              <w:rPr>
                <w:iCs/>
                <w:sz w:val="22"/>
                <w:szCs w:val="22"/>
              </w:rPr>
              <w:t>--</w:t>
            </w:r>
          </w:p>
        </w:tc>
        <w:tc>
          <w:tcPr>
            <w:tcW w:w="2374" w:type="dxa"/>
            <w:vAlign w:val="center"/>
          </w:tcPr>
          <w:p w14:paraId="1077323A" w14:textId="68AAD120" w:rsidR="00D4158A" w:rsidRPr="00613290" w:rsidRDefault="00D4158A" w:rsidP="00D4158A">
            <w:pPr>
              <w:jc w:val="center"/>
              <w:rPr>
                <w:b/>
                <w:iCs/>
                <w:sz w:val="22"/>
                <w:szCs w:val="22"/>
              </w:rPr>
            </w:pPr>
            <w:r>
              <w:rPr>
                <w:rFonts w:ascii="Calibri" w:hAnsi="Calibri" w:cs="Calibri"/>
                <w:color w:val="000000"/>
                <w:sz w:val="22"/>
                <w:szCs w:val="22"/>
              </w:rPr>
              <w:t>Sediment Resuspension (Clean Sediment)</w:t>
            </w:r>
          </w:p>
        </w:tc>
        <w:tc>
          <w:tcPr>
            <w:tcW w:w="722" w:type="dxa"/>
            <w:vAlign w:val="center"/>
          </w:tcPr>
          <w:p w14:paraId="47CEA2B4" w14:textId="62CA5EC8" w:rsidR="00D4158A" w:rsidRPr="00613290" w:rsidRDefault="00D4158A" w:rsidP="00D4158A">
            <w:pPr>
              <w:jc w:val="center"/>
              <w:rPr>
                <w:iCs/>
                <w:sz w:val="22"/>
                <w:szCs w:val="22"/>
              </w:rPr>
            </w:pPr>
            <w:r>
              <w:rPr>
                <w:rFonts w:ascii="Calibri" w:hAnsi="Calibri" w:cs="Calibri"/>
                <w:color w:val="000000"/>
                <w:sz w:val="22"/>
                <w:szCs w:val="22"/>
              </w:rPr>
              <w:t>99%</w:t>
            </w:r>
          </w:p>
        </w:tc>
      </w:tr>
      <w:tr w:rsidR="00D4158A" w:rsidRPr="00D730B7" w14:paraId="7B820229" w14:textId="77777777" w:rsidTr="0A5BE548">
        <w:trPr>
          <w:cantSplit/>
          <w:trHeight w:val="360"/>
        </w:trPr>
        <w:tc>
          <w:tcPr>
            <w:tcW w:w="2499" w:type="dxa"/>
            <w:vAlign w:val="center"/>
          </w:tcPr>
          <w:p w14:paraId="2CB11963" w14:textId="69151CB6" w:rsidR="00D4158A" w:rsidRPr="00613290" w:rsidRDefault="00D4158A" w:rsidP="00D4158A">
            <w:pPr>
              <w:jc w:val="center"/>
              <w:rPr>
                <w:b/>
                <w:iCs/>
                <w:sz w:val="22"/>
                <w:szCs w:val="22"/>
              </w:rPr>
            </w:pPr>
            <w:r>
              <w:rPr>
                <w:rFonts w:ascii="Calibri" w:hAnsi="Calibri" w:cs="Calibri"/>
                <w:color w:val="000000"/>
                <w:sz w:val="22"/>
                <w:szCs w:val="22"/>
              </w:rPr>
              <w:t>Atmospheric Deposition - Toxics</w:t>
            </w:r>
          </w:p>
        </w:tc>
        <w:tc>
          <w:tcPr>
            <w:tcW w:w="612" w:type="dxa"/>
            <w:vAlign w:val="center"/>
          </w:tcPr>
          <w:p w14:paraId="2127AAE2" w14:textId="49DEEB76" w:rsidR="00D4158A" w:rsidRPr="00613290" w:rsidRDefault="00D4158A" w:rsidP="00D4158A">
            <w:pPr>
              <w:jc w:val="center"/>
              <w:rPr>
                <w:iCs/>
                <w:sz w:val="22"/>
                <w:szCs w:val="22"/>
              </w:rPr>
            </w:pPr>
            <w:r>
              <w:rPr>
                <w:rFonts w:ascii="Calibri" w:hAnsi="Calibri" w:cs="Calibri"/>
                <w:color w:val="000000"/>
                <w:sz w:val="22"/>
                <w:szCs w:val="22"/>
              </w:rPr>
              <w:t>2</w:t>
            </w:r>
            <w:r w:rsidR="00113B0F">
              <w:rPr>
                <w:rFonts w:ascii="Calibri" w:hAnsi="Calibri" w:cs="Calibri"/>
                <w:color w:val="000000"/>
                <w:sz w:val="22"/>
                <w:szCs w:val="22"/>
              </w:rPr>
              <w:t>5</w:t>
            </w:r>
            <w:r>
              <w:rPr>
                <w:rFonts w:ascii="Calibri" w:hAnsi="Calibri" w:cs="Calibri"/>
                <w:color w:val="000000"/>
                <w:sz w:val="22"/>
                <w:szCs w:val="22"/>
              </w:rPr>
              <w:t>%</w:t>
            </w:r>
          </w:p>
        </w:tc>
        <w:tc>
          <w:tcPr>
            <w:tcW w:w="2421" w:type="dxa"/>
            <w:vAlign w:val="center"/>
          </w:tcPr>
          <w:p w14:paraId="09D35142" w14:textId="77777777" w:rsidR="00D4158A" w:rsidRPr="00613290" w:rsidRDefault="00D4158A" w:rsidP="00D4158A">
            <w:pPr>
              <w:jc w:val="center"/>
              <w:rPr>
                <w:b/>
                <w:iCs/>
                <w:sz w:val="22"/>
                <w:szCs w:val="22"/>
              </w:rPr>
            </w:pPr>
            <w:r w:rsidRPr="00613290">
              <w:rPr>
                <w:b/>
                <w:iCs/>
                <w:sz w:val="22"/>
                <w:szCs w:val="22"/>
              </w:rPr>
              <w:t>--</w:t>
            </w:r>
          </w:p>
        </w:tc>
        <w:tc>
          <w:tcPr>
            <w:tcW w:w="722" w:type="dxa"/>
            <w:vAlign w:val="center"/>
          </w:tcPr>
          <w:p w14:paraId="0AE10A73" w14:textId="77777777" w:rsidR="00D4158A" w:rsidRPr="00613290" w:rsidRDefault="00D4158A" w:rsidP="00D4158A">
            <w:pPr>
              <w:jc w:val="center"/>
              <w:rPr>
                <w:iCs/>
                <w:sz w:val="22"/>
                <w:szCs w:val="22"/>
              </w:rPr>
            </w:pPr>
            <w:r w:rsidRPr="00613290">
              <w:rPr>
                <w:iCs/>
                <w:sz w:val="22"/>
                <w:szCs w:val="22"/>
              </w:rPr>
              <w:t>--</w:t>
            </w:r>
          </w:p>
        </w:tc>
        <w:tc>
          <w:tcPr>
            <w:tcW w:w="2374" w:type="dxa"/>
            <w:vAlign w:val="center"/>
          </w:tcPr>
          <w:p w14:paraId="765A9D77" w14:textId="4D55F884" w:rsidR="00D4158A" w:rsidRPr="00613290" w:rsidRDefault="00D4158A" w:rsidP="00D4158A">
            <w:pPr>
              <w:jc w:val="center"/>
              <w:rPr>
                <w:b/>
                <w:iCs/>
                <w:sz w:val="22"/>
                <w:szCs w:val="22"/>
              </w:rPr>
            </w:pPr>
            <w:r>
              <w:rPr>
                <w:rFonts w:ascii="Calibri" w:hAnsi="Calibri" w:cs="Calibri"/>
                <w:color w:val="000000"/>
                <w:sz w:val="22"/>
                <w:szCs w:val="22"/>
              </w:rPr>
              <w:t>Internal Nutrient Recycling</w:t>
            </w:r>
          </w:p>
        </w:tc>
        <w:tc>
          <w:tcPr>
            <w:tcW w:w="722" w:type="dxa"/>
            <w:vAlign w:val="center"/>
          </w:tcPr>
          <w:p w14:paraId="0D57C735" w14:textId="70DBBE05" w:rsidR="00D4158A" w:rsidRPr="00613290" w:rsidRDefault="00D4158A" w:rsidP="00D4158A">
            <w:pPr>
              <w:jc w:val="center"/>
              <w:rPr>
                <w:iCs/>
                <w:sz w:val="22"/>
                <w:szCs w:val="22"/>
              </w:rPr>
            </w:pPr>
            <w:r>
              <w:rPr>
                <w:rFonts w:ascii="Calibri" w:hAnsi="Calibri" w:cs="Calibri"/>
                <w:color w:val="000000"/>
                <w:sz w:val="22"/>
                <w:szCs w:val="22"/>
              </w:rPr>
              <w:t>99%</w:t>
            </w:r>
          </w:p>
        </w:tc>
      </w:tr>
    </w:tbl>
    <w:p w14:paraId="380596CD" w14:textId="77777777" w:rsidR="00546B19" w:rsidRDefault="00546B19" w:rsidP="00546B19">
      <w:pPr>
        <w:rPr>
          <w:szCs w:val="24"/>
        </w:rPr>
      </w:pPr>
    </w:p>
    <w:p w14:paraId="49771422" w14:textId="77777777" w:rsidR="00546B19" w:rsidRPr="004816BD" w:rsidRDefault="00546B19" w:rsidP="00077CF7">
      <w:pPr>
        <w:pStyle w:val="Heading3"/>
      </w:pPr>
      <w:r w:rsidRPr="004816BD">
        <w:t>York River Basin</w:t>
      </w:r>
    </w:p>
    <w:p w14:paraId="1F12841D" w14:textId="308398F7" w:rsidR="00546B19" w:rsidRPr="00D730B7" w:rsidRDefault="00546B19" w:rsidP="00546B19">
      <w:pPr>
        <w:tabs>
          <w:tab w:val="left" w:pos="720"/>
        </w:tabs>
        <w:rPr>
          <w:szCs w:val="24"/>
        </w:rPr>
      </w:pPr>
      <w:r w:rsidRPr="00D730B7">
        <w:rPr>
          <w:szCs w:val="24"/>
        </w:rPr>
        <w:t xml:space="preserve">The York River basin lies in the central and eastern section of Virginia and covers 2,674 square miles or 6 percent of the </w:t>
      </w:r>
      <w:r w:rsidR="00020140">
        <w:rPr>
          <w:szCs w:val="24"/>
        </w:rPr>
        <w:t>C</w:t>
      </w:r>
      <w:r w:rsidRPr="00D730B7">
        <w:rPr>
          <w:szCs w:val="24"/>
        </w:rPr>
        <w:t>ommonwealth’s total area. It is defined by hydrologic boundaries. The basin is bound by the Rappahannock River basin to the north, the James River basin to the south and west and the Chesapeake Bay/Atlantic Ocean and small coastal basins to the east.</w:t>
      </w:r>
    </w:p>
    <w:p w14:paraId="24630781" w14:textId="77777777" w:rsidR="00546B19" w:rsidRPr="00D730B7" w:rsidRDefault="00546B19" w:rsidP="00546B19">
      <w:pPr>
        <w:tabs>
          <w:tab w:val="left" w:pos="720"/>
        </w:tabs>
        <w:rPr>
          <w:szCs w:val="24"/>
        </w:rPr>
      </w:pPr>
    </w:p>
    <w:p w14:paraId="0623B7D5" w14:textId="79ECCC17" w:rsidR="00546B19" w:rsidRPr="00D730B7" w:rsidRDefault="00546B19" w:rsidP="00546B19">
      <w:pPr>
        <w:tabs>
          <w:tab w:val="left" w:pos="720"/>
        </w:tabs>
        <w:rPr>
          <w:szCs w:val="24"/>
        </w:rPr>
      </w:pPr>
      <w:r w:rsidRPr="00D730B7">
        <w:rPr>
          <w:szCs w:val="24"/>
        </w:rPr>
        <w:t xml:space="preserve">The headwaters of the York River begin in Orange County and flow in a southeasterly direction for approximately 220 miles to its mouth at </w:t>
      </w:r>
      <w:proofErr w:type="gramStart"/>
      <w:r w:rsidRPr="00D730B7">
        <w:rPr>
          <w:szCs w:val="24"/>
        </w:rPr>
        <w:t>the Chesapeake</w:t>
      </w:r>
      <w:proofErr w:type="gramEnd"/>
      <w:r w:rsidRPr="00D730B7">
        <w:rPr>
          <w:szCs w:val="24"/>
        </w:rPr>
        <w:t xml:space="preserve"> Bay. The basin’s width varies from five miles at the mouth to 40 miles at its headwaters.</w:t>
      </w:r>
    </w:p>
    <w:p w14:paraId="2350234C" w14:textId="77777777" w:rsidR="00546B19" w:rsidRPr="00D730B7" w:rsidRDefault="00546B19" w:rsidP="00546B19">
      <w:pPr>
        <w:tabs>
          <w:tab w:val="left" w:pos="720"/>
        </w:tabs>
        <w:rPr>
          <w:szCs w:val="24"/>
        </w:rPr>
      </w:pPr>
    </w:p>
    <w:p w14:paraId="5466E7EF" w14:textId="2292B57E" w:rsidR="00546B19" w:rsidRPr="00D730B7" w:rsidRDefault="00546B19" w:rsidP="00546B19">
      <w:pPr>
        <w:tabs>
          <w:tab w:val="left" w:pos="720"/>
        </w:tabs>
        <w:rPr>
          <w:szCs w:val="24"/>
        </w:rPr>
      </w:pPr>
      <w:r w:rsidRPr="00D730B7">
        <w:rPr>
          <w:szCs w:val="24"/>
        </w:rPr>
        <w:t>The basin is comprised of the York River and its two major tributaries, the Pamunkey and the Mattaponi Rivers. The York River itself is only about 30 miles in length. The Pamunkey River’s major tributaries are the North and South Anna Rivers and the Little River, while the major Mattaponi tributaries are the Matta, Po, and Ni Rivers.</w:t>
      </w:r>
    </w:p>
    <w:p w14:paraId="0ADCA70D" w14:textId="77777777" w:rsidR="00546B19" w:rsidRPr="00D730B7" w:rsidRDefault="00546B19" w:rsidP="00546B19">
      <w:pPr>
        <w:tabs>
          <w:tab w:val="left" w:pos="720"/>
        </w:tabs>
        <w:rPr>
          <w:szCs w:val="24"/>
        </w:rPr>
      </w:pPr>
    </w:p>
    <w:p w14:paraId="4E014E6D" w14:textId="22894E42" w:rsidR="00546B19" w:rsidRPr="00D730B7" w:rsidRDefault="00546B19" w:rsidP="00546B19">
      <w:pPr>
        <w:tabs>
          <w:tab w:val="left" w:pos="720"/>
        </w:tabs>
        <w:rPr>
          <w:szCs w:val="24"/>
        </w:rPr>
      </w:pPr>
      <w:r w:rsidRPr="00D730B7">
        <w:rPr>
          <w:szCs w:val="24"/>
        </w:rPr>
        <w:t xml:space="preserve">Lying in the Piedmont and Coastal Plain physiographic provinces, the basin’s topography is characterized by slightly rolling hills at the headwaters or extreme western </w:t>
      </w:r>
      <w:proofErr w:type="gramStart"/>
      <w:r w:rsidRPr="00D730B7">
        <w:rPr>
          <w:szCs w:val="24"/>
        </w:rPr>
        <w:t>portion</w:t>
      </w:r>
      <w:proofErr w:type="gramEnd"/>
      <w:r w:rsidRPr="00D730B7">
        <w:rPr>
          <w:szCs w:val="24"/>
        </w:rPr>
        <w:t xml:space="preserve">, to gently sloping hills and flat farmland near its mouth. Tributaries in </w:t>
      </w:r>
      <w:proofErr w:type="gramStart"/>
      <w:r w:rsidRPr="00D730B7">
        <w:rPr>
          <w:szCs w:val="24"/>
        </w:rPr>
        <w:t>the central</w:t>
      </w:r>
      <w:proofErr w:type="gramEnd"/>
      <w:r w:rsidRPr="00D730B7">
        <w:rPr>
          <w:szCs w:val="24"/>
        </w:rPr>
        <w:t xml:space="preserve"> Piedmont exhibit moderate and near constant profiles. Their flat slope largely characterizes streams in the Coastal Plain. Approximately 65 percent of the land area is forest. Farmland and pasture account for approximately 20 percent of the land area. Approximately 10 percent of the river basin land area is urban.</w:t>
      </w:r>
    </w:p>
    <w:p w14:paraId="232A87FC" w14:textId="77777777" w:rsidR="00546B19" w:rsidRPr="00D730B7" w:rsidRDefault="00546B19" w:rsidP="00546B19">
      <w:pPr>
        <w:tabs>
          <w:tab w:val="left" w:pos="720"/>
        </w:tabs>
        <w:rPr>
          <w:szCs w:val="24"/>
        </w:rPr>
      </w:pPr>
    </w:p>
    <w:p w14:paraId="31AFA6F7" w14:textId="7665047D" w:rsidR="00546B19" w:rsidRPr="00D730B7" w:rsidRDefault="00546B19" w:rsidP="00546B19">
      <w:pPr>
        <w:rPr>
          <w:color w:val="000000"/>
          <w:szCs w:val="24"/>
        </w:rPr>
      </w:pPr>
      <w:r w:rsidRPr="00D730B7">
        <w:rPr>
          <w:szCs w:val="24"/>
        </w:rPr>
        <w:t xml:space="preserve">The 2010 population for the York River basin was approximately </w:t>
      </w:r>
      <w:r w:rsidRPr="00D730B7">
        <w:rPr>
          <w:color w:val="000000"/>
          <w:szCs w:val="24"/>
        </w:rPr>
        <w:t>435,400</w:t>
      </w:r>
      <w:r w:rsidR="00AC5510">
        <w:rPr>
          <w:color w:val="000000"/>
          <w:szCs w:val="24"/>
        </w:rPr>
        <w:t xml:space="preserve"> (VA WIP III)</w:t>
      </w:r>
      <w:r w:rsidRPr="00D730B7">
        <w:rPr>
          <w:szCs w:val="24"/>
        </w:rPr>
        <w:t xml:space="preserve">. </w:t>
      </w:r>
      <w:proofErr w:type="gramStart"/>
      <w:r w:rsidRPr="00D730B7">
        <w:rPr>
          <w:szCs w:val="24"/>
        </w:rPr>
        <w:t>The majority of</w:t>
      </w:r>
      <w:proofErr w:type="gramEnd"/>
      <w:r w:rsidRPr="00D730B7">
        <w:rPr>
          <w:szCs w:val="24"/>
        </w:rPr>
        <w:t xml:space="preserve"> the population is rural and is evenly distributed throughout the basin. The only major city that falls within this basin is a portion of Williamsburg. All or portions of the following thirteen counties lie within the basin: Albemarle, Caroline, Fluvanna, Gloucester, Goochland, Hanover, James City, King and Queen, King William, Louisa, New Kent, Orange, Spotsylvania, and York.</w:t>
      </w:r>
    </w:p>
    <w:p w14:paraId="3AA51218" w14:textId="77777777" w:rsidR="00546B19" w:rsidRPr="00D730B7" w:rsidRDefault="00546B19" w:rsidP="00546B19">
      <w:pPr>
        <w:tabs>
          <w:tab w:val="left" w:pos="720"/>
        </w:tabs>
        <w:rPr>
          <w:szCs w:val="24"/>
        </w:rPr>
      </w:pPr>
    </w:p>
    <w:p w14:paraId="69B3FDAE" w14:textId="262C5943" w:rsidR="00546B19" w:rsidRPr="00D730B7" w:rsidRDefault="00546B19" w:rsidP="00546B19">
      <w:pPr>
        <w:tabs>
          <w:tab w:val="left" w:pos="720"/>
        </w:tabs>
        <w:rPr>
          <w:szCs w:val="24"/>
        </w:rPr>
      </w:pPr>
      <w:r w:rsidRPr="00D730B7">
        <w:rPr>
          <w:szCs w:val="24"/>
        </w:rPr>
        <w:lastRenderedPageBreak/>
        <w:t>The York River basin is divided into three USGS hydrologic units as follows: HUC 02080105 – Mattaponi; HUC 02080106 - Pamunkey and HUC 02080107 - York. The three hydrologic units are further divided into 27 waterbodies or watersheds and 69 6</w:t>
      </w:r>
      <w:r w:rsidRPr="00D730B7">
        <w:rPr>
          <w:szCs w:val="24"/>
          <w:vertAlign w:val="superscript"/>
        </w:rPr>
        <w:t>th</w:t>
      </w:r>
      <w:r w:rsidRPr="00D730B7">
        <w:rPr>
          <w:szCs w:val="24"/>
        </w:rPr>
        <w:t xml:space="preserve"> order sub-watersheds.</w:t>
      </w:r>
    </w:p>
    <w:p w14:paraId="3917E9AF" w14:textId="77777777" w:rsidR="00546B19" w:rsidRPr="00D730B7" w:rsidRDefault="00546B19" w:rsidP="00546B19">
      <w:pPr>
        <w:tabs>
          <w:tab w:val="left" w:pos="720"/>
        </w:tabs>
        <w:rPr>
          <w:szCs w:val="24"/>
        </w:rPr>
      </w:pPr>
    </w:p>
    <w:p w14:paraId="656CA082" w14:textId="77777777" w:rsidR="00546B19" w:rsidRPr="00D730B7" w:rsidRDefault="00546B19" w:rsidP="00546B19">
      <w:pPr>
        <w:tabs>
          <w:tab w:val="left" w:pos="720"/>
        </w:tabs>
        <w:rPr>
          <w:szCs w:val="24"/>
        </w:rPr>
      </w:pPr>
      <w:r w:rsidRPr="00D730B7">
        <w:rPr>
          <w:szCs w:val="24"/>
        </w:rPr>
        <w:t>Basin assessment information is presented in the following figures and tables.</w:t>
      </w:r>
    </w:p>
    <w:p w14:paraId="13569570" w14:textId="77777777" w:rsidR="00546B19" w:rsidRPr="00D730B7" w:rsidRDefault="00546B19" w:rsidP="00546B19">
      <w:pPr>
        <w:tabs>
          <w:tab w:val="left" w:pos="720"/>
        </w:tabs>
        <w:jc w:val="both"/>
        <w:rPr>
          <w:szCs w:val="24"/>
        </w:rPr>
      </w:pPr>
    </w:p>
    <w:p w14:paraId="1C7266BE" w14:textId="77777777" w:rsidR="008F20E4" w:rsidRPr="00D730B7" w:rsidRDefault="008F20E4" w:rsidP="008F20E4">
      <w:pPr>
        <w:jc w:val="both"/>
        <w:rPr>
          <w:b/>
          <w:szCs w:val="24"/>
        </w:rPr>
      </w:pPr>
      <w:r>
        <w:rPr>
          <w:b/>
          <w:szCs w:val="24"/>
        </w:rPr>
        <w:t>Total basin water body sizes, note all values rounded to the nearest whole number.</w:t>
      </w:r>
    </w:p>
    <w:p w14:paraId="251207DB" w14:textId="77777777" w:rsidR="00546B19" w:rsidRPr="00D730B7" w:rsidRDefault="00546B19" w:rsidP="00546B19">
      <w:pPr>
        <w:ind w:firstLine="720"/>
        <w:jc w:val="both"/>
        <w:rPr>
          <w:szCs w:val="24"/>
        </w:rPr>
      </w:pPr>
      <w:r w:rsidRPr="00D730B7">
        <w:rPr>
          <w:szCs w:val="24"/>
        </w:rPr>
        <w:t>Rivers - 6,70</w:t>
      </w:r>
      <w:r>
        <w:rPr>
          <w:szCs w:val="24"/>
        </w:rPr>
        <w:t>4</w:t>
      </w:r>
      <w:r w:rsidRPr="00D730B7">
        <w:rPr>
          <w:szCs w:val="24"/>
        </w:rPr>
        <w:t xml:space="preserve"> miles</w:t>
      </w:r>
    </w:p>
    <w:p w14:paraId="3FC42337" w14:textId="77777777" w:rsidR="00546B19" w:rsidRPr="00D730B7" w:rsidRDefault="00546B19" w:rsidP="00546B19">
      <w:pPr>
        <w:ind w:firstLine="720"/>
        <w:jc w:val="both"/>
        <w:rPr>
          <w:szCs w:val="24"/>
        </w:rPr>
      </w:pPr>
      <w:r w:rsidRPr="00D730B7">
        <w:rPr>
          <w:szCs w:val="24"/>
        </w:rPr>
        <w:t>Lakes - 11,33</w:t>
      </w:r>
      <w:r>
        <w:rPr>
          <w:szCs w:val="24"/>
        </w:rPr>
        <w:t>8</w:t>
      </w:r>
      <w:r w:rsidRPr="00D730B7">
        <w:rPr>
          <w:szCs w:val="24"/>
        </w:rPr>
        <w:t xml:space="preserve"> acres</w:t>
      </w:r>
    </w:p>
    <w:p w14:paraId="6287D9D5" w14:textId="77777777" w:rsidR="00546B19" w:rsidRDefault="00546B19" w:rsidP="00546B19">
      <w:pPr>
        <w:ind w:firstLine="720"/>
        <w:jc w:val="both"/>
        <w:rPr>
          <w:szCs w:val="24"/>
        </w:rPr>
      </w:pPr>
      <w:r w:rsidRPr="00D730B7">
        <w:rPr>
          <w:szCs w:val="24"/>
        </w:rPr>
        <w:t xml:space="preserve">Estuaries </w:t>
      </w:r>
      <w:r>
        <w:rPr>
          <w:szCs w:val="24"/>
        </w:rPr>
        <w:t>-</w:t>
      </w:r>
      <w:r w:rsidRPr="00D730B7">
        <w:rPr>
          <w:szCs w:val="24"/>
        </w:rPr>
        <w:t xml:space="preserve"> 82 sq. miles</w:t>
      </w:r>
    </w:p>
    <w:p w14:paraId="10BCACF4" w14:textId="77777777" w:rsidR="00546B19" w:rsidRPr="005A2875" w:rsidRDefault="00546B19" w:rsidP="00546B19">
      <w:pPr>
        <w:jc w:val="both"/>
        <w:rPr>
          <w:sz w:val="12"/>
          <w:szCs w:val="12"/>
        </w:rPr>
      </w:pPr>
    </w:p>
    <w:p w14:paraId="68A0D8C9" w14:textId="12DD0C44" w:rsidR="00D279A3" w:rsidRDefault="00056E1D" w:rsidP="00D279A3">
      <w:pPr>
        <w:keepNext/>
        <w:jc w:val="both"/>
      </w:pPr>
      <w:r>
        <w:rPr>
          <w:noProof/>
        </w:rPr>
        <w:drawing>
          <wp:inline distT="0" distB="0" distL="0" distR="0" wp14:anchorId="452C414E" wp14:editId="3C332BEA">
            <wp:extent cx="5334000" cy="3810000"/>
            <wp:effectExtent l="0" t="0" r="0" b="0"/>
            <wp:docPr id="169" name="Picture" descr="Figure 4.3 25. Designated use summary for rivers in the York River basin (5,799 miles not assessed). "/>
            <wp:cNvGraphicFramePr/>
            <a:graphic xmlns:a="http://schemas.openxmlformats.org/drawingml/2006/main">
              <a:graphicData uri="http://schemas.openxmlformats.org/drawingml/2006/picture">
                <pic:pic xmlns:pic="http://schemas.openxmlformats.org/drawingml/2006/picture">
                  <pic:nvPicPr>
                    <pic:cNvPr id="169" name="Picture" descr="Figure 4.3 25. Designated use summary for rivers in the York River basin (5,799 miles not assessed). "/>
                    <pic:cNvPicPr>
                      <a:picLocks noChangeAspect="1" noChangeArrowheads="1"/>
                    </pic:cNvPicPr>
                  </pic:nvPicPr>
                  <pic:blipFill>
                    <a:blip r:embed="rId168"/>
                    <a:stretch>
                      <a:fillRect/>
                    </a:stretch>
                  </pic:blipFill>
                  <pic:spPr bwMode="auto">
                    <a:xfrm>
                      <a:off x="0" y="0"/>
                      <a:ext cx="5334000" cy="3810000"/>
                    </a:xfrm>
                    <a:prstGeom prst="rect">
                      <a:avLst/>
                    </a:prstGeom>
                    <a:noFill/>
                    <a:ln w="9525">
                      <a:noFill/>
                      <a:headEnd/>
                      <a:tailEnd/>
                    </a:ln>
                  </pic:spPr>
                </pic:pic>
              </a:graphicData>
            </a:graphic>
          </wp:inline>
        </w:drawing>
      </w:r>
    </w:p>
    <w:p w14:paraId="10506383" w14:textId="25BBD5A5" w:rsidR="00CC4688" w:rsidRPr="0062574F" w:rsidRDefault="00D279A3" w:rsidP="0A5BE548">
      <w:pPr>
        <w:pStyle w:val="Caption"/>
        <w:jc w:val="both"/>
        <w:rPr>
          <w:b/>
          <w:bCs/>
        </w:rPr>
      </w:pPr>
      <w:bookmarkStart w:id="164" w:name="_Toc164175081"/>
      <w:bookmarkStart w:id="165" w:name="_Toc152766256"/>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25</w:t>
      </w:r>
      <w:r w:rsidR="004F13BA">
        <w:rPr>
          <w:noProof/>
        </w:rPr>
        <w:fldChar w:fldCharType="end"/>
      </w:r>
      <w:r>
        <w:t xml:space="preserve">. </w:t>
      </w:r>
      <w:r w:rsidR="00CC4688">
        <w:t xml:space="preserve">Designated use summary for rivers in </w:t>
      </w:r>
      <w:r w:rsidRPr="00D279A3">
        <w:t>the York River</w:t>
      </w:r>
      <w:r w:rsidR="3DAF2193" w:rsidRPr="00D279A3">
        <w:t xml:space="preserve"> </w:t>
      </w:r>
      <w:bookmarkEnd w:id="164"/>
      <w:r>
        <w:t>basin</w:t>
      </w:r>
      <w:r w:rsidR="00455A9D">
        <w:t xml:space="preserve"> (5,799 miles not assessed)</w:t>
      </w:r>
      <w:r>
        <w:t xml:space="preserve">. </w:t>
      </w:r>
      <w:bookmarkEnd w:id="165"/>
    </w:p>
    <w:p w14:paraId="77065162" w14:textId="77777777" w:rsidR="00546B19" w:rsidRPr="00D730B7" w:rsidRDefault="00546B19" w:rsidP="00546B19">
      <w:pPr>
        <w:jc w:val="both"/>
        <w:rPr>
          <w:b/>
          <w:szCs w:val="24"/>
        </w:rPr>
      </w:pPr>
    </w:p>
    <w:p w14:paraId="5C354192" w14:textId="3954858D" w:rsidR="00D279A3" w:rsidRDefault="009206C5" w:rsidP="00D279A3">
      <w:pPr>
        <w:keepNext/>
      </w:pPr>
      <w:r>
        <w:rPr>
          <w:noProof/>
        </w:rPr>
        <w:lastRenderedPageBreak/>
        <w:drawing>
          <wp:inline distT="0" distB="0" distL="0" distR="0" wp14:anchorId="7A943907" wp14:editId="2591A369">
            <wp:extent cx="5334000" cy="3810000"/>
            <wp:effectExtent l="0" t="0" r="0" b="0"/>
            <wp:docPr id="175" name="Picture" descr="Chart, bar chart&#10;&#10;Figure 4.3 26. Designated use summary for lakes in the York River basin (520 acres not assessed)."/>
            <wp:cNvGraphicFramePr/>
            <a:graphic xmlns:a="http://schemas.openxmlformats.org/drawingml/2006/main">
              <a:graphicData uri="http://schemas.openxmlformats.org/drawingml/2006/picture">
                <pic:pic xmlns:pic="http://schemas.openxmlformats.org/drawingml/2006/picture">
                  <pic:nvPicPr>
                    <pic:cNvPr id="175" name="Picture" descr="Chart, bar chart&#10;&#10;Figure 4.3 26. Designated use summary for lakes in the York River basin (520 acres not assessed)."/>
                    <pic:cNvPicPr>
                      <a:picLocks noChangeAspect="1" noChangeArrowheads="1"/>
                    </pic:cNvPicPr>
                  </pic:nvPicPr>
                  <pic:blipFill>
                    <a:blip r:embed="rId169"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1B253189" w14:textId="627C7CDD" w:rsidR="00D04429" w:rsidRPr="0062574F" w:rsidRDefault="00D279A3" w:rsidP="0A5BE548">
      <w:pPr>
        <w:pStyle w:val="Caption"/>
        <w:jc w:val="both"/>
        <w:rPr>
          <w:b/>
          <w:bCs/>
        </w:rPr>
      </w:pPr>
      <w:bookmarkStart w:id="166" w:name="_Toc164175082"/>
      <w:bookmarkStart w:id="167" w:name="_Toc152766257"/>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26</w:t>
      </w:r>
      <w:r w:rsidR="004F13BA">
        <w:rPr>
          <w:noProof/>
        </w:rPr>
        <w:fldChar w:fldCharType="end"/>
      </w:r>
      <w:r>
        <w:t xml:space="preserve">. </w:t>
      </w:r>
      <w:r w:rsidR="00CC4688">
        <w:t>Designated</w:t>
      </w:r>
      <w:r w:rsidRPr="00D279A3">
        <w:t xml:space="preserve"> use summary for </w:t>
      </w:r>
      <w:r w:rsidR="00CC4688">
        <w:t xml:space="preserve">lakes in </w:t>
      </w:r>
      <w:r w:rsidRPr="00D279A3">
        <w:t>the York River</w:t>
      </w:r>
      <w:r w:rsidR="7F846321" w:rsidRPr="00D279A3">
        <w:t xml:space="preserve"> </w:t>
      </w:r>
      <w:bookmarkEnd w:id="166"/>
      <w:r>
        <w:t>basin</w:t>
      </w:r>
      <w:r w:rsidR="007D62EA">
        <w:t xml:space="preserve"> (520 acres not assessed)</w:t>
      </w:r>
      <w:r>
        <w:t>.</w:t>
      </w:r>
      <w:bookmarkEnd w:id="167"/>
    </w:p>
    <w:p w14:paraId="3C9564AB" w14:textId="7D8FBB8C" w:rsidR="00546B19" w:rsidRDefault="00546B19" w:rsidP="00546B19">
      <w:pPr>
        <w:rPr>
          <w:b/>
          <w:szCs w:val="24"/>
        </w:rPr>
      </w:pPr>
    </w:p>
    <w:p w14:paraId="73EBE4DF" w14:textId="62CA626A" w:rsidR="00D279A3" w:rsidRDefault="00C200AA" w:rsidP="00D279A3">
      <w:pPr>
        <w:keepNext/>
        <w:jc w:val="both"/>
      </w:pPr>
      <w:r>
        <w:rPr>
          <w:noProof/>
        </w:rPr>
        <w:drawing>
          <wp:inline distT="0" distB="0" distL="0" distR="0" wp14:anchorId="092E66C3" wp14:editId="79B518D3">
            <wp:extent cx="5334000" cy="3810000"/>
            <wp:effectExtent l="0" t="0" r="0" b="0"/>
            <wp:docPr id="181" name="Picture" descr="Chart, bar chart&#10;&#10;Figure 4.3 27. Designated use summary for estuaries in the York River basin (all miles2 assessed). "/>
            <wp:cNvGraphicFramePr/>
            <a:graphic xmlns:a="http://schemas.openxmlformats.org/drawingml/2006/main">
              <a:graphicData uri="http://schemas.openxmlformats.org/drawingml/2006/picture">
                <pic:pic xmlns:pic="http://schemas.openxmlformats.org/drawingml/2006/picture">
                  <pic:nvPicPr>
                    <pic:cNvPr id="181" name="Picture" descr="Chart, bar chart&#10;&#10;Figure 4.3 27. Designated use summary for estuaries in the York River basin (all miles2 assessed). "/>
                    <pic:cNvPicPr>
                      <a:picLocks noChangeAspect="1" noChangeArrowheads="1"/>
                    </pic:cNvPicPr>
                  </pic:nvPicPr>
                  <pic:blipFill>
                    <a:blip r:embed="rId170"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2378481D" w14:textId="3631CAD6" w:rsidR="00D04429" w:rsidRPr="0062574F" w:rsidRDefault="00D279A3" w:rsidP="0A5BE548">
      <w:pPr>
        <w:pStyle w:val="Caption"/>
        <w:jc w:val="both"/>
        <w:rPr>
          <w:b/>
          <w:bCs/>
        </w:rPr>
      </w:pPr>
      <w:bookmarkStart w:id="168" w:name="_Toc164175083"/>
      <w:bookmarkStart w:id="169" w:name="_Toc152766258"/>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27</w:t>
      </w:r>
      <w:r w:rsidR="004F13BA">
        <w:rPr>
          <w:noProof/>
        </w:rPr>
        <w:fldChar w:fldCharType="end"/>
      </w:r>
      <w:r>
        <w:t xml:space="preserve">. </w:t>
      </w:r>
      <w:r w:rsidR="00CC4688">
        <w:t>Designated</w:t>
      </w:r>
      <w:r w:rsidRPr="00D279A3">
        <w:t xml:space="preserve"> use summary for </w:t>
      </w:r>
      <w:r w:rsidR="00CC4688">
        <w:t xml:space="preserve">estuaries in </w:t>
      </w:r>
      <w:r w:rsidRPr="00D279A3">
        <w:t>the York River</w:t>
      </w:r>
      <w:r w:rsidR="0D6D8E97" w:rsidRPr="00D279A3">
        <w:t xml:space="preserve"> </w:t>
      </w:r>
      <w:bookmarkEnd w:id="168"/>
      <w:r>
        <w:t>basin</w:t>
      </w:r>
      <w:r w:rsidR="00A369AD">
        <w:t xml:space="preserve"> (all miles</w:t>
      </w:r>
      <w:r w:rsidR="00A369AD" w:rsidRPr="0A5BE548">
        <w:rPr>
          <w:vertAlign w:val="superscript"/>
        </w:rPr>
        <w:t>2</w:t>
      </w:r>
      <w:r w:rsidR="00A369AD">
        <w:t xml:space="preserve"> assessed)</w:t>
      </w:r>
      <w:r>
        <w:t xml:space="preserve">. </w:t>
      </w:r>
      <w:bookmarkEnd w:id="169"/>
    </w:p>
    <w:p w14:paraId="677CCB05" w14:textId="15B2B729" w:rsidR="00546B19" w:rsidRDefault="00546B19" w:rsidP="00155BE9">
      <w:pPr>
        <w:rPr>
          <w:b/>
          <w:szCs w:val="24"/>
        </w:rPr>
      </w:pPr>
    </w:p>
    <w:p w14:paraId="44C2E365" w14:textId="77777777" w:rsidR="00510C84" w:rsidRPr="00D730B7" w:rsidRDefault="00510C84" w:rsidP="00155BE9">
      <w:pPr>
        <w:rPr>
          <w:b/>
          <w:szCs w:val="24"/>
        </w:rPr>
      </w:pPr>
    </w:p>
    <w:p w14:paraId="0ED2CCDD" w14:textId="3C39621A" w:rsidR="00D279A3" w:rsidRDefault="006B7116" w:rsidP="00D279A3">
      <w:pPr>
        <w:keepNext/>
      </w:pPr>
      <w:r>
        <w:rPr>
          <w:noProof/>
        </w:rPr>
        <w:drawing>
          <wp:inline distT="0" distB="0" distL="0" distR="0" wp14:anchorId="0075492E" wp14:editId="7B9FE505">
            <wp:extent cx="5334000" cy="3810000"/>
            <wp:effectExtent l="0" t="0" r="0" b="0"/>
            <wp:docPr id="187" name="Picture" descr="Chart&#10;&#10;Figure 4.3 28. Chesapeake Bay-specific designated use summary for the York River basin. "/>
            <wp:cNvGraphicFramePr/>
            <a:graphic xmlns:a="http://schemas.openxmlformats.org/drawingml/2006/main">
              <a:graphicData uri="http://schemas.openxmlformats.org/drawingml/2006/picture">
                <pic:pic xmlns:pic="http://schemas.openxmlformats.org/drawingml/2006/picture">
                  <pic:nvPicPr>
                    <pic:cNvPr id="187" name="Picture" descr="Chart&#10;&#10;Figure 4.3 28. Chesapeake Bay-specific designated use summary for the York River basin. "/>
                    <pic:cNvPicPr>
                      <a:picLocks noChangeAspect="1" noChangeArrowheads="1"/>
                    </pic:cNvPicPr>
                  </pic:nvPicPr>
                  <pic:blipFill>
                    <a:blip r:embed="rId171"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507DDEF7" w14:textId="18DBBEB0" w:rsidR="001B538E" w:rsidRPr="0062574F" w:rsidRDefault="00D279A3" w:rsidP="0A5BE548">
      <w:pPr>
        <w:pStyle w:val="Caption"/>
        <w:jc w:val="both"/>
        <w:rPr>
          <w:b/>
          <w:bCs/>
        </w:rPr>
      </w:pPr>
      <w:bookmarkStart w:id="170" w:name="_Toc152766259"/>
      <w:bookmarkStart w:id="171" w:name="_Toc164175084"/>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28</w:t>
      </w:r>
      <w:r w:rsidR="004F13BA">
        <w:rPr>
          <w:noProof/>
        </w:rPr>
        <w:fldChar w:fldCharType="end"/>
      </w:r>
      <w:r>
        <w:t>.</w:t>
      </w:r>
      <w:r w:rsidRPr="00D279A3">
        <w:t xml:space="preserve"> </w:t>
      </w:r>
      <w:bookmarkEnd w:id="170"/>
      <w:r w:rsidR="00780BED">
        <w:t>Chesapeake Bay-specific designated use summary</w:t>
      </w:r>
      <w:r w:rsidR="00780BED" w:rsidRPr="0A5BE548">
        <w:rPr>
          <w:rFonts w:cstheme="minorBidi"/>
        </w:rPr>
        <w:t xml:space="preserve"> for </w:t>
      </w:r>
      <w:r w:rsidR="001B538E" w:rsidRPr="00D279A3">
        <w:t>the York River</w:t>
      </w:r>
      <w:r w:rsidR="5C1792E0" w:rsidRPr="00D279A3">
        <w:t xml:space="preserve"> </w:t>
      </w:r>
      <w:bookmarkEnd w:id="171"/>
      <w:r w:rsidR="001B538E">
        <w:t xml:space="preserve">basin. </w:t>
      </w:r>
    </w:p>
    <w:p w14:paraId="22FE3E47" w14:textId="77777777" w:rsidR="00546B19" w:rsidRDefault="00546B19" w:rsidP="00546B19">
      <w:pPr>
        <w:rPr>
          <w:b/>
          <w:szCs w:val="24"/>
        </w:rPr>
      </w:pPr>
    </w:p>
    <w:p w14:paraId="5A2DB619" w14:textId="5870FC59" w:rsidR="00D04429" w:rsidRPr="0062574F" w:rsidRDefault="00F85CDF" w:rsidP="00D04429">
      <w:pPr>
        <w:pStyle w:val="Caption"/>
        <w:jc w:val="both"/>
      </w:pPr>
      <w:bookmarkStart w:id="172" w:name="_Toc164175179"/>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15</w:t>
      </w:r>
      <w:r w:rsidR="004F13BA">
        <w:rPr>
          <w:noProof/>
        </w:rPr>
        <w:fldChar w:fldCharType="end"/>
      </w:r>
      <w:r>
        <w:t>.</w:t>
      </w:r>
      <w:r w:rsidR="00B04914">
        <w:t xml:space="preserve"> </w:t>
      </w:r>
      <w:r w:rsidR="00B04914" w:rsidRPr="0A5BE548">
        <w:t>Significant causes of designated use impairment in the York River basin</w:t>
      </w:r>
      <w:bookmarkEnd w:id="172"/>
      <w:r w:rsidR="00B04914">
        <w:t>, by waterbody type, ranked by percentage of impaired water size. (Note: Waters can have multiple pollutants.)</w:t>
      </w:r>
    </w:p>
    <w:tbl>
      <w:tblPr>
        <w:tblStyle w:val="TableGrid"/>
        <w:tblW w:w="9734" w:type="dxa"/>
        <w:tblLayout w:type="fixed"/>
        <w:tblCellMar>
          <w:left w:w="115" w:type="dxa"/>
          <w:right w:w="115" w:type="dxa"/>
        </w:tblCellMar>
        <w:tblLook w:val="04A0" w:firstRow="1" w:lastRow="0" w:firstColumn="1" w:lastColumn="0" w:noHBand="0" w:noVBand="1"/>
        <w:tblCaption w:val="Table of York River Basin Significant Causes of Designated Use Impairment"/>
        <w:tblDescription w:val="York River Basin significant causes of Designated Use impairment for rivers, lakes, and estuaries ranked by percent of impaired water size"/>
      </w:tblPr>
      <w:tblGrid>
        <w:gridCol w:w="2559"/>
        <w:gridCol w:w="733"/>
        <w:gridCol w:w="2748"/>
        <w:gridCol w:w="641"/>
        <w:gridCol w:w="2290"/>
        <w:gridCol w:w="763"/>
      </w:tblGrid>
      <w:tr w:rsidR="00546B19" w:rsidRPr="00D730B7" w14:paraId="53A06D0B" w14:textId="77777777" w:rsidTr="00DD69F6">
        <w:trPr>
          <w:cantSplit/>
          <w:trHeight w:val="360"/>
          <w:tblHeader/>
        </w:trPr>
        <w:tc>
          <w:tcPr>
            <w:tcW w:w="3235" w:type="dxa"/>
            <w:gridSpan w:val="2"/>
            <w:vAlign w:val="center"/>
          </w:tcPr>
          <w:p w14:paraId="0EA7DFE5" w14:textId="77777777" w:rsidR="00546B19" w:rsidRPr="006879E1" w:rsidRDefault="00546B19" w:rsidP="005608D9">
            <w:pPr>
              <w:jc w:val="center"/>
              <w:rPr>
                <w:b/>
                <w:iCs/>
                <w:sz w:val="22"/>
                <w:szCs w:val="22"/>
              </w:rPr>
            </w:pPr>
            <w:r w:rsidRPr="006879E1">
              <w:rPr>
                <w:b/>
                <w:iCs/>
                <w:sz w:val="22"/>
                <w:szCs w:val="22"/>
              </w:rPr>
              <w:t>Rivers</w:t>
            </w:r>
          </w:p>
        </w:tc>
        <w:tc>
          <w:tcPr>
            <w:tcW w:w="3330" w:type="dxa"/>
            <w:gridSpan w:val="2"/>
            <w:vAlign w:val="center"/>
          </w:tcPr>
          <w:p w14:paraId="59450D36" w14:textId="77777777" w:rsidR="00546B19" w:rsidRPr="006879E1" w:rsidRDefault="00546B19" w:rsidP="005608D9">
            <w:pPr>
              <w:jc w:val="center"/>
              <w:rPr>
                <w:b/>
                <w:iCs/>
                <w:sz w:val="22"/>
                <w:szCs w:val="22"/>
              </w:rPr>
            </w:pPr>
            <w:r w:rsidRPr="006879E1">
              <w:rPr>
                <w:b/>
                <w:iCs/>
                <w:sz w:val="22"/>
                <w:szCs w:val="22"/>
              </w:rPr>
              <w:t>Lakes</w:t>
            </w:r>
          </w:p>
        </w:tc>
        <w:tc>
          <w:tcPr>
            <w:tcW w:w="3000" w:type="dxa"/>
            <w:gridSpan w:val="2"/>
            <w:vAlign w:val="center"/>
          </w:tcPr>
          <w:p w14:paraId="4918B339" w14:textId="77777777" w:rsidR="00546B19" w:rsidRPr="006879E1" w:rsidRDefault="00546B19" w:rsidP="005608D9">
            <w:pPr>
              <w:jc w:val="center"/>
              <w:rPr>
                <w:b/>
                <w:iCs/>
                <w:sz w:val="22"/>
                <w:szCs w:val="22"/>
              </w:rPr>
            </w:pPr>
            <w:r w:rsidRPr="006879E1">
              <w:rPr>
                <w:b/>
                <w:iCs/>
                <w:sz w:val="22"/>
                <w:szCs w:val="22"/>
              </w:rPr>
              <w:t>Estuaries</w:t>
            </w:r>
          </w:p>
        </w:tc>
      </w:tr>
      <w:tr w:rsidR="005608D9" w:rsidRPr="00D730B7" w14:paraId="4682B65A" w14:textId="77777777" w:rsidTr="00DD69F6">
        <w:trPr>
          <w:cantSplit/>
          <w:trHeight w:val="360"/>
        </w:trPr>
        <w:tc>
          <w:tcPr>
            <w:tcW w:w="2515" w:type="dxa"/>
            <w:vAlign w:val="center"/>
          </w:tcPr>
          <w:p w14:paraId="4C8428F2" w14:textId="50CB3F77" w:rsidR="005608D9" w:rsidRPr="006879E1" w:rsidRDefault="005608D9" w:rsidP="005608D9">
            <w:pPr>
              <w:jc w:val="center"/>
              <w:rPr>
                <w:b/>
                <w:iCs/>
                <w:sz w:val="22"/>
                <w:szCs w:val="22"/>
              </w:rPr>
            </w:pPr>
            <w:r>
              <w:rPr>
                <w:rFonts w:ascii="Calibri" w:hAnsi="Calibri" w:cs="Calibri"/>
                <w:color w:val="000000"/>
                <w:sz w:val="22"/>
                <w:szCs w:val="22"/>
              </w:rPr>
              <w:t>Bacteria</w:t>
            </w:r>
          </w:p>
        </w:tc>
        <w:tc>
          <w:tcPr>
            <w:tcW w:w="720" w:type="dxa"/>
            <w:vAlign w:val="center"/>
          </w:tcPr>
          <w:p w14:paraId="05239F9D" w14:textId="4672BFC3" w:rsidR="005608D9" w:rsidRPr="006879E1" w:rsidRDefault="005608D9" w:rsidP="005608D9">
            <w:pPr>
              <w:jc w:val="center"/>
              <w:rPr>
                <w:iCs/>
                <w:sz w:val="22"/>
                <w:szCs w:val="22"/>
              </w:rPr>
            </w:pPr>
            <w:r>
              <w:rPr>
                <w:rFonts w:ascii="Calibri" w:hAnsi="Calibri" w:cs="Calibri"/>
                <w:color w:val="000000"/>
                <w:sz w:val="22"/>
                <w:szCs w:val="22"/>
              </w:rPr>
              <w:t>87%</w:t>
            </w:r>
          </w:p>
        </w:tc>
        <w:tc>
          <w:tcPr>
            <w:tcW w:w="2700" w:type="dxa"/>
            <w:vAlign w:val="center"/>
          </w:tcPr>
          <w:p w14:paraId="42AEF964" w14:textId="06E2004A" w:rsidR="005608D9" w:rsidRPr="006879E1" w:rsidRDefault="005608D9" w:rsidP="005608D9">
            <w:pPr>
              <w:jc w:val="center"/>
              <w:rPr>
                <w:b/>
                <w:iCs/>
                <w:sz w:val="22"/>
                <w:szCs w:val="22"/>
              </w:rPr>
            </w:pPr>
            <w:r>
              <w:rPr>
                <w:rFonts w:ascii="Calibri" w:hAnsi="Calibri" w:cs="Calibri"/>
                <w:color w:val="000000"/>
                <w:sz w:val="22"/>
                <w:szCs w:val="22"/>
              </w:rPr>
              <w:t>PCBs in Fish Tissue</w:t>
            </w:r>
          </w:p>
        </w:tc>
        <w:tc>
          <w:tcPr>
            <w:tcW w:w="630" w:type="dxa"/>
            <w:vAlign w:val="center"/>
          </w:tcPr>
          <w:p w14:paraId="4DA24360" w14:textId="4CD3BDFA" w:rsidR="005608D9" w:rsidRPr="006879E1" w:rsidRDefault="005608D9" w:rsidP="005608D9">
            <w:pPr>
              <w:jc w:val="center"/>
              <w:rPr>
                <w:iCs/>
                <w:sz w:val="22"/>
                <w:szCs w:val="22"/>
              </w:rPr>
            </w:pPr>
            <w:r>
              <w:rPr>
                <w:rFonts w:ascii="Calibri" w:hAnsi="Calibri" w:cs="Calibri"/>
                <w:color w:val="000000"/>
                <w:sz w:val="22"/>
                <w:szCs w:val="22"/>
              </w:rPr>
              <w:t>92%</w:t>
            </w:r>
          </w:p>
        </w:tc>
        <w:tc>
          <w:tcPr>
            <w:tcW w:w="2250" w:type="dxa"/>
            <w:vAlign w:val="center"/>
          </w:tcPr>
          <w:p w14:paraId="64FF8FBE" w14:textId="611910E1" w:rsidR="005608D9" w:rsidRPr="006879E1" w:rsidRDefault="005608D9" w:rsidP="005608D9">
            <w:pPr>
              <w:jc w:val="center"/>
              <w:rPr>
                <w:b/>
                <w:iCs/>
                <w:sz w:val="22"/>
                <w:szCs w:val="22"/>
              </w:rPr>
            </w:pPr>
            <w:r>
              <w:rPr>
                <w:rFonts w:ascii="Calibri" w:hAnsi="Calibri" w:cs="Calibri"/>
                <w:color w:val="000000"/>
                <w:sz w:val="22"/>
                <w:szCs w:val="22"/>
              </w:rPr>
              <w:t>Dissolved Oxygen</w:t>
            </w:r>
          </w:p>
        </w:tc>
        <w:tc>
          <w:tcPr>
            <w:tcW w:w="750" w:type="dxa"/>
            <w:vAlign w:val="center"/>
          </w:tcPr>
          <w:p w14:paraId="3B3A4C02" w14:textId="76910E8D" w:rsidR="005608D9" w:rsidRPr="006879E1" w:rsidRDefault="005608D9" w:rsidP="005608D9">
            <w:pPr>
              <w:jc w:val="center"/>
              <w:rPr>
                <w:iCs/>
                <w:sz w:val="22"/>
                <w:szCs w:val="22"/>
              </w:rPr>
            </w:pPr>
            <w:r>
              <w:rPr>
                <w:rFonts w:ascii="Calibri" w:hAnsi="Calibri" w:cs="Calibri"/>
                <w:color w:val="000000"/>
                <w:sz w:val="22"/>
                <w:szCs w:val="22"/>
              </w:rPr>
              <w:t>100%</w:t>
            </w:r>
          </w:p>
        </w:tc>
      </w:tr>
      <w:tr w:rsidR="005608D9" w:rsidRPr="00D730B7" w14:paraId="3339C7D6" w14:textId="77777777" w:rsidTr="00DD69F6">
        <w:trPr>
          <w:cantSplit/>
          <w:trHeight w:val="360"/>
        </w:trPr>
        <w:tc>
          <w:tcPr>
            <w:tcW w:w="2515" w:type="dxa"/>
            <w:vAlign w:val="center"/>
          </w:tcPr>
          <w:p w14:paraId="1F9A7B6E" w14:textId="5067FE39" w:rsidR="005608D9" w:rsidRPr="006879E1" w:rsidRDefault="005608D9" w:rsidP="005608D9">
            <w:pPr>
              <w:jc w:val="center"/>
              <w:rPr>
                <w:b/>
                <w:iCs/>
                <w:sz w:val="22"/>
                <w:szCs w:val="22"/>
              </w:rPr>
            </w:pPr>
            <w:r>
              <w:rPr>
                <w:rFonts w:ascii="Calibri" w:hAnsi="Calibri" w:cs="Calibri"/>
                <w:color w:val="000000"/>
                <w:sz w:val="22"/>
                <w:szCs w:val="22"/>
              </w:rPr>
              <w:t>Impaired Benthics</w:t>
            </w:r>
          </w:p>
        </w:tc>
        <w:tc>
          <w:tcPr>
            <w:tcW w:w="720" w:type="dxa"/>
            <w:vAlign w:val="center"/>
          </w:tcPr>
          <w:p w14:paraId="047DF18C" w14:textId="6736B8B1" w:rsidR="005608D9" w:rsidRPr="006879E1" w:rsidRDefault="005608D9" w:rsidP="005608D9">
            <w:pPr>
              <w:jc w:val="center"/>
              <w:rPr>
                <w:iCs/>
                <w:sz w:val="22"/>
                <w:szCs w:val="22"/>
              </w:rPr>
            </w:pPr>
            <w:r>
              <w:rPr>
                <w:rFonts w:ascii="Calibri" w:hAnsi="Calibri" w:cs="Calibri"/>
                <w:color w:val="000000"/>
                <w:sz w:val="22"/>
                <w:szCs w:val="22"/>
              </w:rPr>
              <w:t>1</w:t>
            </w:r>
            <w:r w:rsidR="00D3571F">
              <w:rPr>
                <w:rFonts w:ascii="Calibri" w:hAnsi="Calibri" w:cs="Calibri"/>
                <w:color w:val="000000"/>
                <w:sz w:val="22"/>
                <w:szCs w:val="22"/>
              </w:rPr>
              <w:t>8</w:t>
            </w:r>
            <w:r>
              <w:rPr>
                <w:rFonts w:ascii="Calibri" w:hAnsi="Calibri" w:cs="Calibri"/>
                <w:color w:val="000000"/>
                <w:sz w:val="22"/>
                <w:szCs w:val="22"/>
              </w:rPr>
              <w:t>%</w:t>
            </w:r>
          </w:p>
        </w:tc>
        <w:tc>
          <w:tcPr>
            <w:tcW w:w="2700" w:type="dxa"/>
            <w:vAlign w:val="center"/>
          </w:tcPr>
          <w:p w14:paraId="6EA83F61" w14:textId="3E12C73D" w:rsidR="005608D9" w:rsidRPr="006879E1" w:rsidRDefault="005608D9" w:rsidP="005608D9">
            <w:pPr>
              <w:jc w:val="center"/>
              <w:rPr>
                <w:b/>
                <w:iCs/>
                <w:sz w:val="22"/>
                <w:szCs w:val="22"/>
              </w:rPr>
            </w:pPr>
            <w:r>
              <w:rPr>
                <w:rFonts w:ascii="Calibri" w:hAnsi="Calibri" w:cs="Calibri"/>
                <w:color w:val="000000"/>
                <w:sz w:val="22"/>
                <w:szCs w:val="22"/>
              </w:rPr>
              <w:t>Harmful Algal Blooms</w:t>
            </w:r>
          </w:p>
        </w:tc>
        <w:tc>
          <w:tcPr>
            <w:tcW w:w="630" w:type="dxa"/>
            <w:vAlign w:val="center"/>
          </w:tcPr>
          <w:p w14:paraId="47945CEE" w14:textId="1D2F4D65" w:rsidR="005608D9" w:rsidRPr="006879E1" w:rsidRDefault="005608D9" w:rsidP="005608D9">
            <w:pPr>
              <w:jc w:val="center"/>
              <w:rPr>
                <w:iCs/>
                <w:sz w:val="22"/>
                <w:szCs w:val="22"/>
              </w:rPr>
            </w:pPr>
            <w:r>
              <w:rPr>
                <w:rFonts w:ascii="Calibri" w:hAnsi="Calibri" w:cs="Calibri"/>
                <w:color w:val="000000"/>
                <w:sz w:val="22"/>
                <w:szCs w:val="22"/>
              </w:rPr>
              <w:t>30%</w:t>
            </w:r>
          </w:p>
        </w:tc>
        <w:tc>
          <w:tcPr>
            <w:tcW w:w="2250" w:type="dxa"/>
            <w:vAlign w:val="center"/>
          </w:tcPr>
          <w:p w14:paraId="21BDF77F" w14:textId="160DAE88" w:rsidR="005608D9" w:rsidRPr="006879E1" w:rsidRDefault="005608D9" w:rsidP="005608D9">
            <w:pPr>
              <w:jc w:val="center"/>
              <w:rPr>
                <w:b/>
                <w:iCs/>
                <w:sz w:val="22"/>
                <w:szCs w:val="22"/>
              </w:rPr>
            </w:pPr>
            <w:r>
              <w:rPr>
                <w:rFonts w:ascii="Calibri" w:hAnsi="Calibri" w:cs="Calibri"/>
                <w:color w:val="000000"/>
                <w:sz w:val="22"/>
                <w:szCs w:val="22"/>
              </w:rPr>
              <w:t>PCBs in Fish Tissue</w:t>
            </w:r>
          </w:p>
        </w:tc>
        <w:tc>
          <w:tcPr>
            <w:tcW w:w="750" w:type="dxa"/>
            <w:vAlign w:val="center"/>
          </w:tcPr>
          <w:p w14:paraId="0FCC7F3C" w14:textId="2541F4BD" w:rsidR="005608D9" w:rsidRPr="006879E1" w:rsidRDefault="005608D9" w:rsidP="005608D9">
            <w:pPr>
              <w:jc w:val="center"/>
              <w:rPr>
                <w:iCs/>
                <w:sz w:val="22"/>
                <w:szCs w:val="22"/>
              </w:rPr>
            </w:pPr>
            <w:r>
              <w:rPr>
                <w:rFonts w:ascii="Calibri" w:hAnsi="Calibri" w:cs="Calibri"/>
                <w:color w:val="000000"/>
                <w:sz w:val="22"/>
                <w:szCs w:val="22"/>
              </w:rPr>
              <w:t>93%</w:t>
            </w:r>
          </w:p>
        </w:tc>
      </w:tr>
      <w:tr w:rsidR="005608D9" w:rsidRPr="00D730B7" w14:paraId="199EB052" w14:textId="77777777" w:rsidTr="00DD69F6">
        <w:trPr>
          <w:cantSplit/>
          <w:trHeight w:val="360"/>
        </w:trPr>
        <w:tc>
          <w:tcPr>
            <w:tcW w:w="2515" w:type="dxa"/>
            <w:vAlign w:val="center"/>
          </w:tcPr>
          <w:p w14:paraId="4AB42892" w14:textId="4B43F088" w:rsidR="005608D9" w:rsidRPr="006879E1" w:rsidRDefault="005608D9" w:rsidP="005608D9">
            <w:pPr>
              <w:jc w:val="center"/>
              <w:rPr>
                <w:b/>
                <w:iCs/>
                <w:sz w:val="22"/>
                <w:szCs w:val="22"/>
              </w:rPr>
            </w:pPr>
            <w:r>
              <w:rPr>
                <w:rFonts w:ascii="Calibri" w:hAnsi="Calibri" w:cs="Calibri"/>
                <w:color w:val="000000"/>
                <w:sz w:val="22"/>
                <w:szCs w:val="22"/>
              </w:rPr>
              <w:t>pH</w:t>
            </w:r>
          </w:p>
        </w:tc>
        <w:tc>
          <w:tcPr>
            <w:tcW w:w="720" w:type="dxa"/>
            <w:vAlign w:val="center"/>
          </w:tcPr>
          <w:p w14:paraId="7C853BFB" w14:textId="24D8ABE9" w:rsidR="005608D9" w:rsidRPr="006879E1" w:rsidRDefault="005608D9" w:rsidP="005608D9">
            <w:pPr>
              <w:jc w:val="center"/>
              <w:rPr>
                <w:iCs/>
                <w:sz w:val="22"/>
                <w:szCs w:val="22"/>
              </w:rPr>
            </w:pPr>
            <w:r>
              <w:rPr>
                <w:rFonts w:ascii="Calibri" w:hAnsi="Calibri" w:cs="Calibri"/>
                <w:color w:val="000000"/>
                <w:sz w:val="22"/>
                <w:szCs w:val="22"/>
              </w:rPr>
              <w:t>15%</w:t>
            </w:r>
          </w:p>
        </w:tc>
        <w:tc>
          <w:tcPr>
            <w:tcW w:w="2700" w:type="dxa"/>
            <w:vAlign w:val="center"/>
          </w:tcPr>
          <w:p w14:paraId="1E5B0F4F" w14:textId="477301AA" w:rsidR="005608D9" w:rsidRPr="006879E1" w:rsidRDefault="005608D9" w:rsidP="005608D9">
            <w:pPr>
              <w:jc w:val="center"/>
              <w:rPr>
                <w:b/>
                <w:iCs/>
                <w:sz w:val="22"/>
                <w:szCs w:val="22"/>
              </w:rPr>
            </w:pPr>
            <w:r>
              <w:rPr>
                <w:rFonts w:ascii="Calibri" w:hAnsi="Calibri" w:cs="Calibri"/>
                <w:color w:val="000000"/>
                <w:sz w:val="22"/>
                <w:szCs w:val="22"/>
              </w:rPr>
              <w:t>Mercury in Fish Tissue</w:t>
            </w:r>
          </w:p>
        </w:tc>
        <w:tc>
          <w:tcPr>
            <w:tcW w:w="630" w:type="dxa"/>
            <w:vAlign w:val="center"/>
          </w:tcPr>
          <w:p w14:paraId="26671EBF" w14:textId="6196D7C5" w:rsidR="005608D9" w:rsidRPr="006879E1" w:rsidRDefault="005608D9" w:rsidP="005608D9">
            <w:pPr>
              <w:jc w:val="center"/>
              <w:rPr>
                <w:iCs/>
                <w:sz w:val="22"/>
                <w:szCs w:val="22"/>
              </w:rPr>
            </w:pPr>
            <w:r>
              <w:rPr>
                <w:rFonts w:ascii="Calibri" w:hAnsi="Calibri" w:cs="Calibri"/>
                <w:color w:val="000000"/>
                <w:sz w:val="22"/>
                <w:szCs w:val="22"/>
              </w:rPr>
              <w:t>17%</w:t>
            </w:r>
          </w:p>
        </w:tc>
        <w:tc>
          <w:tcPr>
            <w:tcW w:w="2250" w:type="dxa"/>
            <w:vAlign w:val="center"/>
          </w:tcPr>
          <w:p w14:paraId="5D133F14" w14:textId="68F16CEB" w:rsidR="005608D9" w:rsidRPr="006879E1" w:rsidRDefault="005608D9" w:rsidP="005608D9">
            <w:pPr>
              <w:jc w:val="center"/>
              <w:rPr>
                <w:b/>
                <w:iCs/>
                <w:sz w:val="22"/>
                <w:szCs w:val="22"/>
              </w:rPr>
            </w:pPr>
            <w:r>
              <w:rPr>
                <w:rFonts w:ascii="Calibri" w:hAnsi="Calibri" w:cs="Calibri"/>
                <w:color w:val="000000"/>
                <w:sz w:val="22"/>
                <w:szCs w:val="22"/>
              </w:rPr>
              <w:t>SAV</w:t>
            </w:r>
          </w:p>
        </w:tc>
        <w:tc>
          <w:tcPr>
            <w:tcW w:w="750" w:type="dxa"/>
            <w:vAlign w:val="center"/>
          </w:tcPr>
          <w:p w14:paraId="4667DD39" w14:textId="0F7BDEDD" w:rsidR="005608D9" w:rsidRPr="006879E1" w:rsidRDefault="005608D9" w:rsidP="005608D9">
            <w:pPr>
              <w:jc w:val="center"/>
              <w:rPr>
                <w:iCs/>
                <w:sz w:val="22"/>
                <w:szCs w:val="22"/>
              </w:rPr>
            </w:pPr>
            <w:r>
              <w:rPr>
                <w:rFonts w:ascii="Calibri" w:hAnsi="Calibri" w:cs="Calibri"/>
                <w:color w:val="000000"/>
                <w:sz w:val="22"/>
                <w:szCs w:val="22"/>
              </w:rPr>
              <w:t>78%</w:t>
            </w:r>
          </w:p>
        </w:tc>
      </w:tr>
      <w:tr w:rsidR="005608D9" w:rsidRPr="00D730B7" w14:paraId="040B2ABC" w14:textId="77777777" w:rsidTr="00DD69F6">
        <w:trPr>
          <w:cantSplit/>
          <w:trHeight w:val="360"/>
        </w:trPr>
        <w:tc>
          <w:tcPr>
            <w:tcW w:w="2515" w:type="dxa"/>
            <w:vAlign w:val="center"/>
          </w:tcPr>
          <w:p w14:paraId="77DF00BE" w14:textId="377D557C" w:rsidR="005608D9" w:rsidRPr="006879E1" w:rsidRDefault="005608D9" w:rsidP="005608D9">
            <w:pPr>
              <w:jc w:val="center"/>
              <w:rPr>
                <w:b/>
                <w:iCs/>
                <w:sz w:val="22"/>
                <w:szCs w:val="22"/>
              </w:rPr>
            </w:pPr>
            <w:r>
              <w:rPr>
                <w:rFonts w:ascii="Calibri" w:hAnsi="Calibri" w:cs="Calibri"/>
                <w:color w:val="000000"/>
                <w:sz w:val="22"/>
                <w:szCs w:val="22"/>
              </w:rPr>
              <w:t>Dissolved Oxygen</w:t>
            </w:r>
          </w:p>
        </w:tc>
        <w:tc>
          <w:tcPr>
            <w:tcW w:w="720" w:type="dxa"/>
            <w:vAlign w:val="center"/>
          </w:tcPr>
          <w:p w14:paraId="412C79C0" w14:textId="06F29725" w:rsidR="005608D9" w:rsidRPr="006879E1" w:rsidRDefault="005608D9" w:rsidP="005608D9">
            <w:pPr>
              <w:jc w:val="center"/>
              <w:rPr>
                <w:iCs/>
                <w:sz w:val="22"/>
                <w:szCs w:val="22"/>
              </w:rPr>
            </w:pPr>
            <w:r>
              <w:rPr>
                <w:rFonts w:ascii="Calibri" w:hAnsi="Calibri" w:cs="Calibri"/>
                <w:color w:val="000000"/>
                <w:sz w:val="22"/>
                <w:szCs w:val="22"/>
              </w:rPr>
              <w:t>8%</w:t>
            </w:r>
          </w:p>
        </w:tc>
        <w:tc>
          <w:tcPr>
            <w:tcW w:w="2700" w:type="dxa"/>
            <w:vAlign w:val="center"/>
          </w:tcPr>
          <w:p w14:paraId="624796FC" w14:textId="691CE73C" w:rsidR="005608D9" w:rsidRPr="006879E1" w:rsidRDefault="005608D9" w:rsidP="005608D9">
            <w:pPr>
              <w:jc w:val="center"/>
              <w:rPr>
                <w:b/>
                <w:iCs/>
                <w:sz w:val="22"/>
                <w:szCs w:val="22"/>
              </w:rPr>
            </w:pPr>
            <w:r>
              <w:rPr>
                <w:rFonts w:ascii="Calibri" w:hAnsi="Calibri" w:cs="Calibri"/>
                <w:color w:val="000000"/>
                <w:sz w:val="22"/>
                <w:szCs w:val="22"/>
              </w:rPr>
              <w:t>Polychlorinated biphenyls (PCBs)</w:t>
            </w:r>
          </w:p>
        </w:tc>
        <w:tc>
          <w:tcPr>
            <w:tcW w:w="630" w:type="dxa"/>
            <w:vAlign w:val="center"/>
          </w:tcPr>
          <w:p w14:paraId="6F783263" w14:textId="2C6DCF4B" w:rsidR="005608D9" w:rsidRPr="006879E1" w:rsidRDefault="005608D9" w:rsidP="005608D9">
            <w:pPr>
              <w:jc w:val="center"/>
              <w:rPr>
                <w:iCs/>
                <w:sz w:val="22"/>
                <w:szCs w:val="22"/>
              </w:rPr>
            </w:pPr>
            <w:r>
              <w:rPr>
                <w:rFonts w:ascii="Calibri" w:hAnsi="Calibri" w:cs="Calibri"/>
                <w:color w:val="000000"/>
                <w:sz w:val="22"/>
                <w:szCs w:val="22"/>
              </w:rPr>
              <w:t>12%</w:t>
            </w:r>
          </w:p>
        </w:tc>
        <w:tc>
          <w:tcPr>
            <w:tcW w:w="2250" w:type="dxa"/>
            <w:vAlign w:val="center"/>
          </w:tcPr>
          <w:p w14:paraId="7131EEEE" w14:textId="4F3AC2CE" w:rsidR="005608D9" w:rsidRPr="006879E1" w:rsidRDefault="005608D9" w:rsidP="005608D9">
            <w:pPr>
              <w:jc w:val="center"/>
              <w:rPr>
                <w:b/>
                <w:iCs/>
                <w:sz w:val="22"/>
                <w:szCs w:val="22"/>
              </w:rPr>
            </w:pPr>
            <w:r>
              <w:rPr>
                <w:rFonts w:ascii="Calibri" w:hAnsi="Calibri" w:cs="Calibri"/>
                <w:color w:val="000000"/>
                <w:sz w:val="22"/>
                <w:szCs w:val="22"/>
              </w:rPr>
              <w:t>Estuarine Bioassessments</w:t>
            </w:r>
          </w:p>
        </w:tc>
        <w:tc>
          <w:tcPr>
            <w:tcW w:w="750" w:type="dxa"/>
            <w:vAlign w:val="center"/>
          </w:tcPr>
          <w:p w14:paraId="23A8211D" w14:textId="03A914C7" w:rsidR="005608D9" w:rsidRPr="006879E1" w:rsidRDefault="005608D9" w:rsidP="005608D9">
            <w:pPr>
              <w:jc w:val="center"/>
              <w:rPr>
                <w:iCs/>
                <w:sz w:val="22"/>
                <w:szCs w:val="22"/>
              </w:rPr>
            </w:pPr>
            <w:r>
              <w:rPr>
                <w:rFonts w:ascii="Calibri" w:hAnsi="Calibri" w:cs="Calibri"/>
                <w:color w:val="000000"/>
                <w:sz w:val="22"/>
                <w:szCs w:val="22"/>
              </w:rPr>
              <w:t>72%</w:t>
            </w:r>
          </w:p>
        </w:tc>
      </w:tr>
      <w:tr w:rsidR="005608D9" w:rsidRPr="00D730B7" w14:paraId="04ADCF0D" w14:textId="77777777" w:rsidTr="00DD69F6">
        <w:trPr>
          <w:cantSplit/>
          <w:trHeight w:val="360"/>
        </w:trPr>
        <w:tc>
          <w:tcPr>
            <w:tcW w:w="2515" w:type="dxa"/>
            <w:vAlign w:val="center"/>
          </w:tcPr>
          <w:p w14:paraId="3B730F91" w14:textId="2566DA02" w:rsidR="005608D9" w:rsidRPr="006879E1" w:rsidRDefault="005608D9" w:rsidP="005608D9">
            <w:pPr>
              <w:jc w:val="center"/>
              <w:rPr>
                <w:b/>
                <w:iCs/>
                <w:sz w:val="22"/>
                <w:szCs w:val="22"/>
              </w:rPr>
            </w:pPr>
            <w:r>
              <w:rPr>
                <w:rFonts w:ascii="Calibri" w:hAnsi="Calibri" w:cs="Calibri"/>
                <w:color w:val="000000"/>
                <w:sz w:val="22"/>
                <w:szCs w:val="22"/>
              </w:rPr>
              <w:t>PCBs in Fish Tissue</w:t>
            </w:r>
          </w:p>
        </w:tc>
        <w:tc>
          <w:tcPr>
            <w:tcW w:w="720" w:type="dxa"/>
            <w:vAlign w:val="center"/>
          </w:tcPr>
          <w:p w14:paraId="4828FA07" w14:textId="5B2672FE" w:rsidR="005608D9" w:rsidRPr="006879E1" w:rsidRDefault="005608D9" w:rsidP="005608D9">
            <w:pPr>
              <w:jc w:val="center"/>
              <w:rPr>
                <w:iCs/>
                <w:sz w:val="22"/>
                <w:szCs w:val="22"/>
              </w:rPr>
            </w:pPr>
            <w:r>
              <w:rPr>
                <w:rFonts w:ascii="Calibri" w:hAnsi="Calibri" w:cs="Calibri"/>
                <w:color w:val="000000"/>
                <w:sz w:val="22"/>
                <w:szCs w:val="22"/>
              </w:rPr>
              <w:t>8%</w:t>
            </w:r>
          </w:p>
        </w:tc>
        <w:tc>
          <w:tcPr>
            <w:tcW w:w="2700" w:type="dxa"/>
            <w:vAlign w:val="center"/>
          </w:tcPr>
          <w:p w14:paraId="670CBBE7" w14:textId="691DA328" w:rsidR="005608D9" w:rsidRPr="006879E1" w:rsidRDefault="005608D9" w:rsidP="005608D9">
            <w:pPr>
              <w:jc w:val="center"/>
              <w:rPr>
                <w:b/>
                <w:iCs/>
                <w:sz w:val="22"/>
                <w:szCs w:val="22"/>
              </w:rPr>
            </w:pPr>
            <w:r>
              <w:rPr>
                <w:rFonts w:ascii="Calibri" w:hAnsi="Calibri" w:cs="Calibri"/>
                <w:color w:val="000000"/>
                <w:sz w:val="22"/>
                <w:szCs w:val="22"/>
              </w:rPr>
              <w:t>Dissolved Oxygen</w:t>
            </w:r>
          </w:p>
        </w:tc>
        <w:tc>
          <w:tcPr>
            <w:tcW w:w="630" w:type="dxa"/>
            <w:vAlign w:val="center"/>
          </w:tcPr>
          <w:p w14:paraId="6E917331" w14:textId="6B1701BB" w:rsidR="005608D9" w:rsidRPr="006879E1" w:rsidRDefault="005608D9" w:rsidP="005608D9">
            <w:pPr>
              <w:jc w:val="center"/>
              <w:rPr>
                <w:iCs/>
                <w:sz w:val="22"/>
                <w:szCs w:val="22"/>
              </w:rPr>
            </w:pPr>
            <w:r>
              <w:rPr>
                <w:rFonts w:ascii="Calibri" w:hAnsi="Calibri" w:cs="Calibri"/>
                <w:color w:val="000000"/>
                <w:sz w:val="22"/>
                <w:szCs w:val="22"/>
              </w:rPr>
              <w:t>5%</w:t>
            </w:r>
          </w:p>
        </w:tc>
        <w:tc>
          <w:tcPr>
            <w:tcW w:w="2250" w:type="dxa"/>
            <w:vAlign w:val="center"/>
          </w:tcPr>
          <w:p w14:paraId="5CFD1CAE" w14:textId="4EAEA63F" w:rsidR="005608D9" w:rsidRPr="006879E1" w:rsidRDefault="005608D9" w:rsidP="005608D9">
            <w:pPr>
              <w:jc w:val="center"/>
              <w:rPr>
                <w:b/>
                <w:iCs/>
                <w:sz w:val="22"/>
                <w:szCs w:val="22"/>
              </w:rPr>
            </w:pPr>
            <w:r>
              <w:rPr>
                <w:rFonts w:ascii="Calibri" w:hAnsi="Calibri" w:cs="Calibri"/>
                <w:color w:val="000000"/>
                <w:sz w:val="22"/>
                <w:szCs w:val="22"/>
              </w:rPr>
              <w:t>Bacteria</w:t>
            </w:r>
          </w:p>
        </w:tc>
        <w:tc>
          <w:tcPr>
            <w:tcW w:w="750" w:type="dxa"/>
            <w:vAlign w:val="center"/>
          </w:tcPr>
          <w:p w14:paraId="75421F0B" w14:textId="66F0F27B" w:rsidR="005608D9" w:rsidRPr="006879E1" w:rsidRDefault="005608D9" w:rsidP="005608D9">
            <w:pPr>
              <w:jc w:val="center"/>
              <w:rPr>
                <w:iCs/>
                <w:sz w:val="22"/>
                <w:szCs w:val="22"/>
              </w:rPr>
            </w:pPr>
            <w:r>
              <w:rPr>
                <w:rFonts w:ascii="Calibri" w:hAnsi="Calibri" w:cs="Calibri"/>
                <w:color w:val="000000"/>
                <w:sz w:val="22"/>
                <w:szCs w:val="22"/>
              </w:rPr>
              <w:t>31%</w:t>
            </w:r>
          </w:p>
        </w:tc>
      </w:tr>
      <w:tr w:rsidR="005608D9" w:rsidRPr="00D730B7" w14:paraId="4D78AD9B" w14:textId="77777777" w:rsidTr="00DD69F6">
        <w:trPr>
          <w:cantSplit/>
          <w:trHeight w:val="360"/>
        </w:trPr>
        <w:tc>
          <w:tcPr>
            <w:tcW w:w="2515" w:type="dxa"/>
            <w:vAlign w:val="center"/>
          </w:tcPr>
          <w:p w14:paraId="1AECE87D" w14:textId="51EACAC2" w:rsidR="005608D9" w:rsidRPr="006879E1" w:rsidRDefault="005608D9" w:rsidP="005608D9">
            <w:pPr>
              <w:jc w:val="center"/>
              <w:rPr>
                <w:b/>
                <w:iCs/>
                <w:sz w:val="22"/>
                <w:szCs w:val="22"/>
              </w:rPr>
            </w:pPr>
            <w:r>
              <w:rPr>
                <w:rFonts w:ascii="Calibri" w:hAnsi="Calibri" w:cs="Calibri"/>
                <w:color w:val="000000"/>
                <w:sz w:val="22"/>
                <w:szCs w:val="22"/>
              </w:rPr>
              <w:t>Mercury in Fish Tissue</w:t>
            </w:r>
          </w:p>
        </w:tc>
        <w:tc>
          <w:tcPr>
            <w:tcW w:w="720" w:type="dxa"/>
            <w:vAlign w:val="center"/>
          </w:tcPr>
          <w:p w14:paraId="0D9FB0D2" w14:textId="0EE49458" w:rsidR="005608D9" w:rsidRPr="006879E1" w:rsidRDefault="005608D9" w:rsidP="005608D9">
            <w:pPr>
              <w:jc w:val="center"/>
              <w:rPr>
                <w:iCs/>
                <w:sz w:val="22"/>
                <w:szCs w:val="22"/>
              </w:rPr>
            </w:pPr>
            <w:r>
              <w:rPr>
                <w:rFonts w:ascii="Calibri" w:hAnsi="Calibri" w:cs="Calibri"/>
                <w:color w:val="000000"/>
                <w:sz w:val="22"/>
                <w:szCs w:val="22"/>
              </w:rPr>
              <w:t>6%</w:t>
            </w:r>
          </w:p>
        </w:tc>
        <w:tc>
          <w:tcPr>
            <w:tcW w:w="2700" w:type="dxa"/>
            <w:vAlign w:val="center"/>
          </w:tcPr>
          <w:p w14:paraId="424F1E9D" w14:textId="490902D9" w:rsidR="005608D9" w:rsidRPr="006879E1" w:rsidRDefault="005608D9" w:rsidP="005608D9">
            <w:pPr>
              <w:jc w:val="center"/>
              <w:rPr>
                <w:b/>
                <w:iCs/>
                <w:sz w:val="22"/>
                <w:szCs w:val="22"/>
              </w:rPr>
            </w:pPr>
            <w:r>
              <w:rPr>
                <w:rFonts w:ascii="Calibri" w:hAnsi="Calibri" w:cs="Calibri"/>
                <w:color w:val="000000"/>
                <w:sz w:val="22"/>
                <w:szCs w:val="22"/>
              </w:rPr>
              <w:t>pH</w:t>
            </w:r>
          </w:p>
        </w:tc>
        <w:tc>
          <w:tcPr>
            <w:tcW w:w="630" w:type="dxa"/>
            <w:vAlign w:val="center"/>
          </w:tcPr>
          <w:p w14:paraId="70563AF5" w14:textId="5DFADADC" w:rsidR="005608D9" w:rsidRPr="006879E1" w:rsidRDefault="005608D9" w:rsidP="005608D9">
            <w:pPr>
              <w:jc w:val="center"/>
              <w:rPr>
                <w:iCs/>
                <w:sz w:val="22"/>
                <w:szCs w:val="22"/>
              </w:rPr>
            </w:pPr>
            <w:r>
              <w:rPr>
                <w:rFonts w:ascii="Calibri" w:hAnsi="Calibri" w:cs="Calibri"/>
                <w:color w:val="000000"/>
                <w:sz w:val="22"/>
                <w:szCs w:val="22"/>
              </w:rPr>
              <w:t>1%</w:t>
            </w:r>
          </w:p>
        </w:tc>
        <w:tc>
          <w:tcPr>
            <w:tcW w:w="2250" w:type="dxa"/>
            <w:vAlign w:val="center"/>
          </w:tcPr>
          <w:p w14:paraId="3720C59C" w14:textId="55EB66B6" w:rsidR="005608D9" w:rsidRPr="006879E1" w:rsidRDefault="005608D9" w:rsidP="005608D9">
            <w:pPr>
              <w:jc w:val="center"/>
              <w:rPr>
                <w:b/>
                <w:iCs/>
                <w:sz w:val="22"/>
                <w:szCs w:val="22"/>
              </w:rPr>
            </w:pPr>
            <w:r>
              <w:rPr>
                <w:rFonts w:ascii="Calibri" w:hAnsi="Calibri" w:cs="Calibri"/>
                <w:color w:val="000000"/>
                <w:sz w:val="22"/>
                <w:szCs w:val="22"/>
              </w:rPr>
              <w:t>Mercury in Fish Tissue</w:t>
            </w:r>
          </w:p>
        </w:tc>
        <w:tc>
          <w:tcPr>
            <w:tcW w:w="750" w:type="dxa"/>
            <w:vAlign w:val="center"/>
          </w:tcPr>
          <w:p w14:paraId="7F49CE34" w14:textId="60B23192" w:rsidR="005608D9" w:rsidRPr="006879E1" w:rsidRDefault="005608D9" w:rsidP="005608D9">
            <w:pPr>
              <w:jc w:val="center"/>
              <w:rPr>
                <w:iCs/>
                <w:sz w:val="22"/>
                <w:szCs w:val="22"/>
              </w:rPr>
            </w:pPr>
            <w:r>
              <w:rPr>
                <w:rFonts w:ascii="Calibri" w:hAnsi="Calibri" w:cs="Calibri"/>
                <w:color w:val="000000"/>
                <w:sz w:val="22"/>
                <w:szCs w:val="22"/>
              </w:rPr>
              <w:t>21%</w:t>
            </w:r>
          </w:p>
        </w:tc>
      </w:tr>
    </w:tbl>
    <w:p w14:paraId="21E07D52" w14:textId="77777777" w:rsidR="00510C84" w:rsidRDefault="00510C84" w:rsidP="00546B19">
      <w:pPr>
        <w:jc w:val="both"/>
        <w:rPr>
          <w:b/>
          <w:bCs/>
          <w:szCs w:val="24"/>
        </w:rPr>
      </w:pPr>
    </w:p>
    <w:p w14:paraId="462957FD" w14:textId="77777777" w:rsidR="00510C84" w:rsidRDefault="00510C84">
      <w:pPr>
        <w:widowControl/>
        <w:spacing w:after="160" w:line="259" w:lineRule="auto"/>
        <w:rPr>
          <w:b/>
          <w:bCs/>
          <w:szCs w:val="24"/>
        </w:rPr>
      </w:pPr>
      <w:r>
        <w:rPr>
          <w:b/>
          <w:bCs/>
          <w:szCs w:val="24"/>
        </w:rPr>
        <w:br w:type="page"/>
      </w:r>
    </w:p>
    <w:p w14:paraId="2FEF8752" w14:textId="47975179" w:rsidR="00D04429" w:rsidRPr="0062574F" w:rsidRDefault="00B04914" w:rsidP="00D04429">
      <w:pPr>
        <w:pStyle w:val="Caption"/>
        <w:jc w:val="both"/>
      </w:pPr>
      <w:bookmarkStart w:id="173" w:name="_Toc164175180"/>
      <w:r>
        <w:lastRenderedPageBreak/>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16</w:t>
      </w:r>
      <w:r w:rsidR="004F13BA">
        <w:rPr>
          <w:noProof/>
        </w:rPr>
        <w:fldChar w:fldCharType="end"/>
      </w:r>
      <w:r>
        <w:t xml:space="preserve">. </w:t>
      </w:r>
      <w:r w:rsidRPr="00B04914">
        <w:t>Suspected sources of designated use impairment in the York River</w:t>
      </w:r>
      <w:r w:rsidR="433988FB" w:rsidRPr="00B04914">
        <w:t xml:space="preserve"> </w:t>
      </w:r>
      <w:bookmarkEnd w:id="173"/>
      <w:r>
        <w:t>basin, by water body type, ranked by percentage of impaired water size. (Note: Waters can have multiple sources of pollution.)</w:t>
      </w:r>
    </w:p>
    <w:tbl>
      <w:tblPr>
        <w:tblStyle w:val="TableGrid"/>
        <w:tblW w:w="9734" w:type="dxa"/>
        <w:tblCellMar>
          <w:left w:w="115" w:type="dxa"/>
          <w:right w:w="115" w:type="dxa"/>
        </w:tblCellMar>
        <w:tblLook w:val="04A0" w:firstRow="1" w:lastRow="0" w:firstColumn="1" w:lastColumn="0" w:noHBand="0" w:noVBand="1"/>
        <w:tblCaption w:val="Table of York River Basin Suspected Sources of Designated Use Impairment"/>
        <w:tblDescription w:val="York River Basin suspected sources of Designated Use impairment for rivers, lakes, and estuaries ranked by percent of impaired water size"/>
      </w:tblPr>
      <w:tblGrid>
        <w:gridCol w:w="2778"/>
        <w:gridCol w:w="624"/>
        <w:gridCol w:w="2256"/>
        <w:gridCol w:w="641"/>
        <w:gridCol w:w="2698"/>
        <w:gridCol w:w="737"/>
      </w:tblGrid>
      <w:tr w:rsidR="00546B19" w:rsidRPr="00D730B7" w14:paraId="6C4C2EB2" w14:textId="77777777" w:rsidTr="0038092B">
        <w:trPr>
          <w:cantSplit/>
          <w:trHeight w:val="360"/>
          <w:tblHeader/>
        </w:trPr>
        <w:tc>
          <w:tcPr>
            <w:tcW w:w="3332" w:type="dxa"/>
            <w:gridSpan w:val="2"/>
            <w:vAlign w:val="center"/>
          </w:tcPr>
          <w:p w14:paraId="018046B7" w14:textId="77777777" w:rsidR="00546B19" w:rsidRPr="00421C20" w:rsidRDefault="00546B19" w:rsidP="00C93BEC">
            <w:pPr>
              <w:jc w:val="center"/>
              <w:rPr>
                <w:b/>
                <w:iCs/>
                <w:sz w:val="22"/>
                <w:szCs w:val="22"/>
              </w:rPr>
            </w:pPr>
            <w:r w:rsidRPr="00421C20">
              <w:rPr>
                <w:b/>
                <w:iCs/>
                <w:sz w:val="22"/>
                <w:szCs w:val="22"/>
              </w:rPr>
              <w:t>Rivers</w:t>
            </w:r>
          </w:p>
        </w:tc>
        <w:tc>
          <w:tcPr>
            <w:tcW w:w="2838" w:type="dxa"/>
            <w:gridSpan w:val="2"/>
            <w:vAlign w:val="center"/>
          </w:tcPr>
          <w:p w14:paraId="31259A52" w14:textId="77777777" w:rsidR="00546B19" w:rsidRPr="00421C20" w:rsidRDefault="00546B19" w:rsidP="00C93BEC">
            <w:pPr>
              <w:jc w:val="center"/>
              <w:rPr>
                <w:b/>
                <w:iCs/>
                <w:sz w:val="22"/>
                <w:szCs w:val="22"/>
              </w:rPr>
            </w:pPr>
            <w:r w:rsidRPr="00421C20">
              <w:rPr>
                <w:b/>
                <w:iCs/>
                <w:sz w:val="22"/>
                <w:szCs w:val="22"/>
              </w:rPr>
              <w:t>Lakes</w:t>
            </w:r>
          </w:p>
        </w:tc>
        <w:tc>
          <w:tcPr>
            <w:tcW w:w="3365" w:type="dxa"/>
            <w:gridSpan w:val="2"/>
            <w:vAlign w:val="center"/>
          </w:tcPr>
          <w:p w14:paraId="0A9E0C57" w14:textId="77777777" w:rsidR="00546B19" w:rsidRPr="00421C20" w:rsidRDefault="00546B19" w:rsidP="00C93BEC">
            <w:pPr>
              <w:jc w:val="center"/>
              <w:rPr>
                <w:b/>
                <w:iCs/>
                <w:sz w:val="22"/>
                <w:szCs w:val="22"/>
              </w:rPr>
            </w:pPr>
            <w:r w:rsidRPr="00421C20">
              <w:rPr>
                <w:b/>
                <w:iCs/>
                <w:sz w:val="22"/>
                <w:szCs w:val="22"/>
              </w:rPr>
              <w:t>Estuaries</w:t>
            </w:r>
          </w:p>
        </w:tc>
      </w:tr>
      <w:tr w:rsidR="00C93BEC" w:rsidRPr="00D730B7" w14:paraId="69CDDBF3" w14:textId="77777777" w:rsidTr="0038092B">
        <w:trPr>
          <w:cantSplit/>
          <w:trHeight w:val="360"/>
        </w:trPr>
        <w:tc>
          <w:tcPr>
            <w:tcW w:w="2721" w:type="dxa"/>
            <w:vAlign w:val="center"/>
          </w:tcPr>
          <w:p w14:paraId="41A856FE" w14:textId="03062C1C" w:rsidR="00C93BEC" w:rsidRPr="00421C20" w:rsidRDefault="00C93BEC" w:rsidP="00C93BEC">
            <w:pPr>
              <w:jc w:val="center"/>
              <w:rPr>
                <w:b/>
                <w:iCs/>
                <w:sz w:val="22"/>
                <w:szCs w:val="22"/>
              </w:rPr>
            </w:pPr>
            <w:r>
              <w:rPr>
                <w:rFonts w:ascii="Calibri" w:hAnsi="Calibri" w:cs="Calibri"/>
                <w:color w:val="000000"/>
                <w:sz w:val="22"/>
                <w:szCs w:val="22"/>
              </w:rPr>
              <w:t>Grazing in Riparian or Shoreline Zones</w:t>
            </w:r>
          </w:p>
        </w:tc>
        <w:tc>
          <w:tcPr>
            <w:tcW w:w="611" w:type="dxa"/>
            <w:vAlign w:val="center"/>
          </w:tcPr>
          <w:p w14:paraId="721E14EE" w14:textId="25FE66DD" w:rsidR="00C93BEC" w:rsidRPr="00421C20" w:rsidRDefault="00C93BEC" w:rsidP="00C93BEC">
            <w:pPr>
              <w:jc w:val="center"/>
              <w:rPr>
                <w:iCs/>
                <w:sz w:val="22"/>
                <w:szCs w:val="22"/>
              </w:rPr>
            </w:pPr>
            <w:r>
              <w:rPr>
                <w:rFonts w:ascii="Calibri" w:hAnsi="Calibri" w:cs="Calibri"/>
                <w:color w:val="000000"/>
                <w:sz w:val="22"/>
                <w:szCs w:val="22"/>
              </w:rPr>
              <w:t>49%</w:t>
            </w:r>
          </w:p>
        </w:tc>
        <w:tc>
          <w:tcPr>
            <w:tcW w:w="2210" w:type="dxa"/>
            <w:vAlign w:val="center"/>
          </w:tcPr>
          <w:p w14:paraId="0715D351" w14:textId="77777777" w:rsidR="00C93BEC" w:rsidRPr="00372CB3" w:rsidRDefault="00C93BEC" w:rsidP="00C93BEC">
            <w:pPr>
              <w:jc w:val="center"/>
              <w:rPr>
                <w:bCs/>
                <w:iCs/>
                <w:sz w:val="22"/>
                <w:szCs w:val="22"/>
              </w:rPr>
            </w:pPr>
            <w:r w:rsidRPr="00372CB3">
              <w:rPr>
                <w:bCs/>
                <w:iCs/>
                <w:sz w:val="22"/>
                <w:szCs w:val="22"/>
              </w:rPr>
              <w:t>Source Unknown</w:t>
            </w:r>
          </w:p>
        </w:tc>
        <w:tc>
          <w:tcPr>
            <w:tcW w:w="628" w:type="dxa"/>
            <w:vAlign w:val="center"/>
          </w:tcPr>
          <w:p w14:paraId="6B5890C8" w14:textId="77777777" w:rsidR="00C93BEC" w:rsidRPr="00421C20" w:rsidRDefault="00C93BEC" w:rsidP="00C93BEC">
            <w:pPr>
              <w:jc w:val="center"/>
              <w:rPr>
                <w:iCs/>
                <w:sz w:val="22"/>
                <w:szCs w:val="22"/>
              </w:rPr>
            </w:pPr>
            <w:r w:rsidRPr="00421C20">
              <w:rPr>
                <w:iCs/>
                <w:sz w:val="22"/>
                <w:szCs w:val="22"/>
              </w:rPr>
              <w:t>99%</w:t>
            </w:r>
          </w:p>
        </w:tc>
        <w:tc>
          <w:tcPr>
            <w:tcW w:w="2643" w:type="dxa"/>
            <w:vAlign w:val="center"/>
          </w:tcPr>
          <w:p w14:paraId="3FB73800" w14:textId="0F5300DB" w:rsidR="00C93BEC" w:rsidRPr="00421C20" w:rsidRDefault="00C93BEC" w:rsidP="00C93BEC">
            <w:pPr>
              <w:jc w:val="center"/>
              <w:rPr>
                <w:b/>
                <w:iCs/>
                <w:sz w:val="22"/>
                <w:szCs w:val="22"/>
              </w:rPr>
            </w:pPr>
            <w:r>
              <w:rPr>
                <w:rFonts w:ascii="Calibri" w:hAnsi="Calibri" w:cs="Calibri"/>
                <w:color w:val="000000"/>
                <w:sz w:val="22"/>
                <w:szCs w:val="22"/>
              </w:rPr>
              <w:t>Agriculture</w:t>
            </w:r>
          </w:p>
        </w:tc>
        <w:tc>
          <w:tcPr>
            <w:tcW w:w="722" w:type="dxa"/>
            <w:vAlign w:val="center"/>
          </w:tcPr>
          <w:p w14:paraId="72EC2ED7" w14:textId="77777777" w:rsidR="00C93BEC" w:rsidRPr="00421C20" w:rsidRDefault="00C93BEC" w:rsidP="00C93BEC">
            <w:pPr>
              <w:jc w:val="center"/>
              <w:rPr>
                <w:iCs/>
                <w:sz w:val="22"/>
                <w:szCs w:val="22"/>
              </w:rPr>
            </w:pPr>
            <w:r w:rsidRPr="00421C20">
              <w:rPr>
                <w:iCs/>
                <w:sz w:val="22"/>
                <w:szCs w:val="22"/>
              </w:rPr>
              <w:t>100%</w:t>
            </w:r>
          </w:p>
        </w:tc>
      </w:tr>
      <w:tr w:rsidR="00C93BEC" w:rsidRPr="00D730B7" w14:paraId="03081D0A" w14:textId="77777777" w:rsidTr="0038092B">
        <w:trPr>
          <w:cantSplit/>
          <w:trHeight w:val="360"/>
        </w:trPr>
        <w:tc>
          <w:tcPr>
            <w:tcW w:w="2721" w:type="dxa"/>
            <w:vAlign w:val="center"/>
          </w:tcPr>
          <w:p w14:paraId="197BDE35" w14:textId="3514298C" w:rsidR="00C93BEC" w:rsidRPr="00421C20" w:rsidRDefault="00C93BEC" w:rsidP="00C93BEC">
            <w:pPr>
              <w:jc w:val="center"/>
              <w:rPr>
                <w:b/>
                <w:iCs/>
                <w:sz w:val="22"/>
                <w:szCs w:val="22"/>
              </w:rPr>
            </w:pPr>
            <w:r>
              <w:rPr>
                <w:rFonts w:ascii="Calibri" w:hAnsi="Calibri" w:cs="Calibri"/>
                <w:color w:val="000000"/>
                <w:sz w:val="22"/>
                <w:szCs w:val="22"/>
              </w:rPr>
              <w:t>Waterfowl</w:t>
            </w:r>
          </w:p>
        </w:tc>
        <w:tc>
          <w:tcPr>
            <w:tcW w:w="611" w:type="dxa"/>
            <w:vAlign w:val="center"/>
          </w:tcPr>
          <w:p w14:paraId="4008646E" w14:textId="086267B2" w:rsidR="00C93BEC" w:rsidRPr="00421C20" w:rsidRDefault="00C93BEC" w:rsidP="00C93BEC">
            <w:pPr>
              <w:jc w:val="center"/>
              <w:rPr>
                <w:iCs/>
                <w:sz w:val="22"/>
                <w:szCs w:val="22"/>
              </w:rPr>
            </w:pPr>
            <w:r>
              <w:rPr>
                <w:rFonts w:ascii="Calibri" w:hAnsi="Calibri" w:cs="Calibri"/>
                <w:color w:val="000000"/>
                <w:sz w:val="22"/>
                <w:szCs w:val="22"/>
              </w:rPr>
              <w:t>49%</w:t>
            </w:r>
          </w:p>
        </w:tc>
        <w:tc>
          <w:tcPr>
            <w:tcW w:w="2210" w:type="dxa"/>
            <w:vAlign w:val="center"/>
          </w:tcPr>
          <w:p w14:paraId="1D01AD40" w14:textId="77777777" w:rsidR="00C93BEC" w:rsidRPr="00372CB3" w:rsidRDefault="00C93BEC" w:rsidP="00C93BEC">
            <w:pPr>
              <w:jc w:val="center"/>
              <w:rPr>
                <w:bCs/>
                <w:iCs/>
                <w:sz w:val="22"/>
                <w:szCs w:val="22"/>
              </w:rPr>
            </w:pPr>
            <w:r w:rsidRPr="00372CB3">
              <w:rPr>
                <w:bCs/>
                <w:iCs/>
                <w:sz w:val="22"/>
                <w:szCs w:val="22"/>
              </w:rPr>
              <w:t>Natural Conditions</w:t>
            </w:r>
          </w:p>
        </w:tc>
        <w:tc>
          <w:tcPr>
            <w:tcW w:w="628" w:type="dxa"/>
            <w:vAlign w:val="center"/>
          </w:tcPr>
          <w:p w14:paraId="64602932" w14:textId="77777777" w:rsidR="00C93BEC" w:rsidRPr="00421C20" w:rsidRDefault="00C93BEC" w:rsidP="00C93BEC">
            <w:pPr>
              <w:jc w:val="center"/>
              <w:rPr>
                <w:iCs/>
                <w:sz w:val="22"/>
                <w:szCs w:val="22"/>
              </w:rPr>
            </w:pPr>
            <w:r w:rsidRPr="00421C20">
              <w:rPr>
                <w:iCs/>
                <w:sz w:val="22"/>
                <w:szCs w:val="22"/>
              </w:rPr>
              <w:t>1%</w:t>
            </w:r>
          </w:p>
        </w:tc>
        <w:tc>
          <w:tcPr>
            <w:tcW w:w="2643" w:type="dxa"/>
            <w:vAlign w:val="center"/>
          </w:tcPr>
          <w:p w14:paraId="58193ECD" w14:textId="0CFECABF" w:rsidR="00C93BEC" w:rsidRPr="00421C20" w:rsidRDefault="00C93BEC" w:rsidP="00C93BEC">
            <w:pPr>
              <w:jc w:val="center"/>
              <w:rPr>
                <w:b/>
                <w:iCs/>
                <w:sz w:val="22"/>
                <w:szCs w:val="22"/>
              </w:rPr>
            </w:pPr>
            <w:r>
              <w:rPr>
                <w:rFonts w:ascii="Calibri" w:hAnsi="Calibri" w:cs="Calibri"/>
                <w:color w:val="000000"/>
                <w:sz w:val="22"/>
                <w:szCs w:val="22"/>
              </w:rPr>
              <w:t>Atmospheric Deposition - Nitrogen</w:t>
            </w:r>
          </w:p>
        </w:tc>
        <w:tc>
          <w:tcPr>
            <w:tcW w:w="722" w:type="dxa"/>
            <w:vAlign w:val="center"/>
          </w:tcPr>
          <w:p w14:paraId="5B8B1DEE" w14:textId="77777777" w:rsidR="00C93BEC" w:rsidRPr="00421C20" w:rsidRDefault="00C93BEC" w:rsidP="00C93BEC">
            <w:pPr>
              <w:jc w:val="center"/>
              <w:rPr>
                <w:iCs/>
                <w:sz w:val="22"/>
                <w:szCs w:val="22"/>
              </w:rPr>
            </w:pPr>
            <w:r w:rsidRPr="00421C20">
              <w:rPr>
                <w:iCs/>
                <w:sz w:val="22"/>
                <w:szCs w:val="22"/>
              </w:rPr>
              <w:t>100%</w:t>
            </w:r>
          </w:p>
        </w:tc>
      </w:tr>
      <w:tr w:rsidR="00C93BEC" w:rsidRPr="00D730B7" w14:paraId="16F227DC" w14:textId="77777777" w:rsidTr="0038092B">
        <w:trPr>
          <w:cantSplit/>
          <w:trHeight w:val="360"/>
        </w:trPr>
        <w:tc>
          <w:tcPr>
            <w:tcW w:w="2721" w:type="dxa"/>
            <w:vAlign w:val="center"/>
          </w:tcPr>
          <w:p w14:paraId="694EB97C" w14:textId="2272F4A8" w:rsidR="00C93BEC" w:rsidRPr="00421C20" w:rsidRDefault="00C93BEC" w:rsidP="00C93BEC">
            <w:pPr>
              <w:jc w:val="center"/>
              <w:rPr>
                <w:b/>
                <w:iCs/>
                <w:sz w:val="22"/>
                <w:szCs w:val="22"/>
              </w:rPr>
            </w:pPr>
            <w:r>
              <w:rPr>
                <w:rFonts w:ascii="Calibri" w:hAnsi="Calibri" w:cs="Calibri"/>
                <w:color w:val="000000"/>
                <w:sz w:val="22"/>
                <w:szCs w:val="22"/>
              </w:rPr>
              <w:t>Wildlife Other than Waterfowl</w:t>
            </w:r>
          </w:p>
        </w:tc>
        <w:tc>
          <w:tcPr>
            <w:tcW w:w="611" w:type="dxa"/>
            <w:vAlign w:val="center"/>
          </w:tcPr>
          <w:p w14:paraId="0C2EB460" w14:textId="65D10B88" w:rsidR="00C93BEC" w:rsidRPr="00421C20" w:rsidRDefault="00C93BEC" w:rsidP="00C93BEC">
            <w:pPr>
              <w:jc w:val="center"/>
              <w:rPr>
                <w:iCs/>
                <w:sz w:val="22"/>
                <w:szCs w:val="22"/>
              </w:rPr>
            </w:pPr>
            <w:r>
              <w:rPr>
                <w:rFonts w:ascii="Calibri" w:hAnsi="Calibri" w:cs="Calibri"/>
                <w:color w:val="000000"/>
                <w:sz w:val="22"/>
                <w:szCs w:val="22"/>
              </w:rPr>
              <w:t>49%</w:t>
            </w:r>
          </w:p>
        </w:tc>
        <w:tc>
          <w:tcPr>
            <w:tcW w:w="2210" w:type="dxa"/>
            <w:vAlign w:val="center"/>
          </w:tcPr>
          <w:p w14:paraId="76CA87AF" w14:textId="77777777" w:rsidR="00C93BEC" w:rsidRPr="00372CB3" w:rsidRDefault="00C93BEC" w:rsidP="00C93BEC">
            <w:pPr>
              <w:jc w:val="center"/>
              <w:rPr>
                <w:bCs/>
                <w:iCs/>
                <w:sz w:val="22"/>
                <w:szCs w:val="22"/>
              </w:rPr>
            </w:pPr>
            <w:r w:rsidRPr="00372CB3">
              <w:rPr>
                <w:bCs/>
                <w:iCs/>
                <w:sz w:val="22"/>
                <w:szCs w:val="22"/>
              </w:rPr>
              <w:t>Inactive Abandoned Mine Lands</w:t>
            </w:r>
          </w:p>
        </w:tc>
        <w:tc>
          <w:tcPr>
            <w:tcW w:w="628" w:type="dxa"/>
            <w:vAlign w:val="center"/>
          </w:tcPr>
          <w:p w14:paraId="52C44959" w14:textId="77777777" w:rsidR="00C93BEC" w:rsidRPr="00421C20" w:rsidRDefault="00C93BEC" w:rsidP="00C93BEC">
            <w:pPr>
              <w:jc w:val="center"/>
              <w:rPr>
                <w:iCs/>
                <w:sz w:val="22"/>
                <w:szCs w:val="22"/>
              </w:rPr>
            </w:pPr>
            <w:r w:rsidRPr="00421C20">
              <w:rPr>
                <w:iCs/>
                <w:sz w:val="22"/>
                <w:szCs w:val="22"/>
              </w:rPr>
              <w:t>&lt;1%</w:t>
            </w:r>
          </w:p>
        </w:tc>
        <w:tc>
          <w:tcPr>
            <w:tcW w:w="2643" w:type="dxa"/>
            <w:vAlign w:val="center"/>
          </w:tcPr>
          <w:p w14:paraId="4F3EB013" w14:textId="1ED6679E" w:rsidR="00C93BEC" w:rsidRPr="00421C20" w:rsidRDefault="00C93BEC" w:rsidP="00C93BEC">
            <w:pPr>
              <w:jc w:val="center"/>
              <w:rPr>
                <w:b/>
                <w:iCs/>
                <w:sz w:val="22"/>
                <w:szCs w:val="22"/>
              </w:rPr>
            </w:pPr>
            <w:r>
              <w:rPr>
                <w:rFonts w:ascii="Calibri" w:hAnsi="Calibri" w:cs="Calibri"/>
                <w:color w:val="000000"/>
                <w:sz w:val="22"/>
                <w:szCs w:val="22"/>
              </w:rPr>
              <w:t>Industrial Point Source Discharge</w:t>
            </w:r>
          </w:p>
        </w:tc>
        <w:tc>
          <w:tcPr>
            <w:tcW w:w="722" w:type="dxa"/>
            <w:vAlign w:val="center"/>
          </w:tcPr>
          <w:p w14:paraId="32F5B374" w14:textId="77777777" w:rsidR="00C93BEC" w:rsidRPr="00421C20" w:rsidRDefault="00C93BEC" w:rsidP="00C93BEC">
            <w:pPr>
              <w:jc w:val="center"/>
              <w:rPr>
                <w:iCs/>
                <w:sz w:val="22"/>
                <w:szCs w:val="22"/>
              </w:rPr>
            </w:pPr>
            <w:r w:rsidRPr="00421C20">
              <w:rPr>
                <w:iCs/>
                <w:sz w:val="22"/>
                <w:szCs w:val="22"/>
              </w:rPr>
              <w:t>100%</w:t>
            </w:r>
          </w:p>
        </w:tc>
      </w:tr>
      <w:tr w:rsidR="00C93BEC" w:rsidRPr="00D730B7" w14:paraId="0AD09AD6" w14:textId="77777777" w:rsidTr="0038092B">
        <w:trPr>
          <w:cantSplit/>
          <w:trHeight w:val="360"/>
        </w:trPr>
        <w:tc>
          <w:tcPr>
            <w:tcW w:w="2721" w:type="dxa"/>
            <w:vAlign w:val="center"/>
          </w:tcPr>
          <w:p w14:paraId="62EFD7AB" w14:textId="121FEC02" w:rsidR="00C93BEC" w:rsidRPr="00421C20" w:rsidRDefault="00C93BEC" w:rsidP="00C93BEC">
            <w:pPr>
              <w:jc w:val="center"/>
              <w:rPr>
                <w:b/>
                <w:iCs/>
                <w:sz w:val="22"/>
                <w:szCs w:val="22"/>
              </w:rPr>
            </w:pPr>
            <w:r>
              <w:rPr>
                <w:rFonts w:ascii="Calibri" w:hAnsi="Calibri" w:cs="Calibri"/>
                <w:color w:val="000000"/>
                <w:sz w:val="22"/>
                <w:szCs w:val="22"/>
              </w:rPr>
              <w:t>Sewage Discharges in Unsewered Areas</w:t>
            </w:r>
          </w:p>
        </w:tc>
        <w:tc>
          <w:tcPr>
            <w:tcW w:w="611" w:type="dxa"/>
            <w:vAlign w:val="center"/>
          </w:tcPr>
          <w:p w14:paraId="2631B688" w14:textId="630E1352" w:rsidR="00C93BEC" w:rsidRPr="00421C20" w:rsidRDefault="00C93BEC" w:rsidP="00C93BEC">
            <w:pPr>
              <w:jc w:val="center"/>
              <w:rPr>
                <w:iCs/>
                <w:sz w:val="22"/>
                <w:szCs w:val="22"/>
              </w:rPr>
            </w:pPr>
            <w:r>
              <w:rPr>
                <w:rFonts w:ascii="Calibri" w:hAnsi="Calibri" w:cs="Calibri"/>
                <w:color w:val="000000"/>
                <w:sz w:val="22"/>
                <w:szCs w:val="22"/>
              </w:rPr>
              <w:t>49%</w:t>
            </w:r>
          </w:p>
        </w:tc>
        <w:tc>
          <w:tcPr>
            <w:tcW w:w="2210" w:type="dxa"/>
            <w:vAlign w:val="center"/>
          </w:tcPr>
          <w:p w14:paraId="5C34391A" w14:textId="77777777" w:rsidR="00C93BEC" w:rsidRPr="00421C20" w:rsidRDefault="00C93BEC" w:rsidP="00C93BEC">
            <w:pPr>
              <w:jc w:val="center"/>
              <w:rPr>
                <w:b/>
                <w:iCs/>
                <w:sz w:val="22"/>
                <w:szCs w:val="22"/>
              </w:rPr>
            </w:pPr>
            <w:r w:rsidRPr="00421C20">
              <w:rPr>
                <w:b/>
                <w:iCs/>
                <w:sz w:val="22"/>
                <w:szCs w:val="22"/>
              </w:rPr>
              <w:t>--</w:t>
            </w:r>
          </w:p>
        </w:tc>
        <w:tc>
          <w:tcPr>
            <w:tcW w:w="628" w:type="dxa"/>
            <w:vAlign w:val="center"/>
          </w:tcPr>
          <w:p w14:paraId="5A7F6F0A" w14:textId="77777777" w:rsidR="00C93BEC" w:rsidRPr="00421C20" w:rsidRDefault="00C93BEC" w:rsidP="00C93BEC">
            <w:pPr>
              <w:jc w:val="center"/>
              <w:rPr>
                <w:iCs/>
                <w:sz w:val="22"/>
                <w:szCs w:val="22"/>
              </w:rPr>
            </w:pPr>
            <w:r w:rsidRPr="00421C20">
              <w:rPr>
                <w:iCs/>
                <w:sz w:val="22"/>
                <w:szCs w:val="22"/>
              </w:rPr>
              <w:t>--</w:t>
            </w:r>
          </w:p>
        </w:tc>
        <w:tc>
          <w:tcPr>
            <w:tcW w:w="2643" w:type="dxa"/>
            <w:vAlign w:val="center"/>
          </w:tcPr>
          <w:p w14:paraId="65D3AF3E" w14:textId="38D8CD19" w:rsidR="00C93BEC" w:rsidRPr="00421C20" w:rsidRDefault="00C93BEC" w:rsidP="00C93BEC">
            <w:pPr>
              <w:jc w:val="center"/>
              <w:rPr>
                <w:b/>
                <w:iCs/>
                <w:sz w:val="22"/>
                <w:szCs w:val="22"/>
              </w:rPr>
            </w:pPr>
            <w:r>
              <w:rPr>
                <w:rFonts w:ascii="Calibri" w:hAnsi="Calibri" w:cs="Calibri"/>
                <w:color w:val="000000"/>
                <w:sz w:val="22"/>
                <w:szCs w:val="22"/>
              </w:rPr>
              <w:t>Internal Nutrient Recycling</w:t>
            </w:r>
          </w:p>
        </w:tc>
        <w:tc>
          <w:tcPr>
            <w:tcW w:w="722" w:type="dxa"/>
            <w:vAlign w:val="center"/>
          </w:tcPr>
          <w:p w14:paraId="04F6CAD9" w14:textId="77777777" w:rsidR="00C93BEC" w:rsidRPr="00421C20" w:rsidRDefault="00C93BEC" w:rsidP="00C93BEC">
            <w:pPr>
              <w:jc w:val="center"/>
              <w:rPr>
                <w:iCs/>
                <w:sz w:val="22"/>
                <w:szCs w:val="22"/>
              </w:rPr>
            </w:pPr>
            <w:r w:rsidRPr="00421C20">
              <w:rPr>
                <w:iCs/>
                <w:sz w:val="22"/>
                <w:szCs w:val="22"/>
              </w:rPr>
              <w:t>100%</w:t>
            </w:r>
          </w:p>
        </w:tc>
      </w:tr>
      <w:tr w:rsidR="00C93BEC" w:rsidRPr="00D730B7" w14:paraId="5525C547" w14:textId="77777777" w:rsidTr="0038092B">
        <w:trPr>
          <w:cantSplit/>
          <w:trHeight w:val="360"/>
        </w:trPr>
        <w:tc>
          <w:tcPr>
            <w:tcW w:w="2721" w:type="dxa"/>
            <w:vAlign w:val="center"/>
          </w:tcPr>
          <w:p w14:paraId="7FD0B976" w14:textId="3D678512" w:rsidR="00C93BEC" w:rsidRPr="00421C20" w:rsidRDefault="00C93BEC" w:rsidP="00C93BEC">
            <w:pPr>
              <w:jc w:val="center"/>
              <w:rPr>
                <w:b/>
                <w:iCs/>
                <w:sz w:val="22"/>
                <w:szCs w:val="22"/>
              </w:rPr>
            </w:pPr>
            <w:r>
              <w:rPr>
                <w:rFonts w:ascii="Calibri" w:hAnsi="Calibri" w:cs="Calibri"/>
                <w:color w:val="000000"/>
                <w:sz w:val="22"/>
                <w:szCs w:val="22"/>
              </w:rPr>
              <w:t>Wastes from Pets</w:t>
            </w:r>
          </w:p>
        </w:tc>
        <w:tc>
          <w:tcPr>
            <w:tcW w:w="611" w:type="dxa"/>
            <w:vAlign w:val="center"/>
          </w:tcPr>
          <w:p w14:paraId="0567ED24" w14:textId="07BD1AF2" w:rsidR="00C93BEC" w:rsidRPr="00421C20" w:rsidRDefault="00C93BEC" w:rsidP="00C93BEC">
            <w:pPr>
              <w:jc w:val="center"/>
              <w:rPr>
                <w:iCs/>
                <w:sz w:val="22"/>
                <w:szCs w:val="22"/>
              </w:rPr>
            </w:pPr>
            <w:r>
              <w:rPr>
                <w:rFonts w:ascii="Calibri" w:hAnsi="Calibri" w:cs="Calibri"/>
                <w:color w:val="000000"/>
                <w:sz w:val="22"/>
                <w:szCs w:val="22"/>
              </w:rPr>
              <w:t>48%</w:t>
            </w:r>
          </w:p>
        </w:tc>
        <w:tc>
          <w:tcPr>
            <w:tcW w:w="2210" w:type="dxa"/>
            <w:vAlign w:val="center"/>
          </w:tcPr>
          <w:p w14:paraId="7F01288F" w14:textId="77777777" w:rsidR="00C93BEC" w:rsidRPr="00421C20" w:rsidRDefault="00C93BEC" w:rsidP="00C93BEC">
            <w:pPr>
              <w:jc w:val="center"/>
              <w:rPr>
                <w:b/>
                <w:iCs/>
                <w:sz w:val="22"/>
                <w:szCs w:val="22"/>
              </w:rPr>
            </w:pPr>
            <w:r w:rsidRPr="00421C20">
              <w:rPr>
                <w:b/>
                <w:iCs/>
                <w:sz w:val="22"/>
                <w:szCs w:val="22"/>
              </w:rPr>
              <w:t>--</w:t>
            </w:r>
          </w:p>
        </w:tc>
        <w:tc>
          <w:tcPr>
            <w:tcW w:w="628" w:type="dxa"/>
            <w:vAlign w:val="center"/>
          </w:tcPr>
          <w:p w14:paraId="6A7DF5C6" w14:textId="77777777" w:rsidR="00C93BEC" w:rsidRPr="00421C20" w:rsidRDefault="00C93BEC" w:rsidP="00C93BEC">
            <w:pPr>
              <w:jc w:val="center"/>
              <w:rPr>
                <w:iCs/>
                <w:sz w:val="22"/>
                <w:szCs w:val="22"/>
              </w:rPr>
            </w:pPr>
            <w:r w:rsidRPr="00421C20">
              <w:rPr>
                <w:iCs/>
                <w:sz w:val="22"/>
                <w:szCs w:val="22"/>
              </w:rPr>
              <w:t>--</w:t>
            </w:r>
          </w:p>
        </w:tc>
        <w:tc>
          <w:tcPr>
            <w:tcW w:w="2643" w:type="dxa"/>
            <w:vAlign w:val="center"/>
          </w:tcPr>
          <w:p w14:paraId="7D4AA8A2" w14:textId="08F7F7D4" w:rsidR="00C93BEC" w:rsidRPr="00421C20" w:rsidRDefault="00C93BEC" w:rsidP="00C93BEC">
            <w:pPr>
              <w:jc w:val="center"/>
              <w:rPr>
                <w:b/>
                <w:iCs/>
                <w:sz w:val="22"/>
                <w:szCs w:val="22"/>
              </w:rPr>
            </w:pPr>
            <w:r>
              <w:rPr>
                <w:rFonts w:ascii="Calibri" w:hAnsi="Calibri" w:cs="Calibri"/>
                <w:color w:val="000000"/>
                <w:sz w:val="22"/>
                <w:szCs w:val="22"/>
              </w:rPr>
              <w:t>Loss of Riparian Habitat</w:t>
            </w:r>
          </w:p>
        </w:tc>
        <w:tc>
          <w:tcPr>
            <w:tcW w:w="722" w:type="dxa"/>
            <w:vAlign w:val="center"/>
          </w:tcPr>
          <w:p w14:paraId="34344AC9" w14:textId="77777777" w:rsidR="00C93BEC" w:rsidRPr="00421C20" w:rsidRDefault="00C93BEC" w:rsidP="00C93BEC">
            <w:pPr>
              <w:jc w:val="center"/>
              <w:rPr>
                <w:iCs/>
                <w:sz w:val="22"/>
                <w:szCs w:val="22"/>
              </w:rPr>
            </w:pPr>
            <w:r w:rsidRPr="00421C20">
              <w:rPr>
                <w:iCs/>
                <w:sz w:val="22"/>
                <w:szCs w:val="22"/>
              </w:rPr>
              <w:t>100%</w:t>
            </w:r>
          </w:p>
        </w:tc>
      </w:tr>
      <w:tr w:rsidR="00C93BEC" w:rsidRPr="00D730B7" w14:paraId="6CBAC92D" w14:textId="77777777" w:rsidTr="0038092B">
        <w:trPr>
          <w:cantSplit/>
          <w:trHeight w:val="360"/>
        </w:trPr>
        <w:tc>
          <w:tcPr>
            <w:tcW w:w="2721" w:type="dxa"/>
            <w:vAlign w:val="center"/>
          </w:tcPr>
          <w:p w14:paraId="10602781" w14:textId="1D85DDF7" w:rsidR="00C93BEC" w:rsidRPr="00421C20" w:rsidRDefault="00C93BEC" w:rsidP="00C93BEC">
            <w:pPr>
              <w:jc w:val="center"/>
              <w:rPr>
                <w:b/>
                <w:iCs/>
                <w:sz w:val="22"/>
                <w:szCs w:val="22"/>
              </w:rPr>
            </w:pPr>
            <w:r>
              <w:rPr>
                <w:rFonts w:ascii="Calibri" w:hAnsi="Calibri" w:cs="Calibri"/>
                <w:color w:val="000000"/>
                <w:sz w:val="22"/>
                <w:szCs w:val="22"/>
              </w:rPr>
              <w:t>Livestock (Grazing or Feeding Operations)</w:t>
            </w:r>
          </w:p>
        </w:tc>
        <w:tc>
          <w:tcPr>
            <w:tcW w:w="611" w:type="dxa"/>
            <w:vAlign w:val="center"/>
          </w:tcPr>
          <w:p w14:paraId="53D83609" w14:textId="56775048" w:rsidR="00C93BEC" w:rsidRPr="00421C20" w:rsidRDefault="00C93BEC" w:rsidP="00C93BEC">
            <w:pPr>
              <w:jc w:val="center"/>
              <w:rPr>
                <w:iCs/>
                <w:sz w:val="22"/>
                <w:szCs w:val="22"/>
              </w:rPr>
            </w:pPr>
            <w:r>
              <w:rPr>
                <w:rFonts w:ascii="Calibri" w:hAnsi="Calibri" w:cs="Calibri"/>
                <w:color w:val="000000"/>
                <w:sz w:val="22"/>
                <w:szCs w:val="22"/>
              </w:rPr>
              <w:t>47%</w:t>
            </w:r>
          </w:p>
        </w:tc>
        <w:tc>
          <w:tcPr>
            <w:tcW w:w="2210" w:type="dxa"/>
            <w:vAlign w:val="center"/>
          </w:tcPr>
          <w:p w14:paraId="289DDDA0" w14:textId="77777777" w:rsidR="00C93BEC" w:rsidRPr="00421C20" w:rsidRDefault="00C93BEC" w:rsidP="00C93BEC">
            <w:pPr>
              <w:jc w:val="center"/>
              <w:rPr>
                <w:b/>
                <w:iCs/>
                <w:sz w:val="22"/>
                <w:szCs w:val="22"/>
              </w:rPr>
            </w:pPr>
            <w:r w:rsidRPr="00421C20">
              <w:rPr>
                <w:b/>
                <w:iCs/>
                <w:sz w:val="22"/>
                <w:szCs w:val="22"/>
              </w:rPr>
              <w:t>--</w:t>
            </w:r>
          </w:p>
        </w:tc>
        <w:tc>
          <w:tcPr>
            <w:tcW w:w="628" w:type="dxa"/>
            <w:vAlign w:val="center"/>
          </w:tcPr>
          <w:p w14:paraId="4B4BFB3F" w14:textId="77777777" w:rsidR="00C93BEC" w:rsidRPr="00421C20" w:rsidRDefault="00C93BEC" w:rsidP="00C93BEC">
            <w:pPr>
              <w:jc w:val="center"/>
              <w:rPr>
                <w:iCs/>
                <w:sz w:val="22"/>
                <w:szCs w:val="22"/>
              </w:rPr>
            </w:pPr>
            <w:r w:rsidRPr="00421C20">
              <w:rPr>
                <w:iCs/>
                <w:sz w:val="22"/>
                <w:szCs w:val="22"/>
              </w:rPr>
              <w:t>--</w:t>
            </w:r>
          </w:p>
        </w:tc>
        <w:tc>
          <w:tcPr>
            <w:tcW w:w="2643" w:type="dxa"/>
            <w:vAlign w:val="center"/>
          </w:tcPr>
          <w:p w14:paraId="3CF27B99" w14:textId="77CA49F6" w:rsidR="00C93BEC" w:rsidRPr="00421C20" w:rsidRDefault="00C93BEC" w:rsidP="00C93BEC">
            <w:pPr>
              <w:jc w:val="center"/>
              <w:rPr>
                <w:b/>
                <w:iCs/>
                <w:sz w:val="22"/>
                <w:szCs w:val="22"/>
              </w:rPr>
            </w:pPr>
            <w:r>
              <w:rPr>
                <w:rFonts w:ascii="Calibri" w:hAnsi="Calibri" w:cs="Calibri"/>
                <w:color w:val="000000"/>
                <w:sz w:val="22"/>
                <w:szCs w:val="22"/>
              </w:rPr>
              <w:t>Municipal Point Source Discharges</w:t>
            </w:r>
          </w:p>
        </w:tc>
        <w:tc>
          <w:tcPr>
            <w:tcW w:w="722" w:type="dxa"/>
            <w:vAlign w:val="center"/>
          </w:tcPr>
          <w:p w14:paraId="3D7C8302" w14:textId="77777777" w:rsidR="00C93BEC" w:rsidRPr="00421C20" w:rsidRDefault="00C93BEC" w:rsidP="00C93BEC">
            <w:pPr>
              <w:jc w:val="center"/>
              <w:rPr>
                <w:iCs/>
                <w:sz w:val="22"/>
                <w:szCs w:val="22"/>
              </w:rPr>
            </w:pPr>
            <w:r w:rsidRPr="00421C20">
              <w:rPr>
                <w:iCs/>
                <w:sz w:val="22"/>
                <w:szCs w:val="22"/>
              </w:rPr>
              <w:t>100%</w:t>
            </w:r>
          </w:p>
        </w:tc>
      </w:tr>
    </w:tbl>
    <w:p w14:paraId="1B388DDA" w14:textId="77777777" w:rsidR="00546B19" w:rsidRPr="00421C20" w:rsidRDefault="00546B19" w:rsidP="00546B19">
      <w:pPr>
        <w:tabs>
          <w:tab w:val="left" w:pos="720"/>
        </w:tabs>
        <w:jc w:val="both"/>
        <w:rPr>
          <w:iCs/>
          <w:szCs w:val="24"/>
        </w:rPr>
      </w:pPr>
    </w:p>
    <w:p w14:paraId="63A6A6BB" w14:textId="77777777" w:rsidR="00546B19" w:rsidRPr="004816BD" w:rsidRDefault="00546B19" w:rsidP="00077CF7">
      <w:pPr>
        <w:pStyle w:val="Heading3"/>
      </w:pPr>
      <w:r w:rsidRPr="004816BD">
        <w:t>New River Basin</w:t>
      </w:r>
    </w:p>
    <w:p w14:paraId="2C38C2F2" w14:textId="5201A0DB" w:rsidR="00546B19" w:rsidRPr="00D730B7" w:rsidRDefault="00546B19" w:rsidP="00546B19">
      <w:pPr>
        <w:tabs>
          <w:tab w:val="left" w:pos="720"/>
        </w:tabs>
        <w:rPr>
          <w:szCs w:val="24"/>
        </w:rPr>
      </w:pPr>
      <w:r w:rsidRPr="00D730B7">
        <w:rPr>
          <w:szCs w:val="24"/>
        </w:rPr>
        <w:t xml:space="preserve">The New River basin </w:t>
      </w:r>
      <w:proofErr w:type="gramStart"/>
      <w:r w:rsidRPr="00D730B7">
        <w:rPr>
          <w:szCs w:val="24"/>
        </w:rPr>
        <w:t>is located in</w:t>
      </w:r>
      <w:proofErr w:type="gramEnd"/>
      <w:r w:rsidRPr="00D730B7">
        <w:rPr>
          <w:szCs w:val="24"/>
        </w:rPr>
        <w:t xml:space="preserve"> southwest Virginia and covers 3,068 square miles or approximately 7 percent of the </w:t>
      </w:r>
      <w:r w:rsidR="00020140">
        <w:rPr>
          <w:szCs w:val="24"/>
        </w:rPr>
        <w:t>C</w:t>
      </w:r>
      <w:r w:rsidRPr="00D730B7">
        <w:rPr>
          <w:szCs w:val="24"/>
        </w:rPr>
        <w:t>ommonwealth’s total land area. The New River flows from its headwaters in Watauga County, North Carolina in a northeasterly direction to Radford, Virginia, and then in a northwesterly direction to Glen Lyn, where it exits into West Virginia. There it flows to the confluence of the Gauley River forming the Kanawha River, a tributary to the Ohio River.</w:t>
      </w:r>
    </w:p>
    <w:p w14:paraId="189B8AB8" w14:textId="77777777" w:rsidR="00546B19" w:rsidRPr="00D730B7" w:rsidRDefault="00546B19" w:rsidP="00546B19">
      <w:pPr>
        <w:tabs>
          <w:tab w:val="left" w:pos="720"/>
        </w:tabs>
        <w:rPr>
          <w:szCs w:val="24"/>
        </w:rPr>
      </w:pPr>
    </w:p>
    <w:p w14:paraId="22256F4A" w14:textId="6464DB30" w:rsidR="00546B19" w:rsidRPr="00D730B7" w:rsidRDefault="00546B19" w:rsidP="00546B19">
      <w:pPr>
        <w:tabs>
          <w:tab w:val="left" w:pos="720"/>
        </w:tabs>
      </w:pPr>
      <w:r>
        <w:t xml:space="preserve">The New River basin in Virginia is defined by both hydrologic and political boundaries. It is bordered by the James River basin and Roanoke River basin to the east, and the Tennessee and Big Sandy River basin to the west. The southern boundary of the Virginia portion is the North Carolina state </w:t>
      </w:r>
      <w:r w:rsidR="40A2C6F1">
        <w:t>line,</w:t>
      </w:r>
      <w:r>
        <w:t xml:space="preserve"> and its northwest boundary is the West Virginia state line.</w:t>
      </w:r>
    </w:p>
    <w:p w14:paraId="112B3770" w14:textId="77777777" w:rsidR="00546B19" w:rsidRPr="00D730B7" w:rsidRDefault="00546B19" w:rsidP="00546B19">
      <w:pPr>
        <w:tabs>
          <w:tab w:val="left" w:pos="720"/>
        </w:tabs>
        <w:rPr>
          <w:szCs w:val="24"/>
        </w:rPr>
      </w:pPr>
    </w:p>
    <w:p w14:paraId="41FA7717" w14:textId="400F9743" w:rsidR="00546B19" w:rsidRPr="00D730B7" w:rsidRDefault="00546B19" w:rsidP="00546B19">
      <w:pPr>
        <w:tabs>
          <w:tab w:val="left" w:pos="720"/>
        </w:tabs>
        <w:rPr>
          <w:szCs w:val="24"/>
        </w:rPr>
      </w:pPr>
      <w:r w:rsidRPr="00D730B7">
        <w:rPr>
          <w:szCs w:val="24"/>
        </w:rPr>
        <w:t>The New River basin runs 115 miles in length from Blowing Rock, North Carolina to Bluestone Dam near Hinton, West Virginia with a maximum basin width of 70 miles near Rural Retreat, Virginia. The Virginia portion of the New River basin is 87 miles in length.</w:t>
      </w:r>
    </w:p>
    <w:p w14:paraId="40B7780F" w14:textId="77777777" w:rsidR="00546B19" w:rsidRPr="00D730B7" w:rsidRDefault="00546B19" w:rsidP="00546B19">
      <w:pPr>
        <w:tabs>
          <w:tab w:val="left" w:pos="720"/>
        </w:tabs>
        <w:rPr>
          <w:szCs w:val="24"/>
        </w:rPr>
      </w:pPr>
    </w:p>
    <w:p w14:paraId="5985B4F5" w14:textId="312AC8C5" w:rsidR="00546B19" w:rsidRPr="00D730B7" w:rsidRDefault="00546B19" w:rsidP="00546B19">
      <w:pPr>
        <w:tabs>
          <w:tab w:val="left" w:pos="720"/>
        </w:tabs>
        <w:rPr>
          <w:szCs w:val="24"/>
        </w:rPr>
      </w:pPr>
      <w:r w:rsidRPr="00D730B7">
        <w:rPr>
          <w:szCs w:val="24"/>
        </w:rPr>
        <w:t xml:space="preserve">The topography of the New River basin is generally rugged; the upper reaches of its tributaries are extremely steep. High mountains, narrow valleys and steep ravines characterize the basin. There are ten tributaries in the Upper New River </w:t>
      </w:r>
      <w:proofErr w:type="gramStart"/>
      <w:r w:rsidRPr="00D730B7">
        <w:rPr>
          <w:szCs w:val="24"/>
        </w:rPr>
        <w:t>basin</w:t>
      </w:r>
      <w:proofErr w:type="gramEnd"/>
      <w:r w:rsidRPr="00D730B7">
        <w:rPr>
          <w:szCs w:val="24"/>
        </w:rPr>
        <w:t xml:space="preserve"> each having more than 100 square miles in </w:t>
      </w:r>
      <w:proofErr w:type="gramStart"/>
      <w:r w:rsidRPr="00D730B7">
        <w:rPr>
          <w:szCs w:val="24"/>
        </w:rPr>
        <w:t>drainage</w:t>
      </w:r>
      <w:proofErr w:type="gramEnd"/>
      <w:r w:rsidRPr="00D730B7">
        <w:rPr>
          <w:szCs w:val="24"/>
        </w:rPr>
        <w:t xml:space="preserve"> area and many others with forty or more square miles.</w:t>
      </w:r>
    </w:p>
    <w:p w14:paraId="797C0F37" w14:textId="77777777" w:rsidR="00546B19" w:rsidRPr="00D730B7" w:rsidRDefault="00546B19" w:rsidP="00546B19">
      <w:pPr>
        <w:tabs>
          <w:tab w:val="left" w:pos="720"/>
        </w:tabs>
        <w:rPr>
          <w:szCs w:val="24"/>
        </w:rPr>
      </w:pPr>
    </w:p>
    <w:p w14:paraId="2760A69F" w14:textId="384F218F" w:rsidR="00546B19" w:rsidRPr="00D730B7" w:rsidRDefault="00546B19" w:rsidP="00546B19">
      <w:pPr>
        <w:tabs>
          <w:tab w:val="left" w:pos="720"/>
        </w:tabs>
        <w:rPr>
          <w:szCs w:val="24"/>
        </w:rPr>
      </w:pPr>
      <w:r w:rsidRPr="00D730B7">
        <w:rPr>
          <w:szCs w:val="24"/>
        </w:rPr>
        <w:t xml:space="preserve">The New River basin is the least densely populated of the </w:t>
      </w:r>
      <w:r w:rsidR="00020140">
        <w:rPr>
          <w:szCs w:val="24"/>
        </w:rPr>
        <w:t>C</w:t>
      </w:r>
      <w:r w:rsidRPr="00D730B7">
        <w:rPr>
          <w:szCs w:val="24"/>
        </w:rPr>
        <w:t>ommonwealth’s major river basins. The higher elevations of the basin have steep slopes and are thickly forested, while the mount bases are mostly used for agriculture. Approximately 59 percent of its land is forested. Cropland and pasture make up another 35 percent, with approximately 3 percent considered urban.</w:t>
      </w:r>
    </w:p>
    <w:p w14:paraId="41E4DC22" w14:textId="77777777" w:rsidR="00546B19" w:rsidRPr="00D730B7" w:rsidRDefault="00546B19" w:rsidP="00546B19">
      <w:pPr>
        <w:tabs>
          <w:tab w:val="left" w:pos="720"/>
        </w:tabs>
        <w:rPr>
          <w:szCs w:val="24"/>
        </w:rPr>
      </w:pPr>
    </w:p>
    <w:p w14:paraId="03DDCAF0" w14:textId="4A7A7616" w:rsidR="00546B19" w:rsidRPr="00D730B7" w:rsidRDefault="00546B19" w:rsidP="00546B19">
      <w:pPr>
        <w:rPr>
          <w:szCs w:val="24"/>
        </w:rPr>
      </w:pPr>
      <w:r w:rsidRPr="00D730B7">
        <w:rPr>
          <w:szCs w:val="24"/>
        </w:rPr>
        <w:t xml:space="preserve">The 2010 population for the New River basin was approximately </w:t>
      </w:r>
      <w:r w:rsidRPr="00D730B7">
        <w:rPr>
          <w:color w:val="000000"/>
          <w:szCs w:val="24"/>
        </w:rPr>
        <w:t>412,900</w:t>
      </w:r>
      <w:r w:rsidR="00AC5510">
        <w:rPr>
          <w:color w:val="000000"/>
          <w:szCs w:val="24"/>
        </w:rPr>
        <w:t xml:space="preserve"> (VA WIP III)</w:t>
      </w:r>
      <w:r w:rsidRPr="00D730B7">
        <w:rPr>
          <w:szCs w:val="24"/>
        </w:rPr>
        <w:t>. All or portions of the following jurisdictions lie within the basin: Counties - Bland, Carroll, Craig, Floyd, Giles, Grayson, Montgomery, Pulaski, Smyth, Tazewell, Wythe; Cities - Galax and Radford.</w:t>
      </w:r>
    </w:p>
    <w:p w14:paraId="6EBF10B5" w14:textId="77777777" w:rsidR="00546B19" w:rsidRPr="00D730B7" w:rsidRDefault="00546B19" w:rsidP="00546B19">
      <w:pPr>
        <w:tabs>
          <w:tab w:val="left" w:pos="720"/>
        </w:tabs>
        <w:jc w:val="both"/>
        <w:rPr>
          <w:szCs w:val="24"/>
        </w:rPr>
      </w:pPr>
    </w:p>
    <w:p w14:paraId="32F0E072" w14:textId="399B2782" w:rsidR="00546B19" w:rsidRPr="00D730B7" w:rsidRDefault="00546B19" w:rsidP="00546B19">
      <w:pPr>
        <w:pStyle w:val="Header"/>
        <w:tabs>
          <w:tab w:val="left" w:pos="720"/>
        </w:tabs>
        <w:rPr>
          <w:szCs w:val="24"/>
        </w:rPr>
      </w:pPr>
      <w:r w:rsidRPr="00D730B7">
        <w:rPr>
          <w:szCs w:val="24"/>
        </w:rPr>
        <w:t>The New River basin is divided into two USGS hydrologic units as follows: HUC 05050001 – Upper New; and HUC 05050002 – Middle New. The two hydrologic units are further divided into 38 waterbodies or watersheds and 90 6</w:t>
      </w:r>
      <w:r w:rsidRPr="00D730B7">
        <w:rPr>
          <w:szCs w:val="24"/>
          <w:vertAlign w:val="superscript"/>
        </w:rPr>
        <w:t>th</w:t>
      </w:r>
      <w:r w:rsidRPr="00D730B7">
        <w:rPr>
          <w:szCs w:val="24"/>
        </w:rPr>
        <w:t xml:space="preserve"> order watersheds.</w:t>
      </w:r>
    </w:p>
    <w:p w14:paraId="5DDF5672" w14:textId="77777777" w:rsidR="00546B19" w:rsidRPr="00D730B7" w:rsidRDefault="00546B19" w:rsidP="00546B19">
      <w:pPr>
        <w:pStyle w:val="Header"/>
        <w:tabs>
          <w:tab w:val="left" w:pos="720"/>
        </w:tabs>
        <w:rPr>
          <w:szCs w:val="24"/>
        </w:rPr>
      </w:pPr>
    </w:p>
    <w:p w14:paraId="5C0435DE" w14:textId="77777777" w:rsidR="00546B19" w:rsidRPr="00D730B7" w:rsidRDefault="00546B19" w:rsidP="00546B19">
      <w:pPr>
        <w:pStyle w:val="Header"/>
        <w:tabs>
          <w:tab w:val="left" w:pos="720"/>
        </w:tabs>
        <w:rPr>
          <w:szCs w:val="24"/>
        </w:rPr>
      </w:pPr>
      <w:r w:rsidRPr="00D730B7">
        <w:rPr>
          <w:szCs w:val="24"/>
        </w:rPr>
        <w:t>Basin assessment information is presented in the following figures and tables.</w:t>
      </w:r>
    </w:p>
    <w:p w14:paraId="2893796A" w14:textId="77777777" w:rsidR="00546B19" w:rsidRPr="00D730B7" w:rsidRDefault="00546B19" w:rsidP="00546B19">
      <w:pPr>
        <w:pStyle w:val="Header"/>
        <w:tabs>
          <w:tab w:val="left" w:pos="720"/>
        </w:tabs>
        <w:jc w:val="both"/>
        <w:rPr>
          <w:szCs w:val="24"/>
        </w:rPr>
      </w:pPr>
    </w:p>
    <w:p w14:paraId="174720D1" w14:textId="77777777" w:rsidR="008F20E4" w:rsidRPr="00D730B7" w:rsidRDefault="008F20E4" w:rsidP="008F20E4">
      <w:pPr>
        <w:jc w:val="both"/>
        <w:rPr>
          <w:b/>
          <w:szCs w:val="24"/>
        </w:rPr>
      </w:pPr>
      <w:r>
        <w:rPr>
          <w:b/>
          <w:szCs w:val="24"/>
        </w:rPr>
        <w:t>Total basin water body sizes, note all values rounded to the nearest whole number.</w:t>
      </w:r>
    </w:p>
    <w:p w14:paraId="6793A46B" w14:textId="77777777" w:rsidR="00546B19" w:rsidRPr="00D730B7" w:rsidRDefault="00546B19" w:rsidP="00546B19">
      <w:pPr>
        <w:ind w:firstLine="720"/>
        <w:jc w:val="both"/>
        <w:rPr>
          <w:szCs w:val="24"/>
        </w:rPr>
      </w:pPr>
      <w:r w:rsidRPr="00D730B7">
        <w:rPr>
          <w:szCs w:val="24"/>
        </w:rPr>
        <w:t>Rivers - 7,7</w:t>
      </w:r>
      <w:r>
        <w:rPr>
          <w:szCs w:val="24"/>
        </w:rPr>
        <w:t>50</w:t>
      </w:r>
      <w:r w:rsidRPr="00D730B7">
        <w:rPr>
          <w:szCs w:val="24"/>
        </w:rPr>
        <w:t xml:space="preserve"> miles</w:t>
      </w:r>
    </w:p>
    <w:p w14:paraId="2617955C" w14:textId="77777777" w:rsidR="00546B19" w:rsidRPr="00D730B7" w:rsidRDefault="00546B19" w:rsidP="00546B19">
      <w:pPr>
        <w:ind w:firstLine="720"/>
        <w:jc w:val="both"/>
        <w:rPr>
          <w:szCs w:val="24"/>
        </w:rPr>
      </w:pPr>
      <w:r w:rsidRPr="00D730B7">
        <w:rPr>
          <w:szCs w:val="24"/>
        </w:rPr>
        <w:t>Lakes - 4,661 acres</w:t>
      </w:r>
    </w:p>
    <w:p w14:paraId="71C9A0E4" w14:textId="77777777" w:rsidR="00546B19" w:rsidRPr="005A2875" w:rsidRDefault="00546B19" w:rsidP="00546B19">
      <w:pPr>
        <w:ind w:firstLine="720"/>
        <w:jc w:val="both"/>
        <w:rPr>
          <w:szCs w:val="24"/>
        </w:rPr>
      </w:pPr>
      <w:r w:rsidRPr="00D730B7">
        <w:rPr>
          <w:szCs w:val="24"/>
        </w:rPr>
        <w:t>Estuaries - 0 sq. miles</w:t>
      </w:r>
    </w:p>
    <w:p w14:paraId="0E4EE03D" w14:textId="4F2DA32D" w:rsidR="00546B19" w:rsidRDefault="00546B19" w:rsidP="00546B19">
      <w:pPr>
        <w:rPr>
          <w:b/>
          <w:szCs w:val="24"/>
        </w:rPr>
      </w:pPr>
    </w:p>
    <w:p w14:paraId="59531210" w14:textId="60522AD3" w:rsidR="00B04914" w:rsidRDefault="00B223CF" w:rsidP="00B04914">
      <w:pPr>
        <w:keepNext/>
        <w:jc w:val="both"/>
      </w:pPr>
      <w:r>
        <w:rPr>
          <w:noProof/>
        </w:rPr>
        <w:drawing>
          <wp:inline distT="0" distB="0" distL="0" distR="0" wp14:anchorId="4B41D850" wp14:editId="00B9D681">
            <wp:extent cx="5334000" cy="3810000"/>
            <wp:effectExtent l="0" t="0" r="0" b="0"/>
            <wp:docPr id="194" name="Picture" descr="Figure 4.3 29. Designated use summary for rivers in the New River basin (6,534 miles not assessed). "/>
            <wp:cNvGraphicFramePr/>
            <a:graphic xmlns:a="http://schemas.openxmlformats.org/drawingml/2006/main">
              <a:graphicData uri="http://schemas.openxmlformats.org/drawingml/2006/picture">
                <pic:pic xmlns:pic="http://schemas.openxmlformats.org/drawingml/2006/picture">
                  <pic:nvPicPr>
                    <pic:cNvPr id="194" name="Picture" descr="Figure 4.3 29. Designated use summary for rivers in the New River basin (6,534 miles not assessed). "/>
                    <pic:cNvPicPr>
                      <a:picLocks noChangeAspect="1" noChangeArrowheads="1"/>
                    </pic:cNvPicPr>
                  </pic:nvPicPr>
                  <pic:blipFill>
                    <a:blip r:embed="rId172"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7EE61E4E" w14:textId="1467109E" w:rsidR="00D04429" w:rsidRPr="0062574F" w:rsidRDefault="00B04914" w:rsidP="0A5BE548">
      <w:pPr>
        <w:pStyle w:val="Caption"/>
        <w:jc w:val="both"/>
        <w:rPr>
          <w:b/>
          <w:bCs/>
        </w:rPr>
      </w:pPr>
      <w:bookmarkStart w:id="174" w:name="_Toc164175085"/>
      <w:bookmarkStart w:id="175" w:name="_Toc152766260"/>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29</w:t>
      </w:r>
      <w:r w:rsidR="004F13BA">
        <w:rPr>
          <w:noProof/>
        </w:rPr>
        <w:fldChar w:fldCharType="end"/>
      </w:r>
      <w:r>
        <w:t>.</w:t>
      </w:r>
      <w:r w:rsidR="00FF199A" w:rsidRPr="00FF199A">
        <w:rPr>
          <w:szCs w:val="24"/>
        </w:rPr>
        <w:t xml:space="preserve"> </w:t>
      </w:r>
      <w:r w:rsidR="008F1C1A" w:rsidRPr="0A5BE548">
        <w:t xml:space="preserve">Designated use summary for rivers in </w:t>
      </w:r>
      <w:r w:rsidR="006F0A01" w:rsidRPr="0A5BE548">
        <w:t xml:space="preserve">the </w:t>
      </w:r>
      <w:r w:rsidR="00FF199A" w:rsidRPr="0A5BE548">
        <w:t>New River</w:t>
      </w:r>
      <w:r w:rsidR="4E78927F" w:rsidRPr="0A5BE548">
        <w:t xml:space="preserve"> </w:t>
      </w:r>
      <w:bookmarkEnd w:id="174"/>
      <w:r w:rsidR="00FF199A">
        <w:t>basin</w:t>
      </w:r>
      <w:r w:rsidR="00634A6B">
        <w:t xml:space="preserve"> (</w:t>
      </w:r>
      <w:r w:rsidR="008C0DB8">
        <w:t>6,534 miles not assessed</w:t>
      </w:r>
      <w:r w:rsidR="00634A6B">
        <w:t>)</w:t>
      </w:r>
      <w:r w:rsidR="00FF199A">
        <w:t xml:space="preserve">. </w:t>
      </w:r>
      <w:bookmarkEnd w:id="175"/>
    </w:p>
    <w:p w14:paraId="5D2586BA" w14:textId="7334B7DD" w:rsidR="00546B19" w:rsidRDefault="00546B19" w:rsidP="00546B19">
      <w:pPr>
        <w:rPr>
          <w:szCs w:val="24"/>
        </w:rPr>
      </w:pPr>
    </w:p>
    <w:p w14:paraId="1B3F6D5F" w14:textId="15D30960" w:rsidR="00FF199A" w:rsidRDefault="00EF49FF" w:rsidP="00FF199A">
      <w:pPr>
        <w:keepNext/>
        <w:jc w:val="both"/>
      </w:pPr>
      <w:r>
        <w:rPr>
          <w:noProof/>
        </w:rPr>
        <w:lastRenderedPageBreak/>
        <w:drawing>
          <wp:inline distT="0" distB="0" distL="0" distR="0" wp14:anchorId="5C1B51FC" wp14:editId="49263430">
            <wp:extent cx="5334000" cy="3810000"/>
            <wp:effectExtent l="0" t="0" r="0" b="0"/>
            <wp:docPr id="200" name="Picture" descr="Chart, bar chart&#10;&#10;Figure 4.3 30. Designated use summary for lakes in the New River basin (34 acres not assessed)."/>
            <wp:cNvGraphicFramePr/>
            <a:graphic xmlns:a="http://schemas.openxmlformats.org/drawingml/2006/main">
              <a:graphicData uri="http://schemas.openxmlformats.org/drawingml/2006/picture">
                <pic:pic xmlns:pic="http://schemas.openxmlformats.org/drawingml/2006/picture">
                  <pic:nvPicPr>
                    <pic:cNvPr id="200" name="Picture" descr="Chart, bar chart&#10;&#10;Figure 4.3 30. Designated use summary for lakes in the New River basin (34 acres not assessed)."/>
                    <pic:cNvPicPr>
                      <a:picLocks noChangeAspect="1" noChangeArrowheads="1"/>
                    </pic:cNvPicPr>
                  </pic:nvPicPr>
                  <pic:blipFill>
                    <a:blip r:embed="rId173" cstate="screen">
                      <a:extLst>
                        <a:ext uri="{28A0092B-C50C-407E-A947-70E740481C1C}">
                          <a14:useLocalDpi xmlns:a14="http://schemas.microsoft.com/office/drawing/2010/main"/>
                        </a:ext>
                      </a:extLst>
                    </a:blip>
                    <a:stretch>
                      <a:fillRect/>
                    </a:stretch>
                  </pic:blipFill>
                  <pic:spPr bwMode="auto">
                    <a:xfrm>
                      <a:off x="0" y="0"/>
                      <a:ext cx="5334000" cy="3810000"/>
                    </a:xfrm>
                    <a:prstGeom prst="rect">
                      <a:avLst/>
                    </a:prstGeom>
                    <a:noFill/>
                    <a:ln w="9525">
                      <a:noFill/>
                      <a:headEnd/>
                      <a:tailEnd/>
                    </a:ln>
                  </pic:spPr>
                </pic:pic>
              </a:graphicData>
            </a:graphic>
          </wp:inline>
        </w:drawing>
      </w:r>
    </w:p>
    <w:p w14:paraId="57685A4B" w14:textId="0ADE757F" w:rsidR="00D04429" w:rsidRPr="0062574F" w:rsidRDefault="00FF199A" w:rsidP="0A5BE548">
      <w:pPr>
        <w:pStyle w:val="Caption"/>
        <w:jc w:val="both"/>
        <w:rPr>
          <w:b/>
          <w:bCs/>
        </w:rPr>
      </w:pPr>
      <w:bookmarkStart w:id="176" w:name="_Toc164175086"/>
      <w:bookmarkStart w:id="177" w:name="_Toc152766261"/>
      <w:r>
        <w:t xml:space="preserve">Figure </w:t>
      </w:r>
      <w:r w:rsidR="004F13BA">
        <w:fldChar w:fldCharType="begin"/>
      </w:r>
      <w:r w:rsidR="004F13BA">
        <w:instrText xml:space="preserve"> STYLEREF 2 \s </w:instrText>
      </w:r>
      <w:r w:rsidR="004F13BA">
        <w:fldChar w:fldCharType="separate"/>
      </w:r>
      <w:r w:rsidR="00E429BB">
        <w:rPr>
          <w:noProof/>
        </w:rPr>
        <w:t>4.3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30</w:t>
      </w:r>
      <w:r w:rsidR="004F13BA">
        <w:rPr>
          <w:noProof/>
        </w:rPr>
        <w:fldChar w:fldCharType="end"/>
      </w:r>
      <w:r>
        <w:t xml:space="preserve">. </w:t>
      </w:r>
      <w:r w:rsidR="006F0A01">
        <w:t xml:space="preserve">Designated use summary for lakes in the </w:t>
      </w:r>
      <w:r w:rsidRPr="0A5BE548">
        <w:t>New River</w:t>
      </w:r>
      <w:r w:rsidR="592C77FD" w:rsidRPr="0A5BE548">
        <w:t xml:space="preserve"> </w:t>
      </w:r>
      <w:bookmarkEnd w:id="176"/>
      <w:r>
        <w:t>basin</w:t>
      </w:r>
      <w:r w:rsidR="008C0DB8">
        <w:t xml:space="preserve"> (</w:t>
      </w:r>
      <w:r w:rsidR="00337443">
        <w:t>34 acres not assessed</w:t>
      </w:r>
      <w:r w:rsidR="008C0DB8">
        <w:t>)</w:t>
      </w:r>
      <w:r>
        <w:t>.</w:t>
      </w:r>
      <w:bookmarkEnd w:id="177"/>
    </w:p>
    <w:p w14:paraId="5B443881" w14:textId="77777777" w:rsidR="00546B19" w:rsidRDefault="00546B19" w:rsidP="00546B19">
      <w:pPr>
        <w:rPr>
          <w:b/>
          <w:szCs w:val="24"/>
        </w:rPr>
      </w:pPr>
    </w:p>
    <w:p w14:paraId="16F9817D" w14:textId="58133757" w:rsidR="00D04429" w:rsidRPr="0062574F" w:rsidRDefault="00FF199A" w:rsidP="00D04429">
      <w:pPr>
        <w:pStyle w:val="Caption"/>
        <w:jc w:val="both"/>
      </w:pPr>
      <w:bookmarkStart w:id="178" w:name="_Toc164175181"/>
      <w:r>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17</w:t>
      </w:r>
      <w:r w:rsidR="004F13BA">
        <w:rPr>
          <w:noProof/>
        </w:rPr>
        <w:fldChar w:fldCharType="end"/>
      </w:r>
      <w:r>
        <w:t xml:space="preserve">. </w:t>
      </w:r>
      <w:r w:rsidRPr="0A5BE548">
        <w:t>Significant causes of designated use impairment in the New River</w:t>
      </w:r>
      <w:r w:rsidR="331FE6D3" w:rsidRPr="0A5BE548">
        <w:t xml:space="preserve"> </w:t>
      </w:r>
      <w:bookmarkEnd w:id="178"/>
      <w:r>
        <w:t>basin, by waterbody type, ranked by percentage of impaired water size. (Note: Waters can have multiple pollutants.)</w:t>
      </w:r>
    </w:p>
    <w:tbl>
      <w:tblPr>
        <w:tblStyle w:val="TableGrid"/>
        <w:tblW w:w="9734" w:type="dxa"/>
        <w:tblLayout w:type="fixed"/>
        <w:tblCellMar>
          <w:left w:w="115" w:type="dxa"/>
          <w:right w:w="115" w:type="dxa"/>
        </w:tblCellMar>
        <w:tblLook w:val="04A0" w:firstRow="1" w:lastRow="0" w:firstColumn="1" w:lastColumn="0" w:noHBand="0" w:noVBand="1"/>
        <w:tblCaption w:val="Table of New River Basin Significant Causes of Designated Use Impairment"/>
        <w:tblDescription w:val="New River Basin significant causes of Designated Use impairment for rivers and lakes ranked by percent of impaired water size"/>
      </w:tblPr>
      <w:tblGrid>
        <w:gridCol w:w="3969"/>
        <w:gridCol w:w="898"/>
        <w:gridCol w:w="4022"/>
        <w:gridCol w:w="845"/>
      </w:tblGrid>
      <w:tr w:rsidR="00546B19" w:rsidRPr="00D730B7" w14:paraId="188E95F4" w14:textId="77777777" w:rsidTr="00DA2813">
        <w:trPr>
          <w:cantSplit/>
          <w:trHeight w:val="360"/>
          <w:tblHeader/>
        </w:trPr>
        <w:tc>
          <w:tcPr>
            <w:tcW w:w="4629" w:type="dxa"/>
            <w:gridSpan w:val="2"/>
            <w:vAlign w:val="center"/>
          </w:tcPr>
          <w:p w14:paraId="63388580" w14:textId="77777777" w:rsidR="00546B19" w:rsidRPr="00ED1C8F" w:rsidRDefault="00546B19" w:rsidP="00087337">
            <w:pPr>
              <w:jc w:val="center"/>
              <w:rPr>
                <w:b/>
                <w:iCs/>
                <w:sz w:val="22"/>
                <w:szCs w:val="22"/>
              </w:rPr>
            </w:pPr>
            <w:r w:rsidRPr="00ED1C8F">
              <w:rPr>
                <w:b/>
                <w:iCs/>
                <w:sz w:val="22"/>
                <w:szCs w:val="22"/>
              </w:rPr>
              <w:t>Rivers</w:t>
            </w:r>
          </w:p>
        </w:tc>
        <w:tc>
          <w:tcPr>
            <w:tcW w:w="4630" w:type="dxa"/>
            <w:gridSpan w:val="2"/>
            <w:vAlign w:val="center"/>
          </w:tcPr>
          <w:p w14:paraId="0A667B23" w14:textId="77777777" w:rsidR="00546B19" w:rsidRPr="00ED1C8F" w:rsidRDefault="00546B19" w:rsidP="00087337">
            <w:pPr>
              <w:jc w:val="center"/>
              <w:rPr>
                <w:b/>
                <w:iCs/>
                <w:sz w:val="22"/>
                <w:szCs w:val="22"/>
              </w:rPr>
            </w:pPr>
            <w:r w:rsidRPr="00ED1C8F">
              <w:rPr>
                <w:b/>
                <w:iCs/>
                <w:sz w:val="22"/>
                <w:szCs w:val="22"/>
              </w:rPr>
              <w:t>Lakes</w:t>
            </w:r>
          </w:p>
        </w:tc>
      </w:tr>
      <w:tr w:rsidR="00087337" w:rsidRPr="00D730B7" w14:paraId="6C29F779" w14:textId="77777777" w:rsidTr="00DA2813">
        <w:trPr>
          <w:cantSplit/>
          <w:trHeight w:val="360"/>
        </w:trPr>
        <w:tc>
          <w:tcPr>
            <w:tcW w:w="3775" w:type="dxa"/>
            <w:vAlign w:val="center"/>
          </w:tcPr>
          <w:p w14:paraId="311B79DF" w14:textId="6932F544" w:rsidR="00087337" w:rsidRPr="00ED1C8F" w:rsidRDefault="00087337" w:rsidP="00087337">
            <w:pPr>
              <w:jc w:val="center"/>
              <w:rPr>
                <w:b/>
                <w:iCs/>
                <w:sz w:val="22"/>
                <w:szCs w:val="22"/>
              </w:rPr>
            </w:pPr>
            <w:r>
              <w:rPr>
                <w:rFonts w:ascii="Calibri" w:hAnsi="Calibri" w:cs="Calibri"/>
                <w:color w:val="000000"/>
                <w:sz w:val="22"/>
                <w:szCs w:val="22"/>
              </w:rPr>
              <w:t>Bacteria</w:t>
            </w:r>
          </w:p>
        </w:tc>
        <w:tc>
          <w:tcPr>
            <w:tcW w:w="854" w:type="dxa"/>
            <w:vAlign w:val="center"/>
          </w:tcPr>
          <w:p w14:paraId="061F3DC0" w14:textId="30DFAC08" w:rsidR="00087337" w:rsidRPr="00ED1C8F" w:rsidRDefault="00087337" w:rsidP="00087337">
            <w:pPr>
              <w:jc w:val="center"/>
              <w:rPr>
                <w:iCs/>
                <w:sz w:val="22"/>
                <w:szCs w:val="22"/>
              </w:rPr>
            </w:pPr>
            <w:r>
              <w:rPr>
                <w:rFonts w:ascii="Calibri" w:hAnsi="Calibri" w:cs="Calibri"/>
                <w:color w:val="000000"/>
                <w:sz w:val="22"/>
                <w:szCs w:val="22"/>
              </w:rPr>
              <w:t>88%</w:t>
            </w:r>
          </w:p>
        </w:tc>
        <w:tc>
          <w:tcPr>
            <w:tcW w:w="3826" w:type="dxa"/>
            <w:vAlign w:val="center"/>
          </w:tcPr>
          <w:p w14:paraId="7790AB24" w14:textId="2E440448" w:rsidR="00087337" w:rsidRPr="00ED1C8F" w:rsidRDefault="00087337" w:rsidP="00087337">
            <w:pPr>
              <w:jc w:val="center"/>
              <w:rPr>
                <w:b/>
                <w:iCs/>
                <w:sz w:val="22"/>
                <w:szCs w:val="22"/>
              </w:rPr>
            </w:pPr>
            <w:r>
              <w:rPr>
                <w:rFonts w:ascii="Calibri" w:hAnsi="Calibri" w:cs="Calibri"/>
                <w:color w:val="000000"/>
                <w:sz w:val="22"/>
                <w:szCs w:val="22"/>
              </w:rPr>
              <w:t>PCBs in Fish Tissue</w:t>
            </w:r>
          </w:p>
        </w:tc>
        <w:tc>
          <w:tcPr>
            <w:tcW w:w="804" w:type="dxa"/>
            <w:vAlign w:val="center"/>
          </w:tcPr>
          <w:p w14:paraId="04026D5B" w14:textId="3D244EBA" w:rsidR="00087337" w:rsidRPr="00ED1C8F" w:rsidRDefault="00087337" w:rsidP="00087337">
            <w:pPr>
              <w:jc w:val="center"/>
              <w:rPr>
                <w:iCs/>
                <w:sz w:val="22"/>
                <w:szCs w:val="22"/>
              </w:rPr>
            </w:pPr>
            <w:r>
              <w:rPr>
                <w:rFonts w:ascii="Calibri" w:hAnsi="Calibri" w:cs="Calibri"/>
                <w:color w:val="000000"/>
                <w:sz w:val="22"/>
                <w:szCs w:val="22"/>
              </w:rPr>
              <w:t>99%</w:t>
            </w:r>
          </w:p>
        </w:tc>
      </w:tr>
      <w:tr w:rsidR="00087337" w:rsidRPr="00D730B7" w14:paraId="5E8D06FE" w14:textId="77777777" w:rsidTr="00DA2813">
        <w:trPr>
          <w:cantSplit/>
          <w:trHeight w:val="360"/>
        </w:trPr>
        <w:tc>
          <w:tcPr>
            <w:tcW w:w="3775" w:type="dxa"/>
            <w:vAlign w:val="center"/>
          </w:tcPr>
          <w:p w14:paraId="2107DEBC" w14:textId="24177229" w:rsidR="00087337" w:rsidRPr="00ED1C8F" w:rsidRDefault="00087337" w:rsidP="00087337">
            <w:pPr>
              <w:jc w:val="center"/>
              <w:rPr>
                <w:b/>
                <w:iCs/>
                <w:sz w:val="22"/>
                <w:szCs w:val="22"/>
              </w:rPr>
            </w:pPr>
            <w:r>
              <w:rPr>
                <w:rFonts w:ascii="Calibri" w:hAnsi="Calibri" w:cs="Calibri"/>
                <w:color w:val="000000"/>
                <w:sz w:val="22"/>
                <w:szCs w:val="22"/>
              </w:rPr>
              <w:t>Impaired Benthics</w:t>
            </w:r>
          </w:p>
        </w:tc>
        <w:tc>
          <w:tcPr>
            <w:tcW w:w="854" w:type="dxa"/>
            <w:vAlign w:val="center"/>
          </w:tcPr>
          <w:p w14:paraId="45F89CDA" w14:textId="5B359297" w:rsidR="00087337" w:rsidRPr="00ED1C8F" w:rsidRDefault="00087337" w:rsidP="00087337">
            <w:pPr>
              <w:jc w:val="center"/>
              <w:rPr>
                <w:iCs/>
                <w:sz w:val="22"/>
                <w:szCs w:val="22"/>
              </w:rPr>
            </w:pPr>
            <w:r>
              <w:rPr>
                <w:rFonts w:ascii="Calibri" w:hAnsi="Calibri" w:cs="Calibri"/>
                <w:color w:val="000000"/>
                <w:sz w:val="22"/>
                <w:szCs w:val="22"/>
              </w:rPr>
              <w:t>17%</w:t>
            </w:r>
          </w:p>
        </w:tc>
        <w:tc>
          <w:tcPr>
            <w:tcW w:w="3826" w:type="dxa"/>
            <w:vAlign w:val="center"/>
          </w:tcPr>
          <w:p w14:paraId="6DA626C4" w14:textId="7820484B" w:rsidR="00087337" w:rsidRPr="00ED1C8F" w:rsidRDefault="00087337" w:rsidP="00087337">
            <w:pPr>
              <w:jc w:val="center"/>
              <w:rPr>
                <w:b/>
                <w:iCs/>
                <w:sz w:val="22"/>
                <w:szCs w:val="22"/>
              </w:rPr>
            </w:pPr>
            <w:r>
              <w:rPr>
                <w:rFonts w:ascii="Calibri" w:hAnsi="Calibri" w:cs="Calibri"/>
                <w:color w:val="000000"/>
                <w:sz w:val="22"/>
                <w:szCs w:val="22"/>
              </w:rPr>
              <w:t>Dissolved Oxygen</w:t>
            </w:r>
          </w:p>
        </w:tc>
        <w:tc>
          <w:tcPr>
            <w:tcW w:w="804" w:type="dxa"/>
            <w:vAlign w:val="center"/>
          </w:tcPr>
          <w:p w14:paraId="1A2A29A9" w14:textId="05B43DFA" w:rsidR="00087337" w:rsidRPr="00ED1C8F" w:rsidRDefault="00087337" w:rsidP="00087337">
            <w:pPr>
              <w:jc w:val="center"/>
              <w:rPr>
                <w:iCs/>
                <w:sz w:val="22"/>
                <w:szCs w:val="22"/>
              </w:rPr>
            </w:pPr>
            <w:r>
              <w:rPr>
                <w:rFonts w:ascii="Calibri" w:hAnsi="Calibri" w:cs="Calibri"/>
                <w:color w:val="000000"/>
                <w:sz w:val="22"/>
                <w:szCs w:val="22"/>
              </w:rPr>
              <w:t>53%</w:t>
            </w:r>
          </w:p>
        </w:tc>
      </w:tr>
      <w:tr w:rsidR="00087337" w:rsidRPr="00D730B7" w14:paraId="3436B296" w14:textId="77777777" w:rsidTr="00DA2813">
        <w:trPr>
          <w:cantSplit/>
          <w:trHeight w:val="360"/>
        </w:trPr>
        <w:tc>
          <w:tcPr>
            <w:tcW w:w="3775" w:type="dxa"/>
            <w:vAlign w:val="center"/>
          </w:tcPr>
          <w:p w14:paraId="63522CDE" w14:textId="475D86F0" w:rsidR="00087337" w:rsidRPr="00ED1C8F" w:rsidRDefault="00087337" w:rsidP="00087337">
            <w:pPr>
              <w:jc w:val="center"/>
              <w:rPr>
                <w:b/>
                <w:iCs/>
                <w:sz w:val="22"/>
                <w:szCs w:val="22"/>
              </w:rPr>
            </w:pPr>
            <w:r>
              <w:rPr>
                <w:rFonts w:ascii="Calibri" w:hAnsi="Calibri" w:cs="Calibri"/>
                <w:color w:val="000000"/>
                <w:sz w:val="22"/>
                <w:szCs w:val="22"/>
              </w:rPr>
              <w:t>Temperature</w:t>
            </w:r>
          </w:p>
        </w:tc>
        <w:tc>
          <w:tcPr>
            <w:tcW w:w="854" w:type="dxa"/>
            <w:vAlign w:val="center"/>
          </w:tcPr>
          <w:p w14:paraId="62901E62" w14:textId="568CC978" w:rsidR="00087337" w:rsidRPr="00ED1C8F" w:rsidRDefault="00087337" w:rsidP="00087337">
            <w:pPr>
              <w:jc w:val="center"/>
              <w:rPr>
                <w:iCs/>
                <w:sz w:val="22"/>
                <w:szCs w:val="22"/>
              </w:rPr>
            </w:pPr>
            <w:r>
              <w:rPr>
                <w:rFonts w:ascii="Calibri" w:hAnsi="Calibri" w:cs="Calibri"/>
                <w:color w:val="000000"/>
                <w:sz w:val="22"/>
                <w:szCs w:val="22"/>
              </w:rPr>
              <w:t>16%</w:t>
            </w:r>
          </w:p>
        </w:tc>
        <w:tc>
          <w:tcPr>
            <w:tcW w:w="3826" w:type="dxa"/>
            <w:vAlign w:val="center"/>
          </w:tcPr>
          <w:p w14:paraId="4DEA785B" w14:textId="68D16897" w:rsidR="00087337" w:rsidRPr="00ED1C8F" w:rsidRDefault="00087337" w:rsidP="00087337">
            <w:pPr>
              <w:jc w:val="center"/>
              <w:rPr>
                <w:b/>
                <w:iCs/>
                <w:strike/>
                <w:sz w:val="22"/>
                <w:szCs w:val="22"/>
              </w:rPr>
            </w:pPr>
            <w:r>
              <w:rPr>
                <w:rFonts w:ascii="Calibri" w:hAnsi="Calibri" w:cs="Calibri"/>
                <w:color w:val="000000"/>
                <w:sz w:val="22"/>
                <w:szCs w:val="22"/>
              </w:rPr>
              <w:t>Bacteria</w:t>
            </w:r>
          </w:p>
        </w:tc>
        <w:tc>
          <w:tcPr>
            <w:tcW w:w="804" w:type="dxa"/>
            <w:vAlign w:val="center"/>
          </w:tcPr>
          <w:p w14:paraId="37182455" w14:textId="7AF2751C" w:rsidR="00087337" w:rsidRPr="00ED1C8F" w:rsidRDefault="00087337" w:rsidP="00087337">
            <w:pPr>
              <w:jc w:val="center"/>
              <w:rPr>
                <w:iCs/>
                <w:sz w:val="22"/>
                <w:szCs w:val="22"/>
              </w:rPr>
            </w:pPr>
            <w:r>
              <w:rPr>
                <w:rFonts w:ascii="Calibri" w:hAnsi="Calibri" w:cs="Calibri"/>
                <w:color w:val="000000"/>
                <w:sz w:val="22"/>
                <w:szCs w:val="22"/>
              </w:rPr>
              <w:t>46%</w:t>
            </w:r>
          </w:p>
        </w:tc>
      </w:tr>
      <w:tr w:rsidR="00087337" w:rsidRPr="00D730B7" w14:paraId="4C589286" w14:textId="77777777" w:rsidTr="00DA2813">
        <w:trPr>
          <w:cantSplit/>
          <w:trHeight w:val="360"/>
        </w:trPr>
        <w:tc>
          <w:tcPr>
            <w:tcW w:w="3775" w:type="dxa"/>
            <w:vAlign w:val="center"/>
          </w:tcPr>
          <w:p w14:paraId="316DF8F0" w14:textId="49823D56" w:rsidR="00087337" w:rsidRPr="00ED1C8F" w:rsidRDefault="00087337" w:rsidP="00087337">
            <w:pPr>
              <w:jc w:val="center"/>
              <w:rPr>
                <w:b/>
                <w:iCs/>
                <w:sz w:val="22"/>
                <w:szCs w:val="22"/>
              </w:rPr>
            </w:pPr>
            <w:r>
              <w:rPr>
                <w:rFonts w:ascii="Calibri" w:hAnsi="Calibri" w:cs="Calibri"/>
                <w:color w:val="000000"/>
                <w:sz w:val="22"/>
                <w:szCs w:val="22"/>
              </w:rPr>
              <w:t>PCBs in Fish Tissue</w:t>
            </w:r>
          </w:p>
        </w:tc>
        <w:tc>
          <w:tcPr>
            <w:tcW w:w="854" w:type="dxa"/>
            <w:vAlign w:val="center"/>
          </w:tcPr>
          <w:p w14:paraId="62F3DDDC" w14:textId="651CE326" w:rsidR="00087337" w:rsidRPr="00ED1C8F" w:rsidRDefault="00087337" w:rsidP="00087337">
            <w:pPr>
              <w:jc w:val="center"/>
              <w:rPr>
                <w:iCs/>
                <w:sz w:val="22"/>
                <w:szCs w:val="22"/>
              </w:rPr>
            </w:pPr>
            <w:r>
              <w:rPr>
                <w:rFonts w:ascii="Calibri" w:hAnsi="Calibri" w:cs="Calibri"/>
                <w:color w:val="000000"/>
                <w:sz w:val="22"/>
                <w:szCs w:val="22"/>
              </w:rPr>
              <w:t>12%</w:t>
            </w:r>
          </w:p>
        </w:tc>
        <w:tc>
          <w:tcPr>
            <w:tcW w:w="3826" w:type="dxa"/>
            <w:vAlign w:val="center"/>
          </w:tcPr>
          <w:p w14:paraId="4093367C" w14:textId="3D16AD45" w:rsidR="00087337" w:rsidRPr="00ED1C8F" w:rsidRDefault="00087337" w:rsidP="00087337">
            <w:pPr>
              <w:jc w:val="center"/>
              <w:rPr>
                <w:b/>
                <w:iCs/>
                <w:sz w:val="22"/>
                <w:szCs w:val="22"/>
              </w:rPr>
            </w:pPr>
            <w:r>
              <w:rPr>
                <w:rFonts w:ascii="Calibri" w:hAnsi="Calibri" w:cs="Calibri"/>
                <w:color w:val="000000"/>
                <w:sz w:val="22"/>
                <w:szCs w:val="22"/>
              </w:rPr>
              <w:t>Mercury in Fish Tissue</w:t>
            </w:r>
          </w:p>
        </w:tc>
        <w:tc>
          <w:tcPr>
            <w:tcW w:w="804" w:type="dxa"/>
            <w:vAlign w:val="center"/>
          </w:tcPr>
          <w:p w14:paraId="6A9E0CA9" w14:textId="4F51D4F8" w:rsidR="00087337" w:rsidRPr="00ED1C8F" w:rsidRDefault="00087337" w:rsidP="00087337">
            <w:pPr>
              <w:jc w:val="center"/>
              <w:rPr>
                <w:iCs/>
                <w:sz w:val="22"/>
                <w:szCs w:val="22"/>
              </w:rPr>
            </w:pPr>
            <w:r>
              <w:rPr>
                <w:rFonts w:ascii="Calibri" w:hAnsi="Calibri" w:cs="Calibri"/>
                <w:color w:val="000000"/>
                <w:sz w:val="22"/>
                <w:szCs w:val="22"/>
              </w:rPr>
              <w:t>27%</w:t>
            </w:r>
          </w:p>
        </w:tc>
      </w:tr>
      <w:tr w:rsidR="00087337" w:rsidRPr="00D730B7" w14:paraId="12B1E3D8" w14:textId="77777777" w:rsidTr="00DA2813">
        <w:trPr>
          <w:cantSplit/>
          <w:trHeight w:val="360"/>
        </w:trPr>
        <w:tc>
          <w:tcPr>
            <w:tcW w:w="3775" w:type="dxa"/>
            <w:vAlign w:val="center"/>
          </w:tcPr>
          <w:p w14:paraId="7CFA046E" w14:textId="256994D2" w:rsidR="00087337" w:rsidRPr="00ED1C8F" w:rsidRDefault="00087337" w:rsidP="00087337">
            <w:pPr>
              <w:jc w:val="center"/>
              <w:rPr>
                <w:b/>
                <w:iCs/>
                <w:sz w:val="22"/>
                <w:szCs w:val="22"/>
              </w:rPr>
            </w:pPr>
            <w:r>
              <w:rPr>
                <w:rFonts w:ascii="Calibri" w:hAnsi="Calibri" w:cs="Calibri"/>
                <w:color w:val="000000"/>
                <w:sz w:val="22"/>
                <w:szCs w:val="22"/>
              </w:rPr>
              <w:t>Mercury in Fish Tissue</w:t>
            </w:r>
          </w:p>
        </w:tc>
        <w:tc>
          <w:tcPr>
            <w:tcW w:w="854" w:type="dxa"/>
            <w:vAlign w:val="center"/>
          </w:tcPr>
          <w:p w14:paraId="1E88E36E" w14:textId="49611C3B" w:rsidR="00087337" w:rsidRPr="00ED1C8F" w:rsidRDefault="00087337" w:rsidP="00087337">
            <w:pPr>
              <w:jc w:val="center"/>
              <w:rPr>
                <w:iCs/>
                <w:sz w:val="22"/>
                <w:szCs w:val="22"/>
              </w:rPr>
            </w:pPr>
            <w:r>
              <w:rPr>
                <w:rFonts w:ascii="Calibri" w:hAnsi="Calibri" w:cs="Calibri"/>
                <w:color w:val="000000"/>
                <w:sz w:val="22"/>
                <w:szCs w:val="22"/>
              </w:rPr>
              <w:t>4%</w:t>
            </w:r>
          </w:p>
        </w:tc>
        <w:tc>
          <w:tcPr>
            <w:tcW w:w="3826" w:type="dxa"/>
            <w:vAlign w:val="center"/>
          </w:tcPr>
          <w:p w14:paraId="0489A2FE" w14:textId="77777777" w:rsidR="00087337" w:rsidRPr="00ED1C8F" w:rsidRDefault="00087337" w:rsidP="00087337">
            <w:pPr>
              <w:jc w:val="center"/>
              <w:rPr>
                <w:b/>
                <w:iCs/>
                <w:sz w:val="22"/>
                <w:szCs w:val="22"/>
              </w:rPr>
            </w:pPr>
            <w:r w:rsidRPr="00ED1C8F">
              <w:rPr>
                <w:b/>
                <w:iCs/>
                <w:sz w:val="22"/>
                <w:szCs w:val="22"/>
              </w:rPr>
              <w:t>--</w:t>
            </w:r>
          </w:p>
        </w:tc>
        <w:tc>
          <w:tcPr>
            <w:tcW w:w="804" w:type="dxa"/>
            <w:vAlign w:val="center"/>
          </w:tcPr>
          <w:p w14:paraId="2F3EAE4F" w14:textId="77777777" w:rsidR="00087337" w:rsidRPr="00ED1C8F" w:rsidRDefault="00087337" w:rsidP="00087337">
            <w:pPr>
              <w:jc w:val="center"/>
              <w:rPr>
                <w:iCs/>
                <w:sz w:val="22"/>
                <w:szCs w:val="22"/>
              </w:rPr>
            </w:pPr>
            <w:r w:rsidRPr="00ED1C8F">
              <w:rPr>
                <w:iCs/>
                <w:sz w:val="22"/>
                <w:szCs w:val="22"/>
              </w:rPr>
              <w:t>--</w:t>
            </w:r>
          </w:p>
        </w:tc>
      </w:tr>
      <w:tr w:rsidR="00087337" w:rsidRPr="00D730B7" w14:paraId="5EC65221" w14:textId="77777777" w:rsidTr="00DA2813">
        <w:trPr>
          <w:cantSplit/>
          <w:trHeight w:val="360"/>
        </w:trPr>
        <w:tc>
          <w:tcPr>
            <w:tcW w:w="3775" w:type="dxa"/>
            <w:vAlign w:val="center"/>
          </w:tcPr>
          <w:p w14:paraId="4D7E9276" w14:textId="4BCE89AE" w:rsidR="00087337" w:rsidRPr="00ED1C8F" w:rsidRDefault="00087337" w:rsidP="00087337">
            <w:pPr>
              <w:jc w:val="center"/>
              <w:rPr>
                <w:b/>
                <w:iCs/>
                <w:sz w:val="22"/>
                <w:szCs w:val="22"/>
              </w:rPr>
            </w:pPr>
            <w:r>
              <w:rPr>
                <w:rFonts w:ascii="Calibri" w:hAnsi="Calibri" w:cs="Calibri"/>
                <w:color w:val="000000"/>
                <w:sz w:val="22"/>
                <w:szCs w:val="22"/>
              </w:rPr>
              <w:t>Polychlorinated biphenyls (PCBs)</w:t>
            </w:r>
          </w:p>
        </w:tc>
        <w:tc>
          <w:tcPr>
            <w:tcW w:w="854" w:type="dxa"/>
            <w:vAlign w:val="center"/>
          </w:tcPr>
          <w:p w14:paraId="0BC58D2A" w14:textId="5AF071B5" w:rsidR="00087337" w:rsidRPr="00ED1C8F" w:rsidRDefault="00087337" w:rsidP="00087337">
            <w:pPr>
              <w:jc w:val="center"/>
              <w:rPr>
                <w:iCs/>
                <w:sz w:val="22"/>
                <w:szCs w:val="22"/>
              </w:rPr>
            </w:pPr>
            <w:r>
              <w:rPr>
                <w:rFonts w:ascii="Calibri" w:hAnsi="Calibri" w:cs="Calibri"/>
                <w:color w:val="000000"/>
                <w:sz w:val="22"/>
                <w:szCs w:val="22"/>
              </w:rPr>
              <w:t>2%</w:t>
            </w:r>
          </w:p>
        </w:tc>
        <w:tc>
          <w:tcPr>
            <w:tcW w:w="3826" w:type="dxa"/>
            <w:vAlign w:val="center"/>
          </w:tcPr>
          <w:p w14:paraId="34C544FF" w14:textId="77777777" w:rsidR="00087337" w:rsidRPr="00ED1C8F" w:rsidRDefault="00087337" w:rsidP="00087337">
            <w:pPr>
              <w:jc w:val="center"/>
              <w:rPr>
                <w:b/>
                <w:iCs/>
                <w:sz w:val="22"/>
                <w:szCs w:val="22"/>
              </w:rPr>
            </w:pPr>
            <w:r w:rsidRPr="00ED1C8F">
              <w:rPr>
                <w:b/>
                <w:iCs/>
                <w:sz w:val="22"/>
                <w:szCs w:val="22"/>
              </w:rPr>
              <w:t>--</w:t>
            </w:r>
          </w:p>
        </w:tc>
        <w:tc>
          <w:tcPr>
            <w:tcW w:w="804" w:type="dxa"/>
            <w:vAlign w:val="center"/>
          </w:tcPr>
          <w:p w14:paraId="0EF4C215" w14:textId="77777777" w:rsidR="00087337" w:rsidRPr="00ED1C8F" w:rsidRDefault="00087337" w:rsidP="00087337">
            <w:pPr>
              <w:jc w:val="center"/>
              <w:rPr>
                <w:iCs/>
                <w:sz w:val="22"/>
                <w:szCs w:val="22"/>
              </w:rPr>
            </w:pPr>
            <w:r w:rsidRPr="00ED1C8F">
              <w:rPr>
                <w:iCs/>
                <w:sz w:val="22"/>
                <w:szCs w:val="22"/>
              </w:rPr>
              <w:t>--</w:t>
            </w:r>
          </w:p>
        </w:tc>
      </w:tr>
    </w:tbl>
    <w:p w14:paraId="32912570" w14:textId="77777777" w:rsidR="00510C84" w:rsidRDefault="00510C84" w:rsidP="00546B19">
      <w:pPr>
        <w:jc w:val="both"/>
        <w:rPr>
          <w:b/>
          <w:bCs/>
          <w:szCs w:val="24"/>
        </w:rPr>
      </w:pPr>
    </w:p>
    <w:p w14:paraId="4EC85B4A" w14:textId="77777777" w:rsidR="00510C84" w:rsidRDefault="00510C84">
      <w:pPr>
        <w:widowControl/>
        <w:spacing w:after="160" w:line="259" w:lineRule="auto"/>
        <w:rPr>
          <w:b/>
          <w:bCs/>
          <w:szCs w:val="24"/>
        </w:rPr>
      </w:pPr>
      <w:r>
        <w:rPr>
          <w:b/>
          <w:bCs/>
          <w:szCs w:val="24"/>
        </w:rPr>
        <w:br w:type="page"/>
      </w:r>
    </w:p>
    <w:p w14:paraId="612E6170" w14:textId="4DD7B936" w:rsidR="00D04429" w:rsidRPr="0062574F" w:rsidRDefault="00FF199A" w:rsidP="00D04429">
      <w:pPr>
        <w:pStyle w:val="Caption"/>
        <w:jc w:val="both"/>
      </w:pPr>
      <w:bookmarkStart w:id="179" w:name="_Toc164175182"/>
      <w:r>
        <w:lastRenderedPageBreak/>
        <w:t xml:space="preserve">Table </w:t>
      </w:r>
      <w:r w:rsidR="004F13BA">
        <w:fldChar w:fldCharType="begin"/>
      </w:r>
      <w:r w:rsidR="004F13BA">
        <w:instrText xml:space="preserve"> STYLEREF 2 \s </w:instrText>
      </w:r>
      <w:r w:rsidR="004F13BA">
        <w:fldChar w:fldCharType="separate"/>
      </w:r>
      <w:r w:rsidR="00CD06AE">
        <w:rPr>
          <w:noProof/>
        </w:rPr>
        <w:t>4.3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18</w:t>
      </w:r>
      <w:r w:rsidR="004F13BA">
        <w:rPr>
          <w:noProof/>
        </w:rPr>
        <w:fldChar w:fldCharType="end"/>
      </w:r>
      <w:r>
        <w:t>.</w:t>
      </w:r>
      <w:r w:rsidRPr="00FF199A">
        <w:t xml:space="preserve"> Suspected sources of designated use impairment in the New River</w:t>
      </w:r>
      <w:r w:rsidR="7DE62BB8" w:rsidRPr="00FF199A">
        <w:t xml:space="preserve"> </w:t>
      </w:r>
      <w:bookmarkEnd w:id="179"/>
      <w:r>
        <w:t>basin, by water body type, ranked by percentage of impaired water size. (Note: Waters can have multiple sources of pollution.)</w:t>
      </w:r>
    </w:p>
    <w:tbl>
      <w:tblPr>
        <w:tblStyle w:val="TableGrid"/>
        <w:tblW w:w="9734" w:type="dxa"/>
        <w:tblCellMar>
          <w:left w:w="115" w:type="dxa"/>
          <w:right w:w="115" w:type="dxa"/>
        </w:tblCellMar>
        <w:tblLook w:val="04A0" w:firstRow="1" w:lastRow="0" w:firstColumn="1" w:lastColumn="0" w:noHBand="0" w:noVBand="1"/>
        <w:tblCaption w:val="Table of New River Basin Suspected Sources of Designated Use Impairment"/>
        <w:tblDescription w:val="New River Basin suspected sources of Designated Use impairment for rivers and lakes ranked by percent of impaired water size"/>
      </w:tblPr>
      <w:tblGrid>
        <w:gridCol w:w="4311"/>
        <w:gridCol w:w="636"/>
        <w:gridCol w:w="3779"/>
        <w:gridCol w:w="1008"/>
      </w:tblGrid>
      <w:tr w:rsidR="00546B19" w:rsidRPr="00D730B7" w14:paraId="6A275337" w14:textId="77777777" w:rsidTr="006229C5">
        <w:trPr>
          <w:cantSplit/>
          <w:trHeight w:val="360"/>
          <w:tblHeader/>
        </w:trPr>
        <w:tc>
          <w:tcPr>
            <w:tcW w:w="4752" w:type="dxa"/>
            <w:gridSpan w:val="2"/>
            <w:vAlign w:val="center"/>
          </w:tcPr>
          <w:p w14:paraId="395AE07E" w14:textId="77777777" w:rsidR="00546B19" w:rsidRPr="00ED1C8F" w:rsidRDefault="00546B19" w:rsidP="00901982">
            <w:pPr>
              <w:jc w:val="center"/>
              <w:rPr>
                <w:b/>
                <w:iCs/>
                <w:sz w:val="22"/>
                <w:szCs w:val="22"/>
              </w:rPr>
            </w:pPr>
            <w:r w:rsidRPr="00ED1C8F">
              <w:rPr>
                <w:b/>
                <w:iCs/>
                <w:sz w:val="22"/>
                <w:szCs w:val="22"/>
              </w:rPr>
              <w:t>Rivers</w:t>
            </w:r>
          </w:p>
        </w:tc>
        <w:tc>
          <w:tcPr>
            <w:tcW w:w="4598" w:type="dxa"/>
            <w:gridSpan w:val="2"/>
            <w:vAlign w:val="center"/>
          </w:tcPr>
          <w:p w14:paraId="6E6314F1" w14:textId="77777777" w:rsidR="00546B19" w:rsidRPr="00ED1C8F" w:rsidRDefault="00546B19" w:rsidP="00901982">
            <w:pPr>
              <w:jc w:val="center"/>
              <w:rPr>
                <w:b/>
                <w:iCs/>
                <w:sz w:val="22"/>
                <w:szCs w:val="22"/>
              </w:rPr>
            </w:pPr>
            <w:r w:rsidRPr="00ED1C8F">
              <w:rPr>
                <w:b/>
                <w:iCs/>
                <w:sz w:val="22"/>
                <w:szCs w:val="22"/>
              </w:rPr>
              <w:t>Lakes</w:t>
            </w:r>
          </w:p>
        </w:tc>
      </w:tr>
      <w:tr w:rsidR="00901982" w:rsidRPr="00D730B7" w14:paraId="2E5DCC80" w14:textId="77777777" w:rsidTr="006229C5">
        <w:trPr>
          <w:cantSplit/>
          <w:trHeight w:val="360"/>
        </w:trPr>
        <w:tc>
          <w:tcPr>
            <w:tcW w:w="4141" w:type="dxa"/>
            <w:vAlign w:val="center"/>
          </w:tcPr>
          <w:p w14:paraId="01B053F4" w14:textId="4C264775" w:rsidR="00901982" w:rsidRPr="00ED1C8F" w:rsidRDefault="00901982" w:rsidP="00901982">
            <w:pPr>
              <w:jc w:val="center"/>
              <w:rPr>
                <w:b/>
                <w:iCs/>
                <w:sz w:val="22"/>
                <w:szCs w:val="22"/>
              </w:rPr>
            </w:pPr>
            <w:r>
              <w:rPr>
                <w:rFonts w:ascii="Calibri" w:hAnsi="Calibri" w:cs="Calibri"/>
                <w:color w:val="000000"/>
                <w:sz w:val="22"/>
                <w:szCs w:val="22"/>
              </w:rPr>
              <w:t>Livestock (Grazing or Feeding Operations)</w:t>
            </w:r>
          </w:p>
        </w:tc>
        <w:tc>
          <w:tcPr>
            <w:tcW w:w="611" w:type="dxa"/>
            <w:vAlign w:val="center"/>
          </w:tcPr>
          <w:p w14:paraId="64916B7D" w14:textId="64A2C6F7" w:rsidR="00901982" w:rsidRPr="00ED1C8F" w:rsidRDefault="00901982" w:rsidP="00901982">
            <w:pPr>
              <w:jc w:val="center"/>
              <w:rPr>
                <w:iCs/>
                <w:sz w:val="22"/>
                <w:szCs w:val="22"/>
              </w:rPr>
            </w:pPr>
            <w:r>
              <w:rPr>
                <w:rFonts w:ascii="Calibri" w:hAnsi="Calibri" w:cs="Calibri"/>
                <w:color w:val="000000"/>
                <w:sz w:val="22"/>
                <w:szCs w:val="22"/>
              </w:rPr>
              <w:t>56%</w:t>
            </w:r>
          </w:p>
        </w:tc>
        <w:tc>
          <w:tcPr>
            <w:tcW w:w="3630" w:type="dxa"/>
            <w:vAlign w:val="center"/>
          </w:tcPr>
          <w:p w14:paraId="39D58EED" w14:textId="37921FF9" w:rsidR="00901982" w:rsidRPr="00ED1C8F" w:rsidRDefault="00901982" w:rsidP="00901982">
            <w:pPr>
              <w:jc w:val="center"/>
              <w:rPr>
                <w:b/>
                <w:iCs/>
                <w:sz w:val="22"/>
                <w:szCs w:val="22"/>
              </w:rPr>
            </w:pPr>
            <w:r>
              <w:rPr>
                <w:rFonts w:ascii="Calibri" w:hAnsi="Calibri" w:cs="Calibri"/>
                <w:color w:val="000000"/>
                <w:sz w:val="22"/>
                <w:szCs w:val="22"/>
              </w:rPr>
              <w:t>Atmospheric Deposition</w:t>
            </w:r>
          </w:p>
        </w:tc>
        <w:tc>
          <w:tcPr>
            <w:tcW w:w="968" w:type="dxa"/>
            <w:vAlign w:val="center"/>
          </w:tcPr>
          <w:p w14:paraId="50D8F5E2" w14:textId="17A2ECAB" w:rsidR="00901982" w:rsidRPr="00ED1C8F" w:rsidRDefault="00901982" w:rsidP="00901982">
            <w:pPr>
              <w:jc w:val="center"/>
              <w:rPr>
                <w:iCs/>
                <w:sz w:val="22"/>
                <w:szCs w:val="22"/>
              </w:rPr>
            </w:pPr>
            <w:r>
              <w:rPr>
                <w:rFonts w:ascii="Calibri" w:hAnsi="Calibri" w:cs="Calibri"/>
                <w:color w:val="000000"/>
                <w:sz w:val="22"/>
                <w:szCs w:val="22"/>
              </w:rPr>
              <w:t>99%</w:t>
            </w:r>
          </w:p>
        </w:tc>
      </w:tr>
      <w:tr w:rsidR="00901982" w:rsidRPr="00D730B7" w14:paraId="53015EB3" w14:textId="77777777" w:rsidTr="006229C5">
        <w:trPr>
          <w:cantSplit/>
          <w:trHeight w:val="360"/>
        </w:trPr>
        <w:tc>
          <w:tcPr>
            <w:tcW w:w="4141" w:type="dxa"/>
            <w:vAlign w:val="center"/>
          </w:tcPr>
          <w:p w14:paraId="5F7B0578" w14:textId="7EDD46FB" w:rsidR="00901982" w:rsidRPr="00ED1C8F" w:rsidRDefault="00901982" w:rsidP="00901982">
            <w:pPr>
              <w:jc w:val="center"/>
              <w:rPr>
                <w:b/>
                <w:iCs/>
                <w:sz w:val="22"/>
                <w:szCs w:val="22"/>
              </w:rPr>
            </w:pPr>
            <w:r>
              <w:rPr>
                <w:rFonts w:ascii="Calibri" w:hAnsi="Calibri" w:cs="Calibri"/>
                <w:color w:val="000000"/>
                <w:sz w:val="22"/>
                <w:szCs w:val="22"/>
              </w:rPr>
              <w:t>Unrestricted Cattle Access</w:t>
            </w:r>
          </w:p>
        </w:tc>
        <w:tc>
          <w:tcPr>
            <w:tcW w:w="611" w:type="dxa"/>
            <w:vAlign w:val="center"/>
          </w:tcPr>
          <w:p w14:paraId="0D8DA490" w14:textId="4D5FADD5" w:rsidR="00901982" w:rsidRPr="00ED1C8F" w:rsidRDefault="00901982" w:rsidP="00901982">
            <w:pPr>
              <w:jc w:val="center"/>
              <w:rPr>
                <w:iCs/>
                <w:sz w:val="22"/>
                <w:szCs w:val="22"/>
              </w:rPr>
            </w:pPr>
            <w:r>
              <w:rPr>
                <w:rFonts w:ascii="Calibri" w:hAnsi="Calibri" w:cs="Calibri"/>
                <w:color w:val="000000"/>
                <w:sz w:val="22"/>
                <w:szCs w:val="22"/>
              </w:rPr>
              <w:t>34%</w:t>
            </w:r>
          </w:p>
        </w:tc>
        <w:tc>
          <w:tcPr>
            <w:tcW w:w="3630" w:type="dxa"/>
            <w:vAlign w:val="center"/>
          </w:tcPr>
          <w:p w14:paraId="0DEEE53C" w14:textId="0E175D3B" w:rsidR="00901982" w:rsidRPr="00ED1C8F" w:rsidRDefault="00901982" w:rsidP="00901982">
            <w:pPr>
              <w:jc w:val="center"/>
              <w:rPr>
                <w:b/>
                <w:iCs/>
                <w:sz w:val="22"/>
                <w:szCs w:val="22"/>
              </w:rPr>
            </w:pPr>
            <w:r>
              <w:rPr>
                <w:rFonts w:ascii="Calibri" w:hAnsi="Calibri" w:cs="Calibri"/>
                <w:color w:val="000000"/>
                <w:sz w:val="22"/>
                <w:szCs w:val="22"/>
              </w:rPr>
              <w:t>Contaminated Sediments</w:t>
            </w:r>
          </w:p>
        </w:tc>
        <w:tc>
          <w:tcPr>
            <w:tcW w:w="968" w:type="dxa"/>
            <w:vAlign w:val="center"/>
          </w:tcPr>
          <w:p w14:paraId="20DCD5C3" w14:textId="165AB1CC" w:rsidR="00901982" w:rsidRPr="00ED1C8F" w:rsidRDefault="00901982" w:rsidP="00901982">
            <w:pPr>
              <w:jc w:val="center"/>
              <w:rPr>
                <w:iCs/>
                <w:sz w:val="22"/>
                <w:szCs w:val="22"/>
              </w:rPr>
            </w:pPr>
            <w:r>
              <w:rPr>
                <w:rFonts w:ascii="Calibri" w:hAnsi="Calibri" w:cs="Calibri"/>
                <w:color w:val="000000"/>
                <w:sz w:val="22"/>
                <w:szCs w:val="22"/>
              </w:rPr>
              <w:t>99%</w:t>
            </w:r>
          </w:p>
        </w:tc>
      </w:tr>
      <w:tr w:rsidR="00901982" w:rsidRPr="00D730B7" w14:paraId="5359112D" w14:textId="77777777" w:rsidTr="006229C5">
        <w:trPr>
          <w:cantSplit/>
          <w:trHeight w:val="360"/>
        </w:trPr>
        <w:tc>
          <w:tcPr>
            <w:tcW w:w="4141" w:type="dxa"/>
            <w:vAlign w:val="center"/>
          </w:tcPr>
          <w:p w14:paraId="769AD017" w14:textId="30483CF5" w:rsidR="00901982" w:rsidRPr="00ED1C8F" w:rsidRDefault="00901982" w:rsidP="00901982">
            <w:pPr>
              <w:jc w:val="center"/>
              <w:rPr>
                <w:b/>
                <w:iCs/>
                <w:sz w:val="22"/>
                <w:szCs w:val="22"/>
              </w:rPr>
            </w:pPr>
            <w:r>
              <w:rPr>
                <w:rFonts w:ascii="Calibri" w:hAnsi="Calibri" w:cs="Calibri"/>
                <w:color w:val="000000"/>
                <w:sz w:val="22"/>
                <w:szCs w:val="22"/>
              </w:rPr>
              <w:t>On-site Treatment Systems (Septic Systems and Similar Decentralized Systems)</w:t>
            </w:r>
          </w:p>
        </w:tc>
        <w:tc>
          <w:tcPr>
            <w:tcW w:w="611" w:type="dxa"/>
            <w:vAlign w:val="center"/>
          </w:tcPr>
          <w:p w14:paraId="2C2E051B" w14:textId="1415AB8A" w:rsidR="00901982" w:rsidRPr="00ED1C8F" w:rsidRDefault="00901982" w:rsidP="00901982">
            <w:pPr>
              <w:jc w:val="center"/>
              <w:rPr>
                <w:iCs/>
                <w:sz w:val="22"/>
                <w:szCs w:val="22"/>
              </w:rPr>
            </w:pPr>
            <w:r>
              <w:rPr>
                <w:rFonts w:ascii="Calibri" w:hAnsi="Calibri" w:cs="Calibri"/>
                <w:color w:val="000000"/>
                <w:sz w:val="22"/>
                <w:szCs w:val="22"/>
              </w:rPr>
              <w:t>31%</w:t>
            </w:r>
          </w:p>
        </w:tc>
        <w:tc>
          <w:tcPr>
            <w:tcW w:w="3630" w:type="dxa"/>
            <w:vAlign w:val="center"/>
          </w:tcPr>
          <w:p w14:paraId="7C86B54C" w14:textId="5768E45A" w:rsidR="00901982" w:rsidRPr="00ED1C8F" w:rsidRDefault="00901982" w:rsidP="00901982">
            <w:pPr>
              <w:jc w:val="center"/>
              <w:rPr>
                <w:b/>
                <w:iCs/>
                <w:sz w:val="22"/>
                <w:szCs w:val="22"/>
              </w:rPr>
            </w:pPr>
            <w:r>
              <w:rPr>
                <w:rFonts w:ascii="Calibri" w:hAnsi="Calibri" w:cs="Calibri"/>
                <w:color w:val="000000"/>
                <w:sz w:val="22"/>
                <w:szCs w:val="22"/>
              </w:rPr>
              <w:t>Industrial Point Source Discharge</w:t>
            </w:r>
          </w:p>
        </w:tc>
        <w:tc>
          <w:tcPr>
            <w:tcW w:w="968" w:type="dxa"/>
            <w:vAlign w:val="center"/>
          </w:tcPr>
          <w:p w14:paraId="56E6124E" w14:textId="7720B47B" w:rsidR="00901982" w:rsidRPr="00ED1C8F" w:rsidRDefault="00901982" w:rsidP="00901982">
            <w:pPr>
              <w:jc w:val="center"/>
              <w:rPr>
                <w:iCs/>
                <w:sz w:val="22"/>
                <w:szCs w:val="22"/>
              </w:rPr>
            </w:pPr>
            <w:r>
              <w:rPr>
                <w:rFonts w:ascii="Calibri" w:hAnsi="Calibri" w:cs="Calibri"/>
                <w:color w:val="000000"/>
                <w:sz w:val="22"/>
                <w:szCs w:val="22"/>
              </w:rPr>
              <w:t>99%</w:t>
            </w:r>
          </w:p>
        </w:tc>
      </w:tr>
      <w:tr w:rsidR="00901982" w:rsidRPr="00D730B7" w14:paraId="45403A68" w14:textId="77777777" w:rsidTr="006229C5">
        <w:trPr>
          <w:cantSplit/>
          <w:trHeight w:val="360"/>
        </w:trPr>
        <w:tc>
          <w:tcPr>
            <w:tcW w:w="4141" w:type="dxa"/>
            <w:vAlign w:val="center"/>
          </w:tcPr>
          <w:p w14:paraId="1AF4D932" w14:textId="5689538C" w:rsidR="00901982" w:rsidRPr="00ED1C8F" w:rsidRDefault="00901982" w:rsidP="00901982">
            <w:pPr>
              <w:jc w:val="center"/>
              <w:rPr>
                <w:b/>
                <w:iCs/>
                <w:sz w:val="22"/>
                <w:szCs w:val="22"/>
              </w:rPr>
            </w:pPr>
            <w:r>
              <w:rPr>
                <w:rFonts w:ascii="Calibri" w:hAnsi="Calibri" w:cs="Calibri"/>
                <w:color w:val="000000"/>
                <w:sz w:val="22"/>
                <w:szCs w:val="22"/>
              </w:rPr>
              <w:t>Unspecified Domestic Waste</w:t>
            </w:r>
          </w:p>
        </w:tc>
        <w:tc>
          <w:tcPr>
            <w:tcW w:w="611" w:type="dxa"/>
            <w:vAlign w:val="center"/>
          </w:tcPr>
          <w:p w14:paraId="3E3D1194" w14:textId="433A7A5D" w:rsidR="00901982" w:rsidRPr="00ED1C8F" w:rsidRDefault="00901982" w:rsidP="00901982">
            <w:pPr>
              <w:jc w:val="center"/>
              <w:rPr>
                <w:iCs/>
                <w:sz w:val="22"/>
                <w:szCs w:val="22"/>
              </w:rPr>
            </w:pPr>
            <w:r>
              <w:rPr>
                <w:rFonts w:ascii="Calibri" w:hAnsi="Calibri" w:cs="Calibri"/>
                <w:color w:val="000000"/>
                <w:sz w:val="22"/>
                <w:szCs w:val="22"/>
              </w:rPr>
              <w:t>30%</w:t>
            </w:r>
          </w:p>
        </w:tc>
        <w:tc>
          <w:tcPr>
            <w:tcW w:w="3630" w:type="dxa"/>
            <w:vAlign w:val="center"/>
          </w:tcPr>
          <w:p w14:paraId="47D8405E" w14:textId="09456588" w:rsidR="00901982" w:rsidRPr="00ED1C8F" w:rsidRDefault="00901982" w:rsidP="00901982">
            <w:pPr>
              <w:jc w:val="center"/>
              <w:rPr>
                <w:b/>
                <w:iCs/>
                <w:sz w:val="22"/>
                <w:szCs w:val="22"/>
              </w:rPr>
            </w:pPr>
            <w:r>
              <w:rPr>
                <w:rFonts w:ascii="Calibri" w:hAnsi="Calibri" w:cs="Calibri"/>
                <w:color w:val="000000"/>
                <w:sz w:val="22"/>
                <w:szCs w:val="22"/>
              </w:rPr>
              <w:t>Source Unknown</w:t>
            </w:r>
          </w:p>
        </w:tc>
        <w:tc>
          <w:tcPr>
            <w:tcW w:w="968" w:type="dxa"/>
            <w:vAlign w:val="center"/>
          </w:tcPr>
          <w:p w14:paraId="4E2A3BAD" w14:textId="17265B52" w:rsidR="00901982" w:rsidRPr="00ED1C8F" w:rsidRDefault="00901982" w:rsidP="00901982">
            <w:pPr>
              <w:jc w:val="center"/>
              <w:rPr>
                <w:iCs/>
                <w:sz w:val="22"/>
                <w:szCs w:val="22"/>
              </w:rPr>
            </w:pPr>
            <w:r>
              <w:rPr>
                <w:rFonts w:ascii="Calibri" w:hAnsi="Calibri" w:cs="Calibri"/>
                <w:color w:val="000000"/>
                <w:sz w:val="22"/>
                <w:szCs w:val="22"/>
              </w:rPr>
              <w:t>72%</w:t>
            </w:r>
          </w:p>
        </w:tc>
      </w:tr>
      <w:tr w:rsidR="00901982" w:rsidRPr="00D730B7" w14:paraId="2005600D" w14:textId="77777777" w:rsidTr="006229C5">
        <w:trPr>
          <w:cantSplit/>
          <w:trHeight w:val="360"/>
        </w:trPr>
        <w:tc>
          <w:tcPr>
            <w:tcW w:w="4141" w:type="dxa"/>
            <w:vAlign w:val="center"/>
          </w:tcPr>
          <w:p w14:paraId="4C0D8A76" w14:textId="3F7E171E" w:rsidR="00901982" w:rsidRPr="00ED1C8F" w:rsidRDefault="00901982" w:rsidP="00901982">
            <w:pPr>
              <w:jc w:val="center"/>
              <w:rPr>
                <w:b/>
                <w:iCs/>
                <w:sz w:val="22"/>
                <w:szCs w:val="22"/>
              </w:rPr>
            </w:pPr>
            <w:r>
              <w:rPr>
                <w:rFonts w:ascii="Calibri" w:hAnsi="Calibri" w:cs="Calibri"/>
                <w:color w:val="000000"/>
                <w:sz w:val="22"/>
                <w:szCs w:val="22"/>
              </w:rPr>
              <w:t>Wildlife Other than Waterfowl</w:t>
            </w:r>
          </w:p>
        </w:tc>
        <w:tc>
          <w:tcPr>
            <w:tcW w:w="611" w:type="dxa"/>
            <w:vAlign w:val="center"/>
          </w:tcPr>
          <w:p w14:paraId="3E85B32C" w14:textId="66AC3213" w:rsidR="00901982" w:rsidRPr="00ED1C8F" w:rsidRDefault="00901982" w:rsidP="00901982">
            <w:pPr>
              <w:jc w:val="center"/>
              <w:rPr>
                <w:iCs/>
                <w:sz w:val="22"/>
                <w:szCs w:val="22"/>
              </w:rPr>
            </w:pPr>
            <w:r>
              <w:rPr>
                <w:rFonts w:ascii="Calibri" w:hAnsi="Calibri" w:cs="Calibri"/>
                <w:color w:val="000000"/>
                <w:sz w:val="22"/>
                <w:szCs w:val="22"/>
              </w:rPr>
              <w:t>28%</w:t>
            </w:r>
          </w:p>
        </w:tc>
        <w:tc>
          <w:tcPr>
            <w:tcW w:w="3630" w:type="dxa"/>
            <w:vAlign w:val="center"/>
          </w:tcPr>
          <w:p w14:paraId="2A3784D0" w14:textId="3F54A876" w:rsidR="00901982" w:rsidRPr="00ED1C8F" w:rsidRDefault="00901982" w:rsidP="00901982">
            <w:pPr>
              <w:jc w:val="center"/>
              <w:rPr>
                <w:b/>
                <w:iCs/>
                <w:sz w:val="22"/>
                <w:szCs w:val="22"/>
              </w:rPr>
            </w:pPr>
            <w:r>
              <w:rPr>
                <w:rFonts w:ascii="Calibri" w:hAnsi="Calibri" w:cs="Calibri"/>
                <w:color w:val="000000"/>
                <w:sz w:val="22"/>
                <w:szCs w:val="22"/>
              </w:rPr>
              <w:t>Natural Sources</w:t>
            </w:r>
          </w:p>
        </w:tc>
        <w:tc>
          <w:tcPr>
            <w:tcW w:w="968" w:type="dxa"/>
            <w:vAlign w:val="center"/>
          </w:tcPr>
          <w:p w14:paraId="2EEEF3A2" w14:textId="0AE30B71" w:rsidR="00901982" w:rsidRPr="00ED1C8F" w:rsidRDefault="00901982" w:rsidP="00901982">
            <w:pPr>
              <w:jc w:val="center"/>
              <w:rPr>
                <w:iCs/>
                <w:sz w:val="22"/>
                <w:szCs w:val="22"/>
              </w:rPr>
            </w:pPr>
            <w:r>
              <w:rPr>
                <w:rFonts w:ascii="Calibri" w:hAnsi="Calibri" w:cs="Calibri"/>
                <w:color w:val="000000"/>
                <w:sz w:val="22"/>
                <w:szCs w:val="22"/>
              </w:rPr>
              <w:t>53%</w:t>
            </w:r>
          </w:p>
        </w:tc>
      </w:tr>
      <w:tr w:rsidR="00901982" w:rsidRPr="00D730B7" w14:paraId="0D12476A" w14:textId="77777777" w:rsidTr="006229C5">
        <w:trPr>
          <w:cantSplit/>
          <w:trHeight w:val="360"/>
        </w:trPr>
        <w:tc>
          <w:tcPr>
            <w:tcW w:w="4141" w:type="dxa"/>
            <w:vAlign w:val="center"/>
          </w:tcPr>
          <w:p w14:paraId="0942902B" w14:textId="1EF11AC8" w:rsidR="00901982" w:rsidRPr="00ED1C8F" w:rsidRDefault="00901982" w:rsidP="00901982">
            <w:pPr>
              <w:jc w:val="center"/>
              <w:rPr>
                <w:b/>
                <w:iCs/>
                <w:sz w:val="22"/>
                <w:szCs w:val="22"/>
              </w:rPr>
            </w:pPr>
            <w:r>
              <w:rPr>
                <w:rFonts w:ascii="Calibri" w:hAnsi="Calibri" w:cs="Calibri"/>
                <w:color w:val="000000"/>
                <w:sz w:val="22"/>
                <w:szCs w:val="22"/>
              </w:rPr>
              <w:t>Grazing in Riparian or Shoreline Zones</w:t>
            </w:r>
          </w:p>
        </w:tc>
        <w:tc>
          <w:tcPr>
            <w:tcW w:w="611" w:type="dxa"/>
            <w:vAlign w:val="center"/>
          </w:tcPr>
          <w:p w14:paraId="59A172FF" w14:textId="5243613A" w:rsidR="00901982" w:rsidRPr="00ED1C8F" w:rsidRDefault="00901982" w:rsidP="00901982">
            <w:pPr>
              <w:jc w:val="center"/>
              <w:rPr>
                <w:iCs/>
                <w:sz w:val="22"/>
                <w:szCs w:val="22"/>
              </w:rPr>
            </w:pPr>
            <w:r>
              <w:rPr>
                <w:rFonts w:ascii="Calibri" w:hAnsi="Calibri" w:cs="Calibri"/>
                <w:color w:val="000000"/>
                <w:sz w:val="22"/>
                <w:szCs w:val="22"/>
              </w:rPr>
              <w:t>27%</w:t>
            </w:r>
          </w:p>
        </w:tc>
        <w:tc>
          <w:tcPr>
            <w:tcW w:w="3630" w:type="dxa"/>
            <w:vAlign w:val="center"/>
          </w:tcPr>
          <w:p w14:paraId="21C59561" w14:textId="7271E0F1" w:rsidR="00901982" w:rsidRPr="00ED1C8F" w:rsidRDefault="00901982" w:rsidP="00901982">
            <w:pPr>
              <w:jc w:val="center"/>
              <w:rPr>
                <w:b/>
                <w:iCs/>
                <w:sz w:val="22"/>
                <w:szCs w:val="22"/>
              </w:rPr>
            </w:pPr>
            <w:r>
              <w:rPr>
                <w:rFonts w:ascii="Calibri" w:hAnsi="Calibri" w:cs="Calibri"/>
                <w:color w:val="000000"/>
                <w:sz w:val="22"/>
                <w:szCs w:val="22"/>
              </w:rPr>
              <w:t>On-site Septic Treatment Systems</w:t>
            </w:r>
          </w:p>
        </w:tc>
        <w:tc>
          <w:tcPr>
            <w:tcW w:w="968" w:type="dxa"/>
            <w:vAlign w:val="center"/>
          </w:tcPr>
          <w:p w14:paraId="34005D91" w14:textId="3A64F473" w:rsidR="00901982" w:rsidRPr="00ED1C8F" w:rsidRDefault="00901982" w:rsidP="00901982">
            <w:pPr>
              <w:jc w:val="center"/>
              <w:rPr>
                <w:iCs/>
                <w:sz w:val="22"/>
                <w:szCs w:val="22"/>
              </w:rPr>
            </w:pPr>
            <w:r>
              <w:rPr>
                <w:rFonts w:ascii="Calibri" w:hAnsi="Calibri" w:cs="Calibri"/>
                <w:color w:val="000000"/>
                <w:sz w:val="22"/>
                <w:szCs w:val="22"/>
              </w:rPr>
              <w:t>1%</w:t>
            </w:r>
          </w:p>
        </w:tc>
      </w:tr>
    </w:tbl>
    <w:p w14:paraId="6ECC8D57" w14:textId="38574595" w:rsidR="008B0307" w:rsidRDefault="008B0307" w:rsidP="008B0307">
      <w:pPr>
        <w:rPr>
          <w:snapToGrid/>
        </w:rPr>
      </w:pPr>
      <w:bookmarkStart w:id="180" w:name="_Toc152763313"/>
      <w:bookmarkStart w:id="181" w:name="_Toc155771959"/>
      <w:bookmarkStart w:id="182" w:name="Xa96d9d567babe4e7cfbdb9ebf5b217b12857859"/>
    </w:p>
    <w:p w14:paraId="69450CF6" w14:textId="49B98FC0" w:rsidR="00B135A3" w:rsidRPr="00FB2328" w:rsidRDefault="00B135A3" w:rsidP="00B135A3">
      <w:pPr>
        <w:pStyle w:val="Heading2"/>
        <w:rPr>
          <w:snapToGrid/>
        </w:rPr>
      </w:pPr>
      <w:bookmarkStart w:id="183" w:name="_Toc191900438"/>
      <w:r w:rsidRPr="00FB2328">
        <w:rPr>
          <w:snapToGrid/>
        </w:rPr>
        <w:t>Freshwater Probabilistic Monitoring</w:t>
      </w:r>
      <w:bookmarkEnd w:id="183"/>
      <w:r w:rsidRPr="00FB2328">
        <w:rPr>
          <w:snapToGrid/>
        </w:rPr>
        <w:t xml:space="preserve"> </w:t>
      </w:r>
    </w:p>
    <w:p w14:paraId="190F2AA9" w14:textId="77777777" w:rsidR="00B135A3" w:rsidRDefault="00B135A3" w:rsidP="00B135A3">
      <w:pPr>
        <w:pStyle w:val="Heading3"/>
        <w:rPr>
          <w:rFonts w:eastAsia="Cambria"/>
          <w:snapToGrid/>
        </w:rPr>
      </w:pPr>
      <w:r w:rsidRPr="006B3C90">
        <w:rPr>
          <w:rStyle w:val="Heading3Char"/>
          <w:b/>
          <w:snapToGrid w:val="0"/>
        </w:rPr>
        <w:t>Summary</w:t>
      </w:r>
      <w:r w:rsidRPr="00CE27FD">
        <w:rPr>
          <w:rFonts w:eastAsia="Cambria"/>
          <w:snapToGrid/>
        </w:rPr>
        <w:t xml:space="preserve"> </w:t>
      </w:r>
    </w:p>
    <w:p w14:paraId="75E46172" w14:textId="77777777" w:rsidR="00B135A3" w:rsidRDefault="00B135A3" w:rsidP="00B135A3">
      <w:pPr>
        <w:rPr>
          <w:rFonts w:eastAsia="Cambria" w:cstheme="minorHAnsi"/>
          <w:szCs w:val="24"/>
        </w:rPr>
      </w:pPr>
      <w:r>
        <w:rPr>
          <w:rFonts w:eastAsia="Cambria" w:cstheme="minorHAnsi"/>
          <w:snapToGrid/>
          <w:szCs w:val="24"/>
        </w:rPr>
        <w:t>Freshwater</w:t>
      </w:r>
      <w:r w:rsidRPr="00CE27FD">
        <w:rPr>
          <w:rFonts w:eastAsia="Cambria" w:cstheme="minorHAnsi"/>
          <w:szCs w:val="24"/>
        </w:rPr>
        <w:t xml:space="preserve"> Probabilistic Monitoring (ProbMon) employs random site selection to produce statistically unbiased estimates of water quality conditions proportional to their occurrence across the Commonwealth. The survey design, analysis, </w:t>
      </w:r>
      <w:proofErr w:type="spellStart"/>
      <w:r w:rsidRPr="00CE27FD">
        <w:rPr>
          <w:rFonts w:eastAsia="Cambria" w:cstheme="minorHAnsi"/>
          <w:szCs w:val="24"/>
        </w:rPr>
        <w:t>geovisualization</w:t>
      </w:r>
      <w:proofErr w:type="spellEnd"/>
      <w:r w:rsidRPr="00CE27FD">
        <w:rPr>
          <w:rFonts w:eastAsia="Cambria" w:cstheme="minorHAnsi"/>
          <w:szCs w:val="24"/>
        </w:rPr>
        <w:t xml:space="preserve">, and reporting of </w:t>
      </w:r>
      <w:proofErr w:type="gramStart"/>
      <w:r w:rsidRPr="00CE27FD">
        <w:rPr>
          <w:rFonts w:eastAsia="Cambria" w:cstheme="minorHAnsi"/>
          <w:szCs w:val="24"/>
        </w:rPr>
        <w:t>ProbMon data</w:t>
      </w:r>
      <w:proofErr w:type="gramEnd"/>
      <w:r w:rsidRPr="00CE27FD">
        <w:rPr>
          <w:rFonts w:eastAsia="Cambria" w:cstheme="minorHAnsi"/>
          <w:szCs w:val="24"/>
        </w:rPr>
        <w:t xml:space="preserve"> uses open-source software, which promotes the scientific transparency and reproducibility of this monitoring program</w:t>
      </w:r>
      <w:r w:rsidRPr="00CE27FD">
        <w:rPr>
          <w:rFonts w:eastAsia="Cambria" w:cstheme="minorHAnsi"/>
          <w:szCs w:val="24"/>
          <w:vertAlign w:val="superscript"/>
        </w:rPr>
        <w:footnoteReference w:id="2"/>
      </w:r>
      <w:r w:rsidRPr="00CE27FD">
        <w:rPr>
          <w:rFonts w:eastAsia="Cambria" w:cstheme="minorHAnsi"/>
          <w:szCs w:val="24"/>
        </w:rPr>
        <w:t>.</w:t>
      </w:r>
    </w:p>
    <w:p w14:paraId="557B3A44" w14:textId="77777777" w:rsidR="00B135A3" w:rsidRPr="00CE27FD" w:rsidRDefault="00B135A3" w:rsidP="00B135A3">
      <w:pPr>
        <w:rPr>
          <w:rFonts w:eastAsiaTheme="majorEastAsia" w:cstheme="minorHAnsi"/>
          <w:szCs w:val="24"/>
        </w:rPr>
      </w:pPr>
    </w:p>
    <w:p w14:paraId="3A2A6234" w14:textId="5374F6DA" w:rsidR="00B135A3" w:rsidRDefault="00B135A3" w:rsidP="00497DE6">
      <w:pPr>
        <w:widowControl/>
        <w:rPr>
          <w:rFonts w:eastAsia="Cambria" w:cstheme="minorHAnsi"/>
          <w:snapToGrid/>
          <w:szCs w:val="24"/>
        </w:rPr>
      </w:pPr>
      <w:r w:rsidRPr="00307D28">
        <w:rPr>
          <w:rFonts w:eastAsia="Cambria" w:cstheme="minorHAnsi"/>
          <w:snapToGrid/>
          <w:szCs w:val="24"/>
        </w:rPr>
        <w:t>Since 2001, the DEQ</w:t>
      </w:r>
      <w:r>
        <w:rPr>
          <w:rFonts w:eastAsia="Cambria" w:cstheme="minorHAnsi"/>
          <w:snapToGrid/>
          <w:szCs w:val="24"/>
        </w:rPr>
        <w:t xml:space="preserve"> </w:t>
      </w:r>
      <w:r w:rsidRPr="00307D28">
        <w:rPr>
          <w:rFonts w:eastAsia="Cambria" w:cstheme="minorHAnsi"/>
          <w:snapToGrid/>
          <w:szCs w:val="24"/>
        </w:rPr>
        <w:t xml:space="preserve">ProbMon program has sampled 975 randomly selected </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sites (Figure 4.4-5) to provide statistically valid estimates of statewide biological condition and stressor extent. This robust dataset can provide insight into water quality status at US Level III ecoregion and river basin-specific scales. In total, 240 sites were sampled during the 2024 assessment period (Figure 4.4-2). Based on the 2024 assessment period ProbMon data set, most Virginia streams meet applicable numeric water quality criteria associated with aquatic life use. However, over 36% of Virginia streams fail to meet biological condition expectations, which are set using a defined assessment threshold for aquatic organism (benthic) communities as indicators of stream health (VSCI/VCPMI). Additionally, many streams exceed screening values for parameters that have been shown in previous studies to have the potential to act as stressors on aquatic life communities. These parameters, which include streambed sedimentation, habitat disturbance, and nutrient concentrations, are evaluated on a statewide basis using ProbMon data (Figure 4.4-1).</w:t>
      </w:r>
    </w:p>
    <w:p w14:paraId="07064AB9" w14:textId="77777777" w:rsidR="00B135A3" w:rsidRPr="00E26300" w:rsidRDefault="00B135A3" w:rsidP="00B135A3">
      <w:pPr>
        <w:widowControl/>
        <w:rPr>
          <w:rFonts w:eastAsia="Cambria" w:cstheme="minorHAnsi"/>
          <w:snapToGrid/>
          <w:szCs w:val="24"/>
        </w:rPr>
      </w:pPr>
    </w:p>
    <w:p w14:paraId="176D48EB" w14:textId="77777777" w:rsidR="00B135A3" w:rsidRDefault="00B135A3" w:rsidP="00B135A3">
      <w:pPr>
        <w:pStyle w:val="CaptionedFigure"/>
      </w:pPr>
      <w:r w:rsidRPr="00D03E41">
        <w:rPr>
          <w:noProof/>
        </w:rPr>
        <w:lastRenderedPageBreak/>
        <w:drawing>
          <wp:inline distT="0" distB="0" distL="0" distR="0" wp14:anchorId="6FA26A22" wp14:editId="44CE9F33">
            <wp:extent cx="5334000" cy="2333625"/>
            <wp:effectExtent l="0" t="0" r="0" b="0"/>
            <wp:docPr id="2107671367" name="Picture 2107671367" descr="Figure of Percentage of stream miles with water quality parameters exceeding criteria, assessment thresholds or screening values. Orange bars indicate parameters with screening values only (no numeric water quality criteria or assessment thresholds) and green bars indicate parameters with numeric water quality criteria (pH, DO) or assessment thresholds (VSCI/VCPMI). Horizontal lines associated with each parameter illustrates 95% confidence limits. Figure represents data collected from 2017 - 2022."/>
            <wp:cNvGraphicFramePr/>
            <a:graphic xmlns:a="http://schemas.openxmlformats.org/drawingml/2006/main">
              <a:graphicData uri="http://schemas.openxmlformats.org/drawingml/2006/picture">
                <pic:pic xmlns:pic="http://schemas.openxmlformats.org/drawingml/2006/picture">
                  <pic:nvPicPr>
                    <pic:cNvPr id="2" name="Picture" descr="Figure of Percentage of stream miles with water quality parameters exceeding criteria, assessment thresholds or screening values. Orange bars indicate parameters with screening values only (no numeric water quality criteria or assessment thresholds) and green bars indicate parameters with numeric water quality criteria (pH, DO) or assessment thresholds (VSCI/VCPMI). Horizontal lines associated with each parameter illustrates 95% confidence limits. Figure represents data collected from 2017 - 2022."/>
                    <pic:cNvPicPr>
                      <a:picLocks noChangeAspect="1" noChangeArrowheads="1"/>
                    </pic:cNvPicPr>
                  </pic:nvPicPr>
                  <pic:blipFill>
                    <a:blip r:embed="rId174" cstate="email">
                      <a:extLst>
                        <a:ext uri="{28A0092B-C50C-407E-A947-70E740481C1C}">
                          <a14:useLocalDpi xmlns:a14="http://schemas.microsoft.com/office/drawing/2010/main"/>
                        </a:ext>
                      </a:extLst>
                    </a:blip>
                    <a:stretch>
                      <a:fillRect/>
                    </a:stretch>
                  </pic:blipFill>
                  <pic:spPr bwMode="auto">
                    <a:xfrm>
                      <a:off x="0" y="0"/>
                      <a:ext cx="5334000" cy="2333625"/>
                    </a:xfrm>
                    <a:prstGeom prst="rect">
                      <a:avLst/>
                    </a:prstGeom>
                    <a:noFill/>
                    <a:ln w="9525">
                      <a:noFill/>
                      <a:headEnd/>
                      <a:tailEnd/>
                    </a:ln>
                  </pic:spPr>
                </pic:pic>
              </a:graphicData>
            </a:graphic>
          </wp:inline>
        </w:drawing>
      </w:r>
    </w:p>
    <w:p w14:paraId="56930B34" w14:textId="17A6F50D" w:rsidR="00E007F8" w:rsidRPr="0062574F" w:rsidRDefault="00B135A3" w:rsidP="00E007F8">
      <w:pPr>
        <w:pStyle w:val="Caption"/>
        <w:jc w:val="both"/>
      </w:pPr>
      <w:bookmarkStart w:id="184" w:name="_Toc164175087"/>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xml:space="preserve">. </w:t>
      </w:r>
      <w:r w:rsidRPr="00B62885">
        <w:t>Percentage of stream miles with water quality parameters exceeding criteria</w:t>
      </w:r>
      <w:bookmarkEnd w:id="184"/>
      <w:r>
        <w:t xml:space="preserve">, assessment thresholds, or screening values. Orange bars indicate parameters with screening values only (no numeric water quality criteria or assessment thresholds) and green bars indicate parameters with numeric water quality criteria (pH, DO) or assessment thresholds (VSCI/VCPMI). Horizontal lines associated with each parameter </w:t>
      </w:r>
      <w:proofErr w:type="gramStart"/>
      <w:r>
        <w:t>illustrates</w:t>
      </w:r>
      <w:proofErr w:type="gramEnd"/>
      <w:r>
        <w:t xml:space="preserve"> 95% confidence limits. </w:t>
      </w:r>
      <w:proofErr w:type="gramStart"/>
      <w:r>
        <w:t>Figure</w:t>
      </w:r>
      <w:proofErr w:type="gramEnd"/>
      <w:r>
        <w:t xml:space="preserve"> represents data collected from 2017 - 2022.</w:t>
      </w:r>
    </w:p>
    <w:p w14:paraId="6221ADB1" w14:textId="77777777" w:rsidR="00B135A3" w:rsidRPr="004620BC" w:rsidRDefault="00B135A3" w:rsidP="00B135A3">
      <w:pPr>
        <w:rPr>
          <w:rFonts w:eastAsia="Cambria"/>
        </w:rPr>
      </w:pPr>
    </w:p>
    <w:p w14:paraId="41115D68" w14:textId="77777777" w:rsidR="00B135A3" w:rsidRDefault="00B135A3" w:rsidP="00B135A3">
      <w:pPr>
        <w:widowControl/>
        <w:rPr>
          <w:rFonts w:eastAsia="Cambria" w:cstheme="minorHAnsi"/>
          <w:snapToGrid/>
          <w:szCs w:val="24"/>
        </w:rPr>
      </w:pPr>
      <w:r w:rsidRPr="00307D28">
        <w:rPr>
          <w:rFonts w:eastAsia="Cambria" w:cstheme="minorHAnsi"/>
          <w:snapToGrid/>
          <w:szCs w:val="24"/>
        </w:rPr>
        <w:t>ProbMon provides methods for identifying potential aquatic life water quality stressors for which numeric criteria do not exist. For example, the agency uses ProbMon data to conduct benthic stressor analyses when developing TMDLs to determine the most probable water quality problems causing benthic impairments (i.e., the most probable stressors). These analyses often identify nutrients or sedimentation as the most probable stressors</w:t>
      </w:r>
      <w:r>
        <w:rPr>
          <w:rFonts w:eastAsia="Cambria" w:cstheme="minorHAnsi"/>
          <w:snapToGrid/>
          <w:szCs w:val="24"/>
        </w:rPr>
        <w:t xml:space="preserve">. </w:t>
      </w:r>
      <w:r w:rsidRPr="00307D28">
        <w:rPr>
          <w:rFonts w:eastAsia="Cambria" w:cstheme="minorHAnsi"/>
          <w:snapToGrid/>
          <w:szCs w:val="24"/>
        </w:rPr>
        <w:t xml:space="preserve">The unbiased, statewide approach to collecting water quality data employed in ProbMon </w:t>
      </w:r>
      <w:r>
        <w:rPr>
          <w:rFonts w:eastAsia="Cambria" w:cstheme="minorHAnsi"/>
          <w:snapToGrid/>
          <w:szCs w:val="24"/>
        </w:rPr>
        <w:t xml:space="preserve">also </w:t>
      </w:r>
      <w:r w:rsidRPr="00307D28">
        <w:rPr>
          <w:rFonts w:eastAsia="Cambria" w:cstheme="minorHAnsi"/>
          <w:snapToGrid/>
          <w:szCs w:val="24"/>
        </w:rPr>
        <w:t xml:space="preserve">provides an </w:t>
      </w:r>
      <w:r>
        <w:rPr>
          <w:rFonts w:eastAsia="Cambria" w:cstheme="minorHAnsi"/>
          <w:snapToGrid/>
          <w:szCs w:val="24"/>
        </w:rPr>
        <w:t>extensive dataset</w:t>
      </w:r>
      <w:r w:rsidRPr="00307D28">
        <w:rPr>
          <w:rFonts w:eastAsia="Cambria" w:cstheme="minorHAnsi"/>
          <w:snapToGrid/>
          <w:szCs w:val="24"/>
        </w:rPr>
        <w:t xml:space="preserve"> for developing and improving assessment methods</w:t>
      </w:r>
      <w:r>
        <w:rPr>
          <w:rFonts w:eastAsia="Cambria" w:cstheme="minorHAnsi"/>
          <w:snapToGrid/>
          <w:szCs w:val="24"/>
        </w:rPr>
        <w:t xml:space="preserve"> such as </w:t>
      </w:r>
      <w:r w:rsidRPr="00307D28">
        <w:rPr>
          <w:rFonts w:eastAsia="Cambria" w:cstheme="minorHAnsi"/>
          <w:snapToGrid/>
          <w:szCs w:val="24"/>
        </w:rPr>
        <w:t xml:space="preserve">fish-based bioassessments. For example, the agency is creating methods for conducting genus-level (rather than the current family-level) macroinvertebrate bioassessments as well as fish-based bioassessments. </w:t>
      </w:r>
      <w:r w:rsidRPr="00D5178E">
        <w:rPr>
          <w:rFonts w:eastAsia="Cambria" w:cstheme="minorHAnsi"/>
          <w:snapToGrid/>
          <w:szCs w:val="24"/>
        </w:rPr>
        <w:t>Development of these new tools is made possible by the extensive dataset produced by the ProbMon program</w:t>
      </w:r>
      <w:r w:rsidRPr="00307D28">
        <w:rPr>
          <w:rFonts w:eastAsia="Cambria" w:cstheme="minorHAnsi"/>
          <w:snapToGrid/>
          <w:szCs w:val="24"/>
        </w:rPr>
        <w:t>.</w:t>
      </w:r>
    </w:p>
    <w:p w14:paraId="52392D28" w14:textId="77777777" w:rsidR="00B135A3" w:rsidRPr="00307D28" w:rsidRDefault="00B135A3" w:rsidP="00B135A3">
      <w:pPr>
        <w:widowControl/>
        <w:rPr>
          <w:rFonts w:eastAsia="Cambria" w:cstheme="minorHAnsi"/>
          <w:snapToGrid/>
          <w:szCs w:val="24"/>
        </w:rPr>
      </w:pPr>
    </w:p>
    <w:p w14:paraId="76863138" w14:textId="77777777" w:rsidR="00B135A3" w:rsidRDefault="00B135A3" w:rsidP="00B135A3">
      <w:pPr>
        <w:widowControl/>
        <w:rPr>
          <w:rFonts w:eastAsia="Cambria" w:cstheme="minorHAnsi"/>
          <w:snapToGrid/>
          <w:szCs w:val="24"/>
        </w:rPr>
      </w:pPr>
      <w:r w:rsidRPr="00307D28">
        <w:rPr>
          <w:rFonts w:eastAsia="Cambria" w:cstheme="minorHAnsi"/>
          <w:snapToGrid/>
          <w:szCs w:val="24"/>
        </w:rPr>
        <w:t>DEQ has a history of watershed-scale restoration and protection efforts aimed at water quality parameters that don’t have numeric water quality criteria. For example, the Commonwealth has a long-standing commitment to achieve its share of the nutrient and sediment reductions pursuant</w:t>
      </w:r>
      <w:r>
        <w:rPr>
          <w:rFonts w:eastAsia="Cambria" w:cstheme="minorHAnsi"/>
          <w:snapToGrid/>
          <w:szCs w:val="24"/>
        </w:rPr>
        <w:t xml:space="preserve"> to </w:t>
      </w:r>
      <w:proofErr w:type="gramStart"/>
      <w:r>
        <w:rPr>
          <w:rFonts w:eastAsia="Cambria" w:cstheme="minorHAnsi"/>
          <w:snapToGrid/>
          <w:szCs w:val="24"/>
        </w:rPr>
        <w:t>the</w:t>
      </w:r>
      <w:r w:rsidRPr="00307D28">
        <w:rPr>
          <w:rFonts w:eastAsia="Cambria" w:cstheme="minorHAnsi"/>
          <w:snapToGrid/>
          <w:szCs w:val="24"/>
        </w:rPr>
        <w:t xml:space="preserve"> Bay</w:t>
      </w:r>
      <w:proofErr w:type="gramEnd"/>
      <w:r w:rsidRPr="00307D28">
        <w:rPr>
          <w:rFonts w:eastAsia="Cambria" w:cstheme="minorHAnsi"/>
          <w:snapToGrid/>
          <w:szCs w:val="24"/>
        </w:rPr>
        <w:t xml:space="preserve"> TMDL</w:t>
      </w:r>
      <w:r>
        <w:rPr>
          <w:rFonts w:eastAsia="Cambria" w:cstheme="minorHAnsi"/>
          <w:snapToGrid/>
          <w:szCs w:val="24"/>
        </w:rPr>
        <w:t xml:space="preserve"> and WIP</w:t>
      </w:r>
      <w:r w:rsidRPr="00307D28">
        <w:rPr>
          <w:rFonts w:eastAsia="Cambria" w:cstheme="minorHAnsi"/>
          <w:snapToGrid/>
          <w:szCs w:val="24"/>
        </w:rPr>
        <w:t xml:space="preserve">. Virginia’s </w:t>
      </w:r>
      <w:r>
        <w:rPr>
          <w:rFonts w:eastAsia="Cambria" w:cstheme="minorHAnsi"/>
          <w:snapToGrid/>
          <w:szCs w:val="24"/>
        </w:rPr>
        <w:t>WIP</w:t>
      </w:r>
      <w:r w:rsidRPr="00307D28">
        <w:rPr>
          <w:rFonts w:eastAsia="Cambria" w:cstheme="minorHAnsi"/>
          <w:snapToGrid/>
          <w:szCs w:val="24"/>
        </w:rPr>
        <w:t xml:space="preserve"> (submitted to EPA in August 2019) documents a mix of regulatory and non-regulatory programs aimed at reducing nutrients across all sources to comply with the Bay TMDL. Similar efforts are underway in several local TMDLs across Virginia. ProbMon </w:t>
      </w:r>
      <w:r>
        <w:rPr>
          <w:rFonts w:eastAsia="Cambria" w:cstheme="minorHAnsi"/>
          <w:snapToGrid/>
          <w:szCs w:val="24"/>
        </w:rPr>
        <w:t xml:space="preserve">provides a basis </w:t>
      </w:r>
      <w:r w:rsidRPr="00307D28">
        <w:rPr>
          <w:rFonts w:eastAsia="Cambria" w:cstheme="minorHAnsi"/>
          <w:snapToGrid/>
          <w:szCs w:val="24"/>
        </w:rPr>
        <w:t>to statistically evaluate the effectiveness of these management strategies for improving aquatic life use conditions and associated stressors in perennial freshwater streams across the Commonwealth.</w:t>
      </w:r>
    </w:p>
    <w:p w14:paraId="151B1B72" w14:textId="77777777" w:rsidR="00B135A3" w:rsidRPr="00307D28" w:rsidRDefault="00B135A3" w:rsidP="00B135A3">
      <w:pPr>
        <w:widowControl/>
        <w:rPr>
          <w:rFonts w:eastAsia="Cambria" w:cstheme="minorHAnsi"/>
          <w:snapToGrid/>
          <w:szCs w:val="24"/>
        </w:rPr>
      </w:pPr>
    </w:p>
    <w:p w14:paraId="4BF89FAF" w14:textId="77777777" w:rsidR="00B135A3" w:rsidRPr="009B718C" w:rsidRDefault="00B135A3" w:rsidP="00B135A3">
      <w:pPr>
        <w:pStyle w:val="Heading3"/>
      </w:pPr>
      <w:r w:rsidRPr="009B718C">
        <w:t>Introduction</w:t>
      </w:r>
    </w:p>
    <w:p w14:paraId="1C12CA0D"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Probabilistic monitoring is designed to answer basic questions like: “What are the primary water quality problems in Virginia, how widespread are these problems, and what pollutants cause the greatest environmental stress to Virginia’s water resources?” In accordance </w:t>
      </w:r>
      <w:r>
        <w:rPr>
          <w:rFonts w:eastAsia="Cambria" w:cstheme="minorHAnsi"/>
          <w:snapToGrid/>
          <w:szCs w:val="24"/>
        </w:rPr>
        <w:t xml:space="preserve">WQMIRA </w:t>
      </w:r>
      <w:r>
        <w:rPr>
          <w:rFonts w:eastAsia="Cambria" w:cstheme="minorHAnsi"/>
          <w:snapToGrid/>
          <w:szCs w:val="24"/>
        </w:rPr>
        <w:lastRenderedPageBreak/>
        <w:t>(</w:t>
      </w:r>
      <w:r w:rsidRPr="00AD3B35">
        <w:rPr>
          <w:rFonts w:cstheme="minorHAnsi"/>
        </w:rPr>
        <w:t>§ 62.1-44.19:5</w:t>
      </w:r>
      <w:r>
        <w:rPr>
          <w:rFonts w:cstheme="minorHAnsi"/>
        </w:rPr>
        <w:t>)</w:t>
      </w:r>
      <w:r w:rsidRPr="00307D28">
        <w:rPr>
          <w:rFonts w:eastAsia="Cambria" w:cstheme="minorHAnsi"/>
          <w:snapToGrid/>
          <w:szCs w:val="24"/>
        </w:rPr>
        <w:t xml:space="preserve">, and the Federal Clean Water Act, the Virginia General Assembly, </w:t>
      </w:r>
      <w:r>
        <w:rPr>
          <w:rFonts w:eastAsia="Cambria" w:cstheme="minorHAnsi"/>
          <w:snapToGrid/>
          <w:szCs w:val="24"/>
        </w:rPr>
        <w:t>residents</w:t>
      </w:r>
      <w:r w:rsidRPr="00307D28">
        <w:rPr>
          <w:rFonts w:eastAsia="Cambria" w:cstheme="minorHAnsi"/>
          <w:snapToGrid/>
          <w:szCs w:val="24"/>
        </w:rPr>
        <w:t>, environmental stakeholders, and the United States Environmental Protection Agency (EPA) have encouraged the DEQ to answer these questions and to establish baseline water quality conditions for Virginia’s streams and rivers. ProbMon is the component of DEQ’s Monitoring Strategy that can estimate water quality conditions</w:t>
      </w:r>
      <w:r>
        <w:rPr>
          <w:rFonts w:eastAsia="Cambria" w:cstheme="minorHAnsi"/>
          <w:snapToGrid/>
          <w:szCs w:val="24"/>
        </w:rPr>
        <w:t xml:space="preserve"> in free-flowing streams and rivers</w:t>
      </w:r>
      <w:r w:rsidRPr="00307D28">
        <w:rPr>
          <w:rFonts w:eastAsia="Cambria" w:cstheme="minorHAnsi"/>
          <w:snapToGrid/>
          <w:szCs w:val="24"/>
        </w:rPr>
        <w:t xml:space="preserve"> statewide due to the large, statistically unbiased sampling network. This network is developed based on random site selection at a spatial density that allows for estimation of water quality conditions statewide on an annual basis.</w:t>
      </w:r>
    </w:p>
    <w:p w14:paraId="17DE2785" w14:textId="77777777" w:rsidR="00B135A3" w:rsidRPr="00307D28" w:rsidRDefault="00B135A3" w:rsidP="00B135A3">
      <w:pPr>
        <w:widowControl/>
        <w:rPr>
          <w:rFonts w:eastAsia="Cambria" w:cstheme="minorHAnsi"/>
          <w:snapToGrid/>
          <w:szCs w:val="24"/>
        </w:rPr>
      </w:pPr>
    </w:p>
    <w:p w14:paraId="409EE824"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Extrapolating estimates of water quality conditions across large spatial areas requires the ProbMon sample design to differ from all other DEQ monitoring strategies. Typically, water quality monitoring stations are located at bridges, boat ramps, or other public access points. These targeted monitoring stations comprise DEQ’s ambient monitoring network and have great utility for assessing water quality at watershed scales, identifying impaired waters, supporting TMDL and Implementation Plan modeling efforts, monitoring water quality trends over time, tracking local pollution events, and monitoring regulatory compliance of pollution sources. However, it is not appropriate to extrapolate results from these targeted stations to un-sampled watersheds. While ambient trend sites track the changes of several important chemical parameters over time on selected waterbodies (see </w:t>
      </w:r>
      <w:r>
        <w:rPr>
          <w:rFonts w:eastAsia="Cambria" w:cstheme="minorHAnsi"/>
          <w:snapToGrid/>
          <w:szCs w:val="24"/>
        </w:rPr>
        <w:t>Section</w:t>
      </w:r>
      <w:r w:rsidRPr="00307D28">
        <w:rPr>
          <w:rFonts w:eastAsia="Cambria" w:cstheme="minorHAnsi"/>
          <w:snapToGrid/>
          <w:szCs w:val="24"/>
        </w:rPr>
        <w:t xml:space="preserve"> 4.7 of this Integrated Report), probabilistic surveys can estimate both status and changes over time for chemical, biological, and habitat parameters at various spatial scales.</w:t>
      </w:r>
    </w:p>
    <w:p w14:paraId="2B3C8A37" w14:textId="77777777" w:rsidR="00B135A3" w:rsidRPr="00307D28" w:rsidRDefault="00B135A3" w:rsidP="00B135A3">
      <w:pPr>
        <w:widowControl/>
        <w:rPr>
          <w:rFonts w:eastAsia="Cambria" w:cstheme="minorHAnsi"/>
          <w:snapToGrid/>
          <w:szCs w:val="24"/>
        </w:rPr>
      </w:pPr>
    </w:p>
    <w:p w14:paraId="40923F1D" w14:textId="35DE4F88" w:rsidR="00B135A3" w:rsidRDefault="00B135A3" w:rsidP="00B135A3">
      <w:pPr>
        <w:widowControl/>
        <w:rPr>
          <w:rFonts w:eastAsia="Cambria" w:cstheme="minorHAnsi"/>
          <w:snapToGrid/>
          <w:szCs w:val="24"/>
        </w:rPr>
      </w:pPr>
      <w:r>
        <w:rPr>
          <w:rFonts w:eastAsia="Cambria" w:cstheme="minorHAnsi"/>
          <w:snapToGrid/>
          <w:szCs w:val="24"/>
        </w:rPr>
        <w:t xml:space="preserve">The </w:t>
      </w:r>
      <w:r w:rsidRPr="00307D28">
        <w:rPr>
          <w:rFonts w:eastAsia="Cambria" w:cstheme="minorHAnsi"/>
          <w:snapToGrid/>
          <w:szCs w:val="24"/>
        </w:rPr>
        <w:t>ProbMon monitoring program routinely monitors headwater systems, which make up over 65% of Virginia’s total stream miles. In contrast, DEQ’s ambient monitoring network</w:t>
      </w:r>
      <w:r>
        <w:rPr>
          <w:rFonts w:eastAsia="Cambria" w:cstheme="minorHAnsi"/>
          <w:snapToGrid/>
          <w:szCs w:val="24"/>
        </w:rPr>
        <w:t xml:space="preserve"> normally utilizes the limited resources of the Agency to focus on larger order streams as these locations provide information on watershed conditions.</w:t>
      </w:r>
      <w:r w:rsidRPr="00307D28">
        <w:rPr>
          <w:rFonts w:eastAsia="Cambria" w:cstheme="minorHAnsi"/>
          <w:snapToGrid/>
          <w:szCs w:val="24"/>
        </w:rPr>
        <w:t xml:space="preserve"> Therefore, the ambient network provides assessments for a small portion of the Commonwealth’s </w:t>
      </w:r>
      <w:r>
        <w:rPr>
          <w:rFonts w:eastAsia="Cambria" w:cstheme="minorHAnsi"/>
          <w:snapToGrid/>
          <w:szCs w:val="24"/>
        </w:rPr>
        <w:t xml:space="preserve">total stream miles </w:t>
      </w:r>
      <w:r w:rsidRPr="00307D28">
        <w:rPr>
          <w:rFonts w:eastAsia="Cambria" w:cstheme="minorHAnsi"/>
          <w:snapToGrid/>
          <w:szCs w:val="24"/>
        </w:rPr>
        <w:t xml:space="preserve">on a biannual basis. Thus, data from randomly chosen sample locations that statistically represent all stream miles in Virginia are a </w:t>
      </w:r>
      <w:r>
        <w:rPr>
          <w:rFonts w:eastAsia="Cambria" w:cstheme="minorHAnsi"/>
          <w:snapToGrid/>
          <w:szCs w:val="24"/>
        </w:rPr>
        <w:t xml:space="preserve">valuable </w:t>
      </w:r>
      <w:r w:rsidRPr="00307D28">
        <w:rPr>
          <w:rFonts w:eastAsia="Cambria" w:cstheme="minorHAnsi"/>
          <w:snapToGrid/>
          <w:szCs w:val="24"/>
        </w:rPr>
        <w:t>component of assessing water quality conditions at various spatial and temporal scales.</w:t>
      </w:r>
      <w:r w:rsidR="006C0CFC">
        <w:rPr>
          <w:rFonts w:eastAsia="Cambria" w:cstheme="minorHAnsi"/>
          <w:snapToGrid/>
          <w:szCs w:val="24"/>
        </w:rPr>
        <w:t xml:space="preserve"> </w:t>
      </w:r>
      <w:r w:rsidRPr="00C83834">
        <w:rPr>
          <w:rFonts w:eastAsia="Cambria" w:cstheme="minorHAnsi"/>
          <w:snapToGrid/>
          <w:szCs w:val="24"/>
        </w:rPr>
        <w:t xml:space="preserve">For more information on site selection for freshwater probabilistic sites, please see </w:t>
      </w:r>
      <w:r w:rsidR="006C0CFC">
        <w:rPr>
          <w:rFonts w:eastAsia="Cambria" w:cstheme="minorHAnsi"/>
          <w:snapToGrid/>
          <w:szCs w:val="24"/>
        </w:rPr>
        <w:t>DEQ Water Quality Monitoring Strategy.</w:t>
      </w:r>
    </w:p>
    <w:p w14:paraId="458C05CA" w14:textId="77777777" w:rsidR="00B135A3" w:rsidRPr="00307D28" w:rsidRDefault="00B135A3" w:rsidP="00B135A3">
      <w:pPr>
        <w:widowControl/>
        <w:rPr>
          <w:rFonts w:eastAsia="Cambria" w:cstheme="minorHAnsi"/>
          <w:snapToGrid/>
          <w:szCs w:val="24"/>
        </w:rPr>
      </w:pPr>
    </w:p>
    <w:p w14:paraId="27C6F073" w14:textId="0541C9B9" w:rsidR="00B135A3" w:rsidRDefault="00B135A3" w:rsidP="00B135A3">
      <w:pPr>
        <w:widowControl/>
        <w:rPr>
          <w:rFonts w:eastAsia="Cambria" w:cstheme="minorHAnsi"/>
          <w:snapToGrid/>
          <w:szCs w:val="24"/>
        </w:rPr>
      </w:pPr>
      <w:r w:rsidRPr="00307D28">
        <w:rPr>
          <w:rFonts w:eastAsia="Cambria" w:cstheme="minorHAnsi"/>
          <w:snapToGrid/>
          <w:szCs w:val="24"/>
        </w:rPr>
        <w:t>From 2001 to 2022, DEQ has evaluated 1588 stations and sampled 975 sites (Figure 4.4-5). In some cases, stations were evaluated but not sampled for a variety of reasons including: the stream was not perennial, it was saltwater-influenced, or the landowner denied access. DEQ typically samples 50 to 60 random stations per year throughout Virginia for a variety of chemical, biological, and habitat parameters. The number of stations sampled per year meet the minimum required to calculate an annual statewide estimate of water quality condition (Feller 1968). From January 1st, 2017, until December 31st, 2022, DEQ evaluated 397 sites and sampled 240 stations (Figure 4.4-2).</w:t>
      </w:r>
    </w:p>
    <w:p w14:paraId="16032BFE" w14:textId="77777777" w:rsidR="00B135A3" w:rsidRPr="00307D28" w:rsidRDefault="00B135A3" w:rsidP="00B135A3">
      <w:pPr>
        <w:widowControl/>
        <w:rPr>
          <w:rFonts w:eastAsia="Cambria" w:cstheme="minorHAnsi"/>
          <w:snapToGrid/>
          <w:szCs w:val="24"/>
        </w:rPr>
      </w:pPr>
    </w:p>
    <w:p w14:paraId="12BB7C4E"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 xml:space="preserve">The amount of data collected in a six-year Integrated Report window allows for the calculation of condition estimates across stream size and ecoregion; alternately, combining all data from the advent of the program (2001 - 2022; 975 monitoring stations) allows for more data intensive calculations of stream size, ecoregion, and basin-scale status estimates in addition to </w:t>
      </w:r>
      <w:r w:rsidRPr="00307D28">
        <w:rPr>
          <w:rFonts w:eastAsia="Cambria" w:cstheme="minorHAnsi"/>
          <w:snapToGrid/>
          <w:szCs w:val="24"/>
        </w:rPr>
        <w:lastRenderedPageBreak/>
        <w:t>relative risk. Analyses conducted over this larger time window are not meant to represent current conditions, rather they are meant to indicate what water quality conditions have been over the 22-year period. Figures 4.4-3 and 4.4-4 plot the 240 stations sampled from 2017 - 2022 with major river basins and US Level III Ecoregions, respectively. Temporal change analysis across the landscape will be possible with continued probabilistic monitoring effort.</w:t>
      </w:r>
    </w:p>
    <w:p w14:paraId="3D9C6552" w14:textId="77777777" w:rsidR="00B135A3" w:rsidRPr="00606F00" w:rsidRDefault="00B135A3" w:rsidP="00B135A3">
      <w:pPr>
        <w:pStyle w:val="Caption"/>
        <w:rPr>
          <w:snapToGrid/>
        </w:rPr>
      </w:pPr>
    </w:p>
    <w:p w14:paraId="33E7E257" w14:textId="50B5843B" w:rsidR="00B135A3" w:rsidRDefault="00B135A3" w:rsidP="00B135A3">
      <w:pPr>
        <w:keepNext/>
        <w:widowControl/>
        <w:spacing w:before="180" w:after="180"/>
        <w:jc w:val="center"/>
      </w:pPr>
      <w:r w:rsidRPr="00307D28">
        <w:rPr>
          <w:rFonts w:eastAsia="Cambria" w:cstheme="minorHAnsi"/>
          <w:noProof/>
          <w:snapToGrid/>
          <w:szCs w:val="24"/>
        </w:rPr>
        <w:drawing>
          <wp:inline distT="0" distB="0" distL="0" distR="0" wp14:anchorId="45BE4351" wp14:editId="2F294176">
            <wp:extent cx="5313145" cy="2541069"/>
            <wp:effectExtent l="0" t="0" r="0" b="0"/>
            <wp:docPr id="1337331539" name="Picture 1337331539" descr="Map of  Virginia probabilistic monitoring locations from 2017 - 2022 (n = 240)."/>
            <wp:cNvGraphicFramePr/>
            <a:graphic xmlns:a="http://schemas.openxmlformats.org/drawingml/2006/main">
              <a:graphicData uri="http://schemas.openxmlformats.org/drawingml/2006/picture">
                <pic:pic xmlns:pic="http://schemas.openxmlformats.org/drawingml/2006/picture">
                  <pic:nvPicPr>
                    <pic:cNvPr id="3" name="Picture" descr="Map of  Virginia probabilistic monitoring locations from 2017 - 2022 (n = 240)."/>
                    <pic:cNvPicPr>
                      <a:picLocks noChangeAspect="1" noChangeArrowheads="1"/>
                    </pic:cNvPicPr>
                  </pic:nvPicPr>
                  <pic:blipFill>
                    <a:blip r:embed="rId175"/>
                    <a:stretch>
                      <a:fillRect/>
                    </a:stretch>
                  </pic:blipFill>
                  <pic:spPr bwMode="auto">
                    <a:xfrm>
                      <a:off x="0" y="0"/>
                      <a:ext cx="5313145" cy="2541069"/>
                    </a:xfrm>
                    <a:prstGeom prst="rect">
                      <a:avLst/>
                    </a:prstGeom>
                    <a:noFill/>
                    <a:ln w="9525">
                      <a:noFill/>
                      <a:headEnd/>
                      <a:tailEnd/>
                    </a:ln>
                  </pic:spPr>
                </pic:pic>
              </a:graphicData>
            </a:graphic>
          </wp:inline>
        </w:drawing>
      </w:r>
    </w:p>
    <w:p w14:paraId="3C066AC3" w14:textId="0AFE2203" w:rsidR="00B9470F" w:rsidRDefault="00B135A3" w:rsidP="00E35424">
      <w:pPr>
        <w:pStyle w:val="Caption"/>
        <w:rPr>
          <w:snapToGrid/>
        </w:rPr>
      </w:pPr>
      <w:bookmarkStart w:id="185" w:name="_Toc164175088"/>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w:t>
      </w:r>
      <w:r w:rsidR="004F13BA">
        <w:rPr>
          <w:noProof/>
        </w:rPr>
        <w:fldChar w:fldCharType="end"/>
      </w:r>
      <w:r>
        <w:t xml:space="preserve">. </w:t>
      </w:r>
      <w:r w:rsidRPr="00606F00">
        <w:rPr>
          <w:snapToGrid/>
        </w:rPr>
        <w:t>Virginia probabilistic monitoring locations from 2017 - 2022 (n = 240).</w:t>
      </w:r>
      <w:bookmarkEnd w:id="185"/>
    </w:p>
    <w:p w14:paraId="2D2CD473" w14:textId="77777777" w:rsidR="00B9470F" w:rsidRDefault="00B9470F" w:rsidP="00B9470F">
      <w:pPr>
        <w:rPr>
          <w:snapToGrid/>
        </w:rPr>
      </w:pPr>
    </w:p>
    <w:p w14:paraId="1F949649" w14:textId="77777777" w:rsidR="00E35424" w:rsidRDefault="00E35424" w:rsidP="00E35424">
      <w:pPr>
        <w:rPr>
          <w:rFonts w:eastAsia="Cambria"/>
          <w:noProof/>
          <w:snapToGrid/>
        </w:rPr>
      </w:pPr>
    </w:p>
    <w:p w14:paraId="5DCA80A7" w14:textId="3CB66527" w:rsidR="00E35424" w:rsidRDefault="00E35424" w:rsidP="00E35424">
      <w:pPr>
        <w:rPr>
          <w:rFonts w:eastAsia="Cambria"/>
          <w:noProof/>
          <w:snapToGrid/>
        </w:rPr>
      </w:pPr>
      <w:r w:rsidRPr="00307D28">
        <w:rPr>
          <w:rFonts w:eastAsia="Cambria"/>
          <w:noProof/>
          <w:snapToGrid/>
        </w:rPr>
        <w:drawing>
          <wp:inline distT="0" distB="0" distL="0" distR="0" wp14:anchorId="3C5364E1" wp14:editId="6651F22A">
            <wp:extent cx="5334000" cy="2857500"/>
            <wp:effectExtent l="0" t="0" r="0" b="0"/>
            <wp:docPr id="1467609800" name="Picture 1467609800" descr="Map of Virginia probabilistic monitoring locations from 2017 - 2022 with Virginia major river basins (n = 240)."/>
            <wp:cNvGraphicFramePr/>
            <a:graphic xmlns:a="http://schemas.openxmlformats.org/drawingml/2006/main">
              <a:graphicData uri="http://schemas.openxmlformats.org/drawingml/2006/picture">
                <pic:pic xmlns:pic="http://schemas.openxmlformats.org/drawingml/2006/picture">
                  <pic:nvPicPr>
                    <pic:cNvPr id="4" name="Picture" descr="Map of Virginia probabilistic monitoring locations from 2017 - 2022 with Virginia major river basins (n = 240)."/>
                    <pic:cNvPicPr>
                      <a:picLocks noChangeAspect="1" noChangeArrowheads="1"/>
                    </pic:cNvPicPr>
                  </pic:nvPicPr>
                  <pic:blipFill>
                    <a:blip r:embed="rId176" cstate="email">
                      <a:extLst>
                        <a:ext uri="{28A0092B-C50C-407E-A947-70E740481C1C}">
                          <a14:useLocalDpi xmlns:a14="http://schemas.microsoft.com/office/drawing/2010/main"/>
                        </a:ext>
                      </a:extLst>
                    </a:blip>
                    <a:stretch>
                      <a:fillRect/>
                    </a:stretch>
                  </pic:blipFill>
                  <pic:spPr bwMode="auto">
                    <a:xfrm>
                      <a:off x="0" y="0"/>
                      <a:ext cx="5334000" cy="2857500"/>
                    </a:xfrm>
                    <a:prstGeom prst="rect">
                      <a:avLst/>
                    </a:prstGeom>
                    <a:noFill/>
                    <a:ln w="9525">
                      <a:noFill/>
                      <a:headEnd/>
                      <a:tailEnd/>
                    </a:ln>
                  </pic:spPr>
                </pic:pic>
              </a:graphicData>
            </a:graphic>
          </wp:inline>
        </w:drawing>
      </w:r>
    </w:p>
    <w:p w14:paraId="00BFA1AB" w14:textId="183B0315" w:rsidR="00223054" w:rsidRPr="0062574F" w:rsidRDefault="00B135A3" w:rsidP="00223054">
      <w:pPr>
        <w:pStyle w:val="Caption"/>
        <w:jc w:val="both"/>
      </w:pPr>
      <w:bookmarkStart w:id="186" w:name="_Toc164175089"/>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3</w:t>
      </w:r>
      <w:r w:rsidR="004F13BA">
        <w:rPr>
          <w:noProof/>
        </w:rPr>
        <w:fldChar w:fldCharType="end"/>
      </w:r>
      <w:r>
        <w:t xml:space="preserve">. </w:t>
      </w:r>
      <w:r w:rsidRPr="00606F00">
        <w:rPr>
          <w:snapToGrid/>
        </w:rPr>
        <w:t>Virginia probabilistic monitoring locations with Virginia major river basins</w:t>
      </w:r>
      <w:r w:rsidR="7EB4A9D1" w:rsidRPr="00606F00">
        <w:rPr>
          <w:snapToGrid/>
        </w:rPr>
        <w:t xml:space="preserve"> </w:t>
      </w:r>
      <w:bookmarkEnd w:id="186"/>
      <w:r w:rsidRPr="00606F00">
        <w:rPr>
          <w:snapToGrid/>
        </w:rPr>
        <w:t>(n = 240</w:t>
      </w:r>
      <w:r>
        <w:rPr>
          <w:snapToGrid/>
        </w:rPr>
        <w:t xml:space="preserve">, </w:t>
      </w:r>
      <w:r w:rsidRPr="00606F00">
        <w:rPr>
          <w:snapToGrid/>
        </w:rPr>
        <w:t>2017 - 2022).</w:t>
      </w:r>
    </w:p>
    <w:p w14:paraId="52A9DDEF" w14:textId="77777777" w:rsidR="00B135A3" w:rsidRDefault="00B135A3" w:rsidP="00B135A3">
      <w:pPr>
        <w:keepNext/>
        <w:widowControl/>
        <w:spacing w:before="180" w:after="180"/>
        <w:jc w:val="center"/>
      </w:pPr>
      <w:r w:rsidRPr="00307D28">
        <w:rPr>
          <w:rFonts w:eastAsia="Cambria" w:cstheme="minorHAnsi"/>
          <w:noProof/>
          <w:snapToGrid/>
          <w:szCs w:val="24"/>
        </w:rPr>
        <w:lastRenderedPageBreak/>
        <w:drawing>
          <wp:inline distT="0" distB="0" distL="0" distR="0" wp14:anchorId="740A5E08" wp14:editId="4CC64CAC">
            <wp:extent cx="5334000" cy="2857500"/>
            <wp:effectExtent l="0" t="0" r="0" b="0"/>
            <wp:docPr id="287666654" name="Picture 287666654" descr="Map of Virginia probabilistic monitoring locations from 2017 - 2022 with US Level III Ecoregions (n = 240)."/>
            <wp:cNvGraphicFramePr/>
            <a:graphic xmlns:a="http://schemas.openxmlformats.org/drawingml/2006/main">
              <a:graphicData uri="http://schemas.openxmlformats.org/drawingml/2006/picture">
                <pic:pic xmlns:pic="http://schemas.openxmlformats.org/drawingml/2006/picture">
                  <pic:nvPicPr>
                    <pic:cNvPr id="5" name="Picture" descr="Map of Virginia probabilistic monitoring locations from 2017 - 2022 with US Level III Ecoregions (n = 240)."/>
                    <pic:cNvPicPr>
                      <a:picLocks noChangeAspect="1" noChangeArrowheads="1"/>
                    </pic:cNvPicPr>
                  </pic:nvPicPr>
                  <pic:blipFill>
                    <a:blip r:embed="rId177" cstate="email">
                      <a:extLst>
                        <a:ext uri="{28A0092B-C50C-407E-A947-70E740481C1C}">
                          <a14:useLocalDpi xmlns:a14="http://schemas.microsoft.com/office/drawing/2010/main"/>
                        </a:ext>
                      </a:extLst>
                    </a:blip>
                    <a:stretch>
                      <a:fillRect/>
                    </a:stretch>
                  </pic:blipFill>
                  <pic:spPr bwMode="auto">
                    <a:xfrm>
                      <a:off x="0" y="0"/>
                      <a:ext cx="5334000" cy="2857500"/>
                    </a:xfrm>
                    <a:prstGeom prst="rect">
                      <a:avLst/>
                    </a:prstGeom>
                    <a:noFill/>
                    <a:ln w="9525">
                      <a:noFill/>
                      <a:headEnd/>
                      <a:tailEnd/>
                    </a:ln>
                  </pic:spPr>
                </pic:pic>
              </a:graphicData>
            </a:graphic>
          </wp:inline>
        </w:drawing>
      </w:r>
    </w:p>
    <w:p w14:paraId="59B3F83C" w14:textId="329465BF" w:rsidR="00EF2B37" w:rsidRPr="00DC73F1" w:rsidRDefault="00B135A3" w:rsidP="00EF2B37">
      <w:pPr>
        <w:pStyle w:val="Caption"/>
        <w:keepNext/>
      </w:pPr>
      <w:bookmarkStart w:id="187" w:name="_Toc164175090"/>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4</w:t>
      </w:r>
      <w:r w:rsidR="004F13BA">
        <w:rPr>
          <w:noProof/>
        </w:rPr>
        <w:fldChar w:fldCharType="end"/>
      </w:r>
      <w:r>
        <w:t xml:space="preserve">. </w:t>
      </w:r>
      <w:r w:rsidRPr="00606F00">
        <w:rPr>
          <w:snapToGrid/>
        </w:rPr>
        <w:t>Virginia probabilistic monitoring locations with US Level III Ecoregions</w:t>
      </w:r>
      <w:r w:rsidR="1989D301" w:rsidRPr="00606F00">
        <w:rPr>
          <w:snapToGrid/>
        </w:rPr>
        <w:t xml:space="preserve"> </w:t>
      </w:r>
      <w:bookmarkEnd w:id="187"/>
      <w:r w:rsidRPr="00606F00">
        <w:rPr>
          <w:snapToGrid/>
        </w:rPr>
        <w:t>(n = 240</w:t>
      </w:r>
      <w:r>
        <w:rPr>
          <w:snapToGrid/>
        </w:rPr>
        <w:t>, 2017-2022</w:t>
      </w:r>
      <w:r w:rsidRPr="00606F00">
        <w:rPr>
          <w:snapToGrid/>
        </w:rPr>
        <w:t>).</w:t>
      </w:r>
    </w:p>
    <w:p w14:paraId="6846F601" w14:textId="77777777" w:rsidR="00B135A3" w:rsidRDefault="00B135A3" w:rsidP="00B135A3">
      <w:pPr>
        <w:widowControl/>
        <w:rPr>
          <w:rFonts w:eastAsia="Cambria" w:cstheme="minorHAnsi"/>
          <w:snapToGrid/>
          <w:szCs w:val="24"/>
        </w:rPr>
      </w:pPr>
    </w:p>
    <w:p w14:paraId="055866E6"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Estimates of percent river miles not meeting water quality criteria are reported with 95% confidence intervals using a local area variance estimator statistical technique. For example, Figure 4.4-1 </w:t>
      </w:r>
      <w:proofErr w:type="gramStart"/>
      <w:r w:rsidRPr="00307D28">
        <w:rPr>
          <w:rFonts w:eastAsia="Cambria" w:cstheme="minorHAnsi"/>
          <w:snapToGrid/>
          <w:szCs w:val="24"/>
        </w:rPr>
        <w:t>illustrates</w:t>
      </w:r>
      <w:proofErr w:type="gramEnd"/>
      <w:r w:rsidRPr="00307D28">
        <w:rPr>
          <w:rFonts w:eastAsia="Cambria" w:cstheme="minorHAnsi"/>
          <w:snapToGrid/>
          <w:szCs w:val="24"/>
        </w:rPr>
        <w:t xml:space="preserve"> the percentage of stream miles in Virginia failing to meet biomonitoring criteria expectations are 36.3% </w:t>
      </w:r>
      <w:r>
        <w:rPr>
          <w:rFonts w:eastAsia="Cambria" w:cstheme="minorHAnsi"/>
          <w:snapToGrid/>
          <w:szCs w:val="24"/>
        </w:rPr>
        <w:t>±</w:t>
      </w:r>
      <w:r w:rsidRPr="00307D28">
        <w:rPr>
          <w:rFonts w:eastAsia="Cambria" w:cstheme="minorHAnsi"/>
          <w:snapToGrid/>
          <w:szCs w:val="24"/>
        </w:rPr>
        <w:t xml:space="preserve"> 6.7%, such that we are 95% confident that the true percentage of streams in Virginia failing to meet the VSCI/VCPMI </w:t>
      </w:r>
      <w:r w:rsidRPr="00D85676">
        <w:rPr>
          <w:rFonts w:eastAsia="Cambria" w:cstheme="minorHAnsi"/>
          <w:snapToGrid/>
          <w:szCs w:val="24"/>
        </w:rPr>
        <w:t>indicators of</w:t>
      </w:r>
      <w:r>
        <w:rPr>
          <w:rFonts w:eastAsia="Cambria" w:cstheme="minorHAnsi"/>
          <w:snapToGrid/>
          <w:szCs w:val="24"/>
        </w:rPr>
        <w:t xml:space="preserve"> in-stream</w:t>
      </w:r>
      <w:r w:rsidRPr="00D85676">
        <w:rPr>
          <w:rFonts w:eastAsia="Cambria" w:cstheme="minorHAnsi"/>
          <w:snapToGrid/>
          <w:szCs w:val="24"/>
        </w:rPr>
        <w:t xml:space="preserve"> </w:t>
      </w:r>
      <w:r>
        <w:rPr>
          <w:rFonts w:eastAsia="Cambria" w:cstheme="minorHAnsi"/>
          <w:snapToGrid/>
          <w:szCs w:val="24"/>
        </w:rPr>
        <w:t xml:space="preserve">biological community </w:t>
      </w:r>
      <w:r w:rsidRPr="00D85676">
        <w:rPr>
          <w:rFonts w:eastAsia="Cambria" w:cstheme="minorHAnsi"/>
          <w:snapToGrid/>
          <w:szCs w:val="24"/>
        </w:rPr>
        <w:t xml:space="preserve">health </w:t>
      </w:r>
      <w:r w:rsidRPr="00307D28">
        <w:rPr>
          <w:rFonts w:eastAsia="Cambria" w:cstheme="minorHAnsi"/>
          <w:snapToGrid/>
          <w:szCs w:val="24"/>
        </w:rPr>
        <w:t>is between 29.6% and 42.9%.</w:t>
      </w:r>
    </w:p>
    <w:p w14:paraId="2B703390" w14:textId="77777777" w:rsidR="00B135A3" w:rsidRPr="00307D28" w:rsidRDefault="00B135A3" w:rsidP="00B135A3">
      <w:pPr>
        <w:widowControl/>
        <w:rPr>
          <w:rFonts w:eastAsia="Cambria" w:cstheme="minorHAnsi"/>
          <w:snapToGrid/>
          <w:szCs w:val="24"/>
        </w:rPr>
      </w:pPr>
    </w:p>
    <w:p w14:paraId="0A76E306"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The </w:t>
      </w:r>
      <w:r>
        <w:rPr>
          <w:rFonts w:eastAsia="Cambria" w:cstheme="minorHAnsi"/>
          <w:snapToGrid/>
          <w:szCs w:val="24"/>
        </w:rPr>
        <w:t xml:space="preserve">probabilistic sampling frame </w:t>
      </w:r>
      <w:r w:rsidRPr="00307D28">
        <w:rPr>
          <w:rFonts w:eastAsia="Cambria" w:cstheme="minorHAnsi"/>
          <w:snapToGrid/>
          <w:szCs w:val="24"/>
        </w:rPr>
        <w:t>provided by EPA for Virginia streams and rivers includes 49,100 miles (derived from NHD 1:100,000 scale coverage</w:t>
      </w:r>
      <w:r w:rsidRPr="00307D28">
        <w:rPr>
          <w:rFonts w:eastAsia="Cambria" w:cstheme="minorHAnsi"/>
          <w:snapToGrid/>
          <w:szCs w:val="24"/>
          <w:vertAlign w:val="superscript"/>
        </w:rPr>
        <w:footnoteReference w:id="3"/>
      </w:r>
      <w:r w:rsidRPr="00307D28">
        <w:rPr>
          <w:rFonts w:eastAsia="Cambria" w:cstheme="minorHAnsi"/>
          <w:snapToGrid/>
          <w:szCs w:val="24"/>
        </w:rPr>
        <w:t>). It is important to note that the total amount of assessed river miles may vary to some extent by parameter. This number varies based on whether a monitoring tool was appropriate for the sampling location. For example, DEQ biological monitoring tools are not validated for streams without a defined channel, thus streams dominated by wetlands cannot be assessed (approximately 5,000 miles). The actual number of target stream miles (perennial, flowing freshwater) is much less because several thousands of stream miles are not perennial (e.g., the stream was dry when DEQ visited) or were found to be saltwater influenced. There are an estimated 1,200 miles of non-</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streams, which must be sampled using large river habitat and biological sampling methods (also referred to as boatable sites). Non-</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and </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sites, and associated watersheds, sampled since 2001 are presented in Figure 4.4-6. Large river data collection, using a non-</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(boatable) methodology, is underway and the results will be included in future 303(d) / 305(b) Integrated Report chapters. The ProbMon </w:t>
      </w:r>
      <w:r>
        <w:rPr>
          <w:rFonts w:eastAsia="Cambria" w:cstheme="minorHAnsi"/>
          <w:snapToGrid/>
          <w:szCs w:val="24"/>
        </w:rPr>
        <w:t>Section</w:t>
      </w:r>
      <w:r w:rsidRPr="00307D28">
        <w:rPr>
          <w:rFonts w:eastAsia="Cambria" w:cstheme="minorHAnsi"/>
          <w:snapToGrid/>
          <w:szCs w:val="24"/>
        </w:rPr>
        <w:t xml:space="preserve"> provides estimates for all perennial, non-tidal, </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stream and river miles, which equates to approximately 41,500 miles.</w:t>
      </w:r>
    </w:p>
    <w:p w14:paraId="0DF00A24" w14:textId="77777777" w:rsidR="00B135A3" w:rsidRDefault="00B135A3" w:rsidP="00B135A3">
      <w:pPr>
        <w:keepNext/>
        <w:widowControl/>
        <w:spacing w:before="180" w:after="180"/>
        <w:jc w:val="center"/>
      </w:pPr>
      <w:r w:rsidRPr="00307D28">
        <w:rPr>
          <w:rFonts w:eastAsia="Cambria" w:cstheme="minorHAnsi"/>
          <w:noProof/>
          <w:snapToGrid/>
          <w:szCs w:val="24"/>
        </w:rPr>
        <w:lastRenderedPageBreak/>
        <w:drawing>
          <wp:inline distT="0" distB="0" distL="0" distR="0" wp14:anchorId="6E782E62" wp14:editId="139865E2">
            <wp:extent cx="5334000" cy="3429000"/>
            <wp:effectExtent l="0" t="0" r="0" b="0"/>
            <wp:docPr id="1728631000" name="Picture 1728631000" descr="Map of Virginia probabilistic monitoring wadeable locations from 2001 - 2022 (n = 975)."/>
            <wp:cNvGraphicFramePr/>
            <a:graphic xmlns:a="http://schemas.openxmlformats.org/drawingml/2006/main">
              <a:graphicData uri="http://schemas.openxmlformats.org/drawingml/2006/picture">
                <pic:pic xmlns:pic="http://schemas.openxmlformats.org/drawingml/2006/picture">
                  <pic:nvPicPr>
                    <pic:cNvPr id="6" name="Picture" descr="Map of Virginia probabilistic monitoring wadeable locations from 2001 - 2022 (n = 975)."/>
                    <pic:cNvPicPr>
                      <a:picLocks noChangeAspect="1" noChangeArrowheads="1"/>
                    </pic:cNvPicPr>
                  </pic:nvPicPr>
                  <pic:blipFill>
                    <a:blip r:embed="rId178" cstate="email">
                      <a:extLst>
                        <a:ext uri="{28A0092B-C50C-407E-A947-70E740481C1C}">
                          <a14:useLocalDpi xmlns:a14="http://schemas.microsoft.com/office/drawing/2010/main"/>
                        </a:ext>
                      </a:extLst>
                    </a:blip>
                    <a:stretch>
                      <a:fillRect/>
                    </a:stretch>
                  </pic:blipFill>
                  <pic:spPr bwMode="auto">
                    <a:xfrm>
                      <a:off x="0" y="0"/>
                      <a:ext cx="5334000" cy="3429000"/>
                    </a:xfrm>
                    <a:prstGeom prst="rect">
                      <a:avLst/>
                    </a:prstGeom>
                    <a:noFill/>
                    <a:ln w="9525">
                      <a:noFill/>
                      <a:headEnd/>
                      <a:tailEnd/>
                    </a:ln>
                  </pic:spPr>
                </pic:pic>
              </a:graphicData>
            </a:graphic>
          </wp:inline>
        </w:drawing>
      </w:r>
    </w:p>
    <w:p w14:paraId="4CC1B9F4" w14:textId="3DEC80A9" w:rsidR="00EF2B37" w:rsidRPr="00DC73F1" w:rsidRDefault="00B135A3" w:rsidP="00EF2B37">
      <w:pPr>
        <w:pStyle w:val="Caption"/>
        <w:keepNext/>
      </w:pPr>
      <w:bookmarkStart w:id="188" w:name="_Toc164175091"/>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5</w:t>
      </w:r>
      <w:r w:rsidR="004F13BA">
        <w:rPr>
          <w:noProof/>
        </w:rPr>
        <w:fldChar w:fldCharType="end"/>
      </w:r>
      <w:r>
        <w:t xml:space="preserve">. </w:t>
      </w:r>
      <w:r w:rsidRPr="00606F00">
        <w:rPr>
          <w:snapToGrid/>
        </w:rPr>
        <w:t xml:space="preserve">Virginia probabilistic monitoring </w:t>
      </w:r>
      <w:proofErr w:type="spellStart"/>
      <w:r w:rsidRPr="00606F00">
        <w:rPr>
          <w:snapToGrid/>
        </w:rPr>
        <w:t>wadeable</w:t>
      </w:r>
      <w:proofErr w:type="spellEnd"/>
      <w:r w:rsidRPr="00606F00">
        <w:rPr>
          <w:snapToGrid/>
        </w:rPr>
        <w:t xml:space="preserve"> locations</w:t>
      </w:r>
      <w:r w:rsidR="03292954" w:rsidRPr="00606F00">
        <w:rPr>
          <w:snapToGrid/>
        </w:rPr>
        <w:t xml:space="preserve"> </w:t>
      </w:r>
      <w:bookmarkEnd w:id="188"/>
      <w:r w:rsidRPr="00606F00">
        <w:rPr>
          <w:snapToGrid/>
        </w:rPr>
        <w:t>(n = 975</w:t>
      </w:r>
      <w:r>
        <w:rPr>
          <w:snapToGrid/>
        </w:rPr>
        <w:t>, 2001-2022I</w:t>
      </w:r>
      <w:r w:rsidRPr="00606F00">
        <w:rPr>
          <w:snapToGrid/>
        </w:rPr>
        <w:t>).</w:t>
      </w:r>
    </w:p>
    <w:p w14:paraId="3F07AC4B" w14:textId="77777777" w:rsidR="00B135A3" w:rsidRDefault="00B135A3" w:rsidP="00B135A3">
      <w:pPr>
        <w:widowControl/>
        <w:spacing w:before="180" w:after="180"/>
        <w:rPr>
          <w:rFonts w:eastAsia="Cambria" w:cstheme="minorHAnsi"/>
          <w:snapToGrid/>
          <w:szCs w:val="24"/>
        </w:rPr>
      </w:pPr>
    </w:p>
    <w:p w14:paraId="24698D3E" w14:textId="77777777" w:rsidR="00B135A3" w:rsidRDefault="00B135A3" w:rsidP="00B135A3">
      <w:pPr>
        <w:keepNext/>
        <w:widowControl/>
        <w:spacing w:before="180" w:after="180"/>
        <w:jc w:val="center"/>
      </w:pPr>
      <w:r w:rsidRPr="00307D28">
        <w:rPr>
          <w:rFonts w:eastAsia="Cambria" w:cstheme="minorHAnsi"/>
          <w:noProof/>
          <w:snapToGrid/>
          <w:szCs w:val="24"/>
        </w:rPr>
        <w:drawing>
          <wp:inline distT="0" distB="0" distL="0" distR="0" wp14:anchorId="58894161" wp14:editId="249DFB82">
            <wp:extent cx="5334000" cy="3048000"/>
            <wp:effectExtent l="0" t="0" r="0" b="0"/>
            <wp:docPr id="1977924255" name="Picture 1977924255" descr="Map of Virginia probabilistic monitoring wadeable and boatable sites from 2001 - 2022 (n = 1132)."/>
            <wp:cNvGraphicFramePr/>
            <a:graphic xmlns:a="http://schemas.openxmlformats.org/drawingml/2006/main">
              <a:graphicData uri="http://schemas.openxmlformats.org/drawingml/2006/picture">
                <pic:pic xmlns:pic="http://schemas.openxmlformats.org/drawingml/2006/picture">
                  <pic:nvPicPr>
                    <pic:cNvPr id="7" name="Picture" descr="Map of Virginia probabilistic monitoring wadeable and boatable sites from 2001 - 2022 (n = 1132)."/>
                    <pic:cNvPicPr>
                      <a:picLocks noChangeAspect="1" noChangeArrowheads="1"/>
                    </pic:cNvPicPr>
                  </pic:nvPicPr>
                  <pic:blipFill>
                    <a:blip r:embed="rId179" cstate="email">
                      <a:extLst>
                        <a:ext uri="{28A0092B-C50C-407E-A947-70E740481C1C}">
                          <a14:useLocalDpi xmlns:a14="http://schemas.microsoft.com/office/drawing/2010/main"/>
                        </a:ext>
                      </a:extLst>
                    </a:blip>
                    <a:stretch>
                      <a:fillRect/>
                    </a:stretch>
                  </pic:blipFill>
                  <pic:spPr bwMode="auto">
                    <a:xfrm>
                      <a:off x="0" y="0"/>
                      <a:ext cx="5334000" cy="3048000"/>
                    </a:xfrm>
                    <a:prstGeom prst="rect">
                      <a:avLst/>
                    </a:prstGeom>
                    <a:noFill/>
                    <a:ln w="9525">
                      <a:noFill/>
                      <a:headEnd/>
                      <a:tailEnd/>
                    </a:ln>
                  </pic:spPr>
                </pic:pic>
              </a:graphicData>
            </a:graphic>
          </wp:inline>
        </w:drawing>
      </w:r>
    </w:p>
    <w:p w14:paraId="005C4EC1" w14:textId="093BE82E" w:rsidR="00EF2B37" w:rsidRPr="00DC73F1" w:rsidRDefault="00B135A3" w:rsidP="0A5BE548">
      <w:pPr>
        <w:pStyle w:val="Caption"/>
        <w:keepNext/>
        <w:rPr>
          <w:rFonts w:eastAsia="Cambria" w:cstheme="minorBidi"/>
          <w:snapToGrid/>
        </w:rPr>
      </w:pPr>
      <w:bookmarkStart w:id="189" w:name="_Toc164175092"/>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6</w:t>
      </w:r>
      <w:r w:rsidR="004F13BA">
        <w:rPr>
          <w:noProof/>
        </w:rPr>
        <w:fldChar w:fldCharType="end"/>
      </w:r>
      <w:r>
        <w:t xml:space="preserve">. </w:t>
      </w:r>
      <w:r w:rsidRPr="00606F00">
        <w:rPr>
          <w:snapToGrid/>
        </w:rPr>
        <w:t xml:space="preserve">Virginia probabilistic monitoring </w:t>
      </w:r>
      <w:proofErr w:type="spellStart"/>
      <w:r w:rsidRPr="00606F00">
        <w:rPr>
          <w:snapToGrid/>
        </w:rPr>
        <w:t>wadeable</w:t>
      </w:r>
      <w:proofErr w:type="spellEnd"/>
      <w:r w:rsidRPr="00606F00">
        <w:rPr>
          <w:snapToGrid/>
        </w:rPr>
        <w:t xml:space="preserve"> and boatable sites</w:t>
      </w:r>
      <w:r w:rsidR="56127BE0" w:rsidRPr="00606F00">
        <w:rPr>
          <w:snapToGrid/>
        </w:rPr>
        <w:t xml:space="preserve"> </w:t>
      </w:r>
      <w:bookmarkEnd w:id="189"/>
      <w:r w:rsidRPr="00606F00">
        <w:rPr>
          <w:snapToGrid/>
        </w:rPr>
        <w:t>(n = 1132</w:t>
      </w:r>
      <w:r>
        <w:rPr>
          <w:snapToGrid/>
        </w:rPr>
        <w:t>, 2001-2022</w:t>
      </w:r>
      <w:r w:rsidRPr="00606F00">
        <w:rPr>
          <w:snapToGrid/>
        </w:rPr>
        <w:t>).</w:t>
      </w:r>
      <w:r>
        <w:rPr>
          <w:snapToGrid/>
        </w:rPr>
        <w:br/>
      </w:r>
    </w:p>
    <w:p w14:paraId="704603AC" w14:textId="77777777" w:rsidR="00B135A3" w:rsidRPr="009B718C" w:rsidRDefault="00B135A3" w:rsidP="00B135A3">
      <w:pPr>
        <w:pStyle w:val="Heading3"/>
      </w:pPr>
      <w:r w:rsidRPr="009B718C">
        <w:t>Parameters with Water Quality Standards</w:t>
      </w:r>
    </w:p>
    <w:p w14:paraId="4907DB37" w14:textId="77777777" w:rsidR="00B135A3" w:rsidRDefault="00B135A3" w:rsidP="00B135A3">
      <w:pPr>
        <w:rPr>
          <w:rFonts w:eastAsia="Cambria" w:cstheme="minorHAnsi"/>
          <w:snapToGrid/>
          <w:szCs w:val="24"/>
        </w:rPr>
      </w:pPr>
      <w:r w:rsidRPr="000A158C">
        <w:rPr>
          <w:rFonts w:eastAsia="Cambria" w:cstheme="minorHAnsi"/>
          <w:snapToGrid/>
          <w:szCs w:val="24"/>
        </w:rPr>
        <w:t xml:space="preserve">Dissolved oxygen, pH, temperature, metals, organic chemicals, and bacteria have applicable numeric water quality criteria. These regulatory criteria were developed to protect water quality conditions in support of swimming, fishing, and aquatic life designated uses. Overall </w:t>
      </w:r>
      <w:r w:rsidRPr="000A158C">
        <w:rPr>
          <w:rFonts w:eastAsia="Cambria" w:cstheme="minorHAnsi"/>
          <w:snapToGrid/>
          <w:szCs w:val="24"/>
        </w:rPr>
        <w:lastRenderedPageBreak/>
        <w:t>results are summarized in Figure 4.4-1 and individual parameter results are discussed below. All results in Section 4.4.3 are based on data collected within the assessment period (2017 - 2022).</w:t>
      </w:r>
    </w:p>
    <w:p w14:paraId="4D71AD43" w14:textId="77777777" w:rsidR="00B135A3" w:rsidRPr="000A158C" w:rsidRDefault="00B135A3" w:rsidP="00B135A3">
      <w:pPr>
        <w:rPr>
          <w:rFonts w:eastAsiaTheme="majorEastAsia" w:cstheme="minorHAnsi"/>
          <w:b/>
          <w:bCs/>
          <w:i/>
          <w:iCs/>
          <w:snapToGrid/>
          <w:szCs w:val="24"/>
        </w:rPr>
      </w:pPr>
    </w:p>
    <w:p w14:paraId="1D10CCD7" w14:textId="77777777" w:rsidR="00B135A3" w:rsidRDefault="00B135A3" w:rsidP="00B135A3">
      <w:pPr>
        <w:pStyle w:val="Heading4"/>
        <w:rPr>
          <w:snapToGrid/>
        </w:rPr>
      </w:pPr>
      <w:r w:rsidRPr="00BE6A44">
        <w:rPr>
          <w:snapToGrid/>
        </w:rPr>
        <w:t>Dissolved Oxygen</w:t>
      </w:r>
    </w:p>
    <w:p w14:paraId="288F245B" w14:textId="77777777" w:rsidR="00B135A3" w:rsidRDefault="00B135A3" w:rsidP="00B135A3">
      <w:pPr>
        <w:rPr>
          <w:rFonts w:eastAsia="Cambria" w:cstheme="minorHAnsi"/>
          <w:snapToGrid/>
          <w:szCs w:val="24"/>
        </w:rPr>
      </w:pPr>
      <w:r w:rsidRPr="000A158C">
        <w:rPr>
          <w:rFonts w:eastAsia="Cambria" w:cstheme="minorHAnsi"/>
          <w:snapToGrid/>
          <w:szCs w:val="24"/>
        </w:rPr>
        <w:t>Dissolved oxygen (DO) is one of the most important measures of water quality for aquatic organisms. Adequate DO is a fundamental physiological requirement for aquatic life. In streams, the DO concentration may be altered by photosynthesis, respiration, nutrient input, re-aeration, and temperature, all of which have seasonal and daily cycles. This natural variability is reflected in the stream classification component of Virginia’s Water Quality Standards (</w:t>
      </w:r>
      <w:r w:rsidRPr="00EE5020">
        <w:rPr>
          <w:rFonts w:eastAsia="Cambria" w:cstheme="minorHAnsi"/>
          <w:snapToGrid/>
          <w:szCs w:val="24"/>
        </w:rPr>
        <w:t>Virginia Water Quality Standards</w:t>
      </w:r>
      <w:r w:rsidRPr="000A158C">
        <w:rPr>
          <w:rFonts w:eastAsia="Cambria" w:cstheme="minorHAnsi"/>
          <w:snapToGrid/>
          <w:szCs w:val="24"/>
        </w:rPr>
        <w:t xml:space="preserve"> 9VAC25-260-50). For example, a mountain stream that supports native trout is expected to have higher DO than a low-gradient, warm water stream. Although expectations for DO concentration vary, all waters (excluding swamps) in Virginia are required to have a DO concentration of 4 mg</w:t>
      </w:r>
      <w:r>
        <w:rPr>
          <w:rFonts w:eastAsia="Cambria" w:cstheme="minorHAnsi"/>
          <w:snapToGrid/>
          <w:szCs w:val="24"/>
        </w:rPr>
        <w:t>/</w:t>
      </w:r>
      <w:r w:rsidRPr="000A158C">
        <w:rPr>
          <w:rFonts w:eastAsia="Cambria" w:cstheme="minorHAnsi"/>
          <w:snapToGrid/>
          <w:szCs w:val="24"/>
        </w:rPr>
        <w:t>L</w:t>
      </w:r>
      <w:r w:rsidRPr="008A21AF">
        <w:rPr>
          <w:rStyle w:val="FootnoteReference"/>
          <w:rFonts w:eastAsia="Cambria" w:cstheme="minorHAnsi"/>
          <w:snapToGrid/>
          <w:szCs w:val="24"/>
          <w:vertAlign w:val="superscript"/>
        </w:rPr>
        <w:footnoteReference w:id="4"/>
      </w:r>
      <w:r w:rsidRPr="000A158C">
        <w:rPr>
          <w:rFonts w:eastAsia="Cambria" w:cstheme="minorHAnsi"/>
          <w:snapToGrid/>
          <w:szCs w:val="24"/>
        </w:rPr>
        <w:t xml:space="preserve"> or above to meet Aquatic Life Use criteria. DO standards can be determined on a case-by-case basis if DO deviates due to natural conditions as in swamps and other wetlands (Virginia Water Quality Standards 9VAC25-260-50). Pollution plays an important role in dissolved oxygen concentration. Human and animal wastes released into streams add excess nutrients which cause excessive growth of algae and aquatic plants. As microbes break down this organic matter, their respiration depletes available DO, and aquatic biota may become stressed and/or die without sufficient oxygen.</w:t>
      </w:r>
    </w:p>
    <w:p w14:paraId="16727F24" w14:textId="77777777" w:rsidR="00B135A3" w:rsidRPr="000A158C" w:rsidRDefault="00B135A3" w:rsidP="00B135A3">
      <w:pPr>
        <w:rPr>
          <w:rFonts w:cstheme="minorHAnsi"/>
          <w:b/>
          <w:iCs/>
          <w:snapToGrid/>
          <w:szCs w:val="24"/>
        </w:rPr>
      </w:pPr>
    </w:p>
    <w:p w14:paraId="418457E1"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ProbMon results indicate that DO conditions for </w:t>
      </w:r>
      <w:proofErr w:type="gramStart"/>
      <w:r w:rsidRPr="00307D28">
        <w:rPr>
          <w:rFonts w:eastAsia="Cambria" w:cstheme="minorHAnsi"/>
          <w:snapToGrid/>
          <w:szCs w:val="24"/>
        </w:rPr>
        <w:t>the majority of</w:t>
      </w:r>
      <w:proofErr w:type="gramEnd"/>
      <w:r w:rsidRPr="00307D28">
        <w:rPr>
          <w:rFonts w:eastAsia="Cambria" w:cstheme="minorHAnsi"/>
          <w:snapToGrid/>
          <w:szCs w:val="24"/>
        </w:rPr>
        <w:t xml:space="preserve"> Virginia’s streams and rivers are above the minimum DO criteria for specific water quality class designations (Table 4.4-1). Most stations with values below the appropriate criteria </w:t>
      </w:r>
      <w:proofErr w:type="gramStart"/>
      <w:r w:rsidRPr="00307D28">
        <w:rPr>
          <w:rFonts w:eastAsia="Cambria" w:cstheme="minorHAnsi"/>
          <w:snapToGrid/>
          <w:szCs w:val="24"/>
        </w:rPr>
        <w:t>are located in</w:t>
      </w:r>
      <w:proofErr w:type="gramEnd"/>
      <w:r w:rsidRPr="00307D28">
        <w:rPr>
          <w:rFonts w:eastAsia="Cambria" w:cstheme="minorHAnsi"/>
          <w:snapToGrid/>
          <w:szCs w:val="24"/>
        </w:rPr>
        <w:t xml:space="preserve"> coastal ecoregions where DO is naturally lower due to swamp conditions. These sites with low DO need to be reviewed as candidates for site specific DO criteria. ProbMon results suggest that </w:t>
      </w:r>
      <w:proofErr w:type="gramStart"/>
      <w:r w:rsidRPr="00307D28">
        <w:rPr>
          <w:rFonts w:eastAsia="Cambria" w:cstheme="minorHAnsi"/>
          <w:snapToGrid/>
          <w:szCs w:val="24"/>
        </w:rPr>
        <w:t>the majority of</w:t>
      </w:r>
      <w:proofErr w:type="gramEnd"/>
      <w:r w:rsidRPr="00307D28">
        <w:rPr>
          <w:rFonts w:eastAsia="Cambria" w:cstheme="minorHAnsi"/>
          <w:snapToGrid/>
          <w:szCs w:val="24"/>
        </w:rPr>
        <w:t xml:space="preserve"> mountainous zone waters, </w:t>
      </w:r>
      <w:proofErr w:type="spellStart"/>
      <w:r w:rsidRPr="00307D28">
        <w:rPr>
          <w:rFonts w:eastAsia="Cambria" w:cstheme="minorHAnsi"/>
          <w:snapToGrid/>
          <w:szCs w:val="24"/>
        </w:rPr>
        <w:t>stockable</w:t>
      </w:r>
      <w:proofErr w:type="spellEnd"/>
      <w:r w:rsidRPr="00307D28">
        <w:rPr>
          <w:rFonts w:eastAsia="Cambria" w:cstheme="minorHAnsi"/>
          <w:snapToGrid/>
          <w:szCs w:val="24"/>
        </w:rPr>
        <w:t xml:space="preserve"> trout waters, and natural trout waters meet DO standards. Estimates are reflective of perennial, </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systems based on two sampling events, where possible.</w:t>
      </w:r>
    </w:p>
    <w:p w14:paraId="0D2C1760" w14:textId="77777777" w:rsidR="00B135A3" w:rsidRPr="00307D28" w:rsidRDefault="00B135A3" w:rsidP="00B135A3">
      <w:pPr>
        <w:widowControl/>
        <w:rPr>
          <w:rFonts w:eastAsia="Cambria" w:cstheme="minorHAnsi"/>
          <w:snapToGrid/>
          <w:szCs w:val="24"/>
        </w:rPr>
      </w:pPr>
    </w:p>
    <w:p w14:paraId="6F898009" w14:textId="157D4564" w:rsidR="00EF2B37" w:rsidRPr="00DC73F1" w:rsidRDefault="00B135A3" w:rsidP="00EF2B37">
      <w:pPr>
        <w:pStyle w:val="Caption"/>
        <w:keepNext/>
      </w:pPr>
      <w:bookmarkStart w:id="190" w:name="_Toc164175183"/>
      <w:r>
        <w:t xml:space="preserve">Table </w:t>
      </w:r>
      <w:r w:rsidR="004F13BA">
        <w:fldChar w:fldCharType="begin"/>
      </w:r>
      <w:r w:rsidR="004F13BA">
        <w:instrText xml:space="preserve"> STYLEREF 2 \s </w:instrText>
      </w:r>
      <w:r w:rsidR="004F13BA">
        <w:fldChar w:fldCharType="separate"/>
      </w:r>
      <w:r w:rsidR="00CD06AE">
        <w:rPr>
          <w:noProof/>
        </w:rPr>
        <w:t>4.4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w:t>
      </w:r>
      <w:r w:rsidR="004F13BA">
        <w:rPr>
          <w:noProof/>
        </w:rPr>
        <w:fldChar w:fldCharType="end"/>
      </w:r>
      <w:r>
        <w:t xml:space="preserve">. </w:t>
      </w:r>
      <w:r w:rsidRPr="00BE6A44">
        <w:rPr>
          <w:snapToGrid/>
        </w:rPr>
        <w:t>Dissolved oxygen results</w:t>
      </w:r>
      <w:r w:rsidR="0B5C00FD" w:rsidRPr="00BE6A44">
        <w:rPr>
          <w:snapToGrid/>
        </w:rPr>
        <w:t xml:space="preserve"> </w:t>
      </w:r>
      <w:bookmarkEnd w:id="190"/>
      <w:r w:rsidRPr="00BE6A44">
        <w:rPr>
          <w:snapToGrid/>
        </w:rPr>
        <w:t>(n</w:t>
      </w:r>
      <w:r>
        <w:t xml:space="preserve"> </w:t>
      </w:r>
      <w:r w:rsidRPr="00BE6A44">
        <w:rPr>
          <w:snapToGrid/>
        </w:rPr>
        <w:t>=</w:t>
      </w:r>
      <w:r>
        <w:t xml:space="preserve"> </w:t>
      </w:r>
      <w:r w:rsidRPr="00BE6A44">
        <w:rPr>
          <w:snapToGrid/>
        </w:rPr>
        <w:t>240</w:t>
      </w:r>
      <w:r>
        <w:rPr>
          <w:snapToGrid/>
        </w:rPr>
        <w:t xml:space="preserve">, </w:t>
      </w:r>
      <w:r w:rsidRPr="00BE6A44">
        <w:rPr>
          <w:snapToGrid/>
        </w:rPr>
        <w:t xml:space="preserve">2017 - 2022) of percentage of streams below Virginia’s </w:t>
      </w:r>
      <w:r>
        <w:rPr>
          <w:snapToGrid/>
        </w:rPr>
        <w:t xml:space="preserve">minimum </w:t>
      </w:r>
      <w:r w:rsidRPr="00BE6A44">
        <w:rPr>
          <w:snapToGrid/>
        </w:rPr>
        <w:t>Water Quality Standard (</w:t>
      </w:r>
      <w:r w:rsidRPr="0A5BE548">
        <w:rPr>
          <w:rFonts w:cstheme="minorBidi"/>
        </w:rPr>
        <w:t>±</w:t>
      </w:r>
      <w:r w:rsidRPr="00BE6A44">
        <w:rPr>
          <w:snapToGrid/>
        </w:rPr>
        <w:t xml:space="preserve"> confidence limits).</w:t>
      </w:r>
    </w:p>
    <w:tbl>
      <w:tblPr>
        <w:tblStyle w:val="Table"/>
        <w:tblW w:w="2467" w:type="pct"/>
        <w:tblBorders>
          <w:top w:val="single" w:sz="4" w:space="0" w:color="auto"/>
          <w:bottom w:val="single" w:sz="4" w:space="0" w:color="auto"/>
          <w:insideH w:val="single" w:sz="2" w:space="0" w:color="auto"/>
        </w:tblBorders>
        <w:tblLook w:val="0020" w:firstRow="1" w:lastRow="0" w:firstColumn="0" w:lastColumn="0" w:noHBand="0" w:noVBand="0"/>
        <w:tblCaption w:val="Table of Dissolved oxygen results (2017 - 2022, n = 240) of percentage of streams below Virginia’s Water Quality Standard (± confidence limits)."/>
        <w:tblDescription w:val="Dissolved oxygen results (2017 - 2022, n = 240) of percentage of streams below Virginia’s Water Quality Standard (± confidence limits)."/>
      </w:tblPr>
      <w:tblGrid>
        <w:gridCol w:w="1462"/>
        <w:gridCol w:w="3156"/>
      </w:tblGrid>
      <w:tr w:rsidR="00B135A3" w:rsidRPr="00307D28" w14:paraId="100BE9D8" w14:textId="77777777">
        <w:trPr>
          <w:trHeight w:val="360"/>
        </w:trPr>
        <w:tc>
          <w:tcPr>
            <w:tcW w:w="0" w:type="auto"/>
            <w:tcBorders>
              <w:top w:val="single" w:sz="12" w:space="0" w:color="auto"/>
              <w:bottom w:val="single" w:sz="2" w:space="0" w:color="auto"/>
            </w:tcBorders>
            <w:vAlign w:val="center"/>
          </w:tcPr>
          <w:p w14:paraId="0901C206" w14:textId="77777777" w:rsidR="00B135A3" w:rsidRPr="005F5DCC" w:rsidRDefault="00B135A3">
            <w:pPr>
              <w:widowControl/>
              <w:spacing w:before="36" w:after="36"/>
              <w:jc w:val="center"/>
              <w:rPr>
                <w:rFonts w:eastAsia="Cambria" w:cstheme="minorHAnsi"/>
                <w:b/>
                <w:bCs/>
                <w:snapToGrid/>
                <w:sz w:val="22"/>
                <w:szCs w:val="22"/>
              </w:rPr>
            </w:pPr>
            <w:r w:rsidRPr="005F5DCC">
              <w:rPr>
                <w:rFonts w:eastAsia="Cambria" w:cstheme="minorHAnsi"/>
                <w:b/>
                <w:bCs/>
                <w:snapToGrid/>
                <w:sz w:val="22"/>
                <w:szCs w:val="22"/>
              </w:rPr>
              <w:t>Parameter</w:t>
            </w:r>
          </w:p>
        </w:tc>
        <w:tc>
          <w:tcPr>
            <w:tcW w:w="0" w:type="auto"/>
            <w:tcBorders>
              <w:top w:val="single" w:sz="12" w:space="0" w:color="auto"/>
              <w:bottom w:val="single" w:sz="2" w:space="0" w:color="auto"/>
            </w:tcBorders>
            <w:vAlign w:val="center"/>
          </w:tcPr>
          <w:p w14:paraId="237D1143" w14:textId="77777777" w:rsidR="00B135A3" w:rsidRPr="005F5DCC" w:rsidRDefault="00B135A3">
            <w:pPr>
              <w:widowControl/>
              <w:spacing w:before="36" w:after="36"/>
              <w:jc w:val="center"/>
              <w:rPr>
                <w:rFonts w:eastAsia="Cambria" w:cstheme="minorHAnsi"/>
                <w:b/>
                <w:bCs/>
                <w:snapToGrid/>
                <w:sz w:val="22"/>
                <w:szCs w:val="22"/>
              </w:rPr>
            </w:pPr>
            <w:r w:rsidRPr="005F5DCC">
              <w:rPr>
                <w:rFonts w:eastAsia="Cambria" w:cstheme="minorHAnsi"/>
                <w:b/>
                <w:bCs/>
                <w:snapToGrid/>
                <w:sz w:val="22"/>
                <w:szCs w:val="22"/>
              </w:rPr>
              <w:t>Below Standard (4 mg/L)</w:t>
            </w:r>
            <w:r w:rsidRPr="008A21AF">
              <w:rPr>
                <w:rFonts w:eastAsia="Cambria" w:cstheme="minorHAnsi"/>
                <w:b/>
                <w:bCs/>
                <w:snapToGrid/>
                <w:sz w:val="22"/>
                <w:szCs w:val="22"/>
                <w:vertAlign w:val="superscript"/>
              </w:rPr>
              <w:t>3</w:t>
            </w:r>
          </w:p>
        </w:tc>
      </w:tr>
      <w:tr w:rsidR="00B135A3" w:rsidRPr="00307D28" w14:paraId="213F070C" w14:textId="77777777">
        <w:trPr>
          <w:trHeight w:val="360"/>
        </w:trPr>
        <w:tc>
          <w:tcPr>
            <w:tcW w:w="0" w:type="auto"/>
            <w:tcBorders>
              <w:top w:val="single" w:sz="2" w:space="0" w:color="auto"/>
              <w:bottom w:val="single" w:sz="12" w:space="0" w:color="auto"/>
            </w:tcBorders>
            <w:vAlign w:val="center"/>
          </w:tcPr>
          <w:p w14:paraId="3416C748" w14:textId="77777777" w:rsidR="00B135A3" w:rsidRPr="005F5DCC" w:rsidRDefault="00B135A3">
            <w:pPr>
              <w:widowControl/>
              <w:spacing w:before="36" w:after="36"/>
              <w:jc w:val="center"/>
              <w:rPr>
                <w:rFonts w:eastAsia="Cambria" w:cstheme="minorHAnsi"/>
                <w:snapToGrid/>
                <w:sz w:val="22"/>
                <w:szCs w:val="22"/>
              </w:rPr>
            </w:pPr>
            <w:r w:rsidRPr="005F5DCC">
              <w:rPr>
                <w:rFonts w:eastAsia="Cambria" w:cstheme="minorHAnsi"/>
                <w:snapToGrid/>
                <w:sz w:val="22"/>
                <w:szCs w:val="22"/>
              </w:rPr>
              <w:t>D</w:t>
            </w:r>
            <w:r>
              <w:rPr>
                <w:rFonts w:eastAsia="Cambria" w:cstheme="minorHAnsi"/>
                <w:snapToGrid/>
                <w:sz w:val="22"/>
                <w:szCs w:val="22"/>
              </w:rPr>
              <w:t>O</w:t>
            </w:r>
          </w:p>
        </w:tc>
        <w:tc>
          <w:tcPr>
            <w:tcW w:w="0" w:type="auto"/>
            <w:tcBorders>
              <w:top w:val="single" w:sz="2" w:space="0" w:color="auto"/>
              <w:bottom w:val="single" w:sz="12" w:space="0" w:color="auto"/>
            </w:tcBorders>
            <w:vAlign w:val="center"/>
          </w:tcPr>
          <w:p w14:paraId="68E7D764" w14:textId="77777777" w:rsidR="00B135A3" w:rsidRPr="005F5DCC" w:rsidRDefault="00B135A3">
            <w:pPr>
              <w:widowControl/>
              <w:spacing w:before="36" w:after="36"/>
              <w:jc w:val="center"/>
              <w:rPr>
                <w:rFonts w:eastAsia="Cambria" w:cstheme="minorHAnsi"/>
                <w:snapToGrid/>
                <w:sz w:val="22"/>
                <w:szCs w:val="22"/>
              </w:rPr>
            </w:pPr>
            <w:r w:rsidRPr="005F5DCC">
              <w:rPr>
                <w:rFonts w:eastAsia="Cambria" w:cstheme="minorHAnsi"/>
                <w:snapToGrid/>
                <w:sz w:val="22"/>
                <w:szCs w:val="22"/>
              </w:rPr>
              <w:t>0.5% (± 0.4%)</w:t>
            </w:r>
          </w:p>
        </w:tc>
      </w:tr>
    </w:tbl>
    <w:p w14:paraId="09FE2A89" w14:textId="77777777" w:rsidR="00B135A3" w:rsidRPr="00BE6A44" w:rsidRDefault="00B135A3" w:rsidP="00B135A3">
      <w:pPr>
        <w:pStyle w:val="Heading4"/>
        <w:numPr>
          <w:ilvl w:val="0"/>
          <w:numId w:val="0"/>
        </w:numPr>
        <w:rPr>
          <w:snapToGrid/>
        </w:rPr>
      </w:pPr>
      <w:r>
        <w:rPr>
          <w:snapToGrid/>
        </w:rPr>
        <w:br/>
      </w:r>
      <w:r w:rsidRPr="00BE6A44">
        <w:rPr>
          <w:snapToGrid/>
        </w:rPr>
        <w:t>pH</w:t>
      </w:r>
    </w:p>
    <w:p w14:paraId="76B26EB5"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Another primary parameter used to evaluate water quality is </w:t>
      </w:r>
      <w:proofErr w:type="spellStart"/>
      <w:r w:rsidRPr="00307D28">
        <w:rPr>
          <w:rFonts w:eastAsia="Cambria" w:cstheme="minorHAnsi"/>
          <w:snapToGrid/>
          <w:szCs w:val="24"/>
        </w:rPr>
        <w:t>pH.</w:t>
      </w:r>
      <w:proofErr w:type="spellEnd"/>
      <w:r w:rsidRPr="00307D28">
        <w:rPr>
          <w:rFonts w:eastAsia="Cambria" w:cstheme="minorHAnsi"/>
          <w:snapToGrid/>
          <w:szCs w:val="24"/>
        </w:rPr>
        <w:t xml:space="preserve"> pH is a measure of the concentration of hydrogen ions in water, or the amount of acidity present. Since pH </w:t>
      </w:r>
      <w:r>
        <w:rPr>
          <w:rFonts w:eastAsia="Cambria" w:cstheme="minorHAnsi"/>
          <w:snapToGrid/>
          <w:szCs w:val="24"/>
        </w:rPr>
        <w:t xml:space="preserve">is </w:t>
      </w:r>
      <w:r w:rsidRPr="00307D28">
        <w:rPr>
          <w:rFonts w:eastAsia="Cambria" w:cstheme="minorHAnsi"/>
          <w:snapToGrid/>
          <w:szCs w:val="24"/>
        </w:rPr>
        <w:t>described using a negative logarithmic scale, a decline in pH by one unit indicates a tenfold increase in hydrogen ions. At pH 7, a solution is neutral whereas pH values below 7 indicate acidic conditions, and values above 7 indicate basic conditions.</w:t>
      </w:r>
    </w:p>
    <w:p w14:paraId="364E04A6" w14:textId="77777777" w:rsidR="00B135A3" w:rsidRPr="00307D28" w:rsidRDefault="00B135A3" w:rsidP="00B135A3">
      <w:pPr>
        <w:widowControl/>
        <w:rPr>
          <w:rFonts w:eastAsia="Cambria" w:cstheme="minorHAnsi"/>
          <w:snapToGrid/>
          <w:szCs w:val="24"/>
        </w:rPr>
      </w:pPr>
    </w:p>
    <w:p w14:paraId="6A15278C" w14:textId="77777777" w:rsidR="00B135A3" w:rsidRDefault="00B135A3" w:rsidP="00B135A3">
      <w:pPr>
        <w:widowControl/>
        <w:rPr>
          <w:rFonts w:eastAsia="Cambria" w:cstheme="minorHAnsi"/>
          <w:snapToGrid/>
          <w:szCs w:val="24"/>
        </w:rPr>
      </w:pPr>
      <w:r w:rsidRPr="00307D28">
        <w:rPr>
          <w:rFonts w:eastAsia="Cambria" w:cstheme="minorHAnsi"/>
          <w:snapToGrid/>
          <w:szCs w:val="24"/>
        </w:rPr>
        <w:lastRenderedPageBreak/>
        <w:t xml:space="preserve">Stream pH depends on local geology, ecology, and anthropogenic influences. If a stream has poor buffering capacity, as is the case for a stream flowing over granite or shale, it may be naturally acidic. In the case where inorganic acids such as sulfuric or nitric acid are introduced via rain, the low buffering capacity can be rapidly exhausted and the pH declines. The resulting low pH may be detrimental to aquatic biota unaccustomed to low </w:t>
      </w:r>
      <w:proofErr w:type="spellStart"/>
      <w:r w:rsidRPr="00307D28">
        <w:rPr>
          <w:rFonts w:eastAsia="Cambria" w:cstheme="minorHAnsi"/>
          <w:snapToGrid/>
          <w:szCs w:val="24"/>
        </w:rPr>
        <w:t>pH.</w:t>
      </w:r>
      <w:proofErr w:type="spellEnd"/>
      <w:r w:rsidRPr="00307D28">
        <w:rPr>
          <w:rFonts w:eastAsia="Cambria" w:cstheme="minorHAnsi"/>
          <w:snapToGrid/>
          <w:szCs w:val="24"/>
        </w:rPr>
        <w:t xml:space="preserve"> </w:t>
      </w:r>
      <w:proofErr w:type="gramStart"/>
      <w:r w:rsidRPr="00307D28">
        <w:rPr>
          <w:rFonts w:eastAsia="Cambria" w:cstheme="minorHAnsi"/>
          <w:snapToGrid/>
          <w:szCs w:val="24"/>
        </w:rPr>
        <w:t>pH</w:t>
      </w:r>
      <w:proofErr w:type="gramEnd"/>
      <w:r w:rsidRPr="00307D28">
        <w:rPr>
          <w:rFonts w:eastAsia="Cambria" w:cstheme="minorHAnsi"/>
          <w:snapToGrid/>
          <w:szCs w:val="24"/>
        </w:rPr>
        <w:t xml:space="preserve"> values harmful to aquatic life are below 6 or above 9. This range is reflected in Virginia’s Water Quality Standards, where most waters must fall within a pH range of between 6 and 9. Natural pH values of 5 or below occur in swamp waters and should not be considered harmful to the native fauna common to those ecosystems. pH standards can be determined on a case-by-case basis if pH deviates due to natural conditions as in swamps and other wetlands (Virginia Water Quality Standards 9VAC25-260-50).</w:t>
      </w:r>
    </w:p>
    <w:p w14:paraId="489B1E7E" w14:textId="77777777" w:rsidR="00B135A3" w:rsidRPr="00307D28" w:rsidRDefault="00B135A3" w:rsidP="00B135A3">
      <w:pPr>
        <w:widowControl/>
        <w:rPr>
          <w:rFonts w:eastAsia="Cambria" w:cstheme="minorHAnsi"/>
          <w:snapToGrid/>
          <w:szCs w:val="24"/>
        </w:rPr>
      </w:pPr>
    </w:p>
    <w:p w14:paraId="01EDB28D"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 xml:space="preserve">ProbMon results show that 1.5% of </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Virginia streams and rivers are estimated to have pH below 6 (Table 4.4-2). Two of three stations with pH less than 6 occurred at sites located in the coastal ecoregion where swamp waters are common. DEQ collects additional parameters, including </w:t>
      </w:r>
      <w:r>
        <w:rPr>
          <w:rFonts w:eastAsia="Cambria" w:cstheme="minorHAnsi"/>
          <w:snapToGrid/>
          <w:szCs w:val="24"/>
        </w:rPr>
        <w:t>a</w:t>
      </w:r>
      <w:r w:rsidRPr="00307D28">
        <w:rPr>
          <w:rFonts w:eastAsia="Cambria" w:cstheme="minorHAnsi"/>
          <w:snapToGrid/>
          <w:szCs w:val="24"/>
        </w:rPr>
        <w:t xml:space="preserve">cid </w:t>
      </w:r>
      <w:r>
        <w:rPr>
          <w:rFonts w:eastAsia="Cambria" w:cstheme="minorHAnsi"/>
          <w:snapToGrid/>
          <w:szCs w:val="24"/>
        </w:rPr>
        <w:t>n</w:t>
      </w:r>
      <w:r w:rsidRPr="00307D28">
        <w:rPr>
          <w:rFonts w:eastAsia="Cambria" w:cstheme="minorHAnsi"/>
          <w:snapToGrid/>
          <w:szCs w:val="24"/>
        </w:rPr>
        <w:t xml:space="preserve">eutralizing </w:t>
      </w:r>
      <w:r>
        <w:rPr>
          <w:rFonts w:eastAsia="Cambria" w:cstheme="minorHAnsi"/>
          <w:snapToGrid/>
          <w:szCs w:val="24"/>
        </w:rPr>
        <w:t>c</w:t>
      </w:r>
      <w:r w:rsidRPr="00307D28">
        <w:rPr>
          <w:rFonts w:eastAsia="Cambria" w:cstheme="minorHAnsi"/>
          <w:snapToGrid/>
          <w:szCs w:val="24"/>
        </w:rPr>
        <w:t xml:space="preserve">apacity (ANC) and sulfate data at ProbMon stations to estimate the </w:t>
      </w:r>
      <w:proofErr w:type="gramStart"/>
      <w:r w:rsidRPr="00307D28">
        <w:rPr>
          <w:rFonts w:eastAsia="Cambria" w:cstheme="minorHAnsi"/>
          <w:snapToGrid/>
          <w:szCs w:val="24"/>
        </w:rPr>
        <w:t>percent</w:t>
      </w:r>
      <w:proofErr w:type="gramEnd"/>
      <w:r w:rsidRPr="00307D28">
        <w:rPr>
          <w:rFonts w:eastAsia="Cambria" w:cstheme="minorHAnsi"/>
          <w:snapToGrid/>
          <w:szCs w:val="24"/>
        </w:rPr>
        <w:t xml:space="preserve"> of streams impacted by acid rain and acid </w:t>
      </w:r>
      <w:proofErr w:type="gramStart"/>
      <w:r w:rsidRPr="00307D28">
        <w:rPr>
          <w:rFonts w:eastAsia="Cambria" w:cstheme="minorHAnsi"/>
          <w:snapToGrid/>
          <w:szCs w:val="24"/>
        </w:rPr>
        <w:t>mine</w:t>
      </w:r>
      <w:proofErr w:type="gramEnd"/>
      <w:r w:rsidRPr="00307D28">
        <w:rPr>
          <w:rFonts w:eastAsia="Cambria" w:cstheme="minorHAnsi"/>
          <w:snapToGrid/>
          <w:szCs w:val="24"/>
        </w:rPr>
        <w:t xml:space="preserve"> drainage. High sulfate values in low pH streams are indicative of acid mine drainage whereas streams with low ANC values are susceptible to episodic acidification from acid rain runoff (USEPA 2000). However, based on ProbMon data collected during the 2024 assessment period, DEQ found one occurrence of pH values below 6 in the mountain ecoregions. Estimates are reflective of an average of two data points, where data are available.</w:t>
      </w:r>
    </w:p>
    <w:p w14:paraId="16E7787B" w14:textId="77777777" w:rsidR="00B135A3" w:rsidRDefault="00B135A3" w:rsidP="00B135A3">
      <w:pPr>
        <w:pStyle w:val="Caption"/>
        <w:keepNext/>
      </w:pPr>
    </w:p>
    <w:p w14:paraId="4905D56F" w14:textId="30F0CDD5" w:rsidR="00EF2B37" w:rsidRPr="00DC73F1" w:rsidRDefault="00B135A3" w:rsidP="0A5BE548">
      <w:pPr>
        <w:pStyle w:val="Caption"/>
        <w:keepNext/>
        <w:rPr>
          <w:rFonts w:cstheme="minorBidi"/>
          <w:snapToGrid/>
        </w:rPr>
      </w:pPr>
      <w:bookmarkStart w:id="191" w:name="_Toc164175184"/>
      <w:r>
        <w:t xml:space="preserve">Table </w:t>
      </w:r>
      <w:r w:rsidR="004F13BA">
        <w:fldChar w:fldCharType="begin"/>
      </w:r>
      <w:r w:rsidR="004F13BA">
        <w:instrText xml:space="preserve"> STYLEREF 2 \s </w:instrText>
      </w:r>
      <w:r w:rsidR="004F13BA">
        <w:fldChar w:fldCharType="separate"/>
      </w:r>
      <w:r w:rsidR="00CD06AE">
        <w:rPr>
          <w:noProof/>
        </w:rPr>
        <w:t>4.4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w:t>
      </w:r>
      <w:r w:rsidR="004F13BA">
        <w:rPr>
          <w:noProof/>
        </w:rPr>
        <w:fldChar w:fldCharType="end"/>
      </w:r>
      <w:r>
        <w:t xml:space="preserve">. </w:t>
      </w:r>
      <w:r w:rsidRPr="0A5BE548">
        <w:rPr>
          <w:rFonts w:cstheme="minorBidi"/>
          <w:snapToGrid/>
        </w:rPr>
        <w:t>pH results</w:t>
      </w:r>
      <w:r w:rsidR="5A86D2FC" w:rsidRPr="0A5BE548">
        <w:rPr>
          <w:rFonts w:cstheme="minorBidi"/>
          <w:snapToGrid/>
        </w:rPr>
        <w:t xml:space="preserve"> </w:t>
      </w:r>
      <w:bookmarkEnd w:id="191"/>
      <w:r w:rsidRPr="0A5BE548">
        <w:rPr>
          <w:rFonts w:cstheme="minorBidi"/>
          <w:snapToGrid/>
        </w:rPr>
        <w:t>(n=237, 2017 - 2022) of streams below or above Virginia’s Water Quality Standard (± confidence limits).</w:t>
      </w:r>
    </w:p>
    <w:tbl>
      <w:tblPr>
        <w:tblStyle w:val="Table"/>
        <w:tblW w:w="3462" w:type="pct"/>
        <w:tblLook w:val="0020" w:firstRow="1" w:lastRow="0" w:firstColumn="0" w:lastColumn="0" w:noHBand="0" w:noVBand="0"/>
        <w:tblCaption w:val="Table of pH results (2017 - 2022, n = 237) of streams below or above Virginia’s Water Quality Standard ± confidence limits)."/>
        <w:tblDescription w:val="pH results (2017 - 2022, n = 237) of streams below or above Virginia’s Water Quality Standard ± confidence limits)."/>
      </w:tblPr>
      <w:tblGrid>
        <w:gridCol w:w="1272"/>
        <w:gridCol w:w="2508"/>
        <w:gridCol w:w="1988"/>
        <w:gridCol w:w="713"/>
      </w:tblGrid>
      <w:tr w:rsidR="00B135A3" w:rsidRPr="00307D28" w14:paraId="1EBE31BD" w14:textId="77777777">
        <w:trPr>
          <w:trHeight w:val="360"/>
        </w:trPr>
        <w:tc>
          <w:tcPr>
            <w:tcW w:w="0" w:type="auto"/>
            <w:tcBorders>
              <w:top w:val="single" w:sz="12" w:space="0" w:color="auto"/>
              <w:bottom w:val="single" w:sz="2" w:space="0" w:color="auto"/>
            </w:tcBorders>
            <w:vAlign w:val="center"/>
          </w:tcPr>
          <w:p w14:paraId="7FD9F07E" w14:textId="77777777" w:rsidR="00B135A3" w:rsidRPr="005F5DCC" w:rsidRDefault="00B135A3">
            <w:pPr>
              <w:widowControl/>
              <w:spacing w:before="36" w:after="36"/>
              <w:jc w:val="center"/>
              <w:rPr>
                <w:rFonts w:eastAsia="Cambria" w:cstheme="minorHAnsi"/>
                <w:b/>
                <w:bCs/>
                <w:snapToGrid/>
                <w:sz w:val="22"/>
                <w:szCs w:val="22"/>
              </w:rPr>
            </w:pPr>
            <w:r w:rsidRPr="005F5DCC">
              <w:rPr>
                <w:rFonts w:eastAsia="Cambria" w:cstheme="minorHAnsi"/>
                <w:b/>
                <w:bCs/>
                <w:snapToGrid/>
                <w:sz w:val="22"/>
                <w:szCs w:val="22"/>
              </w:rPr>
              <w:t>Parameter</w:t>
            </w:r>
          </w:p>
        </w:tc>
        <w:tc>
          <w:tcPr>
            <w:tcW w:w="1935" w:type="pct"/>
            <w:tcBorders>
              <w:top w:val="single" w:sz="12" w:space="0" w:color="auto"/>
              <w:bottom w:val="single" w:sz="2" w:space="0" w:color="auto"/>
            </w:tcBorders>
            <w:vAlign w:val="center"/>
          </w:tcPr>
          <w:p w14:paraId="66EC0490" w14:textId="77777777" w:rsidR="00B135A3" w:rsidRPr="005F5DCC" w:rsidRDefault="00B135A3">
            <w:pPr>
              <w:widowControl/>
              <w:spacing w:before="36" w:after="36"/>
              <w:jc w:val="center"/>
              <w:rPr>
                <w:rFonts w:eastAsia="Cambria" w:cstheme="minorHAnsi"/>
                <w:b/>
                <w:bCs/>
                <w:snapToGrid/>
                <w:sz w:val="22"/>
                <w:szCs w:val="22"/>
              </w:rPr>
            </w:pPr>
            <w:r w:rsidRPr="005F5DCC">
              <w:rPr>
                <w:rFonts w:eastAsia="Cambria" w:cstheme="minorHAnsi"/>
                <w:b/>
                <w:bCs/>
                <w:snapToGrid/>
                <w:sz w:val="22"/>
                <w:szCs w:val="22"/>
              </w:rPr>
              <w:t>Below Standard (pH 6)</w:t>
            </w:r>
          </w:p>
        </w:tc>
        <w:tc>
          <w:tcPr>
            <w:tcW w:w="2084" w:type="pct"/>
            <w:gridSpan w:val="2"/>
            <w:tcBorders>
              <w:top w:val="single" w:sz="12" w:space="0" w:color="auto"/>
              <w:bottom w:val="single" w:sz="2" w:space="0" w:color="auto"/>
            </w:tcBorders>
            <w:vAlign w:val="center"/>
          </w:tcPr>
          <w:p w14:paraId="0777ECA5" w14:textId="77777777" w:rsidR="00B135A3" w:rsidRPr="005F5DCC" w:rsidRDefault="00B135A3">
            <w:pPr>
              <w:widowControl/>
              <w:spacing w:before="36" w:after="36"/>
              <w:jc w:val="center"/>
              <w:rPr>
                <w:rFonts w:eastAsia="Cambria" w:cstheme="minorHAnsi"/>
                <w:b/>
                <w:bCs/>
                <w:snapToGrid/>
                <w:sz w:val="22"/>
                <w:szCs w:val="22"/>
              </w:rPr>
            </w:pPr>
            <w:r w:rsidRPr="005F5DCC">
              <w:rPr>
                <w:rFonts w:eastAsia="Cambria" w:cstheme="minorHAnsi"/>
                <w:b/>
                <w:bCs/>
                <w:snapToGrid/>
                <w:sz w:val="22"/>
                <w:szCs w:val="22"/>
              </w:rPr>
              <w:t>Above Standard (pH 9)</w:t>
            </w:r>
          </w:p>
        </w:tc>
      </w:tr>
      <w:tr w:rsidR="00B135A3" w:rsidRPr="00307D28" w14:paraId="06DB9984" w14:textId="77777777">
        <w:trPr>
          <w:trHeight w:val="360"/>
        </w:trPr>
        <w:tc>
          <w:tcPr>
            <w:tcW w:w="0" w:type="auto"/>
            <w:tcBorders>
              <w:top w:val="single" w:sz="2" w:space="0" w:color="auto"/>
              <w:bottom w:val="single" w:sz="12" w:space="0" w:color="auto"/>
            </w:tcBorders>
            <w:vAlign w:val="center"/>
          </w:tcPr>
          <w:p w14:paraId="0186D131" w14:textId="77777777" w:rsidR="00B135A3" w:rsidRPr="005F5DCC" w:rsidRDefault="00B135A3">
            <w:pPr>
              <w:widowControl/>
              <w:spacing w:before="36" w:after="36"/>
              <w:jc w:val="center"/>
              <w:rPr>
                <w:rFonts w:eastAsia="Cambria" w:cstheme="minorHAnsi"/>
                <w:snapToGrid/>
                <w:sz w:val="22"/>
                <w:szCs w:val="22"/>
              </w:rPr>
            </w:pPr>
            <w:r w:rsidRPr="005F5DCC">
              <w:rPr>
                <w:rFonts w:eastAsia="Cambria" w:cstheme="minorHAnsi"/>
                <w:snapToGrid/>
                <w:sz w:val="22"/>
                <w:szCs w:val="22"/>
              </w:rPr>
              <w:t>pH</w:t>
            </w:r>
          </w:p>
        </w:tc>
        <w:tc>
          <w:tcPr>
            <w:tcW w:w="1935" w:type="pct"/>
            <w:tcBorders>
              <w:top w:val="single" w:sz="2" w:space="0" w:color="auto"/>
              <w:bottom w:val="single" w:sz="12" w:space="0" w:color="auto"/>
            </w:tcBorders>
            <w:vAlign w:val="center"/>
          </w:tcPr>
          <w:p w14:paraId="2C13FAC0" w14:textId="77777777" w:rsidR="00B135A3" w:rsidRPr="005F5DCC" w:rsidRDefault="00B135A3">
            <w:pPr>
              <w:widowControl/>
              <w:spacing w:before="36" w:after="36"/>
              <w:jc w:val="center"/>
              <w:rPr>
                <w:rFonts w:eastAsia="Cambria" w:cstheme="minorHAnsi"/>
                <w:snapToGrid/>
                <w:sz w:val="22"/>
                <w:szCs w:val="22"/>
              </w:rPr>
            </w:pPr>
            <w:r w:rsidRPr="005F5DCC">
              <w:rPr>
                <w:rFonts w:eastAsia="Cambria" w:cstheme="minorHAnsi"/>
                <w:snapToGrid/>
                <w:sz w:val="22"/>
                <w:szCs w:val="22"/>
              </w:rPr>
              <w:t>1.5% (± 1.7%)</w:t>
            </w:r>
          </w:p>
        </w:tc>
        <w:tc>
          <w:tcPr>
            <w:tcW w:w="2083" w:type="pct"/>
            <w:gridSpan w:val="2"/>
            <w:tcBorders>
              <w:top w:val="single" w:sz="2" w:space="0" w:color="auto"/>
              <w:bottom w:val="single" w:sz="12" w:space="0" w:color="auto"/>
            </w:tcBorders>
            <w:vAlign w:val="center"/>
          </w:tcPr>
          <w:p w14:paraId="15876933" w14:textId="77777777" w:rsidR="00B135A3" w:rsidRPr="005F5DCC" w:rsidRDefault="00B135A3">
            <w:pPr>
              <w:widowControl/>
              <w:spacing w:before="36" w:after="36"/>
              <w:jc w:val="center"/>
              <w:rPr>
                <w:rFonts w:eastAsia="Cambria" w:cstheme="minorHAnsi"/>
                <w:snapToGrid/>
                <w:sz w:val="22"/>
                <w:szCs w:val="22"/>
              </w:rPr>
            </w:pPr>
            <w:r w:rsidRPr="005F5DCC">
              <w:rPr>
                <w:rFonts w:eastAsia="Cambria" w:cstheme="minorHAnsi"/>
                <w:snapToGrid/>
                <w:sz w:val="22"/>
                <w:szCs w:val="22"/>
              </w:rPr>
              <w:t>0% (± 0%)</w:t>
            </w:r>
          </w:p>
        </w:tc>
      </w:tr>
      <w:tr w:rsidR="00B135A3" w:rsidRPr="00307D28" w14:paraId="1B80DF88" w14:textId="77777777">
        <w:trPr>
          <w:gridAfter w:val="1"/>
          <w:wAfter w:w="550" w:type="pct"/>
        </w:trPr>
        <w:tc>
          <w:tcPr>
            <w:tcW w:w="0" w:type="auto"/>
            <w:tcBorders>
              <w:top w:val="single" w:sz="4" w:space="0" w:color="auto"/>
            </w:tcBorders>
          </w:tcPr>
          <w:p w14:paraId="319D1FD4" w14:textId="77777777" w:rsidR="00B135A3" w:rsidRPr="00307D28" w:rsidRDefault="00B135A3">
            <w:pPr>
              <w:widowControl/>
              <w:spacing w:before="36" w:after="36"/>
              <w:rPr>
                <w:rFonts w:eastAsia="Cambria" w:cstheme="minorHAnsi"/>
                <w:snapToGrid/>
                <w:szCs w:val="24"/>
              </w:rPr>
            </w:pPr>
          </w:p>
        </w:tc>
        <w:tc>
          <w:tcPr>
            <w:tcW w:w="1935" w:type="pct"/>
            <w:tcBorders>
              <w:top w:val="single" w:sz="4" w:space="0" w:color="auto"/>
            </w:tcBorders>
          </w:tcPr>
          <w:p w14:paraId="73DAD30E" w14:textId="77777777" w:rsidR="00B135A3" w:rsidRPr="00307D28" w:rsidRDefault="00B135A3">
            <w:pPr>
              <w:widowControl/>
              <w:spacing w:before="36" w:after="36"/>
              <w:jc w:val="center"/>
              <w:rPr>
                <w:rFonts w:eastAsia="Cambria" w:cstheme="minorHAnsi"/>
                <w:snapToGrid/>
                <w:szCs w:val="24"/>
              </w:rPr>
            </w:pPr>
          </w:p>
        </w:tc>
        <w:tc>
          <w:tcPr>
            <w:tcW w:w="1534" w:type="pct"/>
            <w:tcBorders>
              <w:top w:val="single" w:sz="4" w:space="0" w:color="auto"/>
            </w:tcBorders>
          </w:tcPr>
          <w:p w14:paraId="2CDFA9C6" w14:textId="77777777" w:rsidR="00B135A3" w:rsidRPr="00307D28" w:rsidRDefault="00B135A3">
            <w:pPr>
              <w:widowControl/>
              <w:spacing w:before="36" w:after="36"/>
              <w:jc w:val="center"/>
              <w:rPr>
                <w:rFonts w:eastAsia="Cambria" w:cstheme="minorHAnsi"/>
                <w:snapToGrid/>
                <w:szCs w:val="24"/>
              </w:rPr>
            </w:pPr>
          </w:p>
        </w:tc>
      </w:tr>
    </w:tbl>
    <w:p w14:paraId="3A0C2CA3" w14:textId="77777777" w:rsidR="00B135A3" w:rsidRPr="00BE6A44" w:rsidRDefault="00B135A3" w:rsidP="00B135A3">
      <w:pPr>
        <w:pStyle w:val="Heading4"/>
        <w:rPr>
          <w:snapToGrid/>
        </w:rPr>
      </w:pPr>
      <w:r w:rsidRPr="00BE6A44">
        <w:rPr>
          <w:snapToGrid/>
        </w:rPr>
        <w:t>Temperature</w:t>
      </w:r>
    </w:p>
    <w:p w14:paraId="001946F4"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 xml:space="preserve">Temperature affects water quality by potentially imposing a heat burden on aquatic life and by limiting the level of dissolved oxygen in water. Temperature in streams varies in relation to seasonal and daily changes. Sunlight is the primary source of temperature change. Stream temperature is also influenced by the temperature of the stream bed, groundwater inputs, and air in contact with the water surface. Temperature is inversely related to bank vegetation cover as less cover results in more exposure to the sun and higher instream temperatures. Also, runoff from impervious surfaces in urban areas may increase water temperature. Finally, effluent that is discharged to a waterbody </w:t>
      </w:r>
      <w:r>
        <w:rPr>
          <w:rFonts w:eastAsia="Cambria" w:cstheme="minorHAnsi"/>
          <w:snapToGrid/>
          <w:szCs w:val="24"/>
        </w:rPr>
        <w:t xml:space="preserve">may </w:t>
      </w:r>
      <w:r w:rsidRPr="00307D28">
        <w:rPr>
          <w:rFonts w:eastAsia="Cambria" w:cstheme="minorHAnsi"/>
          <w:snapToGrid/>
          <w:szCs w:val="24"/>
        </w:rPr>
        <w:t>have higher</w:t>
      </w:r>
      <w:r>
        <w:rPr>
          <w:rFonts w:eastAsia="Cambria" w:cstheme="minorHAnsi"/>
          <w:snapToGrid/>
          <w:szCs w:val="24"/>
        </w:rPr>
        <w:t xml:space="preserve"> or lower </w:t>
      </w:r>
      <w:r w:rsidRPr="00307D28">
        <w:rPr>
          <w:rFonts w:eastAsia="Cambria" w:cstheme="minorHAnsi"/>
          <w:snapToGrid/>
          <w:szCs w:val="24"/>
        </w:rPr>
        <w:t>temperature than the receiving stream</w:t>
      </w:r>
      <w:r>
        <w:rPr>
          <w:rFonts w:eastAsia="Cambria" w:cstheme="minorHAnsi"/>
          <w:snapToGrid/>
          <w:szCs w:val="24"/>
        </w:rPr>
        <w:t xml:space="preserve"> depending on the time of year as the temperature of effluent discharges is often relatively stable compared to seasonal ambient stream temperature changes</w:t>
      </w:r>
      <w:r w:rsidRPr="00307D28">
        <w:rPr>
          <w:rFonts w:eastAsia="Cambria" w:cstheme="minorHAnsi"/>
          <w:snapToGrid/>
          <w:szCs w:val="24"/>
        </w:rPr>
        <w:t>.</w:t>
      </w:r>
      <w:r>
        <w:rPr>
          <w:rFonts w:eastAsia="Cambria" w:cstheme="minorHAnsi"/>
          <w:snapToGrid/>
          <w:szCs w:val="24"/>
        </w:rPr>
        <w:br/>
      </w:r>
    </w:p>
    <w:p w14:paraId="64C3BB08" w14:textId="77777777" w:rsidR="00B135A3" w:rsidRDefault="00B135A3" w:rsidP="00B135A3">
      <w:pPr>
        <w:widowControl/>
        <w:rPr>
          <w:rFonts w:eastAsia="Cambria" w:cstheme="minorHAnsi"/>
          <w:snapToGrid/>
          <w:szCs w:val="24"/>
        </w:rPr>
      </w:pPr>
      <w:r w:rsidRPr="00307D28">
        <w:rPr>
          <w:rFonts w:eastAsia="Cambria" w:cstheme="minorHAnsi"/>
          <w:snapToGrid/>
          <w:szCs w:val="24"/>
        </w:rPr>
        <w:t>Stream temperature has a significant effect on aquatic organisms. It can directly influence the types of organisms found in an aquatic system as well as their growth, behavior, metabolism, reproduction and feeding habits. Virginia’s numeric temperature criteria reflect the upper limit for the support of different forms of aquatic life (Virginia Water Quality Standards 9VAC25-260-</w:t>
      </w:r>
      <w:r w:rsidRPr="00307D28">
        <w:rPr>
          <w:rFonts w:eastAsia="Cambria" w:cstheme="minorHAnsi"/>
          <w:snapToGrid/>
          <w:szCs w:val="24"/>
        </w:rPr>
        <w:lastRenderedPageBreak/>
        <w:t xml:space="preserve">50). Criteria for temperature vary, notably in cold water fisheries, but, </w:t>
      </w:r>
      <w:proofErr w:type="gramStart"/>
      <w:r w:rsidRPr="00307D28">
        <w:rPr>
          <w:rFonts w:eastAsia="Cambria" w:cstheme="minorHAnsi"/>
          <w:snapToGrid/>
          <w:szCs w:val="24"/>
        </w:rPr>
        <w:t>as a general rule</w:t>
      </w:r>
      <w:proofErr w:type="gramEnd"/>
      <w:r w:rsidRPr="00307D28">
        <w:rPr>
          <w:rFonts w:eastAsia="Cambria" w:cstheme="minorHAnsi"/>
          <w:snapToGrid/>
          <w:szCs w:val="24"/>
        </w:rPr>
        <w:t xml:space="preserve">, all waters in Virginia are required to maintain temperatures at or below 31 or 32 degrees Celsius, based on appropriate water </w:t>
      </w:r>
      <w:proofErr w:type="gramStart"/>
      <w:r w:rsidRPr="00307D28">
        <w:rPr>
          <w:rFonts w:eastAsia="Cambria" w:cstheme="minorHAnsi"/>
          <w:snapToGrid/>
          <w:szCs w:val="24"/>
        </w:rPr>
        <w:t>quality class</w:t>
      </w:r>
      <w:proofErr w:type="gramEnd"/>
      <w:r w:rsidRPr="00307D28">
        <w:rPr>
          <w:rFonts w:eastAsia="Cambria" w:cstheme="minorHAnsi"/>
          <w:snapToGrid/>
          <w:szCs w:val="24"/>
        </w:rPr>
        <w:t xml:space="preserve"> designations.</w:t>
      </w:r>
    </w:p>
    <w:p w14:paraId="43EB0B2F" w14:textId="77777777" w:rsidR="00B135A3" w:rsidRPr="00307D28" w:rsidRDefault="00B135A3" w:rsidP="00B135A3">
      <w:pPr>
        <w:widowControl/>
        <w:rPr>
          <w:rFonts w:eastAsia="Cambria" w:cstheme="minorHAnsi"/>
          <w:snapToGrid/>
          <w:szCs w:val="24"/>
        </w:rPr>
      </w:pPr>
    </w:p>
    <w:p w14:paraId="2B18D30E"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Overall, DEQ estimates that temperature criteria exceedances will be rare in Virginia’s </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streams (Table 4.4-3) during the spring and fall. However, it is important to note that ProbMon temperature data is seldom collected during the most stressful hydrologic and weather conditions. Estimates are reflective of an average of two data points, where data are available. </w:t>
      </w:r>
      <w:proofErr w:type="gramStart"/>
      <w:r w:rsidRPr="00307D28">
        <w:rPr>
          <w:rFonts w:eastAsia="Cambria" w:cstheme="minorHAnsi"/>
          <w:snapToGrid/>
          <w:szCs w:val="24"/>
        </w:rPr>
        <w:t>In order to</w:t>
      </w:r>
      <w:proofErr w:type="gramEnd"/>
      <w:r w:rsidRPr="00307D28">
        <w:rPr>
          <w:rFonts w:eastAsia="Cambria" w:cstheme="minorHAnsi"/>
          <w:snapToGrid/>
          <w:szCs w:val="24"/>
        </w:rPr>
        <w:t xml:space="preserve"> properly estimate temperature conditions, temperature data must be collected continuously. Continuous temperature data collection began in 2016 at twenty probabilistic trend sites.</w:t>
      </w:r>
    </w:p>
    <w:p w14:paraId="726596C6" w14:textId="77777777" w:rsidR="00B135A3" w:rsidRPr="00BE6A44" w:rsidRDefault="00B135A3" w:rsidP="00B135A3">
      <w:pPr>
        <w:pStyle w:val="Caption"/>
        <w:rPr>
          <w:snapToGrid/>
        </w:rPr>
      </w:pPr>
    </w:p>
    <w:p w14:paraId="3E563034" w14:textId="70CDFF6C" w:rsidR="00EF2B37" w:rsidRPr="00DC73F1" w:rsidRDefault="00B135A3" w:rsidP="00EF2B37">
      <w:pPr>
        <w:pStyle w:val="Caption"/>
        <w:keepNext/>
      </w:pPr>
      <w:bookmarkStart w:id="192" w:name="_Toc164175185"/>
      <w:r>
        <w:t xml:space="preserve">Table </w:t>
      </w:r>
      <w:r w:rsidR="004F13BA">
        <w:fldChar w:fldCharType="begin"/>
      </w:r>
      <w:r w:rsidR="004F13BA">
        <w:instrText xml:space="preserve"> STYLEREF 2 \s </w:instrText>
      </w:r>
      <w:r w:rsidR="004F13BA">
        <w:fldChar w:fldCharType="separate"/>
      </w:r>
      <w:r w:rsidR="00CD06AE">
        <w:rPr>
          <w:noProof/>
        </w:rPr>
        <w:t>4.4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3</w:t>
      </w:r>
      <w:r w:rsidR="004F13BA">
        <w:rPr>
          <w:noProof/>
        </w:rPr>
        <w:fldChar w:fldCharType="end"/>
      </w:r>
      <w:r>
        <w:t xml:space="preserve">. </w:t>
      </w:r>
      <w:r w:rsidRPr="001C2C9B">
        <w:t>Temperature results</w:t>
      </w:r>
      <w:r w:rsidR="3CC83CE6" w:rsidRPr="001C2C9B">
        <w:t xml:space="preserve"> </w:t>
      </w:r>
      <w:bookmarkEnd w:id="192"/>
      <w:r>
        <w:t>(n=237, 2017 - 2022) above Virginia’s Water Quality Standard (± confidence limits).</w:t>
      </w:r>
    </w:p>
    <w:tbl>
      <w:tblPr>
        <w:tblStyle w:val="Table"/>
        <w:tblpPr w:leftFromText="180" w:rightFromText="180" w:vertAnchor="text" w:tblpY="1"/>
        <w:tblOverlap w:val="never"/>
        <w:tblW w:w="2260" w:type="pct"/>
        <w:tblBorders>
          <w:top w:val="single" w:sz="12" w:space="0" w:color="auto"/>
          <w:bottom w:val="single" w:sz="4" w:space="0" w:color="auto"/>
          <w:insideH w:val="single" w:sz="2" w:space="0" w:color="auto"/>
        </w:tblBorders>
        <w:tblLook w:val="0020" w:firstRow="1" w:lastRow="0" w:firstColumn="0" w:lastColumn="0" w:noHBand="0" w:noVBand="0"/>
        <w:tblCaption w:val="Table of Temperature results (2017 - 2022, n = 237) above Virginia’s Water Quality Standard (± confidence limits)."/>
        <w:tblDescription w:val="Temperature results (2017 - 2022, n = 237) above Virginia’s Water Quality Standard (± confidence limits)."/>
      </w:tblPr>
      <w:tblGrid>
        <w:gridCol w:w="1531"/>
        <w:gridCol w:w="2700"/>
      </w:tblGrid>
      <w:tr w:rsidR="00B135A3" w:rsidRPr="00307D28" w14:paraId="3BF1FEB0" w14:textId="77777777">
        <w:trPr>
          <w:trHeight w:val="360"/>
        </w:trPr>
        <w:tc>
          <w:tcPr>
            <w:tcW w:w="1809" w:type="pct"/>
            <w:tcBorders>
              <w:bottom w:val="single" w:sz="2" w:space="0" w:color="auto"/>
            </w:tcBorders>
            <w:vAlign w:val="center"/>
          </w:tcPr>
          <w:p w14:paraId="0B84018D" w14:textId="77777777" w:rsidR="00B135A3" w:rsidRPr="005F5DCC" w:rsidRDefault="00B135A3">
            <w:pPr>
              <w:widowControl/>
              <w:spacing w:before="36" w:after="36"/>
              <w:jc w:val="center"/>
              <w:rPr>
                <w:rFonts w:eastAsia="Cambria" w:cstheme="minorHAnsi"/>
                <w:b/>
                <w:bCs/>
                <w:snapToGrid/>
                <w:sz w:val="22"/>
                <w:szCs w:val="22"/>
              </w:rPr>
            </w:pPr>
            <w:r w:rsidRPr="005F5DCC">
              <w:rPr>
                <w:rFonts w:eastAsia="Cambria" w:cstheme="minorHAnsi"/>
                <w:b/>
                <w:bCs/>
                <w:snapToGrid/>
                <w:sz w:val="22"/>
                <w:szCs w:val="22"/>
              </w:rPr>
              <w:t>Parameter</w:t>
            </w:r>
          </w:p>
        </w:tc>
        <w:tc>
          <w:tcPr>
            <w:tcW w:w="3191" w:type="pct"/>
            <w:tcBorders>
              <w:bottom w:val="single" w:sz="2" w:space="0" w:color="auto"/>
            </w:tcBorders>
            <w:vAlign w:val="center"/>
          </w:tcPr>
          <w:p w14:paraId="623C3CB6" w14:textId="77777777" w:rsidR="00B135A3" w:rsidRPr="005F5DCC" w:rsidRDefault="00B135A3">
            <w:pPr>
              <w:widowControl/>
              <w:spacing w:before="36" w:after="36"/>
              <w:jc w:val="center"/>
              <w:rPr>
                <w:rFonts w:eastAsia="Cambria" w:cstheme="minorHAnsi"/>
                <w:b/>
                <w:bCs/>
                <w:snapToGrid/>
                <w:sz w:val="22"/>
                <w:szCs w:val="22"/>
              </w:rPr>
            </w:pPr>
            <w:r w:rsidRPr="005F5DCC">
              <w:rPr>
                <w:rFonts w:eastAsia="Cambria" w:cstheme="minorHAnsi"/>
                <w:b/>
                <w:bCs/>
                <w:snapToGrid/>
                <w:sz w:val="22"/>
                <w:szCs w:val="22"/>
              </w:rPr>
              <w:t>Above Standard (31/32°C)</w:t>
            </w:r>
          </w:p>
        </w:tc>
      </w:tr>
      <w:tr w:rsidR="00B135A3" w:rsidRPr="00307D28" w14:paraId="31B39214" w14:textId="77777777">
        <w:trPr>
          <w:trHeight w:val="360"/>
        </w:trPr>
        <w:tc>
          <w:tcPr>
            <w:tcW w:w="1809" w:type="pct"/>
            <w:tcBorders>
              <w:top w:val="single" w:sz="2" w:space="0" w:color="auto"/>
              <w:bottom w:val="single" w:sz="12" w:space="0" w:color="auto"/>
            </w:tcBorders>
            <w:vAlign w:val="center"/>
          </w:tcPr>
          <w:p w14:paraId="4DC48758" w14:textId="77777777" w:rsidR="00B135A3" w:rsidRPr="005F5DCC" w:rsidRDefault="00B135A3">
            <w:pPr>
              <w:widowControl/>
              <w:spacing w:before="36" w:after="36"/>
              <w:jc w:val="center"/>
              <w:rPr>
                <w:rFonts w:eastAsia="Cambria" w:cstheme="minorHAnsi"/>
                <w:snapToGrid/>
                <w:sz w:val="22"/>
                <w:szCs w:val="22"/>
              </w:rPr>
            </w:pPr>
            <w:r w:rsidRPr="005F5DCC">
              <w:rPr>
                <w:rFonts w:eastAsia="Cambria" w:cstheme="minorHAnsi"/>
                <w:snapToGrid/>
                <w:sz w:val="22"/>
                <w:szCs w:val="22"/>
              </w:rPr>
              <w:t>Temperature</w:t>
            </w:r>
          </w:p>
        </w:tc>
        <w:tc>
          <w:tcPr>
            <w:tcW w:w="3191" w:type="pct"/>
            <w:tcBorders>
              <w:top w:val="single" w:sz="2" w:space="0" w:color="auto"/>
              <w:bottom w:val="single" w:sz="12" w:space="0" w:color="auto"/>
            </w:tcBorders>
            <w:vAlign w:val="center"/>
          </w:tcPr>
          <w:p w14:paraId="078919E8" w14:textId="77777777" w:rsidR="00B135A3" w:rsidRPr="005F5DCC" w:rsidRDefault="00B135A3">
            <w:pPr>
              <w:widowControl/>
              <w:spacing w:before="36" w:after="36"/>
              <w:jc w:val="center"/>
              <w:rPr>
                <w:rFonts w:eastAsia="Cambria" w:cstheme="minorHAnsi"/>
                <w:snapToGrid/>
                <w:sz w:val="22"/>
                <w:szCs w:val="22"/>
              </w:rPr>
            </w:pPr>
            <w:r w:rsidRPr="005F5DCC">
              <w:rPr>
                <w:rFonts w:eastAsia="Cambria" w:cstheme="minorHAnsi"/>
                <w:snapToGrid/>
                <w:sz w:val="22"/>
                <w:szCs w:val="22"/>
              </w:rPr>
              <w:t>0.0% (± 0.0%)</w:t>
            </w:r>
          </w:p>
        </w:tc>
      </w:tr>
    </w:tbl>
    <w:p w14:paraId="50F7D6F7" w14:textId="77777777" w:rsidR="00B135A3" w:rsidRDefault="00B135A3" w:rsidP="00B135A3">
      <w:pPr>
        <w:rPr>
          <w:snapToGrid/>
        </w:rPr>
      </w:pPr>
      <w:r>
        <w:rPr>
          <w:snapToGrid/>
        </w:rPr>
        <w:br/>
      </w:r>
      <w:r>
        <w:rPr>
          <w:snapToGrid/>
        </w:rPr>
        <w:br/>
      </w:r>
      <w:r>
        <w:rPr>
          <w:snapToGrid/>
        </w:rPr>
        <w:br/>
      </w:r>
    </w:p>
    <w:p w14:paraId="4EFEA96E" w14:textId="77777777" w:rsidR="00B135A3" w:rsidRPr="00BE6A44" w:rsidRDefault="00B135A3" w:rsidP="00B135A3">
      <w:pPr>
        <w:pStyle w:val="Heading4"/>
        <w:rPr>
          <w:snapToGrid/>
          <w:color w:val="4F81BD"/>
        </w:rPr>
      </w:pPr>
      <w:r w:rsidRPr="00BE6A44">
        <w:rPr>
          <w:snapToGrid/>
        </w:rPr>
        <w:t>Dissolved Metals</w:t>
      </w:r>
    </w:p>
    <w:p w14:paraId="1AB6C9CA" w14:textId="398C4BDF" w:rsidR="00B135A3" w:rsidRDefault="00B135A3" w:rsidP="00B135A3">
      <w:pPr>
        <w:widowControl/>
        <w:rPr>
          <w:rFonts w:eastAsia="Cambria" w:cstheme="minorHAnsi"/>
          <w:snapToGrid/>
          <w:szCs w:val="24"/>
        </w:rPr>
      </w:pPr>
      <w:r w:rsidRPr="00307D28">
        <w:rPr>
          <w:rFonts w:eastAsia="Cambria" w:cstheme="minorHAnsi"/>
          <w:snapToGrid/>
          <w:szCs w:val="24"/>
        </w:rPr>
        <w:t xml:space="preserve">Heavy metals have been identified as an important influence on benthic community structure in streams (Clements et al. 2000). Some </w:t>
      </w:r>
      <w:proofErr w:type="gramStart"/>
      <w:r w:rsidRPr="00307D28">
        <w:rPr>
          <w:rFonts w:eastAsia="Cambria" w:cstheme="minorHAnsi"/>
          <w:snapToGrid/>
          <w:szCs w:val="24"/>
        </w:rPr>
        <w:t>taxa</w:t>
      </w:r>
      <w:proofErr w:type="gramEnd"/>
      <w:r w:rsidRPr="00307D28">
        <w:rPr>
          <w:rFonts w:eastAsia="Cambria" w:cstheme="minorHAnsi"/>
          <w:snapToGrid/>
          <w:szCs w:val="24"/>
        </w:rPr>
        <w:t xml:space="preserve"> appear to be relatively tolerant </w:t>
      </w:r>
      <w:proofErr w:type="gramStart"/>
      <w:r w:rsidRPr="00307D28">
        <w:rPr>
          <w:rFonts w:eastAsia="Cambria" w:cstheme="minorHAnsi"/>
          <w:snapToGrid/>
          <w:szCs w:val="24"/>
        </w:rPr>
        <w:t>to</w:t>
      </w:r>
      <w:proofErr w:type="gramEnd"/>
      <w:r w:rsidRPr="00307D28">
        <w:rPr>
          <w:rFonts w:eastAsia="Cambria" w:cstheme="minorHAnsi"/>
          <w:snapToGrid/>
          <w:szCs w:val="24"/>
        </w:rPr>
        <w:t xml:space="preserve"> metals while other </w:t>
      </w:r>
      <w:proofErr w:type="gramStart"/>
      <w:r w:rsidRPr="00307D28">
        <w:rPr>
          <w:rFonts w:eastAsia="Cambria" w:cstheme="minorHAnsi"/>
          <w:snapToGrid/>
          <w:szCs w:val="24"/>
        </w:rPr>
        <w:t>taxa</w:t>
      </w:r>
      <w:proofErr w:type="gramEnd"/>
      <w:r w:rsidRPr="00307D28">
        <w:rPr>
          <w:rFonts w:eastAsia="Cambria" w:cstheme="minorHAnsi"/>
          <w:snapToGrid/>
          <w:szCs w:val="24"/>
        </w:rPr>
        <w:t xml:space="preserve"> are intolerant of heavy metals. </w:t>
      </w:r>
      <w:r>
        <w:rPr>
          <w:rFonts w:eastAsia="Cambria" w:cstheme="minorHAnsi"/>
          <w:snapToGrid/>
          <w:szCs w:val="24"/>
        </w:rPr>
        <w:t>In general, m</w:t>
      </w:r>
      <w:r w:rsidRPr="00307D28">
        <w:rPr>
          <w:rFonts w:eastAsia="Cambria" w:cstheme="minorHAnsi"/>
          <w:snapToGrid/>
          <w:szCs w:val="24"/>
        </w:rPr>
        <w:t xml:space="preserve">etals are most biologically available and toxic when dissolved in water. Toxicity of many metals is dependent on water hardness making it necessary to calculate site specific water quality criteria from hardness values. Table 4.4-4 lists the Virginia Water Quality Criteria for metals </w:t>
      </w:r>
      <w:r>
        <w:rPr>
          <w:rFonts w:eastAsia="Cambria" w:cstheme="minorHAnsi"/>
          <w:snapToGrid/>
          <w:szCs w:val="24"/>
        </w:rPr>
        <w:t xml:space="preserve">and </w:t>
      </w:r>
      <w:r w:rsidRPr="00307D28">
        <w:rPr>
          <w:rFonts w:eastAsia="Cambria" w:cstheme="minorHAnsi"/>
          <w:snapToGrid/>
          <w:szCs w:val="24"/>
        </w:rPr>
        <w:t>assum</w:t>
      </w:r>
      <w:r>
        <w:rPr>
          <w:rFonts w:eastAsia="Cambria" w:cstheme="minorHAnsi"/>
          <w:snapToGrid/>
          <w:szCs w:val="24"/>
        </w:rPr>
        <w:t>es</w:t>
      </w:r>
      <w:r w:rsidRPr="00307D28">
        <w:rPr>
          <w:rFonts w:eastAsia="Cambria" w:cstheme="minorHAnsi"/>
          <w:snapToGrid/>
          <w:szCs w:val="24"/>
        </w:rPr>
        <w:t xml:space="preserve"> a hardness (expressed as CaCO</w:t>
      </w:r>
      <w:r w:rsidRPr="00307D28">
        <w:rPr>
          <w:rFonts w:eastAsia="Cambria" w:cstheme="minorHAnsi"/>
          <w:snapToGrid/>
          <w:szCs w:val="24"/>
          <w:vertAlign w:val="subscript"/>
        </w:rPr>
        <w:t>3</w:t>
      </w:r>
      <w:r w:rsidRPr="00307D28">
        <w:rPr>
          <w:rFonts w:eastAsia="Cambria" w:cstheme="minorHAnsi"/>
          <w:snapToGrid/>
          <w:szCs w:val="24"/>
        </w:rPr>
        <w:t>) of 100 mg/L for</w:t>
      </w:r>
      <w:r>
        <w:rPr>
          <w:rFonts w:eastAsia="Cambria" w:cstheme="minorHAnsi"/>
          <w:snapToGrid/>
          <w:szCs w:val="24"/>
        </w:rPr>
        <w:t xml:space="preserve"> those metals whose water quality criteria are a function of hardness</w:t>
      </w:r>
      <w:r w:rsidRPr="00307D28">
        <w:rPr>
          <w:rFonts w:eastAsia="Cambria" w:cstheme="minorHAnsi"/>
          <w:snapToGrid/>
          <w:szCs w:val="24"/>
        </w:rPr>
        <w:t xml:space="preserve">. The table also summarizes the number of sites that had detectable analytical </w:t>
      </w:r>
      <w:r w:rsidR="00305064" w:rsidRPr="00307D28">
        <w:rPr>
          <w:rFonts w:eastAsia="Cambria" w:cstheme="minorHAnsi"/>
          <w:snapToGrid/>
          <w:szCs w:val="24"/>
        </w:rPr>
        <w:t>results,</w:t>
      </w:r>
      <w:r w:rsidRPr="00307D28">
        <w:rPr>
          <w:rFonts w:eastAsia="Cambria" w:cstheme="minorHAnsi"/>
          <w:snapToGrid/>
          <w:szCs w:val="24"/>
        </w:rPr>
        <w:t xml:space="preserve"> and the number of criterion exceedances based on site specific hardness values measured concurrently as part of the ProbMon program. All criteria are calculated using site-specific hardness measures. Two </w:t>
      </w:r>
      <w:r>
        <w:rPr>
          <w:rFonts w:eastAsia="Cambria" w:cstheme="minorHAnsi"/>
          <w:snapToGrid/>
          <w:szCs w:val="24"/>
        </w:rPr>
        <w:t>out of 239</w:t>
      </w:r>
      <w:r w:rsidRPr="00307D28">
        <w:rPr>
          <w:rFonts w:eastAsia="Cambria" w:cstheme="minorHAnsi"/>
          <w:snapToGrid/>
          <w:szCs w:val="24"/>
        </w:rPr>
        <w:t xml:space="preserve"> samples were measured above the acute sample criteria while two samples were measured above the </w:t>
      </w:r>
      <w:r>
        <w:rPr>
          <w:rFonts w:eastAsia="Cambria" w:cstheme="minorHAnsi"/>
          <w:snapToGrid/>
          <w:szCs w:val="24"/>
        </w:rPr>
        <w:t>chronic</w:t>
      </w:r>
      <w:r w:rsidRPr="00307D28">
        <w:rPr>
          <w:rFonts w:eastAsia="Cambria" w:cstheme="minorHAnsi"/>
          <w:snapToGrid/>
          <w:szCs w:val="24"/>
        </w:rPr>
        <w:t xml:space="preserve"> sample criteria during the 2024 Integrated Report sample window (2017 - 2022). Results are shown in Table 4.4-4.</w:t>
      </w:r>
    </w:p>
    <w:p w14:paraId="1E700E59" w14:textId="5A0021C4" w:rsidR="00510C84" w:rsidRDefault="00510C84">
      <w:pPr>
        <w:widowControl/>
        <w:spacing w:after="160" w:line="259" w:lineRule="auto"/>
        <w:rPr>
          <w:rFonts w:eastAsia="Cambria" w:cstheme="minorHAnsi"/>
          <w:snapToGrid/>
          <w:szCs w:val="24"/>
        </w:rPr>
      </w:pPr>
      <w:r>
        <w:rPr>
          <w:rFonts w:eastAsia="Cambria" w:cstheme="minorHAnsi"/>
          <w:snapToGrid/>
          <w:szCs w:val="24"/>
        </w:rPr>
        <w:br w:type="page"/>
      </w:r>
    </w:p>
    <w:p w14:paraId="3E2C4AF7" w14:textId="42044C54" w:rsidR="00EF2B37" w:rsidRPr="00DC73F1" w:rsidRDefault="00B135A3" w:rsidP="00EF2B37">
      <w:pPr>
        <w:pStyle w:val="Caption"/>
        <w:keepNext/>
      </w:pPr>
      <w:bookmarkStart w:id="193" w:name="_Toc164175186"/>
      <w:r>
        <w:lastRenderedPageBreak/>
        <w:t xml:space="preserve">Table </w:t>
      </w:r>
      <w:r w:rsidR="004F13BA">
        <w:fldChar w:fldCharType="begin"/>
      </w:r>
      <w:r w:rsidR="004F13BA">
        <w:instrText xml:space="preserve"> STYLEREF 2 \s </w:instrText>
      </w:r>
      <w:r w:rsidR="004F13BA">
        <w:fldChar w:fldCharType="separate"/>
      </w:r>
      <w:r w:rsidR="00CD06AE">
        <w:rPr>
          <w:noProof/>
        </w:rPr>
        <w:t>4.4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4</w:t>
      </w:r>
      <w:r w:rsidR="004F13BA">
        <w:rPr>
          <w:noProof/>
        </w:rPr>
        <w:fldChar w:fldCharType="end"/>
      </w:r>
      <w:r>
        <w:t xml:space="preserve">. </w:t>
      </w:r>
      <w:r w:rsidRPr="00EB4818">
        <w:t>Dissolved metals results</w:t>
      </w:r>
      <w:r w:rsidR="3CD30D8A" w:rsidRPr="00EB4818">
        <w:t xml:space="preserve"> </w:t>
      </w:r>
      <w:bookmarkEnd w:id="193"/>
      <w:r>
        <w:t>(n=239, 2017 - 2022) above Virginia’s Water Quality Standards (± confidence limits), ppb = parts per billion.</w:t>
      </w:r>
    </w:p>
    <w:tbl>
      <w:tblPr>
        <w:tblStyle w:val="Table"/>
        <w:tblW w:w="5000" w:type="pct"/>
        <w:tblLook w:val="0020" w:firstRow="1" w:lastRow="0" w:firstColumn="0" w:lastColumn="0" w:noHBand="0" w:noVBand="0"/>
        <w:tblCaption w:val="Table of Dissolved metals results (2017 - 2022, n = 239) above Virginia’s Water Quality Standards (± confidence limits), ppb = parts per billion."/>
        <w:tblDescription w:val="Dissolved metals results (2017 - 2022, n = 239) above Virginia’s Water Quality Standards (± confidence limits), ppb = parts per billion."/>
      </w:tblPr>
      <w:tblGrid>
        <w:gridCol w:w="1161"/>
        <w:gridCol w:w="1966"/>
        <w:gridCol w:w="2125"/>
        <w:gridCol w:w="1653"/>
        <w:gridCol w:w="2455"/>
      </w:tblGrid>
      <w:tr w:rsidR="00B135A3" w:rsidRPr="00307D28" w14:paraId="7DD201D2" w14:textId="77777777">
        <w:tc>
          <w:tcPr>
            <w:tcW w:w="0" w:type="auto"/>
            <w:tcBorders>
              <w:top w:val="single" w:sz="12" w:space="0" w:color="auto"/>
              <w:bottom w:val="single" w:sz="4" w:space="0" w:color="auto"/>
            </w:tcBorders>
          </w:tcPr>
          <w:p w14:paraId="4444B23B" w14:textId="77777777" w:rsidR="00B135A3" w:rsidRPr="008069CF" w:rsidRDefault="00B135A3">
            <w:pPr>
              <w:widowControl/>
              <w:spacing w:before="36" w:after="36"/>
              <w:jc w:val="center"/>
              <w:rPr>
                <w:rFonts w:eastAsia="Cambria" w:cstheme="minorHAnsi"/>
                <w:b/>
                <w:bCs/>
                <w:snapToGrid/>
                <w:sz w:val="22"/>
                <w:szCs w:val="22"/>
              </w:rPr>
            </w:pPr>
            <w:r w:rsidRPr="008069CF">
              <w:rPr>
                <w:rFonts w:eastAsia="Cambria" w:cstheme="minorHAnsi"/>
                <w:b/>
                <w:bCs/>
                <w:snapToGrid/>
                <w:sz w:val="22"/>
                <w:szCs w:val="22"/>
              </w:rPr>
              <w:t>Metal</w:t>
            </w:r>
          </w:p>
        </w:tc>
        <w:tc>
          <w:tcPr>
            <w:tcW w:w="0" w:type="auto"/>
            <w:tcBorders>
              <w:top w:val="single" w:sz="12" w:space="0" w:color="auto"/>
              <w:bottom w:val="single" w:sz="4" w:space="0" w:color="auto"/>
            </w:tcBorders>
          </w:tcPr>
          <w:p w14:paraId="1A766CBC" w14:textId="77777777" w:rsidR="00B135A3" w:rsidRPr="008069CF" w:rsidRDefault="00B135A3">
            <w:pPr>
              <w:widowControl/>
              <w:spacing w:before="36" w:after="36"/>
              <w:jc w:val="center"/>
              <w:rPr>
                <w:rFonts w:eastAsia="Cambria" w:cstheme="minorHAnsi"/>
                <w:b/>
                <w:bCs/>
                <w:snapToGrid/>
                <w:sz w:val="22"/>
                <w:szCs w:val="22"/>
              </w:rPr>
            </w:pPr>
            <w:r w:rsidRPr="008069CF">
              <w:rPr>
                <w:rFonts w:eastAsia="Cambria" w:cstheme="minorHAnsi"/>
                <w:b/>
                <w:bCs/>
                <w:snapToGrid/>
                <w:sz w:val="22"/>
                <w:szCs w:val="22"/>
              </w:rPr>
              <w:t>Acute Criteria (ppb)</w:t>
            </w:r>
          </w:p>
        </w:tc>
        <w:tc>
          <w:tcPr>
            <w:tcW w:w="0" w:type="auto"/>
            <w:tcBorders>
              <w:top w:val="single" w:sz="12" w:space="0" w:color="auto"/>
              <w:bottom w:val="single" w:sz="4" w:space="0" w:color="auto"/>
            </w:tcBorders>
          </w:tcPr>
          <w:p w14:paraId="4C361FF8" w14:textId="77777777" w:rsidR="00B135A3" w:rsidRPr="008069CF" w:rsidRDefault="00B135A3">
            <w:pPr>
              <w:widowControl/>
              <w:spacing w:before="36" w:after="36"/>
              <w:jc w:val="center"/>
              <w:rPr>
                <w:rFonts w:eastAsia="Cambria" w:cstheme="minorHAnsi"/>
                <w:b/>
                <w:bCs/>
                <w:snapToGrid/>
                <w:sz w:val="22"/>
                <w:szCs w:val="22"/>
              </w:rPr>
            </w:pPr>
            <w:r w:rsidRPr="008069CF">
              <w:rPr>
                <w:rFonts w:eastAsia="Cambria" w:cstheme="minorHAnsi"/>
                <w:b/>
                <w:bCs/>
                <w:snapToGrid/>
                <w:sz w:val="22"/>
                <w:szCs w:val="22"/>
              </w:rPr>
              <w:t>Chronic Criteria (ppb)</w:t>
            </w:r>
          </w:p>
        </w:tc>
        <w:tc>
          <w:tcPr>
            <w:tcW w:w="0" w:type="auto"/>
            <w:tcBorders>
              <w:top w:val="single" w:sz="12" w:space="0" w:color="auto"/>
              <w:bottom w:val="single" w:sz="4" w:space="0" w:color="auto"/>
            </w:tcBorders>
          </w:tcPr>
          <w:p w14:paraId="5375455C" w14:textId="77777777" w:rsidR="00B135A3" w:rsidRPr="008069CF" w:rsidRDefault="00B135A3">
            <w:pPr>
              <w:widowControl/>
              <w:spacing w:before="36" w:after="36"/>
              <w:jc w:val="center"/>
              <w:rPr>
                <w:rFonts w:eastAsia="Cambria" w:cstheme="minorHAnsi"/>
                <w:b/>
                <w:bCs/>
                <w:snapToGrid/>
                <w:sz w:val="22"/>
                <w:szCs w:val="22"/>
              </w:rPr>
            </w:pPr>
            <w:r w:rsidRPr="008069CF">
              <w:rPr>
                <w:rFonts w:eastAsia="Cambria" w:cstheme="minorHAnsi"/>
                <w:b/>
                <w:bCs/>
                <w:snapToGrid/>
                <w:sz w:val="22"/>
                <w:szCs w:val="22"/>
              </w:rPr>
              <w:t># Above Criteria</w:t>
            </w:r>
          </w:p>
        </w:tc>
        <w:tc>
          <w:tcPr>
            <w:tcW w:w="0" w:type="auto"/>
            <w:tcBorders>
              <w:top w:val="single" w:sz="12" w:space="0" w:color="auto"/>
              <w:bottom w:val="single" w:sz="4" w:space="0" w:color="auto"/>
            </w:tcBorders>
          </w:tcPr>
          <w:p w14:paraId="54F2B336" w14:textId="77777777" w:rsidR="00B135A3" w:rsidRPr="008069CF" w:rsidRDefault="00B135A3">
            <w:pPr>
              <w:widowControl/>
              <w:spacing w:before="36" w:after="36"/>
              <w:jc w:val="center"/>
              <w:rPr>
                <w:rFonts w:eastAsia="Cambria" w:cstheme="minorHAnsi"/>
                <w:b/>
                <w:bCs/>
                <w:snapToGrid/>
                <w:sz w:val="22"/>
                <w:szCs w:val="22"/>
              </w:rPr>
            </w:pPr>
            <w:r w:rsidRPr="008069CF">
              <w:rPr>
                <w:rFonts w:eastAsia="Cambria" w:cstheme="minorHAnsi"/>
                <w:b/>
                <w:bCs/>
                <w:snapToGrid/>
                <w:sz w:val="22"/>
                <w:szCs w:val="22"/>
              </w:rPr>
              <w:t>% of Miles Above Criteria</w:t>
            </w:r>
          </w:p>
        </w:tc>
      </w:tr>
      <w:tr w:rsidR="00B135A3" w:rsidRPr="00307D28" w14:paraId="030B568E" w14:textId="77777777">
        <w:trPr>
          <w:trHeight w:val="360"/>
        </w:trPr>
        <w:tc>
          <w:tcPr>
            <w:tcW w:w="0" w:type="auto"/>
            <w:tcBorders>
              <w:top w:val="single" w:sz="4" w:space="0" w:color="auto"/>
            </w:tcBorders>
          </w:tcPr>
          <w:p w14:paraId="7C9CC202"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Arsenic</w:t>
            </w:r>
          </w:p>
        </w:tc>
        <w:tc>
          <w:tcPr>
            <w:tcW w:w="0" w:type="auto"/>
            <w:tcBorders>
              <w:top w:val="single" w:sz="4" w:space="0" w:color="auto"/>
            </w:tcBorders>
          </w:tcPr>
          <w:p w14:paraId="24CBB626"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340</w:t>
            </w:r>
          </w:p>
        </w:tc>
        <w:tc>
          <w:tcPr>
            <w:tcW w:w="0" w:type="auto"/>
            <w:tcBorders>
              <w:top w:val="single" w:sz="4" w:space="0" w:color="auto"/>
            </w:tcBorders>
          </w:tcPr>
          <w:p w14:paraId="3617872D"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150</w:t>
            </w:r>
          </w:p>
        </w:tc>
        <w:tc>
          <w:tcPr>
            <w:tcW w:w="0" w:type="auto"/>
            <w:tcBorders>
              <w:top w:val="single" w:sz="4" w:space="0" w:color="auto"/>
            </w:tcBorders>
          </w:tcPr>
          <w:p w14:paraId="3FA9AC1A"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w:t>
            </w:r>
          </w:p>
        </w:tc>
        <w:tc>
          <w:tcPr>
            <w:tcW w:w="0" w:type="auto"/>
            <w:tcBorders>
              <w:top w:val="single" w:sz="4" w:space="0" w:color="auto"/>
            </w:tcBorders>
          </w:tcPr>
          <w:p w14:paraId="6B3C4AB8"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 (0%)</w:t>
            </w:r>
          </w:p>
        </w:tc>
      </w:tr>
      <w:tr w:rsidR="00B135A3" w:rsidRPr="00307D28" w14:paraId="6CCDE5F3" w14:textId="77777777">
        <w:trPr>
          <w:trHeight w:val="360"/>
        </w:trPr>
        <w:tc>
          <w:tcPr>
            <w:tcW w:w="0" w:type="auto"/>
          </w:tcPr>
          <w:p w14:paraId="650433AA"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Cadmium</w:t>
            </w:r>
          </w:p>
        </w:tc>
        <w:tc>
          <w:tcPr>
            <w:tcW w:w="0" w:type="auto"/>
          </w:tcPr>
          <w:p w14:paraId="6D3EF5CC"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3.9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Pr>
          <w:p w14:paraId="23687950"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1.1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Pr>
          <w:p w14:paraId="7A02C29B"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w:t>
            </w:r>
          </w:p>
        </w:tc>
        <w:tc>
          <w:tcPr>
            <w:tcW w:w="0" w:type="auto"/>
          </w:tcPr>
          <w:p w14:paraId="56F0BEA0"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 (± 0%)</w:t>
            </w:r>
          </w:p>
        </w:tc>
      </w:tr>
      <w:tr w:rsidR="00B135A3" w:rsidRPr="00307D28" w14:paraId="1892C8D2" w14:textId="77777777">
        <w:trPr>
          <w:trHeight w:val="360"/>
        </w:trPr>
        <w:tc>
          <w:tcPr>
            <w:tcW w:w="0" w:type="auto"/>
          </w:tcPr>
          <w:p w14:paraId="31FB95B6"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Chromium</w:t>
            </w:r>
          </w:p>
        </w:tc>
        <w:tc>
          <w:tcPr>
            <w:tcW w:w="0" w:type="auto"/>
          </w:tcPr>
          <w:p w14:paraId="1BAB3977"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570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Pr>
          <w:p w14:paraId="12C8559D"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74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Pr>
          <w:p w14:paraId="2A89112C"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w:t>
            </w:r>
          </w:p>
        </w:tc>
        <w:tc>
          <w:tcPr>
            <w:tcW w:w="0" w:type="auto"/>
          </w:tcPr>
          <w:p w14:paraId="6764941B"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 (± 0%)</w:t>
            </w:r>
          </w:p>
        </w:tc>
      </w:tr>
      <w:tr w:rsidR="00B135A3" w:rsidRPr="00307D28" w14:paraId="28F2B9B6" w14:textId="77777777">
        <w:trPr>
          <w:trHeight w:val="360"/>
        </w:trPr>
        <w:tc>
          <w:tcPr>
            <w:tcW w:w="0" w:type="auto"/>
          </w:tcPr>
          <w:p w14:paraId="522EE12D"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Copper</w:t>
            </w:r>
          </w:p>
        </w:tc>
        <w:tc>
          <w:tcPr>
            <w:tcW w:w="0" w:type="auto"/>
          </w:tcPr>
          <w:p w14:paraId="6B8160B9"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13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Pr>
          <w:p w14:paraId="5D689031"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9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Pr>
          <w:p w14:paraId="0F7092BA"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2</w:t>
            </w:r>
          </w:p>
        </w:tc>
        <w:tc>
          <w:tcPr>
            <w:tcW w:w="0" w:type="auto"/>
          </w:tcPr>
          <w:p w14:paraId="6CB9A4C3"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2.1% (± 2.4%)</w:t>
            </w:r>
          </w:p>
        </w:tc>
      </w:tr>
      <w:tr w:rsidR="00B135A3" w:rsidRPr="00307D28" w14:paraId="38C975AE" w14:textId="77777777">
        <w:trPr>
          <w:trHeight w:val="360"/>
        </w:trPr>
        <w:tc>
          <w:tcPr>
            <w:tcW w:w="0" w:type="auto"/>
          </w:tcPr>
          <w:p w14:paraId="02CB521D"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Lead</w:t>
            </w:r>
          </w:p>
        </w:tc>
        <w:tc>
          <w:tcPr>
            <w:tcW w:w="0" w:type="auto"/>
          </w:tcPr>
          <w:p w14:paraId="4D19D197" w14:textId="77777777" w:rsidR="00B135A3" w:rsidRPr="008069CF" w:rsidRDefault="00B135A3">
            <w:pPr>
              <w:widowControl/>
              <w:spacing w:before="36" w:after="36"/>
              <w:jc w:val="center"/>
              <w:rPr>
                <w:rFonts w:eastAsia="Cambria" w:cstheme="minorHAnsi"/>
                <w:snapToGrid/>
                <w:sz w:val="22"/>
                <w:szCs w:val="22"/>
              </w:rPr>
            </w:pPr>
            <w:r>
              <w:rPr>
                <w:rFonts w:eastAsia="Cambria" w:cstheme="minorHAnsi"/>
                <w:snapToGrid/>
                <w:sz w:val="22"/>
                <w:szCs w:val="22"/>
              </w:rPr>
              <w:t>94</w:t>
            </w:r>
            <w:r w:rsidRPr="008069CF">
              <w:rPr>
                <w:rFonts w:eastAsia="Cambria" w:cstheme="minorHAnsi"/>
                <w:snapToGrid/>
                <w:sz w:val="22"/>
                <w:szCs w:val="22"/>
              </w:rPr>
              <w:t xml:space="preserve">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Pr>
          <w:p w14:paraId="728A6A64" w14:textId="77777777" w:rsidR="00B135A3" w:rsidRPr="008069CF" w:rsidRDefault="00B135A3">
            <w:pPr>
              <w:widowControl/>
              <w:spacing w:before="36" w:after="36"/>
              <w:jc w:val="center"/>
              <w:rPr>
                <w:rFonts w:eastAsia="Cambria" w:cstheme="minorHAnsi"/>
                <w:snapToGrid/>
                <w:sz w:val="22"/>
                <w:szCs w:val="22"/>
              </w:rPr>
            </w:pPr>
            <w:r>
              <w:rPr>
                <w:rFonts w:eastAsia="Cambria" w:cstheme="minorHAnsi"/>
                <w:snapToGrid/>
                <w:sz w:val="22"/>
                <w:szCs w:val="22"/>
              </w:rPr>
              <w:t>11</w:t>
            </w:r>
            <w:r w:rsidRPr="008069CF">
              <w:rPr>
                <w:rFonts w:eastAsia="Cambria" w:cstheme="minorHAnsi"/>
                <w:snapToGrid/>
                <w:sz w:val="22"/>
                <w:szCs w:val="22"/>
              </w:rPr>
              <w:t xml:space="preserve">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Pr>
          <w:p w14:paraId="43207BAF"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w:t>
            </w:r>
          </w:p>
        </w:tc>
        <w:tc>
          <w:tcPr>
            <w:tcW w:w="0" w:type="auto"/>
          </w:tcPr>
          <w:p w14:paraId="5035BE11"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 (± 0%)</w:t>
            </w:r>
          </w:p>
        </w:tc>
      </w:tr>
      <w:tr w:rsidR="00B135A3" w:rsidRPr="00307D28" w14:paraId="32CAA890" w14:textId="77777777">
        <w:trPr>
          <w:trHeight w:val="360"/>
        </w:trPr>
        <w:tc>
          <w:tcPr>
            <w:tcW w:w="0" w:type="auto"/>
          </w:tcPr>
          <w:p w14:paraId="23B47672"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Mercury</w:t>
            </w:r>
          </w:p>
        </w:tc>
        <w:tc>
          <w:tcPr>
            <w:tcW w:w="0" w:type="auto"/>
          </w:tcPr>
          <w:p w14:paraId="5D30ABE9"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1.4</w:t>
            </w:r>
          </w:p>
        </w:tc>
        <w:tc>
          <w:tcPr>
            <w:tcW w:w="0" w:type="auto"/>
          </w:tcPr>
          <w:p w14:paraId="2F3FE1D6"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0.77</w:t>
            </w:r>
          </w:p>
        </w:tc>
        <w:tc>
          <w:tcPr>
            <w:tcW w:w="0" w:type="auto"/>
          </w:tcPr>
          <w:p w14:paraId="40C7A090"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w:t>
            </w:r>
          </w:p>
        </w:tc>
        <w:tc>
          <w:tcPr>
            <w:tcW w:w="0" w:type="auto"/>
          </w:tcPr>
          <w:p w14:paraId="45679BA3"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 (± 0%)</w:t>
            </w:r>
          </w:p>
        </w:tc>
      </w:tr>
      <w:tr w:rsidR="00B135A3" w:rsidRPr="00307D28" w14:paraId="19D275C4" w14:textId="77777777">
        <w:trPr>
          <w:trHeight w:val="360"/>
        </w:trPr>
        <w:tc>
          <w:tcPr>
            <w:tcW w:w="0" w:type="auto"/>
          </w:tcPr>
          <w:p w14:paraId="23B168D1"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Nickel</w:t>
            </w:r>
          </w:p>
        </w:tc>
        <w:tc>
          <w:tcPr>
            <w:tcW w:w="0" w:type="auto"/>
          </w:tcPr>
          <w:p w14:paraId="680EDEDC"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180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Pr>
          <w:p w14:paraId="1D887BF6"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20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Pr>
          <w:p w14:paraId="18083E46"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w:t>
            </w:r>
          </w:p>
        </w:tc>
        <w:tc>
          <w:tcPr>
            <w:tcW w:w="0" w:type="auto"/>
          </w:tcPr>
          <w:p w14:paraId="0F49B5DC"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 (± 0%)</w:t>
            </w:r>
          </w:p>
        </w:tc>
      </w:tr>
      <w:tr w:rsidR="00B135A3" w:rsidRPr="00307D28" w14:paraId="5B925196" w14:textId="77777777">
        <w:trPr>
          <w:trHeight w:val="360"/>
        </w:trPr>
        <w:tc>
          <w:tcPr>
            <w:tcW w:w="0" w:type="auto"/>
          </w:tcPr>
          <w:p w14:paraId="39FCA690"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Selenium</w:t>
            </w:r>
          </w:p>
        </w:tc>
        <w:tc>
          <w:tcPr>
            <w:tcW w:w="0" w:type="auto"/>
          </w:tcPr>
          <w:p w14:paraId="2C8EAB4B"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20</w:t>
            </w:r>
          </w:p>
        </w:tc>
        <w:tc>
          <w:tcPr>
            <w:tcW w:w="0" w:type="auto"/>
          </w:tcPr>
          <w:p w14:paraId="784E32EF"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5</w:t>
            </w:r>
          </w:p>
        </w:tc>
        <w:tc>
          <w:tcPr>
            <w:tcW w:w="0" w:type="auto"/>
          </w:tcPr>
          <w:p w14:paraId="6B050118"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w:t>
            </w:r>
          </w:p>
        </w:tc>
        <w:tc>
          <w:tcPr>
            <w:tcW w:w="0" w:type="auto"/>
          </w:tcPr>
          <w:p w14:paraId="3A07E2BD"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 (± 0%)</w:t>
            </w:r>
          </w:p>
        </w:tc>
      </w:tr>
      <w:tr w:rsidR="00B135A3" w:rsidRPr="00307D28" w14:paraId="3EE3019B" w14:textId="77777777">
        <w:trPr>
          <w:trHeight w:val="360"/>
        </w:trPr>
        <w:tc>
          <w:tcPr>
            <w:tcW w:w="0" w:type="auto"/>
          </w:tcPr>
          <w:p w14:paraId="1750DB09"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Silver</w:t>
            </w:r>
          </w:p>
        </w:tc>
        <w:tc>
          <w:tcPr>
            <w:tcW w:w="0" w:type="auto"/>
          </w:tcPr>
          <w:p w14:paraId="13EF9F32"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3.4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Pr>
          <w:p w14:paraId="6ABAFA1B"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NA</w:t>
            </w:r>
          </w:p>
        </w:tc>
        <w:tc>
          <w:tcPr>
            <w:tcW w:w="0" w:type="auto"/>
          </w:tcPr>
          <w:p w14:paraId="2219DFD0"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w:t>
            </w:r>
          </w:p>
        </w:tc>
        <w:tc>
          <w:tcPr>
            <w:tcW w:w="0" w:type="auto"/>
          </w:tcPr>
          <w:p w14:paraId="55ABE7A8"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 (± 0%)</w:t>
            </w:r>
          </w:p>
        </w:tc>
      </w:tr>
      <w:tr w:rsidR="00B135A3" w:rsidRPr="00307D28" w14:paraId="08627776" w14:textId="77777777">
        <w:trPr>
          <w:trHeight w:val="360"/>
        </w:trPr>
        <w:tc>
          <w:tcPr>
            <w:tcW w:w="0" w:type="auto"/>
            <w:tcBorders>
              <w:bottom w:val="single" w:sz="12" w:space="0" w:color="auto"/>
            </w:tcBorders>
          </w:tcPr>
          <w:p w14:paraId="25C16E87"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Zinc</w:t>
            </w:r>
          </w:p>
        </w:tc>
        <w:tc>
          <w:tcPr>
            <w:tcW w:w="0" w:type="auto"/>
            <w:tcBorders>
              <w:bottom w:val="single" w:sz="12" w:space="0" w:color="auto"/>
            </w:tcBorders>
          </w:tcPr>
          <w:p w14:paraId="08B9F502"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120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Borders>
              <w:bottom w:val="single" w:sz="12" w:space="0" w:color="auto"/>
            </w:tcBorders>
          </w:tcPr>
          <w:p w14:paraId="60F8F789"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120 CaCO</w:t>
            </w:r>
            <w:r w:rsidRPr="008069CF">
              <w:rPr>
                <w:rFonts w:eastAsia="Cambria" w:cstheme="minorHAnsi"/>
                <w:snapToGrid/>
                <w:sz w:val="22"/>
                <w:szCs w:val="22"/>
                <w:vertAlign w:val="subscript"/>
              </w:rPr>
              <w:t xml:space="preserve">3 </w:t>
            </w:r>
            <w:r w:rsidRPr="008069CF">
              <w:rPr>
                <w:rFonts w:eastAsia="Cambria" w:cstheme="minorHAnsi"/>
                <w:snapToGrid/>
                <w:sz w:val="22"/>
                <w:szCs w:val="22"/>
              </w:rPr>
              <w:t>= 100</w:t>
            </w:r>
          </w:p>
        </w:tc>
        <w:tc>
          <w:tcPr>
            <w:tcW w:w="0" w:type="auto"/>
            <w:tcBorders>
              <w:bottom w:val="single" w:sz="12" w:space="0" w:color="auto"/>
            </w:tcBorders>
          </w:tcPr>
          <w:p w14:paraId="4A3D2A3F"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w:t>
            </w:r>
          </w:p>
        </w:tc>
        <w:tc>
          <w:tcPr>
            <w:tcW w:w="0" w:type="auto"/>
            <w:tcBorders>
              <w:bottom w:val="single" w:sz="12" w:space="0" w:color="auto"/>
            </w:tcBorders>
          </w:tcPr>
          <w:p w14:paraId="278A86CF" w14:textId="77777777" w:rsidR="00B135A3" w:rsidRPr="008069CF" w:rsidRDefault="00B135A3">
            <w:pPr>
              <w:widowControl/>
              <w:spacing w:before="36" w:after="36"/>
              <w:jc w:val="center"/>
              <w:rPr>
                <w:rFonts w:eastAsia="Cambria" w:cstheme="minorHAnsi"/>
                <w:snapToGrid/>
                <w:sz w:val="22"/>
                <w:szCs w:val="22"/>
              </w:rPr>
            </w:pPr>
            <w:r w:rsidRPr="008069CF">
              <w:rPr>
                <w:rFonts w:eastAsia="Cambria" w:cstheme="minorHAnsi"/>
                <w:snapToGrid/>
                <w:sz w:val="22"/>
                <w:szCs w:val="22"/>
              </w:rPr>
              <w:t>0% (± 0%)</w:t>
            </w:r>
          </w:p>
        </w:tc>
      </w:tr>
    </w:tbl>
    <w:p w14:paraId="448DAF8D" w14:textId="77777777" w:rsidR="00B135A3" w:rsidRDefault="00B135A3" w:rsidP="00B135A3">
      <w:pPr>
        <w:rPr>
          <w:snapToGrid/>
        </w:rPr>
      </w:pPr>
    </w:p>
    <w:p w14:paraId="0A948B38" w14:textId="77777777" w:rsidR="00B135A3" w:rsidRPr="008B220C" w:rsidRDefault="00B135A3" w:rsidP="00B135A3">
      <w:pPr>
        <w:pStyle w:val="Heading4"/>
        <w:rPr>
          <w:snapToGrid/>
        </w:rPr>
      </w:pPr>
      <w:r w:rsidRPr="008B220C">
        <w:rPr>
          <w:snapToGrid/>
        </w:rPr>
        <w:t>Sediment Metals</w:t>
      </w:r>
    </w:p>
    <w:p w14:paraId="7FAD9265"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DEQ collected 492 sediment metals (arsenic, cadmium, chromium, copper, lead, mercury, nickel, silver, and zinc) samples from 2001 through 2012 and reported results in the 2008, 2010, 2012, and 2014 Integrated Reports. Sediment metals concentrations were below sediment screening values called Probable Effects Concentrations (PECs) and affected a low percentage of stream miles. Due to the low prevalence of metals above PECs in Virginia’s </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streams and high sampling costs, DEQ has suspended sediment metals sampling. Consequently, DEQ will not report on sediment in the 2024 assessment cycle. Integrated Report chapters from previous assessment cycles contain estimates of sediment metals.</w:t>
      </w:r>
    </w:p>
    <w:p w14:paraId="40D62F97" w14:textId="77777777" w:rsidR="00B135A3" w:rsidRPr="00307D28" w:rsidRDefault="00B135A3" w:rsidP="00B135A3">
      <w:pPr>
        <w:widowControl/>
        <w:rPr>
          <w:rFonts w:eastAsia="Cambria" w:cstheme="minorHAnsi"/>
          <w:snapToGrid/>
          <w:szCs w:val="24"/>
        </w:rPr>
      </w:pPr>
    </w:p>
    <w:p w14:paraId="73EC9A48" w14:textId="77777777" w:rsidR="00B135A3" w:rsidRPr="008B220C" w:rsidRDefault="00B135A3" w:rsidP="00B135A3">
      <w:pPr>
        <w:pStyle w:val="Heading4"/>
        <w:rPr>
          <w:snapToGrid/>
        </w:rPr>
      </w:pPr>
      <w:r w:rsidRPr="008B220C">
        <w:rPr>
          <w:snapToGrid/>
        </w:rPr>
        <w:t>Organic Chemicals in Sediment</w:t>
      </w:r>
    </w:p>
    <w:p w14:paraId="56E7A19C"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In 2001 and 2002, DEQ collected organic chemicals, organic pesticides, polychlorinated biphenyls, semi-volatile constituents, and herbicides in sediments, but the data were not analyzed at a low enough detection limit to provide useful information. DEQ collected 209 organic chemical sediment samples (total PCB, total PAH, heptachlor, chlordane, dieldrin, lindane, endrin, DDT, DDD, DDE, Total DDT, anthracene, chrysene, fluoranthene, naphthalene, phenanthrene, pyrene, </w:t>
      </w:r>
      <w:proofErr w:type="spellStart"/>
      <w:r w:rsidRPr="00307D28">
        <w:rPr>
          <w:rFonts w:eastAsia="Cambria" w:cstheme="minorHAnsi"/>
          <w:snapToGrid/>
          <w:szCs w:val="24"/>
        </w:rPr>
        <w:t>benzoanthracene</w:t>
      </w:r>
      <w:proofErr w:type="spellEnd"/>
      <w:r w:rsidRPr="00307D28">
        <w:rPr>
          <w:rFonts w:eastAsia="Cambria" w:cstheme="minorHAnsi"/>
          <w:snapToGrid/>
          <w:szCs w:val="24"/>
        </w:rPr>
        <w:t xml:space="preserve">, and benzo-a-pyrene) from 2003 through 2006 and reported results in the 2008 and 2010 Integrated Reports Probabilistic Monitoring chapters. A low percentage of </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stream miles had concentrations above probable effect concentrations (PECs). Due to </w:t>
      </w:r>
      <w:proofErr w:type="gramStart"/>
      <w:r w:rsidRPr="00307D28">
        <w:rPr>
          <w:rFonts w:eastAsia="Cambria" w:cstheme="minorHAnsi"/>
          <w:snapToGrid/>
          <w:szCs w:val="24"/>
        </w:rPr>
        <w:t>low</w:t>
      </w:r>
      <w:proofErr w:type="gramEnd"/>
      <w:r w:rsidRPr="00307D28">
        <w:rPr>
          <w:rFonts w:eastAsia="Cambria" w:cstheme="minorHAnsi"/>
          <w:snapToGrid/>
          <w:szCs w:val="24"/>
        </w:rPr>
        <w:t xml:space="preserve"> prevalence of organic chemicals in sediment and high sampling costs, DEQ has suspended sediment sampling and will not report on organic chemicals during this assessment cycle. Integrated report chapters from previous assessment cycles contain estimates of organic chemicals in sediment.</w:t>
      </w:r>
    </w:p>
    <w:p w14:paraId="0F2FB56B" w14:textId="77777777" w:rsidR="00B135A3" w:rsidRPr="00307D28" w:rsidRDefault="00B135A3" w:rsidP="00B135A3">
      <w:pPr>
        <w:widowControl/>
        <w:rPr>
          <w:rFonts w:eastAsia="Cambria" w:cstheme="minorHAnsi"/>
          <w:snapToGrid/>
          <w:szCs w:val="24"/>
        </w:rPr>
      </w:pPr>
    </w:p>
    <w:p w14:paraId="344F71E2" w14:textId="77777777" w:rsidR="00B135A3" w:rsidRPr="004816B1" w:rsidRDefault="00B135A3" w:rsidP="00B135A3">
      <w:pPr>
        <w:pStyle w:val="Heading4"/>
      </w:pPr>
      <w:r w:rsidRPr="008B220C">
        <w:rPr>
          <w:snapToGrid/>
        </w:rPr>
        <w:t>Bacteria</w:t>
      </w:r>
    </w:p>
    <w:p w14:paraId="66D0C4CA" w14:textId="77777777" w:rsidR="00B135A3" w:rsidRDefault="00B135A3" w:rsidP="00B135A3">
      <w:pPr>
        <w:widowControl/>
        <w:rPr>
          <w:rFonts w:eastAsia="Cambria" w:cstheme="minorHAnsi"/>
          <w:snapToGrid/>
          <w:szCs w:val="24"/>
        </w:rPr>
      </w:pPr>
      <w:r w:rsidRPr="00307D28">
        <w:rPr>
          <w:rFonts w:eastAsia="Cambria" w:cstheme="minorHAnsi"/>
          <w:i/>
          <w:snapToGrid/>
          <w:szCs w:val="24"/>
        </w:rPr>
        <w:t>Escherichia coli</w:t>
      </w:r>
      <w:r w:rsidRPr="00307D28">
        <w:rPr>
          <w:rFonts w:eastAsia="Cambria" w:cstheme="minorHAnsi"/>
          <w:snapToGrid/>
          <w:szCs w:val="24"/>
        </w:rPr>
        <w:t xml:space="preserve"> (</w:t>
      </w:r>
      <w:r w:rsidRPr="00307D28">
        <w:rPr>
          <w:rFonts w:eastAsia="Cambria" w:cstheme="minorHAnsi"/>
          <w:i/>
          <w:snapToGrid/>
          <w:szCs w:val="24"/>
        </w:rPr>
        <w:t>E. coli</w:t>
      </w:r>
      <w:r w:rsidRPr="00307D28">
        <w:rPr>
          <w:rFonts w:eastAsia="Cambria" w:cstheme="minorHAnsi"/>
          <w:snapToGrid/>
          <w:szCs w:val="24"/>
        </w:rPr>
        <w:t xml:space="preserve">) bacteria are found in the intestines and fecal matter of warm-blooded animals. High counts of </w:t>
      </w:r>
      <w:r w:rsidRPr="00307D28">
        <w:rPr>
          <w:rFonts w:eastAsia="Cambria" w:cstheme="minorHAnsi"/>
          <w:i/>
          <w:snapToGrid/>
          <w:szCs w:val="24"/>
        </w:rPr>
        <w:t>E. coli</w:t>
      </w:r>
      <w:r w:rsidRPr="00307D28">
        <w:rPr>
          <w:rFonts w:eastAsia="Cambria" w:cstheme="minorHAnsi"/>
          <w:snapToGrid/>
          <w:szCs w:val="24"/>
        </w:rPr>
        <w:t xml:space="preserve"> bacteria in a stream indicate that there is an elevated risk of </w:t>
      </w:r>
      <w:r w:rsidRPr="00307D28">
        <w:rPr>
          <w:rFonts w:eastAsia="Cambria" w:cstheme="minorHAnsi"/>
          <w:snapToGrid/>
          <w:szCs w:val="24"/>
        </w:rPr>
        <w:lastRenderedPageBreak/>
        <w:t xml:space="preserve">illness from pathogenic organisms. According to Virginia’s Water Quality Standard for </w:t>
      </w:r>
      <w:r w:rsidRPr="00307D28">
        <w:rPr>
          <w:rFonts w:eastAsia="Cambria" w:cstheme="minorHAnsi"/>
          <w:i/>
          <w:snapToGrid/>
          <w:szCs w:val="24"/>
        </w:rPr>
        <w:t>E. coli</w:t>
      </w:r>
      <w:r w:rsidRPr="00307D28">
        <w:rPr>
          <w:rFonts w:eastAsia="Cambria" w:cstheme="minorHAnsi"/>
          <w:snapToGrid/>
          <w:szCs w:val="24"/>
        </w:rPr>
        <w:t>, a stream should not exceed a geometric mean of 126 colony forming units (</w:t>
      </w:r>
      <w:proofErr w:type="spellStart"/>
      <w:r w:rsidRPr="00307D28">
        <w:rPr>
          <w:rFonts w:eastAsia="Cambria" w:cstheme="minorHAnsi"/>
          <w:snapToGrid/>
          <w:szCs w:val="24"/>
        </w:rPr>
        <w:t>cfu</w:t>
      </w:r>
      <w:proofErr w:type="spellEnd"/>
      <w:r w:rsidRPr="00307D28">
        <w:rPr>
          <w:rFonts w:eastAsia="Cambria" w:cstheme="minorHAnsi"/>
          <w:snapToGrid/>
          <w:szCs w:val="24"/>
        </w:rPr>
        <w:t>) per 100mL of water and should not exceed a statistical threshold value (STV) of 410 counts/100 mL more than 10% of the time during the same period of up to 90 days (Virginia Water Quality Standards 9VAC25-260-170).</w:t>
      </w:r>
      <w:r>
        <w:rPr>
          <w:rFonts w:eastAsia="Cambria" w:cstheme="minorHAnsi"/>
          <w:snapToGrid/>
          <w:szCs w:val="24"/>
        </w:rPr>
        <w:t xml:space="preserve"> </w:t>
      </w:r>
      <w:r w:rsidRPr="00307D28">
        <w:rPr>
          <w:rFonts w:eastAsia="Cambria" w:cstheme="minorHAnsi"/>
          <w:snapToGrid/>
          <w:szCs w:val="24"/>
        </w:rPr>
        <w:t xml:space="preserve">Bacteria are only sampled once </w:t>
      </w:r>
      <w:proofErr w:type="gramStart"/>
      <w:r w:rsidRPr="00307D28">
        <w:rPr>
          <w:rFonts w:eastAsia="Cambria" w:cstheme="minorHAnsi"/>
          <w:snapToGrid/>
          <w:szCs w:val="24"/>
        </w:rPr>
        <w:t>at</w:t>
      </w:r>
      <w:proofErr w:type="gramEnd"/>
      <w:r w:rsidRPr="00307D28">
        <w:rPr>
          <w:rFonts w:eastAsia="Cambria" w:cstheme="minorHAnsi"/>
          <w:snapToGrid/>
          <w:szCs w:val="24"/>
        </w:rPr>
        <w:t xml:space="preserve"> each ProbMon site. Site-specific bacteria problems are best characterized by repeated samples over consecutive weeks, which is the approach taken by DEQ’s ambient monitoring program. For this reason, </w:t>
      </w:r>
      <w:proofErr w:type="spellStart"/>
      <w:r>
        <w:rPr>
          <w:rFonts w:eastAsia="Cambria" w:cstheme="minorHAnsi"/>
          <w:snapToGrid/>
          <w:szCs w:val="24"/>
        </w:rPr>
        <w:t>Probmon</w:t>
      </w:r>
      <w:proofErr w:type="spellEnd"/>
      <w:r w:rsidRPr="00307D28">
        <w:rPr>
          <w:rFonts w:eastAsia="Cambria" w:cstheme="minorHAnsi"/>
          <w:snapToGrid/>
          <w:szCs w:val="24"/>
        </w:rPr>
        <w:t xml:space="preserve"> bacteria </w:t>
      </w:r>
      <w:r>
        <w:rPr>
          <w:rFonts w:eastAsia="Cambria" w:cstheme="minorHAnsi"/>
          <w:snapToGrid/>
          <w:szCs w:val="24"/>
        </w:rPr>
        <w:t>sample collections are not sufficient to conduct assessments of the recreational designated use.</w:t>
      </w:r>
      <w:r w:rsidRPr="00307D28">
        <w:rPr>
          <w:rFonts w:eastAsia="Cambria" w:cstheme="minorHAnsi"/>
          <w:snapToGrid/>
          <w:szCs w:val="24"/>
        </w:rPr>
        <w:t xml:space="preserve"> </w:t>
      </w:r>
    </w:p>
    <w:p w14:paraId="721A637B" w14:textId="77777777" w:rsidR="00B135A3" w:rsidRPr="00307D28" w:rsidRDefault="00B135A3" w:rsidP="00B135A3">
      <w:pPr>
        <w:widowControl/>
        <w:rPr>
          <w:rFonts w:eastAsia="Cambria" w:cstheme="minorHAnsi"/>
          <w:snapToGrid/>
          <w:szCs w:val="24"/>
        </w:rPr>
      </w:pPr>
    </w:p>
    <w:p w14:paraId="79674750" w14:textId="77777777" w:rsidR="00B135A3" w:rsidRPr="008B220C" w:rsidRDefault="00B135A3" w:rsidP="00B135A3">
      <w:pPr>
        <w:pStyle w:val="Heading3"/>
        <w:rPr>
          <w:snapToGrid/>
        </w:rPr>
      </w:pPr>
      <w:r w:rsidRPr="008B220C">
        <w:rPr>
          <w:snapToGrid/>
        </w:rPr>
        <w:t>Biological Monitoring</w:t>
      </w:r>
    </w:p>
    <w:p w14:paraId="0A27BBFB"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Biological monitoring, or biomonitoring, of streams and rivers is an integral component of DEQ’s water quality monitoring program. Biomonitoring allows DEQ to assess the overall ecological condition of streams and rivers by evaluating stream </w:t>
      </w:r>
      <w:proofErr w:type="gramStart"/>
      <w:r w:rsidRPr="00307D28">
        <w:rPr>
          <w:rFonts w:eastAsia="Cambria" w:cstheme="minorHAnsi"/>
          <w:snapToGrid/>
          <w:szCs w:val="24"/>
        </w:rPr>
        <w:t>condition</w:t>
      </w:r>
      <w:proofErr w:type="gramEnd"/>
      <w:r w:rsidRPr="00307D28">
        <w:rPr>
          <w:rFonts w:eastAsia="Cambria" w:cstheme="minorHAnsi"/>
          <w:snapToGrid/>
          <w:szCs w:val="24"/>
        </w:rPr>
        <w:t xml:space="preserve"> with respect to suitability for support of aquatic communities. In Virginia, benthic macroinvertebrate communities are used as indicators of ecological condition and to address the question of whether a waterbody supports the aquatic life designated use.</w:t>
      </w:r>
    </w:p>
    <w:p w14:paraId="31633FA9" w14:textId="77777777" w:rsidR="00B135A3" w:rsidRPr="00307D28" w:rsidRDefault="00B135A3" w:rsidP="00B135A3">
      <w:pPr>
        <w:widowControl/>
        <w:rPr>
          <w:rFonts w:eastAsia="Cambria" w:cstheme="minorHAnsi"/>
          <w:snapToGrid/>
          <w:szCs w:val="24"/>
        </w:rPr>
      </w:pPr>
    </w:p>
    <w:p w14:paraId="478E0811"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 xml:space="preserve">DEQ uses </w:t>
      </w:r>
      <w:proofErr w:type="spellStart"/>
      <w:r w:rsidRPr="00307D28">
        <w:rPr>
          <w:rFonts w:eastAsia="Cambria" w:cstheme="minorHAnsi"/>
          <w:snapToGrid/>
          <w:szCs w:val="24"/>
        </w:rPr>
        <w:t>multimetric</w:t>
      </w:r>
      <w:proofErr w:type="spellEnd"/>
      <w:r w:rsidRPr="00307D28">
        <w:rPr>
          <w:rFonts w:eastAsia="Cambria" w:cstheme="minorHAnsi"/>
          <w:snapToGrid/>
          <w:szCs w:val="24"/>
        </w:rPr>
        <w:t xml:space="preserve"> macroinvertebrate indices, specifically the Virginia Stream Condition Index (VSCI) and the Virginia Coastal Plain Macroinvertebrate Index (VCPMI), to assess the aquatic life use status of </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streams and rivers. The VSCI and the VCPMI are applied to biomonitoring data collected in freshwater non-coastal areas and freshwater coastal areas, respectively. These indices include several biological metrics that are regionally calibrated to the appropriate reference condition (DEQa 2006; DEQ 2013). Results are calculated into a single value, or score, that is sensitive to a wide range of stressors. VSCI and VCPMI scores were scaled for comparability so they could be utilized in all analyses</w:t>
      </w:r>
      <w:r>
        <w:rPr>
          <w:rFonts w:eastAsia="Cambria" w:cstheme="minorHAnsi"/>
          <w:snapToGrid/>
          <w:szCs w:val="24"/>
        </w:rPr>
        <w:t>. O</w:t>
      </w:r>
      <w:r w:rsidRPr="00E25EF9">
        <w:rPr>
          <w:rFonts w:eastAsia="Cambria" w:cstheme="minorHAnsi"/>
          <w:snapToGrid/>
          <w:szCs w:val="24"/>
        </w:rPr>
        <w:t>ptimal</w:t>
      </w:r>
      <w:r>
        <w:rPr>
          <w:rFonts w:eastAsia="Cambria" w:cstheme="minorHAnsi"/>
          <w:snapToGrid/>
          <w:szCs w:val="24"/>
        </w:rPr>
        <w:t xml:space="preserve"> condition classes</w:t>
      </w:r>
      <w:r w:rsidRPr="00E25EF9">
        <w:rPr>
          <w:rFonts w:eastAsia="Cambria" w:cstheme="minorHAnsi"/>
          <w:snapToGrid/>
          <w:szCs w:val="24"/>
        </w:rPr>
        <w:t xml:space="preserve"> reflect ecological conditions (</w:t>
      </w:r>
      <w:r>
        <w:rPr>
          <w:rFonts w:eastAsia="Cambria" w:cstheme="minorHAnsi"/>
          <w:snapToGrid/>
          <w:szCs w:val="24"/>
        </w:rPr>
        <w:t xml:space="preserve">biological, </w:t>
      </w:r>
      <w:r w:rsidRPr="00E25EF9">
        <w:rPr>
          <w:rFonts w:eastAsia="Cambria" w:cstheme="minorHAnsi"/>
          <w:snapToGrid/>
          <w:szCs w:val="24"/>
        </w:rPr>
        <w:t xml:space="preserve">physical, and chemical) </w:t>
      </w:r>
      <w:r>
        <w:rPr>
          <w:rFonts w:eastAsia="Cambria" w:cstheme="minorHAnsi"/>
          <w:snapToGrid/>
          <w:szCs w:val="24"/>
        </w:rPr>
        <w:t>where the probability of</w:t>
      </w:r>
      <w:r w:rsidRPr="00E25EF9">
        <w:rPr>
          <w:rFonts w:eastAsia="Cambria" w:cstheme="minorHAnsi"/>
          <w:snapToGrid/>
          <w:szCs w:val="24"/>
        </w:rPr>
        <w:t xml:space="preserve"> degraded biological </w:t>
      </w:r>
      <w:r>
        <w:rPr>
          <w:rFonts w:eastAsia="Cambria" w:cstheme="minorHAnsi"/>
          <w:snapToGrid/>
          <w:szCs w:val="24"/>
        </w:rPr>
        <w:t>indicators is lower</w:t>
      </w:r>
      <w:r w:rsidRPr="00E25EF9">
        <w:rPr>
          <w:rFonts w:eastAsia="Cambria" w:cstheme="minorHAnsi"/>
          <w:snapToGrid/>
          <w:szCs w:val="24"/>
        </w:rPr>
        <w:t xml:space="preserve">. Suboptimal </w:t>
      </w:r>
      <w:r>
        <w:rPr>
          <w:rFonts w:eastAsia="Cambria" w:cstheme="minorHAnsi"/>
          <w:snapToGrid/>
          <w:szCs w:val="24"/>
        </w:rPr>
        <w:t xml:space="preserve">condition classes reflect </w:t>
      </w:r>
      <w:r w:rsidRPr="00E25EF9">
        <w:rPr>
          <w:rFonts w:eastAsia="Cambria" w:cstheme="minorHAnsi"/>
          <w:snapToGrid/>
          <w:szCs w:val="24"/>
        </w:rPr>
        <w:t xml:space="preserve">ecological conditions where there is a higher probability of degraded biological </w:t>
      </w:r>
      <w:r>
        <w:rPr>
          <w:rFonts w:eastAsia="Cambria" w:cstheme="minorHAnsi"/>
          <w:snapToGrid/>
          <w:szCs w:val="24"/>
        </w:rPr>
        <w:t>indicators</w:t>
      </w:r>
      <w:r w:rsidRPr="00E25EF9">
        <w:rPr>
          <w:rFonts w:eastAsia="Cambria" w:cstheme="minorHAnsi"/>
          <w:snapToGrid/>
          <w:szCs w:val="24"/>
        </w:rPr>
        <w:t>.</w:t>
      </w:r>
      <w:r w:rsidRPr="00307D28">
        <w:rPr>
          <w:rFonts w:eastAsia="Cambria" w:cstheme="minorHAnsi"/>
          <w:snapToGrid/>
          <w:szCs w:val="24"/>
        </w:rPr>
        <w:t xml:space="preserve"> (Table</w:t>
      </w:r>
      <w:r>
        <w:rPr>
          <w:rFonts w:eastAsia="Cambria" w:cstheme="minorHAnsi"/>
          <w:snapToGrid/>
          <w:szCs w:val="24"/>
        </w:rPr>
        <w:t>s</w:t>
      </w:r>
      <w:r w:rsidRPr="00307D28">
        <w:rPr>
          <w:rFonts w:eastAsia="Cambria" w:cstheme="minorHAnsi"/>
          <w:snapToGrid/>
          <w:szCs w:val="24"/>
        </w:rPr>
        <w:t xml:space="preserve"> 4.4-5</w:t>
      </w:r>
      <w:r>
        <w:rPr>
          <w:rFonts w:eastAsia="Cambria" w:cstheme="minorHAnsi"/>
          <w:snapToGrid/>
          <w:szCs w:val="24"/>
        </w:rPr>
        <w:t xml:space="preserve"> and 4.4.8</w:t>
      </w:r>
      <w:r w:rsidRPr="00307D28">
        <w:rPr>
          <w:rFonts w:eastAsia="Cambria" w:cstheme="minorHAnsi"/>
          <w:snapToGrid/>
          <w:szCs w:val="24"/>
        </w:rPr>
        <w:t xml:space="preserve">). Based on VSCI and VCPMI ProbMon results, DEQ estimates that 36.3% of Virginia streams and rivers do not meet the aquatic life </w:t>
      </w:r>
      <w:r>
        <w:rPr>
          <w:rFonts w:eastAsia="Cambria" w:cstheme="minorHAnsi"/>
          <w:snapToGrid/>
          <w:szCs w:val="24"/>
        </w:rPr>
        <w:t xml:space="preserve">designated </w:t>
      </w:r>
      <w:r w:rsidRPr="00307D28">
        <w:rPr>
          <w:rFonts w:eastAsia="Cambria" w:cstheme="minorHAnsi"/>
          <w:snapToGrid/>
          <w:szCs w:val="24"/>
        </w:rPr>
        <w:t>use (Table 4.4-6; DEQ, 2020). An estimate of statewide biological health by condition category is shown in Figure 4.4-7. VSCI scores less than 42 are considered severely ecologically stressed, scores between 42 and 60 are moderately stressed, while sites above 60 to 72 are thought to have good ecological condition and sites with VSCI scores above 72 are considered to have excellent water quality and habitat conditions (DEQ, 2006a). It is important to remember that biological indicators represent long-term water quality conditions and respond to a variety of stressors.</w:t>
      </w:r>
    </w:p>
    <w:p w14:paraId="2ED84D91" w14:textId="0D5A8988" w:rsidR="00B135A3" w:rsidRDefault="006229C5" w:rsidP="00B135A3">
      <w:pPr>
        <w:pStyle w:val="Caption"/>
        <w:keepNext/>
      </w:pPr>
      <w:r>
        <w:br/>
      </w:r>
      <w:r>
        <w:br/>
      </w:r>
    </w:p>
    <w:p w14:paraId="3B2481E7" w14:textId="15F4A7EA" w:rsidR="00B135A3" w:rsidRDefault="00B135A3" w:rsidP="00B135A3">
      <w:pPr>
        <w:pStyle w:val="Caption"/>
        <w:keepNext/>
      </w:pPr>
      <w:bookmarkStart w:id="194" w:name="_Toc164175187"/>
      <w:r>
        <w:t xml:space="preserve">Table </w:t>
      </w:r>
      <w:r w:rsidR="004F13BA">
        <w:fldChar w:fldCharType="begin"/>
      </w:r>
      <w:r w:rsidR="004F13BA">
        <w:instrText xml:space="preserve"> STYLEREF 2 \s </w:instrText>
      </w:r>
      <w:r w:rsidR="004F13BA">
        <w:fldChar w:fldCharType="separate"/>
      </w:r>
      <w:r w:rsidR="00CD06AE">
        <w:rPr>
          <w:noProof/>
        </w:rPr>
        <w:t>4.4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5</w:t>
      </w:r>
      <w:r w:rsidR="004F13BA">
        <w:rPr>
          <w:noProof/>
        </w:rPr>
        <w:fldChar w:fldCharType="end"/>
      </w:r>
      <w:r>
        <w:t xml:space="preserve">. </w:t>
      </w:r>
      <w:r w:rsidRPr="00387A59">
        <w:t>Thresholds of condition classes for biological indicators.</w:t>
      </w:r>
      <w:bookmarkEnd w:id="194"/>
    </w:p>
    <w:tbl>
      <w:tblPr>
        <w:tblStyle w:val="Table"/>
        <w:tblW w:w="4904" w:type="pct"/>
        <w:tblLook w:val="0020" w:firstRow="1" w:lastRow="0" w:firstColumn="0" w:lastColumn="0" w:noHBand="0" w:noVBand="0"/>
        <w:tblCaption w:val="Table of Thresholds of condition classes for biological indicators."/>
        <w:tblDescription w:val="Thresholds of condition classes for biological indicators."/>
      </w:tblPr>
      <w:tblGrid>
        <w:gridCol w:w="4905"/>
        <w:gridCol w:w="1023"/>
        <w:gridCol w:w="1359"/>
        <w:gridCol w:w="1893"/>
      </w:tblGrid>
      <w:tr w:rsidR="00B135A3" w:rsidRPr="00307D28" w14:paraId="575FDE01" w14:textId="77777777">
        <w:trPr>
          <w:trHeight w:val="360"/>
        </w:trPr>
        <w:tc>
          <w:tcPr>
            <w:tcW w:w="2672" w:type="pct"/>
            <w:tcBorders>
              <w:top w:val="single" w:sz="12" w:space="0" w:color="auto"/>
              <w:bottom w:val="single" w:sz="2" w:space="0" w:color="auto"/>
            </w:tcBorders>
            <w:vAlign w:val="bottom"/>
          </w:tcPr>
          <w:p w14:paraId="029846AD" w14:textId="77777777" w:rsidR="00B135A3" w:rsidRPr="00EB38EF" w:rsidRDefault="00B135A3">
            <w:pPr>
              <w:widowControl/>
              <w:spacing w:before="36" w:after="36"/>
              <w:jc w:val="center"/>
              <w:rPr>
                <w:rFonts w:eastAsia="Cambria" w:cstheme="minorHAnsi"/>
                <w:b/>
                <w:bCs/>
                <w:snapToGrid/>
                <w:sz w:val="22"/>
                <w:szCs w:val="22"/>
              </w:rPr>
            </w:pPr>
            <w:r w:rsidRPr="00EB38EF">
              <w:rPr>
                <w:rFonts w:eastAsia="Cambria" w:cstheme="minorHAnsi"/>
                <w:b/>
                <w:bCs/>
                <w:snapToGrid/>
                <w:sz w:val="22"/>
                <w:szCs w:val="22"/>
              </w:rPr>
              <w:t>Response Parameters</w:t>
            </w:r>
          </w:p>
        </w:tc>
        <w:tc>
          <w:tcPr>
            <w:tcW w:w="557" w:type="pct"/>
            <w:tcBorders>
              <w:top w:val="single" w:sz="12" w:space="0" w:color="auto"/>
              <w:bottom w:val="single" w:sz="2" w:space="0" w:color="auto"/>
            </w:tcBorders>
            <w:vAlign w:val="bottom"/>
          </w:tcPr>
          <w:p w14:paraId="26DC0077" w14:textId="77777777" w:rsidR="00B135A3" w:rsidRPr="00EB38EF" w:rsidRDefault="00B135A3">
            <w:pPr>
              <w:widowControl/>
              <w:spacing w:before="36" w:after="36"/>
              <w:jc w:val="center"/>
              <w:rPr>
                <w:rFonts w:eastAsia="Cambria" w:cstheme="minorHAnsi"/>
                <w:b/>
                <w:bCs/>
                <w:snapToGrid/>
                <w:sz w:val="22"/>
                <w:szCs w:val="22"/>
              </w:rPr>
            </w:pPr>
            <w:r w:rsidRPr="00EB38EF">
              <w:rPr>
                <w:rFonts w:eastAsia="Cambria" w:cstheme="minorHAnsi"/>
                <w:b/>
                <w:bCs/>
                <w:snapToGrid/>
                <w:sz w:val="22"/>
                <w:szCs w:val="22"/>
              </w:rPr>
              <w:t>Optimal</w:t>
            </w:r>
          </w:p>
        </w:tc>
        <w:tc>
          <w:tcPr>
            <w:tcW w:w="0" w:type="auto"/>
            <w:tcBorders>
              <w:top w:val="single" w:sz="12" w:space="0" w:color="auto"/>
              <w:bottom w:val="single" w:sz="2" w:space="0" w:color="auto"/>
            </w:tcBorders>
            <w:vAlign w:val="bottom"/>
          </w:tcPr>
          <w:p w14:paraId="610A8FC0" w14:textId="77777777" w:rsidR="00B135A3" w:rsidRPr="00EB38EF" w:rsidRDefault="00B135A3">
            <w:pPr>
              <w:widowControl/>
              <w:spacing w:before="36" w:after="36"/>
              <w:jc w:val="center"/>
              <w:rPr>
                <w:rFonts w:eastAsia="Cambria" w:cstheme="minorHAnsi"/>
                <w:b/>
                <w:bCs/>
                <w:snapToGrid/>
                <w:sz w:val="22"/>
                <w:szCs w:val="22"/>
              </w:rPr>
            </w:pPr>
            <w:r w:rsidRPr="00EB38EF">
              <w:rPr>
                <w:rFonts w:eastAsia="Cambria" w:cstheme="minorHAnsi"/>
                <w:b/>
                <w:bCs/>
                <w:snapToGrid/>
                <w:sz w:val="22"/>
                <w:szCs w:val="22"/>
              </w:rPr>
              <w:t>Suboptimal</w:t>
            </w:r>
          </w:p>
        </w:tc>
        <w:tc>
          <w:tcPr>
            <w:tcW w:w="1031" w:type="pct"/>
            <w:tcBorders>
              <w:top w:val="single" w:sz="12" w:space="0" w:color="auto"/>
              <w:bottom w:val="single" w:sz="2" w:space="0" w:color="auto"/>
            </w:tcBorders>
            <w:vAlign w:val="bottom"/>
          </w:tcPr>
          <w:p w14:paraId="6D39A445" w14:textId="77777777" w:rsidR="00B135A3" w:rsidRPr="00EB38EF" w:rsidRDefault="00B135A3">
            <w:pPr>
              <w:widowControl/>
              <w:spacing w:before="36" w:after="36"/>
              <w:jc w:val="center"/>
              <w:rPr>
                <w:rFonts w:eastAsia="Cambria" w:cstheme="minorHAnsi"/>
                <w:b/>
                <w:bCs/>
                <w:snapToGrid/>
                <w:sz w:val="22"/>
                <w:szCs w:val="22"/>
              </w:rPr>
            </w:pPr>
            <w:r w:rsidRPr="00EB38EF">
              <w:rPr>
                <w:rFonts w:eastAsia="Cambria" w:cstheme="minorHAnsi"/>
                <w:b/>
                <w:bCs/>
                <w:snapToGrid/>
                <w:sz w:val="22"/>
                <w:szCs w:val="22"/>
              </w:rPr>
              <w:t>Reference</w:t>
            </w:r>
          </w:p>
        </w:tc>
      </w:tr>
      <w:tr w:rsidR="00B135A3" w:rsidRPr="00307D28" w14:paraId="1E62DC2F" w14:textId="77777777">
        <w:trPr>
          <w:trHeight w:val="360"/>
        </w:trPr>
        <w:tc>
          <w:tcPr>
            <w:tcW w:w="2672" w:type="pct"/>
            <w:tcBorders>
              <w:top w:val="single" w:sz="2" w:space="0" w:color="auto"/>
            </w:tcBorders>
          </w:tcPr>
          <w:p w14:paraId="13D4BEC8" w14:textId="77777777" w:rsidR="00B135A3" w:rsidRPr="00EB38EF" w:rsidRDefault="00B135A3">
            <w:pPr>
              <w:widowControl/>
              <w:spacing w:before="36" w:after="36"/>
              <w:jc w:val="center"/>
              <w:rPr>
                <w:rFonts w:eastAsia="Cambria" w:cstheme="minorHAnsi"/>
                <w:snapToGrid/>
                <w:sz w:val="22"/>
                <w:szCs w:val="22"/>
              </w:rPr>
            </w:pPr>
            <w:r w:rsidRPr="00EB38EF">
              <w:rPr>
                <w:rFonts w:eastAsia="Cambria" w:cstheme="minorHAnsi"/>
                <w:snapToGrid/>
                <w:sz w:val="22"/>
                <w:szCs w:val="22"/>
              </w:rPr>
              <w:t>Virginia Stream Condition Index</w:t>
            </w:r>
          </w:p>
        </w:tc>
        <w:tc>
          <w:tcPr>
            <w:tcW w:w="557" w:type="pct"/>
            <w:tcBorders>
              <w:top w:val="single" w:sz="2" w:space="0" w:color="auto"/>
            </w:tcBorders>
          </w:tcPr>
          <w:p w14:paraId="63A7C024" w14:textId="77777777" w:rsidR="00B135A3" w:rsidRPr="00EB38EF" w:rsidRDefault="00B135A3">
            <w:pPr>
              <w:widowControl/>
              <w:spacing w:before="36" w:after="36"/>
              <w:jc w:val="center"/>
              <w:rPr>
                <w:rFonts w:eastAsia="Cambria" w:cstheme="minorHAnsi"/>
                <w:snapToGrid/>
                <w:sz w:val="22"/>
                <w:szCs w:val="22"/>
              </w:rPr>
            </w:pPr>
            <w:r w:rsidRPr="00EB38EF">
              <w:rPr>
                <w:rFonts w:eastAsia="Cambria" w:cstheme="minorHAnsi"/>
                <w:snapToGrid/>
                <w:sz w:val="22"/>
                <w:szCs w:val="22"/>
              </w:rPr>
              <w:t>&gt; 60</w:t>
            </w:r>
          </w:p>
        </w:tc>
        <w:tc>
          <w:tcPr>
            <w:tcW w:w="0" w:type="auto"/>
            <w:tcBorders>
              <w:top w:val="single" w:sz="2" w:space="0" w:color="auto"/>
            </w:tcBorders>
          </w:tcPr>
          <w:p w14:paraId="35831BD7" w14:textId="77777777" w:rsidR="00B135A3" w:rsidRPr="00EB38EF" w:rsidRDefault="00B135A3">
            <w:pPr>
              <w:widowControl/>
              <w:spacing w:before="36" w:after="36"/>
              <w:jc w:val="center"/>
              <w:rPr>
                <w:rFonts w:eastAsia="Cambria" w:cstheme="minorHAnsi"/>
                <w:snapToGrid/>
                <w:sz w:val="22"/>
                <w:szCs w:val="22"/>
              </w:rPr>
            </w:pPr>
            <w:r w:rsidRPr="00EB38EF">
              <w:rPr>
                <w:rFonts w:eastAsia="Cambria" w:cstheme="minorHAnsi"/>
                <w:snapToGrid/>
                <w:sz w:val="22"/>
                <w:szCs w:val="22"/>
              </w:rPr>
              <w:t>&lt; 50</w:t>
            </w:r>
          </w:p>
        </w:tc>
        <w:tc>
          <w:tcPr>
            <w:tcW w:w="1031" w:type="pct"/>
            <w:tcBorders>
              <w:top w:val="single" w:sz="2" w:space="0" w:color="auto"/>
            </w:tcBorders>
          </w:tcPr>
          <w:p w14:paraId="01CFDD21" w14:textId="77777777" w:rsidR="00B135A3" w:rsidRPr="00EB38EF" w:rsidRDefault="00B135A3">
            <w:pPr>
              <w:widowControl/>
              <w:spacing w:before="36" w:after="36"/>
              <w:jc w:val="center"/>
              <w:rPr>
                <w:rFonts w:eastAsia="Cambria" w:cstheme="minorHAnsi"/>
                <w:snapToGrid/>
                <w:sz w:val="22"/>
                <w:szCs w:val="22"/>
              </w:rPr>
            </w:pPr>
            <w:r w:rsidRPr="00EB38EF">
              <w:rPr>
                <w:rFonts w:eastAsia="Cambria" w:cstheme="minorHAnsi"/>
                <w:snapToGrid/>
                <w:sz w:val="22"/>
                <w:szCs w:val="22"/>
              </w:rPr>
              <w:t>(DEQ 2006a)</w:t>
            </w:r>
          </w:p>
        </w:tc>
      </w:tr>
      <w:tr w:rsidR="00B135A3" w:rsidRPr="00307D28" w14:paraId="65008640" w14:textId="77777777">
        <w:trPr>
          <w:trHeight w:val="360"/>
        </w:trPr>
        <w:tc>
          <w:tcPr>
            <w:tcW w:w="2672" w:type="pct"/>
            <w:tcBorders>
              <w:bottom w:val="single" w:sz="12" w:space="0" w:color="auto"/>
            </w:tcBorders>
          </w:tcPr>
          <w:p w14:paraId="51A5BC76" w14:textId="77777777" w:rsidR="00B135A3" w:rsidRPr="00EB38EF" w:rsidRDefault="00B135A3">
            <w:pPr>
              <w:widowControl/>
              <w:spacing w:before="36" w:after="36"/>
              <w:jc w:val="center"/>
              <w:rPr>
                <w:rFonts w:eastAsia="Cambria" w:cstheme="minorHAnsi"/>
                <w:snapToGrid/>
                <w:sz w:val="22"/>
                <w:szCs w:val="22"/>
              </w:rPr>
            </w:pPr>
            <w:r w:rsidRPr="00EB38EF">
              <w:rPr>
                <w:rFonts w:eastAsia="Cambria" w:cstheme="minorHAnsi"/>
                <w:snapToGrid/>
                <w:sz w:val="22"/>
                <w:szCs w:val="22"/>
              </w:rPr>
              <w:t>Virginia Coastal Plain Macroinvertebrate Index</w:t>
            </w:r>
          </w:p>
        </w:tc>
        <w:tc>
          <w:tcPr>
            <w:tcW w:w="557" w:type="pct"/>
            <w:tcBorders>
              <w:bottom w:val="single" w:sz="12" w:space="0" w:color="auto"/>
            </w:tcBorders>
          </w:tcPr>
          <w:p w14:paraId="5E3BCCFD" w14:textId="77777777" w:rsidR="00B135A3" w:rsidRPr="00EB38EF" w:rsidRDefault="00B135A3">
            <w:pPr>
              <w:widowControl/>
              <w:spacing w:before="36" w:after="36"/>
              <w:jc w:val="center"/>
              <w:rPr>
                <w:rFonts w:eastAsia="Cambria" w:cstheme="minorHAnsi"/>
                <w:snapToGrid/>
                <w:sz w:val="22"/>
                <w:szCs w:val="22"/>
              </w:rPr>
            </w:pPr>
            <w:r w:rsidRPr="00EB38EF">
              <w:rPr>
                <w:rFonts w:eastAsia="Cambria" w:cstheme="minorHAnsi"/>
                <w:snapToGrid/>
                <w:sz w:val="22"/>
                <w:szCs w:val="22"/>
              </w:rPr>
              <w:t>&gt; 40</w:t>
            </w:r>
          </w:p>
        </w:tc>
        <w:tc>
          <w:tcPr>
            <w:tcW w:w="0" w:type="auto"/>
            <w:tcBorders>
              <w:bottom w:val="single" w:sz="12" w:space="0" w:color="auto"/>
            </w:tcBorders>
          </w:tcPr>
          <w:p w14:paraId="3733E2BF" w14:textId="77777777" w:rsidR="00B135A3" w:rsidRPr="00EB38EF" w:rsidRDefault="00B135A3">
            <w:pPr>
              <w:widowControl/>
              <w:spacing w:before="36" w:after="36"/>
              <w:jc w:val="center"/>
              <w:rPr>
                <w:rFonts w:eastAsia="Cambria" w:cstheme="minorHAnsi"/>
                <w:snapToGrid/>
                <w:sz w:val="22"/>
                <w:szCs w:val="22"/>
              </w:rPr>
            </w:pPr>
            <w:r w:rsidRPr="00EB38EF">
              <w:rPr>
                <w:rFonts w:eastAsia="Cambria" w:cstheme="minorHAnsi"/>
                <w:snapToGrid/>
                <w:sz w:val="22"/>
                <w:szCs w:val="22"/>
              </w:rPr>
              <w:t>&lt; 30</w:t>
            </w:r>
          </w:p>
        </w:tc>
        <w:tc>
          <w:tcPr>
            <w:tcW w:w="1031" w:type="pct"/>
            <w:tcBorders>
              <w:bottom w:val="single" w:sz="12" w:space="0" w:color="auto"/>
            </w:tcBorders>
          </w:tcPr>
          <w:p w14:paraId="5C8E953F" w14:textId="77777777" w:rsidR="00B135A3" w:rsidRPr="00EB38EF" w:rsidRDefault="00B135A3">
            <w:pPr>
              <w:widowControl/>
              <w:spacing w:before="36" w:after="36"/>
              <w:jc w:val="center"/>
              <w:rPr>
                <w:rFonts w:eastAsia="Cambria" w:cstheme="minorHAnsi"/>
                <w:snapToGrid/>
                <w:sz w:val="22"/>
                <w:szCs w:val="22"/>
              </w:rPr>
            </w:pPr>
            <w:r w:rsidRPr="00EB38EF">
              <w:rPr>
                <w:rFonts w:eastAsia="Cambria" w:cstheme="minorHAnsi"/>
                <w:snapToGrid/>
                <w:sz w:val="22"/>
                <w:szCs w:val="22"/>
              </w:rPr>
              <w:t>(DEQ 2013)</w:t>
            </w:r>
          </w:p>
        </w:tc>
      </w:tr>
    </w:tbl>
    <w:p w14:paraId="602B2276" w14:textId="77777777" w:rsidR="00B135A3" w:rsidRDefault="00B135A3" w:rsidP="00B135A3">
      <w:pPr>
        <w:rPr>
          <w:snapToGrid/>
        </w:rPr>
      </w:pPr>
    </w:p>
    <w:p w14:paraId="71D5E134" w14:textId="149B9276" w:rsidR="00EF2B37" w:rsidRPr="00DC73F1" w:rsidRDefault="00B135A3" w:rsidP="00EF2B37">
      <w:pPr>
        <w:pStyle w:val="Caption"/>
        <w:keepNext/>
      </w:pPr>
      <w:bookmarkStart w:id="195" w:name="_Toc164175188"/>
      <w:r>
        <w:lastRenderedPageBreak/>
        <w:t xml:space="preserve">Table </w:t>
      </w:r>
      <w:r w:rsidR="004F13BA">
        <w:fldChar w:fldCharType="begin"/>
      </w:r>
      <w:r w:rsidR="004F13BA">
        <w:instrText xml:space="preserve"> STYLEREF 2 \s </w:instrText>
      </w:r>
      <w:r w:rsidR="004F13BA">
        <w:fldChar w:fldCharType="separate"/>
      </w:r>
      <w:r w:rsidR="00CD06AE">
        <w:rPr>
          <w:noProof/>
        </w:rPr>
        <w:t>4.4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6</w:t>
      </w:r>
      <w:r w:rsidR="004F13BA">
        <w:rPr>
          <w:noProof/>
        </w:rPr>
        <w:fldChar w:fldCharType="end"/>
      </w:r>
      <w:r>
        <w:t xml:space="preserve">. </w:t>
      </w:r>
      <w:r w:rsidRPr="00E57DEB">
        <w:t>VSCI/VCPMI Scores</w:t>
      </w:r>
      <w:r w:rsidR="53880832" w:rsidRPr="00E57DEB">
        <w:t xml:space="preserve"> </w:t>
      </w:r>
      <w:bookmarkEnd w:id="195"/>
      <w:r>
        <w:t>(2017 - 2022, n = 240) below Virginia’s Thresholds (</w:t>
      </w:r>
      <w:r w:rsidRPr="0A5BE548">
        <w:rPr>
          <w:rFonts w:cstheme="minorBidi"/>
        </w:rPr>
        <w:t>±</w:t>
      </w:r>
      <w:r>
        <w:t xml:space="preserve"> confidence limits).</w:t>
      </w:r>
    </w:p>
    <w:tbl>
      <w:tblPr>
        <w:tblStyle w:val="Table"/>
        <w:tblW w:w="4952" w:type="pct"/>
        <w:tblBorders>
          <w:top w:val="single" w:sz="4" w:space="0" w:color="auto"/>
          <w:bottom w:val="single" w:sz="4" w:space="0" w:color="auto"/>
          <w:insideH w:val="single" w:sz="2" w:space="0" w:color="auto"/>
        </w:tblBorders>
        <w:tblLook w:val="0020" w:firstRow="1" w:lastRow="0" w:firstColumn="0" w:lastColumn="0" w:noHBand="0" w:noVBand="0"/>
        <w:tblCaption w:val="Table of VSCI/VCPMI (2017 - 2022, n = 240) Scores below Virginia’s Assessment Thresholds (± confidence limits)."/>
        <w:tblDescription w:val="VSCI/VCPMI (2017 - 2022, n = 240) Scores below Virginia’s Assessment Thresholds (± confidence limits)."/>
      </w:tblPr>
      <w:tblGrid>
        <w:gridCol w:w="1709"/>
        <w:gridCol w:w="7561"/>
      </w:tblGrid>
      <w:tr w:rsidR="00B135A3" w:rsidRPr="00307D28" w14:paraId="3DB68CD2" w14:textId="77777777">
        <w:trPr>
          <w:trHeight w:val="360"/>
        </w:trPr>
        <w:tc>
          <w:tcPr>
            <w:tcW w:w="922" w:type="pct"/>
            <w:tcBorders>
              <w:top w:val="single" w:sz="12" w:space="0" w:color="auto"/>
              <w:bottom w:val="single" w:sz="2" w:space="0" w:color="auto"/>
            </w:tcBorders>
            <w:vAlign w:val="bottom"/>
          </w:tcPr>
          <w:p w14:paraId="352D8E03" w14:textId="77777777" w:rsidR="00B135A3" w:rsidRPr="00EB38EF" w:rsidRDefault="00B135A3">
            <w:pPr>
              <w:widowControl/>
              <w:spacing w:before="36" w:after="36"/>
              <w:jc w:val="center"/>
              <w:rPr>
                <w:rFonts w:eastAsia="Cambria" w:cstheme="minorHAnsi"/>
                <w:b/>
                <w:bCs/>
                <w:snapToGrid/>
                <w:sz w:val="22"/>
                <w:szCs w:val="22"/>
              </w:rPr>
            </w:pPr>
            <w:r w:rsidRPr="00EB38EF">
              <w:rPr>
                <w:rFonts w:eastAsia="Cambria" w:cstheme="minorHAnsi"/>
                <w:b/>
                <w:bCs/>
                <w:snapToGrid/>
                <w:sz w:val="22"/>
                <w:szCs w:val="22"/>
              </w:rPr>
              <w:t>Parameter</w:t>
            </w:r>
          </w:p>
        </w:tc>
        <w:tc>
          <w:tcPr>
            <w:tcW w:w="4078" w:type="pct"/>
            <w:tcBorders>
              <w:top w:val="single" w:sz="12" w:space="0" w:color="auto"/>
              <w:bottom w:val="single" w:sz="2" w:space="0" w:color="auto"/>
            </w:tcBorders>
            <w:vAlign w:val="bottom"/>
          </w:tcPr>
          <w:p w14:paraId="2FADE853" w14:textId="77777777" w:rsidR="00B135A3" w:rsidRPr="00EB38EF" w:rsidRDefault="00B135A3">
            <w:pPr>
              <w:widowControl/>
              <w:spacing w:before="36" w:after="36"/>
              <w:jc w:val="center"/>
              <w:rPr>
                <w:rFonts w:eastAsia="Cambria" w:cstheme="minorHAnsi"/>
                <w:b/>
                <w:bCs/>
                <w:snapToGrid/>
                <w:sz w:val="22"/>
                <w:szCs w:val="22"/>
              </w:rPr>
            </w:pPr>
            <w:r w:rsidRPr="00EB38EF">
              <w:rPr>
                <w:rFonts w:eastAsia="Cambria" w:cstheme="minorHAnsi"/>
                <w:b/>
                <w:bCs/>
                <w:snapToGrid/>
                <w:sz w:val="22"/>
                <w:szCs w:val="22"/>
              </w:rPr>
              <w:t>% Stream Miles Below Threshold (± Confidence Limits)</w:t>
            </w:r>
          </w:p>
        </w:tc>
      </w:tr>
      <w:tr w:rsidR="00B135A3" w:rsidRPr="00307D28" w14:paraId="0594E793" w14:textId="77777777">
        <w:trPr>
          <w:trHeight w:val="360"/>
        </w:trPr>
        <w:tc>
          <w:tcPr>
            <w:tcW w:w="922" w:type="pct"/>
            <w:tcBorders>
              <w:top w:val="single" w:sz="2" w:space="0" w:color="auto"/>
              <w:bottom w:val="single" w:sz="12" w:space="0" w:color="auto"/>
            </w:tcBorders>
          </w:tcPr>
          <w:p w14:paraId="1F4537DF" w14:textId="77777777" w:rsidR="00B135A3" w:rsidRPr="00EB38EF" w:rsidRDefault="00B135A3">
            <w:pPr>
              <w:widowControl/>
              <w:spacing w:before="36" w:after="36"/>
              <w:jc w:val="center"/>
              <w:rPr>
                <w:rFonts w:eastAsia="Cambria" w:cstheme="minorHAnsi"/>
                <w:snapToGrid/>
                <w:sz w:val="22"/>
                <w:szCs w:val="22"/>
              </w:rPr>
            </w:pPr>
            <w:r w:rsidRPr="00EB38EF">
              <w:rPr>
                <w:rFonts w:eastAsia="Cambria" w:cstheme="minorHAnsi"/>
                <w:snapToGrid/>
                <w:sz w:val="22"/>
                <w:szCs w:val="22"/>
              </w:rPr>
              <w:t>VSCI/VCPMI</w:t>
            </w:r>
          </w:p>
        </w:tc>
        <w:tc>
          <w:tcPr>
            <w:tcW w:w="4078" w:type="pct"/>
            <w:tcBorders>
              <w:top w:val="single" w:sz="2" w:space="0" w:color="auto"/>
              <w:bottom w:val="single" w:sz="12" w:space="0" w:color="auto"/>
            </w:tcBorders>
          </w:tcPr>
          <w:p w14:paraId="3D7D28D9" w14:textId="77777777" w:rsidR="00B135A3" w:rsidRPr="00EB38EF" w:rsidRDefault="00B135A3">
            <w:pPr>
              <w:widowControl/>
              <w:spacing w:before="36" w:after="36"/>
              <w:jc w:val="center"/>
              <w:rPr>
                <w:rFonts w:eastAsia="Cambria" w:cstheme="minorHAnsi"/>
                <w:snapToGrid/>
                <w:sz w:val="22"/>
                <w:szCs w:val="22"/>
              </w:rPr>
            </w:pPr>
            <w:r w:rsidRPr="00EB38EF">
              <w:rPr>
                <w:rFonts w:eastAsia="Cambria" w:cstheme="minorHAnsi"/>
                <w:snapToGrid/>
                <w:sz w:val="22"/>
                <w:szCs w:val="22"/>
              </w:rPr>
              <w:t>36.3% (± 6.7%)</w:t>
            </w:r>
          </w:p>
        </w:tc>
      </w:tr>
    </w:tbl>
    <w:p w14:paraId="3C84A49B" w14:textId="77777777" w:rsidR="00B135A3" w:rsidRDefault="00B135A3" w:rsidP="00B135A3">
      <w:pPr>
        <w:keepNext/>
        <w:widowControl/>
        <w:spacing w:before="180" w:after="180"/>
        <w:jc w:val="center"/>
      </w:pPr>
      <w:r>
        <w:br/>
      </w:r>
      <w:r w:rsidRPr="00307D28">
        <w:rPr>
          <w:rFonts w:eastAsia="Cambria" w:cstheme="minorHAnsi"/>
          <w:noProof/>
          <w:snapToGrid/>
          <w:szCs w:val="24"/>
        </w:rPr>
        <w:drawing>
          <wp:inline distT="0" distB="0" distL="0" distR="0" wp14:anchorId="5BC678D3" wp14:editId="6816253F">
            <wp:extent cx="3234088" cy="2541069"/>
            <wp:effectExtent l="0" t="0" r="0" b="0"/>
            <wp:docPr id="721003081" name="Picture 721003081" descr="Barplot of Biological stream condition index based on VSCI/VCPMI Scores (2017 - 2022, n = 240)."/>
            <wp:cNvGraphicFramePr/>
            <a:graphic xmlns:a="http://schemas.openxmlformats.org/drawingml/2006/main">
              <a:graphicData uri="http://schemas.openxmlformats.org/drawingml/2006/picture">
                <pic:pic xmlns:pic="http://schemas.openxmlformats.org/drawingml/2006/picture">
                  <pic:nvPicPr>
                    <pic:cNvPr id="8" name="Picture" descr="Barplot of Biological stream condition index based on VSCI/VCPMI Scores (2017 - 2022, n = 240)."/>
                    <pic:cNvPicPr>
                      <a:picLocks noChangeAspect="1" noChangeArrowheads="1"/>
                    </pic:cNvPicPr>
                  </pic:nvPicPr>
                  <pic:blipFill>
                    <a:blip r:embed="rId180"/>
                    <a:stretch>
                      <a:fillRect/>
                    </a:stretch>
                  </pic:blipFill>
                  <pic:spPr bwMode="auto">
                    <a:xfrm>
                      <a:off x="0" y="0"/>
                      <a:ext cx="3234088" cy="2541069"/>
                    </a:xfrm>
                    <a:prstGeom prst="rect">
                      <a:avLst/>
                    </a:prstGeom>
                    <a:noFill/>
                    <a:ln w="9525">
                      <a:noFill/>
                      <a:headEnd/>
                      <a:tailEnd/>
                    </a:ln>
                  </pic:spPr>
                </pic:pic>
              </a:graphicData>
            </a:graphic>
          </wp:inline>
        </w:drawing>
      </w:r>
    </w:p>
    <w:p w14:paraId="47AB9C9C" w14:textId="21B07017" w:rsidR="00EF2B37" w:rsidRPr="00DC73F1" w:rsidRDefault="00B135A3" w:rsidP="0A5BE548">
      <w:pPr>
        <w:pStyle w:val="Caption"/>
        <w:keepNext/>
        <w:rPr>
          <w:rFonts w:eastAsia="Cambria" w:cstheme="minorBidi"/>
          <w:snapToGrid/>
        </w:rPr>
      </w:pPr>
      <w:bookmarkStart w:id="196" w:name="_Toc164175093"/>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7</w:t>
      </w:r>
      <w:r w:rsidR="004F13BA">
        <w:rPr>
          <w:noProof/>
        </w:rPr>
        <w:fldChar w:fldCharType="end"/>
      </w:r>
      <w:r>
        <w:t xml:space="preserve">. </w:t>
      </w:r>
      <w:r w:rsidRPr="0A5BE548">
        <w:rPr>
          <w:rFonts w:cstheme="minorBidi"/>
          <w:snapToGrid/>
        </w:rPr>
        <w:t>Biological stream condition index based on VSCI/VCPMI Scores</w:t>
      </w:r>
      <w:r w:rsidR="7854B35D" w:rsidRPr="0A5BE548">
        <w:rPr>
          <w:rFonts w:cstheme="minorBidi"/>
          <w:snapToGrid/>
        </w:rPr>
        <w:t xml:space="preserve"> </w:t>
      </w:r>
      <w:bookmarkEnd w:id="196"/>
      <w:r w:rsidRPr="0A5BE548">
        <w:rPr>
          <w:rFonts w:cstheme="minorBidi"/>
          <w:snapToGrid/>
        </w:rPr>
        <w:t>(2017 - 2022, n = 240).</w:t>
      </w:r>
    </w:p>
    <w:p w14:paraId="1DA3DF65" w14:textId="77777777" w:rsidR="00B135A3" w:rsidRPr="00E30860" w:rsidRDefault="00B135A3" w:rsidP="00B135A3">
      <w:pPr>
        <w:pStyle w:val="Heading4"/>
        <w:rPr>
          <w:snapToGrid/>
        </w:rPr>
      </w:pPr>
      <w:r w:rsidRPr="00E30860">
        <w:rPr>
          <w:snapToGrid/>
        </w:rPr>
        <w:t>Statewide Status and Regional Condition Estimates</w:t>
      </w:r>
    </w:p>
    <w:p w14:paraId="32BDED8C" w14:textId="40D5B8E3" w:rsidR="00B135A3" w:rsidRPr="00307D28" w:rsidRDefault="00B135A3" w:rsidP="00B135A3">
      <w:pPr>
        <w:widowControl/>
        <w:rPr>
          <w:rFonts w:eastAsia="Cambria" w:cstheme="minorHAnsi"/>
          <w:snapToGrid/>
          <w:szCs w:val="24"/>
        </w:rPr>
      </w:pPr>
      <w:r w:rsidRPr="00307D28">
        <w:rPr>
          <w:rFonts w:eastAsia="Cambria" w:cstheme="minorHAnsi"/>
          <w:snapToGrid/>
          <w:szCs w:val="24"/>
        </w:rPr>
        <w:t xml:space="preserve">The Probabilistic Monitoring program has generated a robust dataset comprised of 975 sites statewide since 2001, allowing the agency to estimate biological </w:t>
      </w:r>
      <w:proofErr w:type="gramStart"/>
      <w:r w:rsidR="00510C84" w:rsidRPr="00307D28">
        <w:rPr>
          <w:rFonts w:eastAsia="Cambria" w:cstheme="minorHAnsi"/>
          <w:snapToGrid/>
          <w:szCs w:val="24"/>
        </w:rPr>
        <w:t>condition</w:t>
      </w:r>
      <w:proofErr w:type="gramEnd"/>
      <w:r w:rsidRPr="00307D28">
        <w:rPr>
          <w:rFonts w:eastAsia="Cambria" w:cstheme="minorHAnsi"/>
          <w:snapToGrid/>
          <w:szCs w:val="24"/>
        </w:rPr>
        <w:t xml:space="preserve"> across the state at various spatial scales. In addition to the statewide estimate for the 2017 - 2022 assessment period covered in the 2024 Integrated Report, the program now has enough data to report condition estimates at river basin-specific scales in addition to larger stream size classes and ecoregional scales. Population estimates of biological condition may be calculated on datasets with more than 30 samples (Feller 1968). Previously, not all river basins had enough samples to extrapolate estimates of biological condition. Due to the random basis of the probabilistic sampling frame, it has taken twenty years to produce enough data in certain basins to meet the analytical requirements of river basin-scale analyses. Ongoing data collection will continue to reduce the variability around estimates in addition to allowing condition estimates at even finer spatial scales. The below analyses were conducted using the probabilistic monitoring dataset from 2001 to 2022 to illustrate the status of Virginia waterways across various environmental classification scales. Comparisons among the groupings (e.g., major river basins) represent the relative water quality condition among them </w:t>
      </w:r>
      <w:proofErr w:type="gramStart"/>
      <w:r w:rsidRPr="00307D28">
        <w:rPr>
          <w:rFonts w:eastAsia="Cambria" w:cstheme="minorHAnsi"/>
          <w:snapToGrid/>
          <w:szCs w:val="24"/>
        </w:rPr>
        <w:t>as it</w:t>
      </w:r>
      <w:proofErr w:type="gramEnd"/>
      <w:r w:rsidRPr="00307D28">
        <w:rPr>
          <w:rFonts w:eastAsia="Cambria" w:cstheme="minorHAnsi"/>
          <w:snapToGrid/>
          <w:szCs w:val="24"/>
        </w:rPr>
        <w:t xml:space="preserve"> has occurred over this time frame</w:t>
      </w:r>
      <w:r w:rsidRPr="00307D28">
        <w:rPr>
          <w:rFonts w:eastAsia="Cambria" w:cstheme="minorHAnsi"/>
          <w:snapToGrid/>
          <w:szCs w:val="24"/>
          <w:vertAlign w:val="superscript"/>
        </w:rPr>
        <w:footnoteReference w:id="5"/>
      </w:r>
      <w:r w:rsidRPr="00307D28">
        <w:rPr>
          <w:rFonts w:eastAsia="Cambria" w:cstheme="minorHAnsi"/>
          <w:snapToGrid/>
          <w:szCs w:val="24"/>
        </w:rPr>
        <w:t>.</w:t>
      </w:r>
      <w:r>
        <w:rPr>
          <w:rFonts w:eastAsia="Cambria" w:cstheme="minorHAnsi"/>
          <w:snapToGrid/>
          <w:szCs w:val="24"/>
        </w:rPr>
        <w:br/>
      </w:r>
    </w:p>
    <w:p w14:paraId="3B4EF51E" w14:textId="77777777" w:rsidR="00B135A3" w:rsidRPr="00C83F68" w:rsidRDefault="00B135A3" w:rsidP="00B135A3">
      <w:pPr>
        <w:pStyle w:val="Heading4"/>
        <w:rPr>
          <w:b w:val="0"/>
          <w:snapToGrid/>
        </w:rPr>
      </w:pPr>
      <w:r w:rsidRPr="00C83F68">
        <w:rPr>
          <w:snapToGrid/>
        </w:rPr>
        <w:lastRenderedPageBreak/>
        <w:t>Biological Condition by Watershed Size</w:t>
      </w:r>
    </w:p>
    <w:p w14:paraId="5F1E50E5"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Changes in biological community are evident by grouping streams based on their size. For this analysis, streams were categorized as small, medium, and large based on watershed area (Table 4.4-7). Figure 4.4-8 uses this watershed size classification to compare percent of stream miles at or below the biological stream condition assessment threshold for determining impairment. Nearly half of all small and medium streams have moderately to severely stressed biological conditions. Large streams are significantly different relative to their smaller counterparts with about a quarter of </w:t>
      </w:r>
      <w:proofErr w:type="gramStart"/>
      <w:r w:rsidRPr="00307D28">
        <w:rPr>
          <w:rFonts w:eastAsia="Cambria" w:cstheme="minorHAnsi"/>
          <w:snapToGrid/>
          <w:szCs w:val="24"/>
        </w:rPr>
        <w:t>large</w:t>
      </w:r>
      <w:proofErr w:type="gramEnd"/>
      <w:r w:rsidRPr="00307D28">
        <w:rPr>
          <w:rFonts w:eastAsia="Cambria" w:cstheme="minorHAnsi"/>
          <w:snapToGrid/>
          <w:szCs w:val="24"/>
        </w:rPr>
        <w:t xml:space="preserve"> </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stream miles falling below the biological assessment threshold. This may suggest that, given a similar amount of stress, larger streams are more resilient to stress while smaller streams demonstrate a stronger response to stress.</w:t>
      </w:r>
    </w:p>
    <w:p w14:paraId="29124898" w14:textId="77777777" w:rsidR="00B135A3" w:rsidRDefault="00B135A3" w:rsidP="00B135A3"/>
    <w:p w14:paraId="3D77BC2C" w14:textId="1BA3BC5D" w:rsidR="00B135A3" w:rsidRDefault="00B135A3" w:rsidP="00B135A3">
      <w:pPr>
        <w:pStyle w:val="Caption"/>
        <w:keepNext/>
      </w:pPr>
      <w:bookmarkStart w:id="197" w:name="_Toc164175189"/>
      <w:r>
        <w:t xml:space="preserve">Table </w:t>
      </w:r>
      <w:r w:rsidR="004F13BA">
        <w:fldChar w:fldCharType="begin"/>
      </w:r>
      <w:r w:rsidR="004F13BA">
        <w:instrText xml:space="preserve"> STYLEREF 2 \s </w:instrText>
      </w:r>
      <w:r w:rsidR="004F13BA">
        <w:fldChar w:fldCharType="separate"/>
      </w:r>
      <w:r w:rsidR="00CD06AE">
        <w:rPr>
          <w:noProof/>
        </w:rPr>
        <w:t>4.4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7</w:t>
      </w:r>
      <w:r w:rsidR="004F13BA">
        <w:rPr>
          <w:noProof/>
        </w:rPr>
        <w:fldChar w:fldCharType="end"/>
      </w:r>
      <w:r>
        <w:t xml:space="preserve">. </w:t>
      </w:r>
      <w:r w:rsidRPr="00D17BEC">
        <w:t>Stream size categories.</w:t>
      </w:r>
      <w:bookmarkEnd w:id="197"/>
    </w:p>
    <w:tbl>
      <w:tblPr>
        <w:tblStyle w:val="Table"/>
        <w:tblW w:w="4385" w:type="pct"/>
        <w:tblLook w:val="0020" w:firstRow="1" w:lastRow="0" w:firstColumn="0" w:lastColumn="0" w:noHBand="0" w:noVBand="0"/>
        <w:tblCaption w:val="Table of Stream size categories."/>
        <w:tblDescription w:val="Stream size categories."/>
      </w:tblPr>
      <w:tblGrid>
        <w:gridCol w:w="1559"/>
        <w:gridCol w:w="3798"/>
        <w:gridCol w:w="2852"/>
      </w:tblGrid>
      <w:tr w:rsidR="00B135A3" w:rsidRPr="008608C3" w14:paraId="1E53C97B" w14:textId="77777777">
        <w:trPr>
          <w:trHeight w:val="360"/>
        </w:trPr>
        <w:tc>
          <w:tcPr>
            <w:tcW w:w="0" w:type="auto"/>
            <w:tcBorders>
              <w:top w:val="single" w:sz="12" w:space="0" w:color="auto"/>
              <w:bottom w:val="single" w:sz="4" w:space="0" w:color="auto"/>
            </w:tcBorders>
            <w:vAlign w:val="center"/>
          </w:tcPr>
          <w:p w14:paraId="357AAC5E" w14:textId="77777777" w:rsidR="00B135A3" w:rsidRPr="00D0348A" w:rsidRDefault="00B135A3">
            <w:pPr>
              <w:widowControl/>
              <w:spacing w:before="36" w:after="36"/>
              <w:jc w:val="center"/>
              <w:rPr>
                <w:rFonts w:eastAsia="Cambria" w:cstheme="minorHAnsi"/>
                <w:b/>
                <w:bCs/>
                <w:snapToGrid/>
                <w:sz w:val="22"/>
                <w:szCs w:val="22"/>
              </w:rPr>
            </w:pPr>
            <w:r w:rsidRPr="00D0348A">
              <w:rPr>
                <w:rFonts w:eastAsia="Cambria" w:cstheme="minorHAnsi"/>
                <w:b/>
                <w:bCs/>
                <w:snapToGrid/>
                <w:sz w:val="22"/>
                <w:szCs w:val="22"/>
              </w:rPr>
              <w:t>Size Category</w:t>
            </w:r>
          </w:p>
        </w:tc>
        <w:tc>
          <w:tcPr>
            <w:tcW w:w="0" w:type="auto"/>
            <w:tcBorders>
              <w:top w:val="single" w:sz="12" w:space="0" w:color="auto"/>
              <w:bottom w:val="single" w:sz="4" w:space="0" w:color="auto"/>
            </w:tcBorders>
            <w:vAlign w:val="center"/>
          </w:tcPr>
          <w:p w14:paraId="3E335775" w14:textId="77777777" w:rsidR="00B135A3" w:rsidRPr="00D0348A" w:rsidRDefault="00B135A3">
            <w:pPr>
              <w:widowControl/>
              <w:spacing w:before="36" w:after="36"/>
              <w:jc w:val="center"/>
              <w:rPr>
                <w:rFonts w:eastAsia="Cambria" w:cstheme="minorHAnsi"/>
                <w:b/>
                <w:bCs/>
                <w:snapToGrid/>
                <w:sz w:val="22"/>
                <w:szCs w:val="22"/>
              </w:rPr>
            </w:pPr>
            <w:r w:rsidRPr="00D0348A">
              <w:rPr>
                <w:rFonts w:eastAsia="Cambria" w:cstheme="minorHAnsi"/>
                <w:b/>
                <w:bCs/>
                <w:snapToGrid/>
                <w:sz w:val="22"/>
                <w:szCs w:val="22"/>
              </w:rPr>
              <w:t>Stream Order (Strahler 1:100k NHD)</w:t>
            </w:r>
          </w:p>
        </w:tc>
        <w:tc>
          <w:tcPr>
            <w:tcW w:w="0" w:type="auto"/>
            <w:tcBorders>
              <w:top w:val="single" w:sz="12" w:space="0" w:color="auto"/>
              <w:bottom w:val="single" w:sz="4" w:space="0" w:color="auto"/>
            </w:tcBorders>
            <w:vAlign w:val="center"/>
          </w:tcPr>
          <w:p w14:paraId="52AEFE04" w14:textId="77777777" w:rsidR="00B135A3" w:rsidRPr="00D0348A" w:rsidRDefault="00B135A3">
            <w:pPr>
              <w:widowControl/>
              <w:spacing w:before="36" w:after="36"/>
              <w:jc w:val="center"/>
              <w:rPr>
                <w:rFonts w:eastAsia="Cambria" w:cstheme="minorHAnsi"/>
                <w:b/>
                <w:bCs/>
                <w:snapToGrid/>
                <w:sz w:val="22"/>
                <w:szCs w:val="22"/>
              </w:rPr>
            </w:pPr>
            <w:r w:rsidRPr="00D0348A">
              <w:rPr>
                <w:rFonts w:eastAsia="Cambria" w:cstheme="minorHAnsi"/>
                <w:b/>
                <w:bCs/>
                <w:snapToGrid/>
                <w:sz w:val="22"/>
                <w:szCs w:val="22"/>
              </w:rPr>
              <w:t>Watershed Area (sq miles)</w:t>
            </w:r>
          </w:p>
        </w:tc>
      </w:tr>
      <w:tr w:rsidR="00B135A3" w:rsidRPr="00307D28" w14:paraId="00D179A3" w14:textId="77777777">
        <w:trPr>
          <w:trHeight w:val="360"/>
        </w:trPr>
        <w:tc>
          <w:tcPr>
            <w:tcW w:w="0" w:type="auto"/>
            <w:tcBorders>
              <w:top w:val="single" w:sz="4" w:space="0" w:color="auto"/>
            </w:tcBorders>
            <w:vAlign w:val="center"/>
          </w:tcPr>
          <w:p w14:paraId="0F6527FD" w14:textId="77777777" w:rsidR="00B135A3" w:rsidRPr="00D0348A" w:rsidRDefault="00B135A3">
            <w:pPr>
              <w:widowControl/>
              <w:spacing w:before="36" w:after="36"/>
              <w:jc w:val="center"/>
              <w:rPr>
                <w:rFonts w:eastAsia="Cambria" w:cstheme="minorHAnsi"/>
                <w:snapToGrid/>
                <w:sz w:val="22"/>
                <w:szCs w:val="22"/>
              </w:rPr>
            </w:pPr>
            <w:r w:rsidRPr="00D0348A">
              <w:rPr>
                <w:rFonts w:eastAsia="Cambria" w:cstheme="minorHAnsi"/>
                <w:snapToGrid/>
                <w:sz w:val="22"/>
                <w:szCs w:val="22"/>
              </w:rPr>
              <w:t>Small</w:t>
            </w:r>
          </w:p>
        </w:tc>
        <w:tc>
          <w:tcPr>
            <w:tcW w:w="0" w:type="auto"/>
            <w:tcBorders>
              <w:top w:val="single" w:sz="4" w:space="0" w:color="auto"/>
            </w:tcBorders>
            <w:vAlign w:val="center"/>
          </w:tcPr>
          <w:p w14:paraId="36BBC025" w14:textId="77777777" w:rsidR="00B135A3" w:rsidRPr="00D0348A" w:rsidRDefault="00B135A3">
            <w:pPr>
              <w:widowControl/>
              <w:spacing w:before="36" w:after="36"/>
              <w:jc w:val="center"/>
              <w:rPr>
                <w:rFonts w:eastAsia="Cambria" w:cstheme="minorHAnsi"/>
                <w:snapToGrid/>
                <w:sz w:val="22"/>
                <w:szCs w:val="22"/>
              </w:rPr>
            </w:pPr>
            <w:r w:rsidRPr="00D0348A">
              <w:rPr>
                <w:rFonts w:eastAsia="Cambria" w:cstheme="minorHAnsi"/>
                <w:snapToGrid/>
                <w:sz w:val="22"/>
                <w:szCs w:val="22"/>
              </w:rPr>
              <w:t>1,2,3</w:t>
            </w:r>
          </w:p>
        </w:tc>
        <w:tc>
          <w:tcPr>
            <w:tcW w:w="0" w:type="auto"/>
            <w:tcBorders>
              <w:top w:val="single" w:sz="4" w:space="0" w:color="auto"/>
            </w:tcBorders>
            <w:vAlign w:val="center"/>
          </w:tcPr>
          <w:p w14:paraId="5BC71DDC" w14:textId="77777777" w:rsidR="00B135A3" w:rsidRPr="00D0348A" w:rsidRDefault="00B135A3">
            <w:pPr>
              <w:widowControl/>
              <w:spacing w:before="36" w:after="36"/>
              <w:jc w:val="center"/>
              <w:rPr>
                <w:rFonts w:eastAsia="Cambria" w:cstheme="minorHAnsi"/>
                <w:snapToGrid/>
                <w:sz w:val="22"/>
                <w:szCs w:val="22"/>
              </w:rPr>
            </w:pPr>
            <w:r w:rsidRPr="00D0348A">
              <w:rPr>
                <w:rFonts w:eastAsia="Cambria" w:cstheme="minorHAnsi"/>
                <w:snapToGrid/>
                <w:sz w:val="22"/>
                <w:szCs w:val="22"/>
              </w:rPr>
              <w:t>&lt; 10</w:t>
            </w:r>
          </w:p>
        </w:tc>
      </w:tr>
      <w:tr w:rsidR="00B135A3" w:rsidRPr="00307D28" w14:paraId="353C04E1" w14:textId="77777777">
        <w:trPr>
          <w:trHeight w:val="360"/>
        </w:trPr>
        <w:tc>
          <w:tcPr>
            <w:tcW w:w="0" w:type="auto"/>
            <w:vAlign w:val="center"/>
          </w:tcPr>
          <w:p w14:paraId="7F34073A" w14:textId="77777777" w:rsidR="00B135A3" w:rsidRPr="00D0348A" w:rsidRDefault="00B135A3">
            <w:pPr>
              <w:widowControl/>
              <w:spacing w:before="36" w:after="36"/>
              <w:jc w:val="center"/>
              <w:rPr>
                <w:rFonts w:eastAsia="Cambria" w:cstheme="minorHAnsi"/>
                <w:snapToGrid/>
                <w:sz w:val="22"/>
                <w:szCs w:val="22"/>
              </w:rPr>
            </w:pPr>
            <w:r w:rsidRPr="00D0348A">
              <w:rPr>
                <w:rFonts w:eastAsia="Cambria" w:cstheme="minorHAnsi"/>
                <w:snapToGrid/>
                <w:sz w:val="22"/>
                <w:szCs w:val="22"/>
              </w:rPr>
              <w:t>Medium</w:t>
            </w:r>
          </w:p>
        </w:tc>
        <w:tc>
          <w:tcPr>
            <w:tcW w:w="0" w:type="auto"/>
            <w:vAlign w:val="center"/>
          </w:tcPr>
          <w:p w14:paraId="0A0631F0" w14:textId="77777777" w:rsidR="00B135A3" w:rsidRPr="00D0348A" w:rsidRDefault="00B135A3">
            <w:pPr>
              <w:widowControl/>
              <w:spacing w:before="36" w:after="36"/>
              <w:jc w:val="center"/>
              <w:rPr>
                <w:rFonts w:eastAsia="Cambria" w:cstheme="minorHAnsi"/>
                <w:snapToGrid/>
                <w:sz w:val="22"/>
                <w:szCs w:val="22"/>
              </w:rPr>
            </w:pPr>
            <w:r w:rsidRPr="00D0348A">
              <w:rPr>
                <w:rFonts w:eastAsia="Cambria" w:cstheme="minorHAnsi"/>
                <w:snapToGrid/>
                <w:sz w:val="22"/>
                <w:szCs w:val="22"/>
              </w:rPr>
              <w:t>2,3,4</w:t>
            </w:r>
          </w:p>
        </w:tc>
        <w:tc>
          <w:tcPr>
            <w:tcW w:w="0" w:type="auto"/>
            <w:vAlign w:val="center"/>
          </w:tcPr>
          <w:p w14:paraId="2AB67890" w14:textId="77777777" w:rsidR="00B135A3" w:rsidRPr="00D0348A" w:rsidRDefault="00B135A3">
            <w:pPr>
              <w:widowControl/>
              <w:spacing w:before="36" w:after="36"/>
              <w:jc w:val="center"/>
              <w:rPr>
                <w:rFonts w:eastAsia="Cambria" w:cstheme="minorHAnsi"/>
                <w:snapToGrid/>
                <w:sz w:val="22"/>
                <w:szCs w:val="22"/>
              </w:rPr>
            </w:pPr>
            <w:r w:rsidRPr="00D0348A">
              <w:rPr>
                <w:rFonts w:eastAsia="Cambria" w:cstheme="minorHAnsi"/>
                <w:snapToGrid/>
                <w:sz w:val="22"/>
                <w:szCs w:val="22"/>
              </w:rPr>
              <w:t>10 - 50</w:t>
            </w:r>
          </w:p>
        </w:tc>
      </w:tr>
      <w:tr w:rsidR="00B135A3" w:rsidRPr="00307D28" w14:paraId="4C80B857" w14:textId="77777777">
        <w:trPr>
          <w:trHeight w:val="360"/>
        </w:trPr>
        <w:tc>
          <w:tcPr>
            <w:tcW w:w="0" w:type="auto"/>
            <w:tcBorders>
              <w:bottom w:val="single" w:sz="12" w:space="0" w:color="auto"/>
            </w:tcBorders>
            <w:vAlign w:val="center"/>
          </w:tcPr>
          <w:p w14:paraId="5A93FA09" w14:textId="77777777" w:rsidR="00B135A3" w:rsidRPr="00D0348A" w:rsidRDefault="00B135A3">
            <w:pPr>
              <w:widowControl/>
              <w:spacing w:before="36" w:after="36"/>
              <w:jc w:val="center"/>
              <w:rPr>
                <w:rFonts w:eastAsia="Cambria" w:cstheme="minorHAnsi"/>
                <w:snapToGrid/>
                <w:sz w:val="22"/>
                <w:szCs w:val="22"/>
              </w:rPr>
            </w:pPr>
            <w:r w:rsidRPr="00D0348A">
              <w:rPr>
                <w:rFonts w:eastAsia="Cambria" w:cstheme="minorHAnsi"/>
                <w:snapToGrid/>
                <w:sz w:val="22"/>
                <w:szCs w:val="22"/>
              </w:rPr>
              <w:t>Large</w:t>
            </w:r>
          </w:p>
        </w:tc>
        <w:tc>
          <w:tcPr>
            <w:tcW w:w="0" w:type="auto"/>
            <w:tcBorders>
              <w:bottom w:val="single" w:sz="12" w:space="0" w:color="auto"/>
            </w:tcBorders>
            <w:vAlign w:val="center"/>
          </w:tcPr>
          <w:p w14:paraId="79EC245A" w14:textId="77777777" w:rsidR="00B135A3" w:rsidRPr="00D0348A" w:rsidRDefault="00B135A3">
            <w:pPr>
              <w:widowControl/>
              <w:spacing w:before="36" w:after="36"/>
              <w:jc w:val="center"/>
              <w:rPr>
                <w:rFonts w:eastAsia="Cambria" w:cstheme="minorHAnsi"/>
                <w:snapToGrid/>
                <w:sz w:val="22"/>
                <w:szCs w:val="22"/>
              </w:rPr>
            </w:pPr>
            <w:r w:rsidRPr="00D0348A">
              <w:rPr>
                <w:rFonts w:eastAsia="Cambria" w:cstheme="minorHAnsi"/>
                <w:snapToGrid/>
                <w:sz w:val="22"/>
                <w:szCs w:val="22"/>
              </w:rPr>
              <w:t>3,4,5</w:t>
            </w:r>
          </w:p>
        </w:tc>
        <w:tc>
          <w:tcPr>
            <w:tcW w:w="0" w:type="auto"/>
            <w:tcBorders>
              <w:bottom w:val="single" w:sz="12" w:space="0" w:color="auto"/>
            </w:tcBorders>
            <w:vAlign w:val="center"/>
          </w:tcPr>
          <w:p w14:paraId="733B7EE9" w14:textId="77777777" w:rsidR="00B135A3" w:rsidRPr="00D0348A" w:rsidRDefault="00B135A3">
            <w:pPr>
              <w:widowControl/>
              <w:spacing w:before="36" w:after="36"/>
              <w:jc w:val="center"/>
              <w:rPr>
                <w:rFonts w:eastAsia="Cambria" w:cstheme="minorHAnsi"/>
                <w:snapToGrid/>
                <w:sz w:val="22"/>
                <w:szCs w:val="22"/>
              </w:rPr>
            </w:pPr>
            <w:r w:rsidRPr="00D0348A">
              <w:rPr>
                <w:rFonts w:eastAsia="Cambria" w:cstheme="minorHAnsi"/>
                <w:snapToGrid/>
                <w:sz w:val="22"/>
                <w:szCs w:val="22"/>
              </w:rPr>
              <w:t>&gt; 50</w:t>
            </w:r>
          </w:p>
        </w:tc>
      </w:tr>
    </w:tbl>
    <w:p w14:paraId="012CB9A6" w14:textId="77777777" w:rsidR="00B135A3" w:rsidRDefault="00B135A3" w:rsidP="00B135A3">
      <w:pPr>
        <w:keepNext/>
        <w:widowControl/>
        <w:spacing w:before="180" w:after="180"/>
      </w:pPr>
    </w:p>
    <w:p w14:paraId="2BDAD931" w14:textId="77777777" w:rsidR="00B135A3" w:rsidRDefault="00B135A3" w:rsidP="00B135A3">
      <w:pPr>
        <w:keepNext/>
        <w:widowControl/>
        <w:spacing w:before="180" w:after="180"/>
      </w:pPr>
      <w:r w:rsidRPr="00307D28">
        <w:rPr>
          <w:rFonts w:eastAsia="Cambria" w:cstheme="minorHAnsi"/>
          <w:noProof/>
          <w:snapToGrid/>
          <w:szCs w:val="24"/>
        </w:rPr>
        <w:drawing>
          <wp:inline distT="0" distB="0" distL="0" distR="0" wp14:anchorId="349FBF9F" wp14:editId="6F871984">
            <wp:extent cx="3234088" cy="2772075"/>
            <wp:effectExtent l="0" t="0" r="0" b="0"/>
            <wp:docPr id="1908386311" name="Picture 1908386311" descr="Bar plot of VSCI/VCPMI status by stream size category. Percentile represents percent of stream miles below the "/>
            <wp:cNvGraphicFramePr/>
            <a:graphic xmlns:a="http://schemas.openxmlformats.org/drawingml/2006/main">
              <a:graphicData uri="http://schemas.openxmlformats.org/drawingml/2006/picture">
                <pic:pic xmlns:pic="http://schemas.openxmlformats.org/drawingml/2006/picture">
                  <pic:nvPicPr>
                    <pic:cNvPr id="9" name="Picture" descr="Bar plot of VSCI/VCPMI status by stream size category. Percentile represents percent of stream miles below the "/>
                    <pic:cNvPicPr>
                      <a:picLocks noChangeAspect="1" noChangeArrowheads="1"/>
                    </pic:cNvPicPr>
                  </pic:nvPicPr>
                  <pic:blipFill>
                    <a:blip r:embed="rId181"/>
                    <a:stretch>
                      <a:fillRect/>
                    </a:stretch>
                  </pic:blipFill>
                  <pic:spPr bwMode="auto">
                    <a:xfrm>
                      <a:off x="0" y="0"/>
                      <a:ext cx="3234088" cy="2772075"/>
                    </a:xfrm>
                    <a:prstGeom prst="rect">
                      <a:avLst/>
                    </a:prstGeom>
                    <a:noFill/>
                    <a:ln w="9525">
                      <a:noFill/>
                      <a:headEnd/>
                      <a:tailEnd/>
                    </a:ln>
                  </pic:spPr>
                </pic:pic>
              </a:graphicData>
            </a:graphic>
          </wp:inline>
        </w:drawing>
      </w:r>
    </w:p>
    <w:p w14:paraId="564C7B76" w14:textId="060D37A0" w:rsidR="00B135A3" w:rsidRPr="00D237D4" w:rsidRDefault="00B135A3" w:rsidP="00B135A3">
      <w:pPr>
        <w:pStyle w:val="Caption"/>
        <w:keepNext/>
      </w:pPr>
      <w:bookmarkStart w:id="198" w:name="_Toc164175094"/>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8</w:t>
      </w:r>
      <w:r w:rsidR="004F13BA">
        <w:rPr>
          <w:noProof/>
        </w:rPr>
        <w:fldChar w:fldCharType="end"/>
      </w:r>
      <w:r>
        <w:t xml:space="preserve">. </w:t>
      </w:r>
      <w:r w:rsidRPr="00034A7A">
        <w:t>VSCI/VCPMI status by stream size category</w:t>
      </w:r>
      <w:bookmarkEnd w:id="198"/>
      <w:r>
        <w:t>. Percentile represents percent of stream miles below the biological assessment threshold, along with their 95% confidence limits. The number of samples collected from 2001 - 2022 in each category is identified.</w:t>
      </w:r>
    </w:p>
    <w:p w14:paraId="4F29400F" w14:textId="77777777" w:rsidR="00B135A3" w:rsidRPr="00081972" w:rsidRDefault="00B135A3" w:rsidP="00B135A3">
      <w:pPr>
        <w:rPr>
          <w:rFonts w:eastAsia="Cambria"/>
        </w:rPr>
      </w:pPr>
    </w:p>
    <w:p w14:paraId="7C8B6E0A" w14:textId="77777777" w:rsidR="00B135A3" w:rsidRPr="005A6AF4" w:rsidRDefault="00B135A3" w:rsidP="00B135A3">
      <w:pPr>
        <w:pStyle w:val="Heading4"/>
      </w:pPr>
      <w:r w:rsidRPr="005A6AF4">
        <w:t>Biological Condition by US Level III Ecoregion</w:t>
      </w:r>
    </w:p>
    <w:p w14:paraId="0C0979BC"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 xml:space="preserve">Evaluating biological </w:t>
      </w:r>
      <w:proofErr w:type="gramStart"/>
      <w:r w:rsidRPr="00307D28">
        <w:rPr>
          <w:rFonts w:eastAsia="Cambria" w:cstheme="minorHAnsi"/>
          <w:snapToGrid/>
          <w:szCs w:val="24"/>
        </w:rPr>
        <w:t>condition</w:t>
      </w:r>
      <w:proofErr w:type="gramEnd"/>
      <w:r w:rsidRPr="00307D28">
        <w:rPr>
          <w:rFonts w:eastAsia="Cambria" w:cstheme="minorHAnsi"/>
          <w:snapToGrid/>
          <w:szCs w:val="24"/>
        </w:rPr>
        <w:t xml:space="preserve"> by US Level III Ecoregions offers a different perspective to analyze Virginia streams, grouping Virginia’s diverse geography based on similarities among environmental resources (Omernik 1987). Ecoregions are based on many factors including land use, land surface form, potential natural vegetation, and soils. An ecoregion is useful at the state level to understand the attainable ranges of aquatic ecosystems. Figure 4.4-9 illustrates </w:t>
      </w:r>
      <w:r w:rsidRPr="00307D28">
        <w:rPr>
          <w:rFonts w:eastAsia="Cambria" w:cstheme="minorHAnsi"/>
          <w:snapToGrid/>
          <w:szCs w:val="24"/>
        </w:rPr>
        <w:lastRenderedPageBreak/>
        <w:t xml:space="preserve">the estimated </w:t>
      </w:r>
      <w:proofErr w:type="gramStart"/>
      <w:r w:rsidRPr="00307D28">
        <w:rPr>
          <w:rFonts w:eastAsia="Cambria" w:cstheme="minorHAnsi"/>
          <w:snapToGrid/>
          <w:szCs w:val="24"/>
        </w:rPr>
        <w:t>percent</w:t>
      </w:r>
      <w:proofErr w:type="gramEnd"/>
      <w:r w:rsidRPr="00307D28">
        <w:rPr>
          <w:rFonts w:eastAsia="Cambria" w:cstheme="minorHAnsi"/>
          <w:snapToGrid/>
          <w:szCs w:val="24"/>
        </w:rPr>
        <w:t xml:space="preserve"> of stream miles below the biological assessment threshold by Virginia ecoregions over the 2001 - 2022 data window. The Blue Ridge Mountain ecoregion demonstrates the lowest estimated percent of stream miles below the biological assessment threshold at 14.4% while the Central Appalachians and Southeastern Plains had the most at 59.4% and 59.6%, respectively.</w:t>
      </w:r>
    </w:p>
    <w:p w14:paraId="628FDDC3" w14:textId="77777777" w:rsidR="00B135A3" w:rsidRDefault="00B135A3" w:rsidP="00B135A3">
      <w:pPr>
        <w:keepNext/>
        <w:widowControl/>
        <w:spacing w:before="180" w:after="180"/>
      </w:pPr>
      <w:r w:rsidRPr="00307D28">
        <w:rPr>
          <w:rFonts w:eastAsia="Cambria" w:cstheme="minorHAnsi"/>
          <w:noProof/>
          <w:snapToGrid/>
          <w:szCs w:val="24"/>
        </w:rPr>
        <w:drawing>
          <wp:inline distT="0" distB="0" distL="0" distR="0" wp14:anchorId="2CEAC63B" wp14:editId="45C380DA">
            <wp:extent cx="4158113" cy="3234088"/>
            <wp:effectExtent l="0" t="0" r="0" b="0"/>
            <wp:docPr id="1237122923" name="Picture 1237122923" descr="Barplot of VSCI/VCPMI status by US Level III Ecoregions. The estimated percent of stream miles below the biologic assessment threshold is listed on the y axis along with the associated 95% confidence limits. The number of samples collected from 2001 - 2022 in each ecoregion is identified as n. The Mid-Atlantic Coastal Plain Ecoregion was not included due to insufficient data."/>
            <wp:cNvGraphicFramePr/>
            <a:graphic xmlns:a="http://schemas.openxmlformats.org/drawingml/2006/main">
              <a:graphicData uri="http://schemas.openxmlformats.org/drawingml/2006/picture">
                <pic:pic xmlns:pic="http://schemas.openxmlformats.org/drawingml/2006/picture">
                  <pic:nvPicPr>
                    <pic:cNvPr id="10" name="Picture" descr="Barplot of VSCI/VCPMI status by US Level III Ecoregions. The estimated percent of stream miles below the biologic assessment threshold is listed on the y axis along with the associated 95% confidence limits. The number of samples collected from 2001 - 2022 in each ecoregion is identified as n. The Mid-Atlantic Coastal Plain Ecoregion was not included due to insufficient data."/>
                    <pic:cNvPicPr>
                      <a:picLocks noChangeAspect="1" noChangeArrowheads="1"/>
                    </pic:cNvPicPr>
                  </pic:nvPicPr>
                  <pic:blipFill>
                    <a:blip r:embed="rId182"/>
                    <a:stretch>
                      <a:fillRect/>
                    </a:stretch>
                  </pic:blipFill>
                  <pic:spPr bwMode="auto">
                    <a:xfrm>
                      <a:off x="0" y="0"/>
                      <a:ext cx="4158113" cy="3234088"/>
                    </a:xfrm>
                    <a:prstGeom prst="rect">
                      <a:avLst/>
                    </a:prstGeom>
                    <a:noFill/>
                    <a:ln w="9525">
                      <a:noFill/>
                      <a:headEnd/>
                      <a:tailEnd/>
                    </a:ln>
                  </pic:spPr>
                </pic:pic>
              </a:graphicData>
            </a:graphic>
          </wp:inline>
        </w:drawing>
      </w:r>
    </w:p>
    <w:p w14:paraId="37946D37" w14:textId="7257C5E2" w:rsidR="00B135A3" w:rsidRPr="00D237D4" w:rsidRDefault="00B135A3" w:rsidP="00B135A3">
      <w:pPr>
        <w:pStyle w:val="Caption"/>
        <w:keepNext/>
      </w:pPr>
      <w:bookmarkStart w:id="199" w:name="_Toc164175095"/>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9</w:t>
      </w:r>
      <w:r w:rsidR="004F13BA">
        <w:rPr>
          <w:noProof/>
        </w:rPr>
        <w:fldChar w:fldCharType="end"/>
      </w:r>
      <w:r>
        <w:t xml:space="preserve">. </w:t>
      </w:r>
      <w:r w:rsidRPr="002663BA">
        <w:t>VSCI/VCPMI status by US Level III Ecoregions</w:t>
      </w:r>
      <w:bookmarkEnd w:id="199"/>
      <w:r>
        <w:t xml:space="preserve">. The estimated </w:t>
      </w:r>
      <w:proofErr w:type="gramStart"/>
      <w:r>
        <w:t>percent</w:t>
      </w:r>
      <w:proofErr w:type="gramEnd"/>
      <w:r>
        <w:t xml:space="preserve"> of stream miles below the biologic assessment threshold is listed on the y axis along with the associated 95% confidence limits. The number of samples collected from 2001 - 2022 in each ecoregion is identified as n. The Mid-Atlantic Coastal Plain Ecoregion was not included due to insufficient data.</w:t>
      </w:r>
    </w:p>
    <w:p w14:paraId="542EABCC" w14:textId="77777777" w:rsidR="00B135A3" w:rsidRPr="002663BA" w:rsidRDefault="00B135A3" w:rsidP="00B135A3">
      <w:pPr>
        <w:rPr>
          <w:rFonts w:eastAsia="Cambria"/>
        </w:rPr>
      </w:pPr>
    </w:p>
    <w:p w14:paraId="1D81A2A1" w14:textId="77777777" w:rsidR="00B135A3" w:rsidRPr="00E30860" w:rsidRDefault="00B135A3" w:rsidP="00B135A3">
      <w:pPr>
        <w:pStyle w:val="Heading4"/>
        <w:rPr>
          <w:b w:val="0"/>
          <w:snapToGrid/>
        </w:rPr>
      </w:pPr>
      <w:r w:rsidRPr="00E30860">
        <w:rPr>
          <w:snapToGrid/>
        </w:rPr>
        <w:t>Biological Condition by Major River Basins</w:t>
      </w:r>
    </w:p>
    <w:p w14:paraId="1148B516"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Figure 4.4-10 illustrates the differences in biological condition across Virginia’s major river basins as the estimated percent of river miles below the biologic assessment threshold. Four of eleven major river basins in Virginia have over 50</w:t>
      </w:r>
      <w:proofErr w:type="gramStart"/>
      <w:r w:rsidRPr="00307D28">
        <w:rPr>
          <w:rFonts w:eastAsia="Cambria" w:cstheme="minorHAnsi"/>
          <w:snapToGrid/>
          <w:szCs w:val="24"/>
        </w:rPr>
        <w:t>% of</w:t>
      </w:r>
      <w:proofErr w:type="gramEnd"/>
      <w:r w:rsidRPr="00307D28">
        <w:rPr>
          <w:rFonts w:eastAsia="Cambria" w:cstheme="minorHAnsi"/>
          <w:snapToGrid/>
          <w:szCs w:val="24"/>
        </w:rPr>
        <w:t xml:space="preserve"> stream miles under moderate to severe biological stress, including the Big Sandy River basin, Chowan River basin, Rappahannock River basin, and Potomac River basin. Most of the major river basins have between 25 to 50</w:t>
      </w:r>
      <w:proofErr w:type="gramStart"/>
      <w:r w:rsidRPr="00307D28">
        <w:rPr>
          <w:rFonts w:eastAsia="Cambria" w:cstheme="minorHAnsi"/>
          <w:snapToGrid/>
          <w:szCs w:val="24"/>
        </w:rPr>
        <w:t>% of</w:t>
      </w:r>
      <w:proofErr w:type="gramEnd"/>
      <w:r w:rsidRPr="00307D28">
        <w:rPr>
          <w:rFonts w:eastAsia="Cambria" w:cstheme="minorHAnsi"/>
          <w:snapToGrid/>
          <w:szCs w:val="24"/>
        </w:rPr>
        <w:t xml:space="preserve"> stream miles below the biological </w:t>
      </w:r>
      <w:r>
        <w:rPr>
          <w:rFonts w:eastAsia="Cambria" w:cstheme="minorHAnsi"/>
          <w:snapToGrid/>
          <w:szCs w:val="24"/>
        </w:rPr>
        <w:t>threshold</w:t>
      </w:r>
      <w:r w:rsidRPr="00307D28">
        <w:rPr>
          <w:rFonts w:eastAsia="Cambria" w:cstheme="minorHAnsi"/>
          <w:snapToGrid/>
          <w:szCs w:val="24"/>
        </w:rPr>
        <w:t>. The Holston River basin has the fewest stream miles with moderate to severe biological stress at only 14.0%.</w:t>
      </w:r>
    </w:p>
    <w:p w14:paraId="2D57C21E" w14:textId="77777777" w:rsidR="00B135A3" w:rsidRDefault="00B135A3" w:rsidP="00B135A3">
      <w:pPr>
        <w:keepNext/>
        <w:widowControl/>
        <w:spacing w:before="180" w:after="180"/>
      </w:pPr>
      <w:r w:rsidRPr="00307D28">
        <w:rPr>
          <w:rFonts w:eastAsia="Cambria" w:cstheme="minorHAnsi"/>
          <w:noProof/>
          <w:snapToGrid/>
          <w:szCs w:val="24"/>
        </w:rPr>
        <w:lastRenderedPageBreak/>
        <w:drawing>
          <wp:inline distT="0" distB="0" distL="0" distR="0" wp14:anchorId="7833069B" wp14:editId="58915939">
            <wp:extent cx="5334000" cy="4445000"/>
            <wp:effectExtent l="0" t="0" r="0" b="0"/>
            <wp:docPr id="1746599172" name="Picture 1746599172" descr="Bar plot of VSCI status by major Virginia basins. The estimated percent of stream miles below the VSCI/VCPMI assessment threshold is listed on the y axis. The number of samples collected from 2001 - 2022 in each basin is identified as n."/>
            <wp:cNvGraphicFramePr/>
            <a:graphic xmlns:a="http://schemas.openxmlformats.org/drawingml/2006/main">
              <a:graphicData uri="http://schemas.openxmlformats.org/drawingml/2006/picture">
                <pic:pic xmlns:pic="http://schemas.openxmlformats.org/drawingml/2006/picture">
                  <pic:nvPicPr>
                    <pic:cNvPr id="11" name="Picture" descr="Bar plot of VSCI status by major Virginia basins. The estimated percent of stream miles below the VSCI/VCPMI assessment threshold is listed on the y axis. The number of samples collected from 2001 - 2022 in each basin is identified as n."/>
                    <pic:cNvPicPr>
                      <a:picLocks noChangeAspect="1" noChangeArrowheads="1"/>
                    </pic:cNvPicPr>
                  </pic:nvPicPr>
                  <pic:blipFill>
                    <a:blip r:embed="rId183" cstate="email">
                      <a:extLst>
                        <a:ext uri="{28A0092B-C50C-407E-A947-70E740481C1C}">
                          <a14:useLocalDpi xmlns:a14="http://schemas.microsoft.com/office/drawing/2010/main"/>
                        </a:ext>
                      </a:extLst>
                    </a:blip>
                    <a:stretch>
                      <a:fillRect/>
                    </a:stretch>
                  </pic:blipFill>
                  <pic:spPr bwMode="auto">
                    <a:xfrm>
                      <a:off x="0" y="0"/>
                      <a:ext cx="5334000" cy="4445000"/>
                    </a:xfrm>
                    <a:prstGeom prst="rect">
                      <a:avLst/>
                    </a:prstGeom>
                    <a:noFill/>
                    <a:ln w="9525">
                      <a:noFill/>
                      <a:headEnd/>
                      <a:tailEnd/>
                    </a:ln>
                  </pic:spPr>
                </pic:pic>
              </a:graphicData>
            </a:graphic>
          </wp:inline>
        </w:drawing>
      </w:r>
    </w:p>
    <w:p w14:paraId="1ABECA6C" w14:textId="0DF9B78B" w:rsidR="00EF2B37" w:rsidRPr="00DC73F1" w:rsidRDefault="00B135A3" w:rsidP="00EF2B37">
      <w:pPr>
        <w:pStyle w:val="Caption"/>
        <w:keepNext/>
      </w:pPr>
      <w:bookmarkStart w:id="200" w:name="_Toc164175096"/>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10</w:t>
      </w:r>
      <w:r w:rsidR="004F13BA">
        <w:rPr>
          <w:noProof/>
        </w:rPr>
        <w:fldChar w:fldCharType="end"/>
      </w:r>
      <w:r>
        <w:t xml:space="preserve">. </w:t>
      </w:r>
      <w:r w:rsidRPr="00EA61A5">
        <w:t>VSCI status by major Virginia basins</w:t>
      </w:r>
      <w:bookmarkEnd w:id="200"/>
      <w:r>
        <w:t xml:space="preserve">. The estimated </w:t>
      </w:r>
      <w:proofErr w:type="gramStart"/>
      <w:r>
        <w:t>percent</w:t>
      </w:r>
      <w:proofErr w:type="gramEnd"/>
      <w:r>
        <w:t xml:space="preserve"> of stream miles below the VSCI/VCPMI assessment threshold is listed on the y axis. The number of samples collected from 2001 - 2022 in each basin is identified as n.</w:t>
      </w:r>
    </w:p>
    <w:p w14:paraId="24685CB0" w14:textId="77777777" w:rsidR="00B135A3" w:rsidRPr="00EA61A5" w:rsidRDefault="00B135A3" w:rsidP="00B135A3">
      <w:pPr>
        <w:rPr>
          <w:rFonts w:eastAsia="Cambria"/>
        </w:rPr>
      </w:pPr>
    </w:p>
    <w:p w14:paraId="52B8A267" w14:textId="77777777" w:rsidR="00B135A3" w:rsidRDefault="00B135A3" w:rsidP="00B135A3">
      <w:pPr>
        <w:widowControl/>
        <w:rPr>
          <w:rFonts w:eastAsia="Cambria" w:cstheme="minorHAnsi"/>
          <w:snapToGrid/>
          <w:szCs w:val="24"/>
        </w:rPr>
      </w:pPr>
      <w:proofErr w:type="spellStart"/>
      <w:r w:rsidRPr="00307D28">
        <w:rPr>
          <w:rFonts w:eastAsia="Cambria" w:cstheme="minorHAnsi"/>
          <w:snapToGrid/>
          <w:szCs w:val="24"/>
        </w:rPr>
        <w:t>Micromaps</w:t>
      </w:r>
      <w:proofErr w:type="spellEnd"/>
      <w:r w:rsidRPr="00307D28">
        <w:rPr>
          <w:rFonts w:eastAsia="Cambria" w:cstheme="minorHAnsi"/>
          <w:snapToGrid/>
          <w:szCs w:val="24"/>
        </w:rPr>
        <w:t xml:space="preserve"> are employed in this </w:t>
      </w:r>
      <w:r>
        <w:rPr>
          <w:rFonts w:eastAsia="Cambria" w:cstheme="minorHAnsi"/>
          <w:snapToGrid/>
          <w:szCs w:val="24"/>
        </w:rPr>
        <w:t>section</w:t>
      </w:r>
      <w:r w:rsidRPr="00307D28">
        <w:rPr>
          <w:rFonts w:eastAsia="Cambria" w:cstheme="minorHAnsi"/>
          <w:snapToGrid/>
          <w:szCs w:val="24"/>
        </w:rPr>
        <w:t xml:space="preserve"> to visualize this spatially distributed dataset. </w:t>
      </w:r>
      <w:proofErr w:type="spellStart"/>
      <w:r w:rsidRPr="00307D28">
        <w:rPr>
          <w:rFonts w:eastAsia="Cambria" w:cstheme="minorHAnsi"/>
          <w:snapToGrid/>
          <w:szCs w:val="24"/>
        </w:rPr>
        <w:t>Micromaps</w:t>
      </w:r>
      <w:proofErr w:type="spellEnd"/>
      <w:r w:rsidRPr="00307D28">
        <w:rPr>
          <w:rFonts w:eastAsia="Cambria" w:cstheme="minorHAnsi"/>
          <w:snapToGrid/>
          <w:szCs w:val="24"/>
        </w:rPr>
        <w:t xml:space="preserve"> illustrate statistics while highlighting the geographic regions from which they are derived. Figure 4.4-11 offers a simplistic </w:t>
      </w:r>
      <w:proofErr w:type="spellStart"/>
      <w:r w:rsidRPr="00307D28">
        <w:rPr>
          <w:rFonts w:eastAsia="Cambria" w:cstheme="minorHAnsi"/>
          <w:snapToGrid/>
          <w:szCs w:val="24"/>
        </w:rPr>
        <w:t>micromap</w:t>
      </w:r>
      <w:proofErr w:type="spellEnd"/>
      <w:r w:rsidRPr="00307D28">
        <w:rPr>
          <w:rFonts w:eastAsia="Cambria" w:cstheme="minorHAnsi"/>
          <w:snapToGrid/>
          <w:szCs w:val="24"/>
        </w:rPr>
        <w:t xml:space="preserve">, identifying VSCI/VCPMI by basin for explanatory purposes. By using a </w:t>
      </w:r>
      <w:proofErr w:type="spellStart"/>
      <w:r w:rsidRPr="00307D28">
        <w:rPr>
          <w:rFonts w:eastAsia="Cambria" w:cstheme="minorHAnsi"/>
          <w:snapToGrid/>
          <w:szCs w:val="24"/>
        </w:rPr>
        <w:t>micromap</w:t>
      </w:r>
      <w:proofErr w:type="spellEnd"/>
      <w:r w:rsidRPr="00307D28">
        <w:rPr>
          <w:rFonts w:eastAsia="Cambria" w:cstheme="minorHAnsi"/>
          <w:snapToGrid/>
          <w:szCs w:val="24"/>
        </w:rPr>
        <w:t xml:space="preserve"> and plotting the median estimated VSCI/VCPMI and interquartile range, we can visualize the range of biological condition in each major basin as well as compare these statistics among basins. </w:t>
      </w:r>
      <w:r>
        <w:rPr>
          <w:rFonts w:eastAsia="Cambria" w:cstheme="minorHAnsi"/>
          <w:snapToGrid/>
          <w:szCs w:val="24"/>
        </w:rPr>
        <w:t xml:space="preserve">The </w:t>
      </w:r>
      <w:r w:rsidRPr="00307D28">
        <w:rPr>
          <w:rFonts w:eastAsia="Cambria" w:cstheme="minorHAnsi"/>
          <w:snapToGrid/>
          <w:szCs w:val="24"/>
        </w:rPr>
        <w:t xml:space="preserve">VSCI and VCPMI scores were converted to a single biological scale for comparability in all analyses. Unconverted VCPMI scores are compared to a threshold score of 40; however, for the converted scores shown in 4.4-11 and subsequent </w:t>
      </w:r>
      <w:proofErr w:type="spellStart"/>
      <w:r w:rsidRPr="00307D28">
        <w:rPr>
          <w:rFonts w:eastAsia="Cambria" w:cstheme="minorHAnsi"/>
          <w:snapToGrid/>
          <w:szCs w:val="24"/>
        </w:rPr>
        <w:t>micromaps</w:t>
      </w:r>
      <w:proofErr w:type="spellEnd"/>
      <w:r w:rsidRPr="00307D28">
        <w:rPr>
          <w:rFonts w:eastAsia="Cambria" w:cstheme="minorHAnsi"/>
          <w:snapToGrid/>
          <w:szCs w:val="24"/>
        </w:rPr>
        <w:t>, 60 is the biological threshold for both the VSCI and VCPMI scores.</w:t>
      </w:r>
    </w:p>
    <w:p w14:paraId="103B3ACA" w14:textId="77777777" w:rsidR="00B135A3" w:rsidRPr="00307D28" w:rsidRDefault="00B135A3" w:rsidP="00B135A3">
      <w:pPr>
        <w:widowControl/>
        <w:rPr>
          <w:rFonts w:eastAsia="Cambria" w:cstheme="minorHAnsi"/>
          <w:snapToGrid/>
          <w:szCs w:val="24"/>
        </w:rPr>
      </w:pPr>
    </w:p>
    <w:p w14:paraId="4B4B040A"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To understand Figure 4.4-11, begin at the top panel where the Holston, James, and </w:t>
      </w:r>
      <w:proofErr w:type="gramStart"/>
      <w:r w:rsidRPr="00307D28">
        <w:rPr>
          <w:rFonts w:eastAsia="Cambria" w:cstheme="minorHAnsi"/>
          <w:snapToGrid/>
          <w:szCs w:val="24"/>
        </w:rPr>
        <w:t>New</w:t>
      </w:r>
      <w:proofErr w:type="gramEnd"/>
      <w:r w:rsidRPr="00307D28">
        <w:rPr>
          <w:rFonts w:eastAsia="Cambria" w:cstheme="minorHAnsi"/>
          <w:snapToGrid/>
          <w:szCs w:val="24"/>
        </w:rPr>
        <w:t xml:space="preserve"> basins are highlighted. Moving from left to right, the n column specifies how many samples were collected in each basin. The number of samples per basin is consistent across all </w:t>
      </w:r>
      <w:proofErr w:type="spellStart"/>
      <w:r w:rsidRPr="00307D28">
        <w:rPr>
          <w:rFonts w:eastAsia="Cambria" w:cstheme="minorHAnsi"/>
          <w:snapToGrid/>
          <w:szCs w:val="24"/>
        </w:rPr>
        <w:t>micromaps</w:t>
      </w:r>
      <w:proofErr w:type="spellEnd"/>
      <w:r w:rsidRPr="00307D28">
        <w:rPr>
          <w:rFonts w:eastAsia="Cambria" w:cstheme="minorHAnsi"/>
          <w:snapToGrid/>
          <w:szCs w:val="24"/>
        </w:rPr>
        <w:t xml:space="preserve"> presented in this </w:t>
      </w:r>
      <w:r>
        <w:rPr>
          <w:rFonts w:eastAsia="Cambria" w:cstheme="minorHAnsi"/>
          <w:snapToGrid/>
          <w:szCs w:val="24"/>
        </w:rPr>
        <w:t>section</w:t>
      </w:r>
      <w:r w:rsidRPr="00307D28">
        <w:rPr>
          <w:rFonts w:eastAsia="Cambria" w:cstheme="minorHAnsi"/>
          <w:snapToGrid/>
          <w:szCs w:val="24"/>
        </w:rPr>
        <w:t xml:space="preserve">. The </w:t>
      </w:r>
      <w:proofErr w:type="spellStart"/>
      <w:r w:rsidRPr="00307D28">
        <w:rPr>
          <w:rFonts w:eastAsia="Cambria" w:cstheme="minorHAnsi"/>
          <w:snapToGrid/>
          <w:szCs w:val="24"/>
        </w:rPr>
        <w:t>dotplot</w:t>
      </w:r>
      <w:proofErr w:type="spellEnd"/>
      <w:r w:rsidRPr="00307D28">
        <w:rPr>
          <w:rFonts w:eastAsia="Cambria" w:cstheme="minorHAnsi"/>
          <w:snapToGrid/>
          <w:szCs w:val="24"/>
        </w:rPr>
        <w:t xml:space="preserve"> identifies the median VSCI/VCPMI score in each basin with a solitary dot and the interquartile range, a measure of variability in the dataset between the 25th and 75th percentile, illustrated by a horizontal line spanning these percentiles. The dashed vertical line at 60 highlights the threshold for biological impairment. On the far right, a </w:t>
      </w:r>
      <w:r w:rsidRPr="00307D28">
        <w:rPr>
          <w:rFonts w:eastAsia="Cambria" w:cstheme="minorHAnsi"/>
          <w:snapToGrid/>
          <w:szCs w:val="24"/>
        </w:rPr>
        <w:lastRenderedPageBreak/>
        <w:t xml:space="preserve">map illustrates which basins are described statistically in that panel with colors corresponding to the dot left of the basin name. Basins are grayed out in lower maps to indicate they are highlighted in a map above. Because the basins are ordered by median VSCI/VCPMI scores, basins at the top of the </w:t>
      </w:r>
      <w:proofErr w:type="spellStart"/>
      <w:r w:rsidRPr="00307D28">
        <w:rPr>
          <w:rFonts w:eastAsia="Cambria" w:cstheme="minorHAnsi"/>
          <w:snapToGrid/>
          <w:szCs w:val="24"/>
        </w:rPr>
        <w:t>micromap</w:t>
      </w:r>
      <w:proofErr w:type="spellEnd"/>
      <w:r w:rsidRPr="00307D28">
        <w:rPr>
          <w:rFonts w:eastAsia="Cambria" w:cstheme="minorHAnsi"/>
          <w:snapToGrid/>
          <w:szCs w:val="24"/>
        </w:rPr>
        <w:t xml:space="preserve"> have the best median biological condition and basins at the bottom have the worst. The </w:t>
      </w:r>
      <w:proofErr w:type="spellStart"/>
      <w:r w:rsidRPr="00307D28">
        <w:rPr>
          <w:rFonts w:eastAsia="Cambria" w:cstheme="minorHAnsi"/>
          <w:snapToGrid/>
          <w:szCs w:val="24"/>
        </w:rPr>
        <w:t>micromap</w:t>
      </w:r>
      <w:proofErr w:type="spellEnd"/>
      <w:r w:rsidRPr="00307D28">
        <w:rPr>
          <w:rFonts w:eastAsia="Cambria" w:cstheme="minorHAnsi"/>
          <w:snapToGrid/>
          <w:szCs w:val="24"/>
        </w:rPr>
        <w:t xml:space="preserve"> illustrates the Potomac, Big Sandy, and Rappahannock generally have the lowest median VSCI/VCPMI scores in the state.</w:t>
      </w:r>
    </w:p>
    <w:p w14:paraId="17E6D75D" w14:textId="77777777" w:rsidR="00B135A3" w:rsidRPr="00307D28" w:rsidRDefault="00B135A3" w:rsidP="00B135A3">
      <w:pPr>
        <w:widowControl/>
        <w:rPr>
          <w:rFonts w:eastAsia="Cambria" w:cstheme="minorHAnsi"/>
          <w:snapToGrid/>
          <w:szCs w:val="24"/>
        </w:rPr>
      </w:pPr>
    </w:p>
    <w:p w14:paraId="0DE0DB90" w14:textId="77777777" w:rsidR="00B135A3" w:rsidRDefault="00B135A3" w:rsidP="00B135A3">
      <w:pPr>
        <w:widowControl/>
        <w:rPr>
          <w:rFonts w:eastAsia="Cambria" w:cstheme="minorHAnsi"/>
          <w:snapToGrid/>
          <w:szCs w:val="24"/>
        </w:rPr>
      </w:pPr>
      <w:r w:rsidRPr="00307D28">
        <w:rPr>
          <w:rFonts w:eastAsia="Cambria" w:cstheme="minorHAnsi"/>
          <w:snapToGrid/>
          <w:szCs w:val="24"/>
        </w:rPr>
        <w:t>The bottom-most panel highlights the differences in the populations of river basins with the lowest scoring median VSCI/VCPMI, the Big Sandy River and Rappahannock River basins. DEQ estimates 68</w:t>
      </w:r>
      <w:r>
        <w:rPr>
          <w:rFonts w:eastAsia="Cambria" w:cstheme="minorHAnsi"/>
          <w:snapToGrid/>
          <w:szCs w:val="24"/>
        </w:rPr>
        <w:t xml:space="preserve"> </w:t>
      </w:r>
      <w:r w:rsidRPr="00307D28">
        <w:rPr>
          <w:rFonts w:eastAsia="Cambria" w:cstheme="minorHAnsi"/>
          <w:snapToGrid/>
          <w:szCs w:val="24"/>
        </w:rPr>
        <w:t xml:space="preserve">percent of river miles in the Big Sandy River basin fail to meet the biological assessment threshold. The median VSCI/VCPMI score of the Rappahannock River basin falls below the Big Sandy River basin median, but the sample population collected from the Rappahannock River basin incorporates a wider range of VSCI/VCPMI scores. Although the Rappahannock River basin median is lowest compared to basins statewide, the basin contains some higher scoring sites more in line with the rest of the basins statewide, whereas the Big Sandy River basin consistently exhibits scores below the biological assessment threshold. </w:t>
      </w:r>
    </w:p>
    <w:p w14:paraId="0653CF73" w14:textId="77777777" w:rsidR="00B135A3" w:rsidRDefault="00B135A3" w:rsidP="00B135A3">
      <w:pPr>
        <w:widowControl/>
        <w:rPr>
          <w:rFonts w:eastAsia="Cambria" w:cstheme="minorHAnsi"/>
          <w:snapToGrid/>
          <w:szCs w:val="24"/>
        </w:rPr>
      </w:pPr>
    </w:p>
    <w:p w14:paraId="584A21BA"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Continued sampling will likely further differentiate the biological condition of these two basins.</w:t>
      </w:r>
    </w:p>
    <w:p w14:paraId="2EFCCA31"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Another interesting takeaway is the differences in the river basins that make up the Tennessee River basin drainage. The Holston and Clinch-Powell River basins plot at opposite ends of the biological condition scale in comparison to the Big Sandy River basin. The 25th percentiles of the Holston and Clinch-Powell River basins plot above and nearly above, respectively, the 75th percentile of the Big Sandy River basin, indicating VSCI/VCPMI scores from the best sites in the Big Sandy River basin would be considered among the worst in the directly adjacent Holston and Clinch-Powell drainages.</w:t>
      </w:r>
    </w:p>
    <w:p w14:paraId="32E589AD" w14:textId="77777777" w:rsidR="00B135A3" w:rsidRDefault="00B135A3" w:rsidP="00B135A3">
      <w:pPr>
        <w:keepNext/>
        <w:widowControl/>
        <w:spacing w:before="180" w:after="180"/>
      </w:pPr>
      <w:r w:rsidRPr="00307D28">
        <w:rPr>
          <w:rFonts w:eastAsia="Cambria" w:cstheme="minorHAnsi"/>
          <w:noProof/>
          <w:snapToGrid/>
          <w:szCs w:val="24"/>
        </w:rPr>
        <w:lastRenderedPageBreak/>
        <w:drawing>
          <wp:inline distT="0" distB="0" distL="0" distR="0" wp14:anchorId="5B18D5B8" wp14:editId="62CBD0E7">
            <wp:extent cx="5334000" cy="5334000"/>
            <wp:effectExtent l="0" t="0" r="0" b="0"/>
            <wp:docPr id="53883263" name="Picture 53883263" descr="Graphic of VSCI/VCPMI status by basin. The vertical dashed line at 60 highlights the biologic assessment threshold. Data encompasses samples collected from 2001 - 2022."/>
            <wp:cNvGraphicFramePr/>
            <a:graphic xmlns:a="http://schemas.openxmlformats.org/drawingml/2006/main">
              <a:graphicData uri="http://schemas.openxmlformats.org/drawingml/2006/picture">
                <pic:pic xmlns:pic="http://schemas.openxmlformats.org/drawingml/2006/picture">
                  <pic:nvPicPr>
                    <pic:cNvPr id="12" name="Picture" descr="Graphic of VSCI/VCPMI status by basin. The vertical dashed line at 60 highlights the biologic assessment threshold. Data encompasses samples collected from 2001 - 2022."/>
                    <pic:cNvPicPr>
                      <a:picLocks noChangeAspect="1" noChangeArrowheads="1"/>
                    </pic:cNvPicPr>
                  </pic:nvPicPr>
                  <pic:blipFill>
                    <a:blip r:embed="rId184" cstate="email">
                      <a:extLst>
                        <a:ext uri="{28A0092B-C50C-407E-A947-70E740481C1C}">
                          <a14:useLocalDpi xmlns:a14="http://schemas.microsoft.com/office/drawing/2010/main"/>
                        </a:ext>
                      </a:extLst>
                    </a:blip>
                    <a:stretch>
                      <a:fillRect/>
                    </a:stretch>
                  </pic:blipFill>
                  <pic:spPr bwMode="auto">
                    <a:xfrm>
                      <a:off x="0" y="0"/>
                      <a:ext cx="5334000" cy="5334000"/>
                    </a:xfrm>
                    <a:prstGeom prst="rect">
                      <a:avLst/>
                    </a:prstGeom>
                    <a:noFill/>
                    <a:ln w="9525">
                      <a:noFill/>
                      <a:headEnd/>
                      <a:tailEnd/>
                    </a:ln>
                  </pic:spPr>
                </pic:pic>
              </a:graphicData>
            </a:graphic>
          </wp:inline>
        </w:drawing>
      </w:r>
    </w:p>
    <w:p w14:paraId="5ADC892E" w14:textId="3AA6DC55" w:rsidR="00B135A3" w:rsidRPr="00D237D4" w:rsidRDefault="00B135A3" w:rsidP="0A5BE548">
      <w:pPr>
        <w:pStyle w:val="Caption"/>
        <w:keepNext/>
        <w:rPr>
          <w:rFonts w:cstheme="minorBidi"/>
          <w:snapToGrid/>
        </w:rPr>
      </w:pPr>
      <w:bookmarkStart w:id="201" w:name="_Toc164175097"/>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11</w:t>
      </w:r>
      <w:r w:rsidR="004F13BA">
        <w:rPr>
          <w:noProof/>
        </w:rPr>
        <w:fldChar w:fldCharType="end"/>
      </w:r>
      <w:r>
        <w:t xml:space="preserve">. </w:t>
      </w:r>
      <w:r w:rsidRPr="0A5BE548">
        <w:rPr>
          <w:rFonts w:cstheme="minorBidi"/>
          <w:snapToGrid/>
        </w:rPr>
        <w:t>VSCI/VCPMI status by basin</w:t>
      </w:r>
      <w:bookmarkEnd w:id="201"/>
      <w:r w:rsidRPr="0A5BE548">
        <w:rPr>
          <w:rFonts w:cstheme="minorBidi"/>
          <w:snapToGrid/>
        </w:rPr>
        <w:t>. The vertical dashed line at 60 highlights the biologic assessment threshold. Data encompasses samples collected from 2001 - 2022.</w:t>
      </w:r>
    </w:p>
    <w:p w14:paraId="598792D6" w14:textId="77777777" w:rsidR="00B135A3" w:rsidRPr="00EA61A5" w:rsidRDefault="00B135A3" w:rsidP="00B135A3">
      <w:pPr>
        <w:rPr>
          <w:rFonts w:eastAsia="Cambria"/>
        </w:rPr>
      </w:pPr>
    </w:p>
    <w:p w14:paraId="4118EF83" w14:textId="77777777" w:rsidR="00B135A3" w:rsidRPr="003B05AC" w:rsidRDefault="00B135A3" w:rsidP="00B135A3">
      <w:pPr>
        <w:pStyle w:val="Heading3"/>
      </w:pPr>
      <w:r w:rsidRPr="003B05AC">
        <w:t>Parameters without Water Quality Standards</w:t>
      </w:r>
    </w:p>
    <w:p w14:paraId="74A95146" w14:textId="77777777" w:rsidR="00B135A3" w:rsidRDefault="00B135A3" w:rsidP="00B135A3">
      <w:pPr>
        <w:widowControl/>
        <w:rPr>
          <w:rFonts w:eastAsia="Cambria" w:cstheme="minorHAnsi"/>
          <w:snapToGrid/>
          <w:szCs w:val="24"/>
        </w:rPr>
      </w:pPr>
      <w:r w:rsidRPr="00307D28">
        <w:rPr>
          <w:rFonts w:eastAsia="Cambria" w:cstheme="minorHAnsi"/>
          <w:snapToGrid/>
          <w:szCs w:val="24"/>
        </w:rPr>
        <w:t>Many stressors increase the risk to benthic macroinvertebrate communities but do not have numeric water quality criteria or assessment thresholds; these include streambed sedimentation, habitat degradation, nutrients, ionic strength, and water column cumulative metals. Screening values for these stressors</w:t>
      </w:r>
      <w:r>
        <w:rPr>
          <w:rFonts w:eastAsia="Cambria" w:cstheme="minorHAnsi"/>
          <w:snapToGrid/>
          <w:szCs w:val="24"/>
        </w:rPr>
        <w:t xml:space="preserve"> </w:t>
      </w:r>
      <w:r w:rsidRPr="00307D28">
        <w:rPr>
          <w:rFonts w:eastAsia="Cambria" w:cstheme="minorHAnsi"/>
          <w:snapToGrid/>
          <w:szCs w:val="24"/>
        </w:rPr>
        <w:t>are presented in Table 4.4-8. The ‘optimal’ classification represents water quality conditions that are not generally associated with degraded aquatic communities in the existing literature, but it does not provide a site-specific assessment value or an impairment threshold. Stressors classified as ‘suboptimal’ increase the likelihood of finding an impacted aquatic community. The condition class between optimal and suboptimal is termed ‘fair’ as the stress to the aquatic community is less certain.</w:t>
      </w:r>
    </w:p>
    <w:p w14:paraId="1E9FDEB9" w14:textId="77777777" w:rsidR="00B135A3" w:rsidRDefault="00B135A3" w:rsidP="00B135A3">
      <w:pPr>
        <w:widowControl/>
        <w:rPr>
          <w:rFonts w:eastAsia="Cambria" w:cstheme="minorHAnsi"/>
          <w:snapToGrid/>
          <w:szCs w:val="24"/>
        </w:rPr>
      </w:pPr>
    </w:p>
    <w:p w14:paraId="76300F15" w14:textId="6222B5C8" w:rsidR="00B135A3" w:rsidRDefault="00B135A3" w:rsidP="00B135A3">
      <w:pPr>
        <w:widowControl/>
        <w:rPr>
          <w:rFonts w:eastAsia="Cambria" w:cstheme="minorHAnsi"/>
          <w:snapToGrid/>
          <w:szCs w:val="24"/>
        </w:rPr>
      </w:pPr>
    </w:p>
    <w:p w14:paraId="57EF12CA" w14:textId="77777777" w:rsidR="000C1306" w:rsidRPr="000E7B8D" w:rsidRDefault="000C1306" w:rsidP="00B135A3">
      <w:pPr>
        <w:widowControl/>
        <w:rPr>
          <w:rFonts w:eastAsia="Cambria" w:cstheme="minorHAnsi"/>
          <w:snapToGrid/>
          <w:szCs w:val="24"/>
        </w:rPr>
      </w:pPr>
    </w:p>
    <w:p w14:paraId="4DBB90AC" w14:textId="6844F1C5" w:rsidR="00B135A3" w:rsidRPr="00D237D4" w:rsidRDefault="00B135A3" w:rsidP="00B135A3">
      <w:pPr>
        <w:pStyle w:val="Caption"/>
        <w:keepNext/>
      </w:pPr>
      <w:bookmarkStart w:id="202" w:name="_Toc164175190"/>
      <w:r>
        <w:lastRenderedPageBreak/>
        <w:t xml:space="preserve">Table </w:t>
      </w:r>
      <w:r w:rsidR="004F13BA">
        <w:fldChar w:fldCharType="begin"/>
      </w:r>
      <w:r w:rsidR="004F13BA">
        <w:instrText xml:space="preserve"> STYLEREF 2 \s </w:instrText>
      </w:r>
      <w:r w:rsidR="004F13BA">
        <w:fldChar w:fldCharType="separate"/>
      </w:r>
      <w:r w:rsidR="00CD06AE">
        <w:rPr>
          <w:noProof/>
        </w:rPr>
        <w:t>4.4</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8</w:t>
      </w:r>
      <w:r w:rsidR="004F13BA">
        <w:rPr>
          <w:noProof/>
        </w:rPr>
        <w:fldChar w:fldCharType="end"/>
      </w:r>
      <w:r>
        <w:t xml:space="preserve">. </w:t>
      </w:r>
      <w:r w:rsidRPr="00C168A0">
        <w:t>Thresholds of condition classes for stressor indicators</w:t>
      </w:r>
      <w:r w:rsidR="59EE7946" w:rsidRPr="00C168A0">
        <w:t xml:space="preserve">. </w:t>
      </w:r>
      <w:bookmarkEnd w:id="202"/>
      <w:r>
        <w:t xml:space="preserve">The screening values presented in Table 4.4-8 do not represent water quality criteria nor </w:t>
      </w:r>
      <w:proofErr w:type="gramStart"/>
      <w:r>
        <w:t>are</w:t>
      </w:r>
      <w:proofErr w:type="gramEnd"/>
      <w:r>
        <w:t xml:space="preserve"> intended for establishing TMDL endpoints. The values represent an increase in the probability of stress to benthic communities as described in section 4.4-6 (Relative Risk).</w:t>
      </w:r>
    </w:p>
    <w:tbl>
      <w:tblPr>
        <w:tblStyle w:val="Table"/>
        <w:tblW w:w="5000" w:type="pct"/>
        <w:tblLook w:val="0020" w:firstRow="1" w:lastRow="0" w:firstColumn="0" w:lastColumn="0" w:noHBand="0" w:noVBand="0"/>
        <w:tblCaption w:val="Table of Thresholds of condition classes for stressor indicators"/>
        <w:tblDescription w:val="Thresholds of condition classes for stressor indicators"/>
      </w:tblPr>
      <w:tblGrid>
        <w:gridCol w:w="3959"/>
        <w:gridCol w:w="1387"/>
        <w:gridCol w:w="1679"/>
        <w:gridCol w:w="2335"/>
      </w:tblGrid>
      <w:tr w:rsidR="00B135A3" w14:paraId="3E01D044" w14:textId="77777777">
        <w:trPr>
          <w:trHeight w:val="360"/>
        </w:trPr>
        <w:tc>
          <w:tcPr>
            <w:tcW w:w="2115" w:type="pct"/>
            <w:tcBorders>
              <w:top w:val="single" w:sz="12" w:space="0" w:color="auto"/>
              <w:bottom w:val="single" w:sz="2" w:space="0" w:color="auto"/>
            </w:tcBorders>
            <w:vAlign w:val="center"/>
          </w:tcPr>
          <w:p w14:paraId="2FAA0707" w14:textId="77777777" w:rsidR="00B135A3" w:rsidRPr="00ED20F6" w:rsidRDefault="00B135A3">
            <w:pPr>
              <w:jc w:val="right"/>
              <w:rPr>
                <w:b/>
                <w:bCs/>
                <w:sz w:val="22"/>
                <w:szCs w:val="22"/>
              </w:rPr>
            </w:pPr>
            <w:r w:rsidRPr="00ED20F6">
              <w:rPr>
                <w:b/>
                <w:bCs/>
                <w:sz w:val="22"/>
                <w:szCs w:val="22"/>
              </w:rPr>
              <w:t xml:space="preserve">Stressor Parameters </w:t>
            </w:r>
          </w:p>
        </w:tc>
        <w:tc>
          <w:tcPr>
            <w:tcW w:w="741" w:type="pct"/>
            <w:tcBorders>
              <w:top w:val="single" w:sz="12" w:space="0" w:color="auto"/>
              <w:bottom w:val="single" w:sz="2" w:space="0" w:color="auto"/>
            </w:tcBorders>
            <w:vAlign w:val="center"/>
          </w:tcPr>
          <w:p w14:paraId="28DC6AA4" w14:textId="77777777" w:rsidR="00B135A3" w:rsidRPr="00ED20F6" w:rsidRDefault="00B135A3">
            <w:pPr>
              <w:jc w:val="center"/>
              <w:rPr>
                <w:b/>
                <w:bCs/>
                <w:sz w:val="22"/>
                <w:szCs w:val="22"/>
              </w:rPr>
            </w:pPr>
            <w:r w:rsidRPr="00ED20F6">
              <w:rPr>
                <w:b/>
                <w:bCs/>
                <w:sz w:val="22"/>
                <w:szCs w:val="22"/>
              </w:rPr>
              <w:t>Optimal</w:t>
            </w:r>
          </w:p>
        </w:tc>
        <w:tc>
          <w:tcPr>
            <w:tcW w:w="0" w:type="auto"/>
            <w:tcBorders>
              <w:top w:val="single" w:sz="12" w:space="0" w:color="auto"/>
              <w:bottom w:val="single" w:sz="2" w:space="0" w:color="auto"/>
            </w:tcBorders>
            <w:vAlign w:val="center"/>
          </w:tcPr>
          <w:p w14:paraId="2AF3D9EA" w14:textId="77777777" w:rsidR="00B135A3" w:rsidRPr="00ED20F6" w:rsidRDefault="00B135A3">
            <w:pPr>
              <w:jc w:val="center"/>
              <w:rPr>
                <w:b/>
                <w:bCs/>
                <w:sz w:val="22"/>
                <w:szCs w:val="22"/>
              </w:rPr>
            </w:pPr>
            <w:r w:rsidRPr="00ED20F6">
              <w:rPr>
                <w:b/>
                <w:bCs/>
                <w:sz w:val="22"/>
                <w:szCs w:val="22"/>
              </w:rPr>
              <w:t>Suboptimal</w:t>
            </w:r>
          </w:p>
        </w:tc>
        <w:tc>
          <w:tcPr>
            <w:tcW w:w="0" w:type="auto"/>
            <w:tcBorders>
              <w:top w:val="single" w:sz="12" w:space="0" w:color="auto"/>
              <w:bottom w:val="single" w:sz="2" w:space="0" w:color="auto"/>
            </w:tcBorders>
            <w:vAlign w:val="center"/>
          </w:tcPr>
          <w:p w14:paraId="67FBB2A8" w14:textId="77777777" w:rsidR="00B135A3" w:rsidRPr="00ED20F6" w:rsidRDefault="00B135A3">
            <w:pPr>
              <w:jc w:val="center"/>
              <w:rPr>
                <w:b/>
                <w:bCs/>
                <w:sz w:val="22"/>
                <w:szCs w:val="22"/>
              </w:rPr>
            </w:pPr>
            <w:r w:rsidRPr="00ED20F6">
              <w:rPr>
                <w:b/>
                <w:bCs/>
                <w:sz w:val="22"/>
                <w:szCs w:val="22"/>
              </w:rPr>
              <w:t>Reference</w:t>
            </w:r>
          </w:p>
        </w:tc>
      </w:tr>
      <w:tr w:rsidR="00B135A3" w14:paraId="58C1F941" w14:textId="77777777">
        <w:trPr>
          <w:trHeight w:val="360"/>
        </w:trPr>
        <w:tc>
          <w:tcPr>
            <w:tcW w:w="2115" w:type="pct"/>
            <w:tcBorders>
              <w:top w:val="single" w:sz="2" w:space="0" w:color="auto"/>
            </w:tcBorders>
            <w:vAlign w:val="center"/>
          </w:tcPr>
          <w:p w14:paraId="669F967E" w14:textId="77777777" w:rsidR="00B135A3" w:rsidRPr="00FA0142" w:rsidRDefault="00B135A3">
            <w:pPr>
              <w:jc w:val="right"/>
              <w:rPr>
                <w:sz w:val="22"/>
                <w:szCs w:val="22"/>
              </w:rPr>
            </w:pPr>
            <w:r w:rsidRPr="00FA0142">
              <w:rPr>
                <w:sz w:val="22"/>
                <w:szCs w:val="22"/>
              </w:rPr>
              <w:t>Total Nitrogen (mg/L)</w:t>
            </w:r>
          </w:p>
        </w:tc>
        <w:tc>
          <w:tcPr>
            <w:tcW w:w="741" w:type="pct"/>
            <w:tcBorders>
              <w:top w:val="single" w:sz="2" w:space="0" w:color="auto"/>
            </w:tcBorders>
            <w:vAlign w:val="center"/>
          </w:tcPr>
          <w:p w14:paraId="135D5F28" w14:textId="77777777" w:rsidR="00B135A3" w:rsidRPr="00FA0142" w:rsidRDefault="00B135A3">
            <w:pPr>
              <w:jc w:val="center"/>
              <w:rPr>
                <w:sz w:val="22"/>
                <w:szCs w:val="22"/>
              </w:rPr>
            </w:pPr>
            <w:r w:rsidRPr="00FA0142">
              <w:rPr>
                <w:sz w:val="22"/>
                <w:szCs w:val="22"/>
              </w:rPr>
              <w:t>&lt; 1</w:t>
            </w:r>
          </w:p>
        </w:tc>
        <w:tc>
          <w:tcPr>
            <w:tcW w:w="0" w:type="auto"/>
            <w:tcBorders>
              <w:top w:val="single" w:sz="2" w:space="0" w:color="auto"/>
            </w:tcBorders>
            <w:vAlign w:val="center"/>
          </w:tcPr>
          <w:p w14:paraId="00182CEB" w14:textId="77777777" w:rsidR="00B135A3" w:rsidRPr="00FA0142" w:rsidRDefault="00B135A3">
            <w:pPr>
              <w:jc w:val="center"/>
              <w:rPr>
                <w:sz w:val="22"/>
                <w:szCs w:val="22"/>
              </w:rPr>
            </w:pPr>
            <w:r w:rsidRPr="00FA0142">
              <w:rPr>
                <w:sz w:val="22"/>
                <w:szCs w:val="22"/>
              </w:rPr>
              <w:t>&gt; 2</w:t>
            </w:r>
          </w:p>
        </w:tc>
        <w:tc>
          <w:tcPr>
            <w:tcW w:w="0" w:type="auto"/>
            <w:tcBorders>
              <w:top w:val="single" w:sz="2" w:space="0" w:color="auto"/>
            </w:tcBorders>
            <w:vAlign w:val="center"/>
          </w:tcPr>
          <w:p w14:paraId="3A7FED5E" w14:textId="77777777" w:rsidR="00B135A3" w:rsidRPr="00FA0142" w:rsidRDefault="00B135A3">
            <w:pPr>
              <w:jc w:val="center"/>
              <w:rPr>
                <w:sz w:val="22"/>
                <w:szCs w:val="22"/>
              </w:rPr>
            </w:pPr>
            <w:r w:rsidRPr="00FA0142">
              <w:rPr>
                <w:sz w:val="22"/>
                <w:szCs w:val="22"/>
              </w:rPr>
              <w:t>(DEQ 2006a)</w:t>
            </w:r>
          </w:p>
        </w:tc>
      </w:tr>
      <w:tr w:rsidR="00B135A3" w14:paraId="33044E08" w14:textId="77777777">
        <w:trPr>
          <w:trHeight w:val="360"/>
        </w:trPr>
        <w:tc>
          <w:tcPr>
            <w:tcW w:w="2115" w:type="pct"/>
            <w:vAlign w:val="center"/>
          </w:tcPr>
          <w:p w14:paraId="24840C61" w14:textId="77777777" w:rsidR="00B135A3" w:rsidRPr="00FA0142" w:rsidRDefault="00B135A3">
            <w:pPr>
              <w:jc w:val="right"/>
              <w:rPr>
                <w:sz w:val="22"/>
                <w:szCs w:val="22"/>
              </w:rPr>
            </w:pPr>
            <w:r w:rsidRPr="00FA0142">
              <w:rPr>
                <w:sz w:val="22"/>
                <w:szCs w:val="22"/>
              </w:rPr>
              <w:t xml:space="preserve">Total Phosphorus (mg/L) </w:t>
            </w:r>
          </w:p>
        </w:tc>
        <w:tc>
          <w:tcPr>
            <w:tcW w:w="741" w:type="pct"/>
            <w:vAlign w:val="center"/>
          </w:tcPr>
          <w:p w14:paraId="78DBAFF0" w14:textId="77777777" w:rsidR="00B135A3" w:rsidRPr="00FA0142" w:rsidRDefault="00B135A3">
            <w:pPr>
              <w:jc w:val="center"/>
              <w:rPr>
                <w:sz w:val="22"/>
                <w:szCs w:val="22"/>
              </w:rPr>
            </w:pPr>
            <w:r>
              <w:rPr>
                <w:sz w:val="22"/>
                <w:szCs w:val="22"/>
              </w:rPr>
              <w:t>&lt;</w:t>
            </w:r>
            <w:r w:rsidRPr="00FA0142">
              <w:rPr>
                <w:sz w:val="22"/>
                <w:szCs w:val="22"/>
              </w:rPr>
              <w:t xml:space="preserve">0.02 </w:t>
            </w:r>
          </w:p>
        </w:tc>
        <w:tc>
          <w:tcPr>
            <w:tcW w:w="0" w:type="auto"/>
            <w:vAlign w:val="center"/>
          </w:tcPr>
          <w:p w14:paraId="1EF98E10" w14:textId="77777777" w:rsidR="00B135A3" w:rsidRPr="00FA0142" w:rsidRDefault="00B135A3">
            <w:pPr>
              <w:jc w:val="center"/>
              <w:rPr>
                <w:sz w:val="22"/>
                <w:szCs w:val="22"/>
              </w:rPr>
            </w:pPr>
            <w:r>
              <w:rPr>
                <w:sz w:val="22"/>
                <w:szCs w:val="22"/>
              </w:rPr>
              <w:t>&gt;</w:t>
            </w:r>
            <w:r w:rsidRPr="00FA0142">
              <w:rPr>
                <w:sz w:val="22"/>
                <w:szCs w:val="22"/>
              </w:rPr>
              <w:t>0.05</w:t>
            </w:r>
          </w:p>
        </w:tc>
        <w:tc>
          <w:tcPr>
            <w:tcW w:w="0" w:type="auto"/>
            <w:vAlign w:val="center"/>
          </w:tcPr>
          <w:p w14:paraId="66CBC9A9" w14:textId="77777777" w:rsidR="00B135A3" w:rsidRPr="00FA0142" w:rsidRDefault="00B135A3">
            <w:pPr>
              <w:jc w:val="center"/>
              <w:rPr>
                <w:sz w:val="22"/>
                <w:szCs w:val="22"/>
              </w:rPr>
            </w:pPr>
            <w:r w:rsidRPr="00FA0142">
              <w:rPr>
                <w:sz w:val="22"/>
                <w:szCs w:val="22"/>
              </w:rPr>
              <w:t>(DEQ 2006a)</w:t>
            </w:r>
          </w:p>
        </w:tc>
      </w:tr>
      <w:tr w:rsidR="00B135A3" w14:paraId="7A205CB5" w14:textId="77777777">
        <w:trPr>
          <w:trHeight w:val="360"/>
        </w:trPr>
        <w:tc>
          <w:tcPr>
            <w:tcW w:w="2115" w:type="pct"/>
            <w:vAlign w:val="center"/>
          </w:tcPr>
          <w:p w14:paraId="4732697D" w14:textId="77777777" w:rsidR="00B135A3" w:rsidRPr="00FA0142" w:rsidRDefault="00B135A3">
            <w:pPr>
              <w:jc w:val="right"/>
              <w:rPr>
                <w:sz w:val="22"/>
                <w:szCs w:val="22"/>
              </w:rPr>
            </w:pPr>
            <w:r w:rsidRPr="00FA0142">
              <w:rPr>
                <w:sz w:val="22"/>
                <w:szCs w:val="22"/>
              </w:rPr>
              <w:t>Habitat Degradation (unitless)</w:t>
            </w:r>
          </w:p>
        </w:tc>
        <w:tc>
          <w:tcPr>
            <w:tcW w:w="741" w:type="pct"/>
            <w:vAlign w:val="center"/>
          </w:tcPr>
          <w:p w14:paraId="7405BF6B" w14:textId="77777777" w:rsidR="00B135A3" w:rsidRPr="00FA0142" w:rsidRDefault="00B135A3">
            <w:pPr>
              <w:jc w:val="center"/>
              <w:rPr>
                <w:sz w:val="22"/>
                <w:szCs w:val="22"/>
              </w:rPr>
            </w:pPr>
            <w:r w:rsidRPr="00FA0142">
              <w:rPr>
                <w:sz w:val="22"/>
                <w:szCs w:val="22"/>
              </w:rPr>
              <w:t xml:space="preserve">&gt; 150 </w:t>
            </w:r>
          </w:p>
        </w:tc>
        <w:tc>
          <w:tcPr>
            <w:tcW w:w="0" w:type="auto"/>
            <w:vAlign w:val="center"/>
          </w:tcPr>
          <w:p w14:paraId="1B8D5200" w14:textId="77777777" w:rsidR="00B135A3" w:rsidRPr="00FA0142" w:rsidRDefault="00B135A3">
            <w:pPr>
              <w:jc w:val="center"/>
              <w:rPr>
                <w:sz w:val="22"/>
                <w:szCs w:val="22"/>
              </w:rPr>
            </w:pPr>
            <w:r>
              <w:rPr>
                <w:sz w:val="22"/>
                <w:szCs w:val="22"/>
              </w:rPr>
              <w:t>&lt;</w:t>
            </w:r>
            <w:r w:rsidRPr="00FA0142">
              <w:rPr>
                <w:sz w:val="22"/>
                <w:szCs w:val="22"/>
              </w:rPr>
              <w:t>120</w:t>
            </w:r>
          </w:p>
        </w:tc>
        <w:tc>
          <w:tcPr>
            <w:tcW w:w="0" w:type="auto"/>
            <w:vAlign w:val="center"/>
          </w:tcPr>
          <w:p w14:paraId="178F93A8" w14:textId="77777777" w:rsidR="00B135A3" w:rsidRPr="00FA0142" w:rsidRDefault="00B135A3">
            <w:pPr>
              <w:jc w:val="center"/>
              <w:rPr>
                <w:sz w:val="22"/>
                <w:szCs w:val="22"/>
              </w:rPr>
            </w:pPr>
            <w:r w:rsidRPr="00FA0142">
              <w:rPr>
                <w:sz w:val="22"/>
                <w:szCs w:val="22"/>
              </w:rPr>
              <w:t>(USEPA 1999)</w:t>
            </w:r>
          </w:p>
        </w:tc>
      </w:tr>
      <w:tr w:rsidR="00B135A3" w14:paraId="4A75E715" w14:textId="77777777">
        <w:trPr>
          <w:trHeight w:val="360"/>
        </w:trPr>
        <w:tc>
          <w:tcPr>
            <w:tcW w:w="2115" w:type="pct"/>
            <w:vAlign w:val="center"/>
          </w:tcPr>
          <w:p w14:paraId="4691934D" w14:textId="77777777" w:rsidR="00B135A3" w:rsidRPr="00FA0142" w:rsidRDefault="00B135A3">
            <w:pPr>
              <w:jc w:val="right"/>
              <w:rPr>
                <w:sz w:val="22"/>
                <w:szCs w:val="22"/>
              </w:rPr>
            </w:pPr>
            <w:r w:rsidRPr="00FA0142">
              <w:rPr>
                <w:sz w:val="22"/>
                <w:szCs w:val="22"/>
              </w:rPr>
              <w:t>Streambed Sedimentation (unitless)</w:t>
            </w:r>
          </w:p>
        </w:tc>
        <w:tc>
          <w:tcPr>
            <w:tcW w:w="741" w:type="pct"/>
            <w:vAlign w:val="center"/>
          </w:tcPr>
          <w:p w14:paraId="59CCBB13" w14:textId="77777777" w:rsidR="00B135A3" w:rsidRPr="00FA0142" w:rsidRDefault="00B135A3">
            <w:pPr>
              <w:jc w:val="center"/>
              <w:rPr>
                <w:sz w:val="22"/>
                <w:szCs w:val="22"/>
              </w:rPr>
            </w:pPr>
            <w:r w:rsidRPr="00FA0142">
              <w:rPr>
                <w:sz w:val="22"/>
                <w:szCs w:val="22"/>
              </w:rPr>
              <w:t>-0.5 to 0.5</w:t>
            </w:r>
          </w:p>
        </w:tc>
        <w:tc>
          <w:tcPr>
            <w:tcW w:w="0" w:type="auto"/>
            <w:vAlign w:val="center"/>
          </w:tcPr>
          <w:p w14:paraId="1E31BA65" w14:textId="77777777" w:rsidR="00B135A3" w:rsidRPr="00FA0142" w:rsidRDefault="00B135A3">
            <w:pPr>
              <w:jc w:val="center"/>
              <w:rPr>
                <w:sz w:val="22"/>
                <w:szCs w:val="22"/>
              </w:rPr>
            </w:pPr>
            <w:r w:rsidRPr="00FA0142">
              <w:rPr>
                <w:sz w:val="22"/>
                <w:szCs w:val="22"/>
              </w:rPr>
              <w:t>&lt; -1.0</w:t>
            </w:r>
          </w:p>
        </w:tc>
        <w:tc>
          <w:tcPr>
            <w:tcW w:w="0" w:type="auto"/>
            <w:vAlign w:val="center"/>
          </w:tcPr>
          <w:p w14:paraId="74C87D25" w14:textId="77777777" w:rsidR="00B135A3" w:rsidRPr="00FA0142" w:rsidRDefault="00B135A3">
            <w:pPr>
              <w:jc w:val="center"/>
              <w:rPr>
                <w:sz w:val="22"/>
                <w:szCs w:val="22"/>
              </w:rPr>
            </w:pPr>
            <w:r w:rsidRPr="00FA0142">
              <w:rPr>
                <w:sz w:val="22"/>
                <w:szCs w:val="22"/>
              </w:rPr>
              <w:t>(Kaufmann 1999)</w:t>
            </w:r>
          </w:p>
        </w:tc>
      </w:tr>
      <w:tr w:rsidR="00B135A3" w14:paraId="7652FE6E" w14:textId="77777777">
        <w:trPr>
          <w:trHeight w:val="360"/>
        </w:trPr>
        <w:tc>
          <w:tcPr>
            <w:tcW w:w="2115" w:type="pct"/>
            <w:vAlign w:val="center"/>
          </w:tcPr>
          <w:p w14:paraId="282EE72C" w14:textId="77777777" w:rsidR="00B135A3" w:rsidRPr="00FA0142" w:rsidRDefault="00B135A3">
            <w:pPr>
              <w:jc w:val="right"/>
              <w:rPr>
                <w:sz w:val="22"/>
                <w:szCs w:val="22"/>
              </w:rPr>
            </w:pPr>
            <w:r w:rsidRPr="00FA0142">
              <w:rPr>
                <w:sz w:val="22"/>
                <w:szCs w:val="22"/>
              </w:rPr>
              <w:t>Ionic Strength (TDS mg/L)</w:t>
            </w:r>
          </w:p>
        </w:tc>
        <w:tc>
          <w:tcPr>
            <w:tcW w:w="741" w:type="pct"/>
            <w:vAlign w:val="center"/>
          </w:tcPr>
          <w:p w14:paraId="2A6754F5" w14:textId="77777777" w:rsidR="00B135A3" w:rsidRPr="00FA0142" w:rsidRDefault="00B135A3">
            <w:pPr>
              <w:jc w:val="center"/>
              <w:rPr>
                <w:sz w:val="22"/>
                <w:szCs w:val="22"/>
              </w:rPr>
            </w:pPr>
            <w:r w:rsidRPr="00FA0142">
              <w:rPr>
                <w:sz w:val="22"/>
                <w:szCs w:val="22"/>
              </w:rPr>
              <w:t xml:space="preserve">&lt; 100 </w:t>
            </w:r>
          </w:p>
        </w:tc>
        <w:tc>
          <w:tcPr>
            <w:tcW w:w="0" w:type="auto"/>
            <w:vAlign w:val="center"/>
          </w:tcPr>
          <w:p w14:paraId="593309E7" w14:textId="77777777" w:rsidR="00B135A3" w:rsidRPr="00FA0142" w:rsidRDefault="00B135A3">
            <w:pPr>
              <w:jc w:val="center"/>
              <w:rPr>
                <w:sz w:val="22"/>
                <w:szCs w:val="22"/>
              </w:rPr>
            </w:pPr>
            <w:r>
              <w:rPr>
                <w:sz w:val="22"/>
                <w:szCs w:val="22"/>
              </w:rPr>
              <w:t>&gt;</w:t>
            </w:r>
            <w:r w:rsidRPr="00FA0142">
              <w:rPr>
                <w:sz w:val="22"/>
                <w:szCs w:val="22"/>
              </w:rPr>
              <w:t>350</w:t>
            </w:r>
          </w:p>
        </w:tc>
        <w:tc>
          <w:tcPr>
            <w:tcW w:w="0" w:type="auto"/>
            <w:vAlign w:val="center"/>
          </w:tcPr>
          <w:p w14:paraId="160FC706" w14:textId="77777777" w:rsidR="00B135A3" w:rsidRPr="00FA0142" w:rsidRDefault="00B135A3">
            <w:pPr>
              <w:jc w:val="center"/>
              <w:rPr>
                <w:sz w:val="22"/>
                <w:szCs w:val="22"/>
              </w:rPr>
            </w:pPr>
            <w:r w:rsidRPr="00FA0142">
              <w:rPr>
                <w:sz w:val="22"/>
                <w:szCs w:val="22"/>
              </w:rPr>
              <w:t>(DEQ 2006b)</w:t>
            </w:r>
          </w:p>
        </w:tc>
      </w:tr>
      <w:tr w:rsidR="00B135A3" w14:paraId="2A3D4C80" w14:textId="77777777">
        <w:trPr>
          <w:trHeight w:val="360"/>
        </w:trPr>
        <w:tc>
          <w:tcPr>
            <w:tcW w:w="2115" w:type="pct"/>
            <w:tcBorders>
              <w:bottom w:val="single" w:sz="12" w:space="0" w:color="auto"/>
            </w:tcBorders>
            <w:vAlign w:val="center"/>
          </w:tcPr>
          <w:p w14:paraId="68F7A636" w14:textId="77777777" w:rsidR="00B135A3" w:rsidRPr="00FA0142" w:rsidRDefault="00B135A3">
            <w:pPr>
              <w:jc w:val="right"/>
              <w:rPr>
                <w:sz w:val="22"/>
                <w:szCs w:val="22"/>
              </w:rPr>
            </w:pPr>
            <w:r w:rsidRPr="00FA0142">
              <w:rPr>
                <w:sz w:val="22"/>
                <w:szCs w:val="22"/>
              </w:rPr>
              <w:t>Cumulative Dissolved Metals (unitless)</w:t>
            </w:r>
          </w:p>
        </w:tc>
        <w:tc>
          <w:tcPr>
            <w:tcW w:w="741" w:type="pct"/>
            <w:tcBorders>
              <w:bottom w:val="single" w:sz="12" w:space="0" w:color="auto"/>
            </w:tcBorders>
            <w:vAlign w:val="center"/>
          </w:tcPr>
          <w:p w14:paraId="7FB06751" w14:textId="77777777" w:rsidR="00B135A3" w:rsidRPr="00FA0142" w:rsidRDefault="00B135A3">
            <w:pPr>
              <w:jc w:val="center"/>
              <w:rPr>
                <w:sz w:val="22"/>
                <w:szCs w:val="22"/>
              </w:rPr>
            </w:pPr>
            <w:r w:rsidRPr="00FA0142">
              <w:rPr>
                <w:sz w:val="22"/>
                <w:szCs w:val="22"/>
              </w:rPr>
              <w:t>&lt; 1</w:t>
            </w:r>
          </w:p>
        </w:tc>
        <w:tc>
          <w:tcPr>
            <w:tcW w:w="0" w:type="auto"/>
            <w:tcBorders>
              <w:bottom w:val="single" w:sz="12" w:space="0" w:color="auto"/>
            </w:tcBorders>
            <w:vAlign w:val="center"/>
          </w:tcPr>
          <w:p w14:paraId="2D787860" w14:textId="77777777" w:rsidR="00B135A3" w:rsidRPr="00FA0142" w:rsidRDefault="00B135A3">
            <w:pPr>
              <w:jc w:val="center"/>
              <w:rPr>
                <w:sz w:val="22"/>
                <w:szCs w:val="22"/>
              </w:rPr>
            </w:pPr>
            <w:r w:rsidRPr="00FA0142">
              <w:rPr>
                <w:sz w:val="22"/>
                <w:szCs w:val="22"/>
              </w:rPr>
              <w:t>&gt; 2</w:t>
            </w:r>
          </w:p>
        </w:tc>
        <w:tc>
          <w:tcPr>
            <w:tcW w:w="0" w:type="auto"/>
            <w:tcBorders>
              <w:bottom w:val="single" w:sz="12" w:space="0" w:color="auto"/>
            </w:tcBorders>
            <w:vAlign w:val="center"/>
          </w:tcPr>
          <w:p w14:paraId="01AECEB9" w14:textId="77777777" w:rsidR="00B135A3" w:rsidRPr="00FA0142" w:rsidRDefault="00B135A3">
            <w:pPr>
              <w:jc w:val="center"/>
              <w:rPr>
                <w:sz w:val="22"/>
                <w:szCs w:val="22"/>
              </w:rPr>
            </w:pPr>
            <w:r w:rsidRPr="00FA0142">
              <w:rPr>
                <w:sz w:val="22"/>
                <w:szCs w:val="22"/>
              </w:rPr>
              <w:t>(Clements 2000)</w:t>
            </w:r>
          </w:p>
        </w:tc>
      </w:tr>
    </w:tbl>
    <w:p w14:paraId="0CAC944F" w14:textId="77777777" w:rsidR="00B135A3" w:rsidRPr="00307D28" w:rsidRDefault="00B135A3" w:rsidP="00B135A3">
      <w:pPr>
        <w:rPr>
          <w:snapToGrid/>
        </w:rPr>
      </w:pPr>
    </w:p>
    <w:p w14:paraId="53C261F5"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In the following analyses, water quality parameters without numeric water quality criteria are presented using bar plots and </w:t>
      </w:r>
      <w:proofErr w:type="spellStart"/>
      <w:r w:rsidRPr="00307D28">
        <w:rPr>
          <w:rFonts w:eastAsia="Cambria" w:cstheme="minorHAnsi"/>
          <w:snapToGrid/>
          <w:szCs w:val="24"/>
        </w:rPr>
        <w:t>micromaps</w:t>
      </w:r>
      <w:proofErr w:type="spellEnd"/>
      <w:r w:rsidRPr="00307D28">
        <w:rPr>
          <w:rFonts w:eastAsia="Cambria" w:cstheme="minorHAnsi"/>
          <w:snapToGrid/>
          <w:szCs w:val="24"/>
        </w:rPr>
        <w:t xml:space="preserve">. </w:t>
      </w:r>
      <w:proofErr w:type="gramStart"/>
      <w:r w:rsidRPr="00307D28">
        <w:rPr>
          <w:rFonts w:eastAsia="Cambria" w:cstheme="minorHAnsi"/>
          <w:snapToGrid/>
          <w:szCs w:val="24"/>
        </w:rPr>
        <w:t>Similar to</w:t>
      </w:r>
      <w:proofErr w:type="gramEnd"/>
      <w:r w:rsidRPr="00307D28">
        <w:rPr>
          <w:rFonts w:eastAsia="Cambria" w:cstheme="minorHAnsi"/>
          <w:snapToGrid/>
          <w:szCs w:val="24"/>
        </w:rPr>
        <w:t xml:space="preserve"> previous Integrated Reports, the bar plots represent estimates drawn from data in the 2024 assessment window (2017 - 2022). The </w:t>
      </w:r>
      <w:proofErr w:type="spellStart"/>
      <w:r w:rsidRPr="00307D28">
        <w:rPr>
          <w:rFonts w:eastAsia="Cambria" w:cstheme="minorHAnsi"/>
          <w:snapToGrid/>
          <w:szCs w:val="24"/>
        </w:rPr>
        <w:t>micromaps</w:t>
      </w:r>
      <w:proofErr w:type="spellEnd"/>
      <w:r w:rsidRPr="00307D28">
        <w:rPr>
          <w:rFonts w:eastAsia="Cambria" w:cstheme="minorHAnsi"/>
          <w:snapToGrid/>
          <w:szCs w:val="24"/>
        </w:rPr>
        <w:t xml:space="preserve"> use data from the entire probabilistic monitoring dataset (2001 - 2022) to present parameter estimates that are representative at a basin-specific scale. Thus, Virginia stream mile estimates are not identical between the </w:t>
      </w:r>
      <w:proofErr w:type="spellStart"/>
      <w:r w:rsidRPr="00307D28">
        <w:rPr>
          <w:rFonts w:eastAsia="Cambria" w:cstheme="minorHAnsi"/>
          <w:snapToGrid/>
          <w:szCs w:val="24"/>
        </w:rPr>
        <w:t>micromap</w:t>
      </w:r>
      <w:proofErr w:type="spellEnd"/>
      <w:r w:rsidRPr="00307D28">
        <w:rPr>
          <w:rFonts w:eastAsia="Cambria" w:cstheme="minorHAnsi"/>
          <w:snapToGrid/>
          <w:szCs w:val="24"/>
        </w:rPr>
        <w:t xml:space="preserve"> and bar plot examples. The </w:t>
      </w:r>
      <w:proofErr w:type="spellStart"/>
      <w:r w:rsidRPr="00307D28">
        <w:rPr>
          <w:rFonts w:eastAsia="Cambria" w:cstheme="minorHAnsi"/>
          <w:snapToGrid/>
          <w:szCs w:val="24"/>
        </w:rPr>
        <w:t>micromaps</w:t>
      </w:r>
      <w:proofErr w:type="spellEnd"/>
      <w:r w:rsidRPr="00307D28">
        <w:rPr>
          <w:rFonts w:eastAsia="Cambria" w:cstheme="minorHAnsi"/>
          <w:snapToGrid/>
          <w:szCs w:val="24"/>
        </w:rPr>
        <w:t xml:space="preserve"> intend to highlight the extent to which these parameters affect major river basins across Virginia as well as the extent of stream miles categorized as suboptimal by distinct stressors. Because the same scale (percent of stream miles) is used across all the following </w:t>
      </w:r>
      <w:proofErr w:type="spellStart"/>
      <w:r w:rsidRPr="00307D28">
        <w:rPr>
          <w:rFonts w:eastAsia="Cambria" w:cstheme="minorHAnsi"/>
          <w:snapToGrid/>
          <w:szCs w:val="24"/>
        </w:rPr>
        <w:t>micromaps</w:t>
      </w:r>
      <w:proofErr w:type="spellEnd"/>
      <w:r w:rsidRPr="00307D28">
        <w:rPr>
          <w:rFonts w:eastAsia="Cambria" w:cstheme="minorHAnsi"/>
          <w:snapToGrid/>
          <w:szCs w:val="24"/>
        </w:rPr>
        <w:t>, one can efficiently compare the degree to which different parameters influence the percent of suboptimal stream miles across Virginia’s river basins.</w:t>
      </w:r>
    </w:p>
    <w:p w14:paraId="6334C3E0" w14:textId="77777777" w:rsidR="00B135A3" w:rsidRDefault="00B135A3" w:rsidP="00B135A3">
      <w:pPr>
        <w:widowControl/>
        <w:rPr>
          <w:rFonts w:eastAsia="Cambria" w:cstheme="minorHAnsi"/>
          <w:snapToGrid/>
          <w:szCs w:val="24"/>
        </w:rPr>
      </w:pPr>
    </w:p>
    <w:p w14:paraId="7A4B5A56" w14:textId="77777777" w:rsidR="00B135A3" w:rsidRDefault="00B135A3" w:rsidP="00B135A3">
      <w:pPr>
        <w:rPr>
          <w:rFonts w:eastAsia="Cambria"/>
          <w:snapToGrid/>
        </w:rPr>
      </w:pPr>
      <w:r w:rsidRPr="00307D28">
        <w:rPr>
          <w:rFonts w:eastAsia="Cambria"/>
          <w:snapToGrid/>
        </w:rPr>
        <w:t xml:space="preserve">The biological information presented in the </w:t>
      </w:r>
      <w:proofErr w:type="spellStart"/>
      <w:r w:rsidRPr="00307D28">
        <w:rPr>
          <w:rFonts w:eastAsia="Cambria"/>
          <w:snapToGrid/>
        </w:rPr>
        <w:t>micromap</w:t>
      </w:r>
      <w:proofErr w:type="spellEnd"/>
      <w:r w:rsidRPr="00307D28">
        <w:rPr>
          <w:rFonts w:eastAsia="Cambria"/>
          <w:snapToGrid/>
        </w:rPr>
        <w:t xml:space="preserve"> beside each parameter is not intended to explain the biological impact that any one parameter imparts on a particular river basin</w:t>
      </w:r>
      <w:r w:rsidRPr="00307D28">
        <w:rPr>
          <w:rFonts w:eastAsia="Cambria"/>
          <w:snapToGrid/>
          <w:vertAlign w:val="superscript"/>
        </w:rPr>
        <w:footnoteReference w:id="6"/>
      </w:r>
      <w:r w:rsidRPr="00307D28">
        <w:rPr>
          <w:rFonts w:eastAsia="Cambria"/>
          <w:snapToGrid/>
        </w:rPr>
        <w:t xml:space="preserve">. </w:t>
      </w:r>
      <w:proofErr w:type="spellStart"/>
      <w:r w:rsidRPr="00307D28">
        <w:rPr>
          <w:rFonts w:eastAsia="Cambria"/>
          <w:snapToGrid/>
        </w:rPr>
        <w:t>Micromaps</w:t>
      </w:r>
      <w:proofErr w:type="spellEnd"/>
      <w:r w:rsidRPr="00307D28">
        <w:rPr>
          <w:rFonts w:eastAsia="Cambria"/>
          <w:snapToGrid/>
        </w:rPr>
        <w:t xml:space="preserve"> aid in visualization of spatial patterns of these potential stressors across basins in the Commonwealth. Visualizing potential individual stressors alongside biological condition with </w:t>
      </w:r>
      <w:proofErr w:type="spellStart"/>
      <w:r w:rsidRPr="00307D28">
        <w:rPr>
          <w:rFonts w:eastAsia="Cambria"/>
          <w:snapToGrid/>
        </w:rPr>
        <w:t>micromaps</w:t>
      </w:r>
      <w:proofErr w:type="spellEnd"/>
      <w:r w:rsidRPr="00307D28">
        <w:rPr>
          <w:rFonts w:eastAsia="Cambria"/>
          <w:snapToGrid/>
        </w:rPr>
        <w:t xml:space="preserve"> helps identify stressors that may impart a stronger influence on aquatic life relative to other basins. To accentuate these storylines, basins are ranked based on the relative </w:t>
      </w:r>
      <w:proofErr w:type="gramStart"/>
      <w:r w:rsidRPr="00307D28">
        <w:rPr>
          <w:rFonts w:eastAsia="Cambria"/>
          <w:snapToGrid/>
        </w:rPr>
        <w:t>percent</w:t>
      </w:r>
      <w:proofErr w:type="gramEnd"/>
      <w:r w:rsidRPr="00307D28">
        <w:rPr>
          <w:rFonts w:eastAsia="Cambria"/>
          <w:snapToGrid/>
        </w:rPr>
        <w:t xml:space="preserve"> of stream miles that fall into the suboptimal category for each non-regulated parameter. Accordingly, a basin with the highest rank (1) will have the most suboptimal stream miles for a particular stressor while a basin with the lowest rank (11) will have the least suboptimal stream miles for that respective parameter, relative to other basins statewide. Fewer suboptimal stream miles indicate a particular stressor is less likely to have widespread influence on benthic communities within a particular basin. Overlapping 95% confidence intervals decrease the certainty regarding the relative rankings of basins. For example, the exact rankings of basins 1-10, ranked based on habitat disturbance in Figure 4.4-13, are relatively uncertain because the confidence intervals mostly overlap. Non-overlapping </w:t>
      </w:r>
      <w:r w:rsidRPr="00307D28">
        <w:rPr>
          <w:rFonts w:eastAsia="Cambria"/>
          <w:snapToGrid/>
        </w:rPr>
        <w:lastRenderedPageBreak/>
        <w:t xml:space="preserve">confidence intervals of the lowest ranking (11) and highest ranking (1) basins for most stressors reinforce the significant differences among basins at either end of the ranking scale. The </w:t>
      </w:r>
      <w:proofErr w:type="spellStart"/>
      <w:r w:rsidRPr="00307D28">
        <w:rPr>
          <w:rFonts w:eastAsia="Cambria"/>
          <w:snapToGrid/>
        </w:rPr>
        <w:t>micromaps</w:t>
      </w:r>
      <w:proofErr w:type="spellEnd"/>
      <w:r w:rsidRPr="00307D28">
        <w:rPr>
          <w:rFonts w:eastAsia="Cambria"/>
          <w:snapToGrid/>
        </w:rPr>
        <w:t xml:space="preserve"> summarize biological and stressor data over a 22-year period at a basin scale. However, it should be noted that the co-occurrence of stream miles below the biological impairment threshold and stream miles below a suboptimal screening value for a potential stressor does not necessarily suggest a causative relationship. Stressors impacting the benthic community at a targeted location must be evaluated using a site-specific stressor analysis to address an identified benthic impairment during the development of Total Maximum Daily Loads.</w:t>
      </w:r>
    </w:p>
    <w:p w14:paraId="37D5A003" w14:textId="77777777" w:rsidR="00B135A3" w:rsidRPr="00307D28" w:rsidRDefault="00B135A3" w:rsidP="00B135A3">
      <w:pPr>
        <w:rPr>
          <w:rFonts w:eastAsia="Cambria"/>
          <w:snapToGrid/>
        </w:rPr>
      </w:pPr>
    </w:p>
    <w:p w14:paraId="196855DB" w14:textId="077565FC" w:rsidR="00B135A3" w:rsidRPr="00E654C5" w:rsidRDefault="00B135A3" w:rsidP="00B135A3">
      <w:r w:rsidRPr="00307D28">
        <w:rPr>
          <w:rFonts w:eastAsia="Cambria"/>
          <w:snapToGrid/>
        </w:rPr>
        <w:t xml:space="preserve">At the end of the section, these results are summarized with a heatmap (Figure 4.4-24) that highlights the highest-ranking basins for each potential stressor using darker colors. As the relative ranking decreases, indicating fewer suboptimal stream miles, the corresponding color shade lightens. This </w:t>
      </w:r>
      <w:proofErr w:type="gramStart"/>
      <w:r w:rsidRPr="00307D28">
        <w:rPr>
          <w:rFonts w:eastAsia="Cambria"/>
          <w:snapToGrid/>
        </w:rPr>
        <w:t>schema</w:t>
      </w:r>
      <w:proofErr w:type="gramEnd"/>
      <w:r w:rsidRPr="00307D28">
        <w:rPr>
          <w:rFonts w:eastAsia="Cambria"/>
          <w:snapToGrid/>
        </w:rPr>
        <w:t xml:space="preserve"> enables </w:t>
      </w:r>
      <w:r w:rsidR="000C1306" w:rsidRPr="00307D28">
        <w:rPr>
          <w:rFonts w:eastAsia="Cambria"/>
          <w:snapToGrid/>
        </w:rPr>
        <w:t>the identification</w:t>
      </w:r>
      <w:r w:rsidRPr="00307D28">
        <w:rPr>
          <w:rFonts w:eastAsia="Cambria"/>
          <w:snapToGrid/>
        </w:rPr>
        <w:t xml:space="preserve"> of basins where multiple potential stressors exist versus basins with fewer potential stressors. The heatmap illustrates the prevalence of various potential stressors with respect to aquatic communities. By looking at the shading and relative rank assigned to each potential stressor in the basin column, one can visualize what potential stressors, or combinations of stressors, may have been negatively impacting aquatic communities over the 22-year data window. As stated above, these maps do not present conclusions about the probable stressors in specific waterbodies with benthic impairments, i.e., </w:t>
      </w:r>
      <w:proofErr w:type="gramStart"/>
      <w:r w:rsidRPr="00307D28">
        <w:rPr>
          <w:rFonts w:eastAsia="Cambria"/>
          <w:snapToGrid/>
        </w:rPr>
        <w:t>waters not supporting</w:t>
      </w:r>
      <w:proofErr w:type="gramEnd"/>
      <w:r w:rsidRPr="00307D28">
        <w:rPr>
          <w:rFonts w:eastAsia="Cambria"/>
          <w:snapToGrid/>
        </w:rPr>
        <w:t xml:space="preserve"> the aquatic life use.</w:t>
      </w:r>
      <w:r>
        <w:rPr>
          <w:b/>
          <w:iCs/>
          <w:snapToGrid/>
        </w:rPr>
        <w:br/>
      </w:r>
    </w:p>
    <w:p w14:paraId="52B25FF7" w14:textId="77777777" w:rsidR="00B135A3" w:rsidRPr="00E654C5" w:rsidRDefault="00B135A3" w:rsidP="00B135A3">
      <w:pPr>
        <w:pStyle w:val="Heading4"/>
      </w:pPr>
      <w:r>
        <w:t>Habitat Disturbance</w:t>
      </w:r>
    </w:p>
    <w:p w14:paraId="2018636B" w14:textId="77777777" w:rsidR="00B135A3" w:rsidRDefault="00B135A3" w:rsidP="00B135A3">
      <w:pPr>
        <w:widowControl/>
        <w:rPr>
          <w:rFonts w:eastAsia="Cambria" w:cstheme="minorHAnsi"/>
          <w:snapToGrid/>
          <w:szCs w:val="24"/>
        </w:rPr>
      </w:pPr>
      <w:r w:rsidRPr="00307D28">
        <w:rPr>
          <w:rFonts w:eastAsia="Cambria" w:cstheme="minorHAnsi"/>
          <w:snapToGrid/>
          <w:szCs w:val="24"/>
        </w:rPr>
        <w:t>Habitat is the area or environment where an organism resides, including its living and non-living surroundings. Fish, aquatic insects, and plants have specific habitat requirements to thrive, so in-stream and riparian (</w:t>
      </w:r>
      <w:r>
        <w:rPr>
          <w:rFonts w:eastAsia="Cambria" w:cstheme="minorHAnsi"/>
          <w:snapToGrid/>
          <w:szCs w:val="24"/>
        </w:rPr>
        <w:t>edge and</w:t>
      </w:r>
      <w:r w:rsidRPr="00307D28">
        <w:rPr>
          <w:rFonts w:eastAsia="Cambria" w:cstheme="minorHAnsi"/>
          <w:snapToGrid/>
          <w:szCs w:val="24"/>
        </w:rPr>
        <w:t xml:space="preserve"> bank) habitats are evaluated when a biomonitoring sample is collected. Because different organisms have specific habitat requirements, a variety of available habitat types in a stream or river will support a diverse aquatic community. Habitat is scored by the Rapid Bioassessment Protocol (RBP), which is a qualitative evaluation of ten habitat parameters summed together (total scores range from 0 to 200) (EPA 1999). Habitat scores above 150 indicate habitat conditions favorable for supporting a healthy aquatic community and are considered optimal. Scores lower than 120 are considered suboptimal and scores between 120 and 150 are fair (EPA 1999). Habitat disturbance is frequently identified in benthic TMDL stressor analyses as a potential or probable stressor. As indicated in Figure 4.4-12, DEQ estimates that just under 33% of stream and river miles have </w:t>
      </w:r>
      <w:proofErr w:type="gramStart"/>
      <w:r w:rsidRPr="00307D28">
        <w:rPr>
          <w:rFonts w:eastAsia="Cambria" w:cstheme="minorHAnsi"/>
          <w:snapToGrid/>
          <w:szCs w:val="24"/>
        </w:rPr>
        <w:t>available</w:t>
      </w:r>
      <w:proofErr w:type="gramEnd"/>
      <w:r w:rsidRPr="00307D28">
        <w:rPr>
          <w:rFonts w:eastAsia="Cambria" w:cstheme="minorHAnsi"/>
          <w:snapToGrid/>
          <w:szCs w:val="24"/>
        </w:rPr>
        <w:t xml:space="preserve"> habitat that is considered optimal.</w:t>
      </w:r>
    </w:p>
    <w:p w14:paraId="62AACDCB" w14:textId="77777777" w:rsidR="00B135A3" w:rsidRPr="00910156" w:rsidRDefault="00B135A3" w:rsidP="00B135A3">
      <w:pPr>
        <w:widowControl/>
        <w:rPr>
          <w:b/>
          <w:iCs/>
          <w:snapToGrid/>
        </w:rPr>
      </w:pPr>
    </w:p>
    <w:p w14:paraId="4DA5E15A" w14:textId="77777777" w:rsidR="00B135A3" w:rsidRDefault="00B135A3" w:rsidP="00B135A3">
      <w:pPr>
        <w:keepNext/>
        <w:widowControl/>
        <w:spacing w:before="180" w:after="180"/>
      </w:pPr>
      <w:r w:rsidRPr="00307D28">
        <w:rPr>
          <w:rFonts w:eastAsia="Cambria" w:cstheme="minorHAnsi"/>
          <w:noProof/>
          <w:snapToGrid/>
          <w:szCs w:val="24"/>
        </w:rPr>
        <w:lastRenderedPageBreak/>
        <w:drawing>
          <wp:inline distT="0" distB="0" distL="0" distR="0" wp14:anchorId="401A1EAF" wp14:editId="45180793">
            <wp:extent cx="2772075" cy="2079056"/>
            <wp:effectExtent l="0" t="0" r="0" b="0"/>
            <wp:docPr id="1617260126" name="Picture 1617260126" descr="Estimate of habitat condition in Virginia streams and rivers and associated 95% confidence interval. Data presented is from 2017 - 2022 (n = 238)."/>
            <wp:cNvGraphicFramePr/>
            <a:graphic xmlns:a="http://schemas.openxmlformats.org/drawingml/2006/main">
              <a:graphicData uri="http://schemas.openxmlformats.org/drawingml/2006/picture">
                <pic:pic xmlns:pic="http://schemas.openxmlformats.org/drawingml/2006/picture">
                  <pic:nvPicPr>
                    <pic:cNvPr id="13" name="Picture" descr="Estimate of habitat condition in Virginia streams and rivers and associated 95% confidence interval. Data presented is from 2017 - 2022 (n = 238)."/>
                    <pic:cNvPicPr>
                      <a:picLocks noChangeAspect="1" noChangeArrowheads="1"/>
                    </pic:cNvPicPr>
                  </pic:nvPicPr>
                  <pic:blipFill>
                    <a:blip r:embed="rId185"/>
                    <a:stretch>
                      <a:fillRect/>
                    </a:stretch>
                  </pic:blipFill>
                  <pic:spPr bwMode="auto">
                    <a:xfrm>
                      <a:off x="0" y="0"/>
                      <a:ext cx="2772075" cy="2079056"/>
                    </a:xfrm>
                    <a:prstGeom prst="rect">
                      <a:avLst/>
                    </a:prstGeom>
                    <a:noFill/>
                    <a:ln w="9525">
                      <a:noFill/>
                      <a:headEnd/>
                      <a:tailEnd/>
                    </a:ln>
                  </pic:spPr>
                </pic:pic>
              </a:graphicData>
            </a:graphic>
          </wp:inline>
        </w:drawing>
      </w:r>
    </w:p>
    <w:p w14:paraId="6FC31627" w14:textId="0F601A3D" w:rsidR="00CF6A3F" w:rsidRPr="0062574F" w:rsidRDefault="00B135A3" w:rsidP="0A5BE548">
      <w:pPr>
        <w:pStyle w:val="Caption"/>
        <w:jc w:val="both"/>
        <w:rPr>
          <w:rFonts w:cstheme="minorBidi"/>
          <w:snapToGrid/>
        </w:rPr>
      </w:pPr>
      <w:bookmarkStart w:id="203" w:name="_Toc164175098"/>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12</w:t>
      </w:r>
      <w:r w:rsidR="004F13BA">
        <w:rPr>
          <w:noProof/>
        </w:rPr>
        <w:fldChar w:fldCharType="end"/>
      </w:r>
      <w:r>
        <w:t xml:space="preserve">. </w:t>
      </w:r>
      <w:r w:rsidRPr="0A5BE548">
        <w:rPr>
          <w:rFonts w:cstheme="minorBidi"/>
          <w:snapToGrid/>
        </w:rPr>
        <w:t xml:space="preserve">Estimate of habitat </w:t>
      </w:r>
      <w:proofErr w:type="gramStart"/>
      <w:r w:rsidRPr="0A5BE548">
        <w:rPr>
          <w:rFonts w:cstheme="minorBidi"/>
          <w:snapToGrid/>
        </w:rPr>
        <w:t>condition</w:t>
      </w:r>
      <w:proofErr w:type="gramEnd"/>
      <w:r w:rsidRPr="0A5BE548">
        <w:rPr>
          <w:rFonts w:cstheme="minorBidi"/>
          <w:snapToGrid/>
        </w:rPr>
        <w:t xml:space="preserve"> in Virginia streams and rivers</w:t>
      </w:r>
      <w:r w:rsidR="5606E364" w:rsidRPr="0A5BE548">
        <w:rPr>
          <w:rFonts w:cstheme="minorBidi"/>
          <w:snapToGrid/>
        </w:rPr>
        <w:t xml:space="preserve"> </w:t>
      </w:r>
      <w:bookmarkEnd w:id="203"/>
      <w:r w:rsidRPr="0A5BE548">
        <w:rPr>
          <w:rFonts w:cstheme="minorBidi"/>
          <w:snapToGrid/>
        </w:rPr>
        <w:t>and associated 95% confidence interval. Data presented is from 2017 - 2022 (n = 238).</w:t>
      </w:r>
    </w:p>
    <w:p w14:paraId="70CDC8B3" w14:textId="77777777" w:rsidR="000070EF" w:rsidRPr="000070EF" w:rsidRDefault="000070EF" w:rsidP="000070EF"/>
    <w:p w14:paraId="2A35DBEB"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 xml:space="preserve">No distinct spatial clustering appears when </w:t>
      </w:r>
      <w:r>
        <w:rPr>
          <w:rFonts w:eastAsia="Cambria" w:cstheme="minorHAnsi"/>
          <w:snapToGrid/>
          <w:szCs w:val="24"/>
        </w:rPr>
        <w:t>examining</w:t>
      </w:r>
      <w:r w:rsidRPr="00307D28">
        <w:rPr>
          <w:rFonts w:eastAsia="Cambria" w:cstheme="minorHAnsi"/>
          <w:snapToGrid/>
          <w:szCs w:val="24"/>
        </w:rPr>
        <w:t xml:space="preserve"> habitat </w:t>
      </w:r>
      <w:proofErr w:type="gramStart"/>
      <w:r>
        <w:rPr>
          <w:rFonts w:eastAsia="Cambria" w:cstheme="minorHAnsi"/>
          <w:snapToGrid/>
          <w:szCs w:val="24"/>
        </w:rPr>
        <w:t>condition</w:t>
      </w:r>
      <w:proofErr w:type="gramEnd"/>
      <w:r w:rsidRPr="00307D28">
        <w:rPr>
          <w:rFonts w:eastAsia="Cambria" w:cstheme="minorHAnsi"/>
          <w:snapToGrid/>
          <w:szCs w:val="24"/>
        </w:rPr>
        <w:t xml:space="preserve"> with </w:t>
      </w:r>
      <w:proofErr w:type="spellStart"/>
      <w:r w:rsidRPr="00307D28">
        <w:rPr>
          <w:rFonts w:eastAsia="Cambria" w:cstheme="minorHAnsi"/>
          <w:snapToGrid/>
          <w:szCs w:val="24"/>
        </w:rPr>
        <w:t>micromaps</w:t>
      </w:r>
      <w:proofErr w:type="spellEnd"/>
      <w:r w:rsidRPr="00307D28">
        <w:rPr>
          <w:rFonts w:eastAsia="Cambria" w:cstheme="minorHAnsi"/>
          <w:snapToGrid/>
          <w:szCs w:val="24"/>
        </w:rPr>
        <w:t xml:space="preserve">, indicating habitat degradation is a widespread problem across Virginia and is not limited to </w:t>
      </w:r>
      <w:r>
        <w:rPr>
          <w:rFonts w:eastAsia="Cambria" w:cstheme="minorHAnsi"/>
          <w:snapToGrid/>
          <w:szCs w:val="24"/>
        </w:rPr>
        <w:t xml:space="preserve">a </w:t>
      </w:r>
      <w:r w:rsidRPr="00307D28">
        <w:rPr>
          <w:rFonts w:eastAsia="Cambria" w:cstheme="minorHAnsi"/>
          <w:snapToGrid/>
          <w:szCs w:val="24"/>
        </w:rPr>
        <w:t xml:space="preserve">particular river basins or areas in the state (Figure 4.4-13). The left bar plot highlights the estimated percent of stream miles with suboptimal habitat scores, ordered from highest to lowest, with the corresponding statewide estimate of stream miles with suboptimal habitat scores (18.8% for 2001 - 2022) illustrated with a vertical dashed line. The right bar plot shows the percent of stream miles below the biological assessment threshold for each basin, again with the Virginia estimate of stream miles below the biological impairment threshold represented by a dashed vertical line (42.5% for 2001 - 2022). Ranking major river basins by decreasing estimates of habitat alteration, the Rappahannock, New, Potomac, Chowan, Clinch-Powell, and Roanoke River basins </w:t>
      </w:r>
      <w:r>
        <w:rPr>
          <w:rFonts w:eastAsia="Cambria" w:cstheme="minorHAnsi"/>
          <w:snapToGrid/>
          <w:szCs w:val="24"/>
        </w:rPr>
        <w:t>exhibit</w:t>
      </w:r>
      <w:r w:rsidRPr="00307D28">
        <w:rPr>
          <w:rFonts w:eastAsia="Cambria" w:cstheme="minorHAnsi"/>
          <w:snapToGrid/>
          <w:szCs w:val="24"/>
        </w:rPr>
        <w:t xml:space="preserve"> habitat condition</w:t>
      </w:r>
      <w:r>
        <w:rPr>
          <w:rFonts w:eastAsia="Cambria" w:cstheme="minorHAnsi"/>
          <w:snapToGrid/>
          <w:szCs w:val="24"/>
        </w:rPr>
        <w:t>s that rank</w:t>
      </w:r>
      <w:r w:rsidRPr="00307D28">
        <w:rPr>
          <w:rFonts w:eastAsia="Cambria" w:cstheme="minorHAnsi"/>
          <w:snapToGrid/>
          <w:szCs w:val="24"/>
        </w:rPr>
        <w:t xml:space="preserve"> above the statewide </w:t>
      </w:r>
      <w:r>
        <w:rPr>
          <w:rFonts w:eastAsia="Cambria" w:cstheme="minorHAnsi"/>
          <w:snapToGrid/>
          <w:szCs w:val="24"/>
        </w:rPr>
        <w:t>suboptimal condition estimate</w:t>
      </w:r>
      <w:r w:rsidRPr="00307D28">
        <w:rPr>
          <w:rFonts w:eastAsia="Cambria" w:cstheme="minorHAnsi"/>
          <w:snapToGrid/>
          <w:szCs w:val="24"/>
          <w:vertAlign w:val="superscript"/>
        </w:rPr>
        <w:footnoteReference w:id="7"/>
      </w:r>
      <w:r w:rsidRPr="00307D28">
        <w:rPr>
          <w:rFonts w:eastAsia="Cambria" w:cstheme="minorHAnsi"/>
          <w:snapToGrid/>
          <w:szCs w:val="24"/>
        </w:rPr>
        <w:t>.</w:t>
      </w:r>
    </w:p>
    <w:p w14:paraId="6F4282B0" w14:textId="77777777" w:rsidR="00B135A3" w:rsidRDefault="00B135A3" w:rsidP="00B135A3">
      <w:pPr>
        <w:keepNext/>
        <w:widowControl/>
        <w:spacing w:before="180" w:after="180"/>
      </w:pPr>
      <w:r w:rsidRPr="00307D28">
        <w:rPr>
          <w:rFonts w:eastAsia="Cambria" w:cstheme="minorHAnsi"/>
          <w:noProof/>
          <w:snapToGrid/>
          <w:szCs w:val="24"/>
        </w:rPr>
        <w:lastRenderedPageBreak/>
        <w:drawing>
          <wp:inline distT="0" distB="0" distL="0" distR="0" wp14:anchorId="45E770BD" wp14:editId="5ADCD06F">
            <wp:extent cx="5334000" cy="5189837"/>
            <wp:effectExtent l="0" t="0" r="0" b="0"/>
            <wp:docPr id="1511301591" name="Picture 1511301591" descr="Graphic of Percent of stream miles with suboptimal habitat disturbance as measured by RBP habitat. From left to right, the vertical dashed lines represent the percent of stream miles across Virginia with suboptimal habitat disturbance and biologic condition below the assessment threshold, respectively. Data presented is from 2001 - 2022."/>
            <wp:cNvGraphicFramePr/>
            <a:graphic xmlns:a="http://schemas.openxmlformats.org/drawingml/2006/main">
              <a:graphicData uri="http://schemas.openxmlformats.org/drawingml/2006/picture">
                <pic:pic xmlns:pic="http://schemas.openxmlformats.org/drawingml/2006/picture">
                  <pic:nvPicPr>
                    <pic:cNvPr id="14" name="Picture" descr="Graphic of Percent of stream miles with suboptimal habitat disturbance as measured by RBP habitat. From left to right, the vertical dashed lines represent the percent of stream miles across Virginia with suboptimal habitat disturbance and biologic condition below the assessment threshold, respectively. Data presented is from 2001 - 2022."/>
                    <pic:cNvPicPr>
                      <a:picLocks noChangeAspect="1" noChangeArrowheads="1"/>
                    </pic:cNvPicPr>
                  </pic:nvPicPr>
                  <pic:blipFill>
                    <a:blip r:embed="rId186" cstate="screen">
                      <a:extLst>
                        <a:ext uri="{28A0092B-C50C-407E-A947-70E740481C1C}">
                          <a14:useLocalDpi xmlns:a14="http://schemas.microsoft.com/office/drawing/2010/main"/>
                        </a:ext>
                      </a:extLst>
                    </a:blip>
                    <a:stretch>
                      <a:fillRect/>
                    </a:stretch>
                  </pic:blipFill>
                  <pic:spPr bwMode="auto">
                    <a:xfrm>
                      <a:off x="0" y="0"/>
                      <a:ext cx="5334000" cy="5189837"/>
                    </a:xfrm>
                    <a:prstGeom prst="rect">
                      <a:avLst/>
                    </a:prstGeom>
                    <a:noFill/>
                    <a:ln w="9525">
                      <a:noFill/>
                      <a:headEnd/>
                      <a:tailEnd/>
                    </a:ln>
                  </pic:spPr>
                </pic:pic>
              </a:graphicData>
            </a:graphic>
          </wp:inline>
        </w:drawing>
      </w:r>
    </w:p>
    <w:p w14:paraId="5FD15DA4" w14:textId="74DBF717" w:rsidR="00CF6A3F" w:rsidRPr="0062574F" w:rsidRDefault="00B135A3" w:rsidP="0A5BE548">
      <w:pPr>
        <w:pStyle w:val="Caption"/>
        <w:jc w:val="both"/>
        <w:rPr>
          <w:rFonts w:cstheme="minorBidi"/>
          <w:snapToGrid/>
        </w:rPr>
      </w:pPr>
      <w:bookmarkStart w:id="204" w:name="_Toc164175099"/>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13</w:t>
      </w:r>
      <w:r w:rsidR="004F13BA">
        <w:rPr>
          <w:noProof/>
        </w:rPr>
        <w:fldChar w:fldCharType="end"/>
      </w:r>
      <w:r>
        <w:t xml:space="preserve">. </w:t>
      </w:r>
      <w:r w:rsidRPr="0A5BE548">
        <w:rPr>
          <w:rFonts w:cstheme="minorBidi"/>
          <w:snapToGrid/>
        </w:rPr>
        <w:t>Percent of stream miles with suboptimal habitat disturbance</w:t>
      </w:r>
      <w:r w:rsidR="36488066" w:rsidRPr="0A5BE548">
        <w:rPr>
          <w:rFonts w:cstheme="minorBidi"/>
          <w:snapToGrid/>
        </w:rPr>
        <w:t xml:space="preserve"> </w:t>
      </w:r>
      <w:bookmarkEnd w:id="204"/>
      <w:r w:rsidRPr="0A5BE548">
        <w:rPr>
          <w:rFonts w:cstheme="minorBidi"/>
          <w:snapToGrid/>
        </w:rPr>
        <w:t xml:space="preserve">as measured by RBP habitat. From left to right, the vertical dashed lines represent the </w:t>
      </w:r>
      <w:proofErr w:type="gramStart"/>
      <w:r w:rsidRPr="0A5BE548">
        <w:rPr>
          <w:rFonts w:cstheme="minorBidi"/>
          <w:snapToGrid/>
        </w:rPr>
        <w:t>percent</w:t>
      </w:r>
      <w:proofErr w:type="gramEnd"/>
      <w:r w:rsidRPr="0A5BE548">
        <w:rPr>
          <w:rFonts w:cstheme="minorBidi"/>
          <w:snapToGrid/>
        </w:rPr>
        <w:t xml:space="preserve"> of stream miles across Virginia with suboptimal habitat disturbance and biologic condition below the assessment threshold, respectively. </w:t>
      </w:r>
      <w:proofErr w:type="gramStart"/>
      <w:r w:rsidRPr="0A5BE548">
        <w:rPr>
          <w:rFonts w:cstheme="minorBidi"/>
          <w:snapToGrid/>
        </w:rPr>
        <w:t>Data</w:t>
      </w:r>
      <w:proofErr w:type="gramEnd"/>
      <w:r w:rsidRPr="0A5BE548">
        <w:rPr>
          <w:rFonts w:cstheme="minorBidi"/>
          <w:snapToGrid/>
        </w:rPr>
        <w:t xml:space="preserve"> presented is from 2001 - 2022.</w:t>
      </w:r>
    </w:p>
    <w:p w14:paraId="659C7C3E" w14:textId="7E024699" w:rsidR="00B135A3" w:rsidRPr="00AE69F3" w:rsidRDefault="00B135A3" w:rsidP="00C74A47"/>
    <w:p w14:paraId="3F573C5A" w14:textId="77777777" w:rsidR="00B135A3" w:rsidRPr="00E654C5" w:rsidRDefault="00B135A3" w:rsidP="00B135A3">
      <w:pPr>
        <w:pStyle w:val="Heading4"/>
      </w:pPr>
      <w:r>
        <w:t>Streambed Sedimentation</w:t>
      </w:r>
    </w:p>
    <w:p w14:paraId="10B31CC5"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 xml:space="preserve">Excessive sedimentation, a component of habitat, has one of the most pronounced impacts on benthic communities. Excess sediment fills interstitial spaces in the stream substrates used by aquatic organisms, disturbs refuge areas, and can potentially smother organisms. </w:t>
      </w:r>
      <w:r>
        <w:rPr>
          <w:rFonts w:eastAsia="Cambria" w:cstheme="minorHAnsi"/>
          <w:snapToGrid/>
          <w:szCs w:val="24"/>
        </w:rPr>
        <w:t xml:space="preserve">Historically, </w:t>
      </w:r>
      <w:r w:rsidRPr="00307D28">
        <w:rPr>
          <w:rFonts w:eastAsia="Cambria" w:cstheme="minorHAnsi"/>
          <w:snapToGrid/>
          <w:szCs w:val="24"/>
        </w:rPr>
        <w:t>tools for quantifying sedimentation impacts in streams have been inadequate. Methods existed for describing dominant instream particle size, but it was difficult to differentiate between natural conditions and man-made problems. Virginia has a variety of stream types; many are naturally sand/silt bed streams, so simply measuring the size of the sediment particles cannot differentiate natural and human-influenced sediment load.</w:t>
      </w:r>
      <w:r>
        <w:rPr>
          <w:rFonts w:eastAsia="Cambria" w:cstheme="minorHAnsi"/>
          <w:snapToGrid/>
          <w:szCs w:val="24"/>
        </w:rPr>
        <w:br/>
      </w:r>
    </w:p>
    <w:p w14:paraId="42635D66" w14:textId="77777777" w:rsidR="00B135A3" w:rsidRPr="004431CB" w:rsidRDefault="00B135A3" w:rsidP="00B135A3">
      <w:pPr>
        <w:widowControl/>
        <w:rPr>
          <w:rFonts w:eastAsia="Cambria" w:cstheme="minorHAnsi"/>
          <w:snapToGrid/>
          <w:szCs w:val="24"/>
        </w:rPr>
      </w:pPr>
      <w:r w:rsidRPr="00307D28">
        <w:rPr>
          <w:rFonts w:eastAsia="Cambria" w:cstheme="minorHAnsi"/>
          <w:snapToGrid/>
          <w:szCs w:val="24"/>
        </w:rPr>
        <w:t xml:space="preserve">DEQ uses the relative bed stability (RBS) method for predicting the expected substrate size distribution for streams (Kaufmann 1999). RBS incorporates stream channel shape, slope, flow, </w:t>
      </w:r>
      <w:r w:rsidRPr="00307D28">
        <w:rPr>
          <w:rFonts w:eastAsia="Cambria" w:cstheme="minorHAnsi"/>
          <w:snapToGrid/>
          <w:szCs w:val="24"/>
        </w:rPr>
        <w:lastRenderedPageBreak/>
        <w:t>and sediment supply. The method calculates a ‘stream power’ based on channel measurements to predict the expected sediment size distribution. The ratio of the observed sediment to the expected sediment is a measure of the RBS. A stream with a log RBS (LRBS) of less than -1 is carrying excess sediment (suboptimal), streams between -0.5 and 0.5 have a normal sediment load (optimal), and streams above 0.5 are excessively hardened (</w:t>
      </w:r>
      <w:r>
        <w:rPr>
          <w:rFonts w:eastAsia="Cambria" w:cstheme="minorHAnsi"/>
          <w:snapToGrid/>
          <w:szCs w:val="24"/>
        </w:rPr>
        <w:t xml:space="preserve">categorized as </w:t>
      </w:r>
      <w:r w:rsidRPr="00307D28">
        <w:rPr>
          <w:rFonts w:eastAsia="Cambria" w:cstheme="minorHAnsi"/>
          <w:snapToGrid/>
          <w:szCs w:val="24"/>
        </w:rPr>
        <w:t>fair</w:t>
      </w:r>
      <w:r>
        <w:rPr>
          <w:rFonts w:eastAsia="Cambria" w:cstheme="minorHAnsi"/>
          <w:snapToGrid/>
          <w:szCs w:val="24"/>
        </w:rPr>
        <w:t xml:space="preserve"> condition</w:t>
      </w:r>
      <w:r w:rsidRPr="00307D28">
        <w:rPr>
          <w:rFonts w:eastAsia="Cambria" w:cstheme="minorHAnsi"/>
          <w:snapToGrid/>
          <w:szCs w:val="24"/>
        </w:rPr>
        <w:t>)</w:t>
      </w:r>
      <w:r>
        <w:rPr>
          <w:rFonts w:eastAsia="Cambria" w:cstheme="minorHAnsi"/>
          <w:snapToGrid/>
          <w:szCs w:val="24"/>
        </w:rPr>
        <w:t xml:space="preserve"> meaning the substrate in the stream bottom are larger than expected </w:t>
      </w:r>
      <w:r w:rsidRPr="00307D28">
        <w:rPr>
          <w:rFonts w:eastAsia="Cambria" w:cstheme="minorHAnsi"/>
          <w:snapToGrid/>
          <w:szCs w:val="24"/>
        </w:rPr>
        <w:t xml:space="preserve">(Kaufmann 1999 and USEPA 2000). </w:t>
      </w:r>
      <w:r>
        <w:rPr>
          <w:rFonts w:eastAsia="Cambria" w:cstheme="minorHAnsi"/>
          <w:snapToGrid/>
          <w:szCs w:val="24"/>
        </w:rPr>
        <w:t>Suboptimal r</w:t>
      </w:r>
      <w:r w:rsidRPr="00307D28">
        <w:rPr>
          <w:rFonts w:eastAsia="Cambria" w:cstheme="minorHAnsi"/>
          <w:snapToGrid/>
          <w:szCs w:val="24"/>
        </w:rPr>
        <w:t>elative bed stability is frequently identified in benthic TMDL stressor analyses as a potential or probable stressor. Nearly 20% of Virginia’s stream and river miles have suboptimal sedimentation values (Figure 4.4-14).</w:t>
      </w:r>
    </w:p>
    <w:p w14:paraId="7902F5DB" w14:textId="77777777" w:rsidR="00B135A3" w:rsidRDefault="00B135A3" w:rsidP="00B135A3">
      <w:pPr>
        <w:keepNext/>
        <w:widowControl/>
        <w:spacing w:before="180" w:after="180"/>
      </w:pPr>
      <w:r w:rsidRPr="00307D28">
        <w:rPr>
          <w:rFonts w:eastAsia="Cambria" w:cstheme="minorHAnsi"/>
          <w:noProof/>
          <w:snapToGrid/>
          <w:szCs w:val="24"/>
        </w:rPr>
        <w:drawing>
          <wp:inline distT="0" distB="0" distL="0" distR="0" wp14:anchorId="643520FE" wp14:editId="653F94FA">
            <wp:extent cx="2772075" cy="2079056"/>
            <wp:effectExtent l="0" t="0" r="0" b="0"/>
            <wp:docPr id="1896398752" name="Picture 1896398752" descr="Bar plot of Estimate of streambed sedimentation conditions in Virginia streams and rivers as defined by LRBS measures and 95% confidence interval. Data presented is from 2017 - 2022 (n = 222)."/>
            <wp:cNvGraphicFramePr/>
            <a:graphic xmlns:a="http://schemas.openxmlformats.org/drawingml/2006/main">
              <a:graphicData uri="http://schemas.openxmlformats.org/drawingml/2006/picture">
                <pic:pic xmlns:pic="http://schemas.openxmlformats.org/drawingml/2006/picture">
                  <pic:nvPicPr>
                    <pic:cNvPr id="15" name="Picture" descr="Bar plot of Estimate of streambed sedimentation conditions in Virginia streams and rivers as defined by LRBS measures and 95% confidence interval. Data presented is from 2017 - 2022 (n = 222)."/>
                    <pic:cNvPicPr>
                      <a:picLocks noChangeAspect="1" noChangeArrowheads="1"/>
                    </pic:cNvPicPr>
                  </pic:nvPicPr>
                  <pic:blipFill>
                    <a:blip r:embed="rId187"/>
                    <a:stretch>
                      <a:fillRect/>
                    </a:stretch>
                  </pic:blipFill>
                  <pic:spPr bwMode="auto">
                    <a:xfrm>
                      <a:off x="0" y="0"/>
                      <a:ext cx="2772075" cy="2079056"/>
                    </a:xfrm>
                    <a:prstGeom prst="rect">
                      <a:avLst/>
                    </a:prstGeom>
                    <a:noFill/>
                    <a:ln w="9525">
                      <a:noFill/>
                      <a:headEnd/>
                      <a:tailEnd/>
                    </a:ln>
                  </pic:spPr>
                </pic:pic>
              </a:graphicData>
            </a:graphic>
          </wp:inline>
        </w:drawing>
      </w:r>
    </w:p>
    <w:p w14:paraId="222294E6" w14:textId="68F3C3D0" w:rsidR="00CF6A3F" w:rsidRPr="0062574F" w:rsidRDefault="00B135A3" w:rsidP="00C74A47">
      <w:pPr>
        <w:pStyle w:val="Caption"/>
      </w:pPr>
      <w:bookmarkStart w:id="205" w:name="_Toc164175100"/>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14</w:t>
      </w:r>
      <w:r w:rsidR="004F13BA">
        <w:rPr>
          <w:noProof/>
        </w:rPr>
        <w:fldChar w:fldCharType="end"/>
      </w:r>
      <w:r>
        <w:t xml:space="preserve">. </w:t>
      </w:r>
      <w:r w:rsidRPr="004431CB">
        <w:t xml:space="preserve">Estimate of </w:t>
      </w:r>
      <w:r>
        <w:t xml:space="preserve">Virginia </w:t>
      </w:r>
      <w:r w:rsidRPr="004431CB">
        <w:t>streambed sedimentation conditions streams and rivers</w:t>
      </w:r>
      <w:r w:rsidR="3FC4260E" w:rsidRPr="004431CB">
        <w:t xml:space="preserve"> </w:t>
      </w:r>
      <w:bookmarkEnd w:id="205"/>
      <w:r>
        <w:t>as defined by LRBS measures and 95% confidence interval. Data presented is from 2017 - 2022 (n = 222).</w:t>
      </w:r>
    </w:p>
    <w:p w14:paraId="019ED0AB" w14:textId="4815C9F0" w:rsidR="00B135A3" w:rsidRPr="00531B09" w:rsidRDefault="00B135A3" w:rsidP="00C74A47"/>
    <w:p w14:paraId="44B7D835" w14:textId="66449A5E" w:rsidR="00B135A3" w:rsidRDefault="00B135A3" w:rsidP="00B135A3">
      <w:pPr>
        <w:widowControl/>
        <w:rPr>
          <w:rFonts w:eastAsia="Cambria" w:cstheme="minorHAnsi"/>
          <w:snapToGrid/>
          <w:szCs w:val="24"/>
        </w:rPr>
      </w:pPr>
      <w:r w:rsidRPr="00307D28">
        <w:rPr>
          <w:rFonts w:eastAsia="Cambria" w:cstheme="minorHAnsi"/>
          <w:snapToGrid/>
          <w:szCs w:val="24"/>
        </w:rPr>
        <w:t>Figure 4.4-15 illustrates the extent of stream miles affected by excess sedimentation across the Commonwealth. All basins</w:t>
      </w:r>
      <w:r>
        <w:rPr>
          <w:rFonts w:eastAsia="Cambria" w:cstheme="minorHAnsi"/>
          <w:snapToGrid/>
          <w:szCs w:val="24"/>
        </w:rPr>
        <w:t xml:space="preserve"> in Virginia</w:t>
      </w:r>
      <w:r w:rsidRPr="00307D28">
        <w:rPr>
          <w:rFonts w:eastAsia="Cambria" w:cstheme="minorHAnsi"/>
          <w:snapToGrid/>
          <w:szCs w:val="24"/>
        </w:rPr>
        <w:t xml:space="preserve"> are estimated to have at least 12% of stream miles with suboptimal sedimentation levels. The Chowan, Roanoke, and </w:t>
      </w:r>
      <w:proofErr w:type="gramStart"/>
      <w:r w:rsidRPr="00307D28">
        <w:rPr>
          <w:rFonts w:eastAsia="Cambria" w:cstheme="minorHAnsi"/>
          <w:snapToGrid/>
          <w:szCs w:val="24"/>
        </w:rPr>
        <w:t>New</w:t>
      </w:r>
      <w:proofErr w:type="gramEnd"/>
      <w:r w:rsidRPr="00307D28">
        <w:rPr>
          <w:rFonts w:eastAsia="Cambria" w:cstheme="minorHAnsi"/>
          <w:snapToGrid/>
          <w:szCs w:val="24"/>
        </w:rPr>
        <w:t xml:space="preserve"> basins are estimated to have </w:t>
      </w:r>
      <w:r>
        <w:rPr>
          <w:rFonts w:eastAsia="Cambria" w:cstheme="minorHAnsi"/>
          <w:snapToGrid/>
          <w:szCs w:val="24"/>
        </w:rPr>
        <w:t>a higher proportion of</w:t>
      </w:r>
      <w:r w:rsidRPr="00307D28">
        <w:rPr>
          <w:rFonts w:eastAsia="Cambria" w:cstheme="minorHAnsi"/>
          <w:snapToGrid/>
          <w:szCs w:val="24"/>
        </w:rPr>
        <w:t xml:space="preserve"> stream miles with suboptimal sedimentation levels</w:t>
      </w:r>
      <w:r>
        <w:rPr>
          <w:rFonts w:eastAsia="Cambria" w:cstheme="minorHAnsi"/>
          <w:snapToGrid/>
          <w:szCs w:val="24"/>
        </w:rPr>
        <w:t xml:space="preserve"> (higher</w:t>
      </w:r>
      <w:r w:rsidRPr="00307D28">
        <w:rPr>
          <w:rFonts w:eastAsia="Cambria" w:cstheme="minorHAnsi"/>
          <w:snapToGrid/>
          <w:szCs w:val="24"/>
        </w:rPr>
        <w:t xml:space="preserve"> than the </w:t>
      </w:r>
      <w:r>
        <w:rPr>
          <w:rFonts w:eastAsia="Cambria" w:cstheme="minorHAnsi"/>
          <w:snapToGrid/>
          <w:szCs w:val="24"/>
        </w:rPr>
        <w:t xml:space="preserve">statewide suboptimal estimate which is </w:t>
      </w:r>
      <w:r w:rsidRPr="00307D28">
        <w:rPr>
          <w:rFonts w:eastAsia="Cambria" w:cstheme="minorHAnsi"/>
          <w:snapToGrid/>
          <w:szCs w:val="24"/>
        </w:rPr>
        <w:t xml:space="preserve">31% for 2001 - 2022). The basins with the highest </w:t>
      </w:r>
      <w:proofErr w:type="gramStart"/>
      <w:r w:rsidRPr="00307D28">
        <w:rPr>
          <w:rFonts w:eastAsia="Cambria" w:cstheme="minorHAnsi"/>
          <w:snapToGrid/>
          <w:szCs w:val="24"/>
        </w:rPr>
        <w:t>percent</w:t>
      </w:r>
      <w:proofErr w:type="gramEnd"/>
      <w:r w:rsidRPr="00307D28">
        <w:rPr>
          <w:rFonts w:eastAsia="Cambria" w:cstheme="minorHAnsi"/>
          <w:snapToGrid/>
          <w:szCs w:val="24"/>
        </w:rPr>
        <w:t xml:space="preserve"> of stream miles </w:t>
      </w:r>
      <w:r>
        <w:rPr>
          <w:rFonts w:eastAsia="Cambria" w:cstheme="minorHAnsi"/>
          <w:snapToGrid/>
          <w:szCs w:val="24"/>
        </w:rPr>
        <w:t>exhibiting</w:t>
      </w:r>
      <w:r w:rsidRPr="00307D28">
        <w:rPr>
          <w:rFonts w:eastAsia="Cambria" w:cstheme="minorHAnsi"/>
          <w:snapToGrid/>
          <w:szCs w:val="24"/>
        </w:rPr>
        <w:t xml:space="preserve"> suboptimal sedimentation are among the basins with the highest </w:t>
      </w:r>
      <w:proofErr w:type="gramStart"/>
      <w:r w:rsidRPr="00307D28">
        <w:rPr>
          <w:rFonts w:eastAsia="Cambria" w:cstheme="minorHAnsi"/>
          <w:snapToGrid/>
          <w:szCs w:val="24"/>
        </w:rPr>
        <w:t>percent</w:t>
      </w:r>
      <w:proofErr w:type="gramEnd"/>
      <w:r w:rsidRPr="00307D28">
        <w:rPr>
          <w:rFonts w:eastAsia="Cambria" w:cstheme="minorHAnsi"/>
          <w:snapToGrid/>
          <w:szCs w:val="24"/>
        </w:rPr>
        <w:t xml:space="preserve"> of stream miles </w:t>
      </w:r>
      <w:r>
        <w:rPr>
          <w:rFonts w:eastAsia="Cambria" w:cstheme="minorHAnsi"/>
          <w:snapToGrid/>
          <w:szCs w:val="24"/>
        </w:rPr>
        <w:t>that</w:t>
      </w:r>
      <w:r w:rsidRPr="00307D28">
        <w:rPr>
          <w:rFonts w:eastAsia="Cambria" w:cstheme="minorHAnsi"/>
          <w:snapToGrid/>
          <w:szCs w:val="24"/>
        </w:rPr>
        <w:t xml:space="preserve"> </w:t>
      </w:r>
      <w:r w:rsidRPr="007A03FB">
        <w:rPr>
          <w:rFonts w:eastAsia="Cambria" w:cstheme="minorHAnsi"/>
          <w:snapToGrid/>
          <w:szCs w:val="24"/>
        </w:rPr>
        <w:t>fail to meet biological condition threshold</w:t>
      </w:r>
      <w:r>
        <w:rPr>
          <w:rFonts w:eastAsia="Cambria" w:cstheme="minorHAnsi"/>
          <w:snapToGrid/>
          <w:szCs w:val="24"/>
        </w:rPr>
        <w:t>s</w:t>
      </w:r>
      <w:r w:rsidRPr="007A03FB">
        <w:rPr>
          <w:rFonts w:eastAsia="Cambria" w:cstheme="minorHAnsi"/>
          <w:snapToGrid/>
          <w:szCs w:val="24"/>
        </w:rPr>
        <w:t xml:space="preserve"> for benthic communities (VSCI/VCPMI).</w:t>
      </w:r>
      <w:r w:rsidRPr="00307D28">
        <w:rPr>
          <w:rFonts w:eastAsia="Cambria" w:cstheme="minorHAnsi"/>
          <w:snapToGrid/>
          <w:szCs w:val="24"/>
        </w:rPr>
        <w:t xml:space="preserve"> </w:t>
      </w:r>
    </w:p>
    <w:p w14:paraId="5BEE49E9" w14:textId="77777777" w:rsidR="00B135A3" w:rsidRDefault="00B135A3" w:rsidP="00B135A3">
      <w:pPr>
        <w:widowControl/>
        <w:rPr>
          <w:rFonts w:eastAsia="Cambria" w:cstheme="minorHAnsi"/>
          <w:snapToGrid/>
          <w:szCs w:val="24"/>
        </w:rPr>
      </w:pPr>
    </w:p>
    <w:p w14:paraId="5F966116" w14:textId="3008DFC9" w:rsidR="00B135A3" w:rsidRPr="00307D28" w:rsidRDefault="00B135A3" w:rsidP="00B135A3">
      <w:pPr>
        <w:widowControl/>
        <w:rPr>
          <w:rFonts w:eastAsia="Cambria" w:cstheme="minorHAnsi"/>
          <w:snapToGrid/>
          <w:szCs w:val="24"/>
        </w:rPr>
      </w:pPr>
      <w:r>
        <w:rPr>
          <w:rFonts w:eastAsia="Cambria" w:cstheme="minorHAnsi"/>
          <w:snapToGrid/>
          <w:szCs w:val="24"/>
        </w:rPr>
        <w:t xml:space="preserve">In </w:t>
      </w:r>
      <w:r w:rsidRPr="00307D28">
        <w:rPr>
          <w:rFonts w:eastAsia="Cambria" w:cstheme="minorHAnsi"/>
          <w:snapToGrid/>
          <w:szCs w:val="24"/>
        </w:rPr>
        <w:t>the Rappahannock River, Big Sandy River, and Potomac River basins</w:t>
      </w:r>
      <w:r>
        <w:rPr>
          <w:rFonts w:eastAsia="Cambria" w:cstheme="minorHAnsi"/>
          <w:snapToGrid/>
          <w:szCs w:val="24"/>
        </w:rPr>
        <w:t>,</w:t>
      </w:r>
      <w:r w:rsidRPr="00307D28">
        <w:rPr>
          <w:rFonts w:eastAsia="Cambria" w:cstheme="minorHAnsi"/>
          <w:snapToGrid/>
          <w:szCs w:val="24"/>
        </w:rPr>
        <w:t xml:space="preserve"> </w:t>
      </w:r>
      <w:r>
        <w:rPr>
          <w:rFonts w:eastAsia="Cambria" w:cstheme="minorHAnsi"/>
          <w:snapToGrid/>
          <w:szCs w:val="24"/>
        </w:rPr>
        <w:t xml:space="preserve">suboptimal sedimentation levels are estimated to be well below </w:t>
      </w:r>
      <w:r w:rsidRPr="00307D28">
        <w:rPr>
          <w:rFonts w:eastAsia="Cambria" w:cstheme="minorHAnsi"/>
          <w:snapToGrid/>
          <w:szCs w:val="24"/>
        </w:rPr>
        <w:t>the statewide average</w:t>
      </w:r>
      <w:r>
        <w:rPr>
          <w:rFonts w:eastAsia="Cambria" w:cstheme="minorHAnsi"/>
          <w:snapToGrid/>
          <w:szCs w:val="24"/>
        </w:rPr>
        <w:t>. However, the same basins exceed</w:t>
      </w:r>
      <w:r w:rsidRPr="00307D28">
        <w:rPr>
          <w:rFonts w:eastAsia="Cambria" w:cstheme="minorHAnsi"/>
          <w:snapToGrid/>
          <w:szCs w:val="24"/>
        </w:rPr>
        <w:t xml:space="preserve"> the statewide average for benthic impaired stream miles. These basins are likely affected by other stressors in addition to streambed sedimentation, resulting in the percentage of stream miles with poor biological condition above the statewide estimate.</w:t>
      </w:r>
      <w:r>
        <w:rPr>
          <w:rFonts w:eastAsia="Cambria" w:cstheme="minorHAnsi"/>
          <w:snapToGrid/>
          <w:szCs w:val="24"/>
        </w:rPr>
        <w:br/>
      </w:r>
    </w:p>
    <w:p w14:paraId="271762FC"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 xml:space="preserve">Though the Potomac River basin has the lowest percentage of suboptimal stream miles for sedimentation, the estimate may not be fully reflective of sedimentation status in the basin. The Potomac River basin has a high prevalence of samples with LRBS scores </w:t>
      </w:r>
      <w:r>
        <w:rPr>
          <w:rFonts w:eastAsia="Cambria" w:cstheme="minorHAnsi"/>
          <w:snapToGrid/>
          <w:szCs w:val="24"/>
        </w:rPr>
        <w:t>falling into the fair category (</w:t>
      </w:r>
      <w:r w:rsidRPr="00307D28">
        <w:rPr>
          <w:rFonts w:eastAsia="Cambria" w:cstheme="minorHAnsi"/>
          <w:snapToGrid/>
          <w:szCs w:val="24"/>
        </w:rPr>
        <w:t>above 0.5</w:t>
      </w:r>
      <w:r>
        <w:rPr>
          <w:rFonts w:eastAsia="Cambria" w:cstheme="minorHAnsi"/>
          <w:snapToGrid/>
          <w:szCs w:val="24"/>
        </w:rPr>
        <w:t>)</w:t>
      </w:r>
      <w:r w:rsidRPr="00307D28">
        <w:rPr>
          <w:rFonts w:eastAsia="Cambria" w:cstheme="minorHAnsi"/>
          <w:snapToGrid/>
          <w:szCs w:val="24"/>
        </w:rPr>
        <w:t xml:space="preserve">, indicating hardened stream bottoms </w:t>
      </w:r>
      <w:r>
        <w:rPr>
          <w:rFonts w:eastAsia="Cambria" w:cstheme="minorHAnsi"/>
          <w:snapToGrid/>
          <w:szCs w:val="24"/>
        </w:rPr>
        <w:t>potentially</w:t>
      </w:r>
      <w:r w:rsidRPr="00307D28">
        <w:rPr>
          <w:rFonts w:eastAsia="Cambria" w:cstheme="minorHAnsi"/>
          <w:snapToGrid/>
          <w:szCs w:val="24"/>
        </w:rPr>
        <w:t xml:space="preserve"> due to </w:t>
      </w:r>
      <w:proofErr w:type="gramStart"/>
      <w:r w:rsidRPr="00307D28">
        <w:rPr>
          <w:rFonts w:eastAsia="Cambria" w:cstheme="minorHAnsi"/>
          <w:snapToGrid/>
          <w:szCs w:val="24"/>
        </w:rPr>
        <w:t>hydrologic</w:t>
      </w:r>
      <w:proofErr w:type="gramEnd"/>
      <w:r w:rsidRPr="00307D28">
        <w:rPr>
          <w:rFonts w:eastAsia="Cambria" w:cstheme="minorHAnsi"/>
          <w:snapToGrid/>
          <w:szCs w:val="24"/>
        </w:rPr>
        <w:t xml:space="preserve"> </w:t>
      </w:r>
      <w:r w:rsidRPr="00307D28">
        <w:rPr>
          <w:rFonts w:eastAsia="Cambria" w:cstheme="minorHAnsi"/>
          <w:snapToGrid/>
          <w:szCs w:val="24"/>
        </w:rPr>
        <w:lastRenderedPageBreak/>
        <w:t>alteration. As such, the Potomac River basin may appear artificially stable in comparison to other basins in Virginia</w:t>
      </w:r>
      <w:r w:rsidRPr="00307D28">
        <w:rPr>
          <w:rFonts w:eastAsia="Cambria" w:cstheme="minorHAnsi"/>
          <w:snapToGrid/>
          <w:szCs w:val="24"/>
          <w:vertAlign w:val="superscript"/>
        </w:rPr>
        <w:footnoteReference w:id="8"/>
      </w:r>
      <w:r w:rsidRPr="00307D28">
        <w:rPr>
          <w:rFonts w:eastAsia="Cambria" w:cstheme="minorHAnsi"/>
          <w:snapToGrid/>
          <w:szCs w:val="24"/>
        </w:rPr>
        <w:t>.</w:t>
      </w:r>
    </w:p>
    <w:p w14:paraId="473D16CB" w14:textId="77777777" w:rsidR="00B135A3" w:rsidRPr="005B7AFC" w:rsidRDefault="00B135A3" w:rsidP="00B135A3">
      <w:pPr>
        <w:rPr>
          <w:snapToGrid/>
        </w:rPr>
      </w:pPr>
    </w:p>
    <w:p w14:paraId="0DA03AE6" w14:textId="77777777" w:rsidR="00B135A3" w:rsidRDefault="00B135A3" w:rsidP="00B135A3">
      <w:pPr>
        <w:keepNext/>
        <w:widowControl/>
        <w:spacing w:before="180" w:after="180"/>
      </w:pPr>
      <w:r w:rsidRPr="00307D28">
        <w:rPr>
          <w:rFonts w:eastAsia="Cambria" w:cstheme="minorHAnsi"/>
          <w:noProof/>
          <w:snapToGrid/>
          <w:szCs w:val="24"/>
        </w:rPr>
        <w:drawing>
          <wp:inline distT="0" distB="0" distL="0" distR="0" wp14:anchorId="53431974" wp14:editId="503460CA">
            <wp:extent cx="5334000" cy="5334000"/>
            <wp:effectExtent l="0" t="0" r="0" b="0"/>
            <wp:docPr id="1377517877" name="Picture 1377517877" descr="Graphic of Percent of stream miles with suboptimal streambed sedimentation as measured by LRBS. From left to right, the vertical dashed lines represent the statewide percent of stream miles across Virginia with suboptimal streambed sedimentation and biologic condition below the assessment threshold, respectively. Data presented is from 2001 - 2022."/>
            <wp:cNvGraphicFramePr/>
            <a:graphic xmlns:a="http://schemas.openxmlformats.org/drawingml/2006/main">
              <a:graphicData uri="http://schemas.openxmlformats.org/drawingml/2006/picture">
                <pic:pic xmlns:pic="http://schemas.openxmlformats.org/drawingml/2006/picture">
                  <pic:nvPicPr>
                    <pic:cNvPr id="16" name="Picture" descr="Graphic of Percent of stream miles with suboptimal streambed sedimentation as measured by LRBS. From left to right, the vertical dashed lines represent the statewide percent of stream miles across Virginia with suboptimal streambed sedimentation and biologic condition below the assessment threshold, respectively. Data presented is from 2001 - 2022."/>
                    <pic:cNvPicPr>
                      <a:picLocks noChangeAspect="1" noChangeArrowheads="1"/>
                    </pic:cNvPicPr>
                  </pic:nvPicPr>
                  <pic:blipFill>
                    <a:blip r:embed="rId188" cstate="email">
                      <a:extLst>
                        <a:ext uri="{28A0092B-C50C-407E-A947-70E740481C1C}">
                          <a14:useLocalDpi xmlns:a14="http://schemas.microsoft.com/office/drawing/2010/main"/>
                        </a:ext>
                      </a:extLst>
                    </a:blip>
                    <a:stretch>
                      <a:fillRect/>
                    </a:stretch>
                  </pic:blipFill>
                  <pic:spPr bwMode="auto">
                    <a:xfrm>
                      <a:off x="0" y="0"/>
                      <a:ext cx="5334000" cy="5334000"/>
                    </a:xfrm>
                    <a:prstGeom prst="rect">
                      <a:avLst/>
                    </a:prstGeom>
                    <a:noFill/>
                    <a:ln w="9525">
                      <a:noFill/>
                      <a:headEnd/>
                      <a:tailEnd/>
                    </a:ln>
                  </pic:spPr>
                </pic:pic>
              </a:graphicData>
            </a:graphic>
          </wp:inline>
        </w:drawing>
      </w:r>
    </w:p>
    <w:p w14:paraId="5700322A" w14:textId="38A5EE35" w:rsidR="00CF6A3F" w:rsidRPr="0062574F" w:rsidRDefault="00B135A3" w:rsidP="00CF6A3F">
      <w:pPr>
        <w:pStyle w:val="Caption"/>
        <w:jc w:val="both"/>
      </w:pPr>
      <w:bookmarkStart w:id="206" w:name="_Toc164175101"/>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15</w:t>
      </w:r>
      <w:r w:rsidR="004F13BA">
        <w:rPr>
          <w:noProof/>
        </w:rPr>
        <w:fldChar w:fldCharType="end"/>
      </w:r>
      <w:r>
        <w:t xml:space="preserve">. </w:t>
      </w:r>
      <w:r w:rsidRPr="00A0585C">
        <w:t>Percent of stream miles with suboptimal streambed sedimentation</w:t>
      </w:r>
      <w:r w:rsidR="3CD47F8D" w:rsidRPr="00A0585C">
        <w:t xml:space="preserve"> </w:t>
      </w:r>
      <w:bookmarkEnd w:id="206"/>
      <w:r>
        <w:t xml:space="preserve">as measured by LRBS. From left to right, the vertical dashed lines represent the statewide percent of stream miles across Virginia with suboptimal streambed sedimentation and biologic condition below the assessment threshold, respectively. </w:t>
      </w:r>
      <w:proofErr w:type="gramStart"/>
      <w:r>
        <w:t>Data</w:t>
      </w:r>
      <w:proofErr w:type="gramEnd"/>
      <w:r>
        <w:t xml:space="preserve"> presented is from 2001 - 2022.</w:t>
      </w:r>
    </w:p>
    <w:p w14:paraId="72DC9865" w14:textId="77777777" w:rsidR="00D24288" w:rsidRPr="00D24288" w:rsidRDefault="00D24288" w:rsidP="00D24288"/>
    <w:p w14:paraId="3D916055" w14:textId="77777777" w:rsidR="00B135A3" w:rsidRPr="00E654C5" w:rsidRDefault="00B135A3" w:rsidP="00B135A3">
      <w:pPr>
        <w:pStyle w:val="Heading4"/>
      </w:pPr>
      <w:r w:rsidRPr="00E654C5">
        <w:t>Nutrients</w:t>
      </w:r>
    </w:p>
    <w:p w14:paraId="0D296603"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Nutrients are substances assimilated by living organisms that are critical for growth. Nitrogen and phosphorus are the two most important nutrients in Virginia streams and rivers. Excess nutrients can stimulate in-stream </w:t>
      </w:r>
      <w:proofErr w:type="gramStart"/>
      <w:r w:rsidRPr="00307D28">
        <w:rPr>
          <w:rFonts w:eastAsia="Cambria" w:cstheme="minorHAnsi"/>
          <w:snapToGrid/>
          <w:szCs w:val="24"/>
        </w:rPr>
        <w:t>plant</w:t>
      </w:r>
      <w:proofErr w:type="gramEnd"/>
      <w:r w:rsidRPr="00307D28">
        <w:rPr>
          <w:rFonts w:eastAsia="Cambria" w:cstheme="minorHAnsi"/>
          <w:snapToGrid/>
          <w:szCs w:val="24"/>
        </w:rPr>
        <w:t xml:space="preserve"> and algal growth. Characteristics of nutrient enriched </w:t>
      </w:r>
      <w:r w:rsidRPr="00307D28">
        <w:rPr>
          <w:rFonts w:eastAsia="Cambria" w:cstheme="minorHAnsi"/>
          <w:snapToGrid/>
          <w:szCs w:val="24"/>
        </w:rPr>
        <w:lastRenderedPageBreak/>
        <w:t>streams may include low dissolved oxygen, frequent fish kills, shifts in aquatic communities, and blooms of nuisance or harmful algae. Nutrients may come from fertilized lawns and cropland, failing septic systems, municipal and industrial discharges, and/or livestock manure.</w:t>
      </w:r>
      <w:r>
        <w:rPr>
          <w:rFonts w:eastAsia="Cambria" w:cstheme="minorHAnsi"/>
          <w:snapToGrid/>
          <w:szCs w:val="24"/>
        </w:rPr>
        <w:br/>
      </w:r>
      <w:r>
        <w:rPr>
          <w:rFonts w:eastAsia="Cambria" w:cstheme="minorHAnsi"/>
          <w:snapToGrid/>
          <w:szCs w:val="24"/>
        </w:rPr>
        <w:br/>
      </w:r>
      <w:r w:rsidRPr="00307D28">
        <w:rPr>
          <w:rFonts w:eastAsia="Cambria" w:cstheme="minorHAnsi"/>
          <w:snapToGrid/>
          <w:szCs w:val="24"/>
        </w:rPr>
        <w:t xml:space="preserve">Total phosphorus above 0.05 mg/L and total nitrogen above 2 mg/L are considered suboptimal (Table 4.4-8) and can result in undesirable algae growth and shifts in aquatic communities (DEQ 2006a). DEQ estimates that nearly 52% of </w:t>
      </w:r>
      <w:proofErr w:type="gramStart"/>
      <w:r w:rsidRPr="00307D28">
        <w:rPr>
          <w:rFonts w:eastAsia="Cambria" w:cstheme="minorHAnsi"/>
          <w:snapToGrid/>
          <w:szCs w:val="24"/>
        </w:rPr>
        <w:t>streams</w:t>
      </w:r>
      <w:proofErr w:type="gramEnd"/>
      <w:r w:rsidRPr="00307D28">
        <w:rPr>
          <w:rFonts w:eastAsia="Cambria" w:cstheme="minorHAnsi"/>
          <w:snapToGrid/>
          <w:szCs w:val="24"/>
        </w:rPr>
        <w:t xml:space="preserve"> and river miles are classified as optimal for total phosphorus while 87% of stream and river miles are considered optimal for total nitrogen (Figures 4.4-16 and 4.4-17).</w:t>
      </w:r>
    </w:p>
    <w:p w14:paraId="13A2A32B" w14:textId="77777777" w:rsidR="00D24288" w:rsidRPr="00307D28" w:rsidRDefault="00D24288" w:rsidP="00B135A3">
      <w:pPr>
        <w:widowControl/>
        <w:rPr>
          <w:rFonts w:eastAsia="Cambria" w:cstheme="minorHAnsi"/>
          <w:snapToGrid/>
          <w:szCs w:val="24"/>
        </w:rPr>
      </w:pPr>
    </w:p>
    <w:p w14:paraId="083B3F5C" w14:textId="77777777" w:rsidR="00B135A3" w:rsidRDefault="00B135A3" w:rsidP="00B135A3">
      <w:pPr>
        <w:keepNext/>
        <w:widowControl/>
        <w:spacing w:before="180" w:after="180"/>
      </w:pPr>
      <w:r w:rsidRPr="00307D28">
        <w:rPr>
          <w:rFonts w:eastAsia="Cambria" w:cstheme="minorHAnsi"/>
          <w:noProof/>
          <w:snapToGrid/>
          <w:szCs w:val="24"/>
        </w:rPr>
        <w:drawing>
          <wp:inline distT="0" distB="0" distL="0" distR="0" wp14:anchorId="04720392" wp14:editId="24FFB7E1">
            <wp:extent cx="2772075" cy="2079056"/>
            <wp:effectExtent l="0" t="0" r="0" b="0"/>
            <wp:docPr id="654783525" name="Picture 654783525" descr="Bar plot of Estimate of total phosphorus condition in Virginia streams and rivers and associated 95% confidence intervals. Data presented is from 2017 - 2022."/>
            <wp:cNvGraphicFramePr/>
            <a:graphic xmlns:a="http://schemas.openxmlformats.org/drawingml/2006/main">
              <a:graphicData uri="http://schemas.openxmlformats.org/drawingml/2006/picture">
                <pic:pic xmlns:pic="http://schemas.openxmlformats.org/drawingml/2006/picture">
                  <pic:nvPicPr>
                    <pic:cNvPr id="17" name="Picture" descr="Bar plot of Estimate of total phosphorus condition in Virginia streams and rivers and associated 95% confidence intervals. Data presented is from 2017 - 2022."/>
                    <pic:cNvPicPr>
                      <a:picLocks noChangeAspect="1" noChangeArrowheads="1"/>
                    </pic:cNvPicPr>
                  </pic:nvPicPr>
                  <pic:blipFill>
                    <a:blip r:embed="rId189"/>
                    <a:stretch>
                      <a:fillRect/>
                    </a:stretch>
                  </pic:blipFill>
                  <pic:spPr bwMode="auto">
                    <a:xfrm>
                      <a:off x="0" y="0"/>
                      <a:ext cx="2772075" cy="2079056"/>
                    </a:xfrm>
                    <a:prstGeom prst="rect">
                      <a:avLst/>
                    </a:prstGeom>
                    <a:noFill/>
                    <a:ln w="9525">
                      <a:noFill/>
                      <a:headEnd/>
                      <a:tailEnd/>
                    </a:ln>
                  </pic:spPr>
                </pic:pic>
              </a:graphicData>
            </a:graphic>
          </wp:inline>
        </w:drawing>
      </w:r>
    </w:p>
    <w:p w14:paraId="63FA5DB9" w14:textId="3C8DF4DC" w:rsidR="00CF6A3F" w:rsidRPr="0062574F" w:rsidRDefault="00B135A3" w:rsidP="0A5BE548">
      <w:pPr>
        <w:pStyle w:val="Caption"/>
        <w:jc w:val="both"/>
        <w:rPr>
          <w:rFonts w:cstheme="minorBidi"/>
          <w:snapToGrid/>
        </w:rPr>
      </w:pPr>
      <w:bookmarkStart w:id="207" w:name="_Toc164175102"/>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16</w:t>
      </w:r>
      <w:r w:rsidR="004F13BA">
        <w:rPr>
          <w:noProof/>
        </w:rPr>
        <w:fldChar w:fldCharType="end"/>
      </w:r>
      <w:r>
        <w:t xml:space="preserve">. </w:t>
      </w:r>
      <w:r w:rsidRPr="0A5BE548">
        <w:rPr>
          <w:rFonts w:cstheme="minorBidi"/>
          <w:snapToGrid/>
        </w:rPr>
        <w:t>Estimate of total phosphorus condition in Virginia streams and rivers</w:t>
      </w:r>
      <w:r w:rsidR="1580425B" w:rsidRPr="0A5BE548">
        <w:rPr>
          <w:rFonts w:cstheme="minorBidi"/>
          <w:snapToGrid/>
        </w:rPr>
        <w:t xml:space="preserve"> </w:t>
      </w:r>
      <w:bookmarkEnd w:id="207"/>
      <w:r w:rsidRPr="0A5BE548">
        <w:rPr>
          <w:rFonts w:cstheme="minorBidi"/>
          <w:snapToGrid/>
        </w:rPr>
        <w:t xml:space="preserve">and associated 95% confidence intervals. </w:t>
      </w:r>
      <w:proofErr w:type="gramStart"/>
      <w:r w:rsidRPr="0A5BE548">
        <w:rPr>
          <w:rFonts w:cstheme="minorBidi"/>
          <w:snapToGrid/>
        </w:rPr>
        <w:t>Data</w:t>
      </w:r>
      <w:proofErr w:type="gramEnd"/>
      <w:r w:rsidRPr="0A5BE548">
        <w:rPr>
          <w:rFonts w:cstheme="minorBidi"/>
          <w:snapToGrid/>
        </w:rPr>
        <w:t xml:space="preserve"> presented is from 2017 - 2022.</w:t>
      </w:r>
    </w:p>
    <w:p w14:paraId="6277DDA8" w14:textId="77777777" w:rsidR="00D24288" w:rsidRPr="00D24288" w:rsidRDefault="00D24288" w:rsidP="00D24288"/>
    <w:p w14:paraId="16EA6FFB" w14:textId="77777777" w:rsidR="00B135A3" w:rsidRDefault="00B135A3" w:rsidP="00B135A3">
      <w:pPr>
        <w:keepNext/>
        <w:widowControl/>
        <w:spacing w:before="180" w:after="180"/>
      </w:pPr>
      <w:r w:rsidRPr="00307D28">
        <w:rPr>
          <w:rFonts w:eastAsia="Cambria" w:cstheme="minorHAnsi"/>
          <w:noProof/>
          <w:snapToGrid/>
          <w:szCs w:val="24"/>
        </w:rPr>
        <w:drawing>
          <wp:inline distT="0" distB="0" distL="0" distR="0" wp14:anchorId="013E034A" wp14:editId="4310EB79">
            <wp:extent cx="2772075" cy="2079056"/>
            <wp:effectExtent l="0" t="0" r="0" b="0"/>
            <wp:docPr id="856102656" name="Picture 856102656" descr="Bar plot of Estimate of total nitrogen condition in Virginia streams and rivers and associated 95% confidence intervals. Data presented is from 2017 - 2022."/>
            <wp:cNvGraphicFramePr/>
            <a:graphic xmlns:a="http://schemas.openxmlformats.org/drawingml/2006/main">
              <a:graphicData uri="http://schemas.openxmlformats.org/drawingml/2006/picture">
                <pic:pic xmlns:pic="http://schemas.openxmlformats.org/drawingml/2006/picture">
                  <pic:nvPicPr>
                    <pic:cNvPr id="18" name="Picture" descr="Bar plot of Estimate of total nitrogen condition in Virginia streams and rivers and associated 95% confidence intervals. Data presented is from 2017 - 2022."/>
                    <pic:cNvPicPr>
                      <a:picLocks noChangeAspect="1" noChangeArrowheads="1"/>
                    </pic:cNvPicPr>
                  </pic:nvPicPr>
                  <pic:blipFill>
                    <a:blip r:embed="rId190"/>
                    <a:stretch>
                      <a:fillRect/>
                    </a:stretch>
                  </pic:blipFill>
                  <pic:spPr bwMode="auto">
                    <a:xfrm>
                      <a:off x="0" y="0"/>
                      <a:ext cx="2772075" cy="2079056"/>
                    </a:xfrm>
                    <a:prstGeom prst="rect">
                      <a:avLst/>
                    </a:prstGeom>
                    <a:noFill/>
                    <a:ln w="9525">
                      <a:noFill/>
                      <a:headEnd/>
                      <a:tailEnd/>
                    </a:ln>
                  </pic:spPr>
                </pic:pic>
              </a:graphicData>
            </a:graphic>
          </wp:inline>
        </w:drawing>
      </w:r>
    </w:p>
    <w:p w14:paraId="3AD6A7A2" w14:textId="6CDC1A55" w:rsidR="00CF6A3F" w:rsidRPr="0062574F" w:rsidRDefault="00B135A3" w:rsidP="0A5BE548">
      <w:pPr>
        <w:pStyle w:val="Caption"/>
        <w:jc w:val="both"/>
        <w:rPr>
          <w:rFonts w:cstheme="minorBidi"/>
          <w:snapToGrid/>
        </w:rPr>
      </w:pPr>
      <w:bookmarkStart w:id="208" w:name="_Toc164175103"/>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17</w:t>
      </w:r>
      <w:r w:rsidR="004F13BA">
        <w:rPr>
          <w:noProof/>
        </w:rPr>
        <w:fldChar w:fldCharType="end"/>
      </w:r>
      <w:r>
        <w:t xml:space="preserve">. </w:t>
      </w:r>
      <w:r w:rsidRPr="0A5BE548">
        <w:rPr>
          <w:rFonts w:cstheme="minorBidi"/>
          <w:snapToGrid/>
        </w:rPr>
        <w:t>Estimate of total nitrogen condition in Virginia streams and rivers</w:t>
      </w:r>
      <w:r w:rsidR="7BCDDE14" w:rsidRPr="0A5BE548">
        <w:rPr>
          <w:rFonts w:cstheme="minorBidi"/>
          <w:snapToGrid/>
        </w:rPr>
        <w:t xml:space="preserve"> </w:t>
      </w:r>
      <w:bookmarkEnd w:id="208"/>
      <w:r w:rsidRPr="0A5BE548">
        <w:rPr>
          <w:rFonts w:cstheme="minorBidi"/>
          <w:snapToGrid/>
        </w:rPr>
        <w:t xml:space="preserve">and associated 95% confidence intervals. </w:t>
      </w:r>
      <w:proofErr w:type="gramStart"/>
      <w:r w:rsidRPr="0A5BE548">
        <w:rPr>
          <w:rFonts w:cstheme="minorBidi"/>
          <w:snapToGrid/>
        </w:rPr>
        <w:t>Data</w:t>
      </w:r>
      <w:proofErr w:type="gramEnd"/>
      <w:r w:rsidRPr="0A5BE548">
        <w:rPr>
          <w:rFonts w:cstheme="minorBidi"/>
          <w:snapToGrid/>
        </w:rPr>
        <w:t xml:space="preserve"> presented is from 2017 - 2022.</w:t>
      </w:r>
    </w:p>
    <w:p w14:paraId="52695EAB" w14:textId="77777777" w:rsidR="00D24288" w:rsidRPr="00D24288" w:rsidRDefault="00D24288" w:rsidP="00D24288"/>
    <w:p w14:paraId="57E9B536"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Figure 4.4-18 ranks basins by </w:t>
      </w:r>
      <w:proofErr w:type="gramStart"/>
      <w:r w:rsidRPr="00307D28">
        <w:rPr>
          <w:rFonts w:eastAsia="Cambria" w:cstheme="minorHAnsi"/>
          <w:snapToGrid/>
          <w:szCs w:val="24"/>
        </w:rPr>
        <w:t>percent</w:t>
      </w:r>
      <w:proofErr w:type="gramEnd"/>
      <w:r w:rsidRPr="00307D28">
        <w:rPr>
          <w:rFonts w:eastAsia="Cambria" w:cstheme="minorHAnsi"/>
          <w:snapToGrid/>
          <w:szCs w:val="24"/>
        </w:rPr>
        <w:t xml:space="preserve"> of stream miles that fall into the suboptimal total phosphorus category (&gt; 0.05 mg/L). The associated percent of stream miles below the biologic assessment threshold follows in the rightmost plot. The vertical lines on each bar plot indicate the </w:t>
      </w:r>
      <w:proofErr w:type="gramStart"/>
      <w:r w:rsidRPr="00307D28">
        <w:rPr>
          <w:rFonts w:eastAsia="Cambria" w:cstheme="minorHAnsi"/>
          <w:snapToGrid/>
          <w:szCs w:val="24"/>
        </w:rPr>
        <w:t>percent</w:t>
      </w:r>
      <w:proofErr w:type="gramEnd"/>
      <w:r w:rsidRPr="00307D28">
        <w:rPr>
          <w:rFonts w:eastAsia="Cambria" w:cstheme="minorHAnsi"/>
          <w:snapToGrid/>
          <w:szCs w:val="24"/>
        </w:rPr>
        <w:t xml:space="preserve"> of stream miles throughout Virginia that fall into the suboptimal category for total </w:t>
      </w:r>
      <w:r w:rsidRPr="00307D28">
        <w:rPr>
          <w:rFonts w:eastAsia="Cambria" w:cstheme="minorHAnsi"/>
          <w:snapToGrid/>
          <w:szCs w:val="24"/>
        </w:rPr>
        <w:lastRenderedPageBreak/>
        <w:t xml:space="preserve">phosphorus and below the biological impairment </w:t>
      </w:r>
      <w:proofErr w:type="gramStart"/>
      <w:r w:rsidRPr="00307D28">
        <w:rPr>
          <w:rFonts w:eastAsia="Cambria" w:cstheme="minorHAnsi"/>
          <w:snapToGrid/>
          <w:szCs w:val="24"/>
        </w:rPr>
        <w:t>threshold, (</w:t>
      </w:r>
      <w:proofErr w:type="gramEnd"/>
      <w:r w:rsidRPr="00307D28">
        <w:rPr>
          <w:rFonts w:eastAsia="Cambria" w:cstheme="minorHAnsi"/>
          <w:snapToGrid/>
          <w:szCs w:val="24"/>
        </w:rPr>
        <w:t xml:space="preserve">16% and 42% for 2001 - 2022, respectively). The </w:t>
      </w:r>
      <w:proofErr w:type="spellStart"/>
      <w:r w:rsidRPr="00307D28">
        <w:rPr>
          <w:rFonts w:eastAsia="Cambria" w:cstheme="minorHAnsi"/>
          <w:snapToGrid/>
          <w:szCs w:val="24"/>
        </w:rPr>
        <w:t>micromap</w:t>
      </w:r>
      <w:proofErr w:type="spellEnd"/>
      <w:r w:rsidRPr="00307D28">
        <w:rPr>
          <w:rFonts w:eastAsia="Cambria" w:cstheme="minorHAnsi"/>
          <w:snapToGrid/>
          <w:szCs w:val="24"/>
        </w:rPr>
        <w:t xml:space="preserve"> displays the </w:t>
      </w:r>
      <w:proofErr w:type="gramStart"/>
      <w:r w:rsidRPr="00307D28">
        <w:rPr>
          <w:rFonts w:eastAsia="Cambria" w:cstheme="minorHAnsi"/>
          <w:snapToGrid/>
          <w:szCs w:val="24"/>
        </w:rPr>
        <w:t>percent</w:t>
      </w:r>
      <w:proofErr w:type="gramEnd"/>
      <w:r w:rsidRPr="00307D28">
        <w:rPr>
          <w:rFonts w:eastAsia="Cambria" w:cstheme="minorHAnsi"/>
          <w:snapToGrid/>
          <w:szCs w:val="24"/>
        </w:rPr>
        <w:t xml:space="preserve"> of stream miles deemed suboptimal due to total phosphorus generally decreasing from east to west across the state. During the 22-year data window, basins with higher percentages of suboptimal stream miles due to phosphorus co-occur with higher percentages of stream miles below the biological assessment threshold. However, the </w:t>
      </w:r>
      <w:proofErr w:type="gramStart"/>
      <w:r w:rsidRPr="00307D28">
        <w:rPr>
          <w:rFonts w:eastAsia="Cambria" w:cstheme="minorHAnsi"/>
          <w:snapToGrid/>
          <w:szCs w:val="24"/>
        </w:rPr>
        <w:t>percent</w:t>
      </w:r>
      <w:proofErr w:type="gramEnd"/>
      <w:r w:rsidRPr="00307D28">
        <w:rPr>
          <w:rFonts w:eastAsia="Cambria" w:cstheme="minorHAnsi"/>
          <w:snapToGrid/>
          <w:szCs w:val="24"/>
        </w:rPr>
        <w:t xml:space="preserve"> of stream miles below the biological threshold cannot simply be attributed to one parameter, nor can it be assumed that the presence of potential stressors above a screening value results in an impaired aquatic life community</w:t>
      </w:r>
      <w:r w:rsidRPr="00307D28">
        <w:rPr>
          <w:rFonts w:eastAsia="Cambria" w:cstheme="minorHAnsi"/>
          <w:snapToGrid/>
          <w:szCs w:val="24"/>
          <w:vertAlign w:val="superscript"/>
        </w:rPr>
        <w:footnoteReference w:id="9"/>
      </w:r>
      <w:r w:rsidRPr="00307D28">
        <w:rPr>
          <w:rFonts w:eastAsia="Cambria" w:cstheme="minorHAnsi"/>
          <w:snapToGrid/>
          <w:szCs w:val="24"/>
        </w:rPr>
        <w:t>.</w:t>
      </w:r>
    </w:p>
    <w:p w14:paraId="50D7BFCE" w14:textId="77777777" w:rsidR="00D24288" w:rsidRPr="00307D28" w:rsidRDefault="00D24288" w:rsidP="00B135A3">
      <w:pPr>
        <w:widowControl/>
        <w:rPr>
          <w:rFonts w:eastAsia="Cambria" w:cstheme="minorHAnsi"/>
          <w:snapToGrid/>
          <w:szCs w:val="24"/>
        </w:rPr>
      </w:pPr>
    </w:p>
    <w:p w14:paraId="3BD9BDC5" w14:textId="77777777" w:rsidR="00B135A3" w:rsidRDefault="00B135A3" w:rsidP="00B135A3">
      <w:pPr>
        <w:keepNext/>
        <w:widowControl/>
        <w:spacing w:before="180" w:after="180"/>
      </w:pPr>
      <w:r w:rsidRPr="00307D28">
        <w:rPr>
          <w:rFonts w:eastAsia="Cambria" w:cstheme="minorHAnsi"/>
          <w:noProof/>
          <w:snapToGrid/>
          <w:szCs w:val="24"/>
        </w:rPr>
        <w:drawing>
          <wp:inline distT="0" distB="0" distL="0" distR="0" wp14:anchorId="7B2666A2" wp14:editId="0B3C4CD1">
            <wp:extent cx="5334000" cy="5334000"/>
            <wp:effectExtent l="0" t="0" r="0" b="0"/>
            <wp:docPr id="1403492172" name="Picture 1403492172" descr="Graphic of Percent of stream miles with suboptimal total phosphorus. From left to right, the vertical dashed lines represent the percent of stream miles across Virginia with suboptimal total phosphorus and VSCI/VCPMI below the assessment threshold, respectively. Data presented is from 2001 - 2022."/>
            <wp:cNvGraphicFramePr/>
            <a:graphic xmlns:a="http://schemas.openxmlformats.org/drawingml/2006/main">
              <a:graphicData uri="http://schemas.openxmlformats.org/drawingml/2006/picture">
                <pic:pic xmlns:pic="http://schemas.openxmlformats.org/drawingml/2006/picture">
                  <pic:nvPicPr>
                    <pic:cNvPr id="19" name="Picture" descr="Graphic of Percent of stream miles with suboptimal total phosphorus. From left to right, the vertical dashed lines represent the percent of stream miles across Virginia with suboptimal total phosphorus and VSCI/VCPMI below the assessment threshold, respectively. Data presented is from 2001 - 2022."/>
                    <pic:cNvPicPr>
                      <a:picLocks noChangeAspect="1" noChangeArrowheads="1"/>
                    </pic:cNvPicPr>
                  </pic:nvPicPr>
                  <pic:blipFill>
                    <a:blip r:embed="rId191" cstate="email">
                      <a:extLst>
                        <a:ext uri="{28A0092B-C50C-407E-A947-70E740481C1C}">
                          <a14:useLocalDpi xmlns:a14="http://schemas.microsoft.com/office/drawing/2010/main"/>
                        </a:ext>
                      </a:extLst>
                    </a:blip>
                    <a:stretch>
                      <a:fillRect/>
                    </a:stretch>
                  </pic:blipFill>
                  <pic:spPr bwMode="auto">
                    <a:xfrm>
                      <a:off x="0" y="0"/>
                      <a:ext cx="5334000" cy="5334000"/>
                    </a:xfrm>
                    <a:prstGeom prst="rect">
                      <a:avLst/>
                    </a:prstGeom>
                    <a:noFill/>
                    <a:ln w="9525">
                      <a:noFill/>
                      <a:headEnd/>
                      <a:tailEnd/>
                    </a:ln>
                  </pic:spPr>
                </pic:pic>
              </a:graphicData>
            </a:graphic>
          </wp:inline>
        </w:drawing>
      </w:r>
    </w:p>
    <w:p w14:paraId="2B5210A6" w14:textId="2AF7812D" w:rsidR="00BE6FB7" w:rsidRPr="0062574F" w:rsidRDefault="00B135A3" w:rsidP="00BE6FB7">
      <w:pPr>
        <w:pStyle w:val="Caption"/>
        <w:jc w:val="both"/>
      </w:pPr>
      <w:bookmarkStart w:id="209" w:name="_Toc164175104"/>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18</w:t>
      </w:r>
      <w:r w:rsidR="004F13BA">
        <w:rPr>
          <w:noProof/>
        </w:rPr>
        <w:fldChar w:fldCharType="end"/>
      </w:r>
      <w:r>
        <w:t xml:space="preserve">. </w:t>
      </w:r>
      <w:r w:rsidRPr="0A5BE548">
        <w:rPr>
          <w:rFonts w:cstheme="minorBidi"/>
          <w:snapToGrid/>
        </w:rPr>
        <w:t>Percent of stream miles with suboptimal total phosphorus</w:t>
      </w:r>
      <w:r w:rsidR="09EDB138" w:rsidRPr="0A5BE548">
        <w:rPr>
          <w:rFonts w:cstheme="minorBidi"/>
          <w:snapToGrid/>
        </w:rPr>
        <w:t>.</w:t>
      </w:r>
      <w:bookmarkEnd w:id="209"/>
      <w:r w:rsidRPr="0A5BE548">
        <w:rPr>
          <w:rFonts w:cstheme="minorBidi"/>
          <w:snapToGrid/>
        </w:rPr>
        <w:t xml:space="preserve"> From left to right, the vertical dashed lines represent the </w:t>
      </w:r>
      <w:proofErr w:type="gramStart"/>
      <w:r w:rsidRPr="0A5BE548">
        <w:rPr>
          <w:rFonts w:cstheme="minorBidi"/>
          <w:snapToGrid/>
        </w:rPr>
        <w:t>percent</w:t>
      </w:r>
      <w:proofErr w:type="gramEnd"/>
      <w:r w:rsidRPr="0A5BE548">
        <w:rPr>
          <w:rFonts w:cstheme="minorBidi"/>
          <w:snapToGrid/>
        </w:rPr>
        <w:t xml:space="preserve"> of stream miles across Virginia with suboptimal total phosphorus and VSCI/VCPMI below the assessment threshold, respectively. </w:t>
      </w:r>
      <w:proofErr w:type="gramStart"/>
      <w:r w:rsidRPr="0A5BE548">
        <w:rPr>
          <w:rFonts w:cstheme="minorBidi"/>
          <w:snapToGrid/>
        </w:rPr>
        <w:t>Data</w:t>
      </w:r>
      <w:proofErr w:type="gramEnd"/>
      <w:r w:rsidRPr="0A5BE548">
        <w:rPr>
          <w:rFonts w:cstheme="minorBidi"/>
          <w:snapToGrid/>
        </w:rPr>
        <w:t xml:space="preserve"> presented is from 2001 - 2022.</w:t>
      </w:r>
    </w:p>
    <w:p w14:paraId="0655813B"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lastRenderedPageBreak/>
        <w:t xml:space="preserve">Figure 4.4-19 ranks the basins </w:t>
      </w:r>
      <w:proofErr w:type="gramStart"/>
      <w:r w:rsidRPr="00307D28">
        <w:rPr>
          <w:rFonts w:eastAsia="Cambria" w:cstheme="minorHAnsi"/>
          <w:snapToGrid/>
          <w:szCs w:val="24"/>
        </w:rPr>
        <w:t>by</w:t>
      </w:r>
      <w:proofErr w:type="gramEnd"/>
      <w:r w:rsidRPr="00307D28">
        <w:rPr>
          <w:rFonts w:eastAsia="Cambria" w:cstheme="minorHAnsi"/>
          <w:snapToGrid/>
          <w:szCs w:val="24"/>
        </w:rPr>
        <w:t xml:space="preserve"> the highest percentage of stream miles with total nitrogen &gt; 2 mg/L. The Shenandoah, Rappahannock, and Potomac River basins have the highest total nitrogen suboptimal stream miles and are above the statewide </w:t>
      </w:r>
      <w:r>
        <w:rPr>
          <w:rFonts w:eastAsia="Cambria" w:cstheme="minorHAnsi"/>
          <w:snapToGrid/>
          <w:szCs w:val="24"/>
        </w:rPr>
        <w:t xml:space="preserve">suboptimal </w:t>
      </w:r>
      <w:r w:rsidRPr="00307D28">
        <w:rPr>
          <w:rFonts w:eastAsia="Cambria" w:cstheme="minorHAnsi"/>
          <w:snapToGrid/>
          <w:szCs w:val="24"/>
        </w:rPr>
        <w:t>level (3.7%). These basins also display some of the highest percentages of stream miles below the VSCI/VCPMI assessment threshold. The Rappahannock and Potomac River basins each display percentages of suboptimal stream miles for total nitrogen, total phosphorus, and VSCI/VCPMI</w:t>
      </w:r>
      <w:r w:rsidRPr="00307D28">
        <w:rPr>
          <w:rFonts w:eastAsia="Cambria" w:cstheme="minorHAnsi"/>
          <w:snapToGrid/>
          <w:szCs w:val="24"/>
          <w:vertAlign w:val="superscript"/>
        </w:rPr>
        <w:footnoteReference w:id="10"/>
      </w:r>
      <w:r>
        <w:rPr>
          <w:rFonts w:eastAsia="Cambria" w:cstheme="minorHAnsi"/>
          <w:snapToGrid/>
          <w:szCs w:val="24"/>
        </w:rPr>
        <w:t xml:space="preserve"> </w:t>
      </w:r>
      <w:r w:rsidRPr="00307D28">
        <w:rPr>
          <w:rFonts w:eastAsia="Cambria" w:cstheme="minorHAnsi"/>
          <w:snapToGrid/>
          <w:szCs w:val="24"/>
        </w:rPr>
        <w:t xml:space="preserve">above the statewide </w:t>
      </w:r>
      <w:r>
        <w:rPr>
          <w:rFonts w:eastAsia="Cambria" w:cstheme="minorHAnsi"/>
          <w:snapToGrid/>
          <w:szCs w:val="24"/>
        </w:rPr>
        <w:t>suboptimal estimate for these parameters</w:t>
      </w:r>
      <w:r w:rsidRPr="00307D28">
        <w:rPr>
          <w:rFonts w:eastAsia="Cambria" w:cstheme="minorHAnsi"/>
          <w:snapToGrid/>
          <w:szCs w:val="24"/>
        </w:rPr>
        <w:t>.</w:t>
      </w:r>
    </w:p>
    <w:p w14:paraId="194B6E81" w14:textId="77777777" w:rsidR="00B135A3" w:rsidRDefault="00B135A3" w:rsidP="00B135A3">
      <w:pPr>
        <w:keepNext/>
        <w:widowControl/>
        <w:spacing w:before="180" w:after="180"/>
      </w:pPr>
      <w:r w:rsidRPr="00307D28">
        <w:rPr>
          <w:rFonts w:eastAsia="Cambria" w:cstheme="minorHAnsi"/>
          <w:noProof/>
          <w:snapToGrid/>
          <w:szCs w:val="24"/>
        </w:rPr>
        <w:drawing>
          <wp:inline distT="0" distB="0" distL="0" distR="0" wp14:anchorId="235B9A10" wp14:editId="0C320AC4">
            <wp:extent cx="5334000" cy="5334000"/>
            <wp:effectExtent l="0" t="0" r="0" b="0"/>
            <wp:docPr id="1346316664" name="Picture 1346316664" descr="Graphic of Percent of stream miles with suboptimal total nitrogen. From left to right, the vertical dashed lines represent the percent of stream miles across Virginia with suboptimal total nitrogen and biologic condition below the assessment threshold, respectively. Data presented is from 2001 - 2022."/>
            <wp:cNvGraphicFramePr/>
            <a:graphic xmlns:a="http://schemas.openxmlformats.org/drawingml/2006/main">
              <a:graphicData uri="http://schemas.openxmlformats.org/drawingml/2006/picture">
                <pic:pic xmlns:pic="http://schemas.openxmlformats.org/drawingml/2006/picture">
                  <pic:nvPicPr>
                    <pic:cNvPr id="20" name="Picture" descr="Graphic of Percent of stream miles with suboptimal total nitrogen. From left to right, the vertical dashed lines represent the percent of stream miles across Virginia with suboptimal total nitrogen and biologic condition below the assessment threshold, respectively. Data presented is from 2001 - 2022."/>
                    <pic:cNvPicPr>
                      <a:picLocks noChangeAspect="1" noChangeArrowheads="1"/>
                    </pic:cNvPicPr>
                  </pic:nvPicPr>
                  <pic:blipFill>
                    <a:blip r:embed="rId192" cstate="email">
                      <a:extLst>
                        <a:ext uri="{28A0092B-C50C-407E-A947-70E740481C1C}">
                          <a14:useLocalDpi xmlns:a14="http://schemas.microsoft.com/office/drawing/2010/main"/>
                        </a:ext>
                      </a:extLst>
                    </a:blip>
                    <a:stretch>
                      <a:fillRect/>
                    </a:stretch>
                  </pic:blipFill>
                  <pic:spPr bwMode="auto">
                    <a:xfrm>
                      <a:off x="0" y="0"/>
                      <a:ext cx="5334000" cy="5334000"/>
                    </a:xfrm>
                    <a:prstGeom prst="rect">
                      <a:avLst/>
                    </a:prstGeom>
                    <a:noFill/>
                    <a:ln w="9525">
                      <a:noFill/>
                      <a:headEnd/>
                      <a:tailEnd/>
                    </a:ln>
                  </pic:spPr>
                </pic:pic>
              </a:graphicData>
            </a:graphic>
          </wp:inline>
        </w:drawing>
      </w:r>
    </w:p>
    <w:p w14:paraId="38D7B7FF" w14:textId="010A61EF" w:rsidR="00BE6FB7" w:rsidRPr="0062574F" w:rsidRDefault="00B135A3" w:rsidP="0A5BE548">
      <w:pPr>
        <w:pStyle w:val="Caption"/>
        <w:rPr>
          <w:rFonts w:cstheme="minorBidi"/>
          <w:snapToGrid/>
        </w:rPr>
      </w:pPr>
      <w:bookmarkStart w:id="210" w:name="_Toc164175105"/>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19</w:t>
      </w:r>
      <w:r w:rsidR="004F13BA">
        <w:rPr>
          <w:noProof/>
        </w:rPr>
        <w:fldChar w:fldCharType="end"/>
      </w:r>
      <w:r>
        <w:t xml:space="preserve">. </w:t>
      </w:r>
      <w:r w:rsidRPr="0A5BE548">
        <w:rPr>
          <w:rFonts w:cstheme="minorBidi"/>
          <w:snapToGrid/>
        </w:rPr>
        <w:t>Percent of stream miles with suboptimal total nitrogen</w:t>
      </w:r>
      <w:bookmarkEnd w:id="210"/>
      <w:r w:rsidRPr="0A5BE548">
        <w:rPr>
          <w:rFonts w:cstheme="minorBidi"/>
          <w:snapToGrid/>
        </w:rPr>
        <w:t xml:space="preserve">. From left to right, the vertical dashed lines represent the </w:t>
      </w:r>
      <w:proofErr w:type="gramStart"/>
      <w:r w:rsidRPr="0A5BE548">
        <w:rPr>
          <w:rFonts w:cstheme="minorBidi"/>
          <w:snapToGrid/>
        </w:rPr>
        <w:t>percent</w:t>
      </w:r>
      <w:proofErr w:type="gramEnd"/>
      <w:r w:rsidRPr="0A5BE548">
        <w:rPr>
          <w:rFonts w:cstheme="minorBidi"/>
          <w:snapToGrid/>
        </w:rPr>
        <w:t xml:space="preserve"> of stream miles across Virginia with suboptimal total nitrogen and biologic condition below the assessment threshold, respectively. </w:t>
      </w:r>
      <w:proofErr w:type="gramStart"/>
      <w:r w:rsidRPr="0A5BE548">
        <w:rPr>
          <w:rFonts w:cstheme="minorBidi"/>
          <w:snapToGrid/>
        </w:rPr>
        <w:t>Data</w:t>
      </w:r>
      <w:proofErr w:type="gramEnd"/>
      <w:r w:rsidRPr="0A5BE548">
        <w:rPr>
          <w:rFonts w:cstheme="minorBidi"/>
          <w:snapToGrid/>
        </w:rPr>
        <w:t xml:space="preserve"> presented is from 2001 - 2022.</w:t>
      </w:r>
    </w:p>
    <w:p w14:paraId="7DDB1BEF" w14:textId="7FE6159A" w:rsidR="00B135A3" w:rsidRPr="00E77CCC" w:rsidRDefault="00B135A3" w:rsidP="00D24288">
      <w:r>
        <w:rPr>
          <w:snapToGrid/>
        </w:rPr>
        <w:br/>
      </w:r>
    </w:p>
    <w:p w14:paraId="59CB8E31" w14:textId="77777777" w:rsidR="00B135A3" w:rsidRPr="005B7AFC" w:rsidRDefault="00B135A3" w:rsidP="00B135A3">
      <w:pPr>
        <w:pStyle w:val="Heading4"/>
        <w:rPr>
          <w:snapToGrid/>
        </w:rPr>
      </w:pPr>
      <w:r w:rsidRPr="005B7AFC">
        <w:rPr>
          <w:snapToGrid/>
        </w:rPr>
        <w:lastRenderedPageBreak/>
        <w:t>Ionic Strength (Total Dissolved Solids)</w:t>
      </w:r>
    </w:p>
    <w:p w14:paraId="711ADD11" w14:textId="77777777" w:rsidR="00B135A3" w:rsidRPr="005B7AFC" w:rsidRDefault="00B135A3" w:rsidP="00B135A3">
      <w:pPr>
        <w:widowControl/>
        <w:rPr>
          <w:rFonts w:eastAsia="Cambria" w:cstheme="minorHAnsi"/>
          <w:snapToGrid/>
          <w:szCs w:val="24"/>
        </w:rPr>
      </w:pPr>
      <w:r w:rsidRPr="00307D28">
        <w:rPr>
          <w:rFonts w:eastAsia="Cambria" w:cstheme="minorHAnsi"/>
          <w:snapToGrid/>
          <w:szCs w:val="24"/>
        </w:rPr>
        <w:t xml:space="preserve">Ionic strength varies with natural geology but increases significantly in response to anthropogenic activities such as surface mining, </w:t>
      </w:r>
      <w:r>
        <w:rPr>
          <w:rFonts w:eastAsia="Cambria" w:cstheme="minorHAnsi"/>
          <w:snapToGrid/>
          <w:szCs w:val="24"/>
        </w:rPr>
        <w:t xml:space="preserve">deicing and anti-icing </w:t>
      </w:r>
      <w:r w:rsidRPr="00307D28">
        <w:rPr>
          <w:rFonts w:eastAsia="Cambria" w:cstheme="minorHAnsi"/>
          <w:snapToGrid/>
          <w:szCs w:val="24"/>
        </w:rPr>
        <w:t>salts</w:t>
      </w:r>
      <w:r>
        <w:rPr>
          <w:rFonts w:eastAsia="Cambria" w:cstheme="minorHAnsi"/>
          <w:snapToGrid/>
          <w:szCs w:val="24"/>
        </w:rPr>
        <w:t xml:space="preserve"> applied to impervious surfaces</w:t>
      </w:r>
      <w:r w:rsidRPr="00307D28">
        <w:rPr>
          <w:rFonts w:eastAsia="Cambria" w:cstheme="minorHAnsi"/>
          <w:snapToGrid/>
          <w:szCs w:val="24"/>
        </w:rPr>
        <w:t>, or other industrial discharges. DEQ uses total dissolved solids (TDS) to measure ionic strength. Ionic strength is a measure of dissolved ions, dissolved metals, minerals, and organic matter in the water column. Water quality studies have consistently demonstrated that high levels of TDS in the water column impact aquatic life (DEQ 2006b). TDS levels above 350 mg/L increase the likelihood of having a degraded aquatic community and are considered suboptimal (Table 4.4-8). Results are shown in Figure 4.4-20; DEQ estimates that nearly 2% of Virginia streams have TDS levels in the suboptimal range.</w:t>
      </w:r>
    </w:p>
    <w:p w14:paraId="2E9FCB44" w14:textId="77777777" w:rsidR="00B135A3" w:rsidRDefault="00B135A3" w:rsidP="00B135A3">
      <w:pPr>
        <w:keepNext/>
        <w:widowControl/>
        <w:spacing w:before="180" w:after="180"/>
      </w:pPr>
      <w:r w:rsidRPr="00307D28">
        <w:rPr>
          <w:rFonts w:eastAsia="Cambria" w:cstheme="minorHAnsi"/>
          <w:noProof/>
          <w:snapToGrid/>
          <w:szCs w:val="24"/>
        </w:rPr>
        <w:drawing>
          <wp:inline distT="0" distB="0" distL="0" distR="0" wp14:anchorId="76D3C875" wp14:editId="35BE26BE">
            <wp:extent cx="2772075" cy="2079056"/>
            <wp:effectExtent l="0" t="0" r="0" b="0"/>
            <wp:docPr id="271676234" name="Picture 271676234" descr="Bar plot of Estimate of ionic strength condition as measured by TDS in Virginia streams and rivers and associated 95% confidence intervals. Data presented is from 2017 - 2022"/>
            <wp:cNvGraphicFramePr/>
            <a:graphic xmlns:a="http://schemas.openxmlformats.org/drawingml/2006/main">
              <a:graphicData uri="http://schemas.openxmlformats.org/drawingml/2006/picture">
                <pic:pic xmlns:pic="http://schemas.openxmlformats.org/drawingml/2006/picture">
                  <pic:nvPicPr>
                    <pic:cNvPr id="21" name="Picture" descr="Bar plot of Estimate of ionic strength condition as measured by TDS in Virginia streams and rivers and associated 95% confidence intervals. Data presented is from 2017 - 2022"/>
                    <pic:cNvPicPr>
                      <a:picLocks noChangeAspect="1" noChangeArrowheads="1"/>
                    </pic:cNvPicPr>
                  </pic:nvPicPr>
                  <pic:blipFill>
                    <a:blip r:embed="rId193"/>
                    <a:stretch>
                      <a:fillRect/>
                    </a:stretch>
                  </pic:blipFill>
                  <pic:spPr bwMode="auto">
                    <a:xfrm>
                      <a:off x="0" y="0"/>
                      <a:ext cx="2772075" cy="2079056"/>
                    </a:xfrm>
                    <a:prstGeom prst="rect">
                      <a:avLst/>
                    </a:prstGeom>
                    <a:noFill/>
                    <a:ln w="9525">
                      <a:noFill/>
                      <a:headEnd/>
                      <a:tailEnd/>
                    </a:ln>
                  </pic:spPr>
                </pic:pic>
              </a:graphicData>
            </a:graphic>
          </wp:inline>
        </w:drawing>
      </w:r>
    </w:p>
    <w:p w14:paraId="4345AD5F" w14:textId="67623A6E" w:rsidR="00BE6FB7" w:rsidRPr="0062574F" w:rsidRDefault="00B135A3" w:rsidP="0A5BE548">
      <w:pPr>
        <w:pStyle w:val="Caption"/>
        <w:jc w:val="both"/>
        <w:rPr>
          <w:rFonts w:cstheme="minorBidi"/>
          <w:snapToGrid/>
        </w:rPr>
      </w:pPr>
      <w:bookmarkStart w:id="211" w:name="_Toc164175106"/>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20</w:t>
      </w:r>
      <w:r w:rsidR="004F13BA">
        <w:rPr>
          <w:noProof/>
        </w:rPr>
        <w:fldChar w:fldCharType="end"/>
      </w:r>
      <w:r>
        <w:t xml:space="preserve">. </w:t>
      </w:r>
      <w:r w:rsidRPr="0A5BE548">
        <w:rPr>
          <w:rFonts w:cstheme="minorBidi"/>
          <w:snapToGrid/>
        </w:rPr>
        <w:t>Estimate of ionic strength condition as measured by TDS</w:t>
      </w:r>
      <w:r w:rsidR="7172FECD" w:rsidRPr="0A5BE548">
        <w:rPr>
          <w:rFonts w:cstheme="minorBidi"/>
          <w:snapToGrid/>
        </w:rPr>
        <w:t xml:space="preserve"> </w:t>
      </w:r>
      <w:bookmarkEnd w:id="211"/>
      <w:r w:rsidRPr="0A5BE548">
        <w:rPr>
          <w:rFonts w:cstheme="minorBidi"/>
          <w:snapToGrid/>
        </w:rPr>
        <w:t>in Virginia streams and rivers and associated 95% confidence intervals. Data presented is from 2017 – 2022.</w:t>
      </w:r>
    </w:p>
    <w:p w14:paraId="5E00B149" w14:textId="77777777" w:rsidR="00D24288" w:rsidRPr="00D24288" w:rsidRDefault="00D24288" w:rsidP="00D24288"/>
    <w:p w14:paraId="6318DBCB"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 xml:space="preserve">The southwest corner of Virginia, where resource extraction has traditionally occurred, has the highest percentages of stream miles with suboptimal total dissolved solids (Figure 4.4-21). These </w:t>
      </w:r>
      <w:r>
        <w:rPr>
          <w:rFonts w:eastAsia="Cambria" w:cstheme="minorHAnsi"/>
          <w:snapToGrid/>
          <w:szCs w:val="24"/>
        </w:rPr>
        <w:t>river</w:t>
      </w:r>
      <w:r w:rsidRPr="00307D28">
        <w:rPr>
          <w:rFonts w:eastAsia="Cambria" w:cstheme="minorHAnsi"/>
          <w:snapToGrid/>
          <w:szCs w:val="24"/>
        </w:rPr>
        <w:t xml:space="preserve"> basins include the Big Sandy, Clinch-Powell, and New. </w:t>
      </w:r>
      <w:bookmarkStart w:id="212" w:name="_Hlk160178473"/>
      <w:r w:rsidRPr="00307D28">
        <w:rPr>
          <w:rFonts w:eastAsia="Cambria" w:cstheme="minorHAnsi"/>
          <w:snapToGrid/>
          <w:szCs w:val="24"/>
        </w:rPr>
        <w:t>A</w:t>
      </w:r>
      <w:r>
        <w:rPr>
          <w:rFonts w:eastAsia="Cambria" w:cstheme="minorHAnsi"/>
          <w:snapToGrid/>
          <w:szCs w:val="24"/>
        </w:rPr>
        <w:t xml:space="preserve">n additional </w:t>
      </w:r>
      <w:r w:rsidRPr="00307D28">
        <w:rPr>
          <w:rFonts w:eastAsia="Cambria" w:cstheme="minorHAnsi"/>
          <w:snapToGrid/>
          <w:szCs w:val="24"/>
        </w:rPr>
        <w:t xml:space="preserve">basin </w:t>
      </w:r>
      <w:r>
        <w:rPr>
          <w:rFonts w:eastAsia="Cambria" w:cstheme="minorHAnsi"/>
          <w:snapToGrid/>
          <w:szCs w:val="24"/>
        </w:rPr>
        <w:t xml:space="preserve">near </w:t>
      </w:r>
      <w:r w:rsidRPr="00307D28">
        <w:rPr>
          <w:rFonts w:eastAsia="Cambria" w:cstheme="minorHAnsi"/>
          <w:snapToGrid/>
          <w:szCs w:val="24"/>
        </w:rPr>
        <w:t>the</w:t>
      </w:r>
      <w:r>
        <w:rPr>
          <w:rFonts w:eastAsia="Cambria" w:cstheme="minorHAnsi"/>
          <w:snapToGrid/>
          <w:szCs w:val="24"/>
        </w:rPr>
        <w:t xml:space="preserve"> </w:t>
      </w:r>
      <w:r w:rsidRPr="00307D28">
        <w:rPr>
          <w:rFonts w:eastAsia="Cambria" w:cstheme="minorHAnsi"/>
          <w:snapToGrid/>
          <w:szCs w:val="24"/>
        </w:rPr>
        <w:t xml:space="preserve">Virginia </w:t>
      </w:r>
      <w:r>
        <w:rPr>
          <w:rFonts w:eastAsia="Cambria" w:cstheme="minorHAnsi"/>
          <w:snapToGrid/>
          <w:szCs w:val="24"/>
        </w:rPr>
        <w:t>suboptimal</w:t>
      </w:r>
      <w:r w:rsidRPr="00307D28">
        <w:rPr>
          <w:rFonts w:eastAsia="Cambria" w:cstheme="minorHAnsi"/>
          <w:snapToGrid/>
          <w:szCs w:val="24"/>
        </w:rPr>
        <w:t xml:space="preserve"> </w:t>
      </w:r>
      <w:r>
        <w:rPr>
          <w:rFonts w:eastAsia="Cambria" w:cstheme="minorHAnsi"/>
          <w:snapToGrid/>
          <w:szCs w:val="24"/>
        </w:rPr>
        <w:t xml:space="preserve">extent </w:t>
      </w:r>
      <w:r w:rsidRPr="00307D28">
        <w:rPr>
          <w:rFonts w:eastAsia="Cambria" w:cstheme="minorHAnsi"/>
          <w:snapToGrid/>
          <w:szCs w:val="24"/>
        </w:rPr>
        <w:t xml:space="preserve">for stream miles with suboptimal total dissolved solids (2.3% for 2001 - 2022) </w:t>
      </w:r>
      <w:r>
        <w:rPr>
          <w:rFonts w:eastAsia="Cambria" w:cstheme="minorHAnsi"/>
          <w:snapToGrid/>
          <w:szCs w:val="24"/>
        </w:rPr>
        <w:t>is</w:t>
      </w:r>
      <w:r w:rsidRPr="00307D28">
        <w:rPr>
          <w:rFonts w:eastAsia="Cambria" w:cstheme="minorHAnsi"/>
          <w:snapToGrid/>
          <w:szCs w:val="24"/>
        </w:rPr>
        <w:t xml:space="preserve"> the Potomac basin.</w:t>
      </w:r>
      <w:bookmarkEnd w:id="212"/>
      <w:r w:rsidRPr="00307D28">
        <w:rPr>
          <w:rFonts w:eastAsia="Cambria" w:cstheme="minorHAnsi"/>
          <w:snapToGrid/>
          <w:szCs w:val="24"/>
        </w:rPr>
        <w:t xml:space="preserve"> This basin drains areas of the state with concentrated population centers where urban run-off and industrial processes could be contributing to higher instream ionic strength (Paul &amp; Meyer 2001). Stream miles with suboptimal total dissolved solids are not widespread statewide. In most basins, total dissolved solids do not appear to be a major </w:t>
      </w:r>
      <w:r>
        <w:rPr>
          <w:rFonts w:eastAsia="Cambria" w:cstheme="minorHAnsi"/>
          <w:snapToGrid/>
          <w:szCs w:val="24"/>
        </w:rPr>
        <w:t xml:space="preserve">contributing factor </w:t>
      </w:r>
      <w:r w:rsidRPr="00307D28">
        <w:rPr>
          <w:rFonts w:eastAsia="Cambria" w:cstheme="minorHAnsi"/>
          <w:snapToGrid/>
          <w:szCs w:val="24"/>
        </w:rPr>
        <w:t>for the percentage of stream miles below the biological threshold</w:t>
      </w:r>
      <w:r w:rsidRPr="00307D28">
        <w:rPr>
          <w:rFonts w:eastAsia="Cambria" w:cstheme="minorHAnsi"/>
          <w:snapToGrid/>
          <w:szCs w:val="24"/>
          <w:vertAlign w:val="superscript"/>
        </w:rPr>
        <w:footnoteReference w:id="11"/>
      </w:r>
      <w:r w:rsidRPr="00307D28">
        <w:rPr>
          <w:rFonts w:eastAsia="Cambria" w:cstheme="minorHAnsi"/>
          <w:snapToGrid/>
          <w:szCs w:val="24"/>
        </w:rPr>
        <w:t>.</w:t>
      </w:r>
    </w:p>
    <w:p w14:paraId="4BB4E31F" w14:textId="77777777" w:rsidR="00B135A3" w:rsidRDefault="00B135A3" w:rsidP="00B135A3">
      <w:pPr>
        <w:keepNext/>
        <w:widowControl/>
        <w:spacing w:before="180" w:after="180"/>
      </w:pPr>
      <w:r w:rsidRPr="00307D28">
        <w:rPr>
          <w:rFonts w:eastAsia="Cambria" w:cstheme="minorHAnsi"/>
          <w:noProof/>
          <w:snapToGrid/>
          <w:szCs w:val="24"/>
        </w:rPr>
        <w:lastRenderedPageBreak/>
        <w:drawing>
          <wp:inline distT="0" distB="0" distL="0" distR="0" wp14:anchorId="5AE112C6" wp14:editId="079A2846">
            <wp:extent cx="5334000" cy="5334000"/>
            <wp:effectExtent l="0" t="0" r="0" b="0"/>
            <wp:docPr id="361160444" name="Picture 361160444" descr="Graphic of Percent of stream miles with suboptimal ionic strength as measured by TDS. From left to right, the vertical dashed lines represent the percent of stream miles across Virginia with suboptimal total dissolved solids and moderately to severely stressed biological communities, respectively. Data presented is from 2001 - 2022."/>
            <wp:cNvGraphicFramePr/>
            <a:graphic xmlns:a="http://schemas.openxmlformats.org/drawingml/2006/main">
              <a:graphicData uri="http://schemas.openxmlformats.org/drawingml/2006/picture">
                <pic:pic xmlns:pic="http://schemas.openxmlformats.org/drawingml/2006/picture">
                  <pic:nvPicPr>
                    <pic:cNvPr id="22" name="Picture" descr="Graphic of Percent of stream miles with suboptimal ionic strength as measured by TDS. From left to right, the vertical dashed lines represent the percent of stream miles across Virginia with suboptimal total dissolved solids and moderately to severely stressed biological communities, respectively. Data presented is from 2001 - 2022."/>
                    <pic:cNvPicPr>
                      <a:picLocks noChangeAspect="1" noChangeArrowheads="1"/>
                    </pic:cNvPicPr>
                  </pic:nvPicPr>
                  <pic:blipFill>
                    <a:blip r:embed="rId194" cstate="email">
                      <a:extLst>
                        <a:ext uri="{28A0092B-C50C-407E-A947-70E740481C1C}">
                          <a14:useLocalDpi xmlns:a14="http://schemas.microsoft.com/office/drawing/2010/main"/>
                        </a:ext>
                      </a:extLst>
                    </a:blip>
                    <a:stretch>
                      <a:fillRect/>
                    </a:stretch>
                  </pic:blipFill>
                  <pic:spPr bwMode="auto">
                    <a:xfrm>
                      <a:off x="0" y="0"/>
                      <a:ext cx="5334000" cy="5334000"/>
                    </a:xfrm>
                    <a:prstGeom prst="rect">
                      <a:avLst/>
                    </a:prstGeom>
                    <a:noFill/>
                    <a:ln w="9525">
                      <a:noFill/>
                      <a:headEnd/>
                      <a:tailEnd/>
                    </a:ln>
                  </pic:spPr>
                </pic:pic>
              </a:graphicData>
            </a:graphic>
          </wp:inline>
        </w:drawing>
      </w:r>
    </w:p>
    <w:p w14:paraId="5B6E9088" w14:textId="3FF381A1" w:rsidR="00BA520B" w:rsidRPr="00DC73F1" w:rsidRDefault="00B135A3" w:rsidP="0A5BE548">
      <w:pPr>
        <w:pStyle w:val="Caption"/>
        <w:keepNext/>
        <w:rPr>
          <w:rFonts w:cstheme="minorBidi"/>
          <w:snapToGrid/>
        </w:rPr>
      </w:pPr>
      <w:bookmarkStart w:id="213" w:name="_Toc164175107"/>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21</w:t>
      </w:r>
      <w:r w:rsidR="004F13BA">
        <w:rPr>
          <w:noProof/>
        </w:rPr>
        <w:fldChar w:fldCharType="end"/>
      </w:r>
      <w:r>
        <w:t xml:space="preserve">. </w:t>
      </w:r>
      <w:r w:rsidRPr="0A5BE548">
        <w:rPr>
          <w:rFonts w:cstheme="minorBidi"/>
          <w:snapToGrid/>
        </w:rPr>
        <w:t>Percent of stream miles with suboptimal ionic strength as measured by TDS</w:t>
      </w:r>
      <w:bookmarkEnd w:id="213"/>
      <w:r w:rsidRPr="0A5BE548">
        <w:rPr>
          <w:rFonts w:cstheme="minorBidi"/>
          <w:snapToGrid/>
        </w:rPr>
        <w:t xml:space="preserve">. From left to right, the vertical dashed lines represent the percent of stream miles across Virginia with suboptimal total dissolved solids and moderately to severely stressed biological communities, respectively. </w:t>
      </w:r>
      <w:proofErr w:type="gramStart"/>
      <w:r w:rsidRPr="0A5BE548">
        <w:rPr>
          <w:rFonts w:cstheme="minorBidi"/>
          <w:snapToGrid/>
        </w:rPr>
        <w:t>Data</w:t>
      </w:r>
      <w:proofErr w:type="gramEnd"/>
      <w:r w:rsidRPr="0A5BE548">
        <w:rPr>
          <w:rFonts w:cstheme="minorBidi"/>
          <w:snapToGrid/>
        </w:rPr>
        <w:t xml:space="preserve"> presented is from 2001 - 2022.</w:t>
      </w:r>
    </w:p>
    <w:p w14:paraId="7579F712" w14:textId="2B68ECA1" w:rsidR="00B135A3" w:rsidRPr="00BD5A50" w:rsidRDefault="00B135A3" w:rsidP="00D24288"/>
    <w:p w14:paraId="6308736F" w14:textId="77777777" w:rsidR="00B135A3" w:rsidRPr="005B7AFC" w:rsidRDefault="00B135A3" w:rsidP="00B135A3">
      <w:pPr>
        <w:pStyle w:val="Heading4"/>
        <w:rPr>
          <w:snapToGrid/>
        </w:rPr>
      </w:pPr>
      <w:r w:rsidRPr="005B7AFC">
        <w:rPr>
          <w:snapToGrid/>
        </w:rPr>
        <w:t>Cumulative Dissolved Metals (Cumulative Criterion Unit Metals Index)</w:t>
      </w:r>
    </w:p>
    <w:p w14:paraId="564159F1"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Heavy metals such as mercury, chromium, cadmium, arsenic, and lead in streams and rivers can be harmful to aquatic insects at low concentrations. These metals tend to accumulate in the gills and muscles of aquatic organisms. Dissolved metals are important predictors of stream health. The toxicity of many metals is dependent on water hardness, making it necessary to calculate site specific water quality criteria from hardness values.</w:t>
      </w:r>
      <w:r>
        <w:rPr>
          <w:rFonts w:eastAsia="Cambria" w:cstheme="minorHAnsi"/>
          <w:snapToGrid/>
          <w:szCs w:val="24"/>
        </w:rPr>
        <w:br/>
      </w:r>
    </w:p>
    <w:p w14:paraId="24244C9E"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In the context of water quality criteria, dissolved metals are typically treated independently (as discussed in Section 4.4.3); however, there is strong evidence that metals have a cumulative effect (Clements 2000). Cumulative Criterion Units (CCU) account for this additive effect by standardizing each dissolved metal’s concentration. The standardized metals concentrations are summed, and the result is the CCU Metals Index score. When the CCU Metals Index is above </w:t>
      </w:r>
      <w:r w:rsidRPr="00307D28">
        <w:rPr>
          <w:rFonts w:eastAsia="Cambria" w:cstheme="minorHAnsi"/>
          <w:snapToGrid/>
          <w:szCs w:val="24"/>
        </w:rPr>
        <w:lastRenderedPageBreak/>
        <w:t xml:space="preserve">2, the cumulative effect is considered likely to harm aquatic life (Clements 2000). </w:t>
      </w:r>
      <w:r>
        <w:rPr>
          <w:rFonts w:eastAsia="Cambria" w:cstheme="minorHAnsi"/>
          <w:snapToGrid/>
          <w:szCs w:val="24"/>
        </w:rPr>
        <w:t xml:space="preserve">Metals, as evaluated using the Index, have </w:t>
      </w:r>
      <w:proofErr w:type="gramStart"/>
      <w:r w:rsidRPr="00307D28">
        <w:rPr>
          <w:rFonts w:eastAsia="Cambria" w:cstheme="minorHAnsi"/>
          <w:snapToGrid/>
          <w:szCs w:val="24"/>
        </w:rPr>
        <w:t>DEQ</w:t>
      </w:r>
      <w:proofErr w:type="gramEnd"/>
      <w:r w:rsidRPr="00307D28">
        <w:rPr>
          <w:rFonts w:eastAsia="Cambria" w:cstheme="minorHAnsi"/>
          <w:snapToGrid/>
          <w:szCs w:val="24"/>
        </w:rPr>
        <w:t xml:space="preserve"> </w:t>
      </w:r>
      <w:proofErr w:type="gramStart"/>
      <w:r w:rsidRPr="00307D28">
        <w:rPr>
          <w:rFonts w:eastAsia="Cambria" w:cstheme="minorHAnsi"/>
          <w:snapToGrid/>
          <w:szCs w:val="24"/>
        </w:rPr>
        <w:t>estimates</w:t>
      </w:r>
      <w:proofErr w:type="gramEnd"/>
      <w:r w:rsidRPr="00307D28">
        <w:rPr>
          <w:rFonts w:eastAsia="Cambria" w:cstheme="minorHAnsi"/>
          <w:snapToGrid/>
          <w:szCs w:val="24"/>
        </w:rPr>
        <w:t xml:space="preserve"> that 1.3% of river miles in Virginia have CCU</w:t>
      </w:r>
      <w:r>
        <w:rPr>
          <w:rFonts w:eastAsia="Cambria" w:cstheme="minorHAnsi"/>
          <w:snapToGrid/>
          <w:szCs w:val="24"/>
        </w:rPr>
        <w:t xml:space="preserve"> </w:t>
      </w:r>
      <w:r w:rsidRPr="00307D28">
        <w:rPr>
          <w:rFonts w:eastAsia="Cambria" w:cstheme="minorHAnsi"/>
          <w:snapToGrid/>
          <w:szCs w:val="24"/>
        </w:rPr>
        <w:t>Metals Index scores that are considered suboptimal (Figure 4.4-22; Table 4.4-8).</w:t>
      </w:r>
    </w:p>
    <w:p w14:paraId="14AEC147" w14:textId="77777777" w:rsidR="00D24288" w:rsidRPr="00307D28" w:rsidRDefault="00D24288" w:rsidP="00B135A3">
      <w:pPr>
        <w:widowControl/>
        <w:rPr>
          <w:rFonts w:eastAsia="Cambria" w:cstheme="minorHAnsi"/>
          <w:snapToGrid/>
          <w:szCs w:val="24"/>
        </w:rPr>
      </w:pPr>
    </w:p>
    <w:p w14:paraId="1F9C099D" w14:textId="77777777" w:rsidR="00B135A3" w:rsidRDefault="00B135A3" w:rsidP="00B135A3">
      <w:pPr>
        <w:keepNext/>
        <w:widowControl/>
        <w:spacing w:before="180" w:after="180"/>
      </w:pPr>
      <w:r w:rsidRPr="005B7AFC">
        <w:rPr>
          <w:rFonts w:eastAsia="Cambria" w:cstheme="minorHAnsi"/>
          <w:noProof/>
          <w:snapToGrid/>
          <w:szCs w:val="24"/>
        </w:rPr>
        <w:drawing>
          <wp:inline distT="0" distB="0" distL="0" distR="0" wp14:anchorId="4007BFF3" wp14:editId="045BA1CD">
            <wp:extent cx="2772075" cy="2079056"/>
            <wp:effectExtent l="0" t="0" r="0" b="0"/>
            <wp:docPr id="1866296750" name="Picture 1866296750" descr="Bar plot of Estimate of CCU Metals Index in Virginia streams and rivers and associated 95% confidence intervals. Data presented is from 2017 - 2022."/>
            <wp:cNvGraphicFramePr/>
            <a:graphic xmlns:a="http://schemas.openxmlformats.org/drawingml/2006/main">
              <a:graphicData uri="http://schemas.openxmlformats.org/drawingml/2006/picture">
                <pic:pic xmlns:pic="http://schemas.openxmlformats.org/drawingml/2006/picture">
                  <pic:nvPicPr>
                    <pic:cNvPr id="23" name="Picture" descr="Bar plot of Estimate of CCU Metals Index in Virginia streams and rivers and associated 95% confidence intervals. Data presented is from 2017 - 2022."/>
                    <pic:cNvPicPr>
                      <a:picLocks noChangeAspect="1" noChangeArrowheads="1"/>
                    </pic:cNvPicPr>
                  </pic:nvPicPr>
                  <pic:blipFill>
                    <a:blip r:embed="rId195"/>
                    <a:stretch>
                      <a:fillRect/>
                    </a:stretch>
                  </pic:blipFill>
                  <pic:spPr bwMode="auto">
                    <a:xfrm>
                      <a:off x="0" y="0"/>
                      <a:ext cx="2772075" cy="2079056"/>
                    </a:xfrm>
                    <a:prstGeom prst="rect">
                      <a:avLst/>
                    </a:prstGeom>
                    <a:noFill/>
                    <a:ln w="9525">
                      <a:noFill/>
                      <a:headEnd/>
                      <a:tailEnd/>
                    </a:ln>
                  </pic:spPr>
                </pic:pic>
              </a:graphicData>
            </a:graphic>
          </wp:inline>
        </w:drawing>
      </w:r>
    </w:p>
    <w:p w14:paraId="29A452F3" w14:textId="7D030511" w:rsidR="00B135A3" w:rsidRPr="00D237D4" w:rsidRDefault="00B135A3" w:rsidP="0A5BE548">
      <w:pPr>
        <w:pStyle w:val="Caption"/>
        <w:keepNext/>
        <w:rPr>
          <w:rFonts w:cstheme="minorBidi"/>
          <w:snapToGrid/>
        </w:rPr>
      </w:pPr>
      <w:bookmarkStart w:id="214" w:name="_Toc164175108"/>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22</w:t>
      </w:r>
      <w:r w:rsidR="004F13BA">
        <w:rPr>
          <w:noProof/>
        </w:rPr>
        <w:fldChar w:fldCharType="end"/>
      </w:r>
      <w:r>
        <w:t xml:space="preserve">. </w:t>
      </w:r>
      <w:r w:rsidRPr="0A5BE548">
        <w:rPr>
          <w:rFonts w:cstheme="minorBidi"/>
          <w:snapToGrid/>
        </w:rPr>
        <w:t>Estimate of CCU Metals Index in Virginia streams and rivers</w:t>
      </w:r>
      <w:r w:rsidR="50938ED5" w:rsidRPr="0A5BE548">
        <w:rPr>
          <w:rFonts w:cstheme="minorBidi"/>
          <w:snapToGrid/>
        </w:rPr>
        <w:t xml:space="preserve"> </w:t>
      </w:r>
      <w:bookmarkEnd w:id="214"/>
      <w:r w:rsidRPr="0A5BE548">
        <w:rPr>
          <w:rFonts w:cstheme="minorBidi"/>
          <w:snapToGrid/>
        </w:rPr>
        <w:t xml:space="preserve">and associated 95% confidence intervals. </w:t>
      </w:r>
      <w:proofErr w:type="gramStart"/>
      <w:r w:rsidRPr="0A5BE548">
        <w:rPr>
          <w:rFonts w:cstheme="minorBidi"/>
          <w:snapToGrid/>
        </w:rPr>
        <w:t>Data</w:t>
      </w:r>
      <w:proofErr w:type="gramEnd"/>
      <w:r w:rsidRPr="0A5BE548">
        <w:rPr>
          <w:rFonts w:cstheme="minorBidi"/>
          <w:snapToGrid/>
        </w:rPr>
        <w:t xml:space="preserve"> presented is from 2017 - 2022.</w:t>
      </w:r>
    </w:p>
    <w:p w14:paraId="16E1CA2A" w14:textId="2D15185C" w:rsidR="00B135A3" w:rsidRPr="005B7AFC" w:rsidRDefault="00B135A3" w:rsidP="00D24288">
      <w:pPr>
        <w:rPr>
          <w:rFonts w:eastAsia="Cambria"/>
          <w:snapToGrid/>
        </w:rPr>
      </w:pPr>
    </w:p>
    <w:p w14:paraId="6F156E71"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 xml:space="preserve">Dissolved metals are not a widespread issue affecting many major basins across Virginia (Figure 4.4-23). </w:t>
      </w:r>
      <w:bookmarkStart w:id="215" w:name="_Hlk160178671"/>
      <w:r w:rsidRPr="00307D28">
        <w:rPr>
          <w:rFonts w:eastAsia="Cambria" w:cstheme="minorHAnsi"/>
          <w:snapToGrid/>
          <w:szCs w:val="24"/>
        </w:rPr>
        <w:t>The Rappahannock, Potomac, Chowan, and York River basins all contain stream miles with water column metals levels above the</w:t>
      </w:r>
      <w:r>
        <w:rPr>
          <w:rFonts w:eastAsia="Cambria" w:cstheme="minorHAnsi"/>
          <w:snapToGrid/>
          <w:szCs w:val="24"/>
        </w:rPr>
        <w:t xml:space="preserve"> estimated</w:t>
      </w:r>
      <w:r w:rsidRPr="00307D28">
        <w:rPr>
          <w:rFonts w:eastAsia="Cambria" w:cstheme="minorHAnsi"/>
          <w:snapToGrid/>
          <w:szCs w:val="24"/>
        </w:rPr>
        <w:t xml:space="preserve"> </w:t>
      </w:r>
      <w:r>
        <w:rPr>
          <w:rFonts w:eastAsia="Cambria" w:cstheme="minorHAnsi"/>
          <w:snapToGrid/>
          <w:szCs w:val="24"/>
        </w:rPr>
        <w:t xml:space="preserve">suboptimal condition in </w:t>
      </w:r>
      <w:r w:rsidRPr="00307D28">
        <w:rPr>
          <w:rFonts w:eastAsia="Cambria" w:cstheme="minorHAnsi"/>
          <w:snapToGrid/>
          <w:szCs w:val="24"/>
        </w:rPr>
        <w:t xml:space="preserve">Virginia (1.5% </w:t>
      </w:r>
      <w:r>
        <w:rPr>
          <w:rFonts w:eastAsia="Cambria" w:cstheme="minorHAnsi"/>
          <w:snapToGrid/>
          <w:szCs w:val="24"/>
        </w:rPr>
        <w:t xml:space="preserve">of stream miles </w:t>
      </w:r>
      <w:r w:rsidRPr="00307D28">
        <w:rPr>
          <w:rFonts w:eastAsia="Cambria" w:cstheme="minorHAnsi"/>
          <w:snapToGrid/>
          <w:szCs w:val="24"/>
        </w:rPr>
        <w:t xml:space="preserve">for 2001 - 2022). </w:t>
      </w:r>
      <w:bookmarkEnd w:id="215"/>
      <w:proofErr w:type="gramStart"/>
      <w:r w:rsidRPr="00307D28">
        <w:rPr>
          <w:rFonts w:eastAsia="Cambria" w:cstheme="minorHAnsi"/>
          <w:snapToGrid/>
          <w:szCs w:val="24"/>
        </w:rPr>
        <w:t>The majority of</w:t>
      </w:r>
      <w:proofErr w:type="gramEnd"/>
      <w:r w:rsidRPr="00307D28">
        <w:rPr>
          <w:rFonts w:eastAsia="Cambria" w:cstheme="minorHAnsi"/>
          <w:snapToGrid/>
          <w:szCs w:val="24"/>
        </w:rPr>
        <w:t xml:space="preserve"> basins in Virginia do not have any stream miles that fall into the suboptimal category for water column metals</w:t>
      </w:r>
      <w:r w:rsidRPr="00307D28">
        <w:rPr>
          <w:rFonts w:eastAsia="Cambria" w:cstheme="minorHAnsi"/>
          <w:snapToGrid/>
          <w:szCs w:val="24"/>
          <w:vertAlign w:val="superscript"/>
        </w:rPr>
        <w:footnoteReference w:id="12"/>
      </w:r>
      <w:r w:rsidRPr="00307D28">
        <w:rPr>
          <w:rFonts w:eastAsia="Cambria" w:cstheme="minorHAnsi"/>
          <w:snapToGrid/>
          <w:szCs w:val="24"/>
        </w:rPr>
        <w:t>.</w:t>
      </w:r>
      <w:r>
        <w:rPr>
          <w:rFonts w:eastAsia="Cambria" w:cstheme="minorHAnsi"/>
          <w:snapToGrid/>
          <w:szCs w:val="24"/>
        </w:rPr>
        <w:br/>
      </w:r>
      <w:r>
        <w:rPr>
          <w:rFonts w:eastAsia="Cambria" w:cstheme="minorHAnsi"/>
          <w:snapToGrid/>
          <w:szCs w:val="24"/>
        </w:rPr>
        <w:br/>
      </w:r>
      <w:r w:rsidRPr="00307D28">
        <w:rPr>
          <w:rFonts w:eastAsia="Cambria" w:cstheme="minorHAnsi"/>
          <w:snapToGrid/>
          <w:szCs w:val="24"/>
        </w:rPr>
        <w:t>Figure 4.4-24 combines the major river basin ranks for each of the respective screening value parameters relative to the VSCI/VCPMI</w:t>
      </w:r>
      <w:r>
        <w:rPr>
          <w:rFonts w:eastAsia="Cambria" w:cstheme="minorHAnsi"/>
          <w:snapToGrid/>
          <w:szCs w:val="24"/>
        </w:rPr>
        <w:t xml:space="preserve"> </w:t>
      </w:r>
      <w:r w:rsidRPr="00307D28">
        <w:rPr>
          <w:rFonts w:eastAsia="Cambria" w:cstheme="minorHAnsi"/>
          <w:snapToGrid/>
          <w:szCs w:val="24"/>
        </w:rPr>
        <w:t xml:space="preserve">to summarize the percent of stream miles that are suboptimal. Basins were ranked from one (1) to eleven (11) for each parameter, with a rank of 1 corresponding to the basin with the most stream miles in the suboptimal range and a rank of 11 where the fewest stream miles fall into the suboptimal range. Where basins displayed identical measures for a given parameter, many basins share a particular rank (e.g. Total dissolved solids and CCU metals). The condition estimate between ranks can be very close, resulting in minimal relative difference among basins, thus referencing the </w:t>
      </w:r>
      <w:proofErr w:type="spellStart"/>
      <w:r w:rsidRPr="00307D28">
        <w:rPr>
          <w:rFonts w:eastAsia="Cambria" w:cstheme="minorHAnsi"/>
          <w:snapToGrid/>
          <w:szCs w:val="24"/>
        </w:rPr>
        <w:t>micromap</w:t>
      </w:r>
      <w:proofErr w:type="spellEnd"/>
      <w:r w:rsidRPr="00307D28">
        <w:rPr>
          <w:rFonts w:eastAsia="Cambria" w:cstheme="minorHAnsi"/>
          <w:snapToGrid/>
          <w:szCs w:val="24"/>
        </w:rPr>
        <w:t xml:space="preserve"> for each individual parameter is critical for understanding the stressor</w:t>
      </w:r>
      <w:r>
        <w:rPr>
          <w:rFonts w:eastAsia="Cambria" w:cstheme="minorHAnsi"/>
          <w:snapToGrid/>
          <w:szCs w:val="24"/>
        </w:rPr>
        <w:t>’s</w:t>
      </w:r>
      <w:r w:rsidRPr="00307D28">
        <w:rPr>
          <w:rFonts w:eastAsia="Cambria" w:cstheme="minorHAnsi"/>
          <w:snapToGrid/>
          <w:szCs w:val="24"/>
        </w:rPr>
        <w:t xml:space="preserve"> </w:t>
      </w:r>
      <w:r>
        <w:rPr>
          <w:rFonts w:eastAsia="Cambria" w:cstheme="minorHAnsi"/>
          <w:snapToGrid/>
          <w:szCs w:val="24"/>
        </w:rPr>
        <w:t>relative influence</w:t>
      </w:r>
      <w:r w:rsidRPr="00307D28">
        <w:rPr>
          <w:rFonts w:eastAsia="Cambria" w:cstheme="minorHAnsi"/>
          <w:snapToGrid/>
          <w:szCs w:val="24"/>
        </w:rPr>
        <w:t>.</w:t>
      </w:r>
    </w:p>
    <w:p w14:paraId="243AE64E" w14:textId="77777777" w:rsidR="00B135A3" w:rsidRPr="00307D28" w:rsidRDefault="00B135A3" w:rsidP="00B135A3">
      <w:pPr>
        <w:widowControl/>
        <w:rPr>
          <w:rFonts w:eastAsia="Cambria" w:cstheme="minorHAnsi"/>
          <w:snapToGrid/>
          <w:szCs w:val="24"/>
        </w:rPr>
      </w:pPr>
    </w:p>
    <w:p w14:paraId="02A1FE8E" w14:textId="77777777" w:rsidR="00B135A3" w:rsidRDefault="00B135A3" w:rsidP="00B135A3">
      <w:pPr>
        <w:keepNext/>
        <w:widowControl/>
        <w:spacing w:before="180" w:after="180"/>
      </w:pPr>
      <w:r w:rsidRPr="00307D28">
        <w:rPr>
          <w:rFonts w:eastAsia="Cambria" w:cstheme="minorHAnsi"/>
          <w:noProof/>
          <w:snapToGrid/>
          <w:szCs w:val="24"/>
        </w:rPr>
        <w:lastRenderedPageBreak/>
        <w:drawing>
          <wp:inline distT="0" distB="0" distL="0" distR="0" wp14:anchorId="4A5AE4C1" wp14:editId="1C068B32">
            <wp:extent cx="5334000" cy="5334000"/>
            <wp:effectExtent l="0" t="0" r="0" b="0"/>
            <wp:docPr id="1396566005" name="Picture 1396566005" descr="Graphic of Percent of stream miles with suboptimal levels of cumulative dissolved metals. From left to right, the vertical dashed lines represent the percent of stream miles across Virginia with suboptimal cumulative dissolved metals and moderately to severely stressed biological communities, respectively. Data presented is from 2001 - 2022."/>
            <wp:cNvGraphicFramePr/>
            <a:graphic xmlns:a="http://schemas.openxmlformats.org/drawingml/2006/main">
              <a:graphicData uri="http://schemas.openxmlformats.org/drawingml/2006/picture">
                <pic:pic xmlns:pic="http://schemas.openxmlformats.org/drawingml/2006/picture">
                  <pic:nvPicPr>
                    <pic:cNvPr id="24" name="Picture" descr="Graphic of Percent of stream miles with suboptimal levels of cumulative dissolved metals. From left to right, the vertical dashed lines represent the percent of stream miles across Virginia with suboptimal cumulative dissolved metals and moderately to severely stressed biological communities, respectively. Data presented is from 2001 - 2022."/>
                    <pic:cNvPicPr>
                      <a:picLocks noChangeAspect="1" noChangeArrowheads="1"/>
                    </pic:cNvPicPr>
                  </pic:nvPicPr>
                  <pic:blipFill>
                    <a:blip r:embed="rId196" cstate="email">
                      <a:extLst>
                        <a:ext uri="{28A0092B-C50C-407E-A947-70E740481C1C}">
                          <a14:useLocalDpi xmlns:a14="http://schemas.microsoft.com/office/drawing/2010/main"/>
                        </a:ext>
                      </a:extLst>
                    </a:blip>
                    <a:stretch>
                      <a:fillRect/>
                    </a:stretch>
                  </pic:blipFill>
                  <pic:spPr bwMode="auto">
                    <a:xfrm>
                      <a:off x="0" y="0"/>
                      <a:ext cx="5334000" cy="5334000"/>
                    </a:xfrm>
                    <a:prstGeom prst="rect">
                      <a:avLst/>
                    </a:prstGeom>
                    <a:noFill/>
                    <a:ln w="9525">
                      <a:noFill/>
                      <a:headEnd/>
                      <a:tailEnd/>
                    </a:ln>
                  </pic:spPr>
                </pic:pic>
              </a:graphicData>
            </a:graphic>
          </wp:inline>
        </w:drawing>
      </w:r>
    </w:p>
    <w:p w14:paraId="4715D855" w14:textId="5019F9D3" w:rsidR="00BA520B" w:rsidRPr="00DC73F1" w:rsidRDefault="00B135A3" w:rsidP="0A5BE548">
      <w:pPr>
        <w:pStyle w:val="Caption"/>
        <w:keepNext/>
        <w:rPr>
          <w:rFonts w:cstheme="minorBidi"/>
          <w:snapToGrid/>
        </w:rPr>
      </w:pPr>
      <w:bookmarkStart w:id="216" w:name="_Toc164175109"/>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23</w:t>
      </w:r>
      <w:r w:rsidR="004F13BA">
        <w:rPr>
          <w:noProof/>
        </w:rPr>
        <w:fldChar w:fldCharType="end"/>
      </w:r>
      <w:r>
        <w:t xml:space="preserve">. </w:t>
      </w:r>
      <w:r w:rsidRPr="0A5BE548">
        <w:rPr>
          <w:rFonts w:cstheme="minorBidi"/>
          <w:snapToGrid/>
        </w:rPr>
        <w:t>Percent of stream miles with suboptimal cumulative dissolved metals</w:t>
      </w:r>
      <w:bookmarkEnd w:id="216"/>
      <w:r w:rsidRPr="0A5BE548">
        <w:rPr>
          <w:rFonts w:cstheme="minorBidi"/>
          <w:snapToGrid/>
        </w:rPr>
        <w:t xml:space="preserve">. From left to right, the vertical dashed lines represent the </w:t>
      </w:r>
      <w:proofErr w:type="gramStart"/>
      <w:r w:rsidRPr="0A5BE548">
        <w:rPr>
          <w:rFonts w:cstheme="minorBidi"/>
          <w:snapToGrid/>
        </w:rPr>
        <w:t>percent</w:t>
      </w:r>
      <w:proofErr w:type="gramEnd"/>
      <w:r w:rsidRPr="0A5BE548">
        <w:rPr>
          <w:rFonts w:cstheme="minorBidi"/>
          <w:snapToGrid/>
        </w:rPr>
        <w:t xml:space="preserve"> of stream miles across Virginia with suboptimal cumulative dissolved metals and moderately to severely stressed biological communities, respectively. </w:t>
      </w:r>
      <w:proofErr w:type="gramStart"/>
      <w:r w:rsidRPr="0A5BE548">
        <w:rPr>
          <w:rFonts w:cstheme="minorBidi"/>
          <w:snapToGrid/>
        </w:rPr>
        <w:t>Data</w:t>
      </w:r>
      <w:proofErr w:type="gramEnd"/>
      <w:r w:rsidRPr="0A5BE548">
        <w:rPr>
          <w:rFonts w:cstheme="minorBidi"/>
          <w:snapToGrid/>
        </w:rPr>
        <w:t xml:space="preserve"> presented is from 2001 - 2022.</w:t>
      </w:r>
    </w:p>
    <w:p w14:paraId="1BAF3440" w14:textId="4244A185" w:rsidR="00B135A3" w:rsidRPr="00B8362D" w:rsidRDefault="00B135A3" w:rsidP="00D24288"/>
    <w:p w14:paraId="2B744A9A"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The summary heatmap graphic is also color coded by rank, scaling from dark blue to white as the percentage of suboptimal stream miles decreases from the highest to the lowest rank. Basins with the darkest boxes have the highest percentage of suboptimal stream miles due to the parameters listed in the left column. As evident by the numeric and color ranks, the Rappahannock and Chowan River basins have the most stream miles impacted by multiple parameters. Water bodies in these basins are potentially stressed by a combination of water quality parameters. The Holston River basin contains the fewest stream miles considered suboptimal for the parameters analyzed in this section.</w:t>
      </w:r>
      <w:r>
        <w:rPr>
          <w:rFonts w:eastAsia="Cambria" w:cstheme="minorHAnsi"/>
          <w:snapToGrid/>
          <w:szCs w:val="24"/>
        </w:rPr>
        <w:br/>
      </w:r>
    </w:p>
    <w:p w14:paraId="275ECE23"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By ranking basins from 1 to 11 according to the percent of stream miles that are below the biological assessment threshold (VSCI/VCPMI = 60), Figure 4.4-24 ranks the Big Sandy, Chowan, and Rappahannock River basins rank 1, 2, and 3, respectively and the Holston, James, and </w:t>
      </w:r>
      <w:r w:rsidRPr="00307D28">
        <w:rPr>
          <w:rFonts w:eastAsia="Cambria" w:cstheme="minorHAnsi"/>
          <w:snapToGrid/>
          <w:szCs w:val="24"/>
        </w:rPr>
        <w:lastRenderedPageBreak/>
        <w:t>Clinch-Powell River basins rank 11 and 10, and 9, respectively. The Rappahannock and Chowan River basins hold the top two ranks for five of the six parameters detailed in this report. Thus, multiple parameters may be driving the higher percentage of stream miles falling below the biological assessment threshold in the Chowan and Rappahannock River basins. Multiple stressors can interact in unpredictable ways and may present management challenges with efforts to improve aquatic health, for example in the identification of stressors and clean-up strategies.</w:t>
      </w:r>
    </w:p>
    <w:p w14:paraId="3896FD19" w14:textId="4FFE2FB8" w:rsidR="00B135A3" w:rsidRDefault="003670D8" w:rsidP="00B135A3">
      <w:pPr>
        <w:keepNext/>
        <w:widowControl/>
        <w:spacing w:before="180" w:after="180"/>
      </w:pPr>
      <w:r>
        <w:rPr>
          <w:noProof/>
        </w:rPr>
        <w:drawing>
          <wp:inline distT="0" distB="0" distL="0" distR="0" wp14:anchorId="65798FB7" wp14:editId="3A5F9338">
            <wp:extent cx="5334000" cy="2683191"/>
            <wp:effectExtent l="0" t="0" r="0" b="0"/>
            <wp:docPr id="25" name="Picture" descr="Table&#10;&#10;Figure 4.4 24. Basin rank by parameters without water quality standards and VSCI/VCPMI. Basins with the most suboptimal stream miles for a particular parameter are ranked with highest (1). The color scales from dark blue to white as rank and level of disturbance decreases. Data summarized is from 2001 - 2022."/>
            <wp:cNvGraphicFramePr/>
            <a:graphic xmlns:a="http://schemas.openxmlformats.org/drawingml/2006/main">
              <a:graphicData uri="http://schemas.openxmlformats.org/drawingml/2006/picture">
                <pic:pic xmlns:pic="http://schemas.openxmlformats.org/drawingml/2006/picture">
                  <pic:nvPicPr>
                    <pic:cNvPr id="25" name="Picture" descr="Table&#10;&#10;Figure 4.4 24. Basin rank by parameters without water quality standards and VSCI/VCPMI. Basins with the most suboptimal stream miles for a particular parameter are ranked with highest (1). The color scales from dark blue to white as rank and level of disturbance decreases. Data summarized is from 2001 - 2022."/>
                    <pic:cNvPicPr>
                      <a:picLocks noChangeAspect="1" noChangeArrowheads="1"/>
                    </pic:cNvPicPr>
                  </pic:nvPicPr>
                  <pic:blipFill>
                    <a:blip r:embed="rId197"/>
                    <a:stretch>
                      <a:fillRect/>
                    </a:stretch>
                  </pic:blipFill>
                  <pic:spPr bwMode="auto">
                    <a:xfrm>
                      <a:off x="0" y="0"/>
                      <a:ext cx="5334000" cy="2683191"/>
                    </a:xfrm>
                    <a:prstGeom prst="rect">
                      <a:avLst/>
                    </a:prstGeom>
                    <a:noFill/>
                    <a:ln w="9525">
                      <a:noFill/>
                      <a:headEnd/>
                      <a:tailEnd/>
                    </a:ln>
                  </pic:spPr>
                </pic:pic>
              </a:graphicData>
            </a:graphic>
          </wp:inline>
        </w:drawing>
      </w:r>
      <w:r w:rsidR="00B135A3" w:rsidRPr="00307D28">
        <w:rPr>
          <w:rFonts w:eastAsia="Cambria" w:cstheme="minorHAnsi"/>
          <w:noProof/>
          <w:snapToGrid/>
          <w:szCs w:val="24"/>
        </w:rPr>
        <mc:AlternateContent>
          <mc:Choice Requires="wps">
            <w:drawing>
              <wp:anchor distT="0" distB="0" distL="114300" distR="114300" simplePos="0" relativeHeight="251658258" behindDoc="0" locked="0" layoutInCell="1" allowOverlap="1" wp14:anchorId="4216B0CA" wp14:editId="650F6CEB">
                <wp:simplePos x="0" y="0"/>
                <wp:positionH relativeFrom="column">
                  <wp:posOffset>172720</wp:posOffset>
                </wp:positionH>
                <wp:positionV relativeFrom="paragraph">
                  <wp:posOffset>2030095</wp:posOffset>
                </wp:positionV>
                <wp:extent cx="5158740" cy="0"/>
                <wp:effectExtent l="0" t="0" r="0" b="0"/>
                <wp:wrapNone/>
                <wp:docPr id="171417507" name="Straight Arrow Connector 1714175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8740" cy="0"/>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16="http://schemas.microsoft.com/office/drawing/2014/main" xmlns:c="http://schemas.openxmlformats.org/drawingml/2006/chart" xmlns:arto="http://schemas.microsoft.com/office/word/2006/arto">
            <w:pict w14:anchorId="083623F8">
              <v:shapetype id="_x0000_t32" coordsize="21600,21600" o:oned="t" filled="f" o:spt="32" path="m,l21600,21600e" w14:anchorId="399751B5">
                <v:path fillok="f" arrowok="t" o:connecttype="none"/>
                <o:lock v:ext="edit" shapetype="t"/>
              </v:shapetype>
              <v:shape id="Straight Arrow Connector 171417507" style="position:absolute;margin-left:13.6pt;margin-top:159.85pt;width:406.2pt;height:0;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alt="&quot;&quot;" o:spid="_x0000_s1026" strokeweight="1.7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"/>
            </w:pict>
          </mc:Fallback>
        </mc:AlternateContent>
      </w:r>
      <w:r w:rsidR="00B135A3" w:rsidRPr="00307D28">
        <w:rPr>
          <w:rFonts w:eastAsia="Cambria" w:cstheme="minorHAnsi"/>
          <w:noProof/>
          <w:snapToGrid/>
          <w:szCs w:val="24"/>
        </w:rPr>
        <mc:AlternateContent>
          <mc:Choice Requires="wps">
            <w:drawing>
              <wp:anchor distT="0" distB="0" distL="114300" distR="114300" simplePos="0" relativeHeight="251658257" behindDoc="0" locked="0" layoutInCell="1" allowOverlap="1" wp14:anchorId="09B10F33" wp14:editId="1BD26ACF">
                <wp:simplePos x="0" y="0"/>
                <wp:positionH relativeFrom="column">
                  <wp:posOffset>172720</wp:posOffset>
                </wp:positionH>
                <wp:positionV relativeFrom="paragraph">
                  <wp:posOffset>2030095</wp:posOffset>
                </wp:positionV>
                <wp:extent cx="5158740" cy="0"/>
                <wp:effectExtent l="0" t="0" r="0" b="0"/>
                <wp:wrapNone/>
                <wp:docPr id="268192416" name="Straight Arrow Connector 268192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8740" cy="0"/>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16="http://schemas.microsoft.com/office/drawing/2014/main" xmlns:c="http://schemas.openxmlformats.org/drawingml/2006/chart" xmlns:arto="http://schemas.microsoft.com/office/word/2006/arto">
            <w:pict w14:anchorId="3863EB7F">
              <v:shape id="Straight Arrow Connector 268192416" style="position:absolute;margin-left:13.6pt;margin-top:159.85pt;width:406.2pt;height:0;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alt="&quot;&quot;" o:spid="_x0000_s1026" strokeweight="1.7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" w14:anchorId="5BD9E3A5"/>
            </w:pict>
          </mc:Fallback>
        </mc:AlternateContent>
      </w:r>
    </w:p>
    <w:p w14:paraId="75AC28A2" w14:textId="7612AF63" w:rsidR="00BA520B" w:rsidRPr="00DC73F1" w:rsidRDefault="00B135A3" w:rsidP="0A5BE548">
      <w:pPr>
        <w:pStyle w:val="Caption"/>
        <w:keepNext/>
        <w:rPr>
          <w:rFonts w:cstheme="minorBidi"/>
          <w:snapToGrid/>
        </w:rPr>
      </w:pPr>
      <w:bookmarkStart w:id="217" w:name="_Toc164175110"/>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24</w:t>
      </w:r>
      <w:r w:rsidR="004F13BA">
        <w:rPr>
          <w:noProof/>
        </w:rPr>
        <w:fldChar w:fldCharType="end"/>
      </w:r>
      <w:r>
        <w:t xml:space="preserve">. </w:t>
      </w:r>
      <w:r w:rsidRPr="0A5BE548">
        <w:rPr>
          <w:rFonts w:cstheme="minorBidi"/>
          <w:snapToGrid/>
        </w:rPr>
        <w:t>Basin rank by parameters without water quality standards and VSCI/VCPMI</w:t>
      </w:r>
      <w:bookmarkEnd w:id="217"/>
      <w:r w:rsidRPr="0A5BE548">
        <w:rPr>
          <w:rFonts w:cstheme="minorBidi"/>
          <w:snapToGrid/>
        </w:rPr>
        <w:t>. Basins with the most suboptimal stream miles for a particular parameter are ranked with highest (1). The color scales from dark blue to white as rank and level of disturbance decreases. Data summarized is from 2001 - 2022.</w:t>
      </w:r>
    </w:p>
    <w:p w14:paraId="13786E25" w14:textId="4B365331" w:rsidR="00B135A3" w:rsidRPr="00307D28" w:rsidRDefault="00B135A3" w:rsidP="00D677B0">
      <w:pPr>
        <w:rPr>
          <w:rFonts w:eastAsia="Cambria"/>
          <w:snapToGrid/>
        </w:rPr>
      </w:pPr>
    </w:p>
    <w:p w14:paraId="0E262E8D" w14:textId="77777777" w:rsidR="00B135A3" w:rsidRPr="00BC74BE" w:rsidRDefault="00B135A3" w:rsidP="00B135A3">
      <w:pPr>
        <w:pStyle w:val="Heading3"/>
        <w:rPr>
          <w:snapToGrid/>
        </w:rPr>
      </w:pPr>
      <w:r w:rsidRPr="00BC74BE">
        <w:rPr>
          <w:snapToGrid/>
        </w:rPr>
        <w:t>Stressor Extent and Relative Risks</w:t>
      </w:r>
    </w:p>
    <w:p w14:paraId="69D49809" w14:textId="77777777" w:rsidR="00B135A3" w:rsidRDefault="00B135A3" w:rsidP="00B135A3">
      <w:pPr>
        <w:widowControl/>
        <w:rPr>
          <w:rFonts w:eastAsia="Cambria" w:cstheme="minorHAnsi"/>
          <w:snapToGrid/>
          <w:szCs w:val="24"/>
        </w:rPr>
      </w:pPr>
      <w:r w:rsidRPr="00307D28">
        <w:rPr>
          <w:rFonts w:eastAsia="Cambria" w:cstheme="minorHAnsi"/>
          <w:snapToGrid/>
          <w:szCs w:val="24"/>
        </w:rPr>
        <w:t>Two of the advantages of Virginia’s probabilistic datasets are the ability to calculate the relative risks (Figure 4.4-25) and stressor extent (Figure 4.4-26, Figure 4.4-27) that different environmental stressors have on the ecological health of rivers and streams across large regions. Since the stations are selected at random, DEQ can estimate water quality parameter values over the entire state with known confidence. EPA and other states have employed stressor extent and relative risk concepts extensively in their reports (ODEQ 2007; USEPA 2006; Van Sickle 2006; Van Sickle 2008).</w:t>
      </w:r>
    </w:p>
    <w:p w14:paraId="1BD96FAF" w14:textId="77777777" w:rsidR="00B135A3" w:rsidRPr="00307D28" w:rsidRDefault="00B135A3" w:rsidP="00B135A3">
      <w:pPr>
        <w:widowControl/>
        <w:rPr>
          <w:rFonts w:eastAsia="Cambria" w:cstheme="minorHAnsi"/>
          <w:snapToGrid/>
          <w:szCs w:val="24"/>
        </w:rPr>
      </w:pPr>
    </w:p>
    <w:p w14:paraId="7F9E3AF4"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Relative risk is a term borrowed from the medical field and applied here to communicate the potential impact a stressor has on the aquatic environment. For example, it has been shown that an individual with total cholesterol above 240 mg/dl is at greater risk for heart disease than an individual whose cholesterol is below 200 mg/dl. When an individual has a cholesterol level above 240, their relative risk of having heart disease is higher than an individual with cholesterol level below 200.</w:t>
      </w:r>
      <w:r>
        <w:rPr>
          <w:rFonts w:eastAsia="Cambria" w:cstheme="minorHAnsi"/>
          <w:snapToGrid/>
          <w:szCs w:val="24"/>
        </w:rPr>
        <w:br/>
      </w:r>
    </w:p>
    <w:p w14:paraId="74488D30"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While stressor extent shows how prevalent or widespread a potential stressor is in Virginia streams</w:t>
      </w:r>
      <w:r>
        <w:rPr>
          <w:rFonts w:eastAsia="Cambria" w:cstheme="minorHAnsi"/>
          <w:snapToGrid/>
          <w:szCs w:val="24"/>
        </w:rPr>
        <w:t xml:space="preserve"> and rivers</w:t>
      </w:r>
      <w:r w:rsidRPr="00307D28">
        <w:rPr>
          <w:rFonts w:eastAsia="Cambria" w:cstheme="minorHAnsi"/>
          <w:snapToGrid/>
          <w:szCs w:val="24"/>
        </w:rPr>
        <w:t xml:space="preserve"> (Figure 4.4-26), relative risk estimates the statistical likelihood of a degraded </w:t>
      </w:r>
      <w:r w:rsidRPr="00307D28">
        <w:rPr>
          <w:rFonts w:eastAsia="Cambria" w:cstheme="minorHAnsi"/>
          <w:snapToGrid/>
          <w:szCs w:val="24"/>
        </w:rPr>
        <w:lastRenderedPageBreak/>
        <w:t xml:space="preserve">biological community given </w:t>
      </w:r>
      <w:r>
        <w:rPr>
          <w:rFonts w:eastAsia="Cambria" w:cstheme="minorHAnsi"/>
          <w:snapToGrid/>
          <w:szCs w:val="24"/>
        </w:rPr>
        <w:t xml:space="preserve">the prevalence of </w:t>
      </w:r>
      <w:r w:rsidRPr="00307D28">
        <w:rPr>
          <w:rFonts w:eastAsia="Cambria" w:cstheme="minorHAnsi"/>
          <w:snapToGrid/>
          <w:szCs w:val="24"/>
        </w:rPr>
        <w:t xml:space="preserve">a stressor measured in </w:t>
      </w:r>
      <w:r>
        <w:rPr>
          <w:rFonts w:eastAsia="Cambria" w:cstheme="minorHAnsi"/>
          <w:snapToGrid/>
          <w:szCs w:val="24"/>
        </w:rPr>
        <w:t xml:space="preserve">Virginia streams and rivers </w:t>
      </w:r>
      <w:r w:rsidRPr="00307D28">
        <w:rPr>
          <w:rFonts w:eastAsia="Cambria" w:cstheme="minorHAnsi"/>
          <w:snapToGrid/>
          <w:szCs w:val="24"/>
        </w:rPr>
        <w:t>(Figure 4.4-25). Calculation of relative risk requires classification of water quality responses (e.g., the benthic macroinvertebrate indices – Table 4.4-5) and the water quality stressors (Table 4.4-8) into optimal and suboptimal categories</w:t>
      </w:r>
      <w:r>
        <w:rPr>
          <w:rFonts w:eastAsia="Cambria" w:cstheme="minorHAnsi"/>
          <w:snapToGrid/>
          <w:szCs w:val="24"/>
        </w:rPr>
        <w:t>.</w:t>
      </w:r>
      <w:r w:rsidRPr="00307D28">
        <w:rPr>
          <w:rFonts w:eastAsia="Cambria" w:cstheme="minorHAnsi"/>
          <w:snapToGrid/>
          <w:szCs w:val="24"/>
        </w:rPr>
        <w:t xml:space="preserve"> The stressor indicators in Table 4.4-8 were classified using screening </w:t>
      </w:r>
      <w:r>
        <w:rPr>
          <w:rFonts w:eastAsia="Cambria" w:cstheme="minorHAnsi"/>
          <w:snapToGrid/>
          <w:szCs w:val="24"/>
        </w:rPr>
        <w:t xml:space="preserve">values </w:t>
      </w:r>
      <w:r w:rsidRPr="00307D28">
        <w:rPr>
          <w:rFonts w:eastAsia="Cambria" w:cstheme="minorHAnsi"/>
          <w:snapToGrid/>
          <w:szCs w:val="24"/>
        </w:rPr>
        <w:t>and Virginia Water Quality Standards (for DO and pH). It is important to remember that the stressor screening values are not equivalent to numeric water quality criteria in the Commonwealth of Virginia. Optimal categories for DO w</w:t>
      </w:r>
      <w:r>
        <w:rPr>
          <w:rFonts w:eastAsia="Cambria" w:cstheme="minorHAnsi"/>
          <w:snapToGrid/>
          <w:szCs w:val="24"/>
        </w:rPr>
        <w:t>ere</w:t>
      </w:r>
      <w:r w:rsidRPr="00307D28">
        <w:rPr>
          <w:rFonts w:eastAsia="Cambria" w:cstheme="minorHAnsi"/>
          <w:snapToGrid/>
          <w:szCs w:val="24"/>
        </w:rPr>
        <w:t xml:space="preserve"> determined at &gt; 4 mg/L and from 6 to 9 on the pH scale. Suboptimal DO was defined at &lt; 4 mg/L and pH values &lt; 6 or &gt; 9. Like the river basin-scale analyses, relative risk and stressor extent are data-intensive statistical techniques requiring the entire probabilistic monitoring dataset (2001 - 2022) and do not suggest any water quality condition or specific potential or probable stressor at a specific location for a specific water body.</w:t>
      </w:r>
      <w:r>
        <w:rPr>
          <w:rFonts w:eastAsia="Cambria" w:cstheme="minorHAnsi"/>
          <w:snapToGrid/>
          <w:szCs w:val="24"/>
        </w:rPr>
        <w:br/>
      </w:r>
    </w:p>
    <w:p w14:paraId="1E5D4FAB" w14:textId="570D8FEE" w:rsidR="00B135A3" w:rsidRPr="00307D28" w:rsidRDefault="00B135A3" w:rsidP="00B135A3">
      <w:pPr>
        <w:widowControl/>
        <w:rPr>
          <w:rFonts w:eastAsia="Cambria" w:cstheme="minorHAnsi"/>
          <w:snapToGrid/>
          <w:szCs w:val="24"/>
        </w:rPr>
      </w:pPr>
      <w:r w:rsidRPr="00307D28">
        <w:rPr>
          <w:rFonts w:eastAsia="Cambria" w:cstheme="minorHAnsi"/>
          <w:snapToGrid/>
          <w:szCs w:val="24"/>
        </w:rPr>
        <w:t>The relative risks for aquatic stressors can be interpreted in a similar manner to the heart disease example. Figure 4.4-2</w:t>
      </w:r>
      <w:r>
        <w:rPr>
          <w:rFonts w:eastAsia="Cambria" w:cstheme="minorHAnsi"/>
          <w:snapToGrid/>
          <w:szCs w:val="24"/>
        </w:rPr>
        <w:t>5</w:t>
      </w:r>
      <w:r w:rsidRPr="00307D28">
        <w:rPr>
          <w:rFonts w:eastAsia="Cambria" w:cstheme="minorHAnsi"/>
          <w:snapToGrid/>
          <w:szCs w:val="24"/>
        </w:rPr>
        <w:t xml:space="preserve"> illustrates that the relative risk to the biological community due to habitat disturbance is 6.2; thus, the biological community is 6.2 times more likely to be considered suboptimal when habitat disturbance scores are below 120 (USEPA 1999). Relative risk values larger than 1 indicate an elevated risk to the biological community; consequently, only water quality stressors with a relative risk greater than 1 are reported in this </w:t>
      </w:r>
      <w:r>
        <w:rPr>
          <w:rFonts w:eastAsia="Cambria" w:cstheme="minorHAnsi"/>
          <w:snapToGrid/>
          <w:szCs w:val="24"/>
        </w:rPr>
        <w:t>section</w:t>
      </w:r>
      <w:r w:rsidRPr="00307D28">
        <w:rPr>
          <w:rFonts w:eastAsia="Cambria" w:cstheme="minorHAnsi"/>
          <w:snapToGrid/>
          <w:szCs w:val="24"/>
        </w:rPr>
        <w:t>.</w:t>
      </w:r>
      <w:r w:rsidR="00BA520B">
        <w:rPr>
          <w:rFonts w:eastAsia="Cambria" w:cstheme="minorHAnsi"/>
          <w:snapToGrid/>
          <w:szCs w:val="24"/>
        </w:rPr>
        <w:br/>
      </w:r>
    </w:p>
    <w:p w14:paraId="7CC615E1" w14:textId="77777777" w:rsidR="00B135A3" w:rsidRDefault="00B135A3" w:rsidP="00B135A3">
      <w:pPr>
        <w:keepNext/>
        <w:widowControl/>
        <w:spacing w:before="180" w:after="180"/>
      </w:pPr>
      <w:r w:rsidRPr="00307D28">
        <w:rPr>
          <w:rFonts w:eastAsia="Cambria" w:cstheme="minorHAnsi"/>
          <w:noProof/>
          <w:snapToGrid/>
          <w:szCs w:val="24"/>
        </w:rPr>
        <w:drawing>
          <wp:inline distT="0" distB="0" distL="0" distR="0" wp14:anchorId="7E3958C5" wp14:editId="790F7812">
            <wp:extent cx="5334000" cy="2489199"/>
            <wp:effectExtent l="0" t="0" r="0" b="0"/>
            <wp:docPr id="1203099358" name="Picture 1203099358" descr="Bar plot of Relative Risk for major benthic macroinvertebrate stressors in all Virginia streams. The horizontal lines associated with the parameters illustrate the 95% confidence intervals. The vertical dashed line at 1 indicates significance; thus, all relative risk estimates and confidence intervals that exceed the dashed vertical are significant. Orange bars indicate parameters with screening values only (no numeric water quality criteria or assessment thresholds) and green bars indicate parameters with numeric water quality criteria (pH, DO) or assessment thresholds. Relative risk shows the number of times more likely a benthic macroinvertebrate community is to be scored in the suboptimal range or below water quality criteria/assessment thresholds (in the case of pH and DO) if the parameter shown on the y-axis is degraded. Data encompasses samples collected from 2001 - 2022."/>
            <wp:cNvGraphicFramePr/>
            <a:graphic xmlns:a="http://schemas.openxmlformats.org/drawingml/2006/main">
              <a:graphicData uri="http://schemas.openxmlformats.org/drawingml/2006/picture">
                <pic:pic xmlns:pic="http://schemas.openxmlformats.org/drawingml/2006/picture">
                  <pic:nvPicPr>
                    <pic:cNvPr id="26" name="Picture" descr="Bar plot of Relative Risk for major benthic macroinvertebrate stressors in all Virginia streams. The horizontal lines associated with the parameters illustrate the 95% confidence intervals. The vertical dashed line at 1 indicates significance; thus, all relative risk estimates and confidence intervals that exceed the dashed vertical are significant. Orange bars indicate parameters with screening values only (no numeric water quality criteria or assessment thresholds) and green bars indicate parameters with numeric water quality criteria (pH, DO) or assessment thresholds. Relative risk shows the number of times more likely a benthic macroinvertebrate community is to be scored in the suboptimal range or below water quality criteria/assessment thresholds (in the case of pH and DO) if the parameter shown on the y-axis is degraded. Data encompasses samples collected from 2001 - 2022."/>
                    <pic:cNvPicPr>
                      <a:picLocks noChangeAspect="1" noChangeArrowheads="1"/>
                    </pic:cNvPicPr>
                  </pic:nvPicPr>
                  <pic:blipFill>
                    <a:blip r:embed="rId198" cstate="email">
                      <a:extLst>
                        <a:ext uri="{28A0092B-C50C-407E-A947-70E740481C1C}">
                          <a14:useLocalDpi xmlns:a14="http://schemas.microsoft.com/office/drawing/2010/main"/>
                        </a:ext>
                      </a:extLst>
                    </a:blip>
                    <a:stretch>
                      <a:fillRect/>
                    </a:stretch>
                  </pic:blipFill>
                  <pic:spPr bwMode="auto">
                    <a:xfrm>
                      <a:off x="0" y="0"/>
                      <a:ext cx="5334000" cy="2489199"/>
                    </a:xfrm>
                    <a:prstGeom prst="rect">
                      <a:avLst/>
                    </a:prstGeom>
                    <a:noFill/>
                    <a:ln w="9525">
                      <a:noFill/>
                      <a:headEnd/>
                      <a:tailEnd/>
                    </a:ln>
                  </pic:spPr>
                </pic:pic>
              </a:graphicData>
            </a:graphic>
          </wp:inline>
        </w:drawing>
      </w:r>
    </w:p>
    <w:p w14:paraId="564252DF" w14:textId="321C5FBD" w:rsidR="003539AC" w:rsidRPr="0062574F" w:rsidRDefault="00B135A3" w:rsidP="0A5BE548">
      <w:pPr>
        <w:pStyle w:val="Caption"/>
        <w:jc w:val="both"/>
        <w:rPr>
          <w:rFonts w:eastAsia="Cambria"/>
        </w:rPr>
      </w:pPr>
      <w:bookmarkStart w:id="218" w:name="_Toc164175111"/>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25</w:t>
      </w:r>
      <w:r w:rsidR="004F13BA">
        <w:rPr>
          <w:noProof/>
        </w:rPr>
        <w:fldChar w:fldCharType="end"/>
      </w:r>
      <w:r>
        <w:t xml:space="preserve">. </w:t>
      </w:r>
      <w:r w:rsidRPr="0A5BE548">
        <w:rPr>
          <w:rFonts w:cstheme="minorBidi"/>
          <w:snapToGrid/>
        </w:rPr>
        <w:t>Relative Risk for major benthic macroinvertebrate stressors</w:t>
      </w:r>
      <w:r w:rsidR="16C4246B" w:rsidRPr="0A5BE548">
        <w:rPr>
          <w:rFonts w:cstheme="minorBidi"/>
          <w:snapToGrid/>
        </w:rPr>
        <w:t xml:space="preserve"> </w:t>
      </w:r>
      <w:bookmarkEnd w:id="218"/>
      <w:r w:rsidRPr="0A5BE548">
        <w:rPr>
          <w:rFonts w:cstheme="minorBidi"/>
          <w:snapToGrid/>
        </w:rPr>
        <w:t>in all Virginia streams. The horizontal lines associated with the parameters illustrate 95% confidence intervals. The vertical dashed line at 1 indicates significance; all relative risk estimates and confidence intervals that exceed the dashed vertical are significant. Orange bars indicate parameters with screening values only (no numeric water quality criteria or assessment thresholds) and green bars indicate parameters with numeric water quality criteria (pH, DO) or assessment thresholds. Relative risk shows the number of times more likely a benthic macroinvertebrate community is to be scored in the suboptimal range or below water quality criteria/assessment thresholds (pH, DO) if the parameter shown on the y-axis is degraded. Data encompasses samples collected from 2001 - 2022.</w:t>
      </w:r>
    </w:p>
    <w:p w14:paraId="497211D9" w14:textId="77777777" w:rsidR="00B135A3" w:rsidRDefault="00B135A3" w:rsidP="00B135A3">
      <w:pPr>
        <w:keepNext/>
        <w:widowControl/>
        <w:spacing w:before="180" w:after="180"/>
      </w:pPr>
      <w:r w:rsidRPr="00307D28">
        <w:rPr>
          <w:rFonts w:eastAsia="Cambria" w:cstheme="minorHAnsi"/>
          <w:noProof/>
          <w:snapToGrid/>
          <w:szCs w:val="24"/>
        </w:rPr>
        <w:lastRenderedPageBreak/>
        <w:drawing>
          <wp:inline distT="0" distB="0" distL="0" distR="0" wp14:anchorId="617E4A24" wp14:editId="44EF2DCE">
            <wp:extent cx="5334000" cy="2489199"/>
            <wp:effectExtent l="0" t="0" r="0" b="0"/>
            <wp:docPr id="966575208" name="Picture 966575208" descr="Bar plot of Stressor extent for major benthic macroinvertebrate stressors in Virginia streams. The horizontal lines associated with the parameters illustrate the 95% confidence intervals. Orange bars indicate parameters with screening values only (no numeric water quality criteria or assessment thresholds) and green bars indicate parameters with numeric water quality criteria (pH, DO) or assessment thresholds. Stressor extent shows the frequency of the stressor in all Virginia streams from data collected for the 2024 Integrated Report (2017 - 2022)."/>
            <wp:cNvGraphicFramePr/>
            <a:graphic xmlns:a="http://schemas.openxmlformats.org/drawingml/2006/main">
              <a:graphicData uri="http://schemas.openxmlformats.org/drawingml/2006/picture">
                <pic:pic xmlns:pic="http://schemas.openxmlformats.org/drawingml/2006/picture">
                  <pic:nvPicPr>
                    <pic:cNvPr id="27" name="Picture" descr="Bar plot of Stressor extent for major benthic macroinvertebrate stressors in Virginia streams. The horizontal lines associated with the parameters illustrate the 95% confidence intervals. Orange bars indicate parameters with screening values only (no numeric water quality criteria or assessment thresholds) and green bars indicate parameters with numeric water quality criteria (pH, DO) or assessment thresholds. Stressor extent shows the frequency of the stressor in all Virginia streams from data collected for the 2024 Integrated Report (2017 - 2022)."/>
                    <pic:cNvPicPr>
                      <a:picLocks noChangeAspect="1" noChangeArrowheads="1"/>
                    </pic:cNvPicPr>
                  </pic:nvPicPr>
                  <pic:blipFill>
                    <a:blip r:embed="rId199" cstate="email">
                      <a:extLst>
                        <a:ext uri="{28A0092B-C50C-407E-A947-70E740481C1C}">
                          <a14:useLocalDpi xmlns:a14="http://schemas.microsoft.com/office/drawing/2010/main"/>
                        </a:ext>
                      </a:extLst>
                    </a:blip>
                    <a:stretch>
                      <a:fillRect/>
                    </a:stretch>
                  </pic:blipFill>
                  <pic:spPr bwMode="auto">
                    <a:xfrm>
                      <a:off x="0" y="0"/>
                      <a:ext cx="5334000" cy="2489199"/>
                    </a:xfrm>
                    <a:prstGeom prst="rect">
                      <a:avLst/>
                    </a:prstGeom>
                    <a:noFill/>
                    <a:ln w="9525">
                      <a:noFill/>
                      <a:headEnd/>
                      <a:tailEnd/>
                    </a:ln>
                  </pic:spPr>
                </pic:pic>
              </a:graphicData>
            </a:graphic>
          </wp:inline>
        </w:drawing>
      </w:r>
    </w:p>
    <w:p w14:paraId="38238DB2" w14:textId="6E9EDC3B" w:rsidR="00BA520B" w:rsidRPr="00DC73F1" w:rsidRDefault="00B135A3" w:rsidP="00BA520B">
      <w:pPr>
        <w:pStyle w:val="Caption"/>
        <w:keepNext/>
      </w:pPr>
      <w:bookmarkStart w:id="219" w:name="_Toc164175112"/>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26</w:t>
      </w:r>
      <w:r w:rsidR="004F13BA">
        <w:rPr>
          <w:noProof/>
        </w:rPr>
        <w:fldChar w:fldCharType="end"/>
      </w:r>
      <w:r>
        <w:t>.</w:t>
      </w:r>
      <w:r w:rsidRPr="0A5BE548">
        <w:rPr>
          <w:rFonts w:cstheme="minorBidi"/>
          <w:snapToGrid/>
        </w:rPr>
        <w:t xml:space="preserve"> Stressor extent for major benthic macroinvertebrate stressors</w:t>
      </w:r>
      <w:r w:rsidR="2666A10D" w:rsidRPr="0A5BE548">
        <w:rPr>
          <w:rFonts w:cstheme="minorBidi"/>
          <w:snapToGrid/>
        </w:rPr>
        <w:t xml:space="preserve"> </w:t>
      </w:r>
      <w:bookmarkEnd w:id="219"/>
      <w:r w:rsidRPr="0A5BE548">
        <w:rPr>
          <w:rFonts w:cstheme="minorBidi"/>
          <w:snapToGrid/>
        </w:rPr>
        <w:t>in Virginia streams. The horizontal lines associated with the parameters illustrate the 95% confidence intervals. Orange bars indicate parameters with screening values only (no numeric water quality criteria or assessment thresholds) and green bars indicate parameters with numeric water quality criteria (pH, DO) or assessment thresholds. Stressor extent shows the frequency of the stressor in all Virginia streams from data collected for the 2024 Integrated Report (2017 - 2022).</w:t>
      </w:r>
    </w:p>
    <w:p w14:paraId="46FFB3AA" w14:textId="77777777" w:rsidR="00B135A3" w:rsidRPr="00307D28" w:rsidRDefault="00B135A3" w:rsidP="00B135A3">
      <w:pPr>
        <w:widowControl/>
        <w:rPr>
          <w:rFonts w:eastAsia="Cambria" w:cstheme="minorHAnsi"/>
          <w:snapToGrid/>
          <w:szCs w:val="24"/>
        </w:rPr>
      </w:pPr>
      <w:r>
        <w:rPr>
          <w:rFonts w:eastAsia="Cambria" w:cstheme="minorHAnsi"/>
          <w:snapToGrid/>
          <w:szCs w:val="24"/>
        </w:rPr>
        <w:br/>
      </w:r>
      <w:r w:rsidRPr="00307D28">
        <w:rPr>
          <w:rFonts w:eastAsia="Cambria" w:cstheme="minorHAnsi"/>
          <w:snapToGrid/>
          <w:szCs w:val="24"/>
        </w:rPr>
        <w:t xml:space="preserve">The most common stressor across Virginia is streambed sedimentation. ProbMon data estimates streambed sedimentation is considered suboptimal in 31% of Virginia streams. When </w:t>
      </w:r>
      <w:proofErr w:type="gramStart"/>
      <w:r w:rsidRPr="00307D28">
        <w:rPr>
          <w:rFonts w:eastAsia="Cambria" w:cstheme="minorHAnsi"/>
          <w:snapToGrid/>
          <w:szCs w:val="24"/>
        </w:rPr>
        <w:t>streambed</w:t>
      </w:r>
      <w:proofErr w:type="gramEnd"/>
      <w:r w:rsidRPr="00307D28">
        <w:rPr>
          <w:rFonts w:eastAsia="Cambria" w:cstheme="minorHAnsi"/>
          <w:snapToGrid/>
          <w:szCs w:val="24"/>
        </w:rPr>
        <w:t xml:space="preserve"> sedimentation levels are suboptimal, relative risk analysis predicts they are 2.6 times more likely to have a suboptimal benthic community than streams with optimal sedimentation levels. Nearly 19% of Virginia streams have suboptimal habitat disturbance scores; suboptimal habitat disturbance scores increase the relative risk of a suboptimal aquatic community by a factor of 6.2.</w:t>
      </w:r>
      <w:r>
        <w:rPr>
          <w:rFonts w:eastAsia="Cambria" w:cstheme="minorHAnsi"/>
          <w:snapToGrid/>
          <w:szCs w:val="24"/>
        </w:rPr>
        <w:br/>
      </w:r>
    </w:p>
    <w:p w14:paraId="5A9C5DF8"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Phosphorus and nitrogen are both macroinvertebrate stressors, and their relative risks are 2.4 and 2.8, respectively. </w:t>
      </w:r>
      <w:r>
        <w:rPr>
          <w:rFonts w:eastAsia="Cambria" w:cstheme="minorHAnsi"/>
          <w:snapToGrid/>
          <w:szCs w:val="24"/>
        </w:rPr>
        <w:t>Notably, elevated (i.e., s</w:t>
      </w:r>
      <w:r w:rsidRPr="00307D28">
        <w:rPr>
          <w:rFonts w:eastAsia="Cambria" w:cstheme="minorHAnsi"/>
          <w:snapToGrid/>
          <w:szCs w:val="24"/>
        </w:rPr>
        <w:t>uboptimal</w:t>
      </w:r>
      <w:r>
        <w:rPr>
          <w:rFonts w:eastAsia="Cambria" w:cstheme="minorHAnsi"/>
          <w:snapToGrid/>
          <w:szCs w:val="24"/>
        </w:rPr>
        <w:t>)</w:t>
      </w:r>
      <w:r w:rsidRPr="00307D28">
        <w:rPr>
          <w:rFonts w:eastAsia="Cambria" w:cstheme="minorHAnsi"/>
          <w:snapToGrid/>
          <w:szCs w:val="24"/>
        </w:rPr>
        <w:t xml:space="preserve"> phosphorus conditions occur in many more streams (16.1%) than elevated nitrogen (3.7%)</w:t>
      </w:r>
      <w:r>
        <w:rPr>
          <w:rFonts w:eastAsia="Cambria" w:cstheme="minorHAnsi"/>
          <w:snapToGrid/>
          <w:szCs w:val="24"/>
        </w:rPr>
        <w:t xml:space="preserve">. Despite being less pervasive, suboptimal nitrogen levels correlate to a greater relative risk in the aquatic community as compared to phosphorus. </w:t>
      </w:r>
    </w:p>
    <w:p w14:paraId="3BCDCB6F" w14:textId="77777777" w:rsidR="00B135A3" w:rsidRDefault="00B135A3" w:rsidP="00B135A3">
      <w:pPr>
        <w:widowControl/>
        <w:rPr>
          <w:rFonts w:eastAsia="Cambria" w:cstheme="minorHAnsi"/>
          <w:snapToGrid/>
          <w:szCs w:val="24"/>
        </w:rPr>
      </w:pPr>
    </w:p>
    <w:p w14:paraId="61024115" w14:textId="77777777" w:rsidR="00B135A3" w:rsidRDefault="00B135A3" w:rsidP="00B135A3">
      <w:pPr>
        <w:widowControl/>
        <w:rPr>
          <w:rFonts w:eastAsia="Cambria" w:cstheme="minorHAnsi"/>
          <w:snapToGrid/>
          <w:szCs w:val="24"/>
        </w:rPr>
      </w:pPr>
      <w:r w:rsidRPr="00307D28">
        <w:rPr>
          <w:rFonts w:eastAsia="Cambria" w:cstheme="minorHAnsi"/>
          <w:snapToGrid/>
          <w:szCs w:val="24"/>
        </w:rPr>
        <w:t xml:space="preserve">Ionic strength (as measured by total dissolved solids) has a relative risk of 4.2, which is one of the highest relative risks in the analyses. However, suboptimal ionic strength conditions were only found in 2.3% of Virginia streams. </w:t>
      </w:r>
    </w:p>
    <w:p w14:paraId="2E87A1B7" w14:textId="77777777" w:rsidR="00B135A3" w:rsidRDefault="00B135A3" w:rsidP="00B135A3">
      <w:pPr>
        <w:widowControl/>
        <w:rPr>
          <w:rFonts w:eastAsia="Cambria" w:cstheme="minorHAnsi"/>
          <w:snapToGrid/>
          <w:szCs w:val="24"/>
        </w:rPr>
      </w:pPr>
    </w:p>
    <w:p w14:paraId="2453B037"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Dissolved metal concentrations that may cause adverse biological condition were found in 1.5% of Virginia streams; however, elevated dissolved metal concentrations increase the relative risk of having a suboptimal benthic macroinvertebrate community by 2.8.</w:t>
      </w:r>
      <w:r>
        <w:rPr>
          <w:rFonts w:eastAsia="Cambria" w:cstheme="minorHAnsi"/>
          <w:snapToGrid/>
          <w:szCs w:val="24"/>
        </w:rPr>
        <w:br/>
      </w:r>
    </w:p>
    <w:p w14:paraId="399BF371" w14:textId="77777777" w:rsidR="00B135A3" w:rsidRPr="00307D28" w:rsidRDefault="00B135A3" w:rsidP="00B135A3">
      <w:pPr>
        <w:widowControl/>
        <w:rPr>
          <w:rFonts w:eastAsia="Cambria" w:cstheme="minorHAnsi"/>
          <w:snapToGrid/>
          <w:szCs w:val="24"/>
        </w:rPr>
      </w:pPr>
      <w:r w:rsidRPr="00307D28">
        <w:rPr>
          <w:rFonts w:eastAsia="Cambria" w:cstheme="minorHAnsi"/>
          <w:snapToGrid/>
          <w:szCs w:val="24"/>
        </w:rPr>
        <w:t>When benthic communities endure pH and DO concentrations outside of Virginia’s WQS, the benthic communities are 2.0 and 2.4 times, respectively, more likely to be degraded. With effective Water Quality Standards defined and enforced, Virginia has a low prevalence of stream miles deemed suboptimal for pH and DO at 3.2 and 0.4, respectively.</w:t>
      </w:r>
    </w:p>
    <w:p w14:paraId="2ED6F824" w14:textId="77777777" w:rsidR="00B135A3" w:rsidRPr="00307D28" w:rsidRDefault="00B135A3" w:rsidP="00B135A3">
      <w:pPr>
        <w:widowControl/>
        <w:rPr>
          <w:rFonts w:eastAsia="Cambria" w:cstheme="minorHAnsi"/>
          <w:snapToGrid/>
          <w:szCs w:val="24"/>
        </w:rPr>
      </w:pPr>
    </w:p>
    <w:p w14:paraId="07FA3880" w14:textId="3FEEAAF8" w:rsidR="00B135A3" w:rsidRDefault="001D193B" w:rsidP="00B135A3">
      <w:pPr>
        <w:widowControl/>
        <w:rPr>
          <w:rFonts w:eastAsia="Cambria" w:cstheme="minorHAnsi"/>
          <w:snapToGrid/>
          <w:szCs w:val="24"/>
        </w:rPr>
      </w:pPr>
      <w:r>
        <w:rPr>
          <w:rFonts w:cstheme="minorHAnsi"/>
          <w:noProof/>
          <w:snapToGrid/>
          <w:szCs w:val="24"/>
          <w14:ligatures w14:val="standardContextual"/>
        </w:rPr>
        <mc:AlternateContent>
          <mc:Choice Requires="wps">
            <w:drawing>
              <wp:anchor distT="0" distB="0" distL="114300" distR="114300" simplePos="0" relativeHeight="251658261" behindDoc="0" locked="0" layoutInCell="1" allowOverlap="1" wp14:anchorId="53CFDB9E" wp14:editId="6E00CCA5">
                <wp:simplePos x="0" y="0"/>
                <wp:positionH relativeFrom="column">
                  <wp:posOffset>3282524</wp:posOffset>
                </wp:positionH>
                <wp:positionV relativeFrom="paragraph">
                  <wp:posOffset>1815634</wp:posOffset>
                </wp:positionV>
                <wp:extent cx="2480945" cy="1109345"/>
                <wp:effectExtent l="19050" t="19050" r="14605" b="14605"/>
                <wp:wrapSquare wrapText="bothSides"/>
                <wp:docPr id="357184020"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80945" cy="1109345"/>
                        </a:xfrm>
                        <a:prstGeom prst="rect">
                          <a:avLst/>
                        </a:prstGeom>
                        <a:solidFill>
                          <a:srgbClr val="0067A4">
                            <a:alpha val="6000"/>
                          </a:srgbClr>
                        </a:solidFill>
                        <a:ln w="28575">
                          <a:solidFill>
                            <a:srgbClr val="0067A4"/>
                          </a:solidFill>
                        </a:ln>
                        <a:effectLst>
                          <a:softEdge rad="12700"/>
                        </a:effectLst>
                      </wps:spPr>
                      <wps:txbx>
                        <w:txbxContent>
                          <w:p w14:paraId="02B95811" w14:textId="5F662EE5" w:rsidR="001D193B" w:rsidRPr="00281469" w:rsidRDefault="001D193B" w:rsidP="001D193B">
                            <w:pPr>
                              <w:rPr>
                                <w:color w:val="000000" w:themeColor="text1"/>
                              </w:rPr>
                            </w:pPr>
                            <w:r w:rsidRPr="001D193B">
                              <w:rPr>
                                <w:i/>
                                <w:iCs/>
                                <w:color w:val="000000" w:themeColor="text1"/>
                                <w:szCs w:val="24"/>
                              </w:rPr>
                              <w:t>Streams with suboptimal levels of total nitrogen, water column metals, or ionic strength parameters are most likely to exhibit an altered</w:t>
                            </w:r>
                            <w:r w:rsidRPr="001D193B">
                              <w:rPr>
                                <w:b/>
                                <w:bCs/>
                                <w:i/>
                                <w:iCs/>
                                <w:color w:val="000000" w:themeColor="text1"/>
                                <w:szCs w:val="24"/>
                              </w:rPr>
                              <w:t xml:space="preserve"> </w:t>
                            </w:r>
                            <w:r w:rsidRPr="001D193B">
                              <w:rPr>
                                <w:i/>
                                <w:iCs/>
                                <w:color w:val="000000" w:themeColor="text1"/>
                                <w:szCs w:val="24"/>
                              </w:rPr>
                              <w:t>biological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FDB9E" id="_x0000_s1029" type="#_x0000_t202" alt="&quot;&quot;" style="position:absolute;margin-left:258.45pt;margin-top:142.95pt;width:195.35pt;height:87.3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" fillcolor="#0067a4" strokecolor="#0067a4" strokeweight="2.25pt">
                <v:fill opacity="3855f"/>
                <v:textbox>
                  <w:txbxContent>
                    <w:p w14:paraId="02B95811" w14:textId="5F662EE5" w:rsidR="001D193B" w:rsidRPr="00281469" w:rsidRDefault="001D193B" w:rsidP="001D193B">
                      <w:pPr>
                        <w:rPr>
                          <w:color w:val="000000" w:themeColor="text1"/>
                        </w:rPr>
                      </w:pPr>
                      <w:r w:rsidRPr="001D193B">
                        <w:rPr>
                          <w:i/>
                          <w:iCs/>
                          <w:color w:val="000000" w:themeColor="text1"/>
                          <w:szCs w:val="24"/>
                        </w:rPr>
                        <w:t>Streams with suboptimal levels of total nitrogen, water column metals, or ionic strength parameters are most likely to exhibit an altered</w:t>
                      </w:r>
                      <w:r w:rsidRPr="001D193B">
                        <w:rPr>
                          <w:b/>
                          <w:bCs/>
                          <w:i/>
                          <w:iCs/>
                          <w:color w:val="000000" w:themeColor="text1"/>
                          <w:szCs w:val="24"/>
                        </w:rPr>
                        <w:t xml:space="preserve"> </w:t>
                      </w:r>
                      <w:r w:rsidRPr="001D193B">
                        <w:rPr>
                          <w:i/>
                          <w:iCs/>
                          <w:color w:val="000000" w:themeColor="text1"/>
                          <w:szCs w:val="24"/>
                        </w:rPr>
                        <w:t>biological community.</w:t>
                      </w:r>
                    </w:p>
                  </w:txbxContent>
                </v:textbox>
                <w10:wrap type="square"/>
              </v:shape>
            </w:pict>
          </mc:Fallback>
        </mc:AlternateContent>
      </w:r>
      <w:r w:rsidR="00B135A3" w:rsidRPr="00307D28">
        <w:rPr>
          <w:rFonts w:eastAsia="Cambria" w:cstheme="minorHAnsi"/>
          <w:snapToGrid/>
          <w:szCs w:val="24"/>
        </w:rPr>
        <w:t xml:space="preserve">Stressor extent presented in Figure 4.4-26 only focuses on the </w:t>
      </w:r>
      <w:proofErr w:type="gramStart"/>
      <w:r w:rsidR="00B135A3" w:rsidRPr="00307D28">
        <w:rPr>
          <w:rFonts w:eastAsia="Cambria" w:cstheme="minorHAnsi"/>
          <w:snapToGrid/>
          <w:szCs w:val="24"/>
        </w:rPr>
        <w:t>percent</w:t>
      </w:r>
      <w:proofErr w:type="gramEnd"/>
      <w:r w:rsidR="00B135A3" w:rsidRPr="00307D28">
        <w:rPr>
          <w:rFonts w:eastAsia="Cambria" w:cstheme="minorHAnsi"/>
          <w:snapToGrid/>
          <w:szCs w:val="24"/>
        </w:rPr>
        <w:t xml:space="preserve"> of stream miles deemed suboptimal by each of the major stressors to Virginia streams. Figure 4.4-27 encompasses the entire stream population for each stressor to relate a more complete narrative surrounding estimated stressor extents in Virginia. Streambed sedimentation has the highest extent of predicted stress in Virginia. As we have explored through previous visualization tools, streambed sedimentation, total phosphorus, and habitat disturbance are </w:t>
      </w:r>
      <w:r w:rsidR="00B135A3">
        <w:rPr>
          <w:rFonts w:eastAsia="Cambria" w:cstheme="minorHAnsi"/>
          <w:snapToGrid/>
          <w:szCs w:val="24"/>
        </w:rPr>
        <w:t xml:space="preserve">more common </w:t>
      </w:r>
      <w:r w:rsidR="00B135A3" w:rsidRPr="00307D28">
        <w:rPr>
          <w:rFonts w:eastAsia="Cambria" w:cstheme="minorHAnsi"/>
          <w:snapToGrid/>
          <w:szCs w:val="24"/>
        </w:rPr>
        <w:t xml:space="preserve">potential stressors statewide. Total nitrogen, water column metals, and ionic strength are rare in Virginia, with </w:t>
      </w:r>
      <w:proofErr w:type="gramStart"/>
      <w:r w:rsidR="00B135A3" w:rsidRPr="00307D28">
        <w:rPr>
          <w:rFonts w:eastAsia="Cambria" w:cstheme="minorHAnsi"/>
          <w:snapToGrid/>
          <w:szCs w:val="24"/>
        </w:rPr>
        <w:t>the majority of</w:t>
      </w:r>
      <w:proofErr w:type="gramEnd"/>
      <w:r w:rsidR="00B135A3" w:rsidRPr="00307D28">
        <w:rPr>
          <w:rFonts w:eastAsia="Cambria" w:cstheme="minorHAnsi"/>
          <w:snapToGrid/>
          <w:szCs w:val="24"/>
        </w:rPr>
        <w:t xml:space="preserve"> stream miles in the optimum category of their respective </w:t>
      </w:r>
      <w:proofErr w:type="gramStart"/>
      <w:r w:rsidR="00B135A3" w:rsidRPr="00307D28">
        <w:rPr>
          <w:rFonts w:eastAsia="Cambria" w:cstheme="minorHAnsi"/>
          <w:snapToGrid/>
          <w:szCs w:val="24"/>
        </w:rPr>
        <w:t>parameter</w:t>
      </w:r>
      <w:proofErr w:type="gramEnd"/>
      <w:r w:rsidR="00B135A3" w:rsidRPr="00307D28">
        <w:rPr>
          <w:rFonts w:eastAsia="Cambria" w:cstheme="minorHAnsi"/>
          <w:snapToGrid/>
          <w:szCs w:val="24"/>
        </w:rPr>
        <w:t xml:space="preserve">. However, when any of total nitrogen, water column metals, or ionic strength parameters reach a suboptimal threshold, relative risk analyses estimate them among the most likely stressors to alter the biological community. Missing from this </w:t>
      </w:r>
      <w:r w:rsidR="00B135A3">
        <w:rPr>
          <w:rFonts w:eastAsia="Cambria" w:cstheme="minorHAnsi"/>
          <w:snapToGrid/>
          <w:szCs w:val="24"/>
        </w:rPr>
        <w:t>section</w:t>
      </w:r>
      <w:r w:rsidR="00B135A3" w:rsidRPr="00307D28">
        <w:rPr>
          <w:rFonts w:eastAsia="Cambria" w:cstheme="minorHAnsi"/>
          <w:snapToGrid/>
          <w:szCs w:val="24"/>
        </w:rPr>
        <w:t xml:space="preserve"> are other known stressors, such as hydrologic alteration and temperature stress in the critical period (typically summer months), due to a lack of data to produce statistically significant estimates of relative risk</w:t>
      </w:r>
      <w:r w:rsidR="00B135A3" w:rsidRPr="00307D28">
        <w:rPr>
          <w:rFonts w:eastAsia="Cambria" w:cstheme="minorHAnsi"/>
          <w:snapToGrid/>
          <w:szCs w:val="24"/>
          <w:vertAlign w:val="superscript"/>
        </w:rPr>
        <w:footnoteReference w:id="13"/>
      </w:r>
      <w:r w:rsidR="00B135A3" w:rsidRPr="00307D28">
        <w:rPr>
          <w:rFonts w:eastAsia="Cambria" w:cstheme="minorHAnsi"/>
          <w:snapToGrid/>
          <w:szCs w:val="24"/>
        </w:rPr>
        <w:t>.</w:t>
      </w:r>
    </w:p>
    <w:p w14:paraId="11F45D38" w14:textId="77777777" w:rsidR="00CC66A0" w:rsidRPr="00307D28" w:rsidRDefault="00CC66A0" w:rsidP="00B135A3">
      <w:pPr>
        <w:widowControl/>
        <w:rPr>
          <w:rFonts w:eastAsia="Cambria" w:cstheme="minorHAnsi"/>
          <w:snapToGrid/>
          <w:szCs w:val="24"/>
        </w:rPr>
      </w:pPr>
    </w:p>
    <w:p w14:paraId="25563B8D" w14:textId="77777777" w:rsidR="00B135A3" w:rsidRDefault="00B135A3" w:rsidP="00B135A3">
      <w:pPr>
        <w:keepNext/>
        <w:widowControl/>
        <w:spacing w:before="180" w:after="180"/>
      </w:pPr>
      <w:r w:rsidRPr="00307D28">
        <w:rPr>
          <w:rFonts w:eastAsia="Cambria" w:cstheme="minorHAnsi"/>
          <w:noProof/>
          <w:snapToGrid/>
          <w:szCs w:val="24"/>
        </w:rPr>
        <w:drawing>
          <wp:inline distT="0" distB="0" distL="0" distR="0" wp14:anchorId="5D875B10" wp14:editId="2CBD6F06">
            <wp:extent cx="5334000" cy="2489199"/>
            <wp:effectExtent l="0" t="0" r="0" b="0"/>
            <wp:docPr id="2107413885" name="Picture 2107413885" descr="Bar plot of Stressor extent for major benthic macroinvertebrate stressors in all Virginia streams (2017 - 2022) showing all condition classes (optimal, fair, and suboptimal). Optimal condition estimates are shown in green, fair condition estimates are yellow, and suboptimal conditions are shown in orange."/>
            <wp:cNvGraphicFramePr/>
            <a:graphic xmlns:a="http://schemas.openxmlformats.org/drawingml/2006/main">
              <a:graphicData uri="http://schemas.openxmlformats.org/drawingml/2006/picture">
                <pic:pic xmlns:pic="http://schemas.openxmlformats.org/drawingml/2006/picture">
                  <pic:nvPicPr>
                    <pic:cNvPr id="28" name="Picture" descr="Bar plot of Stressor extent for major benthic macroinvertebrate stressors in all Virginia streams (2017 - 2022) showing all condition classes (optimal, fair, and suboptimal). Optimal condition estimates are shown in green, fair condition estimates are yellow, and suboptimal conditions are shown in orange."/>
                    <pic:cNvPicPr>
                      <a:picLocks noChangeAspect="1" noChangeArrowheads="1"/>
                    </pic:cNvPicPr>
                  </pic:nvPicPr>
                  <pic:blipFill>
                    <a:blip r:embed="rId200" cstate="email">
                      <a:extLst>
                        <a:ext uri="{28A0092B-C50C-407E-A947-70E740481C1C}">
                          <a14:useLocalDpi xmlns:a14="http://schemas.microsoft.com/office/drawing/2010/main"/>
                        </a:ext>
                      </a:extLst>
                    </a:blip>
                    <a:stretch>
                      <a:fillRect/>
                    </a:stretch>
                  </pic:blipFill>
                  <pic:spPr bwMode="auto">
                    <a:xfrm>
                      <a:off x="0" y="0"/>
                      <a:ext cx="5334000" cy="2489199"/>
                    </a:xfrm>
                    <a:prstGeom prst="rect">
                      <a:avLst/>
                    </a:prstGeom>
                    <a:noFill/>
                    <a:ln w="9525">
                      <a:noFill/>
                      <a:headEnd/>
                      <a:tailEnd/>
                    </a:ln>
                  </pic:spPr>
                </pic:pic>
              </a:graphicData>
            </a:graphic>
          </wp:inline>
        </w:drawing>
      </w:r>
    </w:p>
    <w:p w14:paraId="7EA253DD" w14:textId="70D2C0BD" w:rsidR="00BA520B" w:rsidRPr="00DC73F1" w:rsidRDefault="00B135A3" w:rsidP="00BA520B">
      <w:pPr>
        <w:pStyle w:val="Caption"/>
        <w:keepNext/>
      </w:pPr>
      <w:bookmarkStart w:id="220" w:name="_Toc164175113"/>
      <w:r>
        <w:t xml:space="preserve">Figure </w:t>
      </w:r>
      <w:r w:rsidR="004F13BA">
        <w:fldChar w:fldCharType="begin"/>
      </w:r>
      <w:r w:rsidR="004F13BA">
        <w:instrText xml:space="preserve"> STYLEREF 2 \s </w:instrText>
      </w:r>
      <w:r w:rsidR="004F13BA">
        <w:fldChar w:fldCharType="separate"/>
      </w:r>
      <w:r w:rsidR="00E429BB">
        <w:rPr>
          <w:noProof/>
        </w:rPr>
        <w:t>4.4</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27</w:t>
      </w:r>
      <w:r w:rsidR="004F13BA">
        <w:rPr>
          <w:noProof/>
        </w:rPr>
        <w:fldChar w:fldCharType="end"/>
      </w:r>
      <w:r>
        <w:t xml:space="preserve">. </w:t>
      </w:r>
      <w:r w:rsidRPr="00594966">
        <w:t>Stressor extent for major benthic macroinvertebrate stressors</w:t>
      </w:r>
      <w:r w:rsidR="46293D96" w:rsidRPr="00594966">
        <w:t xml:space="preserve"> </w:t>
      </w:r>
      <w:bookmarkEnd w:id="220"/>
      <w:r>
        <w:t>in all Virginia streams (2017 - 2022) showing all condition classes (optimal, fair, and suboptimal). Optimal condition estimates are shown in green, fair condition estimates are yellow, and suboptimal conditions are shown in orange.</w:t>
      </w:r>
      <w:r>
        <w:br/>
      </w:r>
    </w:p>
    <w:p w14:paraId="347841E4" w14:textId="77777777" w:rsidR="00B135A3" w:rsidRPr="00BC74BE" w:rsidRDefault="00B135A3" w:rsidP="00B135A3">
      <w:pPr>
        <w:pStyle w:val="Heading3"/>
        <w:spacing w:after="0"/>
        <w:rPr>
          <w:snapToGrid/>
        </w:rPr>
      </w:pPr>
      <w:r w:rsidRPr="00BC74BE">
        <w:rPr>
          <w:snapToGrid/>
        </w:rPr>
        <w:t>Conclusion</w:t>
      </w:r>
    </w:p>
    <w:p w14:paraId="4EF7F276" w14:textId="6E209123" w:rsidR="005A6D85" w:rsidRPr="00604603" w:rsidRDefault="00B135A3" w:rsidP="00604603">
      <w:pPr>
        <w:widowControl/>
        <w:rPr>
          <w:rFonts w:eastAsia="Cambria" w:cstheme="minorHAnsi"/>
          <w:snapToGrid/>
          <w:szCs w:val="24"/>
        </w:rPr>
        <w:sectPr w:rsidR="005A6D85" w:rsidRPr="00604603" w:rsidSect="009079C4">
          <w:pgSz w:w="12240" w:h="15840" w:code="1"/>
          <w:pgMar w:top="1152" w:right="1440" w:bottom="720" w:left="1440" w:header="720" w:footer="720" w:gutter="0"/>
          <w:cols w:space="720"/>
        </w:sectPr>
      </w:pPr>
      <w:r w:rsidRPr="00307D28">
        <w:rPr>
          <w:rFonts w:eastAsia="Cambria" w:cstheme="minorHAnsi"/>
          <w:snapToGrid/>
          <w:szCs w:val="24"/>
        </w:rPr>
        <w:t xml:space="preserve">DEQ analyzed chemical, biological, and habitat water quality parameters to develop probabilistic estimates of Virginia’s water quality conditions for the 2024 assessment period. Based on the analysis, only a small percentage of total stream miles, including small first and </w:t>
      </w:r>
      <w:r w:rsidRPr="00307D28">
        <w:rPr>
          <w:rFonts w:eastAsia="Cambria" w:cstheme="minorHAnsi"/>
          <w:snapToGrid/>
          <w:szCs w:val="24"/>
        </w:rPr>
        <w:lastRenderedPageBreak/>
        <w:t>second-order streams, exceed numeric water quality criteria. This is an important finding because Virginia’s ambient monitoring program does not have the resources to evaluate the 65% of stream miles in those categories, so this analysis allows for a general assessment of expected water quality conditions.</w:t>
      </w:r>
      <w:r>
        <w:rPr>
          <w:rFonts w:eastAsia="Cambria" w:cstheme="minorHAnsi"/>
          <w:snapToGrid/>
          <w:szCs w:val="24"/>
        </w:rPr>
        <w:br/>
      </w:r>
      <w:r>
        <w:rPr>
          <w:rFonts w:eastAsia="Cambria" w:cstheme="minorHAnsi"/>
          <w:snapToGrid/>
          <w:szCs w:val="24"/>
        </w:rPr>
        <w:br/>
      </w:r>
      <w:r w:rsidRPr="00307D28">
        <w:rPr>
          <w:rFonts w:eastAsia="Cambria" w:cstheme="minorHAnsi"/>
          <w:snapToGrid/>
          <w:szCs w:val="24"/>
        </w:rPr>
        <w:t xml:space="preserve">Biological monitoring results indicate that </w:t>
      </w:r>
      <w:r>
        <w:rPr>
          <w:rFonts w:eastAsia="Cambria" w:cstheme="minorHAnsi"/>
          <w:snapToGrid/>
          <w:szCs w:val="24"/>
        </w:rPr>
        <w:t>less than</w:t>
      </w:r>
      <w:r w:rsidRPr="00307D28">
        <w:rPr>
          <w:rFonts w:eastAsia="Cambria" w:cstheme="minorHAnsi"/>
          <w:snapToGrid/>
          <w:szCs w:val="24"/>
        </w:rPr>
        <w:t xml:space="preserve"> half of Virginia’s streams and rivers are estimated to have a score below the established biological assessment thresholds. Benthic macroinvertebrate communities are estimated to be degraded </w:t>
      </w:r>
      <w:proofErr w:type="gramStart"/>
      <w:r w:rsidRPr="00307D28">
        <w:rPr>
          <w:rFonts w:eastAsia="Cambria" w:cstheme="minorHAnsi"/>
          <w:snapToGrid/>
          <w:szCs w:val="24"/>
        </w:rPr>
        <w:t>in</w:t>
      </w:r>
      <w:proofErr w:type="gramEnd"/>
      <w:r w:rsidRPr="00307D28">
        <w:rPr>
          <w:rFonts w:eastAsia="Cambria" w:cstheme="minorHAnsi"/>
          <w:snapToGrid/>
          <w:szCs w:val="24"/>
        </w:rPr>
        <w:t xml:space="preserve"> 36.3% of the </w:t>
      </w:r>
      <w:proofErr w:type="spellStart"/>
      <w:r w:rsidRPr="00307D28">
        <w:rPr>
          <w:rFonts w:eastAsia="Cambria" w:cstheme="minorHAnsi"/>
          <w:snapToGrid/>
          <w:szCs w:val="24"/>
        </w:rPr>
        <w:t>wadeable</w:t>
      </w:r>
      <w:proofErr w:type="spellEnd"/>
      <w:r w:rsidRPr="00307D28">
        <w:rPr>
          <w:rFonts w:eastAsia="Cambria" w:cstheme="minorHAnsi"/>
          <w:snapToGrid/>
          <w:szCs w:val="24"/>
        </w:rPr>
        <w:t xml:space="preserve"> streams and rivers in Virginia. Benthic macroinvertebrate communities are indicators of water quality problems because they represent the health of the aquatic life communities in Virginia waters. To further explore the relationships between the benthic macroinvertebrate communities and potential stressors across Virginia, the following six stressors would be expected to increase the risk to aquatic organisms: streambed sedimentation, habitat disturbance, total phosphorus, total nitrogen, total dissolved solids, and cumulative metals in the water column. These parameters are discussed in Section 4.4.5. Although these six stressors do not currently have numeric water quality criteria, most are being addressed through a variety of strategies such as benthic TMDLs and TMDL implementation plans, nutrient management plans, and best management practices. As the ProbMon program evolves and DEQ expands on the uses of ProbMon data, enhancement of the strategies for understanding, evaluating, and restoring the Commonwealth’s streams and rivers will continue.</w:t>
      </w:r>
      <w:r>
        <w:rPr>
          <w:rFonts w:eastAsia="Cambria" w:cstheme="minorHAnsi"/>
          <w:snapToGrid/>
          <w:szCs w:val="24"/>
        </w:rPr>
        <w:br/>
      </w:r>
      <w:r>
        <w:rPr>
          <w:rFonts w:eastAsia="Cambria" w:cstheme="minorHAnsi"/>
          <w:snapToGrid/>
          <w:szCs w:val="24"/>
        </w:rPr>
        <w:br/>
      </w:r>
      <w:r w:rsidRPr="00307D28">
        <w:rPr>
          <w:rFonts w:eastAsia="Cambria" w:cstheme="minorHAnsi"/>
          <w:snapToGrid/>
          <w:szCs w:val="24"/>
        </w:rPr>
        <w:t>Th</w:t>
      </w:r>
      <w:r>
        <w:rPr>
          <w:rFonts w:eastAsia="Cambria" w:cstheme="minorHAnsi"/>
          <w:snapToGrid/>
          <w:szCs w:val="24"/>
        </w:rPr>
        <w:t>is</w:t>
      </w:r>
      <w:r w:rsidRPr="00307D28">
        <w:rPr>
          <w:rFonts w:eastAsia="Cambria" w:cstheme="minorHAnsi"/>
          <w:snapToGrid/>
          <w:szCs w:val="24"/>
        </w:rPr>
        <w:t xml:space="preserve"> 2024 Integrated Report offers comparisons of ProbMon data among major river basins throughout the Commonwealth, based on a 22-year data set from 2001 to 2022. Over that period, the Holston, James, and Clinch-Powell River basins are estimated to have the lowest number of river miles falling into the suboptimal category for biological integrity, while the Big Sandy, Chowan, and Rappahannock River basins are estimated to have the highest number of river miles falling into the suboptimal category for biological integrity. While the Big Sandy and Shenandoah River basins showed the highest estimates of suboptimal river miles statewide for a single stressor (ionic strength and total nitrogen, respectively), the Chowan and Rappahannock River basins have the highest statewide estimates for suboptimal river miles among multiple stressors, including habitat disturbance, streambed sedimentation, total phosphorus, and cumulative dissolved metals.</w:t>
      </w:r>
      <w:r>
        <w:rPr>
          <w:rFonts w:eastAsia="Cambria" w:cstheme="minorHAnsi"/>
          <w:snapToGrid/>
          <w:szCs w:val="24"/>
        </w:rPr>
        <w:br/>
      </w:r>
      <w:r>
        <w:rPr>
          <w:rFonts w:eastAsia="Cambria" w:cstheme="minorHAnsi"/>
          <w:snapToGrid/>
          <w:szCs w:val="24"/>
        </w:rPr>
        <w:br/>
      </w:r>
      <w:r w:rsidRPr="00307D28">
        <w:rPr>
          <w:rFonts w:eastAsia="Cambria" w:cstheme="minorHAnsi"/>
          <w:snapToGrid/>
          <w:szCs w:val="24"/>
        </w:rPr>
        <w:t>In addition to presentations, posters, reports, and handouts about ProbMon, raw data and analytical procedures used to generate this report in open source-code are available for viewing and download at</w:t>
      </w:r>
      <w:r w:rsidR="00D52078">
        <w:rPr>
          <w:rFonts w:eastAsia="Cambria" w:cstheme="minorHAnsi"/>
          <w:snapToGrid/>
          <w:szCs w:val="24"/>
        </w:rPr>
        <w:t xml:space="preserve"> the DEQ Probabilistic Monitoring webpage, under data sources.</w:t>
      </w:r>
      <w:bookmarkStart w:id="221" w:name="uses-of-probabilistic-data"/>
      <w:bookmarkEnd w:id="180"/>
      <w:bookmarkEnd w:id="181"/>
      <w:r w:rsidR="00604603">
        <w:rPr>
          <w:rFonts w:eastAsia="Cambria" w:cstheme="minorHAnsi"/>
          <w:snapToGrid/>
          <w:szCs w:val="24"/>
        </w:rPr>
        <w:br/>
      </w:r>
      <w:bookmarkEnd w:id="182"/>
      <w:bookmarkEnd w:id="221"/>
    </w:p>
    <w:p w14:paraId="3DB036C3" w14:textId="3C0CFFC1" w:rsidR="0030653F" w:rsidRPr="000B52A1" w:rsidRDefault="0030653F" w:rsidP="00640D7E">
      <w:pPr>
        <w:pStyle w:val="Heading2"/>
        <w:rPr>
          <w:rFonts w:cstheme="minorHAnsi"/>
        </w:rPr>
      </w:pPr>
      <w:bookmarkStart w:id="222" w:name="_Toc152763314"/>
      <w:bookmarkStart w:id="223" w:name="_Toc155771960"/>
      <w:bookmarkStart w:id="224" w:name="_Toc191900439"/>
      <w:r w:rsidRPr="000B52A1">
        <w:rPr>
          <w:rFonts w:cstheme="minorHAnsi"/>
        </w:rPr>
        <w:t>Estuarine Probabilistic Monitoring</w:t>
      </w:r>
      <w:bookmarkEnd w:id="222"/>
      <w:bookmarkEnd w:id="223"/>
      <w:bookmarkEnd w:id="224"/>
      <w:r w:rsidRPr="000B52A1">
        <w:rPr>
          <w:rFonts w:cstheme="minorHAnsi"/>
        </w:rPr>
        <w:t xml:space="preserve"> </w:t>
      </w:r>
    </w:p>
    <w:p w14:paraId="2C31A3B8" w14:textId="5E2EAC5E" w:rsidR="0030653F" w:rsidRPr="000B52A1" w:rsidRDefault="0030653F" w:rsidP="00640D7E">
      <w:pPr>
        <w:pStyle w:val="Heading3"/>
        <w:rPr>
          <w:rFonts w:cstheme="minorHAnsi"/>
        </w:rPr>
      </w:pPr>
      <w:r w:rsidRPr="000B52A1">
        <w:rPr>
          <w:rFonts w:cstheme="minorHAnsi"/>
        </w:rPr>
        <w:t>Introduction</w:t>
      </w:r>
    </w:p>
    <w:p w14:paraId="62E7D79C" w14:textId="6C77A5DD" w:rsidR="00B6781B" w:rsidRDefault="00B6781B" w:rsidP="00B6781B">
      <w:bookmarkStart w:id="225" w:name="tab:tab-drainage"/>
      <w:bookmarkEnd w:id="225"/>
      <w:r>
        <w:t xml:space="preserve">Between 2017 and 2022 DEQ’s Estuarine Probabilistic Monitoring (ProbMon) Program collected water quality, sediment chemistry, sediment toxicity, and benthic (bottom-dwelling) community samples at 298 </w:t>
      </w:r>
      <w:r w:rsidR="22C32F95">
        <w:t>randomly selected</w:t>
      </w:r>
      <w:r>
        <w:t xml:space="preserve"> monitoring stations in three major estuarine regions of Virginia</w:t>
      </w:r>
      <w:r w:rsidR="006B3AEB">
        <w:t xml:space="preserve"> (Figure 4.5-1)</w:t>
      </w:r>
      <w:r>
        <w:t xml:space="preserve">. </w:t>
      </w:r>
    </w:p>
    <w:p w14:paraId="734778B9" w14:textId="71E55390" w:rsidR="00B6781B" w:rsidRDefault="00B6781B" w:rsidP="00B6781B"/>
    <w:p w14:paraId="4877CF78" w14:textId="4C49723D" w:rsidR="007B0D86" w:rsidRDefault="00A56E0B" w:rsidP="006B3AEB">
      <w:pPr>
        <w:keepNext/>
      </w:pPr>
      <w:r>
        <w:rPr>
          <w:noProof/>
        </w:rPr>
        <w:lastRenderedPageBreak/>
        <w:drawing>
          <wp:inline distT="0" distB="0" distL="0" distR="0" wp14:anchorId="75A83F3A" wp14:editId="4ACA3FBA">
            <wp:extent cx="5625068" cy="6522085"/>
            <wp:effectExtent l="19050" t="19050" r="13970" b="12065"/>
            <wp:docPr id="1524905788" name="Picture 2" descr="Figure 4.5 1. Map of DEQ Estuarine Probabilistic Monitoring sites for the 2024 IR (2017-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05788" name="Picture 2" descr="Figure 4.5 1. Map of DEQ Estuarine Probabilistic Monitoring sites for the 2024 IR (2017-2022)."/>
                    <pic:cNvPicPr>
                      <a:picLocks noChangeAspect="1" noChangeArrowheads="1"/>
                    </pic:cNvPicPr>
                  </pic:nvPicPr>
                  <pic:blipFill rotWithShape="1">
                    <a:blip r:embed="rId201" cstate="email">
                      <a:extLst>
                        <a:ext uri="{28A0092B-C50C-407E-A947-70E740481C1C}">
                          <a14:useLocalDpi xmlns:a14="http://schemas.microsoft.com/office/drawing/2010/main"/>
                        </a:ext>
                      </a:extLst>
                    </a:blip>
                    <a:srcRect l="5355" b="3428"/>
                    <a:stretch/>
                  </pic:blipFill>
                  <pic:spPr bwMode="auto">
                    <a:xfrm>
                      <a:off x="0" y="0"/>
                      <a:ext cx="5625284" cy="65223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290A27F" w14:textId="0219606E" w:rsidR="00AB33EB" w:rsidRPr="0062574F" w:rsidRDefault="007B0D86" w:rsidP="00AB33EB">
      <w:pPr>
        <w:pStyle w:val="Caption"/>
        <w:jc w:val="both"/>
      </w:pPr>
      <w:bookmarkStart w:id="226" w:name="_Toc164175114"/>
      <w:r>
        <w:t xml:space="preserve">Figure </w:t>
      </w:r>
      <w:r w:rsidR="004F13BA">
        <w:fldChar w:fldCharType="begin"/>
      </w:r>
      <w:r w:rsidR="004F13BA">
        <w:instrText xml:space="preserve"> STYLEREF 2 \s </w:instrText>
      </w:r>
      <w:r w:rsidR="004F13BA">
        <w:fldChar w:fldCharType="separate"/>
      </w:r>
      <w:r w:rsidR="00E429BB">
        <w:rPr>
          <w:noProof/>
        </w:rPr>
        <w:t>4.5</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xml:space="preserve">. Map of </w:t>
      </w:r>
      <w:r w:rsidR="00DF6126">
        <w:t xml:space="preserve">DEQ </w:t>
      </w:r>
      <w:r>
        <w:t>Est</w:t>
      </w:r>
      <w:r w:rsidR="00566E8C">
        <w:t>uarine</w:t>
      </w:r>
      <w:r>
        <w:t xml:space="preserve"> </w:t>
      </w:r>
      <w:r w:rsidR="00E07460">
        <w:t>Probabilistic</w:t>
      </w:r>
      <w:r w:rsidR="003B0ADE">
        <w:t xml:space="preserve"> </w:t>
      </w:r>
      <w:r>
        <w:t>Mon</w:t>
      </w:r>
      <w:r w:rsidR="003B0ADE">
        <w:t>itoring</w:t>
      </w:r>
      <w:r>
        <w:t xml:space="preserve"> sites</w:t>
      </w:r>
      <w:r w:rsidR="00B70EEE">
        <w:t xml:space="preserve"> for the 2024 IR</w:t>
      </w:r>
      <w:r w:rsidR="128E3077">
        <w:t xml:space="preserve"> </w:t>
      </w:r>
      <w:bookmarkEnd w:id="226"/>
      <w:r w:rsidR="00B70EEE">
        <w:t>(2017-2022).</w:t>
      </w:r>
    </w:p>
    <w:p w14:paraId="17A68FC9" w14:textId="4CC42795" w:rsidR="001E4177" w:rsidRPr="007E0C19" w:rsidRDefault="00604603" w:rsidP="001E21D0">
      <w:r>
        <w:br/>
      </w:r>
      <w:r w:rsidR="006B3AEB">
        <w:t xml:space="preserve">Approximately 70% of stations were in the </w:t>
      </w:r>
      <w:r w:rsidR="006B3AEB" w:rsidRPr="000B52A1">
        <w:t>Chesapeake Bay watershed</w:t>
      </w:r>
      <w:r w:rsidR="006B3AEB">
        <w:t xml:space="preserve">, which in addition to Chesapeake Bay mainstem and </w:t>
      </w:r>
      <w:proofErr w:type="spellStart"/>
      <w:r w:rsidR="006B3AEB">
        <w:t>embayments</w:t>
      </w:r>
      <w:proofErr w:type="spellEnd"/>
      <w:r w:rsidR="006B3AEB">
        <w:t xml:space="preserve">, includes the mainstem, tidal tributaries, and </w:t>
      </w:r>
      <w:proofErr w:type="spellStart"/>
      <w:r w:rsidR="006B3AEB">
        <w:t>embayments</w:t>
      </w:r>
      <w:proofErr w:type="spellEnd"/>
      <w:r w:rsidR="006B3AEB">
        <w:t xml:space="preserve"> of the James, Potomac, Rappahannock, and York rivers.</w:t>
      </w:r>
      <w:r w:rsidR="006B3AEB" w:rsidRPr="000B52A1">
        <w:t xml:space="preserve"> Stations that were not within the Chesapeake Bay watershed </w:t>
      </w:r>
      <w:r w:rsidR="006B3AEB">
        <w:t>accounted for approximately 30% of samples collected from</w:t>
      </w:r>
      <w:r w:rsidR="006B3AEB" w:rsidRPr="000B52A1">
        <w:t xml:space="preserve"> Atlantic Ocean coastal bays on the </w:t>
      </w:r>
      <w:r w:rsidR="006B3AEB">
        <w:t xml:space="preserve">Delmarva </w:t>
      </w:r>
      <w:proofErr w:type="spellStart"/>
      <w:r w:rsidR="006B3AEB">
        <w:t>Pennisula</w:t>
      </w:r>
      <w:proofErr w:type="spellEnd"/>
      <w:r w:rsidR="006B3AEB" w:rsidRPr="000B52A1">
        <w:t xml:space="preserve"> and </w:t>
      </w:r>
      <w:r w:rsidR="006B3AEB">
        <w:t xml:space="preserve">the </w:t>
      </w:r>
      <w:r w:rsidR="006B3AEB" w:rsidRPr="000B52A1">
        <w:t xml:space="preserve">Albemarle Sound drainages Back Bay and North Landing River (Table </w:t>
      </w:r>
      <w:r w:rsidR="006B3AEB">
        <w:t>4.5-</w:t>
      </w:r>
      <w:r w:rsidR="006B3AEB" w:rsidRPr="000B52A1">
        <w:t>1).</w:t>
      </w:r>
      <w:r w:rsidR="0050068F">
        <w:br/>
      </w:r>
      <w:r>
        <w:br/>
      </w:r>
    </w:p>
    <w:p w14:paraId="276C38F1" w14:textId="2CAF433D" w:rsidR="000F2D5B" w:rsidRPr="0062574F" w:rsidRDefault="00997953" w:rsidP="000F2D5B">
      <w:pPr>
        <w:pStyle w:val="Caption"/>
        <w:jc w:val="both"/>
      </w:pPr>
      <w:bookmarkStart w:id="227" w:name="_Toc164175191"/>
      <w:r>
        <w:lastRenderedPageBreak/>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w:t>
      </w:r>
      <w:r w:rsidR="004F13BA">
        <w:rPr>
          <w:noProof/>
        </w:rPr>
        <w:fldChar w:fldCharType="end"/>
      </w:r>
      <w:r>
        <w:t xml:space="preserve">. </w:t>
      </w:r>
      <w:r w:rsidRPr="004D037A">
        <w:t>Distribution of Estuarine ProbMon monitoring stations by drainage</w:t>
      </w:r>
      <w:bookmarkEnd w:id="227"/>
      <w:r>
        <w:t>, 2017-2022.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Distribution of Estuarine ProbMon monitoring stations by drainage, 2017-2022."/>
        <w:tblDescription w:val="Distribution of Estuarine ProbMon monitoring stations by drainage, 2017-2022."/>
      </w:tblPr>
      <w:tblGrid>
        <w:gridCol w:w="3055"/>
        <w:gridCol w:w="1985"/>
        <w:gridCol w:w="2250"/>
      </w:tblGrid>
      <w:tr w:rsidR="00ED20F6" w14:paraId="4E9BDB18" w14:textId="77777777" w:rsidTr="00ED20F6">
        <w:trPr>
          <w:trHeight w:val="360"/>
        </w:trPr>
        <w:tc>
          <w:tcPr>
            <w:tcW w:w="3055" w:type="dxa"/>
            <w:tcBorders>
              <w:top w:val="single" w:sz="12" w:space="0" w:color="auto"/>
              <w:bottom w:val="single" w:sz="4" w:space="0" w:color="auto"/>
            </w:tcBorders>
            <w:vAlign w:val="center"/>
          </w:tcPr>
          <w:p w14:paraId="52979075" w14:textId="77777777" w:rsidR="00A457CE" w:rsidRPr="00A457CE" w:rsidRDefault="00A457CE" w:rsidP="00ED20F6">
            <w:pPr>
              <w:rPr>
                <w:b/>
                <w:bCs/>
                <w:sz w:val="22"/>
                <w:szCs w:val="22"/>
              </w:rPr>
            </w:pPr>
            <w:r w:rsidRPr="00A457CE">
              <w:rPr>
                <w:b/>
                <w:bCs/>
                <w:sz w:val="22"/>
                <w:szCs w:val="22"/>
              </w:rPr>
              <w:t>Drainage</w:t>
            </w:r>
          </w:p>
        </w:tc>
        <w:tc>
          <w:tcPr>
            <w:tcW w:w="1985" w:type="dxa"/>
            <w:tcBorders>
              <w:top w:val="single" w:sz="12" w:space="0" w:color="auto"/>
              <w:bottom w:val="single" w:sz="4" w:space="0" w:color="auto"/>
            </w:tcBorders>
            <w:vAlign w:val="center"/>
          </w:tcPr>
          <w:p w14:paraId="1B8DB2F2" w14:textId="77777777" w:rsidR="00A457CE" w:rsidRPr="00A457CE" w:rsidRDefault="00A457CE" w:rsidP="00ED20F6">
            <w:pPr>
              <w:jc w:val="right"/>
              <w:rPr>
                <w:b/>
                <w:bCs/>
                <w:sz w:val="22"/>
                <w:szCs w:val="22"/>
              </w:rPr>
            </w:pPr>
            <w:r w:rsidRPr="00A457CE">
              <w:rPr>
                <w:b/>
                <w:bCs/>
                <w:sz w:val="22"/>
                <w:szCs w:val="22"/>
              </w:rPr>
              <w:t>Stations</w:t>
            </w:r>
          </w:p>
        </w:tc>
        <w:tc>
          <w:tcPr>
            <w:tcW w:w="2250" w:type="dxa"/>
            <w:tcBorders>
              <w:top w:val="single" w:sz="12" w:space="0" w:color="auto"/>
              <w:bottom w:val="single" w:sz="4" w:space="0" w:color="auto"/>
            </w:tcBorders>
            <w:vAlign w:val="center"/>
          </w:tcPr>
          <w:p w14:paraId="2616AA9C" w14:textId="786A02A9" w:rsidR="00A457CE" w:rsidRPr="00A457CE" w:rsidRDefault="001F495A" w:rsidP="00ED20F6">
            <w:pPr>
              <w:jc w:val="right"/>
              <w:rPr>
                <w:b/>
                <w:bCs/>
                <w:sz w:val="22"/>
                <w:szCs w:val="22"/>
              </w:rPr>
            </w:pPr>
            <w:r w:rsidRPr="00A457CE">
              <w:rPr>
                <w:b/>
                <w:bCs/>
                <w:sz w:val="22"/>
                <w:szCs w:val="22"/>
              </w:rPr>
              <w:t>Percentage</w:t>
            </w:r>
            <w:r w:rsidRPr="00723D27">
              <w:rPr>
                <w:b/>
                <w:bCs/>
                <w:sz w:val="22"/>
                <w:szCs w:val="22"/>
                <w:vertAlign w:val="superscript"/>
              </w:rPr>
              <w:t>1</w:t>
            </w:r>
          </w:p>
        </w:tc>
      </w:tr>
      <w:tr w:rsidR="00A457CE" w14:paraId="1DEEF414" w14:textId="77777777" w:rsidTr="00ED20F6">
        <w:trPr>
          <w:trHeight w:val="360"/>
        </w:trPr>
        <w:tc>
          <w:tcPr>
            <w:tcW w:w="3055" w:type="dxa"/>
            <w:tcBorders>
              <w:top w:val="single" w:sz="4" w:space="0" w:color="auto"/>
            </w:tcBorders>
            <w:vAlign w:val="center"/>
          </w:tcPr>
          <w:p w14:paraId="4C30F8F1" w14:textId="77777777" w:rsidR="00A457CE" w:rsidRPr="00A457CE" w:rsidRDefault="00A457CE" w:rsidP="00ED20F6">
            <w:pPr>
              <w:rPr>
                <w:sz w:val="22"/>
                <w:szCs w:val="22"/>
              </w:rPr>
            </w:pPr>
            <w:r w:rsidRPr="00A457CE">
              <w:rPr>
                <w:sz w:val="22"/>
                <w:szCs w:val="22"/>
              </w:rPr>
              <w:t>Chesapeake Bay</w:t>
            </w:r>
          </w:p>
        </w:tc>
        <w:tc>
          <w:tcPr>
            <w:tcW w:w="1985" w:type="dxa"/>
            <w:tcBorders>
              <w:top w:val="single" w:sz="4" w:space="0" w:color="auto"/>
            </w:tcBorders>
            <w:vAlign w:val="center"/>
          </w:tcPr>
          <w:p w14:paraId="0DCB0B7F" w14:textId="77777777" w:rsidR="00A457CE" w:rsidRPr="00A457CE" w:rsidRDefault="00A457CE" w:rsidP="00ED20F6">
            <w:pPr>
              <w:jc w:val="right"/>
              <w:rPr>
                <w:sz w:val="22"/>
                <w:szCs w:val="22"/>
              </w:rPr>
            </w:pPr>
            <w:r w:rsidRPr="00A457CE">
              <w:rPr>
                <w:sz w:val="22"/>
                <w:szCs w:val="22"/>
              </w:rPr>
              <w:t>211</w:t>
            </w:r>
          </w:p>
        </w:tc>
        <w:tc>
          <w:tcPr>
            <w:tcW w:w="2250" w:type="dxa"/>
            <w:tcBorders>
              <w:top w:val="single" w:sz="4" w:space="0" w:color="auto"/>
            </w:tcBorders>
            <w:vAlign w:val="center"/>
          </w:tcPr>
          <w:p w14:paraId="4184C7BA" w14:textId="48799E47" w:rsidR="00A457CE" w:rsidRPr="00A457CE" w:rsidRDefault="00A457CE" w:rsidP="00ED20F6">
            <w:pPr>
              <w:jc w:val="right"/>
              <w:rPr>
                <w:sz w:val="22"/>
                <w:szCs w:val="22"/>
              </w:rPr>
            </w:pPr>
            <w:r w:rsidRPr="00A457CE">
              <w:rPr>
                <w:sz w:val="22"/>
                <w:szCs w:val="22"/>
              </w:rPr>
              <w:t>70.8</w:t>
            </w:r>
          </w:p>
        </w:tc>
      </w:tr>
      <w:tr w:rsidR="00A457CE" w14:paraId="2FE8A0DA" w14:textId="77777777" w:rsidTr="00ED20F6">
        <w:trPr>
          <w:trHeight w:val="360"/>
        </w:trPr>
        <w:tc>
          <w:tcPr>
            <w:tcW w:w="3055" w:type="dxa"/>
            <w:vAlign w:val="center"/>
          </w:tcPr>
          <w:p w14:paraId="73165E02" w14:textId="77777777" w:rsidR="00A457CE" w:rsidRPr="00A457CE" w:rsidRDefault="00A457CE" w:rsidP="00ED20F6">
            <w:pPr>
              <w:rPr>
                <w:sz w:val="22"/>
                <w:szCs w:val="22"/>
              </w:rPr>
            </w:pPr>
            <w:r w:rsidRPr="00A457CE">
              <w:rPr>
                <w:sz w:val="22"/>
                <w:szCs w:val="22"/>
              </w:rPr>
              <w:t>Atlantic Bays</w:t>
            </w:r>
          </w:p>
        </w:tc>
        <w:tc>
          <w:tcPr>
            <w:tcW w:w="1985" w:type="dxa"/>
            <w:vAlign w:val="center"/>
          </w:tcPr>
          <w:p w14:paraId="3C215C27" w14:textId="77777777" w:rsidR="00A457CE" w:rsidRPr="00A457CE" w:rsidRDefault="00A457CE" w:rsidP="00ED20F6">
            <w:pPr>
              <w:jc w:val="right"/>
              <w:rPr>
                <w:sz w:val="22"/>
                <w:szCs w:val="22"/>
              </w:rPr>
            </w:pPr>
            <w:r w:rsidRPr="00A457CE">
              <w:rPr>
                <w:sz w:val="22"/>
                <w:szCs w:val="22"/>
              </w:rPr>
              <w:t>59</w:t>
            </w:r>
          </w:p>
        </w:tc>
        <w:tc>
          <w:tcPr>
            <w:tcW w:w="2250" w:type="dxa"/>
            <w:vAlign w:val="center"/>
          </w:tcPr>
          <w:p w14:paraId="66D90D85" w14:textId="7F6926B7" w:rsidR="00A457CE" w:rsidRPr="00A457CE" w:rsidRDefault="00A457CE" w:rsidP="00ED20F6">
            <w:pPr>
              <w:jc w:val="right"/>
              <w:rPr>
                <w:sz w:val="22"/>
                <w:szCs w:val="22"/>
              </w:rPr>
            </w:pPr>
            <w:r w:rsidRPr="00A457CE">
              <w:rPr>
                <w:sz w:val="22"/>
                <w:szCs w:val="22"/>
              </w:rPr>
              <w:t xml:space="preserve">19.8 </w:t>
            </w:r>
          </w:p>
        </w:tc>
      </w:tr>
      <w:tr w:rsidR="00A457CE" w14:paraId="35E0B584" w14:textId="77777777" w:rsidTr="0050432E">
        <w:trPr>
          <w:trHeight w:val="360"/>
        </w:trPr>
        <w:tc>
          <w:tcPr>
            <w:tcW w:w="3055" w:type="dxa"/>
            <w:tcBorders>
              <w:bottom w:val="single" w:sz="2" w:space="0" w:color="auto"/>
            </w:tcBorders>
            <w:vAlign w:val="center"/>
          </w:tcPr>
          <w:p w14:paraId="0A6F9680" w14:textId="77777777" w:rsidR="00A457CE" w:rsidRPr="00A457CE" w:rsidRDefault="00A457CE" w:rsidP="00ED20F6">
            <w:pPr>
              <w:rPr>
                <w:sz w:val="22"/>
                <w:szCs w:val="22"/>
              </w:rPr>
            </w:pPr>
            <w:r w:rsidRPr="00A457CE">
              <w:rPr>
                <w:sz w:val="22"/>
                <w:szCs w:val="22"/>
              </w:rPr>
              <w:t>North Landing-Back Bay</w:t>
            </w:r>
          </w:p>
        </w:tc>
        <w:tc>
          <w:tcPr>
            <w:tcW w:w="1985" w:type="dxa"/>
            <w:tcBorders>
              <w:bottom w:val="single" w:sz="2" w:space="0" w:color="auto"/>
            </w:tcBorders>
            <w:vAlign w:val="center"/>
          </w:tcPr>
          <w:p w14:paraId="75ED7507" w14:textId="77777777" w:rsidR="00A457CE" w:rsidRPr="00A457CE" w:rsidRDefault="00A457CE" w:rsidP="00ED20F6">
            <w:pPr>
              <w:jc w:val="right"/>
              <w:rPr>
                <w:sz w:val="22"/>
                <w:szCs w:val="22"/>
              </w:rPr>
            </w:pPr>
            <w:r w:rsidRPr="00A457CE">
              <w:rPr>
                <w:sz w:val="22"/>
                <w:szCs w:val="22"/>
              </w:rPr>
              <w:t>28</w:t>
            </w:r>
          </w:p>
        </w:tc>
        <w:tc>
          <w:tcPr>
            <w:tcW w:w="2250" w:type="dxa"/>
            <w:tcBorders>
              <w:bottom w:val="single" w:sz="2" w:space="0" w:color="auto"/>
            </w:tcBorders>
            <w:vAlign w:val="center"/>
          </w:tcPr>
          <w:p w14:paraId="31AF8727" w14:textId="0C5C5708" w:rsidR="00A457CE" w:rsidRPr="00A457CE" w:rsidRDefault="00A457CE" w:rsidP="00ED20F6">
            <w:pPr>
              <w:jc w:val="right"/>
              <w:rPr>
                <w:sz w:val="22"/>
                <w:szCs w:val="22"/>
              </w:rPr>
            </w:pPr>
            <w:r w:rsidRPr="00A457CE">
              <w:rPr>
                <w:sz w:val="22"/>
                <w:szCs w:val="22"/>
              </w:rPr>
              <w:t xml:space="preserve">9.4 </w:t>
            </w:r>
          </w:p>
        </w:tc>
      </w:tr>
      <w:tr w:rsidR="00A457CE" w:rsidRPr="00CF474C" w14:paraId="43464A6E" w14:textId="77777777" w:rsidTr="0050432E">
        <w:trPr>
          <w:trHeight w:val="360"/>
        </w:trPr>
        <w:tc>
          <w:tcPr>
            <w:tcW w:w="3055" w:type="dxa"/>
            <w:tcBorders>
              <w:top w:val="single" w:sz="2" w:space="0" w:color="auto"/>
              <w:bottom w:val="single" w:sz="12" w:space="0" w:color="auto"/>
            </w:tcBorders>
            <w:vAlign w:val="center"/>
          </w:tcPr>
          <w:p w14:paraId="08A05456" w14:textId="77777777" w:rsidR="00A457CE" w:rsidRPr="00CF474C" w:rsidRDefault="00A457CE" w:rsidP="00ED20F6">
            <w:pPr>
              <w:rPr>
                <w:b/>
                <w:sz w:val="22"/>
                <w:szCs w:val="22"/>
              </w:rPr>
            </w:pPr>
            <w:r w:rsidRPr="00CF474C">
              <w:rPr>
                <w:b/>
                <w:sz w:val="22"/>
                <w:szCs w:val="22"/>
              </w:rPr>
              <w:t>Total</w:t>
            </w:r>
          </w:p>
        </w:tc>
        <w:tc>
          <w:tcPr>
            <w:tcW w:w="1985" w:type="dxa"/>
            <w:tcBorders>
              <w:top w:val="single" w:sz="2" w:space="0" w:color="auto"/>
              <w:bottom w:val="single" w:sz="12" w:space="0" w:color="auto"/>
            </w:tcBorders>
            <w:vAlign w:val="center"/>
          </w:tcPr>
          <w:p w14:paraId="09D01062" w14:textId="77777777" w:rsidR="00A457CE" w:rsidRPr="00CF474C" w:rsidRDefault="00A457CE" w:rsidP="00ED20F6">
            <w:pPr>
              <w:jc w:val="right"/>
              <w:rPr>
                <w:b/>
                <w:sz w:val="22"/>
                <w:szCs w:val="22"/>
              </w:rPr>
            </w:pPr>
            <w:r w:rsidRPr="00CF474C">
              <w:rPr>
                <w:b/>
                <w:sz w:val="22"/>
                <w:szCs w:val="22"/>
              </w:rPr>
              <w:t>298</w:t>
            </w:r>
          </w:p>
        </w:tc>
        <w:tc>
          <w:tcPr>
            <w:tcW w:w="2250" w:type="dxa"/>
            <w:tcBorders>
              <w:top w:val="single" w:sz="2" w:space="0" w:color="auto"/>
              <w:bottom w:val="single" w:sz="12" w:space="0" w:color="auto"/>
            </w:tcBorders>
            <w:vAlign w:val="center"/>
          </w:tcPr>
          <w:p w14:paraId="0E11285E" w14:textId="77777777" w:rsidR="00A457CE" w:rsidRPr="00CF474C" w:rsidRDefault="00A457CE" w:rsidP="00ED20F6">
            <w:pPr>
              <w:jc w:val="right"/>
              <w:rPr>
                <w:b/>
                <w:sz w:val="22"/>
                <w:szCs w:val="22"/>
              </w:rPr>
            </w:pPr>
          </w:p>
        </w:tc>
      </w:tr>
    </w:tbl>
    <w:p w14:paraId="2EBF3920" w14:textId="0527716F" w:rsidR="00854624" w:rsidRPr="007C43FB" w:rsidRDefault="00586B46" w:rsidP="007C43FB">
      <w:pPr>
        <w:rPr>
          <w:sz w:val="20"/>
        </w:rPr>
      </w:pPr>
      <w:r w:rsidRPr="007C43FB">
        <w:rPr>
          <w:sz w:val="20"/>
          <w:vertAlign w:val="superscript"/>
        </w:rPr>
        <w:t>1</w:t>
      </w:r>
      <w:r w:rsidRPr="007C43FB">
        <w:rPr>
          <w:sz w:val="20"/>
        </w:rPr>
        <w:t xml:space="preserve"> Stations are primarily representative of smaller estuaries; approximately 95% of stations are from estuaries &lt; 100 sq km drainage, </w:t>
      </w:r>
      <w:r w:rsidR="00D248E1">
        <w:rPr>
          <w:sz w:val="20"/>
        </w:rPr>
        <w:t>approximately</w:t>
      </w:r>
      <w:r w:rsidRPr="007C43FB">
        <w:rPr>
          <w:sz w:val="20"/>
        </w:rPr>
        <w:t xml:space="preserve"> 5% of stations are from Chesapeake Bay mainstem.</w:t>
      </w:r>
    </w:p>
    <w:p w14:paraId="0F559055" w14:textId="77777777" w:rsidR="00EC6203" w:rsidRDefault="00EC6203" w:rsidP="007C43FB">
      <w:pPr>
        <w:rPr>
          <w:b/>
        </w:rPr>
      </w:pPr>
    </w:p>
    <w:p w14:paraId="0ABFBAE1" w14:textId="4DACAC81" w:rsidR="00EC6203" w:rsidRDefault="001C3375" w:rsidP="007C43FB">
      <w:r w:rsidRPr="00BA6660">
        <w:t>For samples collected for Quality Assurance (QA)</w:t>
      </w:r>
      <w:r w:rsidR="00EC6EF3">
        <w:t>,</w:t>
      </w:r>
      <w:r w:rsidRPr="00BA6660">
        <w:t xml:space="preserve"> only the first of two duplicates were included in the analyses. </w:t>
      </w:r>
      <w:r w:rsidR="00D36EAF">
        <w:t>M</w:t>
      </w:r>
      <w:r w:rsidRPr="00BA6660">
        <w:t xml:space="preserve">onitoring stations that were sampled more than once per season on different days (NCCA revisit stations; n = 2) include only data from the first visit. Targeted stations revisited during the assessment window, as follow-ups to observed sediment contamination, were excluded from this report. Two probabilistic stations in 2022 were not sampled because of late season weather and time restrictions; the defined sampling window (July </w:t>
      </w:r>
      <w:r w:rsidR="00444DFE">
        <w:t xml:space="preserve">- </w:t>
      </w:r>
      <w:r w:rsidRPr="00BA6660">
        <w:t xml:space="preserve">September) for benthic index calculation had expired. Six stations have only partial data from 2022 because of sampling equipment malfunction or due to samples </w:t>
      </w:r>
      <w:r w:rsidR="00160E5C">
        <w:t>loss</w:t>
      </w:r>
      <w:r w:rsidRPr="00BA6660">
        <w:t xml:space="preserve">. Water column samples and hydrographic profiles were collected at all </w:t>
      </w:r>
      <w:proofErr w:type="gramStart"/>
      <w:r w:rsidRPr="00BA6660">
        <w:t>visited stations</w:t>
      </w:r>
      <w:proofErr w:type="gramEnd"/>
      <w:r w:rsidRPr="00BA6660">
        <w:t xml:space="preserve">. </w:t>
      </w:r>
      <w:r w:rsidR="00417682">
        <w:t>I</w:t>
      </w:r>
      <w:r w:rsidRPr="00BA6660">
        <w:t>n the following characterizations, 298 stations were evaluated for water column attributes and sediment chemistry, 297 stations were evaluated for benthic attributes, and 293 stations were evaluated for sediment toxicity.</w:t>
      </w:r>
    </w:p>
    <w:p w14:paraId="6A1AE758" w14:textId="4F41D4EA" w:rsidR="00EC6203" w:rsidRDefault="00EC6203" w:rsidP="007C43FB"/>
    <w:p w14:paraId="2C9FA02E" w14:textId="77777777" w:rsidR="00EC6203" w:rsidRDefault="001C3375" w:rsidP="007C43FB">
      <w:bookmarkStart w:id="228" w:name="tab:tab-salreg"/>
      <w:bookmarkEnd w:id="228"/>
      <w:r w:rsidRPr="00BA6660">
        <w:t xml:space="preserve">The salinity regimes at monitoring stations are characterized by near-bottom salinities at the time of sampling because bottom salinity defines habitat types for benthic communities. Table 4.5-2 presents the distribution of stations by salinity regime and the respective salinity ranges for each regime. Note: </w:t>
      </w:r>
      <w:proofErr w:type="spellStart"/>
      <w:r w:rsidRPr="00BA6660">
        <w:t>euhaline</w:t>
      </w:r>
      <w:proofErr w:type="spellEnd"/>
      <w:r w:rsidRPr="00BA6660">
        <w:t xml:space="preserve"> stations were primarily along the Atlantic Coast of the Delmarva Peninsula, where oceanic waters have a greater influence on salinity.</w:t>
      </w:r>
    </w:p>
    <w:p w14:paraId="306CE25D" w14:textId="2BD914DF" w:rsidR="00A118F6" w:rsidRDefault="00A118F6" w:rsidP="007C43FB"/>
    <w:p w14:paraId="653CBCD5" w14:textId="536C177E" w:rsidR="00542673" w:rsidRPr="0062574F" w:rsidRDefault="001E4177" w:rsidP="007C43FB">
      <w:bookmarkStart w:id="229" w:name="_Toc164175192"/>
      <w:r w:rsidRPr="0A5BE548">
        <w:rPr>
          <w:rStyle w:val="CaptionChar"/>
          <w:rFonts w:eastAsiaTheme="minorEastAsia"/>
        </w:rPr>
        <w:t xml:space="preserve">Table </w:t>
      </w:r>
      <w:r w:rsidR="00CD06AE" w:rsidRPr="0A5BE548">
        <w:rPr>
          <w:rStyle w:val="CaptionChar"/>
          <w:rFonts w:eastAsiaTheme="minorEastAsia"/>
        </w:rPr>
        <w:fldChar w:fldCharType="begin"/>
      </w:r>
      <w:r w:rsidR="00CD06AE" w:rsidRPr="0A5BE548">
        <w:rPr>
          <w:rStyle w:val="CaptionChar"/>
          <w:rFonts w:eastAsiaTheme="minorEastAsia"/>
        </w:rPr>
        <w:instrText xml:space="preserve"> STYLEREF 2 \s </w:instrText>
      </w:r>
      <w:r w:rsidR="00CD06AE" w:rsidRPr="0A5BE548">
        <w:rPr>
          <w:rStyle w:val="CaptionChar"/>
          <w:rFonts w:eastAsiaTheme="minorEastAsia"/>
        </w:rPr>
        <w:fldChar w:fldCharType="separate"/>
      </w:r>
      <w:r w:rsidR="00CD06AE" w:rsidRPr="0A5BE548">
        <w:rPr>
          <w:rStyle w:val="CaptionChar"/>
          <w:rFonts w:eastAsiaTheme="minorEastAsia"/>
          <w:noProof/>
        </w:rPr>
        <w:t>4.5</w:t>
      </w:r>
      <w:r w:rsidR="00CD06AE" w:rsidRPr="0A5BE548">
        <w:rPr>
          <w:rStyle w:val="CaptionChar"/>
          <w:rFonts w:eastAsiaTheme="minorEastAsia"/>
        </w:rPr>
        <w:fldChar w:fldCharType="end"/>
      </w:r>
      <w:r w:rsidR="00CD06AE">
        <w:rPr>
          <w:rStyle w:val="CaptionChar"/>
          <w:rFonts w:eastAsiaTheme="minorHAnsi"/>
        </w:rPr>
        <w:noBreakHyphen/>
      </w:r>
      <w:r w:rsidR="00CD06AE" w:rsidRPr="0A5BE548">
        <w:rPr>
          <w:rStyle w:val="CaptionChar"/>
          <w:rFonts w:eastAsiaTheme="minorEastAsia"/>
        </w:rPr>
        <w:fldChar w:fldCharType="begin"/>
      </w:r>
      <w:r w:rsidR="00CD06AE" w:rsidRPr="0A5BE548">
        <w:rPr>
          <w:rStyle w:val="CaptionChar"/>
          <w:rFonts w:eastAsiaTheme="minorEastAsia"/>
        </w:rPr>
        <w:instrText xml:space="preserve"> SEQ Table \* ARABIC \s 2 </w:instrText>
      </w:r>
      <w:r w:rsidR="00CD06AE" w:rsidRPr="0A5BE548">
        <w:rPr>
          <w:rStyle w:val="CaptionChar"/>
          <w:rFonts w:eastAsiaTheme="minorEastAsia"/>
        </w:rPr>
        <w:fldChar w:fldCharType="separate"/>
      </w:r>
      <w:r w:rsidR="00CD06AE" w:rsidRPr="0A5BE548">
        <w:rPr>
          <w:rStyle w:val="CaptionChar"/>
          <w:rFonts w:eastAsiaTheme="minorEastAsia"/>
          <w:noProof/>
        </w:rPr>
        <w:t>2</w:t>
      </w:r>
      <w:r w:rsidR="00CD06AE" w:rsidRPr="0A5BE548">
        <w:rPr>
          <w:rStyle w:val="CaptionChar"/>
          <w:rFonts w:eastAsiaTheme="minorEastAsia"/>
        </w:rPr>
        <w:fldChar w:fldCharType="end"/>
      </w:r>
      <w:r w:rsidRPr="0A5BE548">
        <w:rPr>
          <w:rStyle w:val="CaptionChar"/>
          <w:rFonts w:eastAsiaTheme="minorEastAsia"/>
        </w:rPr>
        <w:t>. Distribution of stations by salinity regime</w:t>
      </w:r>
      <w:bookmarkEnd w:id="229"/>
      <w:r w:rsidRPr="0A5BE548">
        <w:rPr>
          <w:rStyle w:val="CaptionChar"/>
        </w:rPr>
        <w:t xml:space="preserve">, based on near-bottom salinity at time of sampling, 2017-2022. </w:t>
      </w:r>
      <w:r w:rsidR="00B72DA4" w:rsidRPr="0A5BE548">
        <w:rPr>
          <w:rStyle w:val="CaptionChar"/>
        </w:rPr>
        <w:t>Ranges</w:t>
      </w:r>
      <w:r w:rsidRPr="0A5BE548">
        <w:rPr>
          <w:rStyle w:val="CaptionChar"/>
        </w:rPr>
        <w:t xml:space="preserve"> follow the Venice System (1958).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Distribution of stations by salinity regime, based on near-bottom salinity at time of sampling, 2017-2022. Thresholds follow the Venice System (1958)."/>
        <w:tblDescription w:val="Distribution of stations by salinity regime, based on near-bottom salinity at time of sampling, 2017-2022. Thresholds follow the Venice System (1958)."/>
      </w:tblPr>
      <w:tblGrid>
        <w:gridCol w:w="2337"/>
        <w:gridCol w:w="2337"/>
        <w:gridCol w:w="2338"/>
        <w:gridCol w:w="2338"/>
      </w:tblGrid>
      <w:tr w:rsidR="005A2A86" w14:paraId="03BBCD98" w14:textId="77777777" w:rsidTr="00CF474C">
        <w:trPr>
          <w:trHeight w:val="360"/>
        </w:trPr>
        <w:tc>
          <w:tcPr>
            <w:tcW w:w="2337" w:type="dxa"/>
            <w:tcBorders>
              <w:top w:val="single" w:sz="12" w:space="0" w:color="auto"/>
              <w:bottom w:val="single" w:sz="4" w:space="0" w:color="auto"/>
            </w:tcBorders>
            <w:vAlign w:val="center"/>
          </w:tcPr>
          <w:p w14:paraId="53335301" w14:textId="77777777" w:rsidR="005A2A86" w:rsidRDefault="005A2A86">
            <w:bookmarkStart w:id="230" w:name="parameters-measured-and-results"/>
            <w:r w:rsidRPr="000B52A1">
              <w:rPr>
                <w:rFonts w:eastAsia="Arial" w:cstheme="minorHAnsi"/>
                <w:b/>
                <w:color w:val="000000"/>
                <w:sz w:val="22"/>
                <w:szCs w:val="22"/>
              </w:rPr>
              <w:t>Salinity Regime</w:t>
            </w:r>
          </w:p>
        </w:tc>
        <w:tc>
          <w:tcPr>
            <w:tcW w:w="2337" w:type="dxa"/>
            <w:tcBorders>
              <w:top w:val="single" w:sz="12" w:space="0" w:color="auto"/>
              <w:bottom w:val="single" w:sz="4" w:space="0" w:color="auto"/>
            </w:tcBorders>
            <w:vAlign w:val="center"/>
          </w:tcPr>
          <w:p w14:paraId="73043848" w14:textId="77777777" w:rsidR="005A2A86" w:rsidRDefault="005A2A86">
            <w:r w:rsidRPr="000B52A1">
              <w:rPr>
                <w:rFonts w:eastAsia="Arial" w:cstheme="minorHAnsi"/>
                <w:b/>
                <w:color w:val="000000"/>
                <w:sz w:val="22"/>
                <w:szCs w:val="22"/>
              </w:rPr>
              <w:t xml:space="preserve">Salinity </w:t>
            </w:r>
            <w:proofErr w:type="gramStart"/>
            <w:r w:rsidRPr="000B52A1">
              <w:rPr>
                <w:rFonts w:eastAsia="Arial" w:cstheme="minorHAnsi"/>
                <w:b/>
                <w:color w:val="000000"/>
                <w:sz w:val="22"/>
                <w:szCs w:val="22"/>
              </w:rPr>
              <w:t>Range (‰</w:t>
            </w:r>
            <w:proofErr w:type="gramEnd"/>
            <w:r w:rsidRPr="000B52A1">
              <w:rPr>
                <w:rFonts w:eastAsia="Arial" w:cstheme="minorHAnsi"/>
                <w:b/>
                <w:color w:val="000000"/>
                <w:sz w:val="22"/>
                <w:szCs w:val="22"/>
              </w:rPr>
              <w:t>)</w:t>
            </w:r>
          </w:p>
        </w:tc>
        <w:tc>
          <w:tcPr>
            <w:tcW w:w="2338" w:type="dxa"/>
            <w:tcBorders>
              <w:top w:val="single" w:sz="12" w:space="0" w:color="auto"/>
              <w:bottom w:val="single" w:sz="4" w:space="0" w:color="auto"/>
            </w:tcBorders>
            <w:vAlign w:val="center"/>
          </w:tcPr>
          <w:p w14:paraId="03F02A15" w14:textId="77777777" w:rsidR="005A2A86" w:rsidRDefault="005A2A86">
            <w:r w:rsidRPr="000B52A1">
              <w:rPr>
                <w:rFonts w:eastAsia="Arial" w:cstheme="minorHAnsi"/>
                <w:b/>
                <w:color w:val="000000"/>
                <w:sz w:val="22"/>
                <w:szCs w:val="22"/>
              </w:rPr>
              <w:t>Stations</w:t>
            </w:r>
          </w:p>
        </w:tc>
        <w:tc>
          <w:tcPr>
            <w:tcW w:w="2338" w:type="dxa"/>
            <w:tcBorders>
              <w:top w:val="single" w:sz="12" w:space="0" w:color="auto"/>
              <w:bottom w:val="single" w:sz="4" w:space="0" w:color="auto"/>
            </w:tcBorders>
            <w:vAlign w:val="center"/>
          </w:tcPr>
          <w:p w14:paraId="2F8B07ED" w14:textId="403BD216" w:rsidR="005A2A86" w:rsidRDefault="005A2A86">
            <w:r w:rsidRPr="000B52A1">
              <w:rPr>
                <w:rFonts w:eastAsia="Arial" w:cstheme="minorHAnsi"/>
                <w:b/>
                <w:color w:val="000000"/>
                <w:sz w:val="22"/>
                <w:szCs w:val="22"/>
              </w:rPr>
              <w:t>Percentage</w:t>
            </w:r>
            <w:r w:rsidR="00303BCE" w:rsidRPr="00303BCE">
              <w:rPr>
                <w:rFonts w:eastAsia="Arial" w:cstheme="minorHAnsi"/>
                <w:b/>
                <w:color w:val="000000"/>
                <w:sz w:val="22"/>
                <w:szCs w:val="22"/>
                <w:vertAlign w:val="superscript"/>
              </w:rPr>
              <w:t>1</w:t>
            </w:r>
          </w:p>
        </w:tc>
      </w:tr>
      <w:tr w:rsidR="005A2A86" w14:paraId="5AB57657" w14:textId="77777777" w:rsidTr="00CF474C">
        <w:trPr>
          <w:trHeight w:val="360"/>
        </w:trPr>
        <w:tc>
          <w:tcPr>
            <w:tcW w:w="2337" w:type="dxa"/>
            <w:tcBorders>
              <w:top w:val="single" w:sz="4" w:space="0" w:color="auto"/>
            </w:tcBorders>
            <w:vAlign w:val="center"/>
          </w:tcPr>
          <w:p w14:paraId="56CAE010" w14:textId="77777777" w:rsidR="005A2A86" w:rsidRDefault="005A2A86">
            <w:r w:rsidRPr="000B52A1">
              <w:rPr>
                <w:rFonts w:eastAsia="Arial" w:cstheme="minorHAnsi"/>
                <w:color w:val="000000"/>
                <w:sz w:val="22"/>
                <w:szCs w:val="22"/>
              </w:rPr>
              <w:t>Tidal Freshwater</w:t>
            </w:r>
          </w:p>
        </w:tc>
        <w:tc>
          <w:tcPr>
            <w:tcW w:w="2337" w:type="dxa"/>
            <w:tcBorders>
              <w:top w:val="single" w:sz="4" w:space="0" w:color="auto"/>
            </w:tcBorders>
            <w:vAlign w:val="center"/>
          </w:tcPr>
          <w:p w14:paraId="4002A738" w14:textId="77777777" w:rsidR="005A2A86" w:rsidRDefault="005A2A86">
            <w:r w:rsidRPr="000B52A1">
              <w:rPr>
                <w:rFonts w:eastAsia="Arial" w:cstheme="minorHAnsi"/>
                <w:color w:val="000000"/>
                <w:sz w:val="22"/>
                <w:szCs w:val="22"/>
              </w:rPr>
              <w:t>&lt; 0.5</w:t>
            </w:r>
          </w:p>
        </w:tc>
        <w:tc>
          <w:tcPr>
            <w:tcW w:w="2338" w:type="dxa"/>
            <w:tcBorders>
              <w:top w:val="single" w:sz="4" w:space="0" w:color="auto"/>
            </w:tcBorders>
            <w:vAlign w:val="center"/>
          </w:tcPr>
          <w:p w14:paraId="40D5EE47" w14:textId="77777777" w:rsidR="005A2A86" w:rsidRDefault="005A2A86">
            <w:r w:rsidRPr="000B52A1">
              <w:rPr>
                <w:rFonts w:eastAsia="Arial" w:cstheme="minorHAnsi"/>
                <w:color w:val="000000"/>
                <w:sz w:val="22"/>
                <w:szCs w:val="22"/>
              </w:rPr>
              <w:t>36</w:t>
            </w:r>
          </w:p>
        </w:tc>
        <w:tc>
          <w:tcPr>
            <w:tcW w:w="2338" w:type="dxa"/>
            <w:tcBorders>
              <w:top w:val="single" w:sz="4" w:space="0" w:color="auto"/>
            </w:tcBorders>
            <w:vAlign w:val="center"/>
          </w:tcPr>
          <w:p w14:paraId="6A22F8F3" w14:textId="32451CCC" w:rsidR="005A2A86" w:rsidRDefault="005A2A86">
            <w:r w:rsidRPr="000B52A1">
              <w:rPr>
                <w:rFonts w:eastAsia="Arial" w:cstheme="minorHAnsi"/>
                <w:color w:val="000000"/>
                <w:sz w:val="22"/>
                <w:szCs w:val="22"/>
              </w:rPr>
              <w:t>12.</w:t>
            </w:r>
            <w:r w:rsidR="000E50D8">
              <w:rPr>
                <w:rFonts w:eastAsia="Arial" w:cstheme="minorHAnsi"/>
                <w:color w:val="000000"/>
                <w:sz w:val="22"/>
                <w:szCs w:val="22"/>
              </w:rPr>
              <w:t>1</w:t>
            </w:r>
          </w:p>
        </w:tc>
      </w:tr>
      <w:tr w:rsidR="005A2A86" w14:paraId="2B6227ED" w14:textId="77777777" w:rsidTr="00CF474C">
        <w:trPr>
          <w:trHeight w:val="360"/>
        </w:trPr>
        <w:tc>
          <w:tcPr>
            <w:tcW w:w="2337" w:type="dxa"/>
            <w:vAlign w:val="center"/>
          </w:tcPr>
          <w:p w14:paraId="7E89CF4D" w14:textId="77777777" w:rsidR="005A2A86" w:rsidRDefault="005A2A86">
            <w:r w:rsidRPr="000B52A1">
              <w:rPr>
                <w:rFonts w:eastAsia="Arial" w:cstheme="minorHAnsi"/>
                <w:color w:val="000000"/>
                <w:sz w:val="22"/>
                <w:szCs w:val="22"/>
              </w:rPr>
              <w:t>Oligohaline</w:t>
            </w:r>
          </w:p>
        </w:tc>
        <w:tc>
          <w:tcPr>
            <w:tcW w:w="2337" w:type="dxa"/>
            <w:vAlign w:val="center"/>
          </w:tcPr>
          <w:p w14:paraId="07E2CC2A" w14:textId="77777777" w:rsidR="005A2A86" w:rsidRDefault="005A2A86">
            <w:r w:rsidRPr="000B52A1">
              <w:rPr>
                <w:rFonts w:eastAsia="Arial" w:cstheme="minorHAnsi"/>
                <w:color w:val="000000"/>
                <w:sz w:val="22"/>
                <w:szCs w:val="22"/>
              </w:rPr>
              <w:t>≥ 0.5 and ≤ 5</w:t>
            </w:r>
          </w:p>
        </w:tc>
        <w:tc>
          <w:tcPr>
            <w:tcW w:w="2338" w:type="dxa"/>
            <w:vAlign w:val="center"/>
          </w:tcPr>
          <w:p w14:paraId="22BF1F3B" w14:textId="77777777" w:rsidR="005A2A86" w:rsidRDefault="005A2A86">
            <w:r w:rsidRPr="000B52A1">
              <w:rPr>
                <w:rFonts w:eastAsia="Arial" w:cstheme="minorHAnsi"/>
                <w:color w:val="000000"/>
                <w:sz w:val="22"/>
                <w:szCs w:val="22"/>
              </w:rPr>
              <w:t>32</w:t>
            </w:r>
          </w:p>
        </w:tc>
        <w:tc>
          <w:tcPr>
            <w:tcW w:w="2338" w:type="dxa"/>
            <w:vAlign w:val="center"/>
          </w:tcPr>
          <w:p w14:paraId="191DE836" w14:textId="206E8D9C" w:rsidR="005A2A86" w:rsidRDefault="005A2A86">
            <w:r w:rsidRPr="000B52A1">
              <w:rPr>
                <w:rFonts w:eastAsia="Arial" w:cstheme="minorHAnsi"/>
                <w:color w:val="000000"/>
                <w:sz w:val="22"/>
                <w:szCs w:val="22"/>
              </w:rPr>
              <w:t>10.7</w:t>
            </w:r>
          </w:p>
        </w:tc>
      </w:tr>
      <w:tr w:rsidR="005A2A86" w14:paraId="2CD0541B" w14:textId="77777777" w:rsidTr="00CF474C">
        <w:trPr>
          <w:trHeight w:val="360"/>
        </w:trPr>
        <w:tc>
          <w:tcPr>
            <w:tcW w:w="2337" w:type="dxa"/>
            <w:vAlign w:val="center"/>
          </w:tcPr>
          <w:p w14:paraId="6FA26D6F" w14:textId="77777777" w:rsidR="005A2A86" w:rsidRDefault="005A2A86">
            <w:r w:rsidRPr="000B52A1">
              <w:rPr>
                <w:rFonts w:eastAsia="Arial" w:cstheme="minorHAnsi"/>
                <w:color w:val="000000"/>
                <w:sz w:val="22"/>
                <w:szCs w:val="22"/>
              </w:rPr>
              <w:t>Low Mesohaline</w:t>
            </w:r>
          </w:p>
        </w:tc>
        <w:tc>
          <w:tcPr>
            <w:tcW w:w="2337" w:type="dxa"/>
            <w:vAlign w:val="center"/>
          </w:tcPr>
          <w:p w14:paraId="454D4052" w14:textId="77777777" w:rsidR="005A2A86" w:rsidRDefault="005A2A86">
            <w:r w:rsidRPr="000B52A1">
              <w:rPr>
                <w:rFonts w:eastAsia="Arial" w:cstheme="minorHAnsi"/>
                <w:color w:val="000000"/>
                <w:sz w:val="22"/>
                <w:szCs w:val="22"/>
              </w:rPr>
              <w:t>&gt; 5 and ≤ 12</w:t>
            </w:r>
          </w:p>
        </w:tc>
        <w:tc>
          <w:tcPr>
            <w:tcW w:w="2338" w:type="dxa"/>
            <w:vAlign w:val="center"/>
          </w:tcPr>
          <w:p w14:paraId="3FA97383" w14:textId="77777777" w:rsidR="005A2A86" w:rsidRDefault="005A2A86">
            <w:r w:rsidRPr="000B52A1">
              <w:rPr>
                <w:rFonts w:eastAsia="Arial" w:cstheme="minorHAnsi"/>
                <w:color w:val="000000"/>
                <w:sz w:val="22"/>
                <w:szCs w:val="22"/>
              </w:rPr>
              <w:t>33</w:t>
            </w:r>
          </w:p>
        </w:tc>
        <w:tc>
          <w:tcPr>
            <w:tcW w:w="2338" w:type="dxa"/>
            <w:vAlign w:val="center"/>
          </w:tcPr>
          <w:p w14:paraId="62C14DBE" w14:textId="1E302CC2" w:rsidR="005A2A86" w:rsidRDefault="005A2A86">
            <w:r w:rsidRPr="000B52A1">
              <w:rPr>
                <w:rFonts w:eastAsia="Arial" w:cstheme="minorHAnsi"/>
                <w:color w:val="000000"/>
                <w:sz w:val="22"/>
                <w:szCs w:val="22"/>
              </w:rPr>
              <w:t>11.</w:t>
            </w:r>
            <w:r w:rsidR="000E50D8">
              <w:rPr>
                <w:rFonts w:eastAsia="Arial" w:cstheme="minorHAnsi"/>
                <w:color w:val="000000"/>
                <w:sz w:val="22"/>
                <w:szCs w:val="22"/>
              </w:rPr>
              <w:t>1</w:t>
            </w:r>
          </w:p>
        </w:tc>
      </w:tr>
      <w:tr w:rsidR="005A2A86" w14:paraId="1B0F3C50" w14:textId="77777777" w:rsidTr="00CF474C">
        <w:trPr>
          <w:trHeight w:val="360"/>
        </w:trPr>
        <w:tc>
          <w:tcPr>
            <w:tcW w:w="2337" w:type="dxa"/>
            <w:vAlign w:val="center"/>
          </w:tcPr>
          <w:p w14:paraId="4F3760BB" w14:textId="77777777" w:rsidR="005A2A86" w:rsidRDefault="005A2A86">
            <w:r w:rsidRPr="000B52A1">
              <w:rPr>
                <w:rFonts w:eastAsia="Arial" w:cstheme="minorHAnsi"/>
                <w:color w:val="000000"/>
                <w:sz w:val="22"/>
                <w:szCs w:val="22"/>
              </w:rPr>
              <w:t>High Mesohaline</w:t>
            </w:r>
          </w:p>
        </w:tc>
        <w:tc>
          <w:tcPr>
            <w:tcW w:w="2337" w:type="dxa"/>
            <w:vAlign w:val="center"/>
          </w:tcPr>
          <w:p w14:paraId="1A86C65E" w14:textId="77777777" w:rsidR="005A2A86" w:rsidRDefault="005A2A86">
            <w:r w:rsidRPr="000B52A1">
              <w:rPr>
                <w:rFonts w:eastAsia="Arial" w:cstheme="minorHAnsi"/>
                <w:color w:val="000000"/>
                <w:sz w:val="22"/>
                <w:szCs w:val="22"/>
              </w:rPr>
              <w:t>&gt; 12 and ≤ 18</w:t>
            </w:r>
          </w:p>
        </w:tc>
        <w:tc>
          <w:tcPr>
            <w:tcW w:w="2338" w:type="dxa"/>
            <w:vAlign w:val="center"/>
          </w:tcPr>
          <w:p w14:paraId="3F74D539" w14:textId="77777777" w:rsidR="005A2A86" w:rsidRDefault="005A2A86">
            <w:r w:rsidRPr="000B52A1">
              <w:rPr>
                <w:rFonts w:eastAsia="Arial" w:cstheme="minorHAnsi"/>
                <w:color w:val="000000"/>
                <w:sz w:val="22"/>
                <w:szCs w:val="22"/>
              </w:rPr>
              <w:t>74</w:t>
            </w:r>
          </w:p>
        </w:tc>
        <w:tc>
          <w:tcPr>
            <w:tcW w:w="2338" w:type="dxa"/>
            <w:vAlign w:val="center"/>
          </w:tcPr>
          <w:p w14:paraId="0024B3B8" w14:textId="3931CF5D" w:rsidR="005A2A86" w:rsidRDefault="005A2A86">
            <w:r w:rsidRPr="000B52A1">
              <w:rPr>
                <w:rFonts w:eastAsia="Arial" w:cstheme="minorHAnsi"/>
                <w:color w:val="000000"/>
                <w:sz w:val="22"/>
                <w:szCs w:val="22"/>
              </w:rPr>
              <w:t>24.8</w:t>
            </w:r>
          </w:p>
        </w:tc>
      </w:tr>
      <w:tr w:rsidR="005A2A86" w14:paraId="4D999516" w14:textId="77777777" w:rsidTr="00CF474C">
        <w:trPr>
          <w:trHeight w:val="360"/>
        </w:trPr>
        <w:tc>
          <w:tcPr>
            <w:tcW w:w="2337" w:type="dxa"/>
            <w:vAlign w:val="center"/>
          </w:tcPr>
          <w:p w14:paraId="328991D2" w14:textId="77777777" w:rsidR="005A2A86" w:rsidRDefault="005A2A86">
            <w:proofErr w:type="spellStart"/>
            <w:r w:rsidRPr="000B52A1">
              <w:rPr>
                <w:rFonts w:eastAsia="Arial" w:cstheme="minorHAnsi"/>
                <w:color w:val="000000"/>
                <w:sz w:val="22"/>
                <w:szCs w:val="22"/>
              </w:rPr>
              <w:t>Polyhaline</w:t>
            </w:r>
            <w:proofErr w:type="spellEnd"/>
          </w:p>
        </w:tc>
        <w:tc>
          <w:tcPr>
            <w:tcW w:w="2337" w:type="dxa"/>
            <w:vAlign w:val="center"/>
          </w:tcPr>
          <w:p w14:paraId="62ABF576" w14:textId="77777777" w:rsidR="005A2A86" w:rsidRDefault="005A2A86">
            <w:r w:rsidRPr="000B52A1">
              <w:rPr>
                <w:rFonts w:eastAsia="Arial" w:cstheme="minorHAnsi"/>
                <w:color w:val="000000"/>
                <w:sz w:val="22"/>
                <w:szCs w:val="22"/>
              </w:rPr>
              <w:t>&gt; 18 and ≤ 30</w:t>
            </w:r>
          </w:p>
        </w:tc>
        <w:tc>
          <w:tcPr>
            <w:tcW w:w="2338" w:type="dxa"/>
            <w:vAlign w:val="center"/>
          </w:tcPr>
          <w:p w14:paraId="79F49757" w14:textId="77777777" w:rsidR="005A2A86" w:rsidRDefault="005A2A86">
            <w:r w:rsidRPr="000B52A1">
              <w:rPr>
                <w:rFonts w:eastAsia="Arial" w:cstheme="minorHAnsi"/>
                <w:color w:val="000000"/>
                <w:sz w:val="22"/>
                <w:szCs w:val="22"/>
              </w:rPr>
              <w:t>74</w:t>
            </w:r>
          </w:p>
        </w:tc>
        <w:tc>
          <w:tcPr>
            <w:tcW w:w="2338" w:type="dxa"/>
            <w:vAlign w:val="center"/>
          </w:tcPr>
          <w:p w14:paraId="375EDEE4" w14:textId="46ED082A" w:rsidR="005A2A86" w:rsidRDefault="005A2A86">
            <w:r w:rsidRPr="000B52A1">
              <w:rPr>
                <w:rFonts w:eastAsia="Arial" w:cstheme="minorHAnsi"/>
                <w:color w:val="000000"/>
                <w:sz w:val="22"/>
                <w:szCs w:val="22"/>
              </w:rPr>
              <w:t>24.8</w:t>
            </w:r>
          </w:p>
        </w:tc>
      </w:tr>
      <w:tr w:rsidR="005A2A86" w14:paraId="06234443" w14:textId="77777777" w:rsidTr="00010C6E">
        <w:trPr>
          <w:trHeight w:val="360"/>
        </w:trPr>
        <w:tc>
          <w:tcPr>
            <w:tcW w:w="2337" w:type="dxa"/>
            <w:tcBorders>
              <w:bottom w:val="single" w:sz="2" w:space="0" w:color="auto"/>
            </w:tcBorders>
            <w:vAlign w:val="center"/>
          </w:tcPr>
          <w:p w14:paraId="17F9590B" w14:textId="77777777" w:rsidR="005A2A86" w:rsidRDefault="005A2A86">
            <w:proofErr w:type="spellStart"/>
            <w:r w:rsidRPr="000B52A1">
              <w:rPr>
                <w:rFonts w:eastAsia="Arial" w:cstheme="minorHAnsi"/>
                <w:color w:val="000000"/>
                <w:sz w:val="22"/>
                <w:szCs w:val="22"/>
              </w:rPr>
              <w:t>Euhaline</w:t>
            </w:r>
            <w:proofErr w:type="spellEnd"/>
          </w:p>
        </w:tc>
        <w:tc>
          <w:tcPr>
            <w:tcW w:w="2337" w:type="dxa"/>
            <w:tcBorders>
              <w:bottom w:val="single" w:sz="2" w:space="0" w:color="auto"/>
            </w:tcBorders>
            <w:vAlign w:val="center"/>
          </w:tcPr>
          <w:p w14:paraId="53D9ABA0" w14:textId="77777777" w:rsidR="005A2A86" w:rsidRDefault="005A2A86">
            <w:r w:rsidRPr="000B52A1">
              <w:rPr>
                <w:rFonts w:eastAsia="Arial" w:cstheme="minorHAnsi"/>
                <w:color w:val="000000"/>
                <w:sz w:val="22"/>
                <w:szCs w:val="22"/>
              </w:rPr>
              <w:t>&gt; 30 and ≤ 40</w:t>
            </w:r>
          </w:p>
        </w:tc>
        <w:tc>
          <w:tcPr>
            <w:tcW w:w="2338" w:type="dxa"/>
            <w:tcBorders>
              <w:bottom w:val="single" w:sz="2" w:space="0" w:color="auto"/>
            </w:tcBorders>
            <w:vAlign w:val="center"/>
          </w:tcPr>
          <w:p w14:paraId="6099EE8B" w14:textId="77777777" w:rsidR="005A2A86" w:rsidRDefault="005A2A86">
            <w:r w:rsidRPr="000B52A1">
              <w:rPr>
                <w:rFonts w:eastAsia="Arial" w:cstheme="minorHAnsi"/>
                <w:color w:val="000000"/>
                <w:sz w:val="22"/>
                <w:szCs w:val="22"/>
              </w:rPr>
              <w:t>49</w:t>
            </w:r>
          </w:p>
        </w:tc>
        <w:tc>
          <w:tcPr>
            <w:tcW w:w="2338" w:type="dxa"/>
            <w:tcBorders>
              <w:bottom w:val="single" w:sz="2" w:space="0" w:color="auto"/>
            </w:tcBorders>
            <w:vAlign w:val="center"/>
          </w:tcPr>
          <w:p w14:paraId="0C612709" w14:textId="1955507E" w:rsidR="005A2A86" w:rsidRDefault="005A2A86">
            <w:r w:rsidRPr="000B52A1">
              <w:rPr>
                <w:rFonts w:eastAsia="Arial" w:cstheme="minorHAnsi"/>
                <w:color w:val="000000"/>
                <w:sz w:val="22"/>
                <w:szCs w:val="22"/>
              </w:rPr>
              <w:t>16.</w:t>
            </w:r>
            <w:r w:rsidR="00303BCE">
              <w:rPr>
                <w:rFonts w:eastAsia="Arial" w:cstheme="minorHAnsi"/>
                <w:color w:val="000000"/>
                <w:sz w:val="22"/>
                <w:szCs w:val="22"/>
              </w:rPr>
              <w:t>5</w:t>
            </w:r>
          </w:p>
        </w:tc>
      </w:tr>
      <w:tr w:rsidR="005A2A86" w:rsidRPr="00CF474C" w14:paraId="066E7A35" w14:textId="77777777" w:rsidTr="00010C6E">
        <w:trPr>
          <w:trHeight w:val="360"/>
        </w:trPr>
        <w:tc>
          <w:tcPr>
            <w:tcW w:w="2337" w:type="dxa"/>
            <w:tcBorders>
              <w:top w:val="single" w:sz="2" w:space="0" w:color="auto"/>
              <w:bottom w:val="single" w:sz="12" w:space="0" w:color="auto"/>
            </w:tcBorders>
            <w:vAlign w:val="center"/>
          </w:tcPr>
          <w:p w14:paraId="11FE7677" w14:textId="77777777" w:rsidR="005A2A86" w:rsidRPr="00CF474C" w:rsidRDefault="005A2A86">
            <w:pPr>
              <w:rPr>
                <w:b/>
                <w:bCs/>
              </w:rPr>
            </w:pPr>
            <w:r w:rsidRPr="00CF474C">
              <w:rPr>
                <w:rFonts w:eastAsia="Arial" w:cstheme="minorHAnsi"/>
                <w:b/>
                <w:bCs/>
                <w:color w:val="000000"/>
                <w:sz w:val="22"/>
                <w:szCs w:val="22"/>
              </w:rPr>
              <w:t>Total</w:t>
            </w:r>
          </w:p>
        </w:tc>
        <w:tc>
          <w:tcPr>
            <w:tcW w:w="2337" w:type="dxa"/>
            <w:tcBorders>
              <w:top w:val="single" w:sz="2" w:space="0" w:color="auto"/>
              <w:bottom w:val="single" w:sz="12" w:space="0" w:color="auto"/>
            </w:tcBorders>
            <w:vAlign w:val="center"/>
          </w:tcPr>
          <w:p w14:paraId="6A136894" w14:textId="77777777" w:rsidR="005A2A86" w:rsidRPr="00CF474C" w:rsidRDefault="005A2A86">
            <w:pPr>
              <w:rPr>
                <w:b/>
                <w:bCs/>
              </w:rPr>
            </w:pPr>
          </w:p>
        </w:tc>
        <w:tc>
          <w:tcPr>
            <w:tcW w:w="2338" w:type="dxa"/>
            <w:tcBorders>
              <w:top w:val="single" w:sz="2" w:space="0" w:color="auto"/>
              <w:bottom w:val="single" w:sz="12" w:space="0" w:color="auto"/>
            </w:tcBorders>
            <w:vAlign w:val="center"/>
          </w:tcPr>
          <w:p w14:paraId="059FDC32" w14:textId="77777777" w:rsidR="005A2A86" w:rsidRPr="00CF474C" w:rsidRDefault="005A2A86">
            <w:pPr>
              <w:rPr>
                <w:b/>
                <w:bCs/>
              </w:rPr>
            </w:pPr>
            <w:r w:rsidRPr="00CF474C">
              <w:rPr>
                <w:rFonts w:eastAsia="Arial" w:cstheme="minorHAnsi"/>
                <w:b/>
                <w:bCs/>
                <w:color w:val="000000"/>
                <w:sz w:val="22"/>
                <w:szCs w:val="22"/>
              </w:rPr>
              <w:t>298</w:t>
            </w:r>
          </w:p>
        </w:tc>
        <w:tc>
          <w:tcPr>
            <w:tcW w:w="2338" w:type="dxa"/>
            <w:tcBorders>
              <w:top w:val="single" w:sz="2" w:space="0" w:color="auto"/>
              <w:bottom w:val="single" w:sz="12" w:space="0" w:color="auto"/>
            </w:tcBorders>
            <w:vAlign w:val="center"/>
          </w:tcPr>
          <w:p w14:paraId="60CF2941" w14:textId="77777777" w:rsidR="005A2A86" w:rsidRPr="00CF474C" w:rsidRDefault="005A2A86">
            <w:pPr>
              <w:rPr>
                <w:b/>
                <w:bCs/>
              </w:rPr>
            </w:pPr>
          </w:p>
        </w:tc>
      </w:tr>
    </w:tbl>
    <w:p w14:paraId="07C0F60A" w14:textId="0336E24A" w:rsidR="001E4177" w:rsidRDefault="00CA19F7" w:rsidP="00CA19F7">
      <w:pPr>
        <w:pStyle w:val="TableCaption"/>
      </w:pPr>
      <w:r w:rsidRPr="00CA19F7">
        <w:rPr>
          <w:vertAlign w:val="superscript"/>
        </w:rPr>
        <w:t>1</w:t>
      </w:r>
      <w:r w:rsidRPr="002E31E0">
        <w:t xml:space="preserve"> </w:t>
      </w:r>
      <w:r>
        <w:t xml:space="preserve">Stations are primarily representative of smaller estuaries; approximately 95% of stations are from estuaries &lt; 100 sq km drainage, </w:t>
      </w:r>
      <w:r w:rsidR="00D248E1">
        <w:t>approximately</w:t>
      </w:r>
      <w:r>
        <w:t xml:space="preserve"> 5% of stations are from Chesapeake Bay mainstem.</w:t>
      </w:r>
      <w:r>
        <w:br/>
      </w:r>
    </w:p>
    <w:p w14:paraId="1A097065" w14:textId="2EFBFCE3" w:rsidR="0030653F" w:rsidRPr="000B52A1" w:rsidRDefault="0030653F" w:rsidP="00C5533C">
      <w:pPr>
        <w:pStyle w:val="Heading4"/>
        <w:rPr>
          <w:rFonts w:cstheme="minorHAnsi"/>
        </w:rPr>
      </w:pPr>
      <w:r w:rsidRPr="000B52A1">
        <w:rPr>
          <w:rFonts w:cstheme="minorHAnsi"/>
        </w:rPr>
        <w:t>Parameters Measured and Results</w:t>
      </w:r>
    </w:p>
    <w:p w14:paraId="77299573" w14:textId="14D69AED" w:rsidR="0030653F" w:rsidRPr="000B52A1" w:rsidRDefault="0030653F" w:rsidP="00D93774">
      <w:r w:rsidRPr="000B52A1">
        <w:t xml:space="preserve">DEQ’s Estuarine ProbMon Program adheres closely to the same selection of water quality and </w:t>
      </w:r>
      <w:r w:rsidRPr="000B52A1">
        <w:lastRenderedPageBreak/>
        <w:t xml:space="preserve">sediment quality parameters measured for the U.S. EPA’s NCCA Program. Samples for water quality, sediment chemistry, sediment toxicity, and benthic community condition are collected at each of the ProbMon stations. It’s important to note that the water quality parameters (e.g., nutrients, bacteria, DO, temperature, pH, etc.) that are measured at probabilistic stations </w:t>
      </w:r>
      <w:proofErr w:type="gramStart"/>
      <w:r w:rsidRPr="000B52A1">
        <w:t>are considered to be</w:t>
      </w:r>
      <w:proofErr w:type="gramEnd"/>
      <w:r w:rsidRPr="000B52A1">
        <w:t xml:space="preserve"> instantaneous observations and are insufficient for assessment purposes because the intensity and duration of such parameters are unknown. However, sediment chemistry, sediment toxicity, and benthic community condition are used in the evaluation of the Sediment Quality Triad (SQT; </w:t>
      </w:r>
      <w:r w:rsidRPr="00FC5A63">
        <w:rPr>
          <w:rFonts w:cstheme="minorHAnsi"/>
        </w:rPr>
        <w:t>Chapman et al. 1986</w:t>
      </w:r>
      <w:r w:rsidRPr="000B52A1">
        <w:t xml:space="preserve">, </w:t>
      </w:r>
      <w:r w:rsidRPr="00FC5A63">
        <w:rPr>
          <w:rFonts w:cstheme="minorHAnsi"/>
        </w:rPr>
        <w:t>1987</w:t>
      </w:r>
      <w:r w:rsidRPr="000B52A1">
        <w:t xml:space="preserve">; </w:t>
      </w:r>
      <w:r w:rsidRPr="00FC5A63">
        <w:rPr>
          <w:rFonts w:cstheme="minorHAnsi"/>
        </w:rPr>
        <w:t>Long &amp; Chapman, 1985</w:t>
      </w:r>
      <w:r w:rsidRPr="000B52A1">
        <w:t xml:space="preserve">) to conduct Weight-of-Evidence (WOE) assessments at each individual station for determination of attainment of the Aquatic Life Use (ALU). All SQT measures </w:t>
      </w:r>
      <w:proofErr w:type="gramStart"/>
      <w:r w:rsidRPr="000B52A1">
        <w:t>are considered to be</w:t>
      </w:r>
      <w:proofErr w:type="gramEnd"/>
      <w:r w:rsidRPr="000B52A1">
        <w:t xml:space="preserve"> temporally integrative, providing an assessment of environmental conditions experienced by the benthic community during the period prior to the time of sampling.</w:t>
      </w:r>
      <w:r w:rsidR="00D93774">
        <w:br/>
      </w:r>
    </w:p>
    <w:p w14:paraId="115756EA" w14:textId="0552480D" w:rsidR="0030653F" w:rsidRPr="000B52A1" w:rsidRDefault="0030653F" w:rsidP="00D93774">
      <w:r w:rsidRPr="000B52A1">
        <w:t xml:space="preserve">This </w:t>
      </w:r>
      <w:r w:rsidR="007E6F35">
        <w:t>section</w:t>
      </w:r>
      <w:r w:rsidRPr="000B52A1">
        <w:t xml:space="preserve"> summarizes water quality, sediment quality, and benthic community condition of Virginia’s estuarine probabilistic stations for the assessment period 2017-2022. In addition, statewide results are used to provide an overall assessments of Virginia’s estuarine conditions, using NCCA evaluation methods as described in U.S. EPA’s NCCA Technical Support Document (TSD; </w:t>
      </w:r>
      <w:r w:rsidRPr="00FC5A63">
        <w:rPr>
          <w:rFonts w:eastAsiaTheme="majorEastAsia" w:cstheme="minorHAnsi"/>
        </w:rPr>
        <w:t>U.S. EPA 2020</w:t>
      </w:r>
      <w:r w:rsidRPr="000B52A1">
        <w:t>).</w:t>
      </w:r>
      <w:r w:rsidR="00B75F7F">
        <w:br/>
      </w:r>
    </w:p>
    <w:p w14:paraId="5EAE057B" w14:textId="67E3D326" w:rsidR="0030653F" w:rsidRPr="000B52A1" w:rsidRDefault="0030653F" w:rsidP="00640D7E">
      <w:pPr>
        <w:pStyle w:val="Heading3"/>
        <w:rPr>
          <w:rFonts w:cstheme="minorHAnsi"/>
        </w:rPr>
      </w:pPr>
      <w:bookmarkStart w:id="231" w:name="water-quality"/>
      <w:bookmarkEnd w:id="230"/>
      <w:r w:rsidRPr="000B52A1">
        <w:rPr>
          <w:rFonts w:cstheme="minorHAnsi"/>
        </w:rPr>
        <w:t>Water Quality</w:t>
      </w:r>
    </w:p>
    <w:p w14:paraId="55151B8B" w14:textId="77777777" w:rsidR="0030653F" w:rsidRPr="000B52A1" w:rsidRDefault="0030653F" w:rsidP="00D93774">
      <w:r w:rsidRPr="000B52A1">
        <w:t>The NCCA uses the following five water column parameters to characterize estuarine water quality:</w:t>
      </w:r>
    </w:p>
    <w:p w14:paraId="25CE97DD" w14:textId="77777777" w:rsidR="0030653F" w:rsidRPr="000B52A1" w:rsidRDefault="0030653F">
      <w:pPr>
        <w:pStyle w:val="Compact"/>
        <w:numPr>
          <w:ilvl w:val="0"/>
          <w:numId w:val="14"/>
        </w:numPr>
        <w:spacing w:before="0" w:after="0"/>
        <w:rPr>
          <w:rFonts w:cstheme="minorHAnsi"/>
        </w:rPr>
      </w:pPr>
      <w:r w:rsidRPr="000B52A1">
        <w:rPr>
          <w:rFonts w:cstheme="minorHAnsi"/>
        </w:rPr>
        <w:t>Near-surface Dissolved Inorganic Phosphorus concentration (DIP in mg/L)</w:t>
      </w:r>
    </w:p>
    <w:p w14:paraId="01A4B023" w14:textId="77777777" w:rsidR="0030653F" w:rsidRPr="000B52A1" w:rsidRDefault="0030653F">
      <w:pPr>
        <w:pStyle w:val="Compact"/>
        <w:numPr>
          <w:ilvl w:val="0"/>
          <w:numId w:val="14"/>
        </w:numPr>
        <w:spacing w:before="0" w:after="0"/>
        <w:rPr>
          <w:rFonts w:cstheme="minorHAnsi"/>
        </w:rPr>
      </w:pPr>
      <w:r w:rsidRPr="000B52A1">
        <w:rPr>
          <w:rFonts w:cstheme="minorHAnsi"/>
        </w:rPr>
        <w:t>Near-surface Dissolved Inorganic Nitrogen concentration (DIN in mg/L)</w:t>
      </w:r>
    </w:p>
    <w:p w14:paraId="2605E0B2" w14:textId="3BCFE23B" w:rsidR="0030653F" w:rsidRPr="000B52A1" w:rsidRDefault="0030653F">
      <w:pPr>
        <w:pStyle w:val="Compact"/>
        <w:numPr>
          <w:ilvl w:val="0"/>
          <w:numId w:val="14"/>
        </w:numPr>
        <w:spacing w:before="0" w:after="0"/>
        <w:rPr>
          <w:rFonts w:cstheme="minorHAnsi"/>
        </w:rPr>
      </w:pPr>
      <w:r w:rsidRPr="000B52A1">
        <w:rPr>
          <w:rFonts w:cstheme="minorHAnsi"/>
        </w:rPr>
        <w:t>Near-surface Chlorophyll</w:t>
      </w:r>
      <w:r w:rsidR="00637A3C">
        <w:rPr>
          <w:rFonts w:cstheme="minorHAnsi"/>
        </w:rPr>
        <w:t xml:space="preserve"> </w:t>
      </w:r>
      <w:r w:rsidRPr="00637A3C">
        <w:rPr>
          <w:rFonts w:cstheme="minorHAnsi"/>
          <w:i/>
          <w:iCs/>
        </w:rPr>
        <w:t>a</w:t>
      </w:r>
      <w:r w:rsidRPr="000B52A1">
        <w:rPr>
          <w:rFonts w:cstheme="minorHAnsi"/>
        </w:rPr>
        <w:t xml:space="preserve"> concentration (</w:t>
      </w:r>
      <w:proofErr w:type="spellStart"/>
      <w:r w:rsidRPr="000B52A1">
        <w:rPr>
          <w:rFonts w:cstheme="minorHAnsi"/>
        </w:rPr>
        <w:t>Chl</w:t>
      </w:r>
      <w:proofErr w:type="spellEnd"/>
      <w:r w:rsidRPr="000B52A1">
        <w:rPr>
          <w:rFonts w:cstheme="minorHAnsi"/>
        </w:rPr>
        <w:t>-</w:t>
      </w:r>
      <w:r w:rsidRPr="000F51D5">
        <w:rPr>
          <w:rFonts w:cstheme="minorHAnsi"/>
          <w:i/>
          <w:iCs/>
        </w:rPr>
        <w:t>a</w:t>
      </w:r>
      <w:r w:rsidRPr="000B52A1">
        <w:rPr>
          <w:rFonts w:cstheme="minorHAnsi"/>
        </w:rPr>
        <w:t xml:space="preserve"> in </w:t>
      </w:r>
      <w:proofErr w:type="spellStart"/>
      <w:r w:rsidRPr="000B52A1">
        <w:rPr>
          <w:rFonts w:cstheme="minorHAnsi"/>
        </w:rPr>
        <w:t>μg</w:t>
      </w:r>
      <w:proofErr w:type="spellEnd"/>
      <w:r w:rsidRPr="000B52A1">
        <w:rPr>
          <w:rFonts w:cstheme="minorHAnsi"/>
        </w:rPr>
        <w:t>/L)</w:t>
      </w:r>
    </w:p>
    <w:p w14:paraId="4A89C60F" w14:textId="77777777" w:rsidR="0030653F" w:rsidRPr="000B52A1" w:rsidRDefault="0030653F">
      <w:pPr>
        <w:pStyle w:val="Compact"/>
        <w:numPr>
          <w:ilvl w:val="0"/>
          <w:numId w:val="14"/>
        </w:numPr>
        <w:spacing w:before="0" w:after="0"/>
        <w:rPr>
          <w:rFonts w:cstheme="minorHAnsi"/>
        </w:rPr>
      </w:pPr>
      <w:r w:rsidRPr="000B52A1">
        <w:rPr>
          <w:rFonts w:cstheme="minorHAnsi"/>
        </w:rPr>
        <w:t>Near-bottom Dissolved Oxygen concentration (DO in mg/L)</w:t>
      </w:r>
    </w:p>
    <w:p w14:paraId="22801809" w14:textId="77777777" w:rsidR="0030653F" w:rsidRPr="000B52A1" w:rsidRDefault="0030653F">
      <w:pPr>
        <w:pStyle w:val="Compact"/>
        <w:numPr>
          <w:ilvl w:val="0"/>
          <w:numId w:val="14"/>
        </w:numPr>
        <w:spacing w:before="0" w:after="0"/>
        <w:rPr>
          <w:rFonts w:cstheme="minorHAnsi"/>
        </w:rPr>
      </w:pPr>
      <w:r w:rsidRPr="000B52A1">
        <w:rPr>
          <w:rFonts w:cstheme="minorHAnsi"/>
        </w:rPr>
        <w:t xml:space="preserve">Water Clarity, expressed as percent of incident photosynthetically active radiation (PAR) available at a standardized depth of 1.0 meter (percent </w:t>
      </w:r>
      <w:proofErr w:type="gramStart"/>
      <w:r w:rsidRPr="000B52A1">
        <w:rPr>
          <w:rFonts w:cstheme="minorHAnsi"/>
        </w:rPr>
        <w:t>PAR @</w:t>
      </w:r>
      <w:proofErr w:type="gramEnd"/>
      <w:r w:rsidRPr="000B52A1">
        <w:rPr>
          <w:rFonts w:cstheme="minorHAnsi"/>
        </w:rPr>
        <w:t xml:space="preserve"> 1.0 m).</w:t>
      </w:r>
    </w:p>
    <w:p w14:paraId="439149A7" w14:textId="6B4EB2FA" w:rsidR="00A72BC0" w:rsidRDefault="0030653F" w:rsidP="00D93774">
      <w:r w:rsidRPr="000B52A1">
        <w:t>These five parameters are subsequently integrated into a single water quality index (WQI) for the station.</w:t>
      </w:r>
      <w:r w:rsidR="00FD65E0" w:rsidRPr="00FD65E0">
        <w:t xml:space="preserve"> </w:t>
      </w:r>
      <w:r w:rsidR="00FD65E0">
        <w:t>For each parameter and aggregate index derived therefrom, NCCA has established benchmarks, which are parameter or index value bounds, for various narrative condition classes (Good, Fair, Poor).</w:t>
      </w:r>
      <w:r w:rsidR="00A40FE5">
        <w:br/>
      </w:r>
    </w:p>
    <w:p w14:paraId="4876FEB1" w14:textId="77777777" w:rsidR="00A72BC0" w:rsidRPr="00936FD5" w:rsidRDefault="00A72BC0" w:rsidP="00A72BC0">
      <w:pPr>
        <w:pStyle w:val="Heading4"/>
        <w:rPr>
          <w:rFonts w:cstheme="minorHAnsi"/>
        </w:rPr>
      </w:pPr>
      <w:r w:rsidRPr="000B52A1">
        <w:rPr>
          <w:rFonts w:cstheme="minorHAnsi"/>
        </w:rPr>
        <w:t>Near-surface Dissolved Inorganic Phosphorus</w:t>
      </w:r>
      <w:bookmarkStart w:id="232" w:name="tab:tab-dip"/>
      <w:bookmarkEnd w:id="232"/>
    </w:p>
    <w:p w14:paraId="2AD6DB93" w14:textId="417EF758" w:rsidR="00261A94" w:rsidRPr="00261A94" w:rsidRDefault="00194726" w:rsidP="00261A94">
      <w:pPr>
        <w:rPr>
          <w:rStyle w:val="CaptionChar"/>
          <w:rFonts w:eastAsiaTheme="minorHAnsi"/>
          <w:iCs w:val="0"/>
          <w:snapToGrid w:val="0"/>
          <w:sz w:val="24"/>
          <w:szCs w:val="20"/>
        </w:rPr>
      </w:pPr>
      <w:bookmarkStart w:id="233" w:name="X1be77d7531e6df336beab2840315244ccfa3d03"/>
      <w:r w:rsidRPr="0043251B">
        <w:rPr>
          <w:rFonts w:eastAsiaTheme="minorHAnsi"/>
        </w:rPr>
        <w:t xml:space="preserve">Dissolved inorganic phosphorus (DIP) is also known as dissolved orthophosphate (PO43-) or soluble reactive phosphorus (SRP). It is the most available form of phosphorus for uptake by organisms and, along with nitrogen, is an essential natural nutrient required for the growth of algae, the base of the food web in estuarine waters. An excess of these nutrients, however, can result in accelerated eutrophication, characterized by large undesirable algal blooms, increased </w:t>
      </w:r>
      <w:proofErr w:type="spellStart"/>
      <w:r w:rsidRPr="0043251B">
        <w:rPr>
          <w:rFonts w:eastAsiaTheme="minorHAnsi"/>
        </w:rPr>
        <w:t>Chl</w:t>
      </w:r>
      <w:proofErr w:type="spellEnd"/>
      <w:r w:rsidRPr="0043251B">
        <w:rPr>
          <w:rFonts w:eastAsiaTheme="minorHAnsi"/>
        </w:rPr>
        <w:t>-</w:t>
      </w:r>
      <w:r w:rsidRPr="0043251B">
        <w:t>a</w:t>
      </w:r>
      <w:r w:rsidRPr="0043251B">
        <w:rPr>
          <w:rFonts w:eastAsiaTheme="minorHAnsi"/>
        </w:rPr>
        <w:t xml:space="preserve"> concentrations, reduced water clarity, and lower concentrations of dissolved oxygen. Table 4.5-3 summarizes the ranges of DIP concentrations that the NCCA has established as benchmarks for water quality condition classes in estuarine waters of the northeastern United States, the number of stations in each condition class, and the estimated percentage of Virginia’s estuarine waters within each condition class.</w:t>
      </w:r>
      <w:r w:rsidR="007512EE">
        <w:rPr>
          <w:rFonts w:eastAsiaTheme="minorHAnsi"/>
        </w:rPr>
        <w:br/>
      </w:r>
      <w:r w:rsidR="00261A94" w:rsidRPr="00261A94">
        <w:rPr>
          <w:rFonts w:eastAsiaTheme="minorHAnsi"/>
        </w:rPr>
        <w:lastRenderedPageBreak/>
        <w:t xml:space="preserve"> </w:t>
      </w:r>
    </w:p>
    <w:p w14:paraId="4CDB296D" w14:textId="6C13D001" w:rsidR="0043251B" w:rsidRPr="00261A94" w:rsidRDefault="007512EE" w:rsidP="0A5BE548">
      <w:pPr>
        <w:rPr>
          <w:rStyle w:val="CaptionChar"/>
          <w:rFonts w:eastAsiaTheme="minorEastAsia"/>
          <w:snapToGrid w:val="0"/>
          <w:sz w:val="24"/>
          <w:szCs w:val="24"/>
        </w:rPr>
      </w:pPr>
      <w:r>
        <w:rPr>
          <w:rStyle w:val="CaptionChar"/>
          <w:rFonts w:ascii="Calibri" w:eastAsiaTheme="minorHAnsi" w:hAnsi="Calibri" w:cs="Calibri"/>
        </w:rPr>
        <w:br/>
      </w:r>
      <w:bookmarkStart w:id="234" w:name="_Toc164175193"/>
      <w:r w:rsidR="001E4177" w:rsidRPr="0A5BE548">
        <w:rPr>
          <w:rStyle w:val="CaptionChar"/>
          <w:rFonts w:ascii="Calibri" w:eastAsiaTheme="minorEastAsia" w:hAnsi="Calibri" w:cs="Calibri"/>
        </w:rPr>
        <w:t xml:space="preserve">Table </w:t>
      </w:r>
      <w:r w:rsidR="00CD06AE" w:rsidRPr="0A5BE548">
        <w:rPr>
          <w:rStyle w:val="CaptionChar"/>
          <w:rFonts w:ascii="Calibri" w:eastAsiaTheme="minorEastAsia" w:hAnsi="Calibri" w:cs="Calibri"/>
        </w:rPr>
        <w:fldChar w:fldCharType="begin"/>
      </w:r>
      <w:r w:rsidR="00CD06AE" w:rsidRPr="0A5BE548">
        <w:rPr>
          <w:rStyle w:val="CaptionChar"/>
          <w:rFonts w:ascii="Calibri" w:eastAsiaTheme="minorEastAsia" w:hAnsi="Calibri" w:cs="Calibri"/>
        </w:rPr>
        <w:instrText xml:space="preserve"> STYLEREF 2 \s </w:instrText>
      </w:r>
      <w:r w:rsidR="00CD06AE" w:rsidRPr="0A5BE548">
        <w:rPr>
          <w:rStyle w:val="CaptionChar"/>
          <w:rFonts w:ascii="Calibri" w:eastAsiaTheme="minorEastAsia" w:hAnsi="Calibri" w:cs="Calibri"/>
        </w:rPr>
        <w:fldChar w:fldCharType="separate"/>
      </w:r>
      <w:r w:rsidR="00CD06AE" w:rsidRPr="0A5BE548">
        <w:rPr>
          <w:rStyle w:val="CaptionChar"/>
          <w:rFonts w:ascii="Calibri" w:eastAsiaTheme="minorEastAsia" w:hAnsi="Calibri" w:cs="Calibri"/>
          <w:noProof/>
        </w:rPr>
        <w:t>4.5</w:t>
      </w:r>
      <w:r w:rsidR="00CD06AE" w:rsidRPr="0A5BE548">
        <w:rPr>
          <w:rStyle w:val="CaptionChar"/>
          <w:rFonts w:ascii="Calibri" w:eastAsiaTheme="minorEastAsia" w:hAnsi="Calibri" w:cs="Calibri"/>
        </w:rPr>
        <w:fldChar w:fldCharType="end"/>
      </w:r>
      <w:r w:rsidR="00CD06AE">
        <w:rPr>
          <w:rStyle w:val="CaptionChar"/>
          <w:rFonts w:ascii="Calibri" w:eastAsiaTheme="minorHAnsi" w:hAnsi="Calibri" w:cs="Calibri"/>
        </w:rPr>
        <w:noBreakHyphen/>
      </w:r>
      <w:r w:rsidR="00CD06AE" w:rsidRPr="0A5BE548">
        <w:rPr>
          <w:rStyle w:val="CaptionChar"/>
          <w:rFonts w:ascii="Calibri" w:eastAsiaTheme="minorEastAsia" w:hAnsi="Calibri" w:cs="Calibri"/>
        </w:rPr>
        <w:fldChar w:fldCharType="begin"/>
      </w:r>
      <w:r w:rsidR="00CD06AE" w:rsidRPr="0A5BE548">
        <w:rPr>
          <w:rStyle w:val="CaptionChar"/>
          <w:rFonts w:ascii="Calibri" w:eastAsiaTheme="minorEastAsia" w:hAnsi="Calibri" w:cs="Calibri"/>
        </w:rPr>
        <w:instrText xml:space="preserve"> SEQ Table \* ARABIC \s 2 </w:instrText>
      </w:r>
      <w:r w:rsidR="00CD06AE" w:rsidRPr="0A5BE548">
        <w:rPr>
          <w:rStyle w:val="CaptionChar"/>
          <w:rFonts w:ascii="Calibri" w:eastAsiaTheme="minorEastAsia" w:hAnsi="Calibri" w:cs="Calibri"/>
        </w:rPr>
        <w:fldChar w:fldCharType="separate"/>
      </w:r>
      <w:r w:rsidR="00CD06AE" w:rsidRPr="0A5BE548">
        <w:rPr>
          <w:rStyle w:val="CaptionChar"/>
          <w:rFonts w:ascii="Calibri" w:eastAsiaTheme="minorEastAsia" w:hAnsi="Calibri" w:cs="Calibri"/>
          <w:noProof/>
        </w:rPr>
        <w:t>3</w:t>
      </w:r>
      <w:r w:rsidR="00CD06AE" w:rsidRPr="0A5BE548">
        <w:rPr>
          <w:rStyle w:val="CaptionChar"/>
          <w:rFonts w:ascii="Calibri" w:eastAsiaTheme="minorEastAsia" w:hAnsi="Calibri" w:cs="Calibri"/>
        </w:rPr>
        <w:fldChar w:fldCharType="end"/>
      </w:r>
      <w:r w:rsidR="001E4177" w:rsidRPr="0A5BE548">
        <w:rPr>
          <w:rStyle w:val="CaptionChar"/>
          <w:rFonts w:ascii="Calibri" w:eastAsiaTheme="minorEastAsia" w:hAnsi="Calibri" w:cs="Calibri"/>
        </w:rPr>
        <w:t xml:space="preserve">. </w:t>
      </w:r>
      <w:r w:rsidR="009F060F" w:rsidRPr="0A5BE548">
        <w:rPr>
          <w:rStyle w:val="CaptionChar"/>
          <w:rFonts w:ascii="Calibri" w:eastAsiaTheme="minorEastAsia" w:hAnsi="Calibri" w:cs="Calibri"/>
        </w:rPr>
        <w:t>Estimated dissolved inorganic phosphorus (DIP) condition in Virginia’s estuaries</w:t>
      </w:r>
      <w:bookmarkEnd w:id="234"/>
      <w:r w:rsidR="009F060F" w:rsidRPr="0A5BE548">
        <w:rPr>
          <w:rStyle w:val="CaptionChar"/>
          <w:rFonts w:ascii="Calibri" w:eastAsiaTheme="minorEastAsia" w:hAnsi="Calibri" w:cs="Calibri"/>
        </w:rPr>
        <w:t>, 2017-2022. Conditions and benchmark ranges are from U.S. EPA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Dissolved inorganic phosphorus (DIP) in Virginia's estuarine waters, 2017-2022. Conditions and threshold ranges are from U.S. EPA (2020)."/>
        <w:tblDescription w:val="Dissolved inorganic phosphorus (DIP) in Virginia's estuarine waters, 2017-2022. Conditions and threshold ranges are from U.S. EPA (2020)."/>
      </w:tblPr>
      <w:tblGrid>
        <w:gridCol w:w="2337"/>
        <w:gridCol w:w="2337"/>
        <w:gridCol w:w="2338"/>
        <w:gridCol w:w="2338"/>
      </w:tblGrid>
      <w:tr w:rsidR="0020410D" w14:paraId="1DDFEA32" w14:textId="77777777" w:rsidTr="005672DD">
        <w:trPr>
          <w:trHeight w:val="360"/>
        </w:trPr>
        <w:tc>
          <w:tcPr>
            <w:tcW w:w="2337" w:type="dxa"/>
            <w:tcBorders>
              <w:top w:val="single" w:sz="12" w:space="0" w:color="auto"/>
              <w:bottom w:val="single" w:sz="4" w:space="0" w:color="auto"/>
            </w:tcBorders>
            <w:vAlign w:val="center"/>
          </w:tcPr>
          <w:p w14:paraId="55BE10A5" w14:textId="77777777" w:rsidR="0020410D" w:rsidRDefault="0020410D">
            <w:bookmarkStart w:id="235" w:name="Xdff9276ec11c1aaf54bb64fd27d11fd37a91e23"/>
            <w:bookmarkEnd w:id="233"/>
            <w:r w:rsidRPr="000B52A1">
              <w:rPr>
                <w:rFonts w:eastAsia="Arial" w:cstheme="minorHAnsi"/>
                <w:b/>
                <w:color w:val="000000"/>
                <w:sz w:val="22"/>
                <w:szCs w:val="22"/>
              </w:rPr>
              <w:t>DIP Condition</w:t>
            </w:r>
          </w:p>
        </w:tc>
        <w:tc>
          <w:tcPr>
            <w:tcW w:w="2337" w:type="dxa"/>
            <w:tcBorders>
              <w:top w:val="single" w:sz="12" w:space="0" w:color="auto"/>
              <w:bottom w:val="single" w:sz="4" w:space="0" w:color="auto"/>
            </w:tcBorders>
            <w:vAlign w:val="center"/>
          </w:tcPr>
          <w:p w14:paraId="77916247" w14:textId="77777777" w:rsidR="0020410D" w:rsidRDefault="0020410D">
            <w:r w:rsidRPr="000B52A1">
              <w:rPr>
                <w:rFonts w:eastAsia="Arial" w:cstheme="minorHAnsi"/>
                <w:b/>
                <w:color w:val="000000"/>
                <w:sz w:val="22"/>
                <w:szCs w:val="22"/>
              </w:rPr>
              <w:t>DIP Range (mg/L)</w:t>
            </w:r>
          </w:p>
        </w:tc>
        <w:tc>
          <w:tcPr>
            <w:tcW w:w="2338" w:type="dxa"/>
            <w:tcBorders>
              <w:top w:val="single" w:sz="12" w:space="0" w:color="auto"/>
              <w:bottom w:val="single" w:sz="4" w:space="0" w:color="auto"/>
            </w:tcBorders>
            <w:vAlign w:val="center"/>
          </w:tcPr>
          <w:p w14:paraId="1F7443EB" w14:textId="77777777" w:rsidR="0020410D" w:rsidRDefault="0020410D">
            <w:r w:rsidRPr="000B52A1">
              <w:rPr>
                <w:rFonts w:eastAsia="Arial" w:cstheme="minorHAnsi"/>
                <w:b/>
                <w:color w:val="000000"/>
                <w:sz w:val="22"/>
                <w:szCs w:val="22"/>
              </w:rPr>
              <w:t>Stations</w:t>
            </w:r>
          </w:p>
        </w:tc>
        <w:tc>
          <w:tcPr>
            <w:tcW w:w="2338" w:type="dxa"/>
            <w:tcBorders>
              <w:top w:val="single" w:sz="12" w:space="0" w:color="auto"/>
              <w:bottom w:val="single" w:sz="4" w:space="0" w:color="auto"/>
            </w:tcBorders>
            <w:vAlign w:val="center"/>
          </w:tcPr>
          <w:p w14:paraId="4A5E473E" w14:textId="75765C27" w:rsidR="0020410D" w:rsidRDefault="0020410D">
            <w:r w:rsidRPr="000B52A1">
              <w:rPr>
                <w:rFonts w:eastAsia="Arial" w:cstheme="minorHAnsi"/>
                <w:b/>
                <w:color w:val="000000"/>
                <w:sz w:val="22"/>
                <w:szCs w:val="22"/>
              </w:rPr>
              <w:t>Percentage</w:t>
            </w:r>
            <w:r w:rsidR="004A07E0" w:rsidRPr="004A07E0">
              <w:rPr>
                <w:rFonts w:eastAsia="Arial" w:cstheme="minorHAnsi"/>
                <w:b/>
                <w:color w:val="000000"/>
                <w:sz w:val="22"/>
                <w:szCs w:val="22"/>
                <w:vertAlign w:val="superscript"/>
              </w:rPr>
              <w:t>1</w:t>
            </w:r>
          </w:p>
        </w:tc>
      </w:tr>
      <w:tr w:rsidR="0020410D" w14:paraId="441AD18F" w14:textId="77777777" w:rsidTr="0050432E">
        <w:trPr>
          <w:trHeight w:val="360"/>
        </w:trPr>
        <w:tc>
          <w:tcPr>
            <w:tcW w:w="2337" w:type="dxa"/>
            <w:tcBorders>
              <w:top w:val="single" w:sz="4" w:space="0" w:color="auto"/>
            </w:tcBorders>
            <w:vAlign w:val="center"/>
          </w:tcPr>
          <w:p w14:paraId="32283D62" w14:textId="77777777" w:rsidR="0020410D" w:rsidRDefault="0020410D">
            <w:r w:rsidRPr="000B52A1">
              <w:rPr>
                <w:rFonts w:eastAsia="Arial" w:cstheme="minorHAnsi"/>
                <w:color w:val="000000"/>
                <w:sz w:val="22"/>
                <w:szCs w:val="22"/>
              </w:rPr>
              <w:t>Good</w:t>
            </w:r>
          </w:p>
        </w:tc>
        <w:tc>
          <w:tcPr>
            <w:tcW w:w="2337" w:type="dxa"/>
            <w:tcBorders>
              <w:top w:val="single" w:sz="4" w:space="0" w:color="auto"/>
            </w:tcBorders>
            <w:vAlign w:val="center"/>
          </w:tcPr>
          <w:p w14:paraId="4CC79B70" w14:textId="77777777" w:rsidR="0020410D" w:rsidRDefault="0020410D">
            <w:r w:rsidRPr="000B52A1">
              <w:rPr>
                <w:rFonts w:eastAsia="Arial" w:cstheme="minorHAnsi"/>
                <w:color w:val="000000"/>
                <w:sz w:val="22"/>
                <w:szCs w:val="22"/>
              </w:rPr>
              <w:t>≤ 0.01</w:t>
            </w:r>
          </w:p>
        </w:tc>
        <w:tc>
          <w:tcPr>
            <w:tcW w:w="2338" w:type="dxa"/>
            <w:tcBorders>
              <w:top w:val="single" w:sz="4" w:space="0" w:color="auto"/>
            </w:tcBorders>
            <w:vAlign w:val="center"/>
          </w:tcPr>
          <w:p w14:paraId="20A2F26E" w14:textId="77777777" w:rsidR="0020410D" w:rsidRDefault="0020410D">
            <w:r w:rsidRPr="000B52A1">
              <w:rPr>
                <w:rFonts w:eastAsia="Arial" w:cstheme="minorHAnsi"/>
                <w:color w:val="000000"/>
                <w:sz w:val="22"/>
                <w:szCs w:val="22"/>
              </w:rPr>
              <w:t>164</w:t>
            </w:r>
          </w:p>
        </w:tc>
        <w:tc>
          <w:tcPr>
            <w:tcW w:w="2338" w:type="dxa"/>
            <w:tcBorders>
              <w:top w:val="single" w:sz="4" w:space="0" w:color="auto"/>
            </w:tcBorders>
            <w:vAlign w:val="center"/>
          </w:tcPr>
          <w:p w14:paraId="263B182A" w14:textId="77777777" w:rsidR="0020410D" w:rsidRDefault="0020410D">
            <w:r w:rsidRPr="000B52A1">
              <w:rPr>
                <w:rFonts w:eastAsia="Arial" w:cstheme="minorHAnsi"/>
                <w:color w:val="000000"/>
                <w:sz w:val="22"/>
                <w:szCs w:val="22"/>
              </w:rPr>
              <w:t>55.03 ± 5.67</w:t>
            </w:r>
          </w:p>
        </w:tc>
      </w:tr>
      <w:tr w:rsidR="0020410D" w14:paraId="3712C18F" w14:textId="77777777" w:rsidTr="0050432E">
        <w:trPr>
          <w:trHeight w:val="360"/>
        </w:trPr>
        <w:tc>
          <w:tcPr>
            <w:tcW w:w="2337" w:type="dxa"/>
            <w:vAlign w:val="center"/>
          </w:tcPr>
          <w:p w14:paraId="53E62DAB" w14:textId="77777777" w:rsidR="0020410D" w:rsidRDefault="0020410D">
            <w:r w:rsidRPr="000B52A1">
              <w:rPr>
                <w:rFonts w:eastAsia="Arial" w:cstheme="minorHAnsi"/>
                <w:color w:val="000000"/>
                <w:sz w:val="22"/>
                <w:szCs w:val="22"/>
              </w:rPr>
              <w:t>Fair</w:t>
            </w:r>
          </w:p>
        </w:tc>
        <w:tc>
          <w:tcPr>
            <w:tcW w:w="2337" w:type="dxa"/>
            <w:vAlign w:val="center"/>
          </w:tcPr>
          <w:p w14:paraId="4072E757" w14:textId="77777777" w:rsidR="0020410D" w:rsidRDefault="0020410D">
            <w:r w:rsidRPr="000B52A1">
              <w:rPr>
                <w:rFonts w:eastAsia="Arial" w:cstheme="minorHAnsi"/>
                <w:color w:val="000000"/>
                <w:sz w:val="22"/>
                <w:szCs w:val="22"/>
              </w:rPr>
              <w:t>&gt; 0.01 and ≤ 0.05</w:t>
            </w:r>
          </w:p>
        </w:tc>
        <w:tc>
          <w:tcPr>
            <w:tcW w:w="2338" w:type="dxa"/>
            <w:vAlign w:val="center"/>
          </w:tcPr>
          <w:p w14:paraId="1321D5DE" w14:textId="77777777" w:rsidR="0020410D" w:rsidRDefault="0020410D">
            <w:r w:rsidRPr="000B52A1">
              <w:rPr>
                <w:rFonts w:eastAsia="Arial" w:cstheme="minorHAnsi"/>
                <w:color w:val="000000"/>
                <w:sz w:val="22"/>
                <w:szCs w:val="22"/>
              </w:rPr>
              <w:t>117</w:t>
            </w:r>
          </w:p>
        </w:tc>
        <w:tc>
          <w:tcPr>
            <w:tcW w:w="2338" w:type="dxa"/>
            <w:vAlign w:val="center"/>
          </w:tcPr>
          <w:p w14:paraId="14165049" w14:textId="77777777" w:rsidR="0020410D" w:rsidRDefault="0020410D">
            <w:r w:rsidRPr="000B52A1">
              <w:rPr>
                <w:rFonts w:eastAsia="Arial" w:cstheme="minorHAnsi"/>
                <w:color w:val="000000"/>
                <w:sz w:val="22"/>
                <w:szCs w:val="22"/>
              </w:rPr>
              <w:t>39.26 ± 5.57</w:t>
            </w:r>
          </w:p>
        </w:tc>
      </w:tr>
      <w:tr w:rsidR="0020410D" w14:paraId="5C7B2A25" w14:textId="77777777" w:rsidTr="005672DD">
        <w:trPr>
          <w:trHeight w:val="360"/>
        </w:trPr>
        <w:tc>
          <w:tcPr>
            <w:tcW w:w="2337" w:type="dxa"/>
            <w:tcBorders>
              <w:bottom w:val="single" w:sz="2" w:space="0" w:color="auto"/>
            </w:tcBorders>
            <w:vAlign w:val="center"/>
          </w:tcPr>
          <w:p w14:paraId="659857E6" w14:textId="77777777" w:rsidR="0020410D" w:rsidRDefault="0020410D">
            <w:r w:rsidRPr="000B52A1">
              <w:rPr>
                <w:rFonts w:eastAsia="Arial" w:cstheme="minorHAnsi"/>
                <w:color w:val="000000"/>
                <w:sz w:val="22"/>
                <w:szCs w:val="22"/>
              </w:rPr>
              <w:t>Poor</w:t>
            </w:r>
          </w:p>
        </w:tc>
        <w:tc>
          <w:tcPr>
            <w:tcW w:w="2337" w:type="dxa"/>
            <w:tcBorders>
              <w:bottom w:val="single" w:sz="2" w:space="0" w:color="auto"/>
            </w:tcBorders>
            <w:vAlign w:val="center"/>
          </w:tcPr>
          <w:p w14:paraId="2071014D" w14:textId="77777777" w:rsidR="0020410D" w:rsidRDefault="0020410D">
            <w:r w:rsidRPr="000B52A1">
              <w:rPr>
                <w:rFonts w:eastAsia="Arial" w:cstheme="minorHAnsi"/>
                <w:color w:val="000000"/>
                <w:sz w:val="22"/>
                <w:szCs w:val="22"/>
              </w:rPr>
              <w:t>&gt; 0.05</w:t>
            </w:r>
          </w:p>
        </w:tc>
        <w:tc>
          <w:tcPr>
            <w:tcW w:w="2338" w:type="dxa"/>
            <w:tcBorders>
              <w:bottom w:val="single" w:sz="2" w:space="0" w:color="auto"/>
            </w:tcBorders>
            <w:vAlign w:val="center"/>
          </w:tcPr>
          <w:p w14:paraId="2A4BAC48" w14:textId="77777777" w:rsidR="0020410D" w:rsidRDefault="0020410D">
            <w:r w:rsidRPr="000B52A1">
              <w:rPr>
                <w:rFonts w:eastAsia="Arial" w:cstheme="minorHAnsi"/>
                <w:color w:val="000000"/>
                <w:sz w:val="22"/>
                <w:szCs w:val="22"/>
              </w:rPr>
              <w:t>17</w:t>
            </w:r>
          </w:p>
        </w:tc>
        <w:tc>
          <w:tcPr>
            <w:tcW w:w="2338" w:type="dxa"/>
            <w:tcBorders>
              <w:bottom w:val="single" w:sz="2" w:space="0" w:color="auto"/>
            </w:tcBorders>
            <w:vAlign w:val="center"/>
          </w:tcPr>
          <w:p w14:paraId="341D20AC" w14:textId="77777777" w:rsidR="0020410D" w:rsidRDefault="0020410D">
            <w:r w:rsidRPr="000B52A1">
              <w:rPr>
                <w:rFonts w:eastAsia="Arial" w:cstheme="minorHAnsi"/>
                <w:color w:val="000000"/>
                <w:sz w:val="22"/>
                <w:szCs w:val="22"/>
              </w:rPr>
              <w:t>5.7 ± 2.64</w:t>
            </w:r>
          </w:p>
        </w:tc>
      </w:tr>
      <w:tr w:rsidR="0020410D" w14:paraId="0226836F" w14:textId="77777777" w:rsidTr="005672DD">
        <w:trPr>
          <w:trHeight w:val="360"/>
        </w:trPr>
        <w:tc>
          <w:tcPr>
            <w:tcW w:w="2337" w:type="dxa"/>
            <w:tcBorders>
              <w:top w:val="single" w:sz="2" w:space="0" w:color="auto"/>
              <w:bottom w:val="single" w:sz="12" w:space="0" w:color="auto"/>
            </w:tcBorders>
            <w:vAlign w:val="center"/>
          </w:tcPr>
          <w:p w14:paraId="7C0CA81A" w14:textId="77777777" w:rsidR="0020410D" w:rsidRPr="005672DD" w:rsidRDefault="0020410D">
            <w:pPr>
              <w:rPr>
                <w:b/>
                <w:bCs/>
              </w:rPr>
            </w:pPr>
            <w:r w:rsidRPr="005672DD">
              <w:rPr>
                <w:rFonts w:eastAsia="Arial" w:cstheme="minorHAnsi"/>
                <w:b/>
                <w:bCs/>
                <w:color w:val="000000"/>
                <w:sz w:val="22"/>
                <w:szCs w:val="22"/>
              </w:rPr>
              <w:t>Total</w:t>
            </w:r>
          </w:p>
        </w:tc>
        <w:tc>
          <w:tcPr>
            <w:tcW w:w="2337" w:type="dxa"/>
            <w:tcBorders>
              <w:top w:val="single" w:sz="2" w:space="0" w:color="auto"/>
              <w:bottom w:val="single" w:sz="12" w:space="0" w:color="auto"/>
            </w:tcBorders>
            <w:vAlign w:val="center"/>
          </w:tcPr>
          <w:p w14:paraId="0C99E569" w14:textId="77777777" w:rsidR="0020410D" w:rsidRPr="005672DD" w:rsidRDefault="0020410D">
            <w:pPr>
              <w:rPr>
                <w:b/>
                <w:bCs/>
              </w:rPr>
            </w:pPr>
          </w:p>
        </w:tc>
        <w:tc>
          <w:tcPr>
            <w:tcW w:w="2338" w:type="dxa"/>
            <w:tcBorders>
              <w:top w:val="single" w:sz="2" w:space="0" w:color="auto"/>
              <w:bottom w:val="single" w:sz="12" w:space="0" w:color="auto"/>
            </w:tcBorders>
            <w:vAlign w:val="center"/>
          </w:tcPr>
          <w:p w14:paraId="07029948" w14:textId="77777777" w:rsidR="0020410D" w:rsidRPr="005672DD" w:rsidRDefault="0020410D">
            <w:pPr>
              <w:rPr>
                <w:b/>
                <w:bCs/>
              </w:rPr>
            </w:pPr>
            <w:r w:rsidRPr="005672DD">
              <w:rPr>
                <w:rFonts w:eastAsia="Arial" w:cstheme="minorHAnsi"/>
                <w:b/>
                <w:bCs/>
                <w:color w:val="000000"/>
                <w:sz w:val="22"/>
                <w:szCs w:val="22"/>
              </w:rPr>
              <w:t>298</w:t>
            </w:r>
          </w:p>
        </w:tc>
        <w:tc>
          <w:tcPr>
            <w:tcW w:w="2338" w:type="dxa"/>
            <w:tcBorders>
              <w:top w:val="single" w:sz="2" w:space="0" w:color="auto"/>
              <w:bottom w:val="single" w:sz="12" w:space="0" w:color="auto"/>
            </w:tcBorders>
            <w:vAlign w:val="center"/>
          </w:tcPr>
          <w:p w14:paraId="09BF121C" w14:textId="77777777" w:rsidR="0020410D" w:rsidRDefault="0020410D"/>
        </w:tc>
      </w:tr>
    </w:tbl>
    <w:p w14:paraId="01F57452" w14:textId="77777777" w:rsidR="004A07E0" w:rsidRDefault="004A07E0" w:rsidP="004A07E0">
      <w:pPr>
        <w:pStyle w:val="TableCaption"/>
      </w:pPr>
      <w:r w:rsidRPr="004A07E0">
        <w:rPr>
          <w:vertAlign w:val="superscript"/>
        </w:rPr>
        <w:t>1</w:t>
      </w:r>
      <w:r w:rsidRPr="000F59F4">
        <w:t xml:space="preserve"> </w:t>
      </w:r>
      <w:r>
        <w:t>E</w:t>
      </w:r>
      <w:r w:rsidRPr="000F59F4">
        <w:t>stimated percentage</w:t>
      </w:r>
      <w:r>
        <w:t xml:space="preserve"> (</w:t>
      </w:r>
      <w:r w:rsidRPr="00224A2F">
        <w:t>+/- 95% confidence limits</w:t>
      </w:r>
      <w:r>
        <w:t xml:space="preserve">) </w:t>
      </w:r>
      <w:r w:rsidRPr="000F59F4">
        <w:t>of Virginia’s smaller estuarine waters</w:t>
      </w:r>
      <w:r>
        <w:t xml:space="preserve"> (&lt; 100 sq km drainage)</w:t>
      </w:r>
      <w:r w:rsidRPr="000F59F4">
        <w:t xml:space="preserve"> </w:t>
      </w:r>
      <w:r>
        <w:t>with</w:t>
      </w:r>
      <w:r w:rsidRPr="000F59F4">
        <w:t xml:space="preserve"> indicated water quality condition. </w:t>
      </w:r>
      <w:r>
        <w:t>As e</w:t>
      </w:r>
      <w:r w:rsidRPr="000F59F4">
        <w:t xml:space="preserve">stimated using data from DEQ’s estuarine probabilistic monitoring program and EPA’s National Coastal Condition Assessment </w:t>
      </w:r>
      <w:r>
        <w:t>program. Approximately 95% of stations are from smaller estuaries (&lt; 100 sq km drainage) and approximately 5% of stations are from Chesapeake Bay mainstem.</w:t>
      </w:r>
    </w:p>
    <w:p w14:paraId="5D95A4E6" w14:textId="77777777" w:rsidR="001E4177" w:rsidRDefault="001E4177" w:rsidP="001E4177"/>
    <w:p w14:paraId="52812A59" w14:textId="7D771CB7" w:rsidR="0030653F" w:rsidRPr="000B52A1" w:rsidRDefault="0030653F" w:rsidP="00C5533C">
      <w:pPr>
        <w:pStyle w:val="Heading4"/>
        <w:rPr>
          <w:rFonts w:cstheme="minorHAnsi"/>
        </w:rPr>
      </w:pPr>
      <w:r w:rsidRPr="000B52A1">
        <w:rPr>
          <w:rFonts w:cstheme="minorHAnsi"/>
        </w:rPr>
        <w:t>Near-surface Dissolved Inorganic Nitrogen</w:t>
      </w:r>
    </w:p>
    <w:p w14:paraId="306DBB71" w14:textId="43A735E7" w:rsidR="00E94AD9" w:rsidRPr="00E94AD9" w:rsidRDefault="007005EF" w:rsidP="00D93774">
      <w:bookmarkStart w:id="236" w:name="tab:tab-din"/>
      <w:bookmarkEnd w:id="236"/>
      <w:r w:rsidRPr="000B52A1">
        <w:t>Dissolved inorganic nitrogen (DIN) is the sum of dissolved nitrate (NO</w:t>
      </w:r>
      <w:r w:rsidRPr="000B52A1">
        <w:rPr>
          <w:vertAlign w:val="subscript"/>
        </w:rPr>
        <w:t>3</w:t>
      </w:r>
      <w:r w:rsidRPr="000B52A1">
        <w:rPr>
          <w:vertAlign w:val="superscript"/>
        </w:rPr>
        <w:t>-</w:t>
      </w:r>
      <w:r w:rsidRPr="000B52A1">
        <w:t>) nitrogen, nitrite (NO</w:t>
      </w:r>
      <w:r w:rsidRPr="000B52A1">
        <w:rPr>
          <w:vertAlign w:val="subscript"/>
        </w:rPr>
        <w:t>2</w:t>
      </w:r>
      <w:r w:rsidRPr="000B52A1">
        <w:rPr>
          <w:vertAlign w:val="superscript"/>
        </w:rPr>
        <w:t>-</w:t>
      </w:r>
      <w:r w:rsidRPr="000B52A1">
        <w:t>) nitrogen, and ammonia (NH</w:t>
      </w:r>
      <w:r w:rsidRPr="000B52A1">
        <w:rPr>
          <w:vertAlign w:val="subscript"/>
        </w:rPr>
        <w:t>3</w:t>
      </w:r>
      <w:r w:rsidRPr="000B52A1">
        <w:t xml:space="preserve"> &amp; NH</w:t>
      </w:r>
      <w:r w:rsidRPr="000B52A1">
        <w:rPr>
          <w:vertAlign w:val="subscript"/>
        </w:rPr>
        <w:t>4</w:t>
      </w:r>
      <w:r w:rsidRPr="000B52A1">
        <w:rPr>
          <w:vertAlign w:val="superscript"/>
        </w:rPr>
        <w:t>+</w:t>
      </w:r>
      <w:r w:rsidRPr="000B52A1">
        <w:t xml:space="preserve">) nitrogen. </w:t>
      </w:r>
      <w:r>
        <w:t>As with DIP, DIN too is an</w:t>
      </w:r>
      <w:r w:rsidRPr="000B52A1">
        <w:t xml:space="preserve"> essential natural nutrient for algal growth, and when in excess can accelerate eutrophication. Table </w:t>
      </w:r>
      <w:r>
        <w:t>4.5-</w:t>
      </w:r>
      <w:r w:rsidRPr="000B52A1">
        <w:t xml:space="preserve">4 summarizes the ranges of DIN concentrations that the NCCA has established as </w:t>
      </w:r>
      <w:r>
        <w:t>benchmark</w:t>
      </w:r>
      <w:r w:rsidRPr="000B52A1">
        <w:t xml:space="preserve">s for water quality </w:t>
      </w:r>
      <w:r>
        <w:t xml:space="preserve">condition </w:t>
      </w:r>
      <w:r w:rsidRPr="000B52A1">
        <w:t xml:space="preserve">classes in estuarine waters of the northeastern United States, the number of stations within each </w:t>
      </w:r>
      <w:r>
        <w:t xml:space="preserve">condition </w:t>
      </w:r>
      <w:r w:rsidRPr="000B52A1">
        <w:t xml:space="preserve">class, and the estimated of Virginia’s estuarine waters within each </w:t>
      </w:r>
      <w:r>
        <w:t xml:space="preserve">condition </w:t>
      </w:r>
      <w:r w:rsidRPr="000B52A1">
        <w:t>class.</w:t>
      </w:r>
      <w:r w:rsidR="00D93774">
        <w:br/>
      </w:r>
    </w:p>
    <w:p w14:paraId="4E1231D6" w14:textId="282E3056" w:rsidR="00F2527C" w:rsidRPr="0062574F" w:rsidRDefault="00E94AD9" w:rsidP="0A5BE548">
      <w:pPr>
        <w:pStyle w:val="Caption"/>
        <w:rPr>
          <w:specVanish/>
        </w:rPr>
      </w:pPr>
      <w:bookmarkStart w:id="237" w:name="_Toc164175194"/>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4</w:t>
      </w:r>
      <w:r w:rsidR="004F13BA">
        <w:rPr>
          <w:noProof/>
        </w:rPr>
        <w:fldChar w:fldCharType="end"/>
      </w:r>
      <w:r>
        <w:t xml:space="preserve">. </w:t>
      </w:r>
      <w:r w:rsidR="0028327E">
        <w:t>Estimated d</w:t>
      </w:r>
      <w:r w:rsidR="0028327E" w:rsidRPr="009936CD">
        <w:t>issolved inorganic nitrogen (DIN)</w:t>
      </w:r>
      <w:r w:rsidR="5DD9F021" w:rsidRPr="009936CD">
        <w:t xml:space="preserve"> </w:t>
      </w:r>
      <w:bookmarkEnd w:id="237"/>
      <w:r w:rsidR="0028327E">
        <w:t>condition in Virginia's estuarine waters, 2017-2022. Conditions and benchmark ranges are from U.S. EPA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Dissolved inorganic nitrogen (DIN) in Virginia's estuarine waters, 2017-2022. Conditions and threshold ranges are from U.S. EPA (2020)."/>
        <w:tblDescription w:val="Dissolved inorganic nitrogen (DIN) in Virginia's estuarine waters, 2017-2022. Conditions and threshold ranges are from U.S. EPA (2020)."/>
      </w:tblPr>
      <w:tblGrid>
        <w:gridCol w:w="2337"/>
        <w:gridCol w:w="2337"/>
        <w:gridCol w:w="2338"/>
        <w:gridCol w:w="2338"/>
      </w:tblGrid>
      <w:tr w:rsidR="00E94AD9" w14:paraId="0DBABAF9" w14:textId="77777777" w:rsidTr="00D752C5">
        <w:trPr>
          <w:trHeight w:val="360"/>
        </w:trPr>
        <w:tc>
          <w:tcPr>
            <w:tcW w:w="2337" w:type="dxa"/>
            <w:tcBorders>
              <w:top w:val="single" w:sz="12" w:space="0" w:color="auto"/>
              <w:bottom w:val="single" w:sz="4" w:space="0" w:color="auto"/>
            </w:tcBorders>
            <w:vAlign w:val="center"/>
          </w:tcPr>
          <w:p w14:paraId="7CBCBC02" w14:textId="77777777" w:rsidR="00E94AD9" w:rsidRDefault="00E94AD9">
            <w:r w:rsidRPr="000B52A1">
              <w:rPr>
                <w:rFonts w:eastAsia="Arial" w:cstheme="minorHAnsi"/>
                <w:b/>
                <w:color w:val="000000"/>
                <w:sz w:val="22"/>
                <w:szCs w:val="22"/>
              </w:rPr>
              <w:t>DIN Condition</w:t>
            </w:r>
          </w:p>
        </w:tc>
        <w:tc>
          <w:tcPr>
            <w:tcW w:w="2337" w:type="dxa"/>
            <w:tcBorders>
              <w:top w:val="single" w:sz="12" w:space="0" w:color="auto"/>
              <w:bottom w:val="single" w:sz="4" w:space="0" w:color="auto"/>
            </w:tcBorders>
            <w:vAlign w:val="center"/>
          </w:tcPr>
          <w:p w14:paraId="6F859062" w14:textId="77777777" w:rsidR="00E94AD9" w:rsidRDefault="00E94AD9">
            <w:r w:rsidRPr="000B52A1">
              <w:rPr>
                <w:rFonts w:eastAsia="Arial" w:cstheme="minorHAnsi"/>
                <w:b/>
                <w:color w:val="000000"/>
                <w:sz w:val="22"/>
                <w:szCs w:val="22"/>
              </w:rPr>
              <w:t>DIN Range (mg/L)</w:t>
            </w:r>
          </w:p>
        </w:tc>
        <w:tc>
          <w:tcPr>
            <w:tcW w:w="2338" w:type="dxa"/>
            <w:tcBorders>
              <w:top w:val="single" w:sz="12" w:space="0" w:color="auto"/>
              <w:bottom w:val="single" w:sz="4" w:space="0" w:color="auto"/>
            </w:tcBorders>
            <w:vAlign w:val="center"/>
          </w:tcPr>
          <w:p w14:paraId="720102F3" w14:textId="77777777" w:rsidR="00E94AD9" w:rsidRDefault="00E94AD9">
            <w:r w:rsidRPr="000B52A1">
              <w:rPr>
                <w:rFonts w:eastAsia="Arial" w:cstheme="minorHAnsi"/>
                <w:b/>
                <w:color w:val="000000"/>
                <w:sz w:val="22"/>
                <w:szCs w:val="22"/>
              </w:rPr>
              <w:t>Stations</w:t>
            </w:r>
          </w:p>
        </w:tc>
        <w:tc>
          <w:tcPr>
            <w:tcW w:w="2338" w:type="dxa"/>
            <w:tcBorders>
              <w:top w:val="single" w:sz="12" w:space="0" w:color="auto"/>
              <w:bottom w:val="single" w:sz="4" w:space="0" w:color="auto"/>
            </w:tcBorders>
            <w:vAlign w:val="center"/>
          </w:tcPr>
          <w:p w14:paraId="2BDB0E27" w14:textId="4171FD4D" w:rsidR="00E94AD9" w:rsidRDefault="00E94AD9">
            <w:r w:rsidRPr="000B52A1">
              <w:rPr>
                <w:rFonts w:eastAsia="Arial" w:cstheme="minorHAnsi"/>
                <w:b/>
                <w:color w:val="000000"/>
                <w:sz w:val="22"/>
                <w:szCs w:val="22"/>
              </w:rPr>
              <w:t>Percentage</w:t>
            </w:r>
            <w:r w:rsidR="0028327E" w:rsidRPr="0028327E">
              <w:rPr>
                <w:rFonts w:eastAsia="Arial" w:cstheme="minorHAnsi"/>
                <w:b/>
                <w:color w:val="000000"/>
                <w:sz w:val="22"/>
                <w:szCs w:val="22"/>
                <w:vertAlign w:val="superscript"/>
              </w:rPr>
              <w:t>1</w:t>
            </w:r>
          </w:p>
        </w:tc>
      </w:tr>
      <w:tr w:rsidR="00E94AD9" w14:paraId="7C031D22" w14:textId="77777777" w:rsidTr="0050432E">
        <w:trPr>
          <w:trHeight w:val="360"/>
        </w:trPr>
        <w:tc>
          <w:tcPr>
            <w:tcW w:w="2337" w:type="dxa"/>
            <w:tcBorders>
              <w:top w:val="single" w:sz="4" w:space="0" w:color="auto"/>
            </w:tcBorders>
            <w:vAlign w:val="center"/>
          </w:tcPr>
          <w:p w14:paraId="4FA39CE7" w14:textId="77777777" w:rsidR="00E94AD9" w:rsidRDefault="00E94AD9">
            <w:r w:rsidRPr="000B52A1">
              <w:rPr>
                <w:rFonts w:eastAsia="Arial" w:cstheme="minorHAnsi"/>
                <w:color w:val="000000"/>
                <w:sz w:val="22"/>
                <w:szCs w:val="22"/>
              </w:rPr>
              <w:t>Good</w:t>
            </w:r>
          </w:p>
        </w:tc>
        <w:tc>
          <w:tcPr>
            <w:tcW w:w="2337" w:type="dxa"/>
            <w:tcBorders>
              <w:top w:val="single" w:sz="4" w:space="0" w:color="auto"/>
            </w:tcBorders>
            <w:vAlign w:val="center"/>
          </w:tcPr>
          <w:p w14:paraId="52C71778" w14:textId="77777777" w:rsidR="00E94AD9" w:rsidRDefault="00E94AD9">
            <w:r w:rsidRPr="000B52A1">
              <w:rPr>
                <w:rFonts w:eastAsia="Arial" w:cstheme="minorHAnsi"/>
                <w:color w:val="000000"/>
                <w:sz w:val="22"/>
                <w:szCs w:val="22"/>
              </w:rPr>
              <w:t>≤ 0.1</w:t>
            </w:r>
          </w:p>
        </w:tc>
        <w:tc>
          <w:tcPr>
            <w:tcW w:w="2338" w:type="dxa"/>
            <w:tcBorders>
              <w:top w:val="single" w:sz="4" w:space="0" w:color="auto"/>
            </w:tcBorders>
            <w:vAlign w:val="center"/>
          </w:tcPr>
          <w:p w14:paraId="3ADC305C" w14:textId="77777777" w:rsidR="00E94AD9" w:rsidRDefault="00E94AD9">
            <w:r w:rsidRPr="000B52A1">
              <w:rPr>
                <w:rFonts w:eastAsia="Arial" w:cstheme="minorHAnsi"/>
                <w:color w:val="000000"/>
                <w:sz w:val="22"/>
                <w:szCs w:val="22"/>
              </w:rPr>
              <w:t>263</w:t>
            </w:r>
          </w:p>
        </w:tc>
        <w:tc>
          <w:tcPr>
            <w:tcW w:w="2338" w:type="dxa"/>
            <w:tcBorders>
              <w:top w:val="single" w:sz="4" w:space="0" w:color="auto"/>
            </w:tcBorders>
            <w:vAlign w:val="center"/>
          </w:tcPr>
          <w:p w14:paraId="2C380420" w14:textId="77777777" w:rsidR="00E94AD9" w:rsidRDefault="00E94AD9">
            <w:r w:rsidRPr="000B52A1">
              <w:rPr>
                <w:rFonts w:eastAsia="Arial" w:cstheme="minorHAnsi"/>
                <w:color w:val="000000"/>
                <w:sz w:val="22"/>
                <w:szCs w:val="22"/>
              </w:rPr>
              <w:t>88.26 ± 3.67</w:t>
            </w:r>
          </w:p>
        </w:tc>
      </w:tr>
      <w:tr w:rsidR="00E94AD9" w14:paraId="57B4CA88" w14:textId="77777777" w:rsidTr="0050432E">
        <w:trPr>
          <w:trHeight w:val="360"/>
        </w:trPr>
        <w:tc>
          <w:tcPr>
            <w:tcW w:w="2337" w:type="dxa"/>
            <w:vAlign w:val="center"/>
          </w:tcPr>
          <w:p w14:paraId="1E819591" w14:textId="77777777" w:rsidR="00E94AD9" w:rsidRDefault="00E94AD9">
            <w:r w:rsidRPr="000B52A1">
              <w:rPr>
                <w:rFonts w:eastAsia="Arial" w:cstheme="minorHAnsi"/>
                <w:color w:val="000000"/>
                <w:sz w:val="22"/>
                <w:szCs w:val="22"/>
              </w:rPr>
              <w:t>Fair</w:t>
            </w:r>
          </w:p>
        </w:tc>
        <w:tc>
          <w:tcPr>
            <w:tcW w:w="2337" w:type="dxa"/>
            <w:vAlign w:val="center"/>
          </w:tcPr>
          <w:p w14:paraId="6C53AB06" w14:textId="77777777" w:rsidR="00E94AD9" w:rsidRDefault="00E94AD9">
            <w:r w:rsidRPr="000B52A1">
              <w:rPr>
                <w:rFonts w:eastAsia="Arial" w:cstheme="minorHAnsi"/>
                <w:color w:val="000000"/>
                <w:sz w:val="22"/>
                <w:szCs w:val="22"/>
              </w:rPr>
              <w:t>&gt; 0.1 and ≤ 0.5</w:t>
            </w:r>
          </w:p>
        </w:tc>
        <w:tc>
          <w:tcPr>
            <w:tcW w:w="2338" w:type="dxa"/>
            <w:vAlign w:val="center"/>
          </w:tcPr>
          <w:p w14:paraId="60D4ECBB" w14:textId="77777777" w:rsidR="00E94AD9" w:rsidRDefault="00E94AD9">
            <w:r w:rsidRPr="000B52A1">
              <w:rPr>
                <w:rFonts w:eastAsia="Arial" w:cstheme="minorHAnsi"/>
                <w:color w:val="000000"/>
                <w:sz w:val="22"/>
                <w:szCs w:val="22"/>
              </w:rPr>
              <w:t>32</w:t>
            </w:r>
          </w:p>
        </w:tc>
        <w:tc>
          <w:tcPr>
            <w:tcW w:w="2338" w:type="dxa"/>
            <w:vAlign w:val="center"/>
          </w:tcPr>
          <w:p w14:paraId="638A9CF8" w14:textId="77777777" w:rsidR="00E94AD9" w:rsidRDefault="00E94AD9">
            <w:r w:rsidRPr="000B52A1">
              <w:rPr>
                <w:rFonts w:eastAsia="Arial" w:cstheme="minorHAnsi"/>
                <w:color w:val="000000"/>
                <w:sz w:val="22"/>
                <w:szCs w:val="22"/>
              </w:rPr>
              <w:t>10.74 ± 3.53</w:t>
            </w:r>
          </w:p>
        </w:tc>
      </w:tr>
      <w:tr w:rsidR="00E94AD9" w14:paraId="6A1A00FF" w14:textId="77777777" w:rsidTr="00D752C5">
        <w:trPr>
          <w:trHeight w:val="360"/>
        </w:trPr>
        <w:tc>
          <w:tcPr>
            <w:tcW w:w="2337" w:type="dxa"/>
            <w:tcBorders>
              <w:bottom w:val="single" w:sz="2" w:space="0" w:color="auto"/>
            </w:tcBorders>
            <w:vAlign w:val="center"/>
          </w:tcPr>
          <w:p w14:paraId="4DCAA796" w14:textId="77777777" w:rsidR="00E94AD9" w:rsidRDefault="00E94AD9">
            <w:r w:rsidRPr="000B52A1">
              <w:rPr>
                <w:rFonts w:eastAsia="Arial" w:cstheme="minorHAnsi"/>
                <w:color w:val="000000"/>
                <w:sz w:val="22"/>
                <w:szCs w:val="22"/>
              </w:rPr>
              <w:t>Poor</w:t>
            </w:r>
          </w:p>
        </w:tc>
        <w:tc>
          <w:tcPr>
            <w:tcW w:w="2337" w:type="dxa"/>
            <w:tcBorders>
              <w:bottom w:val="single" w:sz="2" w:space="0" w:color="auto"/>
            </w:tcBorders>
            <w:vAlign w:val="center"/>
          </w:tcPr>
          <w:p w14:paraId="728BF9B5" w14:textId="77777777" w:rsidR="00E94AD9" w:rsidRDefault="00E94AD9">
            <w:r w:rsidRPr="000B52A1">
              <w:rPr>
                <w:rFonts w:eastAsia="Arial" w:cstheme="minorHAnsi"/>
                <w:color w:val="000000"/>
                <w:sz w:val="22"/>
                <w:szCs w:val="22"/>
              </w:rPr>
              <w:t>&gt; 0.5</w:t>
            </w:r>
          </w:p>
        </w:tc>
        <w:tc>
          <w:tcPr>
            <w:tcW w:w="2338" w:type="dxa"/>
            <w:tcBorders>
              <w:bottom w:val="single" w:sz="2" w:space="0" w:color="auto"/>
            </w:tcBorders>
            <w:vAlign w:val="center"/>
          </w:tcPr>
          <w:p w14:paraId="7EF79B3F" w14:textId="77777777" w:rsidR="00E94AD9" w:rsidRDefault="00E94AD9">
            <w:r w:rsidRPr="000B52A1">
              <w:rPr>
                <w:rFonts w:eastAsia="Arial" w:cstheme="minorHAnsi"/>
                <w:color w:val="000000"/>
                <w:sz w:val="22"/>
                <w:szCs w:val="22"/>
              </w:rPr>
              <w:t>3</w:t>
            </w:r>
          </w:p>
        </w:tc>
        <w:tc>
          <w:tcPr>
            <w:tcW w:w="2338" w:type="dxa"/>
            <w:tcBorders>
              <w:bottom w:val="single" w:sz="2" w:space="0" w:color="auto"/>
            </w:tcBorders>
            <w:vAlign w:val="center"/>
          </w:tcPr>
          <w:p w14:paraId="7C0BC1E2" w14:textId="77777777" w:rsidR="00E94AD9" w:rsidRDefault="00E94AD9">
            <w:r w:rsidRPr="000B52A1">
              <w:rPr>
                <w:rFonts w:eastAsia="Arial" w:cstheme="minorHAnsi"/>
                <w:color w:val="000000"/>
                <w:sz w:val="22"/>
                <w:szCs w:val="22"/>
              </w:rPr>
              <w:t>1.01 ± 1.14</w:t>
            </w:r>
          </w:p>
        </w:tc>
      </w:tr>
      <w:tr w:rsidR="00E94AD9" w14:paraId="516A10C5" w14:textId="77777777" w:rsidTr="00D752C5">
        <w:trPr>
          <w:trHeight w:val="360"/>
        </w:trPr>
        <w:tc>
          <w:tcPr>
            <w:tcW w:w="2337" w:type="dxa"/>
            <w:tcBorders>
              <w:top w:val="single" w:sz="2" w:space="0" w:color="auto"/>
              <w:bottom w:val="single" w:sz="12" w:space="0" w:color="auto"/>
            </w:tcBorders>
            <w:vAlign w:val="center"/>
          </w:tcPr>
          <w:p w14:paraId="02A52742" w14:textId="77777777" w:rsidR="00E94AD9" w:rsidRPr="001A7D7D" w:rsidRDefault="00E94AD9">
            <w:pPr>
              <w:rPr>
                <w:b/>
                <w:bCs/>
              </w:rPr>
            </w:pPr>
            <w:r w:rsidRPr="001A7D7D">
              <w:rPr>
                <w:rFonts w:eastAsia="Arial" w:cstheme="minorHAnsi"/>
                <w:b/>
                <w:bCs/>
                <w:color w:val="000000"/>
                <w:sz w:val="22"/>
                <w:szCs w:val="22"/>
              </w:rPr>
              <w:t>Total</w:t>
            </w:r>
          </w:p>
        </w:tc>
        <w:tc>
          <w:tcPr>
            <w:tcW w:w="2337" w:type="dxa"/>
            <w:tcBorders>
              <w:top w:val="single" w:sz="2" w:space="0" w:color="auto"/>
              <w:bottom w:val="single" w:sz="12" w:space="0" w:color="auto"/>
            </w:tcBorders>
            <w:vAlign w:val="center"/>
          </w:tcPr>
          <w:p w14:paraId="14DFC2AE" w14:textId="77777777" w:rsidR="00E94AD9" w:rsidRPr="001A7D7D" w:rsidRDefault="00E94AD9">
            <w:pPr>
              <w:rPr>
                <w:b/>
                <w:bCs/>
              </w:rPr>
            </w:pPr>
          </w:p>
        </w:tc>
        <w:tc>
          <w:tcPr>
            <w:tcW w:w="2338" w:type="dxa"/>
            <w:tcBorders>
              <w:top w:val="single" w:sz="2" w:space="0" w:color="auto"/>
              <w:bottom w:val="single" w:sz="12" w:space="0" w:color="auto"/>
            </w:tcBorders>
            <w:vAlign w:val="center"/>
          </w:tcPr>
          <w:p w14:paraId="673C4D6D" w14:textId="77777777" w:rsidR="00E94AD9" w:rsidRPr="001A7D7D" w:rsidRDefault="00E94AD9">
            <w:pPr>
              <w:rPr>
                <w:b/>
                <w:bCs/>
              </w:rPr>
            </w:pPr>
            <w:r w:rsidRPr="001A7D7D">
              <w:rPr>
                <w:rFonts w:eastAsia="Arial" w:cstheme="minorHAnsi"/>
                <w:b/>
                <w:bCs/>
                <w:color w:val="000000"/>
                <w:sz w:val="22"/>
                <w:szCs w:val="22"/>
              </w:rPr>
              <w:t>298</w:t>
            </w:r>
          </w:p>
        </w:tc>
        <w:tc>
          <w:tcPr>
            <w:tcW w:w="2338" w:type="dxa"/>
            <w:tcBorders>
              <w:top w:val="single" w:sz="2" w:space="0" w:color="auto"/>
              <w:bottom w:val="single" w:sz="12" w:space="0" w:color="auto"/>
            </w:tcBorders>
            <w:vAlign w:val="center"/>
          </w:tcPr>
          <w:p w14:paraId="0F7332A1" w14:textId="77777777" w:rsidR="00E94AD9" w:rsidRPr="001A7D7D" w:rsidRDefault="00E94AD9">
            <w:pPr>
              <w:rPr>
                <w:b/>
                <w:bCs/>
              </w:rPr>
            </w:pPr>
          </w:p>
        </w:tc>
      </w:tr>
    </w:tbl>
    <w:p w14:paraId="241F2E82" w14:textId="77777777" w:rsidR="001341F6" w:rsidRDefault="001E1901" w:rsidP="001E1901">
      <w:pPr>
        <w:pStyle w:val="TableCaption"/>
      </w:pPr>
      <w:bookmarkStart w:id="238" w:name="near-surface-chlorophyll-a"/>
      <w:bookmarkEnd w:id="235"/>
      <w:r w:rsidRPr="001341F6">
        <w:rPr>
          <w:vertAlign w:val="superscript"/>
        </w:rPr>
        <w:t>1</w:t>
      </w:r>
      <w:r w:rsidRPr="000F59F4">
        <w:t xml:space="preserve"> </w:t>
      </w:r>
      <w:r>
        <w:t>E</w:t>
      </w:r>
      <w:r w:rsidRPr="000F59F4">
        <w:t>stimated percentage</w:t>
      </w:r>
      <w:r>
        <w:t xml:space="preserve"> (</w:t>
      </w:r>
      <w:r w:rsidRPr="00224A2F">
        <w:t>+/- 95% confidence limits</w:t>
      </w:r>
      <w:r>
        <w:t xml:space="preserve">) </w:t>
      </w:r>
      <w:r w:rsidRPr="000F59F4">
        <w:t>of Virginia’s smaller estuarine waters</w:t>
      </w:r>
      <w:r>
        <w:t xml:space="preserve"> (&lt; 100 sq km drainage)</w:t>
      </w:r>
      <w:r w:rsidRPr="000F59F4">
        <w:t xml:space="preserve"> </w:t>
      </w:r>
      <w:r>
        <w:t>with</w:t>
      </w:r>
      <w:r w:rsidRPr="000F59F4">
        <w:t xml:space="preserve"> indicated water quality condition. </w:t>
      </w:r>
      <w:r>
        <w:t>As e</w:t>
      </w:r>
      <w:r w:rsidRPr="000F59F4">
        <w:t xml:space="preserve">stimated using data from DEQ’s estuarine probabilistic monitoring program and EPA’s National Coastal Condition Assessment </w:t>
      </w:r>
      <w:r>
        <w:t>program. Approximately 95% of stations are from smaller estuaries (&lt; 100 sq km drainage) and approximately 5% of stations are from Chesapeake Bay mainstem.</w:t>
      </w:r>
    </w:p>
    <w:p w14:paraId="24A47F58" w14:textId="5B47F4CF" w:rsidR="001E1901" w:rsidRDefault="001E1901" w:rsidP="001341F6"/>
    <w:p w14:paraId="22367115" w14:textId="3EE84CF8" w:rsidR="0030653F" w:rsidRPr="000B52A1" w:rsidRDefault="0030653F" w:rsidP="00800396">
      <w:pPr>
        <w:pStyle w:val="Heading4"/>
        <w:numPr>
          <w:ilvl w:val="0"/>
          <w:numId w:val="0"/>
        </w:numPr>
        <w:rPr>
          <w:rFonts w:cstheme="minorHAnsi"/>
        </w:rPr>
      </w:pPr>
      <w:r w:rsidRPr="000B52A1">
        <w:rPr>
          <w:rFonts w:cstheme="minorHAnsi"/>
        </w:rPr>
        <w:t>Near-surface Chlorophyll</w:t>
      </w:r>
      <w:r w:rsidR="00FF4361">
        <w:rPr>
          <w:rFonts w:cstheme="minorHAnsi"/>
        </w:rPr>
        <w:t xml:space="preserve"> </w:t>
      </w:r>
      <w:r w:rsidRPr="000B52A1">
        <w:rPr>
          <w:rFonts w:cstheme="minorHAnsi"/>
        </w:rPr>
        <w:t>a</w:t>
      </w:r>
    </w:p>
    <w:p w14:paraId="2ABB02E0" w14:textId="08005F77" w:rsidR="0030653F" w:rsidRPr="00B75F7F" w:rsidRDefault="00B24EEB" w:rsidP="00FE4F53">
      <w:bookmarkStart w:id="239" w:name="tab:tab-chla"/>
      <w:bookmarkEnd w:id="239"/>
      <w:proofErr w:type="spellStart"/>
      <w:r w:rsidRPr="000B52A1">
        <w:t>Chl</w:t>
      </w:r>
      <w:proofErr w:type="spellEnd"/>
      <w:r w:rsidRPr="000B52A1">
        <w:t>-</w:t>
      </w:r>
      <w:r w:rsidRPr="00B51CFE">
        <w:rPr>
          <w:i/>
        </w:rPr>
        <w:t>a</w:t>
      </w:r>
      <w:r w:rsidRPr="000B52A1">
        <w:t xml:space="preserve"> concentrations in surface waters are an indication of the quantity of algae in the water. High concentrations of </w:t>
      </w:r>
      <w:proofErr w:type="spellStart"/>
      <w:r>
        <w:rPr>
          <w:rFonts w:eastAsiaTheme="minorHAnsi"/>
        </w:rPr>
        <w:t>Chl</w:t>
      </w:r>
      <w:proofErr w:type="spellEnd"/>
      <w:r>
        <w:rPr>
          <w:rFonts w:eastAsiaTheme="minorHAnsi"/>
        </w:rPr>
        <w:t>-</w:t>
      </w:r>
      <w:r w:rsidRPr="000234AF">
        <w:rPr>
          <w:rFonts w:cstheme="minorHAnsi"/>
          <w:i/>
          <w:snapToGrid/>
          <w:color w:val="000000"/>
          <w:szCs w:val="24"/>
        </w:rPr>
        <w:t>a</w:t>
      </w:r>
      <w:r w:rsidRPr="000B52A1">
        <w:t xml:space="preserve">, often caused by nutrient enrichment, can indicate the presence of undesirable algal blooms, which may further reduce water quality by increasing pH and decreasing water clarity. Also, the die-off of excess algae can result in insufficient amounts of </w:t>
      </w:r>
      <w:r>
        <w:t>DO</w:t>
      </w:r>
      <w:r w:rsidRPr="000B52A1">
        <w:t xml:space="preserve"> for fish and other aquatic life. Table </w:t>
      </w:r>
      <w:r>
        <w:t>4.5-</w:t>
      </w:r>
      <w:r w:rsidRPr="000B52A1">
        <w:t xml:space="preserve">5 summarizes the ranges of </w:t>
      </w:r>
      <w:proofErr w:type="spellStart"/>
      <w:r>
        <w:rPr>
          <w:rFonts w:eastAsiaTheme="minorHAnsi"/>
        </w:rPr>
        <w:t>Chl</w:t>
      </w:r>
      <w:proofErr w:type="spellEnd"/>
      <w:r>
        <w:rPr>
          <w:rFonts w:eastAsiaTheme="minorHAnsi"/>
        </w:rPr>
        <w:t>-</w:t>
      </w:r>
      <w:r w:rsidRPr="000234AF">
        <w:rPr>
          <w:rFonts w:cstheme="minorHAnsi"/>
          <w:i/>
          <w:snapToGrid/>
          <w:color w:val="000000"/>
          <w:szCs w:val="24"/>
        </w:rPr>
        <w:t>a</w:t>
      </w:r>
      <w:r w:rsidRPr="000B52A1">
        <w:t xml:space="preserve"> concentration that the NCCA has established as </w:t>
      </w:r>
      <w:r>
        <w:t>benchmark</w:t>
      </w:r>
      <w:r w:rsidRPr="000B52A1">
        <w:t xml:space="preserve">s for water quality </w:t>
      </w:r>
      <w:r>
        <w:t xml:space="preserve">condition </w:t>
      </w:r>
      <w:r w:rsidRPr="000B52A1">
        <w:t xml:space="preserve">classes in estuarine waters of the northeastern United States, the number of stations within each </w:t>
      </w:r>
      <w:r>
        <w:t xml:space="preserve">condition </w:t>
      </w:r>
      <w:r w:rsidRPr="000B52A1">
        <w:t xml:space="preserve">class, </w:t>
      </w:r>
      <w:r w:rsidRPr="000B52A1">
        <w:lastRenderedPageBreak/>
        <w:t xml:space="preserve">and the estimated </w:t>
      </w:r>
      <w:r>
        <w:t>percentage</w:t>
      </w:r>
      <w:r w:rsidRPr="000B52A1">
        <w:t xml:space="preserve"> of estuarine waters within each </w:t>
      </w:r>
      <w:r>
        <w:t xml:space="preserve">condition </w:t>
      </w:r>
      <w:r w:rsidRPr="000B52A1">
        <w:t>class.</w:t>
      </w:r>
      <w:r w:rsidR="00D93774">
        <w:br/>
      </w:r>
    </w:p>
    <w:p w14:paraId="04636822" w14:textId="227ECE68" w:rsidR="00A81BBB" w:rsidRPr="00D237D4" w:rsidRDefault="00151C66">
      <w:pPr>
        <w:pStyle w:val="Caption"/>
        <w:keepNext/>
      </w:pPr>
      <w:bookmarkStart w:id="240" w:name="_Toc164175195"/>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5</w:t>
      </w:r>
      <w:r w:rsidR="004F13BA">
        <w:rPr>
          <w:noProof/>
        </w:rPr>
        <w:fldChar w:fldCharType="end"/>
      </w:r>
      <w:r>
        <w:t xml:space="preserve">. </w:t>
      </w:r>
      <w:r w:rsidR="00A81BBB">
        <w:t xml:space="preserve">Estimated </w:t>
      </w:r>
      <w:proofErr w:type="spellStart"/>
      <w:r w:rsidR="00A81BBB">
        <w:t>Chl</w:t>
      </w:r>
      <w:proofErr w:type="spellEnd"/>
      <w:r w:rsidR="00A81BBB">
        <w:t>-</w:t>
      </w:r>
      <w:r w:rsidR="00A81BBB" w:rsidRPr="0A5BE548">
        <w:rPr>
          <w:i/>
        </w:rPr>
        <w:t>a</w:t>
      </w:r>
      <w:r w:rsidR="00A81BBB">
        <w:t xml:space="preserve"> condition in Virginia’s estuarine waters</w:t>
      </w:r>
      <w:bookmarkEnd w:id="240"/>
      <w:r w:rsidR="00A81BBB">
        <w:t>, 2017-2022. Conditions and benchmark ranges are from U.S. EPA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Chlorophyll a in Virginia's estuarine waters, 2017-2022. Conditions and threshold ranges from U.S. EPA (2020)."/>
        <w:tblDescription w:val="Chlorophyll a in Virginia's estuarine waters, 2017-2022. Conditions and threshold ranges from U.S. EPA (2020)."/>
      </w:tblPr>
      <w:tblGrid>
        <w:gridCol w:w="2520"/>
        <w:gridCol w:w="2700"/>
        <w:gridCol w:w="1792"/>
        <w:gridCol w:w="2338"/>
      </w:tblGrid>
      <w:tr w:rsidR="00151C66" w14:paraId="4A4A2930" w14:textId="77777777" w:rsidTr="004605B4">
        <w:trPr>
          <w:trHeight w:val="360"/>
        </w:trPr>
        <w:tc>
          <w:tcPr>
            <w:tcW w:w="2520" w:type="dxa"/>
            <w:tcBorders>
              <w:top w:val="single" w:sz="12" w:space="0" w:color="auto"/>
              <w:bottom w:val="single" w:sz="4" w:space="0" w:color="auto"/>
            </w:tcBorders>
            <w:vAlign w:val="center"/>
          </w:tcPr>
          <w:p w14:paraId="3774DCB0" w14:textId="547F418E" w:rsidR="00151C66" w:rsidRDefault="00151C66">
            <w:proofErr w:type="spellStart"/>
            <w:r w:rsidRPr="000B52A1">
              <w:rPr>
                <w:rFonts w:eastAsia="Arial" w:cstheme="minorHAnsi"/>
                <w:b/>
                <w:color w:val="000000"/>
                <w:sz w:val="22"/>
                <w:szCs w:val="22"/>
              </w:rPr>
              <w:t>Chl</w:t>
            </w:r>
            <w:proofErr w:type="spellEnd"/>
            <w:r w:rsidRPr="000B52A1">
              <w:rPr>
                <w:rFonts w:eastAsia="Arial" w:cstheme="minorHAnsi"/>
                <w:b/>
                <w:color w:val="000000"/>
                <w:sz w:val="22"/>
                <w:szCs w:val="22"/>
              </w:rPr>
              <w:t>-</w:t>
            </w:r>
            <w:r w:rsidRPr="000E50BF">
              <w:rPr>
                <w:rFonts w:eastAsia="Arial" w:cstheme="minorHAnsi"/>
                <w:b/>
                <w:i/>
                <w:iCs/>
                <w:color w:val="000000"/>
                <w:sz w:val="22"/>
                <w:szCs w:val="22"/>
              </w:rPr>
              <w:t>a</w:t>
            </w:r>
            <w:r w:rsidRPr="000B52A1">
              <w:rPr>
                <w:rFonts w:eastAsia="Arial" w:cstheme="minorHAnsi"/>
                <w:b/>
                <w:color w:val="000000"/>
                <w:sz w:val="22"/>
                <w:szCs w:val="22"/>
              </w:rPr>
              <w:t xml:space="preserve"> Condition</w:t>
            </w:r>
          </w:p>
        </w:tc>
        <w:tc>
          <w:tcPr>
            <w:tcW w:w="2700" w:type="dxa"/>
            <w:tcBorders>
              <w:top w:val="single" w:sz="12" w:space="0" w:color="auto"/>
              <w:bottom w:val="single" w:sz="4" w:space="0" w:color="auto"/>
            </w:tcBorders>
            <w:vAlign w:val="center"/>
          </w:tcPr>
          <w:p w14:paraId="19432315" w14:textId="4D929EE1" w:rsidR="00151C66" w:rsidRDefault="00151C66">
            <w:proofErr w:type="spellStart"/>
            <w:r w:rsidRPr="000B52A1">
              <w:rPr>
                <w:rFonts w:eastAsia="Arial" w:cstheme="minorHAnsi"/>
                <w:b/>
                <w:color w:val="000000"/>
                <w:sz w:val="22"/>
                <w:szCs w:val="22"/>
              </w:rPr>
              <w:t>Chl</w:t>
            </w:r>
            <w:proofErr w:type="spellEnd"/>
            <w:r w:rsidRPr="000B52A1">
              <w:rPr>
                <w:rFonts w:eastAsia="Arial" w:cstheme="minorHAnsi"/>
                <w:b/>
                <w:color w:val="000000"/>
                <w:sz w:val="22"/>
                <w:szCs w:val="22"/>
              </w:rPr>
              <w:t>-</w:t>
            </w:r>
            <w:r w:rsidRPr="00A81BBB">
              <w:rPr>
                <w:rFonts w:eastAsia="Arial" w:cstheme="minorHAnsi"/>
                <w:b/>
                <w:i/>
                <w:iCs/>
                <w:color w:val="000000"/>
                <w:sz w:val="22"/>
                <w:szCs w:val="22"/>
              </w:rPr>
              <w:t>a</w:t>
            </w:r>
            <w:r w:rsidRPr="000B52A1">
              <w:rPr>
                <w:rFonts w:eastAsia="Arial" w:cstheme="minorHAnsi"/>
                <w:b/>
                <w:color w:val="000000"/>
                <w:sz w:val="22"/>
                <w:szCs w:val="22"/>
              </w:rPr>
              <w:t xml:space="preserve"> Range (</w:t>
            </w:r>
            <w:proofErr w:type="spellStart"/>
            <w:r w:rsidRPr="000B52A1">
              <w:rPr>
                <w:rFonts w:eastAsia="Arial" w:cstheme="minorHAnsi"/>
                <w:b/>
                <w:color w:val="000000"/>
                <w:sz w:val="22"/>
                <w:szCs w:val="22"/>
              </w:rPr>
              <w:t>μg</w:t>
            </w:r>
            <w:proofErr w:type="spellEnd"/>
            <w:r w:rsidRPr="000B52A1">
              <w:rPr>
                <w:rFonts w:eastAsia="Arial" w:cstheme="minorHAnsi"/>
                <w:b/>
                <w:color w:val="000000"/>
                <w:sz w:val="22"/>
                <w:szCs w:val="22"/>
              </w:rPr>
              <w:t>/L)</w:t>
            </w:r>
          </w:p>
        </w:tc>
        <w:tc>
          <w:tcPr>
            <w:tcW w:w="1792" w:type="dxa"/>
            <w:tcBorders>
              <w:top w:val="single" w:sz="12" w:space="0" w:color="auto"/>
              <w:bottom w:val="single" w:sz="4" w:space="0" w:color="auto"/>
            </w:tcBorders>
            <w:vAlign w:val="center"/>
          </w:tcPr>
          <w:p w14:paraId="3FA5999F" w14:textId="77777777" w:rsidR="00151C66" w:rsidRDefault="00151C66">
            <w:r w:rsidRPr="000B52A1">
              <w:rPr>
                <w:rFonts w:eastAsia="Arial" w:cstheme="minorHAnsi"/>
                <w:b/>
                <w:color w:val="000000"/>
                <w:sz w:val="22"/>
                <w:szCs w:val="22"/>
              </w:rPr>
              <w:t>Stations</w:t>
            </w:r>
          </w:p>
        </w:tc>
        <w:tc>
          <w:tcPr>
            <w:tcW w:w="2338" w:type="dxa"/>
            <w:tcBorders>
              <w:top w:val="single" w:sz="12" w:space="0" w:color="auto"/>
              <w:bottom w:val="single" w:sz="4" w:space="0" w:color="auto"/>
            </w:tcBorders>
            <w:vAlign w:val="center"/>
          </w:tcPr>
          <w:p w14:paraId="4F033D0E" w14:textId="48C266DF" w:rsidR="00151C66" w:rsidRDefault="00151C66">
            <w:r w:rsidRPr="000B52A1">
              <w:rPr>
                <w:rFonts w:eastAsia="Arial" w:cstheme="minorHAnsi"/>
                <w:b/>
                <w:color w:val="000000"/>
                <w:sz w:val="22"/>
                <w:szCs w:val="22"/>
              </w:rPr>
              <w:t>Percentage</w:t>
            </w:r>
            <w:r w:rsidR="002B648B" w:rsidRPr="002B648B">
              <w:rPr>
                <w:rFonts w:eastAsia="Arial" w:cstheme="minorHAnsi"/>
                <w:b/>
                <w:color w:val="000000"/>
                <w:sz w:val="22"/>
                <w:szCs w:val="22"/>
                <w:vertAlign w:val="superscript"/>
              </w:rPr>
              <w:t>1</w:t>
            </w:r>
          </w:p>
        </w:tc>
      </w:tr>
      <w:tr w:rsidR="00151C66" w14:paraId="47441DDB" w14:textId="77777777" w:rsidTr="0050432E">
        <w:trPr>
          <w:trHeight w:val="360"/>
        </w:trPr>
        <w:tc>
          <w:tcPr>
            <w:tcW w:w="2520" w:type="dxa"/>
            <w:tcBorders>
              <w:top w:val="single" w:sz="4" w:space="0" w:color="auto"/>
            </w:tcBorders>
            <w:vAlign w:val="center"/>
          </w:tcPr>
          <w:p w14:paraId="1A1AEDE2" w14:textId="77777777" w:rsidR="00151C66" w:rsidRDefault="00151C66">
            <w:r w:rsidRPr="000B52A1">
              <w:rPr>
                <w:rFonts w:eastAsia="Arial" w:cstheme="minorHAnsi"/>
                <w:color w:val="000000"/>
                <w:sz w:val="22"/>
                <w:szCs w:val="22"/>
              </w:rPr>
              <w:t>Good</w:t>
            </w:r>
          </w:p>
        </w:tc>
        <w:tc>
          <w:tcPr>
            <w:tcW w:w="2700" w:type="dxa"/>
            <w:tcBorders>
              <w:top w:val="single" w:sz="4" w:space="0" w:color="auto"/>
            </w:tcBorders>
            <w:vAlign w:val="center"/>
          </w:tcPr>
          <w:p w14:paraId="1624A99B" w14:textId="77777777" w:rsidR="00151C66" w:rsidRDefault="00151C66">
            <w:r w:rsidRPr="000B52A1">
              <w:rPr>
                <w:rFonts w:eastAsia="Arial" w:cstheme="minorHAnsi"/>
                <w:color w:val="000000"/>
                <w:sz w:val="22"/>
                <w:szCs w:val="22"/>
              </w:rPr>
              <w:t>≤ 5</w:t>
            </w:r>
          </w:p>
        </w:tc>
        <w:tc>
          <w:tcPr>
            <w:tcW w:w="1792" w:type="dxa"/>
            <w:tcBorders>
              <w:top w:val="single" w:sz="4" w:space="0" w:color="auto"/>
            </w:tcBorders>
            <w:vAlign w:val="center"/>
          </w:tcPr>
          <w:p w14:paraId="178B631F" w14:textId="77777777" w:rsidR="00151C66" w:rsidRDefault="00151C66">
            <w:r w:rsidRPr="000B52A1">
              <w:rPr>
                <w:rFonts w:eastAsia="Arial" w:cstheme="minorHAnsi"/>
                <w:color w:val="000000"/>
                <w:sz w:val="22"/>
                <w:szCs w:val="22"/>
              </w:rPr>
              <w:t>44</w:t>
            </w:r>
          </w:p>
        </w:tc>
        <w:tc>
          <w:tcPr>
            <w:tcW w:w="2338" w:type="dxa"/>
            <w:tcBorders>
              <w:top w:val="single" w:sz="4" w:space="0" w:color="auto"/>
            </w:tcBorders>
            <w:vAlign w:val="center"/>
          </w:tcPr>
          <w:p w14:paraId="59665E7F" w14:textId="77777777" w:rsidR="00151C66" w:rsidRDefault="00151C66">
            <w:r w:rsidRPr="000B52A1">
              <w:rPr>
                <w:rFonts w:eastAsia="Arial" w:cstheme="minorHAnsi"/>
                <w:color w:val="000000"/>
                <w:sz w:val="22"/>
                <w:szCs w:val="22"/>
              </w:rPr>
              <w:t>14.77 ± 4.04</w:t>
            </w:r>
          </w:p>
        </w:tc>
      </w:tr>
      <w:tr w:rsidR="00151C66" w14:paraId="47C34035" w14:textId="77777777" w:rsidTr="0050432E">
        <w:trPr>
          <w:trHeight w:val="360"/>
        </w:trPr>
        <w:tc>
          <w:tcPr>
            <w:tcW w:w="2520" w:type="dxa"/>
            <w:vAlign w:val="center"/>
          </w:tcPr>
          <w:p w14:paraId="1B3A2DBB" w14:textId="77777777" w:rsidR="00151C66" w:rsidRDefault="00151C66">
            <w:r w:rsidRPr="000B52A1">
              <w:rPr>
                <w:rFonts w:eastAsia="Arial" w:cstheme="minorHAnsi"/>
                <w:color w:val="000000"/>
                <w:sz w:val="22"/>
                <w:szCs w:val="22"/>
              </w:rPr>
              <w:t>Fair</w:t>
            </w:r>
          </w:p>
        </w:tc>
        <w:tc>
          <w:tcPr>
            <w:tcW w:w="2700" w:type="dxa"/>
            <w:vAlign w:val="center"/>
          </w:tcPr>
          <w:p w14:paraId="21F92A3D" w14:textId="77777777" w:rsidR="00151C66" w:rsidRDefault="00151C66">
            <w:r w:rsidRPr="000B52A1">
              <w:rPr>
                <w:rFonts w:eastAsia="Arial" w:cstheme="minorHAnsi"/>
                <w:color w:val="000000"/>
                <w:sz w:val="22"/>
                <w:szCs w:val="22"/>
              </w:rPr>
              <w:t>&gt; 5 and ≤ 20</w:t>
            </w:r>
          </w:p>
        </w:tc>
        <w:tc>
          <w:tcPr>
            <w:tcW w:w="1792" w:type="dxa"/>
            <w:vAlign w:val="center"/>
          </w:tcPr>
          <w:p w14:paraId="6ED62EB0" w14:textId="77777777" w:rsidR="00151C66" w:rsidRDefault="00151C66">
            <w:r w:rsidRPr="000B52A1">
              <w:rPr>
                <w:rFonts w:eastAsia="Arial" w:cstheme="minorHAnsi"/>
                <w:color w:val="000000"/>
                <w:sz w:val="22"/>
                <w:szCs w:val="22"/>
              </w:rPr>
              <w:t>216</w:t>
            </w:r>
          </w:p>
        </w:tc>
        <w:tc>
          <w:tcPr>
            <w:tcW w:w="2338" w:type="dxa"/>
            <w:vAlign w:val="center"/>
          </w:tcPr>
          <w:p w14:paraId="29CA0F8C" w14:textId="77777777" w:rsidR="00151C66" w:rsidRDefault="00151C66">
            <w:r w:rsidRPr="000B52A1">
              <w:rPr>
                <w:rFonts w:eastAsia="Arial" w:cstheme="minorHAnsi"/>
                <w:color w:val="000000"/>
                <w:sz w:val="22"/>
                <w:szCs w:val="22"/>
              </w:rPr>
              <w:t>72.48 ± 5.09</w:t>
            </w:r>
          </w:p>
        </w:tc>
      </w:tr>
      <w:tr w:rsidR="00151C66" w14:paraId="1C84A727" w14:textId="77777777" w:rsidTr="004605B4">
        <w:trPr>
          <w:trHeight w:val="360"/>
        </w:trPr>
        <w:tc>
          <w:tcPr>
            <w:tcW w:w="2520" w:type="dxa"/>
            <w:tcBorders>
              <w:bottom w:val="single" w:sz="2" w:space="0" w:color="auto"/>
            </w:tcBorders>
            <w:vAlign w:val="center"/>
          </w:tcPr>
          <w:p w14:paraId="2882FCA2" w14:textId="77777777" w:rsidR="00151C66" w:rsidRDefault="00151C66">
            <w:r w:rsidRPr="000B52A1">
              <w:rPr>
                <w:rFonts w:eastAsia="Arial" w:cstheme="minorHAnsi"/>
                <w:color w:val="000000"/>
                <w:sz w:val="22"/>
                <w:szCs w:val="22"/>
              </w:rPr>
              <w:t>Poor</w:t>
            </w:r>
          </w:p>
        </w:tc>
        <w:tc>
          <w:tcPr>
            <w:tcW w:w="2700" w:type="dxa"/>
            <w:tcBorders>
              <w:bottom w:val="single" w:sz="2" w:space="0" w:color="auto"/>
            </w:tcBorders>
            <w:vAlign w:val="center"/>
          </w:tcPr>
          <w:p w14:paraId="4422A25A" w14:textId="77777777" w:rsidR="00151C66" w:rsidRDefault="00151C66">
            <w:r w:rsidRPr="000B52A1">
              <w:rPr>
                <w:rFonts w:eastAsia="Arial" w:cstheme="minorHAnsi"/>
                <w:color w:val="000000"/>
                <w:sz w:val="22"/>
                <w:szCs w:val="22"/>
              </w:rPr>
              <w:t>&gt; 20</w:t>
            </w:r>
          </w:p>
        </w:tc>
        <w:tc>
          <w:tcPr>
            <w:tcW w:w="1792" w:type="dxa"/>
            <w:tcBorders>
              <w:bottom w:val="single" w:sz="2" w:space="0" w:color="auto"/>
            </w:tcBorders>
            <w:vAlign w:val="center"/>
          </w:tcPr>
          <w:p w14:paraId="7FBB25D1" w14:textId="77777777" w:rsidR="00151C66" w:rsidRDefault="00151C66">
            <w:r w:rsidRPr="000B52A1">
              <w:rPr>
                <w:rFonts w:eastAsia="Arial" w:cstheme="minorHAnsi"/>
                <w:color w:val="000000"/>
                <w:sz w:val="22"/>
                <w:szCs w:val="22"/>
              </w:rPr>
              <w:t>38</w:t>
            </w:r>
          </w:p>
        </w:tc>
        <w:tc>
          <w:tcPr>
            <w:tcW w:w="2338" w:type="dxa"/>
            <w:tcBorders>
              <w:bottom w:val="single" w:sz="2" w:space="0" w:color="auto"/>
            </w:tcBorders>
            <w:vAlign w:val="center"/>
          </w:tcPr>
          <w:p w14:paraId="49A6BBEF" w14:textId="77777777" w:rsidR="00151C66" w:rsidRDefault="00151C66">
            <w:r w:rsidRPr="000B52A1">
              <w:rPr>
                <w:rFonts w:eastAsia="Arial" w:cstheme="minorHAnsi"/>
                <w:color w:val="000000"/>
                <w:sz w:val="22"/>
                <w:szCs w:val="22"/>
              </w:rPr>
              <w:t>12.75 ± 3.8</w:t>
            </w:r>
          </w:p>
        </w:tc>
      </w:tr>
      <w:tr w:rsidR="00151C66" w:rsidRPr="00D93774" w14:paraId="286A1AA0" w14:textId="77777777" w:rsidTr="004605B4">
        <w:trPr>
          <w:trHeight w:val="360"/>
        </w:trPr>
        <w:tc>
          <w:tcPr>
            <w:tcW w:w="2520" w:type="dxa"/>
            <w:tcBorders>
              <w:top w:val="single" w:sz="2" w:space="0" w:color="auto"/>
              <w:bottom w:val="single" w:sz="12" w:space="0" w:color="auto"/>
            </w:tcBorders>
            <w:vAlign w:val="center"/>
          </w:tcPr>
          <w:p w14:paraId="280D4927" w14:textId="77777777" w:rsidR="00151C66" w:rsidRPr="00D93774" w:rsidRDefault="00151C66">
            <w:pPr>
              <w:rPr>
                <w:b/>
                <w:bCs/>
              </w:rPr>
            </w:pPr>
            <w:r w:rsidRPr="00D93774">
              <w:rPr>
                <w:rFonts w:eastAsia="Arial" w:cstheme="minorHAnsi"/>
                <w:b/>
                <w:bCs/>
                <w:color w:val="000000"/>
                <w:sz w:val="22"/>
                <w:szCs w:val="22"/>
              </w:rPr>
              <w:t>Total</w:t>
            </w:r>
          </w:p>
        </w:tc>
        <w:tc>
          <w:tcPr>
            <w:tcW w:w="2700" w:type="dxa"/>
            <w:tcBorders>
              <w:top w:val="single" w:sz="2" w:space="0" w:color="auto"/>
              <w:bottom w:val="single" w:sz="12" w:space="0" w:color="auto"/>
            </w:tcBorders>
            <w:vAlign w:val="center"/>
          </w:tcPr>
          <w:p w14:paraId="20BC29AC" w14:textId="77777777" w:rsidR="00151C66" w:rsidRPr="00D93774" w:rsidRDefault="00151C66">
            <w:pPr>
              <w:rPr>
                <w:b/>
                <w:bCs/>
              </w:rPr>
            </w:pPr>
          </w:p>
        </w:tc>
        <w:tc>
          <w:tcPr>
            <w:tcW w:w="1792" w:type="dxa"/>
            <w:tcBorders>
              <w:top w:val="single" w:sz="2" w:space="0" w:color="auto"/>
              <w:bottom w:val="single" w:sz="12" w:space="0" w:color="auto"/>
            </w:tcBorders>
            <w:vAlign w:val="center"/>
          </w:tcPr>
          <w:p w14:paraId="6D97706A" w14:textId="77777777" w:rsidR="00151C66" w:rsidRPr="00D93774" w:rsidRDefault="00151C66">
            <w:pPr>
              <w:rPr>
                <w:b/>
                <w:bCs/>
              </w:rPr>
            </w:pPr>
            <w:r w:rsidRPr="00D93774">
              <w:rPr>
                <w:rFonts w:eastAsia="Arial" w:cstheme="minorHAnsi"/>
                <w:b/>
                <w:bCs/>
                <w:color w:val="000000"/>
                <w:sz w:val="22"/>
                <w:szCs w:val="22"/>
              </w:rPr>
              <w:t>298</w:t>
            </w:r>
          </w:p>
        </w:tc>
        <w:tc>
          <w:tcPr>
            <w:tcW w:w="2338" w:type="dxa"/>
            <w:tcBorders>
              <w:top w:val="single" w:sz="2" w:space="0" w:color="auto"/>
              <w:bottom w:val="single" w:sz="12" w:space="0" w:color="auto"/>
            </w:tcBorders>
            <w:vAlign w:val="center"/>
          </w:tcPr>
          <w:p w14:paraId="65C096E7" w14:textId="77777777" w:rsidR="00151C66" w:rsidRPr="00D93774" w:rsidRDefault="00151C66">
            <w:pPr>
              <w:rPr>
                <w:b/>
                <w:bCs/>
              </w:rPr>
            </w:pPr>
          </w:p>
        </w:tc>
      </w:tr>
    </w:tbl>
    <w:p w14:paraId="3F06CA7E" w14:textId="77777777" w:rsidR="002B648B" w:rsidRDefault="002B648B" w:rsidP="002B648B">
      <w:pPr>
        <w:rPr>
          <w:sz w:val="20"/>
          <w:szCs w:val="16"/>
        </w:rPr>
      </w:pPr>
      <w:r w:rsidRPr="002B648B">
        <w:rPr>
          <w:sz w:val="20"/>
          <w:szCs w:val="16"/>
          <w:vertAlign w:val="superscript"/>
        </w:rPr>
        <w:t>1</w:t>
      </w:r>
      <w:r w:rsidRPr="000F59F4">
        <w:rPr>
          <w:sz w:val="20"/>
          <w:szCs w:val="16"/>
        </w:rPr>
        <w:t xml:space="preserve"> </w:t>
      </w:r>
      <w:r>
        <w:rPr>
          <w:sz w:val="20"/>
          <w:szCs w:val="16"/>
        </w:rPr>
        <w:t>E</w:t>
      </w:r>
      <w:r w:rsidRPr="000F59F4">
        <w:rPr>
          <w:sz w:val="20"/>
          <w:szCs w:val="16"/>
        </w:rPr>
        <w:t>stimated percentage</w:t>
      </w:r>
      <w:r>
        <w:rPr>
          <w:sz w:val="20"/>
          <w:szCs w:val="16"/>
        </w:rPr>
        <w:t xml:space="preserve"> (</w:t>
      </w:r>
      <w:r w:rsidRPr="00224A2F">
        <w:rPr>
          <w:sz w:val="20"/>
          <w:szCs w:val="16"/>
        </w:rPr>
        <w:t>+/- 95% confidence limits</w:t>
      </w:r>
      <w:r>
        <w:rPr>
          <w:sz w:val="20"/>
          <w:szCs w:val="16"/>
        </w:rPr>
        <w:t xml:space="preserve">) </w:t>
      </w:r>
      <w:r w:rsidRPr="000F59F4">
        <w:rPr>
          <w:sz w:val="20"/>
          <w:szCs w:val="16"/>
        </w:rPr>
        <w:t>of Virginia’s smaller estuarine waters</w:t>
      </w:r>
      <w:r>
        <w:rPr>
          <w:sz w:val="20"/>
          <w:szCs w:val="16"/>
        </w:rPr>
        <w:t xml:space="preserve"> (&lt; 100 sq km drainage)</w:t>
      </w:r>
      <w:r w:rsidRPr="000F59F4">
        <w:rPr>
          <w:sz w:val="20"/>
          <w:szCs w:val="16"/>
        </w:rPr>
        <w:t xml:space="preserve"> </w:t>
      </w:r>
      <w:r>
        <w:rPr>
          <w:sz w:val="20"/>
          <w:szCs w:val="16"/>
        </w:rPr>
        <w:t>with</w:t>
      </w:r>
      <w:r w:rsidRPr="000F59F4">
        <w:rPr>
          <w:sz w:val="20"/>
          <w:szCs w:val="16"/>
        </w:rPr>
        <w:t xml:space="preserve"> indicated water quality condition. </w:t>
      </w:r>
      <w:r>
        <w:rPr>
          <w:sz w:val="20"/>
          <w:szCs w:val="16"/>
        </w:rPr>
        <w:t>As e</w:t>
      </w:r>
      <w:r w:rsidRPr="000F59F4">
        <w:rPr>
          <w:sz w:val="20"/>
          <w:szCs w:val="16"/>
        </w:rPr>
        <w:t xml:space="preserve">stimated using data from DEQ’s estuarine probabilistic monitoring program and EPA’s National Coastal Condition Assessment </w:t>
      </w:r>
      <w:r>
        <w:rPr>
          <w:sz w:val="20"/>
          <w:szCs w:val="16"/>
        </w:rPr>
        <w:t>program. Approximately 95% of stations are from smaller estuaries (&lt; 100 sq km drainage) and approximately 5% of stations are from Chesapeake Bay mainstem.</w:t>
      </w:r>
    </w:p>
    <w:p w14:paraId="7865CB05" w14:textId="77777777" w:rsidR="00724ED8" w:rsidRPr="00D93774" w:rsidRDefault="00724ED8" w:rsidP="00D93774">
      <w:pPr>
        <w:rPr>
          <w:b/>
          <w:bCs/>
        </w:rPr>
      </w:pPr>
    </w:p>
    <w:p w14:paraId="2953B33A" w14:textId="77777777" w:rsidR="0030653F" w:rsidRPr="000B52A1" w:rsidRDefault="0030653F" w:rsidP="00C5533C">
      <w:pPr>
        <w:pStyle w:val="Heading4"/>
        <w:rPr>
          <w:rFonts w:cstheme="minorHAnsi"/>
        </w:rPr>
      </w:pPr>
      <w:bookmarkStart w:id="241" w:name="near-bottom-dissolved-oxygen"/>
      <w:bookmarkEnd w:id="238"/>
      <w:r w:rsidRPr="000B52A1">
        <w:rPr>
          <w:rFonts w:cstheme="minorHAnsi"/>
        </w:rPr>
        <w:t>Near-bottom Dissolved Oxygen</w:t>
      </w:r>
    </w:p>
    <w:p w14:paraId="6EDC0F22" w14:textId="687338CD" w:rsidR="0030653F" w:rsidRPr="005706D0" w:rsidRDefault="00C304D5" w:rsidP="00FE4F53">
      <w:bookmarkStart w:id="242" w:name="tab:tab-do"/>
      <w:bookmarkEnd w:id="242"/>
      <w:r w:rsidRPr="000B52A1">
        <w:t xml:space="preserve">Acceptable dissolved </w:t>
      </w:r>
      <w:r>
        <w:t>o</w:t>
      </w:r>
      <w:r w:rsidRPr="000B52A1">
        <w:t xml:space="preserve">xygen (DO) concentrations are crucial for the survival of all aquatic organisms. </w:t>
      </w:r>
      <w:proofErr w:type="gramStart"/>
      <w:r w:rsidRPr="000B52A1">
        <w:t>In particular, near-bottom</w:t>
      </w:r>
      <w:proofErr w:type="gramEnd"/>
      <w:r w:rsidRPr="000B52A1">
        <w:t xml:space="preserve"> DO concentrations are critical for two reasons. First, near-bottom DO concentrations are almost always the minimum concentrations in the DO surface-to-bottom profile, and it is the minimum concentration of DO that is most influential to aquatic life. Second, near-bottom DO concentrations represent the </w:t>
      </w:r>
      <w:r>
        <w:t>o</w:t>
      </w:r>
      <w:r w:rsidRPr="000B52A1">
        <w:t xml:space="preserve">xygen available to the community of relatively immobile benthic organisms, often used for further characterizations of the ecological condition of estuarine waters. Table </w:t>
      </w:r>
      <w:r>
        <w:t>4.5-</w:t>
      </w:r>
      <w:r w:rsidRPr="000B52A1">
        <w:t xml:space="preserve">6 summarizes the ranges of </w:t>
      </w:r>
      <w:r>
        <w:t>near-</w:t>
      </w:r>
      <w:r w:rsidRPr="000B52A1">
        <w:t xml:space="preserve">bottom DO concentrations that the NCCA has established as </w:t>
      </w:r>
      <w:r>
        <w:t>benchmark</w:t>
      </w:r>
      <w:r w:rsidRPr="000B52A1">
        <w:t xml:space="preserve">s for water quality </w:t>
      </w:r>
      <w:r>
        <w:t xml:space="preserve">condition </w:t>
      </w:r>
      <w:r w:rsidRPr="000B52A1">
        <w:t xml:space="preserve">classes in estuarine waters of the northeastern United States, the number of stations within each </w:t>
      </w:r>
      <w:r>
        <w:t xml:space="preserve">condition </w:t>
      </w:r>
      <w:r w:rsidRPr="000B52A1">
        <w:t xml:space="preserve">class, and the estimated </w:t>
      </w:r>
      <w:r>
        <w:t>percentage</w:t>
      </w:r>
      <w:r w:rsidRPr="000B52A1">
        <w:t xml:space="preserve"> of estuarine waters within each </w:t>
      </w:r>
      <w:r>
        <w:t xml:space="preserve">condition </w:t>
      </w:r>
      <w:r w:rsidRPr="000B52A1">
        <w:t>class.</w:t>
      </w:r>
      <w:r>
        <w:t xml:space="preserve"> As noted, these are general benchmarks for estuaries of the northeast U.S. and are not intended to evaluate measured conditions against the designated uses and associated DO criteria established in the Water Quality Standards regulation for Virginia’s Chesapeake Bay waters.</w:t>
      </w:r>
      <w:r w:rsidR="00D93774">
        <w:br/>
      </w:r>
    </w:p>
    <w:p w14:paraId="73799C26" w14:textId="7A366FAA" w:rsidR="007C43FB" w:rsidRPr="0062574F" w:rsidRDefault="005706D0" w:rsidP="007C43FB">
      <w:pPr>
        <w:pStyle w:val="Caption"/>
      </w:pPr>
      <w:bookmarkStart w:id="243" w:name="_Toc164175196"/>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6</w:t>
      </w:r>
      <w:r w:rsidR="004F13BA">
        <w:rPr>
          <w:noProof/>
        </w:rPr>
        <w:fldChar w:fldCharType="end"/>
      </w:r>
      <w:r>
        <w:t xml:space="preserve">. </w:t>
      </w:r>
      <w:r w:rsidR="00E82DCA">
        <w:t>Estimated n</w:t>
      </w:r>
      <w:r w:rsidR="00E82DCA" w:rsidRPr="00982FC7">
        <w:t xml:space="preserve">ear-bottom dissolved oxygen (DO) </w:t>
      </w:r>
      <w:r w:rsidR="00E82DCA">
        <w:t>condition</w:t>
      </w:r>
      <w:r w:rsidR="007C43FB">
        <w:t>s</w:t>
      </w:r>
      <w:bookmarkEnd w:id="243"/>
      <w:r w:rsidR="00E82DCA">
        <w:t xml:space="preserve"> in Virginia’s estuarine waters, 2017-2022. Conditions and benchmark ranges are from U.S. EPA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Near-bottom dissolved oxygen (DO) in Virginia's estuarine waters, 2017-2022. Conditions and threshold ranges from U.S. EPA (2020)."/>
        <w:tblDescription w:val="Near-bottom dissolved oxygen (DO) in Virginia's estuarine waters, 2017-2022. Conditions and threshold ranges from U.S. EPA (2020)."/>
      </w:tblPr>
      <w:tblGrid>
        <w:gridCol w:w="2337"/>
        <w:gridCol w:w="2337"/>
        <w:gridCol w:w="2338"/>
        <w:gridCol w:w="2338"/>
      </w:tblGrid>
      <w:tr w:rsidR="001E2B7A" w14:paraId="74C75C16" w14:textId="77777777" w:rsidTr="004605B4">
        <w:trPr>
          <w:trHeight w:val="360"/>
        </w:trPr>
        <w:tc>
          <w:tcPr>
            <w:tcW w:w="2337" w:type="dxa"/>
            <w:tcBorders>
              <w:top w:val="single" w:sz="12" w:space="0" w:color="auto"/>
              <w:bottom w:val="single" w:sz="4" w:space="0" w:color="auto"/>
            </w:tcBorders>
            <w:vAlign w:val="center"/>
          </w:tcPr>
          <w:p w14:paraId="49FB4B5B" w14:textId="77777777" w:rsidR="001E2B7A" w:rsidRDefault="001E2B7A">
            <w:r w:rsidRPr="000B52A1">
              <w:rPr>
                <w:rFonts w:eastAsia="Arial" w:cstheme="minorHAnsi"/>
                <w:b/>
                <w:color w:val="000000"/>
                <w:sz w:val="22"/>
                <w:szCs w:val="22"/>
              </w:rPr>
              <w:t>DO Condition</w:t>
            </w:r>
          </w:p>
        </w:tc>
        <w:tc>
          <w:tcPr>
            <w:tcW w:w="2337" w:type="dxa"/>
            <w:tcBorders>
              <w:top w:val="single" w:sz="12" w:space="0" w:color="auto"/>
              <w:bottom w:val="single" w:sz="4" w:space="0" w:color="auto"/>
            </w:tcBorders>
            <w:vAlign w:val="center"/>
          </w:tcPr>
          <w:p w14:paraId="4886B7C7" w14:textId="77777777" w:rsidR="001E2B7A" w:rsidRDefault="001E2B7A">
            <w:r w:rsidRPr="000B52A1">
              <w:rPr>
                <w:rFonts w:eastAsia="Arial" w:cstheme="minorHAnsi"/>
                <w:b/>
                <w:color w:val="000000"/>
                <w:sz w:val="22"/>
                <w:szCs w:val="22"/>
              </w:rPr>
              <w:t>DO Range (mg/L)</w:t>
            </w:r>
          </w:p>
        </w:tc>
        <w:tc>
          <w:tcPr>
            <w:tcW w:w="2338" w:type="dxa"/>
            <w:tcBorders>
              <w:top w:val="single" w:sz="12" w:space="0" w:color="auto"/>
              <w:bottom w:val="single" w:sz="4" w:space="0" w:color="auto"/>
            </w:tcBorders>
            <w:vAlign w:val="center"/>
          </w:tcPr>
          <w:p w14:paraId="73451F56" w14:textId="77777777" w:rsidR="001E2B7A" w:rsidRDefault="001E2B7A">
            <w:r w:rsidRPr="000B52A1">
              <w:rPr>
                <w:rFonts w:eastAsia="Arial" w:cstheme="minorHAnsi"/>
                <w:b/>
                <w:color w:val="000000"/>
                <w:sz w:val="22"/>
                <w:szCs w:val="22"/>
              </w:rPr>
              <w:t>Stations</w:t>
            </w:r>
          </w:p>
        </w:tc>
        <w:tc>
          <w:tcPr>
            <w:tcW w:w="2338" w:type="dxa"/>
            <w:tcBorders>
              <w:top w:val="single" w:sz="12" w:space="0" w:color="auto"/>
              <w:bottom w:val="single" w:sz="4" w:space="0" w:color="auto"/>
            </w:tcBorders>
            <w:vAlign w:val="center"/>
          </w:tcPr>
          <w:p w14:paraId="3DD02279" w14:textId="641EEA56" w:rsidR="001E2B7A" w:rsidRDefault="001E2B7A">
            <w:r w:rsidRPr="000B52A1">
              <w:rPr>
                <w:rFonts w:eastAsia="Arial" w:cstheme="minorHAnsi"/>
                <w:b/>
                <w:color w:val="000000"/>
                <w:sz w:val="22"/>
                <w:szCs w:val="22"/>
              </w:rPr>
              <w:t>Percentage</w:t>
            </w:r>
            <w:r w:rsidR="00F60D8F" w:rsidRPr="00F60D8F">
              <w:rPr>
                <w:rFonts w:eastAsia="Arial" w:cstheme="minorHAnsi"/>
                <w:b/>
                <w:color w:val="000000"/>
                <w:sz w:val="22"/>
                <w:szCs w:val="22"/>
                <w:vertAlign w:val="superscript"/>
              </w:rPr>
              <w:t>1</w:t>
            </w:r>
          </w:p>
        </w:tc>
      </w:tr>
      <w:tr w:rsidR="001E2B7A" w14:paraId="41B6C769" w14:textId="77777777" w:rsidTr="0050432E">
        <w:trPr>
          <w:trHeight w:val="360"/>
        </w:trPr>
        <w:tc>
          <w:tcPr>
            <w:tcW w:w="2337" w:type="dxa"/>
            <w:tcBorders>
              <w:top w:val="single" w:sz="4" w:space="0" w:color="auto"/>
            </w:tcBorders>
            <w:vAlign w:val="center"/>
          </w:tcPr>
          <w:p w14:paraId="1F24B9EC" w14:textId="77777777" w:rsidR="001E2B7A" w:rsidRDefault="001E2B7A">
            <w:r w:rsidRPr="000B52A1">
              <w:rPr>
                <w:rFonts w:eastAsia="Arial" w:cstheme="minorHAnsi"/>
                <w:color w:val="000000"/>
                <w:sz w:val="22"/>
                <w:szCs w:val="22"/>
              </w:rPr>
              <w:t>Good</w:t>
            </w:r>
          </w:p>
        </w:tc>
        <w:tc>
          <w:tcPr>
            <w:tcW w:w="2337" w:type="dxa"/>
            <w:tcBorders>
              <w:top w:val="single" w:sz="4" w:space="0" w:color="auto"/>
            </w:tcBorders>
            <w:vAlign w:val="center"/>
          </w:tcPr>
          <w:p w14:paraId="5EFD4502" w14:textId="77777777" w:rsidR="001E2B7A" w:rsidRDefault="001E2B7A">
            <w:r w:rsidRPr="000B52A1">
              <w:rPr>
                <w:rFonts w:eastAsia="Arial" w:cstheme="minorHAnsi"/>
                <w:color w:val="000000"/>
                <w:sz w:val="22"/>
                <w:szCs w:val="22"/>
              </w:rPr>
              <w:t>&gt; 5</w:t>
            </w:r>
          </w:p>
        </w:tc>
        <w:tc>
          <w:tcPr>
            <w:tcW w:w="2338" w:type="dxa"/>
            <w:tcBorders>
              <w:top w:val="single" w:sz="4" w:space="0" w:color="auto"/>
            </w:tcBorders>
            <w:vAlign w:val="center"/>
          </w:tcPr>
          <w:p w14:paraId="354D595C" w14:textId="77777777" w:rsidR="001E2B7A" w:rsidRDefault="001E2B7A">
            <w:r w:rsidRPr="000B52A1">
              <w:rPr>
                <w:rFonts w:eastAsia="Arial" w:cstheme="minorHAnsi"/>
                <w:color w:val="000000"/>
                <w:sz w:val="22"/>
                <w:szCs w:val="22"/>
              </w:rPr>
              <w:t>239</w:t>
            </w:r>
          </w:p>
        </w:tc>
        <w:tc>
          <w:tcPr>
            <w:tcW w:w="2338" w:type="dxa"/>
            <w:tcBorders>
              <w:top w:val="single" w:sz="4" w:space="0" w:color="auto"/>
            </w:tcBorders>
            <w:vAlign w:val="center"/>
          </w:tcPr>
          <w:p w14:paraId="7369ED05" w14:textId="77777777" w:rsidR="001E2B7A" w:rsidRDefault="001E2B7A">
            <w:r w:rsidRPr="000B52A1">
              <w:rPr>
                <w:rFonts w:eastAsia="Arial" w:cstheme="minorHAnsi"/>
                <w:color w:val="000000"/>
                <w:sz w:val="22"/>
                <w:szCs w:val="22"/>
              </w:rPr>
              <w:t>80.2 ± 4.54</w:t>
            </w:r>
          </w:p>
        </w:tc>
      </w:tr>
      <w:tr w:rsidR="001E2B7A" w14:paraId="4B891F9F" w14:textId="77777777" w:rsidTr="0050432E">
        <w:trPr>
          <w:trHeight w:val="360"/>
        </w:trPr>
        <w:tc>
          <w:tcPr>
            <w:tcW w:w="2337" w:type="dxa"/>
            <w:vAlign w:val="center"/>
          </w:tcPr>
          <w:p w14:paraId="1C0CE4E2" w14:textId="77777777" w:rsidR="001E2B7A" w:rsidRDefault="001E2B7A">
            <w:r w:rsidRPr="000B52A1">
              <w:rPr>
                <w:rFonts w:eastAsia="Arial" w:cstheme="minorHAnsi"/>
                <w:color w:val="000000"/>
                <w:sz w:val="22"/>
                <w:szCs w:val="22"/>
              </w:rPr>
              <w:t>Fair</w:t>
            </w:r>
          </w:p>
        </w:tc>
        <w:tc>
          <w:tcPr>
            <w:tcW w:w="2337" w:type="dxa"/>
            <w:vAlign w:val="center"/>
          </w:tcPr>
          <w:p w14:paraId="35B56E7F" w14:textId="77777777" w:rsidR="001E2B7A" w:rsidRDefault="001E2B7A">
            <w:r w:rsidRPr="000B52A1">
              <w:rPr>
                <w:rFonts w:eastAsia="Arial" w:cstheme="minorHAnsi"/>
                <w:color w:val="000000"/>
                <w:sz w:val="22"/>
                <w:szCs w:val="22"/>
              </w:rPr>
              <w:t>≤ 5 and &gt; 2</w:t>
            </w:r>
          </w:p>
        </w:tc>
        <w:tc>
          <w:tcPr>
            <w:tcW w:w="2338" w:type="dxa"/>
            <w:vAlign w:val="center"/>
          </w:tcPr>
          <w:p w14:paraId="0C5CC10D" w14:textId="77777777" w:rsidR="001E2B7A" w:rsidRDefault="001E2B7A">
            <w:r w:rsidRPr="000B52A1">
              <w:rPr>
                <w:rFonts w:eastAsia="Arial" w:cstheme="minorHAnsi"/>
                <w:color w:val="000000"/>
                <w:sz w:val="22"/>
                <w:szCs w:val="22"/>
              </w:rPr>
              <w:t>51</w:t>
            </w:r>
          </w:p>
        </w:tc>
        <w:tc>
          <w:tcPr>
            <w:tcW w:w="2338" w:type="dxa"/>
            <w:vAlign w:val="center"/>
          </w:tcPr>
          <w:p w14:paraId="5D66CB10" w14:textId="77777777" w:rsidR="001E2B7A" w:rsidRDefault="001E2B7A">
            <w:r w:rsidRPr="000B52A1">
              <w:rPr>
                <w:rFonts w:eastAsia="Arial" w:cstheme="minorHAnsi"/>
                <w:color w:val="000000"/>
                <w:sz w:val="22"/>
                <w:szCs w:val="22"/>
              </w:rPr>
              <w:t>17.11 ± 4.29</w:t>
            </w:r>
          </w:p>
        </w:tc>
      </w:tr>
      <w:tr w:rsidR="001E2B7A" w14:paraId="52775871" w14:textId="77777777" w:rsidTr="004605B4">
        <w:trPr>
          <w:trHeight w:val="360"/>
        </w:trPr>
        <w:tc>
          <w:tcPr>
            <w:tcW w:w="2337" w:type="dxa"/>
            <w:tcBorders>
              <w:bottom w:val="single" w:sz="2" w:space="0" w:color="auto"/>
            </w:tcBorders>
            <w:vAlign w:val="center"/>
          </w:tcPr>
          <w:p w14:paraId="668EE56F" w14:textId="77777777" w:rsidR="001E2B7A" w:rsidRDefault="001E2B7A">
            <w:r w:rsidRPr="000B52A1">
              <w:rPr>
                <w:rFonts w:eastAsia="Arial" w:cstheme="minorHAnsi"/>
                <w:color w:val="000000"/>
                <w:sz w:val="22"/>
                <w:szCs w:val="22"/>
              </w:rPr>
              <w:t>Poor</w:t>
            </w:r>
          </w:p>
        </w:tc>
        <w:tc>
          <w:tcPr>
            <w:tcW w:w="2337" w:type="dxa"/>
            <w:tcBorders>
              <w:bottom w:val="single" w:sz="2" w:space="0" w:color="auto"/>
            </w:tcBorders>
            <w:vAlign w:val="center"/>
          </w:tcPr>
          <w:p w14:paraId="1304C8E4" w14:textId="77777777" w:rsidR="001E2B7A" w:rsidRDefault="001E2B7A">
            <w:r w:rsidRPr="000B52A1">
              <w:rPr>
                <w:rFonts w:eastAsia="Arial" w:cstheme="minorHAnsi"/>
                <w:color w:val="000000"/>
                <w:sz w:val="22"/>
                <w:szCs w:val="22"/>
              </w:rPr>
              <w:t>≤ 2</w:t>
            </w:r>
          </w:p>
        </w:tc>
        <w:tc>
          <w:tcPr>
            <w:tcW w:w="2338" w:type="dxa"/>
            <w:tcBorders>
              <w:bottom w:val="single" w:sz="2" w:space="0" w:color="auto"/>
            </w:tcBorders>
            <w:vAlign w:val="center"/>
          </w:tcPr>
          <w:p w14:paraId="399B8614" w14:textId="77777777" w:rsidR="001E2B7A" w:rsidRDefault="001E2B7A">
            <w:r w:rsidRPr="000B52A1">
              <w:rPr>
                <w:rFonts w:eastAsia="Arial" w:cstheme="minorHAnsi"/>
                <w:color w:val="000000"/>
                <w:sz w:val="22"/>
                <w:szCs w:val="22"/>
              </w:rPr>
              <w:t>8</w:t>
            </w:r>
          </w:p>
        </w:tc>
        <w:tc>
          <w:tcPr>
            <w:tcW w:w="2338" w:type="dxa"/>
            <w:tcBorders>
              <w:bottom w:val="single" w:sz="2" w:space="0" w:color="auto"/>
            </w:tcBorders>
            <w:vAlign w:val="center"/>
          </w:tcPr>
          <w:p w14:paraId="1E739066" w14:textId="77777777" w:rsidR="001E2B7A" w:rsidRDefault="001E2B7A">
            <w:r w:rsidRPr="000B52A1">
              <w:rPr>
                <w:rFonts w:eastAsia="Arial" w:cstheme="minorHAnsi"/>
                <w:color w:val="000000"/>
                <w:sz w:val="22"/>
                <w:szCs w:val="22"/>
              </w:rPr>
              <w:t>2.68 ± 1.84</w:t>
            </w:r>
          </w:p>
        </w:tc>
      </w:tr>
      <w:tr w:rsidR="001E2B7A" w14:paraId="55F53D09" w14:textId="77777777" w:rsidTr="004605B4">
        <w:trPr>
          <w:trHeight w:val="360"/>
        </w:trPr>
        <w:tc>
          <w:tcPr>
            <w:tcW w:w="2337" w:type="dxa"/>
            <w:tcBorders>
              <w:top w:val="single" w:sz="2" w:space="0" w:color="auto"/>
              <w:bottom w:val="single" w:sz="12" w:space="0" w:color="auto"/>
            </w:tcBorders>
            <w:vAlign w:val="center"/>
          </w:tcPr>
          <w:p w14:paraId="4788DA84" w14:textId="77777777" w:rsidR="001E2B7A" w:rsidRPr="00D93774" w:rsidRDefault="001E2B7A">
            <w:pPr>
              <w:rPr>
                <w:b/>
                <w:bCs/>
              </w:rPr>
            </w:pPr>
            <w:r w:rsidRPr="00D93774">
              <w:rPr>
                <w:rFonts w:eastAsia="Arial" w:cstheme="minorHAnsi"/>
                <w:b/>
                <w:bCs/>
                <w:color w:val="000000"/>
                <w:sz w:val="22"/>
                <w:szCs w:val="22"/>
              </w:rPr>
              <w:t>Total</w:t>
            </w:r>
          </w:p>
        </w:tc>
        <w:tc>
          <w:tcPr>
            <w:tcW w:w="2337" w:type="dxa"/>
            <w:tcBorders>
              <w:top w:val="single" w:sz="2" w:space="0" w:color="auto"/>
              <w:bottom w:val="single" w:sz="12" w:space="0" w:color="auto"/>
            </w:tcBorders>
            <w:vAlign w:val="center"/>
          </w:tcPr>
          <w:p w14:paraId="6833D045" w14:textId="77777777" w:rsidR="001E2B7A" w:rsidRPr="00D93774" w:rsidRDefault="001E2B7A">
            <w:pPr>
              <w:rPr>
                <w:b/>
                <w:bCs/>
              </w:rPr>
            </w:pPr>
          </w:p>
        </w:tc>
        <w:tc>
          <w:tcPr>
            <w:tcW w:w="2338" w:type="dxa"/>
            <w:tcBorders>
              <w:top w:val="single" w:sz="2" w:space="0" w:color="auto"/>
              <w:bottom w:val="single" w:sz="12" w:space="0" w:color="auto"/>
            </w:tcBorders>
            <w:vAlign w:val="center"/>
          </w:tcPr>
          <w:p w14:paraId="26C9CA80" w14:textId="77777777" w:rsidR="001E2B7A" w:rsidRPr="00D93774" w:rsidRDefault="001E2B7A">
            <w:pPr>
              <w:rPr>
                <w:b/>
                <w:bCs/>
              </w:rPr>
            </w:pPr>
            <w:r w:rsidRPr="00D93774">
              <w:rPr>
                <w:rFonts w:eastAsia="Arial" w:cstheme="minorHAnsi"/>
                <w:b/>
                <w:bCs/>
                <w:color w:val="000000"/>
                <w:sz w:val="22"/>
                <w:szCs w:val="22"/>
              </w:rPr>
              <w:t>298</w:t>
            </w:r>
          </w:p>
        </w:tc>
        <w:tc>
          <w:tcPr>
            <w:tcW w:w="2338" w:type="dxa"/>
            <w:tcBorders>
              <w:top w:val="single" w:sz="2" w:space="0" w:color="auto"/>
              <w:bottom w:val="single" w:sz="12" w:space="0" w:color="auto"/>
            </w:tcBorders>
            <w:vAlign w:val="center"/>
          </w:tcPr>
          <w:p w14:paraId="266A4567" w14:textId="77777777" w:rsidR="001E2B7A" w:rsidRDefault="001E2B7A"/>
        </w:tc>
      </w:tr>
    </w:tbl>
    <w:p w14:paraId="12D5E7CB" w14:textId="77777777" w:rsidR="00F60D8F" w:rsidRDefault="00F60D8F" w:rsidP="00F60D8F">
      <w:pPr>
        <w:rPr>
          <w:sz w:val="20"/>
          <w:szCs w:val="16"/>
        </w:rPr>
      </w:pPr>
      <w:r w:rsidRPr="00F60D8F">
        <w:rPr>
          <w:sz w:val="20"/>
          <w:szCs w:val="16"/>
          <w:vertAlign w:val="superscript"/>
        </w:rPr>
        <w:t>1</w:t>
      </w:r>
      <w:r w:rsidRPr="000F59F4">
        <w:rPr>
          <w:sz w:val="20"/>
          <w:szCs w:val="16"/>
        </w:rPr>
        <w:t xml:space="preserve"> </w:t>
      </w:r>
      <w:r>
        <w:rPr>
          <w:sz w:val="20"/>
          <w:szCs w:val="16"/>
        </w:rPr>
        <w:t>E</w:t>
      </w:r>
      <w:r w:rsidRPr="000F59F4">
        <w:rPr>
          <w:sz w:val="20"/>
          <w:szCs w:val="16"/>
        </w:rPr>
        <w:t>stimated percentage</w:t>
      </w:r>
      <w:r>
        <w:rPr>
          <w:sz w:val="20"/>
          <w:szCs w:val="16"/>
        </w:rPr>
        <w:t xml:space="preserve"> (</w:t>
      </w:r>
      <w:r w:rsidRPr="00224A2F">
        <w:rPr>
          <w:sz w:val="20"/>
          <w:szCs w:val="16"/>
        </w:rPr>
        <w:t>+/- 95% confidence limits</w:t>
      </w:r>
      <w:r>
        <w:rPr>
          <w:sz w:val="20"/>
          <w:szCs w:val="16"/>
        </w:rPr>
        <w:t xml:space="preserve">) </w:t>
      </w:r>
      <w:r w:rsidRPr="000F59F4">
        <w:rPr>
          <w:sz w:val="20"/>
          <w:szCs w:val="16"/>
        </w:rPr>
        <w:t>of Virginia’s smaller estuarine waters</w:t>
      </w:r>
      <w:r>
        <w:rPr>
          <w:sz w:val="20"/>
          <w:szCs w:val="16"/>
        </w:rPr>
        <w:t xml:space="preserve"> (&lt; 100 sq km drainage)</w:t>
      </w:r>
      <w:r w:rsidRPr="000F59F4">
        <w:rPr>
          <w:sz w:val="20"/>
          <w:szCs w:val="16"/>
        </w:rPr>
        <w:t xml:space="preserve"> </w:t>
      </w:r>
      <w:r>
        <w:rPr>
          <w:sz w:val="20"/>
          <w:szCs w:val="16"/>
        </w:rPr>
        <w:t>with</w:t>
      </w:r>
      <w:r w:rsidRPr="000F59F4">
        <w:rPr>
          <w:sz w:val="20"/>
          <w:szCs w:val="16"/>
        </w:rPr>
        <w:t xml:space="preserve"> indicated water quality condition. </w:t>
      </w:r>
      <w:r>
        <w:rPr>
          <w:sz w:val="20"/>
          <w:szCs w:val="16"/>
        </w:rPr>
        <w:t>As e</w:t>
      </w:r>
      <w:r w:rsidRPr="000F59F4">
        <w:rPr>
          <w:sz w:val="20"/>
          <w:szCs w:val="16"/>
        </w:rPr>
        <w:t xml:space="preserve">stimated using data from DEQ’s estuarine probabilistic monitoring program and EPA’s National Coastal Condition Assessment </w:t>
      </w:r>
      <w:r>
        <w:rPr>
          <w:sz w:val="20"/>
          <w:szCs w:val="16"/>
        </w:rPr>
        <w:t xml:space="preserve">program. Approximately 95% of stations are from smaller estuaries (&lt; 100 sq km drainage) and approximately 5% of stations are from Chesapeake Bay </w:t>
      </w:r>
      <w:r w:rsidRPr="0047510E">
        <w:rPr>
          <w:sz w:val="20"/>
        </w:rPr>
        <w:t>mainstem. Note</w:t>
      </w:r>
      <w:r>
        <w:rPr>
          <w:sz w:val="20"/>
        </w:rPr>
        <w:t>:</w:t>
      </w:r>
      <w:r w:rsidRPr="0047510E">
        <w:rPr>
          <w:sz w:val="20"/>
        </w:rPr>
        <w:t xml:space="preserve"> these</w:t>
      </w:r>
      <w:r w:rsidRPr="0047510E">
        <w:rPr>
          <w:sz w:val="20"/>
          <w:szCs w:val="16"/>
        </w:rPr>
        <w:t xml:space="preserve"> are general </w:t>
      </w:r>
      <w:r>
        <w:rPr>
          <w:sz w:val="20"/>
          <w:szCs w:val="16"/>
        </w:rPr>
        <w:t>benchmark</w:t>
      </w:r>
      <w:r w:rsidRPr="0047510E">
        <w:rPr>
          <w:sz w:val="20"/>
          <w:szCs w:val="16"/>
        </w:rPr>
        <w:t>s for estuaries of the northeast U.S. and are not intended to evaluate measured conditions against the designated uses and associated DO criteria established in the Water Quality Standards regulation for Virginia’s Chesapeake Bay waters.</w:t>
      </w:r>
    </w:p>
    <w:p w14:paraId="48CA772C" w14:textId="77777777" w:rsidR="001E2B7A" w:rsidRPr="000B52A1" w:rsidRDefault="001E2B7A" w:rsidP="00FE4F53"/>
    <w:p w14:paraId="48FB777F" w14:textId="77777777" w:rsidR="0030653F" w:rsidRPr="000B52A1" w:rsidRDefault="0030653F" w:rsidP="00C5533C">
      <w:pPr>
        <w:pStyle w:val="Heading4"/>
        <w:rPr>
          <w:rFonts w:cstheme="minorHAnsi"/>
        </w:rPr>
      </w:pPr>
      <w:bookmarkStart w:id="244" w:name="water-clarity"/>
      <w:bookmarkEnd w:id="241"/>
      <w:r w:rsidRPr="000B52A1">
        <w:rPr>
          <w:rFonts w:cstheme="minorHAnsi"/>
        </w:rPr>
        <w:t>Water Clarity</w:t>
      </w:r>
    </w:p>
    <w:bookmarkStart w:id="245" w:name="tab:tab-par-ncca"/>
    <w:bookmarkEnd w:id="245"/>
    <w:p w14:paraId="088564E3" w14:textId="4989EDD8" w:rsidR="00D2640D" w:rsidRPr="000B52A1" w:rsidRDefault="007E0C19" w:rsidP="00D2640D">
      <w:r>
        <w:rPr>
          <w:rFonts w:cstheme="minorHAnsi"/>
          <w:noProof/>
          <w:snapToGrid/>
          <w:szCs w:val="24"/>
          <w14:ligatures w14:val="standardContextual"/>
        </w:rPr>
        <mc:AlternateContent>
          <mc:Choice Requires="wps">
            <w:drawing>
              <wp:anchor distT="0" distB="0" distL="114300" distR="114300" simplePos="0" relativeHeight="251658260" behindDoc="0" locked="0" layoutInCell="1" allowOverlap="1" wp14:anchorId="61290A22" wp14:editId="68476B42">
                <wp:simplePos x="0" y="0"/>
                <wp:positionH relativeFrom="column">
                  <wp:posOffset>3381375</wp:posOffset>
                </wp:positionH>
                <wp:positionV relativeFrom="paragraph">
                  <wp:posOffset>104775</wp:posOffset>
                </wp:positionV>
                <wp:extent cx="2480945" cy="850265"/>
                <wp:effectExtent l="19050" t="19050" r="14605" b="26035"/>
                <wp:wrapSquare wrapText="bothSides"/>
                <wp:docPr id="721734749"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80945" cy="850265"/>
                        </a:xfrm>
                        <a:prstGeom prst="rect">
                          <a:avLst/>
                        </a:prstGeom>
                        <a:solidFill>
                          <a:srgbClr val="0067A4">
                            <a:alpha val="6000"/>
                          </a:srgbClr>
                        </a:solidFill>
                        <a:ln w="28575">
                          <a:solidFill>
                            <a:srgbClr val="0067A4"/>
                          </a:solidFill>
                        </a:ln>
                        <a:effectLst>
                          <a:softEdge rad="12700"/>
                        </a:effectLst>
                      </wps:spPr>
                      <wps:txbx>
                        <w:txbxContent>
                          <w:p w14:paraId="129A6AC2" w14:textId="1B5B1012" w:rsidR="007E0C19" w:rsidRPr="00281469" w:rsidRDefault="007E0C19" w:rsidP="007E0C19">
                            <w:pPr>
                              <w:rPr>
                                <w:color w:val="000000" w:themeColor="text1"/>
                              </w:rPr>
                            </w:pPr>
                            <w:r w:rsidRPr="007E0C19">
                              <w:rPr>
                                <w:b/>
                                <w:bCs/>
                                <w:i/>
                                <w:iCs/>
                                <w:color w:val="000000" w:themeColor="text1"/>
                                <w:szCs w:val="24"/>
                              </w:rPr>
                              <w:t xml:space="preserve">Photosynthetically active radiation </w:t>
                            </w:r>
                            <w:r w:rsidRPr="00DC023A">
                              <w:rPr>
                                <w:rFonts w:cstheme="minorHAnsi"/>
                                <w:color w:val="000000" w:themeColor="text1"/>
                              </w:rPr>
                              <w:t>is sunlight that is sufficiently intense to provide plants with energy for growth</w:t>
                            </w:r>
                            <w:r w:rsidR="00DC023A">
                              <w:rPr>
                                <w:rFonts w:cstheme="minorHAns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90A22" id="_x0000_s1030" type="#_x0000_t202" alt="&quot;&quot;" style="position:absolute;margin-left:266.25pt;margin-top:8.25pt;width:195.35pt;height:66.9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" fillcolor="#0067a4" strokecolor="#0067a4" strokeweight="2.25pt">
                <v:fill opacity="3855f"/>
                <v:textbox>
                  <w:txbxContent>
                    <w:p w14:paraId="129A6AC2" w14:textId="1B5B1012" w:rsidR="007E0C19" w:rsidRPr="00281469" w:rsidRDefault="007E0C19" w:rsidP="007E0C19">
                      <w:pPr>
                        <w:rPr>
                          <w:color w:val="000000" w:themeColor="text1"/>
                        </w:rPr>
                      </w:pPr>
                      <w:r w:rsidRPr="007E0C19">
                        <w:rPr>
                          <w:b/>
                          <w:bCs/>
                          <w:i/>
                          <w:iCs/>
                          <w:color w:val="000000" w:themeColor="text1"/>
                          <w:szCs w:val="24"/>
                        </w:rPr>
                        <w:t xml:space="preserve">Photosynthetically active radiation </w:t>
                      </w:r>
                      <w:r w:rsidRPr="00DC023A">
                        <w:rPr>
                          <w:rFonts w:cstheme="minorHAnsi"/>
                          <w:color w:val="000000" w:themeColor="text1"/>
                        </w:rPr>
                        <w:t>is sunlight that is sufficiently intense to provide plants with energy for growth</w:t>
                      </w:r>
                      <w:r w:rsidR="00DC023A">
                        <w:rPr>
                          <w:rFonts w:cstheme="minorHAnsi"/>
                          <w:color w:val="000000" w:themeColor="text1"/>
                        </w:rPr>
                        <w:t>.</w:t>
                      </w:r>
                    </w:p>
                  </w:txbxContent>
                </v:textbox>
                <w10:wrap type="square"/>
              </v:shape>
            </w:pict>
          </mc:Fallback>
        </mc:AlternateContent>
      </w:r>
      <w:r w:rsidR="00D2640D" w:rsidRPr="000B52A1">
        <w:t>Water clarity is considered an important attribute of water quality for several reasons. The availability of adequate photosynthetically active radiation (PAR), to a depth of at least 2 meters, is a necessity for the survival and growth of submerged aquatic vegetation (SAV), which provides shelter and food for numerous aquatic organisms. In addition to indicating potential for SAV growth, diminished water clarity may indicate excessive suspended sediment and/or excessive algal blooms in the water column.</w:t>
      </w:r>
      <w:r w:rsidR="00D2640D">
        <w:br/>
      </w:r>
    </w:p>
    <w:p w14:paraId="007BFC36" w14:textId="77777777" w:rsidR="00D2640D" w:rsidRPr="000B52A1" w:rsidRDefault="00D2640D" w:rsidP="00D2640D">
      <w:r w:rsidRPr="000B52A1">
        <w:t xml:space="preserve">Water clarity was reported as </w:t>
      </w:r>
      <w:proofErr w:type="gramStart"/>
      <w:r w:rsidRPr="000B52A1">
        <w:t>percent</w:t>
      </w:r>
      <w:proofErr w:type="gramEnd"/>
      <w:r w:rsidRPr="000B52A1">
        <w:t xml:space="preserve"> transmittance, which is the </w:t>
      </w:r>
      <w:proofErr w:type="gramStart"/>
      <w:r w:rsidRPr="000B52A1">
        <w:t>percent</w:t>
      </w:r>
      <w:proofErr w:type="gramEnd"/>
      <w:r w:rsidRPr="000B52A1">
        <w:t xml:space="preserve"> of incident PAR transmitted through 1 m of water. </w:t>
      </w:r>
      <w:r>
        <w:t xml:space="preserve">First, </w:t>
      </w:r>
      <w:r w:rsidRPr="000B52A1">
        <w:t>PAR was measured using a pair of PAR sensors from LI-COR Biosciences. One sensor was lowered through the water column and measured PAR intensity at</w:t>
      </w:r>
      <w:r>
        <w:t xml:space="preserve"> multiple</w:t>
      </w:r>
      <w:r w:rsidRPr="000B52A1">
        <w:t xml:space="preserve"> depths, </w:t>
      </w:r>
      <w:r>
        <w:t>while</w:t>
      </w:r>
      <w:r w:rsidRPr="000B52A1">
        <w:t xml:space="preserve"> a second sensor remained in the air measuring PAR intensity of incident light. </w:t>
      </w:r>
      <w:r>
        <w:t xml:space="preserve">Paired surface-water PAR data were used to derive a PAR attenuation coefficient following Beer’s Law, </w:t>
      </w:r>
      <w:r w:rsidRPr="000B52A1">
        <w:t>which states that light intensity decreases exponentially with distance</w:t>
      </w:r>
      <w:r>
        <w:t>. Beer’s Law was then applied to the derived attenuation coefficient to estimate percent transmittance at 1 m as detailed in the NCCA TSD (U.S. EPA 2020).</w:t>
      </w:r>
    </w:p>
    <w:p w14:paraId="2F874962" w14:textId="6C606DAB" w:rsidR="00D2640D" w:rsidRPr="000B52A1" w:rsidRDefault="00D2640D" w:rsidP="00D2640D">
      <w:r>
        <w:t>At stations</w:t>
      </w:r>
      <w:r w:rsidRPr="000B52A1">
        <w:t xml:space="preserve"> where PAR was not measured (n = 15), </w:t>
      </w:r>
      <w:r>
        <w:t xml:space="preserve">the PAR attenuation coefficient </w:t>
      </w:r>
      <w:r w:rsidRPr="000B52A1">
        <w:t>was estimated using Secchi depth (m)</w:t>
      </w:r>
      <w:r>
        <w:t xml:space="preserve"> before applying Beer’s Law to estimate percent PAR transmittance at 1 m (U.S. EPA 2020).</w:t>
      </w:r>
    </w:p>
    <w:p w14:paraId="15909D5B" w14:textId="6E213C44" w:rsidR="0030653F" w:rsidRPr="00A305A8" w:rsidRDefault="00420DE6" w:rsidP="00FE4F53">
      <w:r>
        <w:br/>
        <w:t>Estimated PAR percent transmittance was then compared to habitat-specific PAR percent transmittance values established by the NCCA</w:t>
      </w:r>
      <w:r w:rsidRPr="000E7B0B">
        <w:t xml:space="preserve"> </w:t>
      </w:r>
      <w:r>
        <w:t>as benchmark</w:t>
      </w:r>
      <w:r w:rsidRPr="000B52A1">
        <w:t xml:space="preserve">s for water quality </w:t>
      </w:r>
      <w:r>
        <w:t xml:space="preserve">condition </w:t>
      </w:r>
      <w:r w:rsidRPr="000B52A1">
        <w:t>classes in estuarine waters of the northeastern United States</w:t>
      </w:r>
      <w:r>
        <w:t xml:space="preserve"> </w:t>
      </w:r>
      <w:r w:rsidRPr="000B52A1">
        <w:t>(</w:t>
      </w:r>
      <w:r w:rsidRPr="0083298B">
        <w:t>Table</w:t>
      </w:r>
      <w:r w:rsidRPr="000B52A1">
        <w:t xml:space="preserve"> </w:t>
      </w:r>
      <w:r>
        <w:t>4.5-</w:t>
      </w:r>
      <w:r w:rsidRPr="000B52A1">
        <w:t>7).</w:t>
      </w:r>
      <w:r>
        <w:t xml:space="preserve"> The term “habitat” with respect to water clarity refers to the level of clarity expected or desired in different water bodies. For example, some waters are naturally turbid, with lower expectation for clarity, while some have been designated for SAV growth and restoration, where clear water is essential if sufficient light is to reach the bottom.</w:t>
      </w:r>
      <w:r w:rsidR="004605B4">
        <w:br/>
      </w:r>
    </w:p>
    <w:p w14:paraId="530D7438" w14:textId="01BA3D2D" w:rsidR="00161C76" w:rsidRPr="00D237D4" w:rsidRDefault="00D50052">
      <w:pPr>
        <w:pStyle w:val="Caption"/>
        <w:keepNext/>
      </w:pPr>
      <w:bookmarkStart w:id="246" w:name="_Toc164175197"/>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7</w:t>
      </w:r>
      <w:r w:rsidR="004F13BA">
        <w:rPr>
          <w:noProof/>
        </w:rPr>
        <w:fldChar w:fldCharType="end"/>
      </w:r>
      <w:r>
        <w:t xml:space="preserve">. </w:t>
      </w:r>
      <w:r w:rsidR="00161C76">
        <w:t>Percent transmittance of PAR used as benchmarks for water clarity condition</w:t>
      </w:r>
      <w:bookmarkEnd w:id="246"/>
      <w:r w:rsidR="00161C76">
        <w:t xml:space="preserve"> (% PAR at 1 m) for general estuarine waters, by habitat type, per U.S. EPA's National Coastal Condition Assessment (U.S. EPA, 2020).</w:t>
      </w:r>
    </w:p>
    <w:tbl>
      <w:tblPr>
        <w:tblStyle w:val="TableGrid"/>
        <w:tblW w:w="9715"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Water Clarity Condition Thresholds by Habitat Type (% PAR at 1 m) for general estuarine waters, by habitat type, per U.S. EPA's National Coastal Condition Assessment (U.S. EPA, 2020)."/>
        <w:tblDescription w:val="Water Clarity Condition Thresholds by Habitat Type (% PAR at 1 m) for general estuarine waters, by habitat type, per U.S. EPA's National Coastal Condition Assessment (U.S. EPA, 2020)."/>
      </w:tblPr>
      <w:tblGrid>
        <w:gridCol w:w="2337"/>
        <w:gridCol w:w="2337"/>
        <w:gridCol w:w="2161"/>
        <w:gridCol w:w="2880"/>
      </w:tblGrid>
      <w:tr w:rsidR="00D81AE9" w14:paraId="7274C001" w14:textId="77777777" w:rsidTr="00162AED">
        <w:trPr>
          <w:trHeight w:val="360"/>
        </w:trPr>
        <w:tc>
          <w:tcPr>
            <w:tcW w:w="2337" w:type="dxa"/>
            <w:tcBorders>
              <w:top w:val="single" w:sz="12" w:space="0" w:color="auto"/>
              <w:bottom w:val="single" w:sz="4" w:space="0" w:color="auto"/>
            </w:tcBorders>
            <w:vAlign w:val="center"/>
          </w:tcPr>
          <w:p w14:paraId="01CC5399" w14:textId="77777777" w:rsidR="00D81AE9" w:rsidRDefault="00D81AE9">
            <w:r w:rsidRPr="000B52A1">
              <w:rPr>
                <w:rFonts w:eastAsia="Arial" w:cstheme="minorHAnsi"/>
                <w:b/>
                <w:color w:val="000000"/>
                <w:sz w:val="22"/>
                <w:szCs w:val="22"/>
              </w:rPr>
              <w:t>Condition</w:t>
            </w:r>
          </w:p>
        </w:tc>
        <w:tc>
          <w:tcPr>
            <w:tcW w:w="2337" w:type="dxa"/>
            <w:tcBorders>
              <w:top w:val="single" w:sz="12" w:space="0" w:color="auto"/>
              <w:bottom w:val="single" w:sz="4" w:space="0" w:color="auto"/>
            </w:tcBorders>
            <w:vAlign w:val="center"/>
          </w:tcPr>
          <w:p w14:paraId="16AFC67D" w14:textId="77777777" w:rsidR="00D81AE9" w:rsidRDefault="00D81AE9">
            <w:r w:rsidRPr="000B52A1">
              <w:rPr>
                <w:rFonts w:eastAsia="Arial" w:cstheme="minorHAnsi"/>
                <w:b/>
                <w:color w:val="000000"/>
                <w:sz w:val="22"/>
                <w:szCs w:val="22"/>
              </w:rPr>
              <w:t>Naturally Turbid</w:t>
            </w:r>
          </w:p>
        </w:tc>
        <w:tc>
          <w:tcPr>
            <w:tcW w:w="2161" w:type="dxa"/>
            <w:tcBorders>
              <w:top w:val="single" w:sz="12" w:space="0" w:color="auto"/>
              <w:bottom w:val="single" w:sz="4" w:space="0" w:color="auto"/>
            </w:tcBorders>
            <w:vAlign w:val="center"/>
          </w:tcPr>
          <w:p w14:paraId="705E5BD6" w14:textId="77777777" w:rsidR="00D81AE9" w:rsidRDefault="00D81AE9">
            <w:r w:rsidRPr="000B52A1">
              <w:rPr>
                <w:rFonts w:eastAsia="Arial" w:cstheme="minorHAnsi"/>
                <w:b/>
                <w:color w:val="000000"/>
                <w:sz w:val="22"/>
                <w:szCs w:val="22"/>
              </w:rPr>
              <w:t>Normal Turbidity</w:t>
            </w:r>
          </w:p>
        </w:tc>
        <w:tc>
          <w:tcPr>
            <w:tcW w:w="2880" w:type="dxa"/>
            <w:tcBorders>
              <w:top w:val="single" w:sz="12" w:space="0" w:color="auto"/>
              <w:bottom w:val="single" w:sz="4" w:space="0" w:color="auto"/>
            </w:tcBorders>
            <w:vAlign w:val="center"/>
          </w:tcPr>
          <w:p w14:paraId="6EF61AF3" w14:textId="77777777" w:rsidR="00D81AE9" w:rsidRDefault="00D81AE9">
            <w:r w:rsidRPr="000B52A1">
              <w:rPr>
                <w:rFonts w:eastAsia="Arial" w:cstheme="minorHAnsi"/>
                <w:b/>
                <w:color w:val="000000"/>
                <w:sz w:val="22"/>
                <w:szCs w:val="22"/>
              </w:rPr>
              <w:t>SAV Growth and Restoration</w:t>
            </w:r>
          </w:p>
        </w:tc>
      </w:tr>
      <w:tr w:rsidR="00D81AE9" w14:paraId="4E323E00" w14:textId="77777777" w:rsidTr="00FD235B">
        <w:trPr>
          <w:trHeight w:val="360"/>
        </w:trPr>
        <w:tc>
          <w:tcPr>
            <w:tcW w:w="2337" w:type="dxa"/>
            <w:tcBorders>
              <w:top w:val="single" w:sz="4" w:space="0" w:color="auto"/>
            </w:tcBorders>
            <w:vAlign w:val="center"/>
          </w:tcPr>
          <w:p w14:paraId="03F6DD94" w14:textId="77777777" w:rsidR="00D81AE9" w:rsidRDefault="00D81AE9">
            <w:r w:rsidRPr="000B52A1">
              <w:rPr>
                <w:rFonts w:eastAsia="Arial" w:cstheme="minorHAnsi"/>
                <w:color w:val="000000"/>
                <w:sz w:val="22"/>
                <w:szCs w:val="22"/>
              </w:rPr>
              <w:t>Good</w:t>
            </w:r>
          </w:p>
        </w:tc>
        <w:tc>
          <w:tcPr>
            <w:tcW w:w="2337" w:type="dxa"/>
            <w:tcBorders>
              <w:top w:val="single" w:sz="4" w:space="0" w:color="auto"/>
            </w:tcBorders>
            <w:vAlign w:val="center"/>
          </w:tcPr>
          <w:p w14:paraId="309F29F1" w14:textId="77777777" w:rsidR="00D81AE9" w:rsidRDefault="00D81AE9">
            <w:r w:rsidRPr="000B52A1">
              <w:rPr>
                <w:rFonts w:eastAsia="Arial" w:cstheme="minorHAnsi"/>
                <w:color w:val="000000"/>
                <w:sz w:val="22"/>
                <w:szCs w:val="22"/>
              </w:rPr>
              <w:t>&gt; 10%</w:t>
            </w:r>
          </w:p>
        </w:tc>
        <w:tc>
          <w:tcPr>
            <w:tcW w:w="2161" w:type="dxa"/>
            <w:tcBorders>
              <w:top w:val="single" w:sz="4" w:space="0" w:color="auto"/>
            </w:tcBorders>
            <w:vAlign w:val="center"/>
          </w:tcPr>
          <w:p w14:paraId="6518DEB6" w14:textId="77777777" w:rsidR="00D81AE9" w:rsidRDefault="00D81AE9">
            <w:r w:rsidRPr="000B52A1">
              <w:rPr>
                <w:rFonts w:eastAsia="Arial" w:cstheme="minorHAnsi"/>
                <w:color w:val="000000"/>
                <w:sz w:val="22"/>
                <w:szCs w:val="22"/>
              </w:rPr>
              <w:t>&gt; 20%</w:t>
            </w:r>
          </w:p>
        </w:tc>
        <w:tc>
          <w:tcPr>
            <w:tcW w:w="2880" w:type="dxa"/>
            <w:tcBorders>
              <w:top w:val="single" w:sz="4" w:space="0" w:color="auto"/>
            </w:tcBorders>
            <w:vAlign w:val="center"/>
          </w:tcPr>
          <w:p w14:paraId="0624D5FF" w14:textId="77777777" w:rsidR="00D81AE9" w:rsidRDefault="00D81AE9">
            <w:r w:rsidRPr="000B52A1">
              <w:rPr>
                <w:rFonts w:eastAsia="Arial" w:cstheme="minorHAnsi"/>
                <w:color w:val="000000"/>
                <w:sz w:val="22"/>
                <w:szCs w:val="22"/>
              </w:rPr>
              <w:t>&gt; 40%</w:t>
            </w:r>
          </w:p>
        </w:tc>
      </w:tr>
      <w:tr w:rsidR="00D81AE9" w14:paraId="7A6FE201" w14:textId="77777777" w:rsidTr="009A2CC6">
        <w:trPr>
          <w:trHeight w:val="360"/>
        </w:trPr>
        <w:tc>
          <w:tcPr>
            <w:tcW w:w="2337" w:type="dxa"/>
            <w:tcBorders>
              <w:bottom w:val="nil"/>
            </w:tcBorders>
            <w:vAlign w:val="center"/>
          </w:tcPr>
          <w:p w14:paraId="78815FD6" w14:textId="77777777" w:rsidR="00D81AE9" w:rsidRDefault="00D81AE9">
            <w:r w:rsidRPr="000B52A1">
              <w:rPr>
                <w:rFonts w:eastAsia="Arial" w:cstheme="minorHAnsi"/>
                <w:color w:val="000000"/>
                <w:sz w:val="22"/>
                <w:szCs w:val="22"/>
              </w:rPr>
              <w:t>Fair</w:t>
            </w:r>
          </w:p>
        </w:tc>
        <w:tc>
          <w:tcPr>
            <w:tcW w:w="2337" w:type="dxa"/>
            <w:tcBorders>
              <w:bottom w:val="nil"/>
            </w:tcBorders>
            <w:vAlign w:val="center"/>
          </w:tcPr>
          <w:p w14:paraId="16468CC8" w14:textId="77777777" w:rsidR="00D81AE9" w:rsidRDefault="00D81AE9">
            <w:proofErr w:type="gramStart"/>
            <w:r w:rsidRPr="000B52A1">
              <w:rPr>
                <w:rFonts w:eastAsia="Arial" w:cstheme="minorHAnsi"/>
                <w:color w:val="000000"/>
                <w:sz w:val="22"/>
                <w:szCs w:val="22"/>
              </w:rPr>
              <w:t>≤ 10%</w:t>
            </w:r>
            <w:proofErr w:type="gramEnd"/>
            <w:r w:rsidRPr="000B52A1">
              <w:rPr>
                <w:rFonts w:eastAsia="Arial" w:cstheme="minorHAnsi"/>
                <w:color w:val="000000"/>
                <w:sz w:val="22"/>
                <w:szCs w:val="22"/>
              </w:rPr>
              <w:t xml:space="preserve"> and &gt; 5%</w:t>
            </w:r>
          </w:p>
        </w:tc>
        <w:tc>
          <w:tcPr>
            <w:tcW w:w="2161" w:type="dxa"/>
            <w:tcBorders>
              <w:bottom w:val="nil"/>
            </w:tcBorders>
            <w:vAlign w:val="center"/>
          </w:tcPr>
          <w:p w14:paraId="2B9387D5" w14:textId="77777777" w:rsidR="00D81AE9" w:rsidRDefault="00D81AE9">
            <w:r w:rsidRPr="000B52A1">
              <w:rPr>
                <w:rFonts w:eastAsia="Arial" w:cstheme="minorHAnsi"/>
                <w:color w:val="000000"/>
                <w:sz w:val="22"/>
                <w:szCs w:val="22"/>
              </w:rPr>
              <w:t>≤ 20% and &gt; 10%</w:t>
            </w:r>
          </w:p>
        </w:tc>
        <w:tc>
          <w:tcPr>
            <w:tcW w:w="2880" w:type="dxa"/>
            <w:tcBorders>
              <w:bottom w:val="nil"/>
            </w:tcBorders>
            <w:vAlign w:val="center"/>
          </w:tcPr>
          <w:p w14:paraId="55CED28A" w14:textId="77777777" w:rsidR="00D81AE9" w:rsidRDefault="00D81AE9">
            <w:r w:rsidRPr="000B52A1">
              <w:rPr>
                <w:rFonts w:eastAsia="Arial" w:cstheme="minorHAnsi"/>
                <w:color w:val="000000"/>
                <w:sz w:val="22"/>
                <w:szCs w:val="22"/>
              </w:rPr>
              <w:t>≤ 40% and &gt; 20%</w:t>
            </w:r>
          </w:p>
        </w:tc>
      </w:tr>
      <w:tr w:rsidR="00D81AE9" w14:paraId="4ACE2281" w14:textId="77777777" w:rsidTr="009A2CC6">
        <w:trPr>
          <w:trHeight w:val="360"/>
        </w:trPr>
        <w:tc>
          <w:tcPr>
            <w:tcW w:w="2337" w:type="dxa"/>
            <w:tcBorders>
              <w:bottom w:val="single" w:sz="12" w:space="0" w:color="auto"/>
            </w:tcBorders>
            <w:vAlign w:val="center"/>
          </w:tcPr>
          <w:p w14:paraId="313E3374" w14:textId="77777777" w:rsidR="00D81AE9" w:rsidRDefault="00D81AE9">
            <w:r w:rsidRPr="000B52A1">
              <w:rPr>
                <w:rFonts w:eastAsia="Arial" w:cstheme="minorHAnsi"/>
                <w:color w:val="000000"/>
                <w:sz w:val="22"/>
                <w:szCs w:val="22"/>
              </w:rPr>
              <w:t>Poor</w:t>
            </w:r>
          </w:p>
        </w:tc>
        <w:tc>
          <w:tcPr>
            <w:tcW w:w="2337" w:type="dxa"/>
            <w:tcBorders>
              <w:bottom w:val="single" w:sz="12" w:space="0" w:color="auto"/>
            </w:tcBorders>
            <w:vAlign w:val="center"/>
          </w:tcPr>
          <w:p w14:paraId="3A48C2FB" w14:textId="77777777" w:rsidR="00D81AE9" w:rsidRDefault="00D81AE9">
            <w:r w:rsidRPr="000B52A1">
              <w:rPr>
                <w:rFonts w:eastAsia="Arial" w:cstheme="minorHAnsi"/>
                <w:color w:val="000000"/>
                <w:sz w:val="22"/>
                <w:szCs w:val="22"/>
              </w:rPr>
              <w:t>≤ 5%</w:t>
            </w:r>
          </w:p>
        </w:tc>
        <w:tc>
          <w:tcPr>
            <w:tcW w:w="2161" w:type="dxa"/>
            <w:tcBorders>
              <w:bottom w:val="single" w:sz="12" w:space="0" w:color="auto"/>
            </w:tcBorders>
            <w:vAlign w:val="center"/>
          </w:tcPr>
          <w:p w14:paraId="146CE8DC" w14:textId="77777777" w:rsidR="00D81AE9" w:rsidRDefault="00D81AE9">
            <w:r w:rsidRPr="000B52A1">
              <w:rPr>
                <w:rFonts w:eastAsia="Arial" w:cstheme="minorHAnsi"/>
                <w:color w:val="000000"/>
                <w:sz w:val="22"/>
                <w:szCs w:val="22"/>
              </w:rPr>
              <w:t>≤ 10%</w:t>
            </w:r>
          </w:p>
        </w:tc>
        <w:tc>
          <w:tcPr>
            <w:tcW w:w="2880" w:type="dxa"/>
            <w:tcBorders>
              <w:bottom w:val="single" w:sz="12" w:space="0" w:color="auto"/>
            </w:tcBorders>
            <w:vAlign w:val="center"/>
          </w:tcPr>
          <w:p w14:paraId="312DF2F3" w14:textId="77777777" w:rsidR="00D81AE9" w:rsidRDefault="00D81AE9">
            <w:r w:rsidRPr="000B52A1">
              <w:rPr>
                <w:rFonts w:eastAsia="Arial" w:cstheme="minorHAnsi"/>
                <w:color w:val="000000"/>
                <w:sz w:val="22"/>
                <w:szCs w:val="22"/>
              </w:rPr>
              <w:t>≤ 20%</w:t>
            </w:r>
          </w:p>
        </w:tc>
      </w:tr>
    </w:tbl>
    <w:p w14:paraId="5543C08E" w14:textId="49B90F0C" w:rsidR="0030653F" w:rsidRPr="000B52A1" w:rsidRDefault="00DD3558" w:rsidP="00A305A8">
      <w:r>
        <w:br/>
      </w:r>
      <w:r w:rsidR="0098616A" w:rsidRPr="001E7708">
        <w:t>The Chesapeake Bay Program (CBP) has developed more detailed water clarity criteria for</w:t>
      </w:r>
      <w:r w:rsidR="0098616A">
        <w:t xml:space="preserve"> shallow-water (&lt; 2 m) bay grass (SAV) designated use habitats based on salinity regime and time of year (Table 4.5-8). Although there are some specific exceptions to the summary of CBP criteria below, the CBP criteria were used to classify all the tidal-fresh, oligohaline, and mesohaline stations. However, the criterion seasons (Table 4.5-8) indicate that among </w:t>
      </w:r>
      <w:proofErr w:type="spellStart"/>
      <w:r w:rsidR="0098616A">
        <w:lastRenderedPageBreak/>
        <w:t>polyhaline</w:t>
      </w:r>
      <w:proofErr w:type="spellEnd"/>
      <w:r w:rsidR="0098616A">
        <w:t xml:space="preserve"> stations sampled during the July-September Estuarine ProbMon window, only those sampled in September should be classified using the CBP criteria. Therefore, clarity measurements from stations deeper than 2 m, or from shallow-water </w:t>
      </w:r>
      <w:proofErr w:type="spellStart"/>
      <w:r w:rsidR="0098616A">
        <w:t>polyhaline</w:t>
      </w:r>
      <w:proofErr w:type="spellEnd"/>
      <w:r w:rsidR="0098616A">
        <w:t xml:space="preserve"> stations that were collected during July and August were classified using the NCCA benchmarks for normal turbidity water (Table 4.5-7).</w:t>
      </w:r>
      <w:r w:rsidR="002E1474">
        <w:br/>
      </w:r>
    </w:p>
    <w:p w14:paraId="581931C5" w14:textId="2215ADEC" w:rsidR="00AF77ED" w:rsidRPr="00FD0805" w:rsidRDefault="005427CE" w:rsidP="0A5BE548">
      <w:pPr>
        <w:pStyle w:val="Caption"/>
        <w:keepNext/>
        <w:rPr>
          <w:rFonts w:cstheme="minorBidi"/>
          <w:specVanish/>
        </w:rPr>
      </w:pPr>
      <w:bookmarkStart w:id="247" w:name="_Toc164175198"/>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8</w:t>
      </w:r>
      <w:r w:rsidR="004F13BA">
        <w:rPr>
          <w:noProof/>
        </w:rPr>
        <w:fldChar w:fldCharType="end"/>
      </w:r>
      <w:r>
        <w:t xml:space="preserve">. </w:t>
      </w:r>
      <w:r w:rsidR="00AF77ED" w:rsidRPr="0A5BE548">
        <w:rPr>
          <w:rFonts w:cstheme="minorBidi"/>
        </w:rPr>
        <w:t>Chesapeake Bay Program water clarity criteria for shallow-water bay grass</w:t>
      </w:r>
      <w:bookmarkEnd w:id="247"/>
      <w:r w:rsidR="00AF77ED" w:rsidRPr="0A5BE548">
        <w:rPr>
          <w:rFonts w:cstheme="minorBidi"/>
        </w:rPr>
        <w:t xml:space="preserve"> (SAV) designated use habitats within tidal waters of the Chesapeake Bay drainage.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Chesapeake Bay Program (CBP) criteria for water clarity in shallow-water bay grass designated use habitats within tidal waters of the Chesapeake Bay drainage."/>
        <w:tblDescription w:val="Chesapeake Bay Program (CBP) criteria for water clarity in shallow-water bay grass designated use habitats within tidal waters of the Chesapeake Bay drainage."/>
      </w:tblPr>
      <w:tblGrid>
        <w:gridCol w:w="2245"/>
        <w:gridCol w:w="3330"/>
        <w:gridCol w:w="3775"/>
      </w:tblGrid>
      <w:tr w:rsidR="00452612" w14:paraId="71C4DA6A" w14:textId="77777777" w:rsidTr="001435C0">
        <w:trPr>
          <w:trHeight w:val="360"/>
        </w:trPr>
        <w:tc>
          <w:tcPr>
            <w:tcW w:w="2245" w:type="dxa"/>
            <w:tcBorders>
              <w:top w:val="single" w:sz="12" w:space="0" w:color="auto"/>
              <w:bottom w:val="single" w:sz="2" w:space="0" w:color="auto"/>
            </w:tcBorders>
            <w:vAlign w:val="center"/>
          </w:tcPr>
          <w:p w14:paraId="307AFA80" w14:textId="77777777" w:rsidR="0013043D" w:rsidRDefault="0013043D" w:rsidP="001435C0">
            <w:pPr>
              <w:jc w:val="center"/>
            </w:pPr>
            <w:r w:rsidRPr="000B52A1">
              <w:rPr>
                <w:rFonts w:eastAsia="Arial" w:cstheme="minorHAnsi"/>
                <w:b/>
                <w:color w:val="000000"/>
                <w:sz w:val="22"/>
                <w:szCs w:val="22"/>
              </w:rPr>
              <w:t>Salinity Regime</w:t>
            </w:r>
          </w:p>
        </w:tc>
        <w:tc>
          <w:tcPr>
            <w:tcW w:w="3330" w:type="dxa"/>
            <w:tcBorders>
              <w:top w:val="single" w:sz="12" w:space="0" w:color="auto"/>
              <w:bottom w:val="single" w:sz="2" w:space="0" w:color="auto"/>
            </w:tcBorders>
            <w:vAlign w:val="center"/>
          </w:tcPr>
          <w:p w14:paraId="78E8C030" w14:textId="6779600D" w:rsidR="0013043D" w:rsidRDefault="0013043D" w:rsidP="001435C0">
            <w:pPr>
              <w:jc w:val="center"/>
            </w:pPr>
            <w:r w:rsidRPr="000B52A1">
              <w:rPr>
                <w:rFonts w:eastAsia="Arial" w:cstheme="minorHAnsi"/>
                <w:b/>
                <w:color w:val="000000"/>
                <w:sz w:val="22"/>
                <w:szCs w:val="22"/>
              </w:rPr>
              <w:t>Water Clarity (% PAR at 1 m)</w:t>
            </w:r>
          </w:p>
        </w:tc>
        <w:tc>
          <w:tcPr>
            <w:tcW w:w="3775" w:type="dxa"/>
            <w:tcBorders>
              <w:top w:val="single" w:sz="12" w:space="0" w:color="auto"/>
              <w:bottom w:val="single" w:sz="2" w:space="0" w:color="auto"/>
            </w:tcBorders>
            <w:vAlign w:val="center"/>
          </w:tcPr>
          <w:p w14:paraId="1421DA6A" w14:textId="77777777" w:rsidR="0013043D" w:rsidRDefault="0013043D" w:rsidP="001435C0">
            <w:pPr>
              <w:jc w:val="center"/>
            </w:pPr>
            <w:r w:rsidRPr="000B52A1">
              <w:rPr>
                <w:rFonts w:eastAsia="Arial" w:cstheme="minorHAnsi"/>
                <w:b/>
                <w:color w:val="000000"/>
                <w:sz w:val="22"/>
                <w:szCs w:val="22"/>
              </w:rPr>
              <w:t>Criterion Season</w:t>
            </w:r>
          </w:p>
        </w:tc>
      </w:tr>
      <w:tr w:rsidR="0013043D" w14:paraId="2A80EC35" w14:textId="77777777" w:rsidTr="001435C0">
        <w:trPr>
          <w:trHeight w:val="360"/>
        </w:trPr>
        <w:tc>
          <w:tcPr>
            <w:tcW w:w="2245" w:type="dxa"/>
            <w:tcBorders>
              <w:top w:val="single" w:sz="2" w:space="0" w:color="auto"/>
            </w:tcBorders>
            <w:vAlign w:val="center"/>
          </w:tcPr>
          <w:p w14:paraId="27FC0068" w14:textId="77777777" w:rsidR="0013043D" w:rsidRDefault="0013043D" w:rsidP="001435C0">
            <w:pPr>
              <w:jc w:val="center"/>
            </w:pPr>
            <w:r w:rsidRPr="000B52A1">
              <w:rPr>
                <w:rFonts w:eastAsia="Arial" w:cstheme="minorHAnsi"/>
                <w:color w:val="000000"/>
                <w:sz w:val="22"/>
                <w:szCs w:val="22"/>
              </w:rPr>
              <w:t>Tidal Freshwater</w:t>
            </w:r>
          </w:p>
        </w:tc>
        <w:tc>
          <w:tcPr>
            <w:tcW w:w="3330" w:type="dxa"/>
            <w:tcBorders>
              <w:top w:val="single" w:sz="2" w:space="0" w:color="auto"/>
            </w:tcBorders>
            <w:vAlign w:val="center"/>
          </w:tcPr>
          <w:p w14:paraId="09A85ED7" w14:textId="70C906B0" w:rsidR="0013043D" w:rsidRDefault="0013043D" w:rsidP="001435C0">
            <w:pPr>
              <w:jc w:val="center"/>
            </w:pPr>
            <w:r w:rsidRPr="000B52A1">
              <w:rPr>
                <w:rFonts w:eastAsia="Arial" w:cstheme="minorHAnsi"/>
                <w:color w:val="000000"/>
                <w:sz w:val="22"/>
                <w:szCs w:val="22"/>
              </w:rPr>
              <w:t>13%</w:t>
            </w:r>
          </w:p>
        </w:tc>
        <w:tc>
          <w:tcPr>
            <w:tcW w:w="3775" w:type="dxa"/>
            <w:tcBorders>
              <w:top w:val="single" w:sz="2" w:space="0" w:color="auto"/>
            </w:tcBorders>
            <w:vAlign w:val="center"/>
          </w:tcPr>
          <w:p w14:paraId="1B4B1568" w14:textId="77777777" w:rsidR="0013043D" w:rsidRDefault="0013043D" w:rsidP="001435C0">
            <w:pPr>
              <w:jc w:val="center"/>
            </w:pPr>
            <w:r w:rsidRPr="000B52A1">
              <w:rPr>
                <w:rFonts w:eastAsia="Arial" w:cstheme="minorHAnsi"/>
                <w:color w:val="000000"/>
                <w:sz w:val="22"/>
                <w:szCs w:val="22"/>
              </w:rPr>
              <w:t>1 April - 31 October</w:t>
            </w:r>
          </w:p>
        </w:tc>
      </w:tr>
      <w:tr w:rsidR="0013043D" w14:paraId="7769FC2C" w14:textId="77777777" w:rsidTr="001435C0">
        <w:trPr>
          <w:trHeight w:val="360"/>
        </w:trPr>
        <w:tc>
          <w:tcPr>
            <w:tcW w:w="2245" w:type="dxa"/>
            <w:vAlign w:val="center"/>
          </w:tcPr>
          <w:p w14:paraId="2EF2744A" w14:textId="77777777" w:rsidR="0013043D" w:rsidRDefault="0013043D" w:rsidP="001435C0">
            <w:pPr>
              <w:jc w:val="center"/>
            </w:pPr>
            <w:r w:rsidRPr="000B52A1">
              <w:rPr>
                <w:rFonts w:eastAsia="Arial" w:cstheme="minorHAnsi"/>
                <w:color w:val="000000"/>
                <w:sz w:val="22"/>
                <w:szCs w:val="22"/>
              </w:rPr>
              <w:t>Oligohaline</w:t>
            </w:r>
          </w:p>
        </w:tc>
        <w:tc>
          <w:tcPr>
            <w:tcW w:w="3330" w:type="dxa"/>
            <w:vAlign w:val="center"/>
          </w:tcPr>
          <w:p w14:paraId="2663F5DA" w14:textId="77777777" w:rsidR="0013043D" w:rsidRDefault="0013043D" w:rsidP="001435C0">
            <w:pPr>
              <w:jc w:val="center"/>
            </w:pPr>
            <w:r w:rsidRPr="000B52A1">
              <w:rPr>
                <w:rFonts w:eastAsia="Arial" w:cstheme="minorHAnsi"/>
                <w:color w:val="000000"/>
                <w:sz w:val="22"/>
                <w:szCs w:val="22"/>
              </w:rPr>
              <w:t>13%</w:t>
            </w:r>
          </w:p>
        </w:tc>
        <w:tc>
          <w:tcPr>
            <w:tcW w:w="3775" w:type="dxa"/>
            <w:vAlign w:val="center"/>
          </w:tcPr>
          <w:p w14:paraId="63DB8429" w14:textId="77777777" w:rsidR="0013043D" w:rsidRDefault="0013043D" w:rsidP="001435C0">
            <w:pPr>
              <w:jc w:val="center"/>
            </w:pPr>
            <w:r w:rsidRPr="000B52A1">
              <w:rPr>
                <w:rFonts w:eastAsia="Arial" w:cstheme="minorHAnsi"/>
                <w:color w:val="000000"/>
                <w:sz w:val="22"/>
                <w:szCs w:val="22"/>
              </w:rPr>
              <w:t>1 April - 31 October</w:t>
            </w:r>
          </w:p>
        </w:tc>
      </w:tr>
      <w:tr w:rsidR="0013043D" w14:paraId="57271EAD" w14:textId="77777777" w:rsidTr="00CD6FFA">
        <w:trPr>
          <w:trHeight w:val="360"/>
        </w:trPr>
        <w:tc>
          <w:tcPr>
            <w:tcW w:w="2245" w:type="dxa"/>
            <w:vAlign w:val="center"/>
          </w:tcPr>
          <w:p w14:paraId="37FC17AD" w14:textId="77777777" w:rsidR="0013043D" w:rsidRDefault="0013043D" w:rsidP="001435C0">
            <w:pPr>
              <w:jc w:val="center"/>
            </w:pPr>
            <w:r w:rsidRPr="000B52A1">
              <w:rPr>
                <w:rFonts w:eastAsia="Arial" w:cstheme="minorHAnsi"/>
                <w:color w:val="000000"/>
                <w:sz w:val="22"/>
                <w:szCs w:val="22"/>
              </w:rPr>
              <w:t>Mesohaline</w:t>
            </w:r>
          </w:p>
        </w:tc>
        <w:tc>
          <w:tcPr>
            <w:tcW w:w="3330" w:type="dxa"/>
            <w:vAlign w:val="center"/>
          </w:tcPr>
          <w:p w14:paraId="5D250CB5" w14:textId="77777777" w:rsidR="0013043D" w:rsidRDefault="0013043D" w:rsidP="001435C0">
            <w:pPr>
              <w:jc w:val="center"/>
            </w:pPr>
            <w:r w:rsidRPr="000B52A1">
              <w:rPr>
                <w:rFonts w:eastAsia="Arial" w:cstheme="minorHAnsi"/>
                <w:color w:val="000000"/>
                <w:sz w:val="22"/>
                <w:szCs w:val="22"/>
              </w:rPr>
              <w:t>22%</w:t>
            </w:r>
          </w:p>
        </w:tc>
        <w:tc>
          <w:tcPr>
            <w:tcW w:w="3775" w:type="dxa"/>
            <w:vAlign w:val="center"/>
          </w:tcPr>
          <w:p w14:paraId="716552D1" w14:textId="77777777" w:rsidR="0013043D" w:rsidRDefault="0013043D" w:rsidP="001435C0">
            <w:pPr>
              <w:jc w:val="center"/>
            </w:pPr>
            <w:r w:rsidRPr="000B52A1">
              <w:rPr>
                <w:rFonts w:eastAsia="Arial" w:cstheme="minorHAnsi"/>
                <w:color w:val="000000"/>
                <w:sz w:val="22"/>
                <w:szCs w:val="22"/>
              </w:rPr>
              <w:t>1 April - 31 October</w:t>
            </w:r>
          </w:p>
        </w:tc>
      </w:tr>
      <w:tr w:rsidR="0013043D" w14:paraId="14DC7764" w14:textId="77777777" w:rsidTr="00CD6FFA">
        <w:trPr>
          <w:trHeight w:val="360"/>
        </w:trPr>
        <w:tc>
          <w:tcPr>
            <w:tcW w:w="2245" w:type="dxa"/>
            <w:tcBorders>
              <w:bottom w:val="single" w:sz="12" w:space="0" w:color="auto"/>
            </w:tcBorders>
            <w:vAlign w:val="center"/>
          </w:tcPr>
          <w:p w14:paraId="12D0AB57" w14:textId="77777777" w:rsidR="0013043D" w:rsidRDefault="0013043D" w:rsidP="001435C0">
            <w:pPr>
              <w:jc w:val="center"/>
            </w:pPr>
            <w:proofErr w:type="spellStart"/>
            <w:r w:rsidRPr="000B52A1">
              <w:rPr>
                <w:rFonts w:eastAsia="Arial" w:cstheme="minorHAnsi"/>
                <w:color w:val="000000"/>
                <w:sz w:val="22"/>
                <w:szCs w:val="22"/>
              </w:rPr>
              <w:t>Polyhaline</w:t>
            </w:r>
            <w:proofErr w:type="spellEnd"/>
          </w:p>
        </w:tc>
        <w:tc>
          <w:tcPr>
            <w:tcW w:w="3330" w:type="dxa"/>
            <w:tcBorders>
              <w:bottom w:val="single" w:sz="12" w:space="0" w:color="auto"/>
            </w:tcBorders>
            <w:vAlign w:val="center"/>
          </w:tcPr>
          <w:p w14:paraId="6A49EFEF" w14:textId="77777777" w:rsidR="0013043D" w:rsidRDefault="0013043D" w:rsidP="001435C0">
            <w:pPr>
              <w:jc w:val="center"/>
            </w:pPr>
            <w:r w:rsidRPr="000B52A1">
              <w:rPr>
                <w:rFonts w:eastAsia="Arial" w:cstheme="minorHAnsi"/>
                <w:color w:val="000000"/>
                <w:sz w:val="22"/>
                <w:szCs w:val="22"/>
              </w:rPr>
              <w:t>22%</w:t>
            </w:r>
          </w:p>
        </w:tc>
        <w:tc>
          <w:tcPr>
            <w:tcW w:w="3775" w:type="dxa"/>
            <w:tcBorders>
              <w:bottom w:val="single" w:sz="12" w:space="0" w:color="auto"/>
            </w:tcBorders>
            <w:vAlign w:val="center"/>
          </w:tcPr>
          <w:p w14:paraId="3186A108" w14:textId="77777777" w:rsidR="0013043D" w:rsidRDefault="0013043D" w:rsidP="001435C0">
            <w:pPr>
              <w:jc w:val="center"/>
            </w:pPr>
            <w:r w:rsidRPr="000B52A1">
              <w:rPr>
                <w:rFonts w:eastAsia="Arial" w:cstheme="minorHAnsi"/>
                <w:color w:val="000000"/>
                <w:sz w:val="22"/>
                <w:szCs w:val="22"/>
              </w:rPr>
              <w:t>1 March - 31 May and</w:t>
            </w:r>
            <w:r w:rsidRPr="000B52A1">
              <w:rPr>
                <w:rFonts w:eastAsia="Arial" w:cstheme="minorHAnsi"/>
                <w:color w:val="000000"/>
                <w:sz w:val="22"/>
                <w:szCs w:val="22"/>
              </w:rPr>
              <w:br/>
              <w:t>1 September - 30 November</w:t>
            </w:r>
          </w:p>
        </w:tc>
      </w:tr>
    </w:tbl>
    <w:p w14:paraId="689DE02D" w14:textId="77777777" w:rsidR="00230BBA" w:rsidRPr="001F0398" w:rsidRDefault="00230BBA" w:rsidP="00A305A8">
      <w:pPr>
        <w:rPr>
          <w:szCs w:val="24"/>
        </w:rPr>
      </w:pPr>
    </w:p>
    <w:p w14:paraId="6C60AF6F" w14:textId="18314FA1" w:rsidR="00E32B03" w:rsidRPr="000B52A1" w:rsidRDefault="00C434D7" w:rsidP="00A305A8">
      <w:r w:rsidRPr="000B52A1">
        <w:t xml:space="preserve">Water clarity was assessed using NCCA </w:t>
      </w:r>
      <w:r>
        <w:t>benchmark</w:t>
      </w:r>
      <w:r w:rsidRPr="000B52A1">
        <w:t xml:space="preserve">s modified to use CBP criteria for the Fair/Poor </w:t>
      </w:r>
      <w:r>
        <w:t>benchmark</w:t>
      </w:r>
      <w:r w:rsidRPr="000B52A1">
        <w:t xml:space="preserve"> at stations with potential to support SAV (Table </w:t>
      </w:r>
      <w:r>
        <w:t>4.5-</w:t>
      </w:r>
      <w:r w:rsidRPr="000B52A1">
        <w:t>9). Thus, a</w:t>
      </w:r>
      <w:r>
        <w:t xml:space="preserve"> salinity-dependent</w:t>
      </w:r>
      <w:r w:rsidRPr="000B52A1">
        <w:t xml:space="preserve"> Fair/Poor </w:t>
      </w:r>
      <w:r>
        <w:t>benchmark</w:t>
      </w:r>
      <w:r w:rsidRPr="000B52A1">
        <w:t xml:space="preserve"> of 13% or 22% as per Table </w:t>
      </w:r>
      <w:r>
        <w:t>4.5-</w:t>
      </w:r>
      <w:r w:rsidRPr="000B52A1">
        <w:t xml:space="preserve">8 was applied in place of the standard 20% Fair/Poor </w:t>
      </w:r>
      <w:r>
        <w:t>benchmark</w:t>
      </w:r>
      <w:r w:rsidRPr="000B52A1">
        <w:t xml:space="preserve"> used by NCCA at SAV stations (Table </w:t>
      </w:r>
      <w:r>
        <w:t>4.5-</w:t>
      </w:r>
      <w:r w:rsidRPr="000B52A1">
        <w:t>7).</w:t>
      </w:r>
      <w:r w:rsidR="004605B4">
        <w:br/>
      </w:r>
    </w:p>
    <w:p w14:paraId="74818D22" w14:textId="61C01884" w:rsidR="00853A92" w:rsidRPr="00D237D4" w:rsidRDefault="00512991" w:rsidP="00853A92">
      <w:pPr>
        <w:pStyle w:val="Caption"/>
        <w:keepNext/>
      </w:pPr>
      <w:bookmarkStart w:id="248" w:name="tab:tab-par"/>
      <w:bookmarkStart w:id="249" w:name="_Toc164175199"/>
      <w:bookmarkEnd w:id="248"/>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9</w:t>
      </w:r>
      <w:r w:rsidR="004F13BA">
        <w:rPr>
          <w:noProof/>
        </w:rPr>
        <w:fldChar w:fldCharType="end"/>
      </w:r>
      <w:r>
        <w:t xml:space="preserve">. </w:t>
      </w:r>
      <w:r w:rsidRPr="0A5BE548">
        <w:rPr>
          <w:rFonts w:cstheme="minorBidi"/>
        </w:rPr>
        <w:t>Water clarity (PAR) condition by habitat type</w:t>
      </w:r>
      <w:bookmarkEnd w:id="249"/>
      <w:r w:rsidRPr="0A5BE548">
        <w:rPr>
          <w:rFonts w:cstheme="minorBidi"/>
        </w:rPr>
        <w:t xml:space="preserve">, based on applicable Normal or SAV turbidity </w:t>
      </w:r>
      <w:r w:rsidR="00A35271" w:rsidRPr="0A5BE548">
        <w:rPr>
          <w:rFonts w:cstheme="minorBidi"/>
        </w:rPr>
        <w:t>benchmar</w:t>
      </w:r>
      <w:r w:rsidR="000C4ADA" w:rsidRPr="0A5BE548">
        <w:rPr>
          <w:rFonts w:cstheme="minorBidi"/>
        </w:rPr>
        <w:t>k</w:t>
      </w:r>
      <w:r w:rsidR="00A35271" w:rsidRPr="0A5BE548">
        <w:rPr>
          <w:rFonts w:cstheme="minorBidi"/>
        </w:rPr>
        <w:t>s</w:t>
      </w:r>
      <w:r w:rsidRPr="0A5BE548">
        <w:rPr>
          <w:rFonts w:cstheme="minorBidi"/>
        </w:rPr>
        <w:t>, 2017-2022.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Water clarity (PAR) condition by habitat type, based on applicable Normal or SAV turbidity thresholds, 2017-2022."/>
        <w:tblDescription w:val="Water clarity (PAR) condition by habitat type, based on applicable Normal or SAV turbidity thresholds, 2017-2022."/>
      </w:tblPr>
      <w:tblGrid>
        <w:gridCol w:w="1870"/>
        <w:gridCol w:w="1640"/>
        <w:gridCol w:w="2875"/>
        <w:gridCol w:w="1095"/>
        <w:gridCol w:w="1870"/>
      </w:tblGrid>
      <w:tr w:rsidR="00512991" w14:paraId="683BB462" w14:textId="77777777" w:rsidTr="00D47A92">
        <w:trPr>
          <w:trHeight w:val="360"/>
        </w:trPr>
        <w:tc>
          <w:tcPr>
            <w:tcW w:w="1870" w:type="dxa"/>
            <w:tcBorders>
              <w:top w:val="single" w:sz="12" w:space="0" w:color="auto"/>
              <w:bottom w:val="single" w:sz="4" w:space="0" w:color="auto"/>
            </w:tcBorders>
            <w:vAlign w:val="center"/>
          </w:tcPr>
          <w:p w14:paraId="635BA760" w14:textId="77777777" w:rsidR="00512991" w:rsidRDefault="00512991" w:rsidP="00ED26A2">
            <w:pPr>
              <w:jc w:val="center"/>
            </w:pPr>
            <w:r w:rsidRPr="000B52A1">
              <w:rPr>
                <w:rFonts w:eastAsia="Arial" w:cstheme="minorHAnsi"/>
                <w:b/>
                <w:color w:val="000000"/>
                <w:sz w:val="22"/>
                <w:szCs w:val="22"/>
              </w:rPr>
              <w:t>Habitat</w:t>
            </w:r>
          </w:p>
        </w:tc>
        <w:tc>
          <w:tcPr>
            <w:tcW w:w="1640" w:type="dxa"/>
            <w:tcBorders>
              <w:top w:val="single" w:sz="12" w:space="0" w:color="auto"/>
              <w:bottom w:val="single" w:sz="4" w:space="0" w:color="auto"/>
            </w:tcBorders>
            <w:vAlign w:val="center"/>
          </w:tcPr>
          <w:p w14:paraId="4E310CBA" w14:textId="77777777" w:rsidR="00512991" w:rsidRDefault="00512991" w:rsidP="00ED26A2">
            <w:pPr>
              <w:jc w:val="center"/>
            </w:pPr>
            <w:r w:rsidRPr="000B52A1">
              <w:rPr>
                <w:rFonts w:eastAsia="Arial" w:cstheme="minorHAnsi"/>
                <w:b/>
                <w:color w:val="000000"/>
                <w:sz w:val="22"/>
                <w:szCs w:val="22"/>
              </w:rPr>
              <w:t>PAR Condition</w:t>
            </w:r>
          </w:p>
        </w:tc>
        <w:tc>
          <w:tcPr>
            <w:tcW w:w="2875" w:type="dxa"/>
            <w:tcBorders>
              <w:top w:val="single" w:sz="12" w:space="0" w:color="auto"/>
              <w:bottom w:val="single" w:sz="4" w:space="0" w:color="auto"/>
            </w:tcBorders>
            <w:vAlign w:val="center"/>
          </w:tcPr>
          <w:p w14:paraId="4AC22944" w14:textId="77777777" w:rsidR="00512991" w:rsidRDefault="00512991" w:rsidP="00ED26A2">
            <w:pPr>
              <w:jc w:val="center"/>
            </w:pPr>
            <w:r w:rsidRPr="000B52A1">
              <w:rPr>
                <w:rFonts w:eastAsia="Arial" w:cstheme="minorHAnsi"/>
                <w:b/>
                <w:color w:val="000000"/>
                <w:sz w:val="22"/>
                <w:szCs w:val="22"/>
              </w:rPr>
              <w:t xml:space="preserve">PAR Range (% PAR at 1 </w:t>
            </w:r>
            <w:proofErr w:type="gramStart"/>
            <w:r w:rsidRPr="000B52A1">
              <w:rPr>
                <w:rFonts w:eastAsia="Arial" w:cstheme="minorHAnsi"/>
                <w:b/>
                <w:color w:val="000000"/>
                <w:sz w:val="22"/>
                <w:szCs w:val="22"/>
              </w:rPr>
              <w:t>m)</w:t>
            </w:r>
            <w:r w:rsidRPr="000B52A1">
              <w:rPr>
                <w:rFonts w:eastAsia="Arial" w:cstheme="minorHAnsi"/>
                <w:b/>
                <w:color w:val="000000"/>
                <w:sz w:val="22"/>
                <w:szCs w:val="22"/>
                <w:vertAlign w:val="superscript"/>
              </w:rPr>
              <w:t>a</w:t>
            </w:r>
            <w:proofErr w:type="gramEnd"/>
          </w:p>
        </w:tc>
        <w:tc>
          <w:tcPr>
            <w:tcW w:w="1095" w:type="dxa"/>
            <w:tcBorders>
              <w:top w:val="single" w:sz="12" w:space="0" w:color="auto"/>
              <w:bottom w:val="single" w:sz="4" w:space="0" w:color="auto"/>
            </w:tcBorders>
            <w:vAlign w:val="center"/>
          </w:tcPr>
          <w:p w14:paraId="15B5EC8C" w14:textId="77777777" w:rsidR="00512991" w:rsidRDefault="00512991" w:rsidP="00ED26A2">
            <w:pPr>
              <w:jc w:val="center"/>
            </w:pPr>
            <w:r w:rsidRPr="000B52A1">
              <w:rPr>
                <w:rFonts w:eastAsia="Arial" w:cstheme="minorHAnsi"/>
                <w:b/>
                <w:color w:val="000000"/>
                <w:sz w:val="22"/>
                <w:szCs w:val="22"/>
              </w:rPr>
              <w:t>Stations</w:t>
            </w:r>
          </w:p>
        </w:tc>
        <w:tc>
          <w:tcPr>
            <w:tcW w:w="1870" w:type="dxa"/>
            <w:tcBorders>
              <w:top w:val="single" w:sz="12" w:space="0" w:color="auto"/>
              <w:bottom w:val="single" w:sz="4" w:space="0" w:color="auto"/>
            </w:tcBorders>
            <w:vAlign w:val="center"/>
          </w:tcPr>
          <w:p w14:paraId="7F407E56" w14:textId="77777777" w:rsidR="00512991" w:rsidRDefault="00512991" w:rsidP="00ED26A2">
            <w:pPr>
              <w:jc w:val="center"/>
            </w:pPr>
            <w:r w:rsidRPr="000B52A1">
              <w:rPr>
                <w:rFonts w:eastAsia="Arial" w:cstheme="minorHAnsi"/>
                <w:b/>
                <w:color w:val="000000"/>
                <w:sz w:val="22"/>
                <w:szCs w:val="22"/>
              </w:rPr>
              <w:t>Percentage</w:t>
            </w:r>
          </w:p>
        </w:tc>
      </w:tr>
      <w:tr w:rsidR="00512991" w14:paraId="2DC90DD6" w14:textId="77777777" w:rsidTr="00ED26A2">
        <w:trPr>
          <w:trHeight w:val="360"/>
        </w:trPr>
        <w:tc>
          <w:tcPr>
            <w:tcW w:w="1870" w:type="dxa"/>
            <w:vMerge w:val="restart"/>
            <w:tcBorders>
              <w:top w:val="single" w:sz="4" w:space="0" w:color="auto"/>
            </w:tcBorders>
            <w:vAlign w:val="center"/>
          </w:tcPr>
          <w:p w14:paraId="5583F947" w14:textId="77777777" w:rsidR="00512991" w:rsidRDefault="00512991" w:rsidP="00ED26A2">
            <w:pPr>
              <w:jc w:val="center"/>
            </w:pPr>
            <w:r w:rsidRPr="000B52A1">
              <w:rPr>
                <w:rFonts w:eastAsia="Arial" w:cstheme="minorHAnsi"/>
                <w:color w:val="000000"/>
                <w:sz w:val="22"/>
                <w:szCs w:val="22"/>
              </w:rPr>
              <w:t>Normal Turbidity</w:t>
            </w:r>
          </w:p>
        </w:tc>
        <w:tc>
          <w:tcPr>
            <w:tcW w:w="1640" w:type="dxa"/>
            <w:tcBorders>
              <w:top w:val="single" w:sz="4" w:space="0" w:color="auto"/>
            </w:tcBorders>
            <w:vAlign w:val="center"/>
          </w:tcPr>
          <w:p w14:paraId="42FF054A" w14:textId="77777777" w:rsidR="00512991" w:rsidRDefault="00512991" w:rsidP="00ED26A2">
            <w:pPr>
              <w:jc w:val="center"/>
            </w:pPr>
            <w:r w:rsidRPr="000B52A1">
              <w:rPr>
                <w:rFonts w:eastAsia="Arial" w:cstheme="minorHAnsi"/>
                <w:color w:val="000000"/>
                <w:sz w:val="22"/>
                <w:szCs w:val="22"/>
              </w:rPr>
              <w:t>Good</w:t>
            </w:r>
          </w:p>
        </w:tc>
        <w:tc>
          <w:tcPr>
            <w:tcW w:w="2875" w:type="dxa"/>
            <w:tcBorders>
              <w:top w:val="single" w:sz="4" w:space="0" w:color="auto"/>
            </w:tcBorders>
            <w:vAlign w:val="center"/>
          </w:tcPr>
          <w:p w14:paraId="4C7AC252" w14:textId="77777777" w:rsidR="00512991" w:rsidRDefault="00512991" w:rsidP="00ED26A2">
            <w:pPr>
              <w:jc w:val="center"/>
            </w:pPr>
            <w:r w:rsidRPr="000B52A1">
              <w:rPr>
                <w:rFonts w:eastAsia="Arial" w:cstheme="minorHAnsi"/>
                <w:color w:val="000000"/>
                <w:sz w:val="22"/>
                <w:szCs w:val="22"/>
              </w:rPr>
              <w:t>&gt; 20</w:t>
            </w:r>
          </w:p>
        </w:tc>
        <w:tc>
          <w:tcPr>
            <w:tcW w:w="1095" w:type="dxa"/>
            <w:tcBorders>
              <w:top w:val="single" w:sz="4" w:space="0" w:color="auto"/>
            </w:tcBorders>
            <w:vAlign w:val="center"/>
          </w:tcPr>
          <w:p w14:paraId="1C7DA6D9" w14:textId="77777777" w:rsidR="00512991" w:rsidRDefault="00512991" w:rsidP="00ED26A2">
            <w:pPr>
              <w:jc w:val="center"/>
            </w:pPr>
            <w:r w:rsidRPr="000B52A1">
              <w:rPr>
                <w:rFonts w:eastAsia="Arial" w:cstheme="minorHAnsi"/>
                <w:color w:val="000000"/>
                <w:sz w:val="22"/>
                <w:szCs w:val="22"/>
              </w:rPr>
              <w:t>74</w:t>
            </w:r>
          </w:p>
        </w:tc>
        <w:tc>
          <w:tcPr>
            <w:tcW w:w="1870" w:type="dxa"/>
            <w:tcBorders>
              <w:top w:val="single" w:sz="4" w:space="0" w:color="auto"/>
            </w:tcBorders>
            <w:vAlign w:val="center"/>
          </w:tcPr>
          <w:p w14:paraId="1B768B41" w14:textId="77777777" w:rsidR="00512991" w:rsidRDefault="00512991" w:rsidP="00ED26A2">
            <w:pPr>
              <w:jc w:val="center"/>
            </w:pPr>
            <w:r w:rsidRPr="000B52A1">
              <w:rPr>
                <w:rFonts w:eastAsia="Arial" w:cstheme="minorHAnsi"/>
                <w:color w:val="000000"/>
                <w:sz w:val="22"/>
                <w:szCs w:val="22"/>
              </w:rPr>
              <w:t>49.33 ± 8.07</w:t>
            </w:r>
          </w:p>
        </w:tc>
      </w:tr>
      <w:tr w:rsidR="00512991" w14:paraId="56A627CF" w14:textId="77777777" w:rsidTr="00ED26A2">
        <w:trPr>
          <w:trHeight w:val="360"/>
        </w:trPr>
        <w:tc>
          <w:tcPr>
            <w:tcW w:w="1870" w:type="dxa"/>
            <w:vMerge/>
            <w:vAlign w:val="center"/>
          </w:tcPr>
          <w:p w14:paraId="1524A0B0" w14:textId="77777777" w:rsidR="00512991" w:rsidRDefault="00512991" w:rsidP="00ED26A2">
            <w:pPr>
              <w:jc w:val="center"/>
            </w:pPr>
          </w:p>
        </w:tc>
        <w:tc>
          <w:tcPr>
            <w:tcW w:w="1640" w:type="dxa"/>
            <w:vAlign w:val="center"/>
          </w:tcPr>
          <w:p w14:paraId="39354087" w14:textId="77777777" w:rsidR="00512991" w:rsidRDefault="00512991" w:rsidP="00ED26A2">
            <w:pPr>
              <w:jc w:val="center"/>
            </w:pPr>
            <w:r w:rsidRPr="000B52A1">
              <w:rPr>
                <w:rFonts w:eastAsia="Arial" w:cstheme="minorHAnsi"/>
                <w:color w:val="000000"/>
                <w:sz w:val="22"/>
                <w:szCs w:val="22"/>
              </w:rPr>
              <w:t>Fair</w:t>
            </w:r>
          </w:p>
        </w:tc>
        <w:tc>
          <w:tcPr>
            <w:tcW w:w="2875" w:type="dxa"/>
            <w:vAlign w:val="center"/>
          </w:tcPr>
          <w:p w14:paraId="4AF9448C" w14:textId="77777777" w:rsidR="00512991" w:rsidRDefault="00512991" w:rsidP="00ED26A2">
            <w:pPr>
              <w:jc w:val="center"/>
            </w:pPr>
            <w:r w:rsidRPr="000B52A1">
              <w:rPr>
                <w:rFonts w:eastAsia="Arial" w:cstheme="minorHAnsi"/>
                <w:color w:val="000000"/>
                <w:sz w:val="22"/>
                <w:szCs w:val="22"/>
              </w:rPr>
              <w:t>≤ 20 and &gt; 10</w:t>
            </w:r>
          </w:p>
        </w:tc>
        <w:tc>
          <w:tcPr>
            <w:tcW w:w="1095" w:type="dxa"/>
            <w:vAlign w:val="center"/>
          </w:tcPr>
          <w:p w14:paraId="57C78FF7" w14:textId="77777777" w:rsidR="00512991" w:rsidRDefault="00512991" w:rsidP="00ED26A2">
            <w:pPr>
              <w:jc w:val="center"/>
            </w:pPr>
            <w:r w:rsidRPr="000B52A1">
              <w:rPr>
                <w:rFonts w:eastAsia="Arial" w:cstheme="minorHAnsi"/>
                <w:color w:val="000000"/>
                <w:sz w:val="22"/>
                <w:szCs w:val="22"/>
              </w:rPr>
              <w:t>28</w:t>
            </w:r>
          </w:p>
        </w:tc>
        <w:tc>
          <w:tcPr>
            <w:tcW w:w="1870" w:type="dxa"/>
            <w:vAlign w:val="center"/>
          </w:tcPr>
          <w:p w14:paraId="1DEAE028" w14:textId="77777777" w:rsidR="00512991" w:rsidRDefault="00512991" w:rsidP="00ED26A2">
            <w:pPr>
              <w:jc w:val="center"/>
            </w:pPr>
            <w:r w:rsidRPr="000B52A1">
              <w:rPr>
                <w:rFonts w:eastAsia="Arial" w:cstheme="minorHAnsi"/>
                <w:color w:val="000000"/>
                <w:sz w:val="22"/>
                <w:szCs w:val="22"/>
              </w:rPr>
              <w:t>18.67 ± 6.29</w:t>
            </w:r>
          </w:p>
        </w:tc>
      </w:tr>
      <w:tr w:rsidR="00512991" w14:paraId="6C529720" w14:textId="77777777" w:rsidTr="00ED26A2">
        <w:trPr>
          <w:trHeight w:val="360"/>
        </w:trPr>
        <w:tc>
          <w:tcPr>
            <w:tcW w:w="1870" w:type="dxa"/>
            <w:vMerge/>
            <w:vAlign w:val="center"/>
          </w:tcPr>
          <w:p w14:paraId="3F5222C4" w14:textId="77777777" w:rsidR="00512991" w:rsidRDefault="00512991" w:rsidP="00ED26A2">
            <w:pPr>
              <w:jc w:val="center"/>
            </w:pPr>
          </w:p>
        </w:tc>
        <w:tc>
          <w:tcPr>
            <w:tcW w:w="1640" w:type="dxa"/>
            <w:vAlign w:val="center"/>
          </w:tcPr>
          <w:p w14:paraId="4D0C88A0" w14:textId="77777777" w:rsidR="00512991" w:rsidRDefault="00512991" w:rsidP="00ED26A2">
            <w:pPr>
              <w:jc w:val="center"/>
            </w:pPr>
            <w:r w:rsidRPr="000B52A1">
              <w:rPr>
                <w:rFonts w:eastAsia="Arial" w:cstheme="minorHAnsi"/>
                <w:color w:val="000000"/>
                <w:sz w:val="22"/>
                <w:szCs w:val="22"/>
              </w:rPr>
              <w:t>Poor</w:t>
            </w:r>
          </w:p>
        </w:tc>
        <w:tc>
          <w:tcPr>
            <w:tcW w:w="2875" w:type="dxa"/>
            <w:vAlign w:val="center"/>
          </w:tcPr>
          <w:p w14:paraId="74E250A4" w14:textId="77777777" w:rsidR="00512991" w:rsidRDefault="00512991" w:rsidP="00ED26A2">
            <w:pPr>
              <w:jc w:val="center"/>
            </w:pPr>
            <w:r w:rsidRPr="000B52A1">
              <w:rPr>
                <w:rFonts w:eastAsia="Arial" w:cstheme="minorHAnsi"/>
                <w:color w:val="000000"/>
                <w:sz w:val="22"/>
                <w:szCs w:val="22"/>
              </w:rPr>
              <w:t>≤ 10</w:t>
            </w:r>
          </w:p>
        </w:tc>
        <w:tc>
          <w:tcPr>
            <w:tcW w:w="1095" w:type="dxa"/>
            <w:vAlign w:val="center"/>
          </w:tcPr>
          <w:p w14:paraId="293CA0B6" w14:textId="77777777" w:rsidR="00512991" w:rsidRDefault="00512991" w:rsidP="00ED26A2">
            <w:pPr>
              <w:jc w:val="center"/>
            </w:pPr>
            <w:r w:rsidRPr="000B52A1">
              <w:rPr>
                <w:rFonts w:eastAsia="Arial" w:cstheme="minorHAnsi"/>
                <w:color w:val="000000"/>
                <w:sz w:val="22"/>
                <w:szCs w:val="22"/>
              </w:rPr>
              <w:t>47</w:t>
            </w:r>
          </w:p>
        </w:tc>
        <w:tc>
          <w:tcPr>
            <w:tcW w:w="1870" w:type="dxa"/>
            <w:vAlign w:val="center"/>
          </w:tcPr>
          <w:p w14:paraId="15EE26C8" w14:textId="77777777" w:rsidR="00512991" w:rsidRDefault="00512991" w:rsidP="00ED26A2">
            <w:pPr>
              <w:jc w:val="center"/>
            </w:pPr>
            <w:r w:rsidRPr="000B52A1">
              <w:rPr>
                <w:rFonts w:eastAsia="Arial" w:cstheme="minorHAnsi"/>
                <w:color w:val="000000"/>
                <w:sz w:val="22"/>
                <w:szCs w:val="22"/>
              </w:rPr>
              <w:t>31.33 ± 7.48</w:t>
            </w:r>
          </w:p>
        </w:tc>
      </w:tr>
      <w:tr w:rsidR="00512991" w14:paraId="65C5E8B5" w14:textId="77777777" w:rsidTr="00D47A92">
        <w:trPr>
          <w:trHeight w:val="360"/>
        </w:trPr>
        <w:tc>
          <w:tcPr>
            <w:tcW w:w="1870" w:type="dxa"/>
            <w:vMerge/>
            <w:tcBorders>
              <w:bottom w:val="single" w:sz="4" w:space="0" w:color="auto"/>
            </w:tcBorders>
            <w:vAlign w:val="center"/>
          </w:tcPr>
          <w:p w14:paraId="377CA9FA" w14:textId="77777777" w:rsidR="00512991" w:rsidRDefault="00512991" w:rsidP="00ED26A2">
            <w:pPr>
              <w:jc w:val="center"/>
            </w:pPr>
          </w:p>
        </w:tc>
        <w:tc>
          <w:tcPr>
            <w:tcW w:w="1640" w:type="dxa"/>
            <w:tcBorders>
              <w:bottom w:val="single" w:sz="4" w:space="0" w:color="auto"/>
            </w:tcBorders>
            <w:vAlign w:val="center"/>
          </w:tcPr>
          <w:p w14:paraId="44919F55" w14:textId="77777777" w:rsidR="00512991" w:rsidRDefault="00512991" w:rsidP="00ED26A2">
            <w:pPr>
              <w:jc w:val="center"/>
            </w:pPr>
            <w:r w:rsidRPr="000B52A1">
              <w:rPr>
                <w:rFonts w:eastAsia="Arial" w:cstheme="minorHAnsi"/>
                <w:color w:val="000000"/>
                <w:sz w:val="22"/>
                <w:szCs w:val="22"/>
              </w:rPr>
              <w:t>Missing</w:t>
            </w:r>
          </w:p>
        </w:tc>
        <w:tc>
          <w:tcPr>
            <w:tcW w:w="2875" w:type="dxa"/>
            <w:tcBorders>
              <w:bottom w:val="single" w:sz="4" w:space="0" w:color="auto"/>
            </w:tcBorders>
            <w:vAlign w:val="center"/>
          </w:tcPr>
          <w:p w14:paraId="219A4C9C" w14:textId="77777777" w:rsidR="00512991" w:rsidRDefault="00512991" w:rsidP="00ED26A2">
            <w:pPr>
              <w:jc w:val="center"/>
            </w:pPr>
            <w:r w:rsidRPr="000B52A1">
              <w:rPr>
                <w:rFonts w:eastAsia="Arial" w:cstheme="minorHAnsi"/>
                <w:color w:val="000000"/>
                <w:sz w:val="22"/>
                <w:szCs w:val="22"/>
              </w:rPr>
              <w:t>------</w:t>
            </w:r>
          </w:p>
        </w:tc>
        <w:tc>
          <w:tcPr>
            <w:tcW w:w="1095" w:type="dxa"/>
            <w:tcBorders>
              <w:bottom w:val="single" w:sz="4" w:space="0" w:color="auto"/>
            </w:tcBorders>
            <w:vAlign w:val="center"/>
          </w:tcPr>
          <w:p w14:paraId="3779B026" w14:textId="77777777" w:rsidR="00512991" w:rsidRDefault="00512991" w:rsidP="00ED26A2">
            <w:pPr>
              <w:jc w:val="center"/>
            </w:pPr>
            <w:r w:rsidRPr="000B52A1">
              <w:rPr>
                <w:rFonts w:eastAsia="Arial" w:cstheme="minorHAnsi"/>
                <w:color w:val="000000"/>
                <w:sz w:val="22"/>
                <w:szCs w:val="22"/>
              </w:rPr>
              <w:t>1</w:t>
            </w:r>
          </w:p>
        </w:tc>
        <w:tc>
          <w:tcPr>
            <w:tcW w:w="1870" w:type="dxa"/>
            <w:tcBorders>
              <w:bottom w:val="single" w:sz="4" w:space="0" w:color="auto"/>
            </w:tcBorders>
            <w:vAlign w:val="center"/>
          </w:tcPr>
          <w:p w14:paraId="5267737A" w14:textId="77777777" w:rsidR="00512991" w:rsidRDefault="00512991" w:rsidP="00ED26A2">
            <w:pPr>
              <w:jc w:val="center"/>
            </w:pPr>
            <w:r w:rsidRPr="000B52A1">
              <w:rPr>
                <w:rFonts w:eastAsia="Arial" w:cstheme="minorHAnsi"/>
                <w:color w:val="000000"/>
                <w:sz w:val="22"/>
                <w:szCs w:val="22"/>
              </w:rPr>
              <w:t>0.67 ± 1.31</w:t>
            </w:r>
          </w:p>
        </w:tc>
      </w:tr>
      <w:tr w:rsidR="00512991" w14:paraId="58BAAC44" w14:textId="77777777" w:rsidTr="00ED26A2">
        <w:trPr>
          <w:trHeight w:val="360"/>
        </w:trPr>
        <w:tc>
          <w:tcPr>
            <w:tcW w:w="1870" w:type="dxa"/>
            <w:vMerge w:val="restart"/>
            <w:tcBorders>
              <w:top w:val="single" w:sz="4" w:space="0" w:color="auto"/>
            </w:tcBorders>
            <w:vAlign w:val="center"/>
          </w:tcPr>
          <w:p w14:paraId="747D5C57" w14:textId="77777777" w:rsidR="00512991" w:rsidRDefault="00512991" w:rsidP="00ED26A2">
            <w:pPr>
              <w:jc w:val="center"/>
            </w:pPr>
            <w:r w:rsidRPr="000B52A1">
              <w:rPr>
                <w:rFonts w:eastAsia="Arial" w:cstheme="minorHAnsi"/>
                <w:color w:val="000000"/>
                <w:sz w:val="22"/>
                <w:szCs w:val="22"/>
              </w:rPr>
              <w:t>Potential SAV</w:t>
            </w:r>
          </w:p>
        </w:tc>
        <w:tc>
          <w:tcPr>
            <w:tcW w:w="1640" w:type="dxa"/>
            <w:tcBorders>
              <w:top w:val="single" w:sz="4" w:space="0" w:color="auto"/>
            </w:tcBorders>
            <w:vAlign w:val="center"/>
          </w:tcPr>
          <w:p w14:paraId="084C67BA" w14:textId="77777777" w:rsidR="00512991" w:rsidRDefault="00512991" w:rsidP="00ED26A2">
            <w:pPr>
              <w:jc w:val="center"/>
            </w:pPr>
            <w:r w:rsidRPr="000B52A1">
              <w:rPr>
                <w:rFonts w:eastAsia="Arial" w:cstheme="minorHAnsi"/>
                <w:color w:val="000000"/>
                <w:sz w:val="22"/>
                <w:szCs w:val="22"/>
              </w:rPr>
              <w:t>Good</w:t>
            </w:r>
          </w:p>
        </w:tc>
        <w:tc>
          <w:tcPr>
            <w:tcW w:w="2875" w:type="dxa"/>
            <w:tcBorders>
              <w:top w:val="single" w:sz="4" w:space="0" w:color="auto"/>
            </w:tcBorders>
            <w:vAlign w:val="center"/>
          </w:tcPr>
          <w:p w14:paraId="7633F042" w14:textId="77777777" w:rsidR="00512991" w:rsidRDefault="00512991" w:rsidP="00ED26A2">
            <w:pPr>
              <w:jc w:val="center"/>
            </w:pPr>
            <w:r w:rsidRPr="000B52A1">
              <w:rPr>
                <w:rFonts w:eastAsia="Arial" w:cstheme="minorHAnsi"/>
                <w:color w:val="000000"/>
                <w:sz w:val="22"/>
                <w:szCs w:val="22"/>
              </w:rPr>
              <w:t>&gt; 40</w:t>
            </w:r>
          </w:p>
        </w:tc>
        <w:tc>
          <w:tcPr>
            <w:tcW w:w="1095" w:type="dxa"/>
            <w:tcBorders>
              <w:top w:val="single" w:sz="4" w:space="0" w:color="auto"/>
            </w:tcBorders>
            <w:vAlign w:val="center"/>
          </w:tcPr>
          <w:p w14:paraId="4194FBD4" w14:textId="77777777" w:rsidR="00512991" w:rsidRDefault="00512991" w:rsidP="00ED26A2">
            <w:pPr>
              <w:jc w:val="center"/>
            </w:pPr>
            <w:r w:rsidRPr="000B52A1">
              <w:rPr>
                <w:rFonts w:eastAsia="Arial" w:cstheme="minorHAnsi"/>
                <w:color w:val="000000"/>
                <w:sz w:val="22"/>
                <w:szCs w:val="22"/>
              </w:rPr>
              <w:t>5</w:t>
            </w:r>
          </w:p>
        </w:tc>
        <w:tc>
          <w:tcPr>
            <w:tcW w:w="1870" w:type="dxa"/>
            <w:tcBorders>
              <w:top w:val="single" w:sz="4" w:space="0" w:color="auto"/>
            </w:tcBorders>
            <w:vAlign w:val="center"/>
          </w:tcPr>
          <w:p w14:paraId="0B8DC491" w14:textId="77777777" w:rsidR="00512991" w:rsidRDefault="00512991" w:rsidP="00ED26A2">
            <w:pPr>
              <w:jc w:val="center"/>
            </w:pPr>
            <w:r w:rsidRPr="000B52A1">
              <w:rPr>
                <w:rFonts w:eastAsia="Arial" w:cstheme="minorHAnsi"/>
                <w:color w:val="000000"/>
                <w:sz w:val="22"/>
                <w:szCs w:val="22"/>
              </w:rPr>
              <w:t>3.38 ± 2.93</w:t>
            </w:r>
          </w:p>
        </w:tc>
      </w:tr>
      <w:tr w:rsidR="00512991" w14:paraId="3400E2E8" w14:textId="77777777" w:rsidTr="00ED26A2">
        <w:trPr>
          <w:trHeight w:val="360"/>
        </w:trPr>
        <w:tc>
          <w:tcPr>
            <w:tcW w:w="1870" w:type="dxa"/>
            <w:vMerge/>
            <w:vAlign w:val="center"/>
          </w:tcPr>
          <w:p w14:paraId="0C6F9262" w14:textId="77777777" w:rsidR="00512991" w:rsidRDefault="00512991" w:rsidP="00ED26A2">
            <w:pPr>
              <w:jc w:val="center"/>
            </w:pPr>
          </w:p>
        </w:tc>
        <w:tc>
          <w:tcPr>
            <w:tcW w:w="1640" w:type="dxa"/>
            <w:vAlign w:val="center"/>
          </w:tcPr>
          <w:p w14:paraId="2F4F7FBC" w14:textId="77777777" w:rsidR="00512991" w:rsidRDefault="00512991" w:rsidP="00ED26A2">
            <w:pPr>
              <w:jc w:val="center"/>
            </w:pPr>
            <w:r w:rsidRPr="000B52A1">
              <w:rPr>
                <w:rFonts w:eastAsia="Arial" w:cstheme="minorHAnsi"/>
                <w:color w:val="000000"/>
                <w:sz w:val="22"/>
                <w:szCs w:val="22"/>
              </w:rPr>
              <w:t>Fair</w:t>
            </w:r>
          </w:p>
        </w:tc>
        <w:tc>
          <w:tcPr>
            <w:tcW w:w="2875" w:type="dxa"/>
            <w:vAlign w:val="center"/>
          </w:tcPr>
          <w:p w14:paraId="17E429BD" w14:textId="77777777" w:rsidR="00512991" w:rsidRDefault="00512991" w:rsidP="00ED26A2">
            <w:pPr>
              <w:jc w:val="center"/>
            </w:pPr>
            <w:r w:rsidRPr="000B52A1">
              <w:rPr>
                <w:rFonts w:eastAsia="Arial" w:cstheme="minorHAnsi"/>
                <w:color w:val="000000"/>
                <w:sz w:val="22"/>
                <w:szCs w:val="22"/>
              </w:rPr>
              <w:t>≤ 40 and &gt; CBP Criteria</w:t>
            </w:r>
          </w:p>
        </w:tc>
        <w:tc>
          <w:tcPr>
            <w:tcW w:w="1095" w:type="dxa"/>
            <w:vAlign w:val="center"/>
          </w:tcPr>
          <w:p w14:paraId="2721F45B" w14:textId="77777777" w:rsidR="00512991" w:rsidRDefault="00512991" w:rsidP="00ED26A2">
            <w:pPr>
              <w:jc w:val="center"/>
            </w:pPr>
            <w:r w:rsidRPr="000B52A1">
              <w:rPr>
                <w:rFonts w:eastAsia="Arial" w:cstheme="minorHAnsi"/>
                <w:color w:val="000000"/>
                <w:sz w:val="22"/>
                <w:szCs w:val="22"/>
              </w:rPr>
              <w:t>22</w:t>
            </w:r>
          </w:p>
        </w:tc>
        <w:tc>
          <w:tcPr>
            <w:tcW w:w="1870" w:type="dxa"/>
            <w:vAlign w:val="center"/>
          </w:tcPr>
          <w:p w14:paraId="5CA7FF7A" w14:textId="77777777" w:rsidR="00512991" w:rsidRDefault="00512991" w:rsidP="00ED26A2">
            <w:pPr>
              <w:jc w:val="center"/>
            </w:pPr>
            <w:r w:rsidRPr="000B52A1">
              <w:rPr>
                <w:rFonts w:eastAsia="Arial" w:cstheme="minorHAnsi"/>
                <w:color w:val="000000"/>
                <w:sz w:val="22"/>
                <w:szCs w:val="22"/>
              </w:rPr>
              <w:t>14.86 ± 5.78</w:t>
            </w:r>
          </w:p>
        </w:tc>
      </w:tr>
      <w:tr w:rsidR="00512991" w14:paraId="59929691" w14:textId="77777777" w:rsidTr="00ED26A2">
        <w:trPr>
          <w:trHeight w:val="360"/>
        </w:trPr>
        <w:tc>
          <w:tcPr>
            <w:tcW w:w="1870" w:type="dxa"/>
            <w:vMerge/>
            <w:vAlign w:val="center"/>
          </w:tcPr>
          <w:p w14:paraId="210DB43A" w14:textId="77777777" w:rsidR="00512991" w:rsidRDefault="00512991" w:rsidP="00ED26A2">
            <w:pPr>
              <w:jc w:val="center"/>
            </w:pPr>
          </w:p>
        </w:tc>
        <w:tc>
          <w:tcPr>
            <w:tcW w:w="1640" w:type="dxa"/>
            <w:vAlign w:val="center"/>
          </w:tcPr>
          <w:p w14:paraId="25C7D5A9" w14:textId="77777777" w:rsidR="00512991" w:rsidRDefault="00512991" w:rsidP="00ED26A2">
            <w:pPr>
              <w:jc w:val="center"/>
            </w:pPr>
            <w:r w:rsidRPr="000B52A1">
              <w:rPr>
                <w:rFonts w:eastAsia="Arial" w:cstheme="minorHAnsi"/>
                <w:color w:val="000000"/>
                <w:sz w:val="22"/>
                <w:szCs w:val="22"/>
              </w:rPr>
              <w:t>Poor</w:t>
            </w:r>
          </w:p>
        </w:tc>
        <w:tc>
          <w:tcPr>
            <w:tcW w:w="2875" w:type="dxa"/>
            <w:vAlign w:val="center"/>
          </w:tcPr>
          <w:p w14:paraId="7E5C7DE5" w14:textId="77777777" w:rsidR="00512991" w:rsidRDefault="00512991" w:rsidP="00ED26A2">
            <w:pPr>
              <w:jc w:val="center"/>
            </w:pPr>
            <w:r w:rsidRPr="000B52A1">
              <w:rPr>
                <w:rFonts w:eastAsia="Arial" w:cstheme="minorHAnsi"/>
                <w:color w:val="000000"/>
                <w:sz w:val="22"/>
                <w:szCs w:val="22"/>
              </w:rPr>
              <w:t>≤ CBP Criteria</w:t>
            </w:r>
          </w:p>
        </w:tc>
        <w:tc>
          <w:tcPr>
            <w:tcW w:w="1095" w:type="dxa"/>
            <w:vAlign w:val="center"/>
          </w:tcPr>
          <w:p w14:paraId="3D56C1AA" w14:textId="77777777" w:rsidR="00512991" w:rsidRDefault="00512991" w:rsidP="00ED26A2">
            <w:pPr>
              <w:jc w:val="center"/>
            </w:pPr>
            <w:r w:rsidRPr="000B52A1">
              <w:rPr>
                <w:rFonts w:eastAsia="Arial" w:cstheme="minorHAnsi"/>
                <w:color w:val="000000"/>
                <w:sz w:val="22"/>
                <w:szCs w:val="22"/>
              </w:rPr>
              <w:t>120</w:t>
            </w:r>
          </w:p>
        </w:tc>
        <w:tc>
          <w:tcPr>
            <w:tcW w:w="1870" w:type="dxa"/>
            <w:vAlign w:val="center"/>
          </w:tcPr>
          <w:p w14:paraId="445059D2" w14:textId="77777777" w:rsidR="00512991" w:rsidRDefault="00512991" w:rsidP="00ED26A2">
            <w:pPr>
              <w:jc w:val="center"/>
            </w:pPr>
            <w:r w:rsidRPr="000B52A1">
              <w:rPr>
                <w:rFonts w:eastAsia="Arial" w:cstheme="minorHAnsi"/>
                <w:color w:val="000000"/>
                <w:sz w:val="22"/>
                <w:szCs w:val="22"/>
              </w:rPr>
              <w:t>81.08 ± 6.36</w:t>
            </w:r>
          </w:p>
        </w:tc>
      </w:tr>
      <w:tr w:rsidR="00512991" w14:paraId="722B4855" w14:textId="77777777" w:rsidTr="00D47A92">
        <w:trPr>
          <w:trHeight w:val="360"/>
        </w:trPr>
        <w:tc>
          <w:tcPr>
            <w:tcW w:w="1870" w:type="dxa"/>
            <w:vMerge/>
            <w:tcBorders>
              <w:bottom w:val="single" w:sz="4" w:space="0" w:color="auto"/>
            </w:tcBorders>
            <w:vAlign w:val="center"/>
          </w:tcPr>
          <w:p w14:paraId="67A72B3D" w14:textId="77777777" w:rsidR="00512991" w:rsidRDefault="00512991" w:rsidP="00ED26A2">
            <w:pPr>
              <w:jc w:val="center"/>
            </w:pPr>
          </w:p>
        </w:tc>
        <w:tc>
          <w:tcPr>
            <w:tcW w:w="1640" w:type="dxa"/>
            <w:tcBorders>
              <w:bottom w:val="single" w:sz="4" w:space="0" w:color="auto"/>
            </w:tcBorders>
            <w:vAlign w:val="center"/>
          </w:tcPr>
          <w:p w14:paraId="1332B8F3" w14:textId="77777777" w:rsidR="00512991" w:rsidRDefault="00512991" w:rsidP="00ED26A2">
            <w:pPr>
              <w:jc w:val="center"/>
            </w:pPr>
            <w:r w:rsidRPr="000B52A1">
              <w:rPr>
                <w:rFonts w:eastAsia="Arial" w:cstheme="minorHAnsi"/>
                <w:color w:val="000000"/>
                <w:sz w:val="22"/>
                <w:szCs w:val="22"/>
              </w:rPr>
              <w:t>Missing</w:t>
            </w:r>
          </w:p>
        </w:tc>
        <w:tc>
          <w:tcPr>
            <w:tcW w:w="2875" w:type="dxa"/>
            <w:tcBorders>
              <w:bottom w:val="single" w:sz="4" w:space="0" w:color="auto"/>
            </w:tcBorders>
            <w:vAlign w:val="center"/>
          </w:tcPr>
          <w:p w14:paraId="1BEE0A70" w14:textId="77777777" w:rsidR="00512991" w:rsidRDefault="00512991" w:rsidP="00ED26A2">
            <w:pPr>
              <w:jc w:val="center"/>
            </w:pPr>
            <w:r w:rsidRPr="000B52A1">
              <w:rPr>
                <w:rFonts w:eastAsia="Arial" w:cstheme="minorHAnsi"/>
                <w:color w:val="000000"/>
                <w:sz w:val="22"/>
                <w:szCs w:val="22"/>
              </w:rPr>
              <w:t>------</w:t>
            </w:r>
          </w:p>
        </w:tc>
        <w:tc>
          <w:tcPr>
            <w:tcW w:w="1095" w:type="dxa"/>
            <w:tcBorders>
              <w:bottom w:val="single" w:sz="4" w:space="0" w:color="auto"/>
            </w:tcBorders>
            <w:vAlign w:val="center"/>
          </w:tcPr>
          <w:p w14:paraId="16131B18" w14:textId="77777777" w:rsidR="00512991" w:rsidRDefault="00512991" w:rsidP="00ED26A2">
            <w:pPr>
              <w:jc w:val="center"/>
            </w:pPr>
            <w:r w:rsidRPr="000B52A1">
              <w:rPr>
                <w:rFonts w:eastAsia="Arial" w:cstheme="minorHAnsi"/>
                <w:color w:val="000000"/>
                <w:sz w:val="22"/>
                <w:szCs w:val="22"/>
              </w:rPr>
              <w:t>1</w:t>
            </w:r>
          </w:p>
        </w:tc>
        <w:tc>
          <w:tcPr>
            <w:tcW w:w="1870" w:type="dxa"/>
            <w:tcBorders>
              <w:bottom w:val="single" w:sz="4" w:space="0" w:color="auto"/>
            </w:tcBorders>
            <w:vAlign w:val="center"/>
          </w:tcPr>
          <w:p w14:paraId="7603283B" w14:textId="77777777" w:rsidR="00512991" w:rsidRDefault="00512991" w:rsidP="00ED26A2">
            <w:pPr>
              <w:jc w:val="center"/>
            </w:pPr>
            <w:r w:rsidRPr="000B52A1">
              <w:rPr>
                <w:rFonts w:eastAsia="Arial" w:cstheme="minorHAnsi"/>
                <w:color w:val="000000"/>
                <w:sz w:val="22"/>
                <w:szCs w:val="22"/>
              </w:rPr>
              <w:t>0.68 ± 1.33</w:t>
            </w:r>
          </w:p>
        </w:tc>
      </w:tr>
      <w:tr w:rsidR="00512991" w14:paraId="431824A6" w14:textId="77777777" w:rsidTr="00D47A92">
        <w:trPr>
          <w:trHeight w:val="360"/>
        </w:trPr>
        <w:tc>
          <w:tcPr>
            <w:tcW w:w="1870" w:type="dxa"/>
            <w:tcBorders>
              <w:top w:val="single" w:sz="4" w:space="0" w:color="auto"/>
              <w:bottom w:val="single" w:sz="12" w:space="0" w:color="auto"/>
            </w:tcBorders>
            <w:vAlign w:val="center"/>
          </w:tcPr>
          <w:p w14:paraId="0182CA1C" w14:textId="77777777" w:rsidR="00512991" w:rsidRPr="00E71E87" w:rsidRDefault="00512991" w:rsidP="00ED26A2">
            <w:pPr>
              <w:jc w:val="center"/>
              <w:rPr>
                <w:b/>
                <w:bCs/>
              </w:rPr>
            </w:pPr>
            <w:r w:rsidRPr="00E71E87">
              <w:rPr>
                <w:rFonts w:eastAsia="Arial" w:cstheme="minorHAnsi"/>
                <w:b/>
                <w:bCs/>
                <w:color w:val="000000"/>
                <w:sz w:val="22"/>
                <w:szCs w:val="22"/>
              </w:rPr>
              <w:t>Total</w:t>
            </w:r>
          </w:p>
        </w:tc>
        <w:tc>
          <w:tcPr>
            <w:tcW w:w="1640" w:type="dxa"/>
            <w:tcBorders>
              <w:top w:val="single" w:sz="4" w:space="0" w:color="auto"/>
              <w:bottom w:val="single" w:sz="12" w:space="0" w:color="auto"/>
            </w:tcBorders>
            <w:vAlign w:val="center"/>
          </w:tcPr>
          <w:p w14:paraId="119056F0" w14:textId="77777777" w:rsidR="00512991" w:rsidRPr="00E71E87" w:rsidRDefault="00512991" w:rsidP="00ED26A2">
            <w:pPr>
              <w:jc w:val="center"/>
              <w:rPr>
                <w:rFonts w:eastAsia="Arial" w:cstheme="minorHAnsi"/>
                <w:b/>
                <w:bCs/>
                <w:color w:val="000000"/>
              </w:rPr>
            </w:pPr>
          </w:p>
        </w:tc>
        <w:tc>
          <w:tcPr>
            <w:tcW w:w="2875" w:type="dxa"/>
            <w:tcBorders>
              <w:top w:val="single" w:sz="4" w:space="0" w:color="auto"/>
              <w:bottom w:val="single" w:sz="12" w:space="0" w:color="auto"/>
            </w:tcBorders>
            <w:vAlign w:val="center"/>
          </w:tcPr>
          <w:p w14:paraId="6963E298" w14:textId="77777777" w:rsidR="00512991" w:rsidRPr="00E71E87" w:rsidRDefault="00512991" w:rsidP="00ED26A2">
            <w:pPr>
              <w:jc w:val="center"/>
              <w:rPr>
                <w:rFonts w:eastAsia="Arial" w:cstheme="minorHAnsi"/>
                <w:b/>
                <w:bCs/>
                <w:color w:val="000000"/>
              </w:rPr>
            </w:pPr>
          </w:p>
        </w:tc>
        <w:tc>
          <w:tcPr>
            <w:tcW w:w="1095" w:type="dxa"/>
            <w:tcBorders>
              <w:top w:val="single" w:sz="4" w:space="0" w:color="auto"/>
              <w:bottom w:val="single" w:sz="12" w:space="0" w:color="auto"/>
            </w:tcBorders>
            <w:vAlign w:val="center"/>
          </w:tcPr>
          <w:p w14:paraId="37F8C968" w14:textId="77777777" w:rsidR="00512991" w:rsidRPr="00E71E87" w:rsidRDefault="00512991" w:rsidP="00ED26A2">
            <w:pPr>
              <w:jc w:val="center"/>
              <w:rPr>
                <w:rFonts w:eastAsia="Arial" w:cstheme="minorHAnsi"/>
                <w:b/>
                <w:bCs/>
                <w:color w:val="000000"/>
              </w:rPr>
            </w:pPr>
            <w:r w:rsidRPr="00E71E87">
              <w:rPr>
                <w:rFonts w:eastAsia="Arial" w:cstheme="minorHAnsi"/>
                <w:b/>
                <w:bCs/>
                <w:color w:val="000000"/>
                <w:sz w:val="22"/>
                <w:szCs w:val="22"/>
              </w:rPr>
              <w:t>298</w:t>
            </w:r>
          </w:p>
        </w:tc>
        <w:tc>
          <w:tcPr>
            <w:tcW w:w="1870" w:type="dxa"/>
            <w:tcBorders>
              <w:top w:val="single" w:sz="4" w:space="0" w:color="auto"/>
              <w:bottom w:val="single" w:sz="12" w:space="0" w:color="auto"/>
            </w:tcBorders>
            <w:vAlign w:val="center"/>
          </w:tcPr>
          <w:p w14:paraId="5E537764" w14:textId="77777777" w:rsidR="00512991" w:rsidRPr="000B52A1" w:rsidRDefault="00512991" w:rsidP="00ED26A2">
            <w:pPr>
              <w:jc w:val="center"/>
              <w:rPr>
                <w:rFonts w:eastAsia="Arial" w:cstheme="minorHAnsi"/>
                <w:color w:val="000000"/>
              </w:rPr>
            </w:pPr>
          </w:p>
        </w:tc>
      </w:tr>
    </w:tbl>
    <w:p w14:paraId="4A4CB118" w14:textId="77777777" w:rsidR="001341F6" w:rsidRDefault="00512991" w:rsidP="00E32B03">
      <w:pPr>
        <w:pStyle w:val="TableCaption"/>
      </w:pPr>
      <w:proofErr w:type="gramStart"/>
      <w:r w:rsidRPr="000B52A1">
        <w:rPr>
          <w:vertAlign w:val="superscript"/>
        </w:rPr>
        <w:t>a</w:t>
      </w:r>
      <w:r w:rsidR="00D47A92">
        <w:rPr>
          <w:vertAlign w:val="superscript"/>
        </w:rPr>
        <w:t xml:space="preserve"> </w:t>
      </w:r>
      <w:r w:rsidRPr="000B52A1">
        <w:t>Stations</w:t>
      </w:r>
      <w:proofErr w:type="gramEnd"/>
      <w:r w:rsidRPr="000B52A1">
        <w:t xml:space="preserve"> meeting CBP </w:t>
      </w:r>
      <w:r w:rsidR="0084716E">
        <w:t xml:space="preserve">Potential </w:t>
      </w:r>
      <w:r w:rsidRPr="000B52A1">
        <w:t xml:space="preserve">SAV habitat criteria were evaluated using respective </w:t>
      </w:r>
      <w:r w:rsidR="003F7B14">
        <w:t xml:space="preserve">salinity-dependent </w:t>
      </w:r>
      <w:r w:rsidRPr="000B52A1">
        <w:t xml:space="preserve">CBP PAR criteria in Table </w:t>
      </w:r>
      <w:r w:rsidR="001418D2">
        <w:t>4.5-</w:t>
      </w:r>
      <w:r w:rsidRPr="000B52A1">
        <w:t>8.</w:t>
      </w:r>
    </w:p>
    <w:p w14:paraId="1C6B5FD1" w14:textId="6114D6BE" w:rsidR="00512991" w:rsidRPr="00187752" w:rsidRDefault="00512991" w:rsidP="001341F6"/>
    <w:p w14:paraId="00C823C0" w14:textId="77777777" w:rsidR="0030653F" w:rsidRPr="000B52A1" w:rsidRDefault="0030653F" w:rsidP="00C5533C">
      <w:pPr>
        <w:pStyle w:val="Heading4"/>
        <w:rPr>
          <w:rFonts w:cstheme="minorHAnsi"/>
        </w:rPr>
      </w:pPr>
      <w:bookmarkStart w:id="250" w:name="water-quality-index"/>
      <w:bookmarkEnd w:id="244"/>
      <w:r w:rsidRPr="000B52A1">
        <w:rPr>
          <w:rFonts w:cstheme="minorHAnsi"/>
        </w:rPr>
        <w:t>Water Quality Index</w:t>
      </w:r>
    </w:p>
    <w:p w14:paraId="19103A7F" w14:textId="1710977C" w:rsidR="0030653F" w:rsidRPr="000B52A1" w:rsidRDefault="0030653F" w:rsidP="00A305A8">
      <w:r w:rsidRPr="000B52A1">
        <w:t xml:space="preserve">The five individual indicators of water quality evaluated above may not always agree </w:t>
      </w:r>
      <w:proofErr w:type="gramStart"/>
      <w:r w:rsidRPr="000B52A1">
        <w:t>in</w:t>
      </w:r>
      <w:proofErr w:type="gramEnd"/>
      <w:r w:rsidRPr="000B52A1">
        <w:t xml:space="preserve"> their separate characterizations of water quality. For example, a decrease in dissolved nutrients (DIP and DIN) might be interpreted as an improvement of water quality, but if the decrease was caused by the rapid uptake of nutrients by an expanding population of algae (a bloom), an increase in </w:t>
      </w:r>
      <w:proofErr w:type="spellStart"/>
      <w:r w:rsidRPr="000B52A1">
        <w:t>Chl</w:t>
      </w:r>
      <w:proofErr w:type="spellEnd"/>
      <w:r w:rsidRPr="000B52A1">
        <w:t>-</w:t>
      </w:r>
      <w:r w:rsidRPr="0051102A">
        <w:rPr>
          <w:i/>
        </w:rPr>
        <w:t>a</w:t>
      </w:r>
      <w:r w:rsidRPr="000B52A1">
        <w:t xml:space="preserve"> and a decrease in PAR would result. </w:t>
      </w:r>
      <w:proofErr w:type="gramStart"/>
      <w:r w:rsidRPr="000B52A1">
        <w:t>Both of the latter</w:t>
      </w:r>
      <w:proofErr w:type="gramEnd"/>
      <w:r w:rsidRPr="000B52A1">
        <w:t xml:space="preserve"> (as well as an algal </w:t>
      </w:r>
      <w:r w:rsidRPr="000B52A1">
        <w:lastRenderedPageBreak/>
        <w:t xml:space="preserve">bloom) would be considered degradations of water quality. Increased photosynthesis by an algal bloom would improve near-surface DO concentrations during the day, but nighttime metabolism by algae might greatly depress near-surface DO concentrations. Also, the decomposition of dying algae, later in the bloom, would further depress DO concentrations, especially deeper in the water column. Consequently, all five water quality indicators discussed above (DIP, DIN, </w:t>
      </w:r>
      <w:proofErr w:type="spellStart"/>
      <w:r w:rsidRPr="000B52A1">
        <w:t>Chl</w:t>
      </w:r>
      <w:proofErr w:type="spellEnd"/>
      <w:r w:rsidRPr="000B52A1">
        <w:t>-</w:t>
      </w:r>
      <w:r w:rsidRPr="0051102A">
        <w:rPr>
          <w:i/>
        </w:rPr>
        <w:t>a</w:t>
      </w:r>
      <w:r w:rsidRPr="000B52A1">
        <w:t xml:space="preserve">, DO, and PAR) are integrated into a single water quality index (WQI) to provide a general characterization of water quality at each station. This integration is performed by evaluating the observed condition of each of the five indicators and combining them using the benchmarks described in Table </w:t>
      </w:r>
      <w:r w:rsidR="00E14238">
        <w:t>4.5-</w:t>
      </w:r>
      <w:r w:rsidRPr="000B52A1">
        <w:t>10.</w:t>
      </w:r>
      <w:r w:rsidR="00E14238">
        <w:br/>
      </w:r>
    </w:p>
    <w:p w14:paraId="480AAAEF" w14:textId="4ADCAA95" w:rsidR="0051258F" w:rsidRPr="00D237D4" w:rsidRDefault="0006412F">
      <w:pPr>
        <w:pStyle w:val="Caption"/>
        <w:keepNext/>
      </w:pPr>
      <w:bookmarkStart w:id="251" w:name="tab:tab-wqi"/>
      <w:bookmarkStart w:id="252" w:name="_Toc164175200"/>
      <w:bookmarkEnd w:id="251"/>
      <w:r w:rsidRPr="00E14238">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10</w:t>
      </w:r>
      <w:r w:rsidR="004F13BA">
        <w:rPr>
          <w:noProof/>
        </w:rPr>
        <w:fldChar w:fldCharType="end"/>
      </w:r>
      <w:r w:rsidRPr="00E14238">
        <w:t xml:space="preserve">. </w:t>
      </w:r>
      <w:r w:rsidR="0051258F">
        <w:t xml:space="preserve">Estimated </w:t>
      </w:r>
      <w:r w:rsidR="0051258F" w:rsidRPr="00E14238">
        <w:t xml:space="preserve">Water Quality Index (WQI) conditions </w:t>
      </w:r>
      <w:r w:rsidR="0051258F">
        <w:t>in Virginia’s estuarine waters</w:t>
      </w:r>
      <w:bookmarkEnd w:id="252"/>
      <w:r w:rsidR="0051258F">
        <w:t xml:space="preserve"> 2017-2022 based on aggregation of 5 water quality (WQ) indictors (near-surface DIP, DIN, and </w:t>
      </w:r>
      <w:proofErr w:type="spellStart"/>
      <w:r w:rsidR="0051258F">
        <w:t>Chl</w:t>
      </w:r>
      <w:proofErr w:type="spellEnd"/>
      <w:r w:rsidR="0051258F">
        <w:t>-</w:t>
      </w:r>
      <w:r w:rsidR="0051258F" w:rsidRPr="0A5BE548">
        <w:rPr>
          <w:i/>
        </w:rPr>
        <w:t>a</w:t>
      </w:r>
      <w:r w:rsidR="0051258F">
        <w:t>, near-bottom DO, and water clarity). Conditions and benchmarks are from U.S. EPA (2020).</w:t>
      </w:r>
    </w:p>
    <w:tbl>
      <w:tblPr>
        <w:tblStyle w:val="TableGrid"/>
        <w:tblW w:w="9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Water Quality Index (WQI) conditions in Virginia's estuarine waters 2017-2022 based on aggregation of 5 water quality (WQ) indictors (near-surface DIP, DIN, and Chl-a, near-bottom DO, and water clarity). Conditions and threshold benchmarks are from U.S. EPA (2020)."/>
        <w:tblDescription w:val="Water Quality Index (WQI) conditions in Virginia's estuarine waters 2017-2022 based on aggregation of 5 water quality (WQ) indictors (near-surface DIP, DIN, and Chl-a, near-bottom DO, and water clarity). Conditions and threshold benchmarks are from U.S. EPA (2020)."/>
      </w:tblPr>
      <w:tblGrid>
        <w:gridCol w:w="2337"/>
        <w:gridCol w:w="2788"/>
        <w:gridCol w:w="1886"/>
        <w:gridCol w:w="2337"/>
      </w:tblGrid>
      <w:tr w:rsidR="0006412F" w14:paraId="673F927C" w14:textId="77777777" w:rsidTr="004605B4">
        <w:trPr>
          <w:trHeight w:val="360"/>
        </w:trPr>
        <w:tc>
          <w:tcPr>
            <w:tcW w:w="2337" w:type="dxa"/>
            <w:tcBorders>
              <w:top w:val="single" w:sz="12" w:space="0" w:color="auto"/>
              <w:bottom w:val="single" w:sz="4" w:space="0" w:color="auto"/>
            </w:tcBorders>
            <w:vAlign w:val="center"/>
          </w:tcPr>
          <w:p w14:paraId="797ADD8D" w14:textId="77777777" w:rsidR="0006412F" w:rsidRDefault="0006412F">
            <w:r w:rsidRPr="000B52A1">
              <w:rPr>
                <w:rFonts w:eastAsia="Arial" w:cstheme="minorHAnsi"/>
                <w:b/>
                <w:color w:val="000000"/>
                <w:sz w:val="22"/>
                <w:szCs w:val="22"/>
              </w:rPr>
              <w:t>WQI Condition</w:t>
            </w:r>
          </w:p>
        </w:tc>
        <w:tc>
          <w:tcPr>
            <w:tcW w:w="2788" w:type="dxa"/>
            <w:tcBorders>
              <w:top w:val="single" w:sz="12" w:space="0" w:color="auto"/>
              <w:bottom w:val="single" w:sz="4" w:space="0" w:color="auto"/>
            </w:tcBorders>
            <w:vAlign w:val="center"/>
          </w:tcPr>
          <w:p w14:paraId="799264E1" w14:textId="77777777" w:rsidR="0006412F" w:rsidRDefault="0006412F">
            <w:r w:rsidRPr="000B52A1">
              <w:rPr>
                <w:rFonts w:eastAsia="Arial" w:cstheme="minorHAnsi"/>
                <w:b/>
                <w:color w:val="000000"/>
                <w:sz w:val="22"/>
                <w:szCs w:val="22"/>
              </w:rPr>
              <w:t>WQ Indicator Benchmarks</w:t>
            </w:r>
          </w:p>
        </w:tc>
        <w:tc>
          <w:tcPr>
            <w:tcW w:w="1886" w:type="dxa"/>
            <w:tcBorders>
              <w:top w:val="single" w:sz="12" w:space="0" w:color="auto"/>
              <w:bottom w:val="single" w:sz="4" w:space="0" w:color="auto"/>
            </w:tcBorders>
            <w:vAlign w:val="center"/>
          </w:tcPr>
          <w:p w14:paraId="0034F2EB" w14:textId="77777777" w:rsidR="0006412F" w:rsidRDefault="0006412F">
            <w:r w:rsidRPr="000B52A1">
              <w:rPr>
                <w:rFonts w:eastAsia="Arial" w:cstheme="minorHAnsi"/>
                <w:b/>
                <w:color w:val="000000"/>
                <w:sz w:val="22"/>
                <w:szCs w:val="22"/>
              </w:rPr>
              <w:t>Stations</w:t>
            </w:r>
          </w:p>
        </w:tc>
        <w:tc>
          <w:tcPr>
            <w:tcW w:w="2337" w:type="dxa"/>
            <w:tcBorders>
              <w:top w:val="single" w:sz="12" w:space="0" w:color="auto"/>
              <w:bottom w:val="single" w:sz="4" w:space="0" w:color="auto"/>
            </w:tcBorders>
            <w:vAlign w:val="center"/>
          </w:tcPr>
          <w:p w14:paraId="0A57D97F" w14:textId="729BE37B" w:rsidR="0006412F" w:rsidRDefault="0006412F">
            <w:r w:rsidRPr="000B52A1">
              <w:rPr>
                <w:rFonts w:eastAsia="Arial" w:cstheme="minorHAnsi"/>
                <w:b/>
                <w:color w:val="000000"/>
                <w:sz w:val="22"/>
                <w:szCs w:val="22"/>
              </w:rPr>
              <w:t>Percentage</w:t>
            </w:r>
            <w:r w:rsidR="005953C7" w:rsidRPr="005953C7">
              <w:rPr>
                <w:rFonts w:eastAsia="Arial" w:cstheme="minorHAnsi"/>
                <w:b/>
                <w:color w:val="000000"/>
                <w:sz w:val="22"/>
                <w:szCs w:val="22"/>
                <w:vertAlign w:val="superscript"/>
              </w:rPr>
              <w:t>1</w:t>
            </w:r>
          </w:p>
        </w:tc>
      </w:tr>
      <w:tr w:rsidR="0006412F" w14:paraId="01AB78DE" w14:textId="77777777" w:rsidTr="005E73EB">
        <w:trPr>
          <w:trHeight w:val="360"/>
        </w:trPr>
        <w:tc>
          <w:tcPr>
            <w:tcW w:w="2337" w:type="dxa"/>
            <w:tcBorders>
              <w:top w:val="single" w:sz="4" w:space="0" w:color="auto"/>
            </w:tcBorders>
            <w:vAlign w:val="center"/>
          </w:tcPr>
          <w:p w14:paraId="0CE393DB" w14:textId="77777777" w:rsidR="0006412F" w:rsidRDefault="0006412F">
            <w:r w:rsidRPr="000B52A1">
              <w:rPr>
                <w:rFonts w:eastAsia="Arial" w:cstheme="minorHAnsi"/>
                <w:color w:val="000000"/>
                <w:sz w:val="22"/>
                <w:szCs w:val="22"/>
              </w:rPr>
              <w:t>Good</w:t>
            </w:r>
          </w:p>
        </w:tc>
        <w:tc>
          <w:tcPr>
            <w:tcW w:w="2788" w:type="dxa"/>
            <w:tcBorders>
              <w:top w:val="single" w:sz="4" w:space="0" w:color="auto"/>
            </w:tcBorders>
            <w:vAlign w:val="center"/>
          </w:tcPr>
          <w:p w14:paraId="11ABE392" w14:textId="77777777" w:rsidR="0006412F" w:rsidRDefault="0006412F">
            <w:r w:rsidRPr="000B52A1">
              <w:rPr>
                <w:rFonts w:eastAsia="Arial" w:cstheme="minorHAnsi"/>
                <w:color w:val="000000"/>
                <w:sz w:val="22"/>
                <w:szCs w:val="22"/>
              </w:rPr>
              <w:t>0 Poor and ≤ 1 Fair</w:t>
            </w:r>
          </w:p>
        </w:tc>
        <w:tc>
          <w:tcPr>
            <w:tcW w:w="1886" w:type="dxa"/>
            <w:tcBorders>
              <w:top w:val="single" w:sz="4" w:space="0" w:color="auto"/>
            </w:tcBorders>
            <w:vAlign w:val="center"/>
          </w:tcPr>
          <w:p w14:paraId="0A46158F" w14:textId="77777777" w:rsidR="0006412F" w:rsidRDefault="0006412F">
            <w:r w:rsidRPr="000B52A1">
              <w:rPr>
                <w:rFonts w:eastAsia="Arial" w:cstheme="minorHAnsi"/>
                <w:color w:val="000000"/>
                <w:sz w:val="22"/>
                <w:szCs w:val="22"/>
              </w:rPr>
              <w:t>38</w:t>
            </w:r>
          </w:p>
        </w:tc>
        <w:tc>
          <w:tcPr>
            <w:tcW w:w="2337" w:type="dxa"/>
            <w:tcBorders>
              <w:top w:val="single" w:sz="4" w:space="0" w:color="auto"/>
            </w:tcBorders>
            <w:vAlign w:val="center"/>
          </w:tcPr>
          <w:p w14:paraId="3DB5C74C" w14:textId="77777777" w:rsidR="0006412F" w:rsidRDefault="0006412F">
            <w:r w:rsidRPr="000B52A1">
              <w:rPr>
                <w:rFonts w:eastAsia="Arial" w:cstheme="minorHAnsi"/>
                <w:color w:val="000000"/>
                <w:sz w:val="22"/>
                <w:szCs w:val="22"/>
              </w:rPr>
              <w:t>12.75 ± 3.8</w:t>
            </w:r>
          </w:p>
        </w:tc>
      </w:tr>
      <w:tr w:rsidR="0006412F" w14:paraId="3DE25B5D" w14:textId="77777777" w:rsidTr="005E73EB">
        <w:trPr>
          <w:trHeight w:val="360"/>
        </w:trPr>
        <w:tc>
          <w:tcPr>
            <w:tcW w:w="2337" w:type="dxa"/>
            <w:vAlign w:val="center"/>
          </w:tcPr>
          <w:p w14:paraId="2A48905A" w14:textId="77777777" w:rsidR="0006412F" w:rsidRDefault="0006412F">
            <w:r w:rsidRPr="000B52A1">
              <w:rPr>
                <w:rFonts w:eastAsia="Arial" w:cstheme="minorHAnsi"/>
                <w:color w:val="000000"/>
                <w:sz w:val="22"/>
                <w:szCs w:val="22"/>
              </w:rPr>
              <w:t>Fair</w:t>
            </w:r>
          </w:p>
        </w:tc>
        <w:tc>
          <w:tcPr>
            <w:tcW w:w="2788" w:type="dxa"/>
            <w:vAlign w:val="center"/>
          </w:tcPr>
          <w:p w14:paraId="3CD68CE9" w14:textId="77777777" w:rsidR="0006412F" w:rsidRDefault="0006412F">
            <w:r w:rsidRPr="000B52A1">
              <w:rPr>
                <w:rFonts w:eastAsia="Arial" w:cstheme="minorHAnsi"/>
                <w:color w:val="000000"/>
                <w:sz w:val="22"/>
                <w:szCs w:val="22"/>
              </w:rPr>
              <w:t>1 Poor or ≥ 2 Fair</w:t>
            </w:r>
          </w:p>
        </w:tc>
        <w:tc>
          <w:tcPr>
            <w:tcW w:w="1886" w:type="dxa"/>
            <w:vAlign w:val="center"/>
          </w:tcPr>
          <w:p w14:paraId="0DE8AAAD" w14:textId="77777777" w:rsidR="0006412F" w:rsidRDefault="0006412F">
            <w:r w:rsidRPr="000B52A1">
              <w:rPr>
                <w:rFonts w:eastAsia="Arial" w:cstheme="minorHAnsi"/>
                <w:color w:val="000000"/>
                <w:sz w:val="22"/>
                <w:szCs w:val="22"/>
              </w:rPr>
              <w:t>233</w:t>
            </w:r>
          </w:p>
        </w:tc>
        <w:tc>
          <w:tcPr>
            <w:tcW w:w="2337" w:type="dxa"/>
            <w:vAlign w:val="center"/>
          </w:tcPr>
          <w:p w14:paraId="31E87522" w14:textId="77777777" w:rsidR="0006412F" w:rsidRDefault="0006412F">
            <w:r w:rsidRPr="000B52A1">
              <w:rPr>
                <w:rFonts w:eastAsia="Arial" w:cstheme="minorHAnsi"/>
                <w:color w:val="000000"/>
                <w:sz w:val="22"/>
                <w:szCs w:val="22"/>
              </w:rPr>
              <w:t>78.19 ± 4.71</w:t>
            </w:r>
          </w:p>
        </w:tc>
      </w:tr>
      <w:tr w:rsidR="0006412F" w14:paraId="41DF791F" w14:textId="77777777" w:rsidTr="005E73EB">
        <w:trPr>
          <w:trHeight w:val="360"/>
        </w:trPr>
        <w:tc>
          <w:tcPr>
            <w:tcW w:w="2337" w:type="dxa"/>
            <w:vAlign w:val="center"/>
          </w:tcPr>
          <w:p w14:paraId="2FD7D999" w14:textId="77777777" w:rsidR="0006412F" w:rsidRDefault="0006412F">
            <w:r w:rsidRPr="000B52A1">
              <w:rPr>
                <w:rFonts w:eastAsia="Arial" w:cstheme="minorHAnsi"/>
                <w:color w:val="000000"/>
                <w:sz w:val="22"/>
                <w:szCs w:val="22"/>
              </w:rPr>
              <w:t>Poor</w:t>
            </w:r>
          </w:p>
        </w:tc>
        <w:tc>
          <w:tcPr>
            <w:tcW w:w="2788" w:type="dxa"/>
            <w:vAlign w:val="center"/>
          </w:tcPr>
          <w:p w14:paraId="06C3A21F" w14:textId="77777777" w:rsidR="0006412F" w:rsidRDefault="0006412F">
            <w:r w:rsidRPr="000B52A1">
              <w:rPr>
                <w:rFonts w:eastAsia="Arial" w:cstheme="minorHAnsi"/>
                <w:color w:val="000000"/>
                <w:sz w:val="22"/>
                <w:szCs w:val="22"/>
              </w:rPr>
              <w:t>≥ 2 Poor</w:t>
            </w:r>
          </w:p>
        </w:tc>
        <w:tc>
          <w:tcPr>
            <w:tcW w:w="1886" w:type="dxa"/>
            <w:vAlign w:val="center"/>
          </w:tcPr>
          <w:p w14:paraId="1A2F2315" w14:textId="77777777" w:rsidR="0006412F" w:rsidRDefault="0006412F">
            <w:r w:rsidRPr="000B52A1">
              <w:rPr>
                <w:rFonts w:eastAsia="Arial" w:cstheme="minorHAnsi"/>
                <w:color w:val="000000"/>
                <w:sz w:val="22"/>
                <w:szCs w:val="22"/>
              </w:rPr>
              <w:t>27</w:t>
            </w:r>
          </w:p>
        </w:tc>
        <w:tc>
          <w:tcPr>
            <w:tcW w:w="2337" w:type="dxa"/>
            <w:vAlign w:val="center"/>
          </w:tcPr>
          <w:p w14:paraId="1D61895D" w14:textId="77777777" w:rsidR="0006412F" w:rsidRDefault="0006412F">
            <w:r w:rsidRPr="000B52A1">
              <w:rPr>
                <w:rFonts w:eastAsia="Arial" w:cstheme="minorHAnsi"/>
                <w:color w:val="000000"/>
                <w:sz w:val="22"/>
                <w:szCs w:val="22"/>
              </w:rPr>
              <w:t>9.06 ± 3.27</w:t>
            </w:r>
          </w:p>
        </w:tc>
      </w:tr>
      <w:tr w:rsidR="0006412F" w14:paraId="6C2B93FB" w14:textId="77777777" w:rsidTr="004605B4">
        <w:trPr>
          <w:trHeight w:val="360"/>
        </w:trPr>
        <w:tc>
          <w:tcPr>
            <w:tcW w:w="2337" w:type="dxa"/>
            <w:tcBorders>
              <w:bottom w:val="single" w:sz="2" w:space="0" w:color="auto"/>
            </w:tcBorders>
            <w:vAlign w:val="center"/>
          </w:tcPr>
          <w:p w14:paraId="353666EA" w14:textId="77777777" w:rsidR="0006412F" w:rsidRDefault="0006412F">
            <w:r w:rsidRPr="000B52A1">
              <w:rPr>
                <w:rFonts w:eastAsia="Arial" w:cstheme="minorHAnsi"/>
                <w:color w:val="000000"/>
                <w:sz w:val="22"/>
                <w:szCs w:val="22"/>
              </w:rPr>
              <w:t>Missing</w:t>
            </w:r>
          </w:p>
        </w:tc>
        <w:tc>
          <w:tcPr>
            <w:tcW w:w="2788" w:type="dxa"/>
            <w:tcBorders>
              <w:bottom w:val="single" w:sz="2" w:space="0" w:color="auto"/>
            </w:tcBorders>
            <w:vAlign w:val="center"/>
          </w:tcPr>
          <w:p w14:paraId="0316F1E2" w14:textId="77777777" w:rsidR="0006412F" w:rsidRDefault="0006412F">
            <w:r w:rsidRPr="000B52A1">
              <w:rPr>
                <w:rFonts w:eastAsia="Arial" w:cstheme="minorHAnsi"/>
                <w:color w:val="000000"/>
                <w:sz w:val="22"/>
                <w:szCs w:val="22"/>
              </w:rPr>
              <w:t>≥ 2 indicators missing</w:t>
            </w:r>
          </w:p>
        </w:tc>
        <w:tc>
          <w:tcPr>
            <w:tcW w:w="1886" w:type="dxa"/>
            <w:tcBorders>
              <w:bottom w:val="single" w:sz="2" w:space="0" w:color="auto"/>
            </w:tcBorders>
            <w:vAlign w:val="center"/>
          </w:tcPr>
          <w:p w14:paraId="224A1A89" w14:textId="77777777" w:rsidR="0006412F" w:rsidRDefault="0006412F">
            <w:r w:rsidRPr="000B52A1">
              <w:rPr>
                <w:rFonts w:eastAsia="Arial" w:cstheme="minorHAnsi"/>
                <w:color w:val="000000"/>
                <w:sz w:val="22"/>
                <w:szCs w:val="22"/>
              </w:rPr>
              <w:t>0</w:t>
            </w:r>
          </w:p>
        </w:tc>
        <w:tc>
          <w:tcPr>
            <w:tcW w:w="2337" w:type="dxa"/>
            <w:tcBorders>
              <w:bottom w:val="single" w:sz="2" w:space="0" w:color="auto"/>
            </w:tcBorders>
            <w:vAlign w:val="center"/>
          </w:tcPr>
          <w:p w14:paraId="0FE8AC6D" w14:textId="77777777" w:rsidR="0006412F" w:rsidRDefault="0006412F">
            <w:r w:rsidRPr="000B52A1">
              <w:rPr>
                <w:rFonts w:eastAsia="Arial" w:cstheme="minorHAnsi"/>
                <w:color w:val="000000"/>
                <w:sz w:val="22"/>
                <w:szCs w:val="22"/>
              </w:rPr>
              <w:t>0</w:t>
            </w:r>
          </w:p>
        </w:tc>
      </w:tr>
      <w:tr w:rsidR="0006412F" w14:paraId="08146E2F" w14:textId="77777777" w:rsidTr="004605B4">
        <w:trPr>
          <w:trHeight w:val="360"/>
        </w:trPr>
        <w:tc>
          <w:tcPr>
            <w:tcW w:w="2337" w:type="dxa"/>
            <w:tcBorders>
              <w:top w:val="single" w:sz="2" w:space="0" w:color="auto"/>
              <w:bottom w:val="single" w:sz="12" w:space="0" w:color="auto"/>
            </w:tcBorders>
            <w:vAlign w:val="center"/>
          </w:tcPr>
          <w:p w14:paraId="5ED901D6" w14:textId="77777777" w:rsidR="0006412F" w:rsidRPr="004605B4" w:rsidRDefault="0006412F">
            <w:pPr>
              <w:rPr>
                <w:b/>
                <w:bCs/>
              </w:rPr>
            </w:pPr>
            <w:r w:rsidRPr="004605B4">
              <w:rPr>
                <w:rFonts w:eastAsia="Arial" w:cstheme="minorHAnsi"/>
                <w:b/>
                <w:bCs/>
                <w:color w:val="000000"/>
                <w:sz w:val="22"/>
                <w:szCs w:val="22"/>
              </w:rPr>
              <w:t>Total</w:t>
            </w:r>
          </w:p>
        </w:tc>
        <w:tc>
          <w:tcPr>
            <w:tcW w:w="2788" w:type="dxa"/>
            <w:tcBorders>
              <w:top w:val="single" w:sz="2" w:space="0" w:color="auto"/>
              <w:bottom w:val="single" w:sz="12" w:space="0" w:color="auto"/>
            </w:tcBorders>
            <w:vAlign w:val="center"/>
          </w:tcPr>
          <w:p w14:paraId="4628601C" w14:textId="77777777" w:rsidR="0006412F" w:rsidRPr="004605B4" w:rsidRDefault="0006412F">
            <w:pPr>
              <w:rPr>
                <w:b/>
                <w:bCs/>
              </w:rPr>
            </w:pPr>
          </w:p>
        </w:tc>
        <w:tc>
          <w:tcPr>
            <w:tcW w:w="1886" w:type="dxa"/>
            <w:tcBorders>
              <w:top w:val="single" w:sz="2" w:space="0" w:color="auto"/>
              <w:bottom w:val="single" w:sz="12" w:space="0" w:color="auto"/>
            </w:tcBorders>
            <w:vAlign w:val="center"/>
          </w:tcPr>
          <w:p w14:paraId="15FBE532" w14:textId="77777777" w:rsidR="0006412F" w:rsidRPr="004605B4" w:rsidRDefault="0006412F">
            <w:pPr>
              <w:rPr>
                <w:b/>
                <w:bCs/>
              </w:rPr>
            </w:pPr>
            <w:r w:rsidRPr="004605B4">
              <w:rPr>
                <w:rFonts w:eastAsia="Arial" w:cstheme="minorHAnsi"/>
                <w:b/>
                <w:bCs/>
                <w:color w:val="000000"/>
                <w:sz w:val="22"/>
                <w:szCs w:val="22"/>
              </w:rPr>
              <w:t>298</w:t>
            </w:r>
          </w:p>
        </w:tc>
        <w:tc>
          <w:tcPr>
            <w:tcW w:w="2337" w:type="dxa"/>
            <w:tcBorders>
              <w:top w:val="single" w:sz="2" w:space="0" w:color="auto"/>
              <w:bottom w:val="single" w:sz="12" w:space="0" w:color="auto"/>
            </w:tcBorders>
            <w:vAlign w:val="center"/>
          </w:tcPr>
          <w:p w14:paraId="7B946C87" w14:textId="77777777" w:rsidR="0006412F" w:rsidRPr="004605B4" w:rsidRDefault="0006412F">
            <w:pPr>
              <w:rPr>
                <w:b/>
                <w:bCs/>
              </w:rPr>
            </w:pPr>
          </w:p>
        </w:tc>
      </w:tr>
    </w:tbl>
    <w:p w14:paraId="44657221" w14:textId="77777777" w:rsidR="00754A86" w:rsidRDefault="00754A86" w:rsidP="00754A86">
      <w:pPr>
        <w:pStyle w:val="TableCaption"/>
      </w:pPr>
      <w:r w:rsidRPr="00754A86">
        <w:rPr>
          <w:vertAlign w:val="superscript"/>
        </w:rPr>
        <w:t>1</w:t>
      </w:r>
      <w:r w:rsidRPr="000F59F4">
        <w:t xml:space="preserve"> </w:t>
      </w:r>
      <w:r>
        <w:t>E</w:t>
      </w:r>
      <w:r w:rsidRPr="000F59F4">
        <w:t>stimated percentage</w:t>
      </w:r>
      <w:r>
        <w:t xml:space="preserve"> (</w:t>
      </w:r>
      <w:r w:rsidRPr="00224A2F">
        <w:t>+/- 95% confidence limits</w:t>
      </w:r>
      <w:r>
        <w:t xml:space="preserve">) </w:t>
      </w:r>
      <w:r w:rsidRPr="000F59F4">
        <w:t>of Virginia’s smaller estuarine waters</w:t>
      </w:r>
      <w:r>
        <w:t xml:space="preserve"> (&lt; 100 sq km drainage)</w:t>
      </w:r>
      <w:r w:rsidRPr="000F59F4">
        <w:t xml:space="preserve"> </w:t>
      </w:r>
      <w:r>
        <w:t>with</w:t>
      </w:r>
      <w:r w:rsidRPr="000F59F4">
        <w:t xml:space="preserve"> indicated water quality condition. </w:t>
      </w:r>
      <w:r>
        <w:t>As e</w:t>
      </w:r>
      <w:r w:rsidRPr="000F59F4">
        <w:t xml:space="preserve">stimated using data from DEQ’s estuarine probabilistic monitoring program and EPA’s National Coastal Condition Assessment </w:t>
      </w:r>
      <w:r>
        <w:t>program. Approximately 95% of stations are from smaller estuaries (&lt; 100 sq km drainage) and approximately 5% of stations are from Chesapeake Bay mainstem.</w:t>
      </w:r>
    </w:p>
    <w:p w14:paraId="74FE3446" w14:textId="77777777" w:rsidR="0006412F" w:rsidRPr="000B52A1" w:rsidRDefault="0006412F" w:rsidP="00A305A8"/>
    <w:p w14:paraId="7C0DFE72" w14:textId="77777777" w:rsidR="0030653F" w:rsidRPr="000B52A1" w:rsidRDefault="0030653F" w:rsidP="00C5533C">
      <w:pPr>
        <w:pStyle w:val="Heading4"/>
        <w:rPr>
          <w:rFonts w:cstheme="minorHAnsi"/>
        </w:rPr>
      </w:pPr>
      <w:bookmarkStart w:id="253" w:name="X6cfa01e07710e6a77af59c8b2c914ca4787e324"/>
      <w:bookmarkEnd w:id="250"/>
      <w:r w:rsidRPr="000B52A1">
        <w:rPr>
          <w:rFonts w:cstheme="minorHAnsi"/>
        </w:rPr>
        <w:t>Generalized Statewide Water Quality Characterization</w:t>
      </w:r>
    </w:p>
    <w:p w14:paraId="1945C24D" w14:textId="77777777" w:rsidR="000C1306" w:rsidRDefault="001D4F8D" w:rsidP="00A305A8">
      <w:r w:rsidRPr="000B52A1">
        <w:t>In past reports on NCCA surveys U.S. EPA has provided guidelines in the Technical Support Document (</w:t>
      </w:r>
      <w:r w:rsidRPr="00FC5A63">
        <w:rPr>
          <w:rFonts w:cstheme="minorHAnsi"/>
        </w:rPr>
        <w:t>U.S. EPA 2020</w:t>
      </w:r>
      <w:r w:rsidRPr="000B52A1">
        <w:t xml:space="preserve">) for characterizing regional attributes based on the proportions of individual stations in “Good”, “Fair”, or “Poor” condition (Table </w:t>
      </w:r>
      <w:r>
        <w:t>4.5-</w:t>
      </w:r>
      <w:r w:rsidRPr="000B52A1">
        <w:t xml:space="preserve">11) on the </w:t>
      </w:r>
      <w:r>
        <w:t>WQI</w:t>
      </w:r>
      <w:r w:rsidRPr="000B52A1">
        <w:t>. Virginia’s estuarine waters</w:t>
      </w:r>
      <w:r>
        <w:t xml:space="preserve"> - with analysis biased toward smaller estuaries (&lt; 100 sq km drainage) as described earlier – are estimated to be in </w:t>
      </w:r>
      <w:r w:rsidRPr="000B52A1">
        <w:t>“Fair”</w:t>
      </w:r>
      <w:r>
        <w:t xml:space="preserve"> condition</w:t>
      </w:r>
      <w:r w:rsidRPr="000B52A1">
        <w:t xml:space="preserve"> for generalized water quality</w:t>
      </w:r>
      <w:r>
        <w:t xml:space="preserve"> following NCCA guidelines</w:t>
      </w:r>
      <w:r w:rsidRPr="000B52A1">
        <w:t>, because 10 to 20% of the stations are in “Poor” condition, or 50% or fewer of the stations are in “Good” condition based on Water Quality Index conditions.</w:t>
      </w:r>
      <w:r>
        <w:t xml:space="preserve"> The WQI characterization is not representative of Chesapeake Bay mainstem or the lower tidal portions of its major tributaries.</w:t>
      </w:r>
    </w:p>
    <w:p w14:paraId="6FEBBB2E" w14:textId="77777777" w:rsidR="000C1306" w:rsidRDefault="000C1306" w:rsidP="00A305A8"/>
    <w:p w14:paraId="24BF8882" w14:textId="77777777" w:rsidR="000C1306" w:rsidRDefault="000C1306">
      <w:pPr>
        <w:widowControl/>
        <w:spacing w:after="160" w:line="259" w:lineRule="auto"/>
      </w:pPr>
      <w:r>
        <w:br w:type="page"/>
      </w:r>
    </w:p>
    <w:p w14:paraId="2F6ECB74" w14:textId="13C65EC3" w:rsidR="00FF6E77" w:rsidRPr="00D237D4" w:rsidRDefault="00D27817" w:rsidP="0A5BE548">
      <w:pPr>
        <w:pStyle w:val="Caption"/>
        <w:keepNext/>
        <w:rPr>
          <w:rFonts w:cstheme="minorBidi"/>
        </w:rPr>
      </w:pPr>
      <w:bookmarkStart w:id="254" w:name="tab:tab-gsw"/>
      <w:bookmarkStart w:id="255" w:name="_Toc164175201"/>
      <w:bookmarkEnd w:id="254"/>
      <w:r>
        <w:lastRenderedPageBreak/>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11</w:t>
      </w:r>
      <w:r w:rsidR="004F13BA">
        <w:rPr>
          <w:noProof/>
        </w:rPr>
        <w:fldChar w:fldCharType="end"/>
      </w:r>
      <w:r>
        <w:t xml:space="preserve">. </w:t>
      </w:r>
      <w:r w:rsidR="00FF6E77" w:rsidRPr="0A5BE548">
        <w:rPr>
          <w:rFonts w:cstheme="minorBidi"/>
        </w:rPr>
        <w:t>Benchmarks for regional Water Quality Index condition</w:t>
      </w:r>
      <w:bookmarkEnd w:id="255"/>
      <w:r w:rsidR="00FF6E77" w:rsidRPr="0A5BE548">
        <w:rPr>
          <w:rFonts w:cstheme="minorBidi"/>
        </w:rPr>
        <w:t>. Conditions and benchmarks are from U.S. EPA (2020).</w:t>
      </w:r>
    </w:p>
    <w:tbl>
      <w:tblPr>
        <w:tblStyle w:val="TableGrid"/>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Benchmarks for Regional Water Quality Condition. Conditions and benchmarks are from U.S. EPA (2020)."/>
        <w:tblDescription w:val="Benchmarks for Regional Water Quality Condition. Conditions and benchmarks are from U.S. EPA (2020)."/>
      </w:tblPr>
      <w:tblGrid>
        <w:gridCol w:w="2875"/>
        <w:gridCol w:w="6475"/>
      </w:tblGrid>
      <w:tr w:rsidR="00D27817" w14:paraId="37A0E458" w14:textId="77777777" w:rsidTr="00B97A02">
        <w:trPr>
          <w:trHeight w:val="360"/>
        </w:trPr>
        <w:tc>
          <w:tcPr>
            <w:tcW w:w="2875" w:type="dxa"/>
            <w:tcBorders>
              <w:top w:val="single" w:sz="12" w:space="0" w:color="auto"/>
              <w:bottom w:val="single" w:sz="4" w:space="0" w:color="auto"/>
            </w:tcBorders>
            <w:vAlign w:val="center"/>
          </w:tcPr>
          <w:p w14:paraId="4B209F34" w14:textId="77777777" w:rsidR="00D27817" w:rsidRDefault="00D27817">
            <w:r w:rsidRPr="000B52A1">
              <w:rPr>
                <w:rFonts w:eastAsia="Arial" w:cstheme="minorHAnsi"/>
                <w:b/>
                <w:color w:val="000000"/>
                <w:sz w:val="22"/>
                <w:szCs w:val="22"/>
              </w:rPr>
              <w:t>Condition</w:t>
            </w:r>
          </w:p>
        </w:tc>
        <w:tc>
          <w:tcPr>
            <w:tcW w:w="6475" w:type="dxa"/>
            <w:tcBorders>
              <w:top w:val="single" w:sz="12" w:space="0" w:color="auto"/>
              <w:bottom w:val="single" w:sz="4" w:space="0" w:color="auto"/>
            </w:tcBorders>
            <w:vAlign w:val="center"/>
          </w:tcPr>
          <w:p w14:paraId="3D887943" w14:textId="4B68FF65" w:rsidR="00D27817" w:rsidRDefault="00FF6E77">
            <w:r>
              <w:rPr>
                <w:rFonts w:eastAsia="Arial" w:cstheme="minorHAnsi"/>
                <w:b/>
                <w:color w:val="000000"/>
                <w:sz w:val="22"/>
                <w:szCs w:val="22"/>
              </w:rPr>
              <w:t>Regional</w:t>
            </w:r>
            <w:r w:rsidR="00D27817" w:rsidRPr="000B52A1">
              <w:rPr>
                <w:rFonts w:eastAsia="Arial" w:cstheme="minorHAnsi"/>
                <w:b/>
                <w:color w:val="000000"/>
                <w:sz w:val="22"/>
                <w:szCs w:val="22"/>
              </w:rPr>
              <w:t xml:space="preserve"> Water Quality Index Benchmarks</w:t>
            </w:r>
          </w:p>
        </w:tc>
      </w:tr>
      <w:tr w:rsidR="00D27817" w14:paraId="2A5217B6" w14:textId="77777777" w:rsidTr="00D27817">
        <w:trPr>
          <w:trHeight w:val="782"/>
        </w:trPr>
        <w:tc>
          <w:tcPr>
            <w:tcW w:w="2875" w:type="dxa"/>
            <w:tcBorders>
              <w:top w:val="single" w:sz="4" w:space="0" w:color="auto"/>
            </w:tcBorders>
            <w:vAlign w:val="center"/>
          </w:tcPr>
          <w:p w14:paraId="3264D81D" w14:textId="77777777" w:rsidR="00D27817" w:rsidRDefault="00D27817">
            <w:r w:rsidRPr="000B52A1">
              <w:rPr>
                <w:rFonts w:eastAsia="Arial" w:cstheme="minorHAnsi"/>
                <w:color w:val="000000"/>
                <w:sz w:val="22"/>
                <w:szCs w:val="22"/>
              </w:rPr>
              <w:t>Good</w:t>
            </w:r>
          </w:p>
        </w:tc>
        <w:tc>
          <w:tcPr>
            <w:tcW w:w="6475" w:type="dxa"/>
            <w:tcBorders>
              <w:top w:val="single" w:sz="4" w:space="0" w:color="auto"/>
            </w:tcBorders>
            <w:vAlign w:val="center"/>
          </w:tcPr>
          <w:p w14:paraId="61C3A9B3" w14:textId="77777777" w:rsidR="00D27817" w:rsidRDefault="00D27817">
            <w:r w:rsidRPr="000B52A1">
              <w:rPr>
                <w:rFonts w:eastAsia="Arial" w:cstheme="minorHAnsi"/>
                <w:color w:val="000000"/>
                <w:sz w:val="22"/>
                <w:szCs w:val="22"/>
              </w:rPr>
              <w:t>Fewer than 10% of the stations are in "Poor" condition,</w:t>
            </w:r>
            <w:r w:rsidRPr="000B52A1">
              <w:rPr>
                <w:rFonts w:eastAsia="Arial" w:cstheme="minorHAnsi"/>
                <w:color w:val="000000"/>
                <w:sz w:val="22"/>
                <w:szCs w:val="22"/>
              </w:rPr>
              <w:br/>
              <w:t>and more than 50% of the stations are in "Good" condition.</w:t>
            </w:r>
          </w:p>
        </w:tc>
      </w:tr>
      <w:tr w:rsidR="00D27817" w14:paraId="6AF774C0" w14:textId="77777777" w:rsidTr="00B97A02">
        <w:trPr>
          <w:trHeight w:val="728"/>
        </w:trPr>
        <w:tc>
          <w:tcPr>
            <w:tcW w:w="2875" w:type="dxa"/>
            <w:vAlign w:val="center"/>
          </w:tcPr>
          <w:p w14:paraId="2A64793C" w14:textId="77777777" w:rsidR="00D27817" w:rsidRDefault="00D27817">
            <w:r w:rsidRPr="000B52A1">
              <w:rPr>
                <w:rFonts w:eastAsia="Arial" w:cstheme="minorHAnsi"/>
                <w:color w:val="000000"/>
                <w:sz w:val="22"/>
                <w:szCs w:val="22"/>
              </w:rPr>
              <w:t>Fair</w:t>
            </w:r>
          </w:p>
        </w:tc>
        <w:tc>
          <w:tcPr>
            <w:tcW w:w="6475" w:type="dxa"/>
            <w:vAlign w:val="center"/>
          </w:tcPr>
          <w:p w14:paraId="6B8BBDA6" w14:textId="77777777" w:rsidR="00D27817" w:rsidRDefault="00D27817">
            <w:r w:rsidRPr="000B52A1">
              <w:rPr>
                <w:rFonts w:eastAsia="Arial" w:cstheme="minorHAnsi"/>
                <w:color w:val="000000"/>
                <w:sz w:val="22"/>
                <w:szCs w:val="22"/>
              </w:rPr>
              <w:t>10 to 20% of the stations are in "Poor" condition,</w:t>
            </w:r>
            <w:r w:rsidRPr="000B52A1">
              <w:rPr>
                <w:rFonts w:eastAsia="Arial" w:cstheme="minorHAnsi"/>
                <w:color w:val="000000"/>
                <w:sz w:val="22"/>
                <w:szCs w:val="22"/>
              </w:rPr>
              <w:br/>
              <w:t>or 50% or fewer of the stations are in "Good" condition.</w:t>
            </w:r>
          </w:p>
        </w:tc>
      </w:tr>
      <w:tr w:rsidR="00D27817" w14:paraId="099366A1" w14:textId="77777777" w:rsidTr="00B97A02">
        <w:trPr>
          <w:trHeight w:val="593"/>
        </w:trPr>
        <w:tc>
          <w:tcPr>
            <w:tcW w:w="2875" w:type="dxa"/>
            <w:tcBorders>
              <w:bottom w:val="single" w:sz="12" w:space="0" w:color="auto"/>
            </w:tcBorders>
            <w:vAlign w:val="center"/>
          </w:tcPr>
          <w:p w14:paraId="3246D5DF" w14:textId="77777777" w:rsidR="00D27817" w:rsidRDefault="00D27817">
            <w:r w:rsidRPr="000B52A1">
              <w:rPr>
                <w:rFonts w:eastAsia="Arial" w:cstheme="minorHAnsi"/>
                <w:color w:val="000000"/>
                <w:sz w:val="22"/>
                <w:szCs w:val="22"/>
              </w:rPr>
              <w:t>Poor</w:t>
            </w:r>
          </w:p>
        </w:tc>
        <w:tc>
          <w:tcPr>
            <w:tcW w:w="6475" w:type="dxa"/>
            <w:tcBorders>
              <w:bottom w:val="single" w:sz="12" w:space="0" w:color="auto"/>
            </w:tcBorders>
            <w:vAlign w:val="center"/>
          </w:tcPr>
          <w:p w14:paraId="6287AA0C" w14:textId="77777777" w:rsidR="00D27817" w:rsidRDefault="00D27817">
            <w:r w:rsidRPr="000B52A1">
              <w:rPr>
                <w:rFonts w:eastAsia="Arial" w:cstheme="minorHAnsi"/>
                <w:color w:val="000000"/>
                <w:sz w:val="22"/>
                <w:szCs w:val="22"/>
              </w:rPr>
              <w:t>More than 20% of the stations are in "Poor" condition.</w:t>
            </w:r>
          </w:p>
        </w:tc>
      </w:tr>
    </w:tbl>
    <w:p w14:paraId="0CE35D31" w14:textId="69529DB4" w:rsidR="00DD25AC" w:rsidRDefault="00DD25AC" w:rsidP="00DD25AC">
      <w:pPr>
        <w:widowControl/>
        <w:spacing w:line="259" w:lineRule="auto"/>
        <w:rPr>
          <w:rFonts w:eastAsiaTheme="majorEastAsia" w:cstheme="minorHAnsi"/>
          <w:b/>
          <w:color w:val="000000" w:themeColor="text1"/>
          <w:szCs w:val="24"/>
        </w:rPr>
      </w:pPr>
      <w:bookmarkStart w:id="256" w:name="other-water-quality-attributes"/>
      <w:bookmarkEnd w:id="253"/>
    </w:p>
    <w:p w14:paraId="0EA71F2F" w14:textId="47F13DF9" w:rsidR="0030653F" w:rsidRPr="000B52A1" w:rsidRDefault="0030653F" w:rsidP="00C5533C">
      <w:pPr>
        <w:pStyle w:val="Heading3"/>
        <w:rPr>
          <w:rFonts w:cstheme="minorHAnsi"/>
        </w:rPr>
      </w:pPr>
      <w:r w:rsidRPr="000B52A1">
        <w:rPr>
          <w:rFonts w:cstheme="minorHAnsi"/>
        </w:rPr>
        <w:t>Other Water Quality Attributes</w:t>
      </w:r>
    </w:p>
    <w:p w14:paraId="165345B0" w14:textId="77777777" w:rsidR="00CF0863" w:rsidRPr="000B52A1" w:rsidRDefault="00CF0863" w:rsidP="00CF0863">
      <w:bookmarkStart w:id="257" w:name="acidity-alkalinity-ph"/>
      <w:r w:rsidRPr="000B52A1">
        <w:t xml:space="preserve">Virginia has established water quality standards (WQS) for several additional water quality attributes that have not been included among those traditionally evaluated by the NCCA program. Summaries of the following attributes are presented only for the purpose of characterizing Virginia’s estuarine </w:t>
      </w:r>
      <w:proofErr w:type="gramStart"/>
      <w:r w:rsidRPr="000B52A1">
        <w:t>waters as a whole</w:t>
      </w:r>
      <w:proofErr w:type="gramEnd"/>
      <w:r>
        <w:t xml:space="preserve"> (biased toward smaller estuaries &lt; 100 sq km drainage)</w:t>
      </w:r>
      <w:r w:rsidRPr="000B52A1">
        <w:t>, and the single observed values at individual stations are not appropriate for site-specific assessments.</w:t>
      </w:r>
    </w:p>
    <w:p w14:paraId="7D65D479" w14:textId="77777777" w:rsidR="00E262C6" w:rsidRDefault="00E262C6" w:rsidP="001B1C26"/>
    <w:p w14:paraId="6556FBFA" w14:textId="2F2A1B4B" w:rsidR="0030653F" w:rsidRPr="000B52A1" w:rsidRDefault="0030653F" w:rsidP="00C5533C">
      <w:pPr>
        <w:pStyle w:val="Heading4"/>
        <w:rPr>
          <w:rFonts w:cstheme="minorHAnsi"/>
        </w:rPr>
      </w:pPr>
      <w:r w:rsidRPr="000B52A1">
        <w:rPr>
          <w:rFonts w:cstheme="minorHAnsi"/>
        </w:rPr>
        <w:t>Acidity-Alkalinity (pH)</w:t>
      </w:r>
    </w:p>
    <w:p w14:paraId="0476AA96" w14:textId="34A77111" w:rsidR="0030653F" w:rsidRPr="00DD25AC" w:rsidRDefault="0030653F" w:rsidP="00DD25AC">
      <w:r w:rsidRPr="00DD25AC">
        <w:t xml:space="preserve">Virginia has established a single range of pH values to be acceptable for all classes of fresh and salt waters, except for swamp waters. In normal fresh and salt waters, observed pH values in the range of </w:t>
      </w:r>
      <w:r w:rsidR="007D3B25" w:rsidRPr="00DD25AC">
        <w:t xml:space="preserve">6.0 </w:t>
      </w:r>
      <w:r w:rsidR="007D3B25">
        <w:t>–</w:t>
      </w:r>
      <w:r w:rsidR="007D3B25" w:rsidRPr="00DD25AC">
        <w:t xml:space="preserve"> 9.0 </w:t>
      </w:r>
      <w:proofErr w:type="gramStart"/>
      <w:r w:rsidRPr="00DD25AC">
        <w:t>are considered to be</w:t>
      </w:r>
      <w:proofErr w:type="gramEnd"/>
      <w:r w:rsidRPr="00DD25AC">
        <w:t xml:space="preserve"> acceptable. Any observed pH value below 6.0 or above 9.0 is considered an exceedance of the standard. Acidification (lowering of pH) is often associated with acid rain (H</w:t>
      </w:r>
      <w:r w:rsidRPr="006073C7">
        <w:rPr>
          <w:vertAlign w:val="subscript"/>
        </w:rPr>
        <w:t>2</w:t>
      </w:r>
      <w:r w:rsidRPr="00DD25AC">
        <w:t>SO</w:t>
      </w:r>
      <w:r w:rsidRPr="006073C7">
        <w:rPr>
          <w:vertAlign w:val="subscript"/>
        </w:rPr>
        <w:t>4</w:t>
      </w:r>
      <w:r w:rsidRPr="00DD25AC">
        <w:t>, HNO</w:t>
      </w:r>
      <w:r w:rsidRPr="006073C7">
        <w:rPr>
          <w:vertAlign w:val="subscript"/>
        </w:rPr>
        <w:t>3</w:t>
      </w:r>
      <w:r w:rsidRPr="00DD25AC">
        <w:t>, H</w:t>
      </w:r>
      <w:r w:rsidRPr="006073C7">
        <w:rPr>
          <w:vertAlign w:val="subscript"/>
        </w:rPr>
        <w:t>2</w:t>
      </w:r>
      <w:r w:rsidRPr="00DD25AC">
        <w:t>CO</w:t>
      </w:r>
      <w:r w:rsidRPr="006073C7">
        <w:rPr>
          <w:vertAlign w:val="subscript"/>
        </w:rPr>
        <w:t>3</w:t>
      </w:r>
      <w:r w:rsidRPr="00DD25AC">
        <w:t xml:space="preserve">) deposition, especially in freshwater streams, lakes, and reservoirs. Alkalinization (rising pH) may result from eutrophication and excessive algal blooms or </w:t>
      </w:r>
      <w:proofErr w:type="gramStart"/>
      <w:r w:rsidRPr="00DD25AC">
        <w:t>as a result of</w:t>
      </w:r>
      <w:proofErr w:type="gramEnd"/>
      <w:r w:rsidRPr="00DD25AC">
        <w:t xml:space="preserve"> salinization due to the input of salts containing strong bases (Na</w:t>
      </w:r>
      <w:r w:rsidRPr="0090024B">
        <w:rPr>
          <w:vertAlign w:val="superscript"/>
        </w:rPr>
        <w:t>+</w:t>
      </w:r>
      <w:r w:rsidRPr="00DD25AC">
        <w:t>, Ca</w:t>
      </w:r>
      <w:r w:rsidRPr="0090024B">
        <w:rPr>
          <w:vertAlign w:val="superscript"/>
        </w:rPr>
        <w:t>2+</w:t>
      </w:r>
      <w:r w:rsidRPr="00DD25AC">
        <w:t>, Mg</w:t>
      </w:r>
      <w:r w:rsidRPr="0090024B">
        <w:rPr>
          <w:vertAlign w:val="superscript"/>
        </w:rPr>
        <w:t>2+</w:t>
      </w:r>
      <w:r w:rsidRPr="00DD25AC">
        <w:t>, K</w:t>
      </w:r>
      <w:r w:rsidRPr="0090024B">
        <w:rPr>
          <w:vertAlign w:val="superscript"/>
        </w:rPr>
        <w:t>+</w:t>
      </w:r>
      <w:r w:rsidRPr="00DD25AC">
        <w:t>).</w:t>
      </w:r>
      <w:r w:rsidR="00DD25AC" w:rsidRPr="00DD25AC">
        <w:t xml:space="preserve"> For</w:t>
      </w:r>
      <w:r w:rsidRPr="00DD25AC">
        <w:t xml:space="preserve"> pH evaluations, all measurements surface to bottom of the hydrographic profile were considered. Among 999 pH measurements collected across 296 estuarine stations with pH data, 3 measurements at 2 stations exceeded the state pH standard. Table </w:t>
      </w:r>
      <w:r w:rsidR="00014729">
        <w:t>4.5-</w:t>
      </w:r>
      <w:r w:rsidRPr="00DD25AC">
        <w:t>12 summarizes the pH exceedances observed within Virginia’s estuarine waters.</w:t>
      </w:r>
      <w:r w:rsidR="00B97A02">
        <w:br/>
      </w:r>
    </w:p>
    <w:p w14:paraId="12D7A372" w14:textId="468A9F63" w:rsidR="00EF3F48" w:rsidRPr="00D237D4" w:rsidRDefault="00995F95" w:rsidP="00EF3F48">
      <w:pPr>
        <w:pStyle w:val="Caption"/>
        <w:keepNext/>
      </w:pPr>
      <w:bookmarkStart w:id="258" w:name="tab:tab-ph"/>
      <w:bookmarkStart w:id="259" w:name="_Toc164175202"/>
      <w:bookmarkEnd w:id="258"/>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12</w:t>
      </w:r>
      <w:r w:rsidR="004F13BA">
        <w:rPr>
          <w:noProof/>
        </w:rPr>
        <w:fldChar w:fldCharType="end"/>
      </w:r>
      <w:r>
        <w:t xml:space="preserve">. </w:t>
      </w:r>
      <w:r w:rsidRPr="0A5BE548">
        <w:rPr>
          <w:rFonts w:cstheme="minorBidi"/>
        </w:rPr>
        <w:t>Number of stations and measurements with pH exceedances</w:t>
      </w:r>
      <w:bookmarkEnd w:id="259"/>
      <w:r w:rsidRPr="0A5BE548">
        <w:rPr>
          <w:rFonts w:cstheme="minorBidi"/>
        </w:rPr>
        <w:t xml:space="preserve"> of &gt; 9 or &lt; 6, 2017-2022. At each station, measurements of pH were made at multiple depths during the hydrographic profile downcast.</w:t>
      </w:r>
    </w:p>
    <w:tbl>
      <w:tblPr>
        <w:tblStyle w:val="TableGrid"/>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Number of stations and measurements with pH exceedances of &gt; 9 or &lt; 6, 2017-2022. At each station, measurements of pH were made at multiple depths during the hydrographic profile downcast."/>
        <w:tblDescription w:val="Number of stations and measurements with pH exceedances of &gt; 9 or &lt; 6, 2017-2022. At each station, measurements of pH were made at multiple depths during the hydrographic profile downcast."/>
      </w:tblPr>
      <w:tblGrid>
        <w:gridCol w:w="2605"/>
        <w:gridCol w:w="2069"/>
        <w:gridCol w:w="1896"/>
        <w:gridCol w:w="2970"/>
      </w:tblGrid>
      <w:tr w:rsidR="00380BA2" w14:paraId="32546A59" w14:textId="77777777" w:rsidTr="00B97A02">
        <w:trPr>
          <w:trHeight w:val="360"/>
        </w:trPr>
        <w:tc>
          <w:tcPr>
            <w:tcW w:w="2605" w:type="dxa"/>
            <w:tcBorders>
              <w:top w:val="single" w:sz="12" w:space="0" w:color="auto"/>
              <w:bottom w:val="single" w:sz="4" w:space="0" w:color="auto"/>
            </w:tcBorders>
            <w:vAlign w:val="center"/>
          </w:tcPr>
          <w:bookmarkEnd w:id="257"/>
          <w:p w14:paraId="749F847A" w14:textId="77777777" w:rsidR="00380BA2" w:rsidRDefault="00380BA2">
            <w:r w:rsidRPr="000B52A1">
              <w:rPr>
                <w:rFonts w:eastAsia="Arial" w:cstheme="minorHAnsi"/>
                <w:b/>
                <w:color w:val="000000"/>
                <w:sz w:val="22"/>
                <w:szCs w:val="22"/>
              </w:rPr>
              <w:t>pH Exceedance Range</w:t>
            </w:r>
          </w:p>
        </w:tc>
        <w:tc>
          <w:tcPr>
            <w:tcW w:w="2069" w:type="dxa"/>
            <w:tcBorders>
              <w:top w:val="single" w:sz="12" w:space="0" w:color="auto"/>
              <w:bottom w:val="single" w:sz="4" w:space="0" w:color="auto"/>
            </w:tcBorders>
            <w:vAlign w:val="center"/>
          </w:tcPr>
          <w:p w14:paraId="26AA24EC" w14:textId="77777777" w:rsidR="00380BA2" w:rsidRDefault="00380BA2">
            <w:r w:rsidRPr="000B52A1">
              <w:rPr>
                <w:rFonts w:eastAsia="Arial" w:cstheme="minorHAnsi"/>
                <w:b/>
                <w:color w:val="000000"/>
                <w:sz w:val="22"/>
                <w:szCs w:val="22"/>
              </w:rPr>
              <w:t>Stations</w:t>
            </w:r>
          </w:p>
        </w:tc>
        <w:tc>
          <w:tcPr>
            <w:tcW w:w="1896" w:type="dxa"/>
            <w:tcBorders>
              <w:top w:val="single" w:sz="12" w:space="0" w:color="auto"/>
              <w:bottom w:val="single" w:sz="4" w:space="0" w:color="auto"/>
            </w:tcBorders>
            <w:vAlign w:val="center"/>
          </w:tcPr>
          <w:p w14:paraId="68573B16" w14:textId="77777777" w:rsidR="00380BA2" w:rsidRDefault="00380BA2">
            <w:r w:rsidRPr="000B52A1">
              <w:rPr>
                <w:rFonts w:eastAsia="Arial" w:cstheme="minorHAnsi"/>
                <w:b/>
                <w:color w:val="000000"/>
                <w:sz w:val="22"/>
                <w:szCs w:val="22"/>
              </w:rPr>
              <w:t>Measurements</w:t>
            </w:r>
          </w:p>
        </w:tc>
        <w:tc>
          <w:tcPr>
            <w:tcW w:w="2970" w:type="dxa"/>
            <w:tcBorders>
              <w:top w:val="single" w:sz="12" w:space="0" w:color="auto"/>
              <w:bottom w:val="single" w:sz="4" w:space="0" w:color="auto"/>
            </w:tcBorders>
            <w:vAlign w:val="center"/>
          </w:tcPr>
          <w:p w14:paraId="7582B486" w14:textId="77777777" w:rsidR="00380BA2" w:rsidRDefault="00380BA2">
            <w:r w:rsidRPr="000B52A1">
              <w:rPr>
                <w:rFonts w:eastAsia="Arial" w:cstheme="minorHAnsi"/>
                <w:b/>
                <w:color w:val="000000"/>
                <w:sz w:val="22"/>
                <w:szCs w:val="22"/>
              </w:rPr>
              <w:t>Percentage of</w:t>
            </w:r>
            <w:r>
              <w:rPr>
                <w:rFonts w:eastAsia="Arial" w:cstheme="minorHAnsi"/>
                <w:b/>
                <w:color w:val="000000"/>
              </w:rPr>
              <w:t xml:space="preserve"> </w:t>
            </w:r>
            <w:r w:rsidRPr="000B52A1">
              <w:rPr>
                <w:rFonts w:eastAsia="Arial" w:cstheme="minorHAnsi"/>
                <w:b/>
                <w:color w:val="000000"/>
                <w:sz w:val="22"/>
                <w:szCs w:val="22"/>
              </w:rPr>
              <w:t>Measurements</w:t>
            </w:r>
          </w:p>
        </w:tc>
      </w:tr>
      <w:tr w:rsidR="00380BA2" w14:paraId="3313F9E7" w14:textId="77777777" w:rsidTr="005E73EB">
        <w:trPr>
          <w:trHeight w:val="360"/>
        </w:trPr>
        <w:tc>
          <w:tcPr>
            <w:tcW w:w="2605" w:type="dxa"/>
            <w:tcBorders>
              <w:top w:val="single" w:sz="4" w:space="0" w:color="auto"/>
            </w:tcBorders>
            <w:vAlign w:val="center"/>
          </w:tcPr>
          <w:p w14:paraId="6B80A0EF" w14:textId="77777777" w:rsidR="00380BA2" w:rsidRDefault="00380BA2">
            <w:r w:rsidRPr="000B52A1">
              <w:rPr>
                <w:rFonts w:eastAsia="Arial" w:cstheme="minorHAnsi"/>
                <w:color w:val="000000"/>
                <w:sz w:val="22"/>
                <w:szCs w:val="22"/>
              </w:rPr>
              <w:t>&gt; 9</w:t>
            </w:r>
          </w:p>
        </w:tc>
        <w:tc>
          <w:tcPr>
            <w:tcW w:w="2069" w:type="dxa"/>
            <w:tcBorders>
              <w:top w:val="single" w:sz="4" w:space="0" w:color="auto"/>
            </w:tcBorders>
            <w:vAlign w:val="center"/>
          </w:tcPr>
          <w:p w14:paraId="40AAF167" w14:textId="77777777" w:rsidR="00380BA2" w:rsidRDefault="00380BA2">
            <w:r w:rsidRPr="000B52A1">
              <w:rPr>
                <w:rFonts w:eastAsia="Arial" w:cstheme="minorHAnsi"/>
                <w:color w:val="000000"/>
                <w:sz w:val="22"/>
                <w:szCs w:val="22"/>
              </w:rPr>
              <w:t>2</w:t>
            </w:r>
          </w:p>
        </w:tc>
        <w:tc>
          <w:tcPr>
            <w:tcW w:w="1896" w:type="dxa"/>
            <w:tcBorders>
              <w:top w:val="single" w:sz="4" w:space="0" w:color="auto"/>
            </w:tcBorders>
            <w:vAlign w:val="center"/>
          </w:tcPr>
          <w:p w14:paraId="78FBCA91" w14:textId="77777777" w:rsidR="00380BA2" w:rsidRDefault="00380BA2">
            <w:r w:rsidRPr="000B52A1">
              <w:rPr>
                <w:rFonts w:eastAsia="Arial" w:cstheme="minorHAnsi"/>
                <w:color w:val="000000"/>
                <w:sz w:val="22"/>
                <w:szCs w:val="22"/>
              </w:rPr>
              <w:t>3</w:t>
            </w:r>
          </w:p>
        </w:tc>
        <w:tc>
          <w:tcPr>
            <w:tcW w:w="2970" w:type="dxa"/>
            <w:tcBorders>
              <w:top w:val="single" w:sz="4" w:space="0" w:color="auto"/>
            </w:tcBorders>
            <w:vAlign w:val="center"/>
          </w:tcPr>
          <w:p w14:paraId="6E9707D2" w14:textId="5CC07206" w:rsidR="00380BA2" w:rsidRDefault="00380BA2">
            <w:r w:rsidRPr="000B52A1">
              <w:rPr>
                <w:rFonts w:eastAsia="Arial" w:cstheme="minorHAnsi"/>
                <w:color w:val="000000"/>
                <w:sz w:val="22"/>
                <w:szCs w:val="22"/>
              </w:rPr>
              <w:t xml:space="preserve">0.3 </w:t>
            </w:r>
          </w:p>
        </w:tc>
      </w:tr>
      <w:tr w:rsidR="00380BA2" w14:paraId="0A971C00" w14:textId="77777777" w:rsidTr="005E73EB">
        <w:trPr>
          <w:trHeight w:val="360"/>
        </w:trPr>
        <w:tc>
          <w:tcPr>
            <w:tcW w:w="2605" w:type="dxa"/>
            <w:vAlign w:val="center"/>
          </w:tcPr>
          <w:p w14:paraId="2066DB13" w14:textId="77777777" w:rsidR="00380BA2" w:rsidRDefault="00380BA2">
            <w:r w:rsidRPr="000B52A1">
              <w:rPr>
                <w:rFonts w:eastAsia="Arial" w:cstheme="minorHAnsi"/>
                <w:color w:val="000000"/>
                <w:sz w:val="22"/>
                <w:szCs w:val="22"/>
              </w:rPr>
              <w:t>&lt; 6</w:t>
            </w:r>
          </w:p>
        </w:tc>
        <w:tc>
          <w:tcPr>
            <w:tcW w:w="2069" w:type="dxa"/>
            <w:vAlign w:val="center"/>
          </w:tcPr>
          <w:p w14:paraId="24EF3EAC" w14:textId="77777777" w:rsidR="00380BA2" w:rsidRDefault="00380BA2">
            <w:r w:rsidRPr="000B52A1">
              <w:rPr>
                <w:rFonts w:eastAsia="Arial" w:cstheme="minorHAnsi"/>
                <w:color w:val="000000"/>
                <w:sz w:val="22"/>
                <w:szCs w:val="22"/>
              </w:rPr>
              <w:t>0</w:t>
            </w:r>
          </w:p>
        </w:tc>
        <w:tc>
          <w:tcPr>
            <w:tcW w:w="1896" w:type="dxa"/>
            <w:vAlign w:val="center"/>
          </w:tcPr>
          <w:p w14:paraId="09440D00" w14:textId="77777777" w:rsidR="00380BA2" w:rsidRDefault="00380BA2">
            <w:r w:rsidRPr="000B52A1">
              <w:rPr>
                <w:rFonts w:eastAsia="Arial" w:cstheme="minorHAnsi"/>
                <w:color w:val="000000"/>
                <w:sz w:val="22"/>
                <w:szCs w:val="22"/>
              </w:rPr>
              <w:t>0</w:t>
            </w:r>
          </w:p>
        </w:tc>
        <w:tc>
          <w:tcPr>
            <w:tcW w:w="2970" w:type="dxa"/>
            <w:vAlign w:val="center"/>
          </w:tcPr>
          <w:p w14:paraId="12B37B8A" w14:textId="77777777" w:rsidR="00380BA2" w:rsidRDefault="00380BA2">
            <w:r w:rsidRPr="000B52A1">
              <w:rPr>
                <w:rFonts w:eastAsia="Arial" w:cstheme="minorHAnsi"/>
                <w:color w:val="000000"/>
                <w:sz w:val="22"/>
                <w:szCs w:val="22"/>
              </w:rPr>
              <w:t>0</w:t>
            </w:r>
          </w:p>
        </w:tc>
      </w:tr>
      <w:tr w:rsidR="00380BA2" w14:paraId="7E289F34" w14:textId="77777777" w:rsidTr="00B97A02">
        <w:trPr>
          <w:trHeight w:val="360"/>
        </w:trPr>
        <w:tc>
          <w:tcPr>
            <w:tcW w:w="2605" w:type="dxa"/>
            <w:tcBorders>
              <w:bottom w:val="single" w:sz="2" w:space="0" w:color="auto"/>
            </w:tcBorders>
            <w:vAlign w:val="center"/>
          </w:tcPr>
          <w:p w14:paraId="6219EEAF" w14:textId="77777777" w:rsidR="00380BA2" w:rsidRDefault="00380BA2">
            <w:r w:rsidRPr="000B52A1">
              <w:rPr>
                <w:rFonts w:eastAsia="Arial" w:cstheme="minorHAnsi"/>
                <w:color w:val="000000"/>
                <w:sz w:val="22"/>
                <w:szCs w:val="22"/>
              </w:rPr>
              <w:t>No Exceedance</w:t>
            </w:r>
          </w:p>
        </w:tc>
        <w:tc>
          <w:tcPr>
            <w:tcW w:w="2069" w:type="dxa"/>
            <w:tcBorders>
              <w:bottom w:val="single" w:sz="2" w:space="0" w:color="auto"/>
            </w:tcBorders>
            <w:vAlign w:val="center"/>
          </w:tcPr>
          <w:p w14:paraId="17E6A2BE" w14:textId="77777777" w:rsidR="00380BA2" w:rsidRDefault="00380BA2">
            <w:r w:rsidRPr="000B52A1">
              <w:rPr>
                <w:rFonts w:eastAsia="Arial" w:cstheme="minorHAnsi"/>
                <w:color w:val="000000"/>
                <w:sz w:val="22"/>
                <w:szCs w:val="22"/>
              </w:rPr>
              <w:t>294</w:t>
            </w:r>
          </w:p>
        </w:tc>
        <w:tc>
          <w:tcPr>
            <w:tcW w:w="1896" w:type="dxa"/>
            <w:tcBorders>
              <w:bottom w:val="single" w:sz="2" w:space="0" w:color="auto"/>
            </w:tcBorders>
            <w:vAlign w:val="center"/>
          </w:tcPr>
          <w:p w14:paraId="05FE0D79" w14:textId="77777777" w:rsidR="00380BA2" w:rsidRDefault="00380BA2">
            <w:r w:rsidRPr="000B52A1">
              <w:rPr>
                <w:rFonts w:eastAsia="Arial" w:cstheme="minorHAnsi"/>
                <w:color w:val="000000"/>
                <w:sz w:val="22"/>
                <w:szCs w:val="22"/>
              </w:rPr>
              <w:t>996</w:t>
            </w:r>
          </w:p>
        </w:tc>
        <w:tc>
          <w:tcPr>
            <w:tcW w:w="2970" w:type="dxa"/>
            <w:tcBorders>
              <w:bottom w:val="single" w:sz="2" w:space="0" w:color="auto"/>
            </w:tcBorders>
            <w:vAlign w:val="center"/>
          </w:tcPr>
          <w:p w14:paraId="7E578224" w14:textId="344DA1BC" w:rsidR="00380BA2" w:rsidRDefault="00380BA2">
            <w:r w:rsidRPr="000B52A1">
              <w:rPr>
                <w:rFonts w:eastAsia="Arial" w:cstheme="minorHAnsi"/>
                <w:color w:val="000000"/>
                <w:sz w:val="22"/>
                <w:szCs w:val="22"/>
              </w:rPr>
              <w:t xml:space="preserve">99.7 </w:t>
            </w:r>
          </w:p>
        </w:tc>
      </w:tr>
      <w:tr w:rsidR="00380BA2" w:rsidRPr="00B97A02" w14:paraId="3F4E7096" w14:textId="77777777" w:rsidTr="00B97A02">
        <w:trPr>
          <w:trHeight w:val="360"/>
        </w:trPr>
        <w:tc>
          <w:tcPr>
            <w:tcW w:w="2605" w:type="dxa"/>
            <w:tcBorders>
              <w:top w:val="single" w:sz="2" w:space="0" w:color="auto"/>
              <w:bottom w:val="single" w:sz="12" w:space="0" w:color="auto"/>
            </w:tcBorders>
            <w:vAlign w:val="center"/>
          </w:tcPr>
          <w:p w14:paraId="77707F1B" w14:textId="77777777" w:rsidR="00380BA2" w:rsidRPr="00B97A02" w:rsidRDefault="00380BA2">
            <w:pPr>
              <w:rPr>
                <w:b/>
                <w:bCs/>
              </w:rPr>
            </w:pPr>
            <w:r w:rsidRPr="00B97A02">
              <w:rPr>
                <w:rFonts w:eastAsia="Arial" w:cstheme="minorHAnsi"/>
                <w:b/>
                <w:bCs/>
                <w:color w:val="000000"/>
                <w:sz w:val="22"/>
                <w:szCs w:val="22"/>
              </w:rPr>
              <w:t>Total</w:t>
            </w:r>
          </w:p>
        </w:tc>
        <w:tc>
          <w:tcPr>
            <w:tcW w:w="2069" w:type="dxa"/>
            <w:tcBorders>
              <w:top w:val="single" w:sz="2" w:space="0" w:color="auto"/>
              <w:bottom w:val="single" w:sz="12" w:space="0" w:color="auto"/>
            </w:tcBorders>
            <w:vAlign w:val="center"/>
          </w:tcPr>
          <w:p w14:paraId="31C91A55" w14:textId="77777777" w:rsidR="00380BA2" w:rsidRPr="00B97A02" w:rsidRDefault="00380BA2">
            <w:pPr>
              <w:rPr>
                <w:b/>
                <w:bCs/>
              </w:rPr>
            </w:pPr>
            <w:r w:rsidRPr="00B97A02">
              <w:rPr>
                <w:rFonts w:eastAsia="Arial" w:cstheme="minorHAnsi"/>
                <w:b/>
                <w:bCs/>
                <w:color w:val="000000"/>
                <w:sz w:val="22"/>
                <w:szCs w:val="22"/>
              </w:rPr>
              <w:t>296</w:t>
            </w:r>
          </w:p>
        </w:tc>
        <w:tc>
          <w:tcPr>
            <w:tcW w:w="1896" w:type="dxa"/>
            <w:tcBorders>
              <w:top w:val="single" w:sz="2" w:space="0" w:color="auto"/>
              <w:bottom w:val="single" w:sz="12" w:space="0" w:color="auto"/>
            </w:tcBorders>
            <w:vAlign w:val="center"/>
          </w:tcPr>
          <w:p w14:paraId="0B03FB89" w14:textId="77777777" w:rsidR="00380BA2" w:rsidRPr="00B97A02" w:rsidRDefault="00380BA2">
            <w:pPr>
              <w:rPr>
                <w:b/>
                <w:bCs/>
              </w:rPr>
            </w:pPr>
            <w:r w:rsidRPr="00B97A02">
              <w:rPr>
                <w:rFonts w:eastAsia="Arial" w:cstheme="minorHAnsi"/>
                <w:b/>
                <w:bCs/>
                <w:color w:val="000000"/>
                <w:sz w:val="22"/>
                <w:szCs w:val="22"/>
              </w:rPr>
              <w:t>999</w:t>
            </w:r>
          </w:p>
        </w:tc>
        <w:tc>
          <w:tcPr>
            <w:tcW w:w="2970" w:type="dxa"/>
            <w:tcBorders>
              <w:top w:val="single" w:sz="2" w:space="0" w:color="auto"/>
              <w:bottom w:val="single" w:sz="12" w:space="0" w:color="auto"/>
            </w:tcBorders>
            <w:vAlign w:val="center"/>
          </w:tcPr>
          <w:p w14:paraId="32D56347" w14:textId="77777777" w:rsidR="00380BA2" w:rsidRPr="00B97A02" w:rsidRDefault="00380BA2">
            <w:pPr>
              <w:rPr>
                <w:b/>
                <w:bCs/>
              </w:rPr>
            </w:pPr>
          </w:p>
        </w:tc>
      </w:tr>
    </w:tbl>
    <w:p w14:paraId="45E689E4" w14:textId="77777777" w:rsidR="007E39FC" w:rsidRDefault="007E39FC" w:rsidP="007E39FC"/>
    <w:p w14:paraId="55471733" w14:textId="33A83080" w:rsidR="0030653F" w:rsidRPr="000B52A1" w:rsidRDefault="0030653F" w:rsidP="007E39FC">
      <w:pPr>
        <w:pStyle w:val="Heading4"/>
        <w:numPr>
          <w:ilvl w:val="0"/>
          <w:numId w:val="0"/>
        </w:numPr>
        <w:rPr>
          <w:rFonts w:cstheme="minorHAnsi"/>
        </w:rPr>
      </w:pPr>
      <w:r w:rsidRPr="000B52A1">
        <w:rPr>
          <w:rFonts w:cstheme="minorHAnsi"/>
        </w:rPr>
        <w:t>Bacteria</w:t>
      </w:r>
    </w:p>
    <w:p w14:paraId="2C17CDE0" w14:textId="5641C05C" w:rsidR="0030653F" w:rsidRPr="003B71BA" w:rsidRDefault="00A12FA2" w:rsidP="003B71BA">
      <w:r w:rsidRPr="000B52A1">
        <w:t xml:space="preserve">High counts of </w:t>
      </w:r>
      <w:r w:rsidRPr="000B52A1">
        <w:rPr>
          <w:i/>
          <w:iCs/>
        </w:rPr>
        <w:t>E. coli</w:t>
      </w:r>
      <w:r w:rsidRPr="000B52A1">
        <w:t xml:space="preserve"> bacteria in freshwater and </w:t>
      </w:r>
      <w:r w:rsidRPr="000B52A1">
        <w:rPr>
          <w:i/>
          <w:iCs/>
        </w:rPr>
        <w:t>Enterococci</w:t>
      </w:r>
      <w:r w:rsidRPr="000B52A1">
        <w:t xml:space="preserve"> in transitional and saltwater </w:t>
      </w:r>
      <w:r w:rsidRPr="000B52A1">
        <w:lastRenderedPageBreak/>
        <w:t>indicate an elevated human health risk of illness from exposure to pathogenic organisms. Virginia WQS for bacteria exposure from recreational use (</w:t>
      </w:r>
      <w:r w:rsidRPr="00E7368B">
        <w:rPr>
          <w:rFonts w:cstheme="minorHAnsi"/>
        </w:rPr>
        <w:t>9VAC25-260-170</w:t>
      </w:r>
      <w:r w:rsidRPr="000B52A1">
        <w:t>) include criteria to be applied when multiple bacteria samples are taken</w:t>
      </w:r>
      <w:r>
        <w:t>.</w:t>
      </w:r>
      <w:r w:rsidR="003B71BA">
        <w:br/>
      </w:r>
      <w:r w:rsidR="003B71BA">
        <w:br/>
      </w:r>
      <w:r w:rsidRPr="000B52A1">
        <w:t>Because the Estuarine ProbMon program only collects one bacteria sample per station per year, the geometric mean and thresholds in the WQS are not applicable to these data</w:t>
      </w:r>
      <w:r>
        <w:t>.</w:t>
      </w:r>
      <w:r w:rsidRPr="000B52A1">
        <w:t xml:space="preserve"> </w:t>
      </w:r>
      <w:r>
        <w:t>T</w:t>
      </w:r>
      <w:r w:rsidRPr="000B52A1">
        <w:t xml:space="preserve">herefore, </w:t>
      </w:r>
      <w:r w:rsidR="000C1306">
        <w:t>single</w:t>
      </w:r>
      <w:r>
        <w:t xml:space="preserve"> bacteria samples cannot be used to assess compliance with WQS and are</w:t>
      </w:r>
      <w:r w:rsidRPr="000B52A1">
        <w:t xml:space="preserve"> not presented here.</w:t>
      </w:r>
      <w:r w:rsidR="00D95DDD">
        <w:br/>
      </w:r>
    </w:p>
    <w:p w14:paraId="2841DDEC" w14:textId="6A8BF03A" w:rsidR="0030653F" w:rsidRPr="000B52A1" w:rsidRDefault="0030653F" w:rsidP="00C5533C">
      <w:pPr>
        <w:pStyle w:val="Heading3"/>
        <w:rPr>
          <w:rFonts w:cstheme="minorHAnsi"/>
        </w:rPr>
      </w:pPr>
      <w:bookmarkStart w:id="260" w:name="sediment-quality"/>
      <w:bookmarkEnd w:id="231"/>
      <w:bookmarkEnd w:id="256"/>
      <w:r w:rsidRPr="000B52A1">
        <w:rPr>
          <w:rFonts w:cstheme="minorHAnsi"/>
        </w:rPr>
        <w:t>Sediment Quality</w:t>
      </w:r>
    </w:p>
    <w:p w14:paraId="01EB6E85" w14:textId="2F53544E" w:rsidR="0030653F" w:rsidRPr="000B52A1" w:rsidRDefault="002A07FD" w:rsidP="007E39FC">
      <w:r w:rsidRPr="000B52A1">
        <w:t xml:space="preserve">Sediment quality is important for characterizing probabilistic estuarine stations because the composition of the sediment and the chemical contaminants in it may adversely affect ecosystem function and the health of aquatic organisms, as well as the health of humans that use the ecosystem for work, recreation, or food. </w:t>
      </w:r>
      <w:bookmarkStart w:id="261" w:name="_Hlk157431487"/>
      <w:r w:rsidRPr="000B52A1">
        <w:t>The NCCA program has traditionally used two measures of sediment quality</w:t>
      </w:r>
      <w:r>
        <w:t>; 1)</w:t>
      </w:r>
      <w:r w:rsidRPr="000B52A1">
        <w:t xml:space="preserve"> chemical contamination and </w:t>
      </w:r>
      <w:r>
        <w:t xml:space="preserve">2) </w:t>
      </w:r>
      <w:r w:rsidRPr="000B52A1">
        <w:t>toxicity</w:t>
      </w:r>
      <w:r>
        <w:t>,</w:t>
      </w:r>
      <w:r w:rsidRPr="000B52A1">
        <w:t xml:space="preserve"> integrated into a single sediment quality index (SQI) to characterize individual stations.</w:t>
      </w:r>
      <w:bookmarkEnd w:id="261"/>
      <w:r w:rsidR="00D95DDD">
        <w:br/>
      </w:r>
    </w:p>
    <w:p w14:paraId="3FFB983E" w14:textId="77777777" w:rsidR="0030653F" w:rsidRPr="000B52A1" w:rsidRDefault="0030653F" w:rsidP="00C5533C">
      <w:pPr>
        <w:pStyle w:val="Heading4"/>
        <w:rPr>
          <w:rFonts w:cstheme="minorHAnsi"/>
        </w:rPr>
      </w:pPr>
      <w:bookmarkStart w:id="262" w:name="sediment-chemistry"/>
      <w:r w:rsidRPr="000B52A1">
        <w:rPr>
          <w:rFonts w:cstheme="minorHAnsi"/>
        </w:rPr>
        <w:t>Sediment Chemistry</w:t>
      </w:r>
    </w:p>
    <w:p w14:paraId="5C3B2414" w14:textId="40D31E9C" w:rsidR="0030653F" w:rsidRPr="00D95DDD" w:rsidRDefault="004E59AF" w:rsidP="007E39FC">
      <w:r w:rsidRPr="00A73DF9">
        <w:t>Sediment used for chemical analyses and toxicity testing was collected from the top 2.0 cm of</w:t>
      </w:r>
      <w:r w:rsidRPr="00D95DDD">
        <w:t xml:space="preserve"> bottom substrate, </w:t>
      </w:r>
      <w:proofErr w:type="gramStart"/>
      <w:r w:rsidRPr="00D95DDD">
        <w:t>most commonly sampled</w:t>
      </w:r>
      <w:proofErr w:type="gramEnd"/>
      <w:r w:rsidRPr="00D95DDD">
        <w:t xml:space="preserve"> by DEQ using Petite Ponar grab</w:t>
      </w:r>
      <w:r>
        <w:t xml:space="preserve"> </w:t>
      </w:r>
      <w:r w:rsidRPr="00D95DDD">
        <w:t>s</w:t>
      </w:r>
      <w:r>
        <w:t>amplers</w:t>
      </w:r>
      <w:r w:rsidRPr="00D95DDD">
        <w:t>. Approximately 5 liters of sample were homogenized then subdivided for analyses of chemistry, toxicity, total organic Carbon (TOC), and particle size.</w:t>
      </w:r>
      <w:r w:rsidR="00D95DDD" w:rsidRPr="00D95DDD">
        <w:br/>
      </w:r>
      <w:r w:rsidR="00D95DDD" w:rsidRPr="00D95DDD">
        <w:br/>
      </w:r>
      <w:r w:rsidR="0030653F" w:rsidRPr="00D95DDD">
        <w:t xml:space="preserve">Sediment chemistry samples were analyzed for select metals (n = 16), pesticides (n = 28), and other organic compounds, including polynuclear aromatic hydrocarbons (PAHs) and semi-volatiles (n = 25), as well as polychlorinated biphenyls (PCBs; n = 21), because they are persistent, </w:t>
      </w:r>
      <w:proofErr w:type="spellStart"/>
      <w:r w:rsidR="0030653F" w:rsidRPr="00D95DDD">
        <w:t>bioaccumulative</w:t>
      </w:r>
      <w:proofErr w:type="spellEnd"/>
      <w:r w:rsidR="0030653F" w:rsidRPr="00D95DDD">
        <w:t xml:space="preserve">, and are often associated with acute and chronic effects on aquatic organisms. Table </w:t>
      </w:r>
      <w:r w:rsidR="007A2EA4" w:rsidRPr="00D95DDD">
        <w:t>4.5-</w:t>
      </w:r>
      <w:r w:rsidR="0030653F" w:rsidRPr="00D95DDD">
        <w:t>13 summarizes the analytes that are quantified in DEQ’s estuarine probabilistic sediment samples. The results of these chemical analyses are evaluated in several different ways, each line of evidence contributing to the final chemical characterization of the sediment.</w:t>
      </w:r>
      <w:r w:rsidR="00D95DDD" w:rsidRPr="00D95DDD">
        <w:br/>
      </w:r>
      <w:r w:rsidR="00D95DDD" w:rsidRPr="00D95DDD">
        <w:br/>
      </w:r>
      <w:r w:rsidR="0030653F" w:rsidRPr="00D95DDD">
        <w:t xml:space="preserve">In recent years, the NCCA program has utilized two independent methods of evaluating the effects of multiple chemical contaminants in </w:t>
      </w:r>
      <w:r w:rsidR="00CF4623" w:rsidRPr="00D95DDD">
        <w:t>sediment:</w:t>
      </w:r>
      <w:r w:rsidR="0030653F" w:rsidRPr="00D95DDD">
        <w:t xml:space="preserve"> the “ERM-quotient” method, and the “Logistic Regression” method. </w:t>
      </w:r>
      <w:r w:rsidR="00CF4623" w:rsidRPr="00D95DDD">
        <w:t>Both</w:t>
      </w:r>
      <w:r w:rsidR="0030653F" w:rsidRPr="00D95DDD">
        <w:t xml:space="preserve"> methods are also utilized in DEQ’s Estuarine ProbMon Program. DEQ also applies EPA’s “Equilibrium Partitioning Sediment Benchmarks for PAH Mixtures” (ESB</w:t>
      </w:r>
      <w:r w:rsidR="0030653F" w:rsidRPr="00D95DDD">
        <w:rPr>
          <w:vertAlign w:val="subscript"/>
        </w:rPr>
        <w:t>PAH</w:t>
      </w:r>
      <w:r w:rsidR="0030653F" w:rsidRPr="00D95DDD">
        <w:t>), as a third line of evidence for characterizing sediment chemistry (</w:t>
      </w:r>
      <w:r w:rsidR="0030653F" w:rsidRPr="00E05B14">
        <w:rPr>
          <w:rFonts w:eastAsiaTheme="majorEastAsia"/>
        </w:rPr>
        <w:t>U.S. EPA 2003</w:t>
      </w:r>
      <w:r w:rsidR="0030653F" w:rsidRPr="00D95DDD">
        <w:t>).</w:t>
      </w:r>
    </w:p>
    <w:p w14:paraId="6D726635" w14:textId="77777777" w:rsidR="000C1306" w:rsidRDefault="000C1306" w:rsidP="007E39FC"/>
    <w:p w14:paraId="07E887FD" w14:textId="77777777" w:rsidR="000C1306" w:rsidRDefault="000C1306">
      <w:pPr>
        <w:widowControl/>
        <w:spacing w:after="160" w:line="259" w:lineRule="auto"/>
      </w:pPr>
      <w:r>
        <w:br w:type="page"/>
      </w:r>
    </w:p>
    <w:p w14:paraId="18EBDB8B" w14:textId="5B642A21" w:rsidR="00E83DF9" w:rsidRDefault="00E83DF9" w:rsidP="00E83DF9">
      <w:pPr>
        <w:pStyle w:val="Caption"/>
        <w:keepNext/>
      </w:pPr>
      <w:bookmarkStart w:id="263" w:name="tab:tab-ana"/>
      <w:bookmarkStart w:id="264" w:name="_Toc164175203"/>
      <w:bookmarkEnd w:id="263"/>
      <w:r>
        <w:lastRenderedPageBreak/>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13</w:t>
      </w:r>
      <w:r w:rsidR="004F13BA">
        <w:rPr>
          <w:noProof/>
        </w:rPr>
        <w:fldChar w:fldCharType="end"/>
      </w:r>
      <w:r>
        <w:t xml:space="preserve">. </w:t>
      </w:r>
      <w:r w:rsidRPr="000B52A1">
        <w:rPr>
          <w:rFonts w:cstheme="minorHAnsi"/>
        </w:rPr>
        <w:t>Analytes measured in sediment samples, 2017-2022.</w:t>
      </w:r>
      <w:bookmarkEnd w:id="264"/>
    </w:p>
    <w:tbl>
      <w:tblPr>
        <w:tblStyle w:val="TableGrid"/>
        <w:tblW w:w="9990" w:type="dxa"/>
        <w:tblInd w:w="-3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Table of Analytes measured in sediment samples, 2017-2022."/>
        <w:tblDescription w:val="Analytes measured in sediment samples, 2017-2022."/>
      </w:tblPr>
      <w:tblGrid>
        <w:gridCol w:w="1170"/>
        <w:gridCol w:w="2700"/>
        <w:gridCol w:w="1980"/>
        <w:gridCol w:w="630"/>
        <w:gridCol w:w="3510"/>
      </w:tblGrid>
      <w:tr w:rsidR="005E73EB" w:rsidRPr="00FA42B8" w14:paraId="35CC2D50" w14:textId="77777777" w:rsidTr="00844E43">
        <w:tc>
          <w:tcPr>
            <w:tcW w:w="1170" w:type="dxa"/>
            <w:vMerge w:val="restart"/>
            <w:tcBorders>
              <w:top w:val="single" w:sz="12" w:space="0" w:color="auto"/>
            </w:tcBorders>
          </w:tcPr>
          <w:p w14:paraId="45C37AC6" w14:textId="77777777" w:rsidR="00E83DF9" w:rsidRPr="00790A66" w:rsidRDefault="00E83DF9">
            <w:pPr>
              <w:jc w:val="center"/>
              <w:rPr>
                <w:color w:val="000000" w:themeColor="text1"/>
                <w:sz w:val="20"/>
              </w:rPr>
            </w:pPr>
            <w:r w:rsidRPr="00790A66">
              <w:rPr>
                <w:rFonts w:eastAsia="Arial" w:cstheme="minorHAnsi"/>
                <w:b/>
                <w:color w:val="000000" w:themeColor="text1"/>
                <w:sz w:val="20"/>
              </w:rPr>
              <w:t>16 Trace Metals</w:t>
            </w:r>
          </w:p>
        </w:tc>
        <w:tc>
          <w:tcPr>
            <w:tcW w:w="2700" w:type="dxa"/>
            <w:vMerge w:val="restart"/>
            <w:tcBorders>
              <w:top w:val="single" w:sz="12" w:space="0" w:color="auto"/>
            </w:tcBorders>
          </w:tcPr>
          <w:p w14:paraId="7749DC64" w14:textId="77777777" w:rsidR="00E83DF9" w:rsidRPr="00790A66" w:rsidRDefault="00E83DF9">
            <w:pPr>
              <w:jc w:val="center"/>
              <w:rPr>
                <w:color w:val="000000" w:themeColor="text1"/>
                <w:sz w:val="20"/>
              </w:rPr>
            </w:pPr>
            <w:r w:rsidRPr="00790A66">
              <w:rPr>
                <w:rFonts w:eastAsia="Arial" w:cstheme="minorHAnsi"/>
                <w:b/>
                <w:color w:val="000000" w:themeColor="text1"/>
                <w:sz w:val="20"/>
              </w:rPr>
              <w:t>25 Polynuclear Aromatic Hydrocarbons (PAHs) and Semi-Volatiles</w:t>
            </w:r>
          </w:p>
        </w:tc>
        <w:tc>
          <w:tcPr>
            <w:tcW w:w="1980" w:type="dxa"/>
            <w:vMerge w:val="restart"/>
            <w:tcBorders>
              <w:top w:val="single" w:sz="12" w:space="0" w:color="auto"/>
            </w:tcBorders>
          </w:tcPr>
          <w:p w14:paraId="6798F245" w14:textId="77777777" w:rsidR="00E83DF9" w:rsidRPr="00790A66" w:rsidRDefault="00E83DF9">
            <w:pPr>
              <w:jc w:val="center"/>
              <w:rPr>
                <w:color w:val="000000" w:themeColor="text1"/>
                <w:sz w:val="20"/>
              </w:rPr>
            </w:pPr>
            <w:r w:rsidRPr="00790A66">
              <w:rPr>
                <w:rFonts w:eastAsia="Arial" w:cstheme="minorHAnsi"/>
                <w:b/>
                <w:color w:val="000000" w:themeColor="text1"/>
                <w:sz w:val="20"/>
              </w:rPr>
              <w:t>28 DDT and Organochlorine Pesticides &amp; Derivatives</w:t>
            </w:r>
          </w:p>
        </w:tc>
        <w:tc>
          <w:tcPr>
            <w:tcW w:w="4140" w:type="dxa"/>
            <w:gridSpan w:val="2"/>
            <w:tcBorders>
              <w:top w:val="single" w:sz="12" w:space="0" w:color="auto"/>
              <w:bottom w:val="single" w:sz="2" w:space="0" w:color="auto"/>
            </w:tcBorders>
            <w:vAlign w:val="center"/>
          </w:tcPr>
          <w:p w14:paraId="71932A57" w14:textId="77777777" w:rsidR="00E83DF9" w:rsidRPr="00790A66" w:rsidRDefault="00E83DF9">
            <w:pPr>
              <w:jc w:val="center"/>
              <w:rPr>
                <w:b/>
                <w:bCs/>
                <w:color w:val="000000" w:themeColor="text1"/>
                <w:sz w:val="20"/>
              </w:rPr>
            </w:pPr>
            <w:r w:rsidRPr="00790A66">
              <w:rPr>
                <w:b/>
                <w:bCs/>
                <w:color w:val="000000" w:themeColor="text1"/>
                <w:sz w:val="20"/>
              </w:rPr>
              <w:t>21 PCBs</w:t>
            </w:r>
          </w:p>
        </w:tc>
      </w:tr>
      <w:tr w:rsidR="005E73EB" w:rsidRPr="00FA42B8" w14:paraId="198A80D2" w14:textId="77777777" w:rsidTr="00CE3AFB">
        <w:tc>
          <w:tcPr>
            <w:tcW w:w="1170" w:type="dxa"/>
            <w:vMerge/>
            <w:tcBorders>
              <w:bottom w:val="single" w:sz="2" w:space="0" w:color="auto"/>
            </w:tcBorders>
          </w:tcPr>
          <w:p w14:paraId="74F32A81" w14:textId="77777777" w:rsidR="00E83DF9" w:rsidRPr="00790A66" w:rsidRDefault="00E83DF9">
            <w:pPr>
              <w:jc w:val="center"/>
              <w:rPr>
                <w:rFonts w:eastAsia="Arial" w:cstheme="minorHAnsi"/>
                <w:b/>
                <w:color w:val="000000" w:themeColor="text1"/>
                <w:sz w:val="20"/>
              </w:rPr>
            </w:pPr>
          </w:p>
        </w:tc>
        <w:tc>
          <w:tcPr>
            <w:tcW w:w="2700" w:type="dxa"/>
            <w:vMerge/>
            <w:tcBorders>
              <w:bottom w:val="single" w:sz="2" w:space="0" w:color="auto"/>
            </w:tcBorders>
          </w:tcPr>
          <w:p w14:paraId="2FB28BE7" w14:textId="77777777" w:rsidR="00E83DF9" w:rsidRPr="00790A66" w:rsidRDefault="00E83DF9">
            <w:pPr>
              <w:jc w:val="center"/>
              <w:rPr>
                <w:rFonts w:eastAsia="Arial" w:cstheme="minorHAnsi"/>
                <w:b/>
                <w:color w:val="000000" w:themeColor="text1"/>
                <w:sz w:val="20"/>
              </w:rPr>
            </w:pPr>
          </w:p>
        </w:tc>
        <w:tc>
          <w:tcPr>
            <w:tcW w:w="1980" w:type="dxa"/>
            <w:vMerge/>
            <w:tcBorders>
              <w:bottom w:val="single" w:sz="2" w:space="0" w:color="auto"/>
            </w:tcBorders>
          </w:tcPr>
          <w:p w14:paraId="6FADEC44" w14:textId="77777777" w:rsidR="00E83DF9" w:rsidRPr="00790A66" w:rsidRDefault="00E83DF9">
            <w:pPr>
              <w:jc w:val="center"/>
              <w:rPr>
                <w:rFonts w:eastAsia="Arial" w:cstheme="minorHAnsi"/>
                <w:b/>
                <w:color w:val="000000" w:themeColor="text1"/>
                <w:sz w:val="20"/>
              </w:rPr>
            </w:pPr>
          </w:p>
        </w:tc>
        <w:tc>
          <w:tcPr>
            <w:tcW w:w="630" w:type="dxa"/>
            <w:tcBorders>
              <w:top w:val="single" w:sz="2" w:space="0" w:color="auto"/>
              <w:bottom w:val="single" w:sz="2" w:space="0" w:color="auto"/>
            </w:tcBorders>
            <w:vAlign w:val="center"/>
          </w:tcPr>
          <w:p w14:paraId="7E4DD440" w14:textId="77777777" w:rsidR="00E83DF9" w:rsidRPr="00790A66" w:rsidRDefault="00E83DF9">
            <w:pPr>
              <w:jc w:val="center"/>
              <w:rPr>
                <w:rFonts w:eastAsia="Arial" w:cstheme="minorHAnsi"/>
                <w:b/>
                <w:bCs/>
                <w:color w:val="000000" w:themeColor="text1"/>
                <w:sz w:val="20"/>
              </w:rPr>
            </w:pPr>
            <w:r w:rsidRPr="00790A66">
              <w:rPr>
                <w:rFonts w:eastAsia="Arial" w:cstheme="minorHAnsi"/>
                <w:b/>
                <w:bCs/>
                <w:color w:val="000000" w:themeColor="text1"/>
                <w:sz w:val="20"/>
              </w:rPr>
              <w:t>PCB No.</w:t>
            </w:r>
          </w:p>
        </w:tc>
        <w:tc>
          <w:tcPr>
            <w:tcW w:w="3510" w:type="dxa"/>
            <w:tcBorders>
              <w:top w:val="single" w:sz="2" w:space="0" w:color="auto"/>
              <w:bottom w:val="single" w:sz="2" w:space="0" w:color="auto"/>
            </w:tcBorders>
            <w:vAlign w:val="center"/>
          </w:tcPr>
          <w:p w14:paraId="0AD49CA8" w14:textId="77777777" w:rsidR="00E83DF9" w:rsidRPr="00790A66" w:rsidRDefault="00E83DF9">
            <w:pPr>
              <w:jc w:val="center"/>
              <w:rPr>
                <w:rFonts w:eastAsia="Arial" w:cstheme="minorHAnsi"/>
                <w:b/>
                <w:bCs/>
                <w:color w:val="000000" w:themeColor="text1"/>
                <w:sz w:val="20"/>
              </w:rPr>
            </w:pPr>
            <w:r w:rsidRPr="00790A66">
              <w:rPr>
                <w:rFonts w:eastAsia="Arial" w:cstheme="minorHAnsi"/>
                <w:b/>
                <w:bCs/>
                <w:color w:val="000000" w:themeColor="text1"/>
                <w:sz w:val="20"/>
              </w:rPr>
              <w:t>Compound Name</w:t>
            </w:r>
          </w:p>
        </w:tc>
      </w:tr>
      <w:tr w:rsidR="005E73EB" w:rsidRPr="00FA42B8" w14:paraId="56B5990C" w14:textId="77777777" w:rsidTr="00CE3AFB">
        <w:trPr>
          <w:trHeight w:val="274"/>
        </w:trPr>
        <w:tc>
          <w:tcPr>
            <w:tcW w:w="1170" w:type="dxa"/>
            <w:tcBorders>
              <w:top w:val="single" w:sz="2" w:space="0" w:color="auto"/>
            </w:tcBorders>
            <w:vAlign w:val="center"/>
          </w:tcPr>
          <w:p w14:paraId="717CBD12"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Aluminum</w:t>
            </w:r>
          </w:p>
        </w:tc>
        <w:tc>
          <w:tcPr>
            <w:tcW w:w="2700" w:type="dxa"/>
            <w:tcBorders>
              <w:top w:val="single" w:sz="2" w:space="0" w:color="auto"/>
            </w:tcBorders>
            <w:vAlign w:val="center"/>
          </w:tcPr>
          <w:p w14:paraId="596E5200"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1-Methylnaphthalene</w:t>
            </w:r>
          </w:p>
        </w:tc>
        <w:tc>
          <w:tcPr>
            <w:tcW w:w="1980" w:type="dxa"/>
            <w:tcBorders>
              <w:top w:val="single" w:sz="2" w:space="0" w:color="auto"/>
            </w:tcBorders>
            <w:vAlign w:val="center"/>
          </w:tcPr>
          <w:p w14:paraId="784CAA94"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2,4'-DDD</w:t>
            </w:r>
          </w:p>
        </w:tc>
        <w:tc>
          <w:tcPr>
            <w:tcW w:w="630" w:type="dxa"/>
            <w:tcBorders>
              <w:top w:val="single" w:sz="2" w:space="0" w:color="auto"/>
            </w:tcBorders>
            <w:vAlign w:val="center"/>
          </w:tcPr>
          <w:p w14:paraId="3038F524"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8</w:t>
            </w:r>
          </w:p>
        </w:tc>
        <w:tc>
          <w:tcPr>
            <w:tcW w:w="3510" w:type="dxa"/>
            <w:tcBorders>
              <w:top w:val="single" w:sz="2" w:space="0" w:color="auto"/>
            </w:tcBorders>
            <w:vAlign w:val="center"/>
          </w:tcPr>
          <w:p w14:paraId="142125D8"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2,4'-Dichlorobiphenyl</w:t>
            </w:r>
          </w:p>
        </w:tc>
      </w:tr>
      <w:tr w:rsidR="005E73EB" w:rsidRPr="00FA42B8" w14:paraId="40DB4956" w14:textId="77777777" w:rsidTr="00CE3AFB">
        <w:trPr>
          <w:trHeight w:val="274"/>
        </w:trPr>
        <w:tc>
          <w:tcPr>
            <w:tcW w:w="1170" w:type="dxa"/>
            <w:vAlign w:val="center"/>
          </w:tcPr>
          <w:p w14:paraId="0FBD4970"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Antimony</w:t>
            </w:r>
          </w:p>
        </w:tc>
        <w:tc>
          <w:tcPr>
            <w:tcW w:w="2700" w:type="dxa"/>
            <w:vAlign w:val="center"/>
          </w:tcPr>
          <w:p w14:paraId="6BB70CA0"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1-Methylphenanthrene</w:t>
            </w:r>
          </w:p>
        </w:tc>
        <w:tc>
          <w:tcPr>
            <w:tcW w:w="1980" w:type="dxa"/>
            <w:vAlign w:val="center"/>
          </w:tcPr>
          <w:p w14:paraId="686C4624"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2,4'-DDE</w:t>
            </w:r>
          </w:p>
        </w:tc>
        <w:tc>
          <w:tcPr>
            <w:tcW w:w="630" w:type="dxa"/>
            <w:vAlign w:val="center"/>
          </w:tcPr>
          <w:p w14:paraId="1CCBC233"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18</w:t>
            </w:r>
          </w:p>
        </w:tc>
        <w:tc>
          <w:tcPr>
            <w:tcW w:w="3510" w:type="dxa"/>
            <w:vAlign w:val="center"/>
          </w:tcPr>
          <w:p w14:paraId="4FE5E050"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2,2',5-Trichlorobiphenyl</w:t>
            </w:r>
          </w:p>
        </w:tc>
      </w:tr>
      <w:tr w:rsidR="005E73EB" w:rsidRPr="00FA42B8" w14:paraId="7DCABACC" w14:textId="77777777" w:rsidTr="00CE3AFB">
        <w:trPr>
          <w:trHeight w:val="274"/>
        </w:trPr>
        <w:tc>
          <w:tcPr>
            <w:tcW w:w="1170" w:type="dxa"/>
            <w:vAlign w:val="center"/>
          </w:tcPr>
          <w:p w14:paraId="37992DC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Arsenic</w:t>
            </w:r>
          </w:p>
        </w:tc>
        <w:tc>
          <w:tcPr>
            <w:tcW w:w="2700" w:type="dxa"/>
            <w:vAlign w:val="center"/>
          </w:tcPr>
          <w:p w14:paraId="0A7DF45A"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2-Methylnaphthalene</w:t>
            </w:r>
          </w:p>
        </w:tc>
        <w:tc>
          <w:tcPr>
            <w:tcW w:w="1980" w:type="dxa"/>
            <w:vAlign w:val="center"/>
          </w:tcPr>
          <w:p w14:paraId="1D13D7FF"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2,4'-DDT</w:t>
            </w:r>
          </w:p>
        </w:tc>
        <w:tc>
          <w:tcPr>
            <w:tcW w:w="630" w:type="dxa"/>
            <w:vAlign w:val="center"/>
          </w:tcPr>
          <w:p w14:paraId="1D520710"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28</w:t>
            </w:r>
          </w:p>
        </w:tc>
        <w:tc>
          <w:tcPr>
            <w:tcW w:w="3510" w:type="dxa"/>
            <w:vAlign w:val="center"/>
          </w:tcPr>
          <w:p w14:paraId="6EE5B7D8"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2,4,4'-Trichlorobiphenyl</w:t>
            </w:r>
          </w:p>
        </w:tc>
      </w:tr>
      <w:tr w:rsidR="005E73EB" w:rsidRPr="00FA42B8" w14:paraId="257BE4AF" w14:textId="77777777" w:rsidTr="00CE3AFB">
        <w:trPr>
          <w:trHeight w:val="274"/>
        </w:trPr>
        <w:tc>
          <w:tcPr>
            <w:tcW w:w="1170" w:type="dxa"/>
            <w:vAlign w:val="center"/>
          </w:tcPr>
          <w:p w14:paraId="656D2283"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Cadmium</w:t>
            </w:r>
          </w:p>
        </w:tc>
        <w:tc>
          <w:tcPr>
            <w:tcW w:w="2700" w:type="dxa"/>
            <w:vAlign w:val="center"/>
          </w:tcPr>
          <w:p w14:paraId="26D1E5EA"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2,3,5-Trimethylnaphthalene</w:t>
            </w:r>
          </w:p>
        </w:tc>
        <w:tc>
          <w:tcPr>
            <w:tcW w:w="1980" w:type="dxa"/>
            <w:vAlign w:val="center"/>
          </w:tcPr>
          <w:p w14:paraId="5D6E122E"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4,4'-DDD</w:t>
            </w:r>
          </w:p>
        </w:tc>
        <w:tc>
          <w:tcPr>
            <w:tcW w:w="630" w:type="dxa"/>
            <w:vAlign w:val="center"/>
          </w:tcPr>
          <w:p w14:paraId="62BC562F"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44</w:t>
            </w:r>
          </w:p>
        </w:tc>
        <w:tc>
          <w:tcPr>
            <w:tcW w:w="3510" w:type="dxa"/>
            <w:vAlign w:val="center"/>
          </w:tcPr>
          <w:p w14:paraId="6E43435B"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2,2',3,5'-Tetrachlorobiphenyl</w:t>
            </w:r>
          </w:p>
        </w:tc>
      </w:tr>
      <w:tr w:rsidR="005E73EB" w:rsidRPr="00FA42B8" w14:paraId="4A21FF36" w14:textId="77777777" w:rsidTr="00CE3AFB">
        <w:trPr>
          <w:trHeight w:val="274"/>
        </w:trPr>
        <w:tc>
          <w:tcPr>
            <w:tcW w:w="1170" w:type="dxa"/>
            <w:vAlign w:val="center"/>
          </w:tcPr>
          <w:p w14:paraId="1D00D356"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Chromium</w:t>
            </w:r>
          </w:p>
        </w:tc>
        <w:tc>
          <w:tcPr>
            <w:tcW w:w="2700" w:type="dxa"/>
            <w:vAlign w:val="center"/>
          </w:tcPr>
          <w:p w14:paraId="43B841D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2,6-Dimethylnaphthalene</w:t>
            </w:r>
          </w:p>
        </w:tc>
        <w:tc>
          <w:tcPr>
            <w:tcW w:w="1980" w:type="dxa"/>
            <w:vAlign w:val="center"/>
          </w:tcPr>
          <w:p w14:paraId="0EC2A668"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4,4'-DDE</w:t>
            </w:r>
          </w:p>
        </w:tc>
        <w:tc>
          <w:tcPr>
            <w:tcW w:w="630" w:type="dxa"/>
            <w:vAlign w:val="center"/>
          </w:tcPr>
          <w:p w14:paraId="5C769A54"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52</w:t>
            </w:r>
          </w:p>
        </w:tc>
        <w:tc>
          <w:tcPr>
            <w:tcW w:w="3510" w:type="dxa"/>
            <w:vAlign w:val="center"/>
          </w:tcPr>
          <w:p w14:paraId="4D0B6B58"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2,2',5,5'-Tetrachlorobiphenyl</w:t>
            </w:r>
          </w:p>
        </w:tc>
      </w:tr>
      <w:tr w:rsidR="005E73EB" w:rsidRPr="00FA42B8" w14:paraId="1F1262B8" w14:textId="77777777" w:rsidTr="00CE3AFB">
        <w:trPr>
          <w:trHeight w:val="274"/>
        </w:trPr>
        <w:tc>
          <w:tcPr>
            <w:tcW w:w="1170" w:type="dxa"/>
            <w:vAlign w:val="center"/>
          </w:tcPr>
          <w:p w14:paraId="15489835"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Copper</w:t>
            </w:r>
          </w:p>
        </w:tc>
        <w:tc>
          <w:tcPr>
            <w:tcW w:w="2700" w:type="dxa"/>
            <w:vAlign w:val="center"/>
          </w:tcPr>
          <w:p w14:paraId="1D03D7B6"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Acenaphthene</w:t>
            </w:r>
          </w:p>
        </w:tc>
        <w:tc>
          <w:tcPr>
            <w:tcW w:w="1980" w:type="dxa"/>
            <w:vAlign w:val="center"/>
          </w:tcPr>
          <w:p w14:paraId="37772C45"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4,4'-DDT</w:t>
            </w:r>
          </w:p>
        </w:tc>
        <w:tc>
          <w:tcPr>
            <w:tcW w:w="630" w:type="dxa"/>
            <w:vAlign w:val="center"/>
          </w:tcPr>
          <w:p w14:paraId="71EA3405"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66</w:t>
            </w:r>
          </w:p>
        </w:tc>
        <w:tc>
          <w:tcPr>
            <w:tcW w:w="3510" w:type="dxa"/>
            <w:vAlign w:val="center"/>
          </w:tcPr>
          <w:p w14:paraId="40DAA5AB"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2,3',4,4'-Tetrachlorobiphenyl</w:t>
            </w:r>
          </w:p>
        </w:tc>
      </w:tr>
      <w:tr w:rsidR="005E73EB" w:rsidRPr="00FA42B8" w14:paraId="626AC947" w14:textId="77777777" w:rsidTr="00CE3AFB">
        <w:trPr>
          <w:trHeight w:val="274"/>
        </w:trPr>
        <w:tc>
          <w:tcPr>
            <w:tcW w:w="1170" w:type="dxa"/>
            <w:vAlign w:val="center"/>
          </w:tcPr>
          <w:p w14:paraId="1F61FF44"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Iron</w:t>
            </w:r>
          </w:p>
        </w:tc>
        <w:tc>
          <w:tcPr>
            <w:tcW w:w="2700" w:type="dxa"/>
            <w:vAlign w:val="center"/>
          </w:tcPr>
          <w:p w14:paraId="0D8AA60D"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Acenaphthylene</w:t>
            </w:r>
          </w:p>
        </w:tc>
        <w:tc>
          <w:tcPr>
            <w:tcW w:w="1980" w:type="dxa"/>
            <w:vAlign w:val="center"/>
          </w:tcPr>
          <w:p w14:paraId="1B110C1A"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Aldrin</w:t>
            </w:r>
          </w:p>
        </w:tc>
        <w:tc>
          <w:tcPr>
            <w:tcW w:w="630" w:type="dxa"/>
            <w:vAlign w:val="center"/>
          </w:tcPr>
          <w:p w14:paraId="780A10F1"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77</w:t>
            </w:r>
          </w:p>
        </w:tc>
        <w:tc>
          <w:tcPr>
            <w:tcW w:w="3510" w:type="dxa"/>
            <w:vAlign w:val="center"/>
          </w:tcPr>
          <w:p w14:paraId="3538E30A"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3,3',4,4'-Tetrachlorobiphenyl</w:t>
            </w:r>
          </w:p>
        </w:tc>
      </w:tr>
      <w:tr w:rsidR="005E73EB" w:rsidRPr="00FA42B8" w14:paraId="24BB851B" w14:textId="77777777" w:rsidTr="00CE3AFB">
        <w:trPr>
          <w:trHeight w:val="274"/>
        </w:trPr>
        <w:tc>
          <w:tcPr>
            <w:tcW w:w="1170" w:type="dxa"/>
            <w:vAlign w:val="center"/>
          </w:tcPr>
          <w:p w14:paraId="35B8900C"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Lead</w:t>
            </w:r>
          </w:p>
        </w:tc>
        <w:tc>
          <w:tcPr>
            <w:tcW w:w="2700" w:type="dxa"/>
            <w:vAlign w:val="center"/>
          </w:tcPr>
          <w:p w14:paraId="047ADB61"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Anthracene</w:t>
            </w:r>
          </w:p>
        </w:tc>
        <w:tc>
          <w:tcPr>
            <w:tcW w:w="1980" w:type="dxa"/>
            <w:vAlign w:val="center"/>
          </w:tcPr>
          <w:p w14:paraId="783EC27F"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alpha-BHC</w:t>
            </w:r>
          </w:p>
        </w:tc>
        <w:tc>
          <w:tcPr>
            <w:tcW w:w="630" w:type="dxa"/>
            <w:vAlign w:val="center"/>
          </w:tcPr>
          <w:p w14:paraId="1AB86D10"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101</w:t>
            </w:r>
          </w:p>
        </w:tc>
        <w:tc>
          <w:tcPr>
            <w:tcW w:w="3510" w:type="dxa"/>
            <w:vAlign w:val="center"/>
          </w:tcPr>
          <w:p w14:paraId="303CBA15"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2,2',4,5,5'-Pentachlorobiphenyl</w:t>
            </w:r>
          </w:p>
        </w:tc>
      </w:tr>
      <w:tr w:rsidR="005E73EB" w:rsidRPr="00FA42B8" w14:paraId="75972D50" w14:textId="77777777" w:rsidTr="00CE3AFB">
        <w:trPr>
          <w:trHeight w:val="274"/>
        </w:trPr>
        <w:tc>
          <w:tcPr>
            <w:tcW w:w="1170" w:type="dxa"/>
            <w:vAlign w:val="center"/>
          </w:tcPr>
          <w:p w14:paraId="48EE2F9B"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Manganese</w:t>
            </w:r>
          </w:p>
        </w:tc>
        <w:tc>
          <w:tcPr>
            <w:tcW w:w="2700" w:type="dxa"/>
            <w:vAlign w:val="center"/>
          </w:tcPr>
          <w:p w14:paraId="74A51C21"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Benz(a)anthracene</w:t>
            </w:r>
          </w:p>
        </w:tc>
        <w:tc>
          <w:tcPr>
            <w:tcW w:w="1980" w:type="dxa"/>
            <w:vAlign w:val="center"/>
          </w:tcPr>
          <w:p w14:paraId="7D35217C"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alpha-Chlordane</w:t>
            </w:r>
          </w:p>
        </w:tc>
        <w:tc>
          <w:tcPr>
            <w:tcW w:w="630" w:type="dxa"/>
            <w:vAlign w:val="center"/>
          </w:tcPr>
          <w:p w14:paraId="7A5289DB"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105</w:t>
            </w:r>
          </w:p>
        </w:tc>
        <w:tc>
          <w:tcPr>
            <w:tcW w:w="3510" w:type="dxa"/>
            <w:vAlign w:val="center"/>
          </w:tcPr>
          <w:p w14:paraId="4B7F817B"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2,3,3'</w:t>
            </w:r>
            <w:proofErr w:type="gramStart"/>
            <w:r w:rsidRPr="00FA42B8">
              <w:rPr>
                <w:rFonts w:eastAsia="Arial" w:cstheme="minorHAnsi"/>
                <w:color w:val="000000"/>
                <w:sz w:val="20"/>
              </w:rPr>
              <w:t>,4,4</w:t>
            </w:r>
            <w:proofErr w:type="gramEnd"/>
            <w:r w:rsidRPr="00FA42B8">
              <w:rPr>
                <w:rFonts w:eastAsia="Arial" w:cstheme="minorHAnsi"/>
                <w:color w:val="000000"/>
                <w:sz w:val="20"/>
              </w:rPr>
              <w:t>'-Pentachlorobiphenyl</w:t>
            </w:r>
          </w:p>
        </w:tc>
      </w:tr>
      <w:tr w:rsidR="005E73EB" w:rsidRPr="00FA42B8" w14:paraId="4A605123" w14:textId="77777777" w:rsidTr="00CE3AFB">
        <w:trPr>
          <w:trHeight w:val="274"/>
        </w:trPr>
        <w:tc>
          <w:tcPr>
            <w:tcW w:w="1170" w:type="dxa"/>
            <w:vAlign w:val="center"/>
          </w:tcPr>
          <w:p w14:paraId="43B249E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Mercury</w:t>
            </w:r>
          </w:p>
        </w:tc>
        <w:tc>
          <w:tcPr>
            <w:tcW w:w="2700" w:type="dxa"/>
            <w:vAlign w:val="center"/>
          </w:tcPr>
          <w:p w14:paraId="29C9F5DE"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Benzo(a)pyrene</w:t>
            </w:r>
          </w:p>
        </w:tc>
        <w:tc>
          <w:tcPr>
            <w:tcW w:w="1980" w:type="dxa"/>
            <w:vAlign w:val="center"/>
          </w:tcPr>
          <w:p w14:paraId="43E9FC0C"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beta-BHC</w:t>
            </w:r>
          </w:p>
        </w:tc>
        <w:tc>
          <w:tcPr>
            <w:tcW w:w="630" w:type="dxa"/>
            <w:vAlign w:val="center"/>
          </w:tcPr>
          <w:p w14:paraId="02772D42"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110</w:t>
            </w:r>
          </w:p>
        </w:tc>
        <w:tc>
          <w:tcPr>
            <w:tcW w:w="3510" w:type="dxa"/>
            <w:vAlign w:val="center"/>
          </w:tcPr>
          <w:p w14:paraId="310FE8BC"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2,3,3',4',6-Pentachlorobiphenyl</w:t>
            </w:r>
          </w:p>
        </w:tc>
      </w:tr>
      <w:tr w:rsidR="005E73EB" w:rsidRPr="00FA42B8" w14:paraId="38C65C1F" w14:textId="77777777" w:rsidTr="00CE3AFB">
        <w:trPr>
          <w:trHeight w:val="274"/>
        </w:trPr>
        <w:tc>
          <w:tcPr>
            <w:tcW w:w="1170" w:type="dxa"/>
            <w:vAlign w:val="center"/>
          </w:tcPr>
          <w:p w14:paraId="6C15783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Nickel</w:t>
            </w:r>
          </w:p>
        </w:tc>
        <w:tc>
          <w:tcPr>
            <w:tcW w:w="2700" w:type="dxa"/>
            <w:vAlign w:val="center"/>
          </w:tcPr>
          <w:p w14:paraId="0EB1C148"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Benzo(b)fluoranthene</w:t>
            </w:r>
          </w:p>
        </w:tc>
        <w:tc>
          <w:tcPr>
            <w:tcW w:w="1980" w:type="dxa"/>
            <w:vAlign w:val="center"/>
          </w:tcPr>
          <w:p w14:paraId="54509ED4"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cis-</w:t>
            </w:r>
            <w:proofErr w:type="spellStart"/>
            <w:r w:rsidRPr="00FA42B8">
              <w:rPr>
                <w:rFonts w:eastAsia="Arial" w:cstheme="minorHAnsi"/>
                <w:color w:val="000000"/>
                <w:sz w:val="20"/>
              </w:rPr>
              <w:t>Nonachlor</w:t>
            </w:r>
            <w:proofErr w:type="spellEnd"/>
          </w:p>
        </w:tc>
        <w:tc>
          <w:tcPr>
            <w:tcW w:w="630" w:type="dxa"/>
            <w:vAlign w:val="center"/>
          </w:tcPr>
          <w:p w14:paraId="33EA0348"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118</w:t>
            </w:r>
          </w:p>
        </w:tc>
        <w:tc>
          <w:tcPr>
            <w:tcW w:w="3510" w:type="dxa"/>
            <w:vAlign w:val="center"/>
          </w:tcPr>
          <w:p w14:paraId="338CB9F3"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2,3',4,4',5-Pentachlorobiphenyl</w:t>
            </w:r>
          </w:p>
        </w:tc>
      </w:tr>
      <w:tr w:rsidR="005E73EB" w:rsidRPr="00FA42B8" w14:paraId="3DD4C067" w14:textId="77777777" w:rsidTr="00CE3AFB">
        <w:trPr>
          <w:trHeight w:val="274"/>
        </w:trPr>
        <w:tc>
          <w:tcPr>
            <w:tcW w:w="1170" w:type="dxa"/>
            <w:vAlign w:val="center"/>
          </w:tcPr>
          <w:p w14:paraId="2CC8D79F"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Selenium</w:t>
            </w:r>
          </w:p>
        </w:tc>
        <w:tc>
          <w:tcPr>
            <w:tcW w:w="2700" w:type="dxa"/>
            <w:vAlign w:val="center"/>
          </w:tcPr>
          <w:p w14:paraId="3004B7BE"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Benzo(e)pyrene</w:t>
            </w:r>
          </w:p>
        </w:tc>
        <w:tc>
          <w:tcPr>
            <w:tcW w:w="1980" w:type="dxa"/>
            <w:vAlign w:val="center"/>
          </w:tcPr>
          <w:p w14:paraId="4009CAB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delta-BHC</w:t>
            </w:r>
          </w:p>
        </w:tc>
        <w:tc>
          <w:tcPr>
            <w:tcW w:w="630" w:type="dxa"/>
            <w:vAlign w:val="center"/>
          </w:tcPr>
          <w:p w14:paraId="52B2AE63"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126</w:t>
            </w:r>
          </w:p>
        </w:tc>
        <w:tc>
          <w:tcPr>
            <w:tcW w:w="3510" w:type="dxa"/>
            <w:vAlign w:val="center"/>
          </w:tcPr>
          <w:p w14:paraId="2BD8F8FD"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3,3',4,4',5-Pentachlorobiphenyl</w:t>
            </w:r>
          </w:p>
        </w:tc>
      </w:tr>
      <w:tr w:rsidR="005E73EB" w:rsidRPr="00FA42B8" w14:paraId="59C4FDEA" w14:textId="77777777" w:rsidTr="00CE3AFB">
        <w:trPr>
          <w:trHeight w:val="274"/>
        </w:trPr>
        <w:tc>
          <w:tcPr>
            <w:tcW w:w="1170" w:type="dxa"/>
            <w:vAlign w:val="center"/>
          </w:tcPr>
          <w:p w14:paraId="25E5F5A1"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Silver</w:t>
            </w:r>
          </w:p>
        </w:tc>
        <w:tc>
          <w:tcPr>
            <w:tcW w:w="2700" w:type="dxa"/>
            <w:vAlign w:val="center"/>
          </w:tcPr>
          <w:p w14:paraId="020CDC89"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Benzo(</w:t>
            </w:r>
            <w:proofErr w:type="spellStart"/>
            <w:proofErr w:type="gramStart"/>
            <w:r w:rsidRPr="00FA42B8">
              <w:rPr>
                <w:rFonts w:eastAsia="Arial" w:cstheme="minorHAnsi"/>
                <w:color w:val="000000"/>
                <w:sz w:val="20"/>
              </w:rPr>
              <w:t>g,h</w:t>
            </w:r>
            <w:proofErr w:type="gramEnd"/>
            <w:r w:rsidRPr="00FA42B8">
              <w:rPr>
                <w:rFonts w:eastAsia="Arial" w:cstheme="minorHAnsi"/>
                <w:color w:val="000000"/>
                <w:sz w:val="20"/>
              </w:rPr>
              <w:t>,</w:t>
            </w:r>
            <w:proofErr w:type="gramStart"/>
            <w:r w:rsidRPr="00FA42B8">
              <w:rPr>
                <w:rFonts w:eastAsia="Arial" w:cstheme="minorHAnsi"/>
                <w:color w:val="000000"/>
                <w:sz w:val="20"/>
              </w:rPr>
              <w:t>i</w:t>
            </w:r>
            <w:proofErr w:type="spellEnd"/>
            <w:r w:rsidRPr="00FA42B8">
              <w:rPr>
                <w:rFonts w:eastAsia="Arial" w:cstheme="minorHAnsi"/>
                <w:color w:val="000000"/>
                <w:sz w:val="20"/>
              </w:rPr>
              <w:t>)perylene</w:t>
            </w:r>
            <w:proofErr w:type="gramEnd"/>
          </w:p>
        </w:tc>
        <w:tc>
          <w:tcPr>
            <w:tcW w:w="1980" w:type="dxa"/>
            <w:vAlign w:val="center"/>
          </w:tcPr>
          <w:p w14:paraId="42752C5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Dieldrin</w:t>
            </w:r>
          </w:p>
        </w:tc>
        <w:tc>
          <w:tcPr>
            <w:tcW w:w="630" w:type="dxa"/>
            <w:vAlign w:val="center"/>
          </w:tcPr>
          <w:p w14:paraId="2432E4C5"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128</w:t>
            </w:r>
          </w:p>
        </w:tc>
        <w:tc>
          <w:tcPr>
            <w:tcW w:w="3510" w:type="dxa"/>
            <w:vAlign w:val="center"/>
          </w:tcPr>
          <w:p w14:paraId="4F7F17E8"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2,2',3,3',4,4'-Hexachlorobiphenyl</w:t>
            </w:r>
          </w:p>
        </w:tc>
      </w:tr>
      <w:tr w:rsidR="005E73EB" w:rsidRPr="00FA42B8" w14:paraId="640FE66F" w14:textId="77777777" w:rsidTr="00CE3AFB">
        <w:trPr>
          <w:trHeight w:val="274"/>
        </w:trPr>
        <w:tc>
          <w:tcPr>
            <w:tcW w:w="1170" w:type="dxa"/>
            <w:vAlign w:val="center"/>
          </w:tcPr>
          <w:p w14:paraId="754DE3A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Tin</w:t>
            </w:r>
          </w:p>
        </w:tc>
        <w:tc>
          <w:tcPr>
            <w:tcW w:w="2700" w:type="dxa"/>
            <w:vAlign w:val="center"/>
          </w:tcPr>
          <w:p w14:paraId="4823823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Benzo(k)fluoranthene</w:t>
            </w:r>
          </w:p>
        </w:tc>
        <w:tc>
          <w:tcPr>
            <w:tcW w:w="1980" w:type="dxa"/>
            <w:vAlign w:val="center"/>
          </w:tcPr>
          <w:p w14:paraId="15475E43"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Endosulfan I</w:t>
            </w:r>
          </w:p>
        </w:tc>
        <w:tc>
          <w:tcPr>
            <w:tcW w:w="630" w:type="dxa"/>
            <w:vAlign w:val="center"/>
          </w:tcPr>
          <w:p w14:paraId="6DF7E17E"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138</w:t>
            </w:r>
          </w:p>
        </w:tc>
        <w:tc>
          <w:tcPr>
            <w:tcW w:w="3510" w:type="dxa"/>
            <w:vAlign w:val="center"/>
          </w:tcPr>
          <w:p w14:paraId="59927E9B"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2,2',3,4,4',5'-Hexachlorobiphenyl</w:t>
            </w:r>
          </w:p>
        </w:tc>
      </w:tr>
      <w:tr w:rsidR="005E73EB" w:rsidRPr="00FA42B8" w14:paraId="49A74F4A" w14:textId="77777777" w:rsidTr="00CE3AFB">
        <w:trPr>
          <w:trHeight w:val="274"/>
        </w:trPr>
        <w:tc>
          <w:tcPr>
            <w:tcW w:w="1170" w:type="dxa"/>
            <w:vAlign w:val="center"/>
          </w:tcPr>
          <w:p w14:paraId="51082044"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Vanadium</w:t>
            </w:r>
          </w:p>
        </w:tc>
        <w:tc>
          <w:tcPr>
            <w:tcW w:w="2700" w:type="dxa"/>
            <w:vAlign w:val="center"/>
          </w:tcPr>
          <w:p w14:paraId="3FCAB8C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Biphenyl</w:t>
            </w:r>
          </w:p>
        </w:tc>
        <w:tc>
          <w:tcPr>
            <w:tcW w:w="1980" w:type="dxa"/>
            <w:vAlign w:val="center"/>
          </w:tcPr>
          <w:p w14:paraId="5F1F8F98"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Endosulfan II</w:t>
            </w:r>
          </w:p>
        </w:tc>
        <w:tc>
          <w:tcPr>
            <w:tcW w:w="630" w:type="dxa"/>
            <w:vAlign w:val="center"/>
          </w:tcPr>
          <w:p w14:paraId="58D4AA3C"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153</w:t>
            </w:r>
          </w:p>
        </w:tc>
        <w:tc>
          <w:tcPr>
            <w:tcW w:w="3510" w:type="dxa"/>
            <w:vAlign w:val="center"/>
          </w:tcPr>
          <w:p w14:paraId="7193AED7"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2,2',4,4',5,5'-Hexachlorobiphenyl</w:t>
            </w:r>
          </w:p>
        </w:tc>
      </w:tr>
      <w:tr w:rsidR="005E73EB" w:rsidRPr="00FA42B8" w14:paraId="66AF80EB" w14:textId="77777777" w:rsidTr="00CE3AFB">
        <w:trPr>
          <w:trHeight w:val="274"/>
        </w:trPr>
        <w:tc>
          <w:tcPr>
            <w:tcW w:w="1170" w:type="dxa"/>
            <w:vAlign w:val="center"/>
          </w:tcPr>
          <w:p w14:paraId="329993FD"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Zinc</w:t>
            </w:r>
          </w:p>
        </w:tc>
        <w:tc>
          <w:tcPr>
            <w:tcW w:w="2700" w:type="dxa"/>
            <w:vAlign w:val="center"/>
          </w:tcPr>
          <w:p w14:paraId="48CF1D09"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Chrysene</w:t>
            </w:r>
          </w:p>
        </w:tc>
        <w:tc>
          <w:tcPr>
            <w:tcW w:w="1980" w:type="dxa"/>
            <w:vAlign w:val="center"/>
          </w:tcPr>
          <w:p w14:paraId="4C99D11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Endosulfan sulfate</w:t>
            </w:r>
          </w:p>
        </w:tc>
        <w:tc>
          <w:tcPr>
            <w:tcW w:w="630" w:type="dxa"/>
            <w:vAlign w:val="center"/>
          </w:tcPr>
          <w:p w14:paraId="43F72BA2"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170</w:t>
            </w:r>
          </w:p>
        </w:tc>
        <w:tc>
          <w:tcPr>
            <w:tcW w:w="3510" w:type="dxa"/>
            <w:vAlign w:val="center"/>
          </w:tcPr>
          <w:p w14:paraId="7C51BC3E"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2,2',3,3'</w:t>
            </w:r>
            <w:proofErr w:type="gramStart"/>
            <w:r w:rsidRPr="00FA42B8">
              <w:rPr>
                <w:rFonts w:eastAsia="Arial" w:cstheme="minorHAnsi"/>
                <w:color w:val="000000"/>
                <w:sz w:val="20"/>
              </w:rPr>
              <w:t>,4,4</w:t>
            </w:r>
            <w:proofErr w:type="gramEnd"/>
            <w:r w:rsidRPr="00FA42B8">
              <w:rPr>
                <w:rFonts w:eastAsia="Arial" w:cstheme="minorHAnsi"/>
                <w:color w:val="000000"/>
                <w:sz w:val="20"/>
              </w:rPr>
              <w:t>',5-Heptachlorobiphenyl</w:t>
            </w:r>
          </w:p>
        </w:tc>
      </w:tr>
      <w:tr w:rsidR="005E73EB" w:rsidRPr="00FA42B8" w14:paraId="021413DF" w14:textId="77777777" w:rsidTr="00CE3AFB">
        <w:trPr>
          <w:trHeight w:val="274"/>
        </w:trPr>
        <w:tc>
          <w:tcPr>
            <w:tcW w:w="1170" w:type="dxa"/>
          </w:tcPr>
          <w:p w14:paraId="75F1B4DF" w14:textId="77777777" w:rsidR="00E83DF9" w:rsidRPr="00FA42B8" w:rsidRDefault="00E83DF9">
            <w:pPr>
              <w:jc w:val="center"/>
              <w:rPr>
                <w:rFonts w:eastAsia="Arial" w:cstheme="minorHAnsi"/>
                <w:b/>
                <w:color w:val="000000"/>
                <w:sz w:val="20"/>
              </w:rPr>
            </w:pPr>
          </w:p>
        </w:tc>
        <w:tc>
          <w:tcPr>
            <w:tcW w:w="2700" w:type="dxa"/>
            <w:vAlign w:val="center"/>
          </w:tcPr>
          <w:p w14:paraId="54B4D8BB" w14:textId="77777777" w:rsidR="00E83DF9" w:rsidRPr="00FA42B8" w:rsidRDefault="00E83DF9">
            <w:pPr>
              <w:jc w:val="center"/>
              <w:rPr>
                <w:rFonts w:eastAsia="Arial" w:cstheme="minorHAnsi"/>
                <w:b/>
                <w:color w:val="000000"/>
                <w:sz w:val="20"/>
              </w:rPr>
            </w:pPr>
            <w:proofErr w:type="spellStart"/>
            <w:r w:rsidRPr="00FA42B8">
              <w:rPr>
                <w:rFonts w:eastAsia="Arial" w:cstheme="minorHAnsi"/>
                <w:color w:val="000000"/>
                <w:sz w:val="20"/>
              </w:rPr>
              <w:t>Dibenz</w:t>
            </w:r>
            <w:proofErr w:type="spellEnd"/>
            <w:r w:rsidRPr="00FA42B8">
              <w:rPr>
                <w:rFonts w:eastAsia="Arial" w:cstheme="minorHAnsi"/>
                <w:color w:val="000000"/>
                <w:sz w:val="20"/>
              </w:rPr>
              <w:t>(</w:t>
            </w:r>
            <w:proofErr w:type="spellStart"/>
            <w:proofErr w:type="gramStart"/>
            <w:r w:rsidRPr="00FA42B8">
              <w:rPr>
                <w:rFonts w:eastAsia="Arial" w:cstheme="minorHAnsi"/>
                <w:color w:val="000000"/>
                <w:sz w:val="20"/>
              </w:rPr>
              <w:t>a,h</w:t>
            </w:r>
            <w:proofErr w:type="spellEnd"/>
            <w:proofErr w:type="gramEnd"/>
            <w:r w:rsidRPr="00FA42B8">
              <w:rPr>
                <w:rFonts w:eastAsia="Arial" w:cstheme="minorHAnsi"/>
                <w:color w:val="000000"/>
                <w:sz w:val="20"/>
              </w:rPr>
              <w:t>)anthracene</w:t>
            </w:r>
          </w:p>
        </w:tc>
        <w:tc>
          <w:tcPr>
            <w:tcW w:w="1980" w:type="dxa"/>
            <w:vAlign w:val="center"/>
          </w:tcPr>
          <w:p w14:paraId="38EB5261"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Endrin</w:t>
            </w:r>
          </w:p>
        </w:tc>
        <w:tc>
          <w:tcPr>
            <w:tcW w:w="630" w:type="dxa"/>
            <w:vAlign w:val="center"/>
          </w:tcPr>
          <w:p w14:paraId="36C421EA"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180</w:t>
            </w:r>
          </w:p>
        </w:tc>
        <w:tc>
          <w:tcPr>
            <w:tcW w:w="3510" w:type="dxa"/>
            <w:vAlign w:val="center"/>
          </w:tcPr>
          <w:p w14:paraId="1D55DD36"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2,2',3,4,4',5,5'-Heptachlorobiphenyl</w:t>
            </w:r>
          </w:p>
        </w:tc>
      </w:tr>
      <w:tr w:rsidR="005E73EB" w:rsidRPr="00FA42B8" w14:paraId="43DA6C60" w14:textId="77777777" w:rsidTr="00CE3AFB">
        <w:trPr>
          <w:trHeight w:val="274"/>
        </w:trPr>
        <w:tc>
          <w:tcPr>
            <w:tcW w:w="1170" w:type="dxa"/>
          </w:tcPr>
          <w:p w14:paraId="574B0EC7" w14:textId="77777777" w:rsidR="00E83DF9" w:rsidRPr="00FA42B8" w:rsidRDefault="00E83DF9">
            <w:pPr>
              <w:jc w:val="center"/>
              <w:rPr>
                <w:rFonts w:eastAsia="Arial" w:cstheme="minorHAnsi"/>
                <w:b/>
                <w:color w:val="000000"/>
                <w:sz w:val="20"/>
              </w:rPr>
            </w:pPr>
          </w:p>
        </w:tc>
        <w:tc>
          <w:tcPr>
            <w:tcW w:w="2700" w:type="dxa"/>
            <w:vAlign w:val="center"/>
          </w:tcPr>
          <w:p w14:paraId="7582CE0C"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Dibenzothiophene</w:t>
            </w:r>
          </w:p>
        </w:tc>
        <w:tc>
          <w:tcPr>
            <w:tcW w:w="1980" w:type="dxa"/>
            <w:vAlign w:val="center"/>
          </w:tcPr>
          <w:p w14:paraId="3627867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Endrin aldehyde</w:t>
            </w:r>
          </w:p>
        </w:tc>
        <w:tc>
          <w:tcPr>
            <w:tcW w:w="630" w:type="dxa"/>
            <w:vAlign w:val="center"/>
          </w:tcPr>
          <w:p w14:paraId="255E507C"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187</w:t>
            </w:r>
          </w:p>
        </w:tc>
        <w:tc>
          <w:tcPr>
            <w:tcW w:w="3510" w:type="dxa"/>
            <w:vAlign w:val="center"/>
          </w:tcPr>
          <w:p w14:paraId="2E4262F0"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2,2',3,4',5,5',6-Heptachlorobiphenyl</w:t>
            </w:r>
          </w:p>
        </w:tc>
      </w:tr>
      <w:tr w:rsidR="005E73EB" w:rsidRPr="00FA42B8" w14:paraId="1935AEB6" w14:textId="77777777" w:rsidTr="00CE3AFB">
        <w:trPr>
          <w:trHeight w:val="274"/>
        </w:trPr>
        <w:tc>
          <w:tcPr>
            <w:tcW w:w="1170" w:type="dxa"/>
          </w:tcPr>
          <w:p w14:paraId="2D7C7AE3" w14:textId="77777777" w:rsidR="00E83DF9" w:rsidRPr="00FA42B8" w:rsidRDefault="00E83DF9">
            <w:pPr>
              <w:jc w:val="center"/>
              <w:rPr>
                <w:rFonts w:eastAsia="Arial" w:cstheme="minorHAnsi"/>
                <w:b/>
                <w:color w:val="000000"/>
                <w:sz w:val="20"/>
              </w:rPr>
            </w:pPr>
          </w:p>
        </w:tc>
        <w:tc>
          <w:tcPr>
            <w:tcW w:w="2700" w:type="dxa"/>
            <w:vAlign w:val="center"/>
          </w:tcPr>
          <w:p w14:paraId="1B833268"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Fluoranthene</w:t>
            </w:r>
          </w:p>
        </w:tc>
        <w:tc>
          <w:tcPr>
            <w:tcW w:w="1980" w:type="dxa"/>
            <w:vAlign w:val="center"/>
          </w:tcPr>
          <w:p w14:paraId="13316E64"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Endrin ketone</w:t>
            </w:r>
          </w:p>
        </w:tc>
        <w:tc>
          <w:tcPr>
            <w:tcW w:w="630" w:type="dxa"/>
            <w:vAlign w:val="center"/>
          </w:tcPr>
          <w:p w14:paraId="6A64A50D"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195</w:t>
            </w:r>
          </w:p>
        </w:tc>
        <w:tc>
          <w:tcPr>
            <w:tcW w:w="3510" w:type="dxa"/>
            <w:vAlign w:val="center"/>
          </w:tcPr>
          <w:p w14:paraId="321CE2CD"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2,2',3,3',4,4',5,6-Octachlorobiphenyl</w:t>
            </w:r>
          </w:p>
        </w:tc>
      </w:tr>
      <w:tr w:rsidR="005E73EB" w:rsidRPr="00FA42B8" w14:paraId="663CC0DF" w14:textId="77777777" w:rsidTr="00CE3AFB">
        <w:trPr>
          <w:trHeight w:val="274"/>
        </w:trPr>
        <w:tc>
          <w:tcPr>
            <w:tcW w:w="1170" w:type="dxa"/>
          </w:tcPr>
          <w:p w14:paraId="3B7C4699" w14:textId="77777777" w:rsidR="00E83DF9" w:rsidRPr="00FA42B8" w:rsidRDefault="00E83DF9">
            <w:pPr>
              <w:jc w:val="center"/>
              <w:rPr>
                <w:rFonts w:eastAsia="Arial" w:cstheme="minorHAnsi"/>
                <w:b/>
                <w:color w:val="000000"/>
                <w:sz w:val="20"/>
              </w:rPr>
            </w:pPr>
          </w:p>
        </w:tc>
        <w:tc>
          <w:tcPr>
            <w:tcW w:w="2700" w:type="dxa"/>
            <w:vAlign w:val="center"/>
          </w:tcPr>
          <w:p w14:paraId="29AD2430"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Fluorene</w:t>
            </w:r>
          </w:p>
        </w:tc>
        <w:tc>
          <w:tcPr>
            <w:tcW w:w="1980" w:type="dxa"/>
            <w:vAlign w:val="center"/>
          </w:tcPr>
          <w:p w14:paraId="72521FA6"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gamma-BHC</w:t>
            </w:r>
          </w:p>
        </w:tc>
        <w:tc>
          <w:tcPr>
            <w:tcW w:w="630" w:type="dxa"/>
            <w:vAlign w:val="center"/>
          </w:tcPr>
          <w:p w14:paraId="539517D1"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206</w:t>
            </w:r>
          </w:p>
        </w:tc>
        <w:tc>
          <w:tcPr>
            <w:tcW w:w="3510" w:type="dxa"/>
            <w:vAlign w:val="center"/>
          </w:tcPr>
          <w:p w14:paraId="19BF9827"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2,2',3,3',4,4',5,5',6-Nonachlorobiphenyl</w:t>
            </w:r>
          </w:p>
        </w:tc>
      </w:tr>
      <w:tr w:rsidR="005E73EB" w:rsidRPr="00FA42B8" w14:paraId="5D716DA4" w14:textId="77777777" w:rsidTr="00CE3AFB">
        <w:trPr>
          <w:trHeight w:val="274"/>
        </w:trPr>
        <w:tc>
          <w:tcPr>
            <w:tcW w:w="1170" w:type="dxa"/>
          </w:tcPr>
          <w:p w14:paraId="43C00766" w14:textId="77777777" w:rsidR="00E83DF9" w:rsidRPr="00FA42B8" w:rsidRDefault="00E83DF9">
            <w:pPr>
              <w:jc w:val="center"/>
              <w:rPr>
                <w:rFonts w:eastAsia="Arial" w:cstheme="minorHAnsi"/>
                <w:b/>
                <w:color w:val="000000"/>
                <w:sz w:val="20"/>
              </w:rPr>
            </w:pPr>
          </w:p>
        </w:tc>
        <w:tc>
          <w:tcPr>
            <w:tcW w:w="2700" w:type="dxa"/>
            <w:vAlign w:val="center"/>
          </w:tcPr>
          <w:p w14:paraId="38E8AC79" w14:textId="77777777" w:rsidR="00E83DF9" w:rsidRPr="00FA42B8" w:rsidRDefault="00E83DF9">
            <w:pPr>
              <w:jc w:val="center"/>
              <w:rPr>
                <w:rFonts w:eastAsia="Arial" w:cstheme="minorHAnsi"/>
                <w:b/>
                <w:color w:val="000000"/>
                <w:sz w:val="20"/>
              </w:rPr>
            </w:pPr>
            <w:proofErr w:type="spellStart"/>
            <w:r w:rsidRPr="00FA42B8">
              <w:rPr>
                <w:rFonts w:eastAsia="Arial" w:cstheme="minorHAnsi"/>
                <w:color w:val="000000"/>
                <w:sz w:val="20"/>
              </w:rPr>
              <w:t>Indeno</w:t>
            </w:r>
            <w:proofErr w:type="spellEnd"/>
            <w:r w:rsidRPr="00FA42B8">
              <w:rPr>
                <w:rFonts w:eastAsia="Arial" w:cstheme="minorHAnsi"/>
                <w:color w:val="000000"/>
                <w:sz w:val="20"/>
              </w:rPr>
              <w:t>(1,2,3-</w:t>
            </w:r>
            <w:proofErr w:type="gramStart"/>
            <w:r w:rsidRPr="00FA42B8">
              <w:rPr>
                <w:rFonts w:eastAsia="Arial" w:cstheme="minorHAnsi"/>
                <w:color w:val="000000"/>
                <w:sz w:val="20"/>
              </w:rPr>
              <w:t>cd)pyrene</w:t>
            </w:r>
            <w:proofErr w:type="gramEnd"/>
          </w:p>
        </w:tc>
        <w:tc>
          <w:tcPr>
            <w:tcW w:w="1980" w:type="dxa"/>
            <w:vAlign w:val="center"/>
          </w:tcPr>
          <w:p w14:paraId="512D5E52"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gamma-Chlordane</w:t>
            </w:r>
          </w:p>
        </w:tc>
        <w:tc>
          <w:tcPr>
            <w:tcW w:w="630" w:type="dxa"/>
            <w:vAlign w:val="center"/>
          </w:tcPr>
          <w:p w14:paraId="54884AC0"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209</w:t>
            </w:r>
          </w:p>
        </w:tc>
        <w:tc>
          <w:tcPr>
            <w:tcW w:w="3510" w:type="dxa"/>
            <w:vAlign w:val="center"/>
          </w:tcPr>
          <w:p w14:paraId="0BA89539" w14:textId="77777777" w:rsidR="00E83DF9" w:rsidRPr="00FA42B8" w:rsidRDefault="00E83DF9">
            <w:pPr>
              <w:jc w:val="center"/>
              <w:rPr>
                <w:rFonts w:eastAsia="Arial" w:cstheme="minorHAnsi"/>
                <w:color w:val="000000"/>
                <w:sz w:val="20"/>
                <w:u w:val="single"/>
              </w:rPr>
            </w:pPr>
            <w:r w:rsidRPr="00FA42B8">
              <w:rPr>
                <w:rFonts w:eastAsia="Arial" w:cstheme="minorHAnsi"/>
                <w:color w:val="000000"/>
                <w:sz w:val="20"/>
              </w:rPr>
              <w:t>Decachlorobiphenyl</w:t>
            </w:r>
          </w:p>
        </w:tc>
      </w:tr>
      <w:tr w:rsidR="005E73EB" w:rsidRPr="00FA42B8" w14:paraId="0991CB8A" w14:textId="77777777" w:rsidTr="00CE3AFB">
        <w:trPr>
          <w:trHeight w:val="274"/>
        </w:trPr>
        <w:tc>
          <w:tcPr>
            <w:tcW w:w="1170" w:type="dxa"/>
          </w:tcPr>
          <w:p w14:paraId="638826C9" w14:textId="77777777" w:rsidR="00E83DF9" w:rsidRPr="00FA42B8" w:rsidRDefault="00E83DF9">
            <w:pPr>
              <w:jc w:val="center"/>
              <w:rPr>
                <w:rFonts w:eastAsia="Arial" w:cstheme="minorHAnsi"/>
                <w:b/>
                <w:color w:val="000000"/>
                <w:sz w:val="20"/>
              </w:rPr>
            </w:pPr>
          </w:p>
        </w:tc>
        <w:tc>
          <w:tcPr>
            <w:tcW w:w="2700" w:type="dxa"/>
            <w:vAlign w:val="center"/>
          </w:tcPr>
          <w:p w14:paraId="7944D0AC"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Naphthalene</w:t>
            </w:r>
          </w:p>
        </w:tc>
        <w:tc>
          <w:tcPr>
            <w:tcW w:w="1980" w:type="dxa"/>
            <w:vAlign w:val="center"/>
          </w:tcPr>
          <w:p w14:paraId="600646A7"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Heptachlor</w:t>
            </w:r>
          </w:p>
        </w:tc>
        <w:tc>
          <w:tcPr>
            <w:tcW w:w="630" w:type="dxa"/>
            <w:vAlign w:val="center"/>
          </w:tcPr>
          <w:p w14:paraId="6BD14B5C" w14:textId="77777777" w:rsidR="00E83DF9" w:rsidRPr="00FA42B8" w:rsidRDefault="00E83DF9">
            <w:pPr>
              <w:jc w:val="center"/>
              <w:rPr>
                <w:rFonts w:eastAsia="Arial" w:cstheme="minorHAnsi"/>
                <w:color w:val="000000"/>
                <w:sz w:val="20"/>
                <w:u w:val="single"/>
              </w:rPr>
            </w:pPr>
          </w:p>
        </w:tc>
        <w:tc>
          <w:tcPr>
            <w:tcW w:w="3510" w:type="dxa"/>
            <w:vAlign w:val="center"/>
          </w:tcPr>
          <w:p w14:paraId="5744E854" w14:textId="77777777" w:rsidR="00E83DF9" w:rsidRPr="00FA42B8" w:rsidRDefault="00E83DF9">
            <w:pPr>
              <w:jc w:val="center"/>
              <w:rPr>
                <w:rFonts w:eastAsia="Arial" w:cstheme="minorHAnsi"/>
                <w:color w:val="000000"/>
                <w:sz w:val="20"/>
                <w:u w:val="single"/>
              </w:rPr>
            </w:pPr>
          </w:p>
        </w:tc>
      </w:tr>
      <w:tr w:rsidR="005E73EB" w:rsidRPr="00FA42B8" w14:paraId="60DF20D2" w14:textId="77777777" w:rsidTr="00CE3AFB">
        <w:trPr>
          <w:trHeight w:val="274"/>
        </w:trPr>
        <w:tc>
          <w:tcPr>
            <w:tcW w:w="1170" w:type="dxa"/>
          </w:tcPr>
          <w:p w14:paraId="393A2BA0" w14:textId="77777777" w:rsidR="00E83DF9" w:rsidRPr="00FA42B8" w:rsidRDefault="00E83DF9">
            <w:pPr>
              <w:jc w:val="center"/>
              <w:rPr>
                <w:rFonts w:eastAsia="Arial" w:cstheme="minorHAnsi"/>
                <w:b/>
                <w:color w:val="000000"/>
                <w:sz w:val="20"/>
              </w:rPr>
            </w:pPr>
          </w:p>
        </w:tc>
        <w:tc>
          <w:tcPr>
            <w:tcW w:w="2700" w:type="dxa"/>
            <w:vAlign w:val="center"/>
          </w:tcPr>
          <w:p w14:paraId="07A85F56"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Perylene</w:t>
            </w:r>
          </w:p>
        </w:tc>
        <w:tc>
          <w:tcPr>
            <w:tcW w:w="1980" w:type="dxa"/>
            <w:vAlign w:val="center"/>
          </w:tcPr>
          <w:p w14:paraId="615E2149"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Heptachlor epoxide</w:t>
            </w:r>
          </w:p>
        </w:tc>
        <w:tc>
          <w:tcPr>
            <w:tcW w:w="630" w:type="dxa"/>
            <w:vAlign w:val="center"/>
          </w:tcPr>
          <w:p w14:paraId="732FCC73" w14:textId="77777777" w:rsidR="00E83DF9" w:rsidRPr="00FA42B8" w:rsidRDefault="00E83DF9">
            <w:pPr>
              <w:jc w:val="center"/>
              <w:rPr>
                <w:rFonts w:eastAsia="Arial" w:cstheme="minorHAnsi"/>
                <w:color w:val="000000"/>
                <w:sz w:val="20"/>
                <w:u w:val="single"/>
              </w:rPr>
            </w:pPr>
          </w:p>
        </w:tc>
        <w:tc>
          <w:tcPr>
            <w:tcW w:w="3510" w:type="dxa"/>
            <w:vAlign w:val="center"/>
          </w:tcPr>
          <w:p w14:paraId="0BC35D4E" w14:textId="77777777" w:rsidR="00E83DF9" w:rsidRPr="00FA42B8" w:rsidRDefault="00E83DF9">
            <w:pPr>
              <w:jc w:val="center"/>
              <w:rPr>
                <w:rFonts w:eastAsia="Arial" w:cstheme="minorHAnsi"/>
                <w:color w:val="000000"/>
                <w:sz w:val="20"/>
                <w:u w:val="single"/>
              </w:rPr>
            </w:pPr>
          </w:p>
        </w:tc>
      </w:tr>
      <w:tr w:rsidR="005E73EB" w:rsidRPr="00FA42B8" w14:paraId="146BA00D" w14:textId="77777777" w:rsidTr="00CE3AFB">
        <w:trPr>
          <w:trHeight w:val="274"/>
        </w:trPr>
        <w:tc>
          <w:tcPr>
            <w:tcW w:w="1170" w:type="dxa"/>
          </w:tcPr>
          <w:p w14:paraId="6AFB0DED" w14:textId="77777777" w:rsidR="00E83DF9" w:rsidRPr="00FA42B8" w:rsidRDefault="00E83DF9">
            <w:pPr>
              <w:jc w:val="center"/>
              <w:rPr>
                <w:rFonts w:eastAsia="Arial" w:cstheme="minorHAnsi"/>
                <w:b/>
                <w:color w:val="000000"/>
                <w:sz w:val="20"/>
              </w:rPr>
            </w:pPr>
          </w:p>
        </w:tc>
        <w:tc>
          <w:tcPr>
            <w:tcW w:w="2700" w:type="dxa"/>
            <w:vAlign w:val="center"/>
          </w:tcPr>
          <w:p w14:paraId="3C521DAE"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Phenanthrene</w:t>
            </w:r>
          </w:p>
        </w:tc>
        <w:tc>
          <w:tcPr>
            <w:tcW w:w="1980" w:type="dxa"/>
            <w:vAlign w:val="center"/>
          </w:tcPr>
          <w:p w14:paraId="35497B4C"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Hexachlorobenzene</w:t>
            </w:r>
          </w:p>
        </w:tc>
        <w:tc>
          <w:tcPr>
            <w:tcW w:w="630" w:type="dxa"/>
            <w:vAlign w:val="center"/>
          </w:tcPr>
          <w:p w14:paraId="5F0BD957" w14:textId="77777777" w:rsidR="00E83DF9" w:rsidRPr="00FA42B8" w:rsidRDefault="00E83DF9">
            <w:pPr>
              <w:jc w:val="center"/>
              <w:rPr>
                <w:rFonts w:eastAsia="Arial" w:cstheme="minorHAnsi"/>
                <w:color w:val="000000"/>
                <w:sz w:val="20"/>
                <w:u w:val="single"/>
              </w:rPr>
            </w:pPr>
          </w:p>
        </w:tc>
        <w:tc>
          <w:tcPr>
            <w:tcW w:w="3510" w:type="dxa"/>
            <w:vAlign w:val="center"/>
          </w:tcPr>
          <w:p w14:paraId="649DCA6D" w14:textId="77777777" w:rsidR="00E83DF9" w:rsidRPr="00FA42B8" w:rsidRDefault="00E83DF9">
            <w:pPr>
              <w:jc w:val="center"/>
              <w:rPr>
                <w:rFonts w:eastAsia="Arial" w:cstheme="minorHAnsi"/>
                <w:color w:val="000000"/>
                <w:sz w:val="20"/>
                <w:u w:val="single"/>
              </w:rPr>
            </w:pPr>
          </w:p>
        </w:tc>
      </w:tr>
      <w:tr w:rsidR="005E73EB" w:rsidRPr="00FA42B8" w14:paraId="0EC40432" w14:textId="77777777" w:rsidTr="00CE3AFB">
        <w:trPr>
          <w:trHeight w:val="274"/>
        </w:trPr>
        <w:tc>
          <w:tcPr>
            <w:tcW w:w="1170" w:type="dxa"/>
          </w:tcPr>
          <w:p w14:paraId="7FE7CE23" w14:textId="77777777" w:rsidR="00E83DF9" w:rsidRPr="00FA42B8" w:rsidRDefault="00E83DF9">
            <w:pPr>
              <w:jc w:val="center"/>
              <w:rPr>
                <w:rFonts w:eastAsia="Arial" w:cstheme="minorHAnsi"/>
                <w:b/>
                <w:color w:val="000000"/>
                <w:sz w:val="20"/>
              </w:rPr>
            </w:pPr>
          </w:p>
        </w:tc>
        <w:tc>
          <w:tcPr>
            <w:tcW w:w="2700" w:type="dxa"/>
            <w:vAlign w:val="center"/>
          </w:tcPr>
          <w:p w14:paraId="7ADC167D"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Pyrene</w:t>
            </w:r>
          </w:p>
        </w:tc>
        <w:tc>
          <w:tcPr>
            <w:tcW w:w="1980" w:type="dxa"/>
            <w:vAlign w:val="center"/>
          </w:tcPr>
          <w:p w14:paraId="6857AA53" w14:textId="77777777" w:rsidR="00E83DF9" w:rsidRPr="00FA42B8" w:rsidRDefault="00E83DF9">
            <w:pPr>
              <w:jc w:val="center"/>
              <w:rPr>
                <w:rFonts w:eastAsia="Arial" w:cstheme="minorHAnsi"/>
                <w:b/>
                <w:color w:val="000000"/>
                <w:sz w:val="20"/>
              </w:rPr>
            </w:pPr>
            <w:proofErr w:type="spellStart"/>
            <w:r w:rsidRPr="00FA42B8">
              <w:rPr>
                <w:rFonts w:eastAsia="Arial" w:cstheme="minorHAnsi"/>
                <w:color w:val="000000"/>
                <w:sz w:val="20"/>
              </w:rPr>
              <w:t>Mirex</w:t>
            </w:r>
            <w:proofErr w:type="spellEnd"/>
          </w:p>
        </w:tc>
        <w:tc>
          <w:tcPr>
            <w:tcW w:w="630" w:type="dxa"/>
            <w:vAlign w:val="center"/>
          </w:tcPr>
          <w:p w14:paraId="062E282B" w14:textId="77777777" w:rsidR="00E83DF9" w:rsidRPr="00FA42B8" w:rsidRDefault="00E83DF9">
            <w:pPr>
              <w:jc w:val="center"/>
              <w:rPr>
                <w:rFonts w:eastAsia="Arial" w:cstheme="minorHAnsi"/>
                <w:color w:val="000000"/>
                <w:sz w:val="20"/>
                <w:u w:val="single"/>
              </w:rPr>
            </w:pPr>
          </w:p>
        </w:tc>
        <w:tc>
          <w:tcPr>
            <w:tcW w:w="3510" w:type="dxa"/>
            <w:vAlign w:val="center"/>
          </w:tcPr>
          <w:p w14:paraId="33C7B052" w14:textId="77777777" w:rsidR="00E83DF9" w:rsidRPr="00FA42B8" w:rsidRDefault="00E83DF9">
            <w:pPr>
              <w:jc w:val="center"/>
              <w:rPr>
                <w:rFonts w:eastAsia="Arial" w:cstheme="minorHAnsi"/>
                <w:color w:val="000000"/>
                <w:sz w:val="20"/>
                <w:u w:val="single"/>
              </w:rPr>
            </w:pPr>
          </w:p>
        </w:tc>
      </w:tr>
      <w:tr w:rsidR="005E73EB" w:rsidRPr="00FA42B8" w14:paraId="60DE2326" w14:textId="77777777" w:rsidTr="00CE3AFB">
        <w:trPr>
          <w:trHeight w:val="274"/>
        </w:trPr>
        <w:tc>
          <w:tcPr>
            <w:tcW w:w="1170" w:type="dxa"/>
          </w:tcPr>
          <w:p w14:paraId="10E1B3CE" w14:textId="77777777" w:rsidR="00E83DF9" w:rsidRPr="00FA42B8" w:rsidRDefault="00E83DF9">
            <w:pPr>
              <w:jc w:val="center"/>
              <w:rPr>
                <w:rFonts w:eastAsia="Arial" w:cstheme="minorHAnsi"/>
                <w:b/>
                <w:color w:val="000000"/>
                <w:sz w:val="20"/>
              </w:rPr>
            </w:pPr>
          </w:p>
        </w:tc>
        <w:tc>
          <w:tcPr>
            <w:tcW w:w="2700" w:type="dxa"/>
          </w:tcPr>
          <w:p w14:paraId="3DBB9DCF" w14:textId="77777777" w:rsidR="00E83DF9" w:rsidRPr="00FA42B8" w:rsidRDefault="00E83DF9">
            <w:pPr>
              <w:jc w:val="center"/>
              <w:rPr>
                <w:rFonts w:eastAsia="Arial" w:cstheme="minorHAnsi"/>
                <w:b/>
                <w:color w:val="000000"/>
                <w:sz w:val="20"/>
              </w:rPr>
            </w:pPr>
          </w:p>
        </w:tc>
        <w:tc>
          <w:tcPr>
            <w:tcW w:w="1980" w:type="dxa"/>
            <w:vAlign w:val="center"/>
          </w:tcPr>
          <w:p w14:paraId="61A1DBF9" w14:textId="77777777" w:rsidR="00E83DF9" w:rsidRPr="00FA42B8" w:rsidRDefault="00E83DF9">
            <w:pPr>
              <w:jc w:val="center"/>
              <w:rPr>
                <w:rFonts w:eastAsia="Arial" w:cstheme="minorHAnsi"/>
                <w:b/>
                <w:color w:val="000000"/>
                <w:sz w:val="20"/>
              </w:rPr>
            </w:pPr>
            <w:r w:rsidRPr="00FA42B8">
              <w:rPr>
                <w:rFonts w:eastAsia="Arial" w:cstheme="minorHAnsi"/>
                <w:color w:val="000000"/>
                <w:sz w:val="20"/>
              </w:rPr>
              <w:t>Oxychlordane</w:t>
            </w:r>
          </w:p>
        </w:tc>
        <w:tc>
          <w:tcPr>
            <w:tcW w:w="630" w:type="dxa"/>
            <w:vAlign w:val="center"/>
          </w:tcPr>
          <w:p w14:paraId="1980CE21" w14:textId="77777777" w:rsidR="00E83DF9" w:rsidRPr="00FA42B8" w:rsidRDefault="00E83DF9">
            <w:pPr>
              <w:jc w:val="center"/>
              <w:rPr>
                <w:rFonts w:eastAsia="Arial" w:cstheme="minorHAnsi"/>
                <w:color w:val="000000"/>
                <w:sz w:val="20"/>
                <w:u w:val="single"/>
              </w:rPr>
            </w:pPr>
          </w:p>
        </w:tc>
        <w:tc>
          <w:tcPr>
            <w:tcW w:w="3510" w:type="dxa"/>
            <w:vAlign w:val="center"/>
          </w:tcPr>
          <w:p w14:paraId="7D708653" w14:textId="77777777" w:rsidR="00E83DF9" w:rsidRPr="00FA42B8" w:rsidRDefault="00E83DF9">
            <w:pPr>
              <w:jc w:val="center"/>
              <w:rPr>
                <w:rFonts w:eastAsia="Arial" w:cstheme="minorHAnsi"/>
                <w:color w:val="000000"/>
                <w:sz w:val="20"/>
                <w:u w:val="single"/>
              </w:rPr>
            </w:pPr>
          </w:p>
        </w:tc>
      </w:tr>
      <w:tr w:rsidR="00CE3AFB" w:rsidRPr="00FA42B8" w14:paraId="710B3BEC" w14:textId="77777777" w:rsidTr="00844E43">
        <w:trPr>
          <w:trHeight w:val="274"/>
        </w:trPr>
        <w:tc>
          <w:tcPr>
            <w:tcW w:w="1170" w:type="dxa"/>
          </w:tcPr>
          <w:p w14:paraId="44F75287" w14:textId="77777777" w:rsidR="00E83DF9" w:rsidRPr="00FA42B8" w:rsidRDefault="00E83DF9">
            <w:pPr>
              <w:jc w:val="center"/>
              <w:rPr>
                <w:rFonts w:eastAsia="Arial" w:cstheme="minorHAnsi"/>
                <w:b/>
                <w:color w:val="000000"/>
                <w:sz w:val="20"/>
              </w:rPr>
            </w:pPr>
          </w:p>
        </w:tc>
        <w:tc>
          <w:tcPr>
            <w:tcW w:w="2700" w:type="dxa"/>
          </w:tcPr>
          <w:p w14:paraId="5F25EA32" w14:textId="77777777" w:rsidR="00E83DF9" w:rsidRPr="00FA42B8" w:rsidRDefault="00E83DF9">
            <w:pPr>
              <w:jc w:val="center"/>
              <w:rPr>
                <w:rFonts w:eastAsia="Arial" w:cstheme="minorHAnsi"/>
                <w:b/>
                <w:color w:val="000000"/>
                <w:sz w:val="20"/>
              </w:rPr>
            </w:pPr>
          </w:p>
        </w:tc>
        <w:tc>
          <w:tcPr>
            <w:tcW w:w="1980" w:type="dxa"/>
            <w:vAlign w:val="center"/>
          </w:tcPr>
          <w:p w14:paraId="4C96623F" w14:textId="77777777" w:rsidR="00E83DF9" w:rsidRPr="00FA42B8" w:rsidRDefault="00E83DF9">
            <w:pPr>
              <w:jc w:val="center"/>
              <w:rPr>
                <w:rFonts w:eastAsia="Arial" w:cstheme="minorHAnsi"/>
                <w:color w:val="000000"/>
                <w:sz w:val="20"/>
              </w:rPr>
            </w:pPr>
            <w:r w:rsidRPr="00FA42B8">
              <w:rPr>
                <w:rFonts w:eastAsia="Arial" w:cstheme="minorHAnsi"/>
                <w:color w:val="000000"/>
                <w:sz w:val="20"/>
              </w:rPr>
              <w:t>Toxaphene</w:t>
            </w:r>
          </w:p>
        </w:tc>
        <w:tc>
          <w:tcPr>
            <w:tcW w:w="630" w:type="dxa"/>
            <w:vAlign w:val="center"/>
          </w:tcPr>
          <w:p w14:paraId="4043DBCF" w14:textId="77777777" w:rsidR="00E83DF9" w:rsidRPr="00FA42B8" w:rsidRDefault="00E83DF9">
            <w:pPr>
              <w:jc w:val="center"/>
              <w:rPr>
                <w:rFonts w:eastAsia="Arial" w:cstheme="minorHAnsi"/>
                <w:color w:val="000000"/>
                <w:sz w:val="20"/>
                <w:u w:val="single"/>
              </w:rPr>
            </w:pPr>
          </w:p>
        </w:tc>
        <w:tc>
          <w:tcPr>
            <w:tcW w:w="3510" w:type="dxa"/>
            <w:vAlign w:val="center"/>
          </w:tcPr>
          <w:p w14:paraId="065474A3" w14:textId="77777777" w:rsidR="00E83DF9" w:rsidRPr="00FA42B8" w:rsidRDefault="00E83DF9">
            <w:pPr>
              <w:jc w:val="center"/>
              <w:rPr>
                <w:rFonts w:eastAsia="Arial" w:cstheme="minorHAnsi"/>
                <w:color w:val="000000"/>
                <w:sz w:val="20"/>
                <w:u w:val="single"/>
              </w:rPr>
            </w:pPr>
          </w:p>
        </w:tc>
      </w:tr>
      <w:tr w:rsidR="00CE3AFB" w:rsidRPr="00FA42B8" w14:paraId="5FD692D4" w14:textId="77777777" w:rsidTr="00844E43">
        <w:trPr>
          <w:trHeight w:val="274"/>
        </w:trPr>
        <w:tc>
          <w:tcPr>
            <w:tcW w:w="1170" w:type="dxa"/>
            <w:tcBorders>
              <w:bottom w:val="single" w:sz="12" w:space="0" w:color="auto"/>
            </w:tcBorders>
          </w:tcPr>
          <w:p w14:paraId="5706BB1A" w14:textId="77777777" w:rsidR="00E83DF9" w:rsidRPr="00FA42B8" w:rsidRDefault="00E83DF9">
            <w:pPr>
              <w:jc w:val="center"/>
              <w:rPr>
                <w:rFonts w:eastAsia="Arial" w:cstheme="minorHAnsi"/>
                <w:b/>
                <w:color w:val="000000"/>
                <w:sz w:val="20"/>
              </w:rPr>
            </w:pPr>
          </w:p>
        </w:tc>
        <w:tc>
          <w:tcPr>
            <w:tcW w:w="2700" w:type="dxa"/>
            <w:tcBorders>
              <w:bottom w:val="single" w:sz="12" w:space="0" w:color="auto"/>
            </w:tcBorders>
          </w:tcPr>
          <w:p w14:paraId="3844C3B7" w14:textId="77777777" w:rsidR="00E83DF9" w:rsidRPr="00FA42B8" w:rsidRDefault="00E83DF9">
            <w:pPr>
              <w:jc w:val="center"/>
              <w:rPr>
                <w:rFonts w:eastAsia="Arial" w:cstheme="minorHAnsi"/>
                <w:b/>
                <w:color w:val="000000"/>
                <w:sz w:val="20"/>
              </w:rPr>
            </w:pPr>
          </w:p>
        </w:tc>
        <w:tc>
          <w:tcPr>
            <w:tcW w:w="1980" w:type="dxa"/>
            <w:tcBorders>
              <w:bottom w:val="single" w:sz="12" w:space="0" w:color="auto"/>
            </w:tcBorders>
            <w:vAlign w:val="center"/>
          </w:tcPr>
          <w:p w14:paraId="41151334" w14:textId="77777777" w:rsidR="00E83DF9" w:rsidRPr="00A63843" w:rsidRDefault="00E83DF9">
            <w:pPr>
              <w:jc w:val="center"/>
              <w:rPr>
                <w:rFonts w:eastAsia="Arial" w:cstheme="minorHAnsi"/>
                <w:color w:val="000000"/>
                <w:sz w:val="20"/>
              </w:rPr>
            </w:pPr>
            <w:r w:rsidRPr="00A63843">
              <w:rPr>
                <w:rFonts w:eastAsia="Arial" w:cstheme="minorHAnsi"/>
                <w:color w:val="000000"/>
                <w:sz w:val="20"/>
              </w:rPr>
              <w:t>trans-</w:t>
            </w:r>
            <w:proofErr w:type="spellStart"/>
            <w:r w:rsidRPr="00A63843">
              <w:rPr>
                <w:rFonts w:eastAsia="Arial" w:cstheme="minorHAnsi"/>
                <w:color w:val="000000"/>
                <w:sz w:val="20"/>
              </w:rPr>
              <w:t>Nonachlor</w:t>
            </w:r>
            <w:proofErr w:type="spellEnd"/>
          </w:p>
        </w:tc>
        <w:tc>
          <w:tcPr>
            <w:tcW w:w="630" w:type="dxa"/>
            <w:tcBorders>
              <w:bottom w:val="single" w:sz="12" w:space="0" w:color="auto"/>
            </w:tcBorders>
            <w:vAlign w:val="center"/>
          </w:tcPr>
          <w:p w14:paraId="608E95EB" w14:textId="77777777" w:rsidR="00E83DF9" w:rsidRPr="00FA42B8" w:rsidRDefault="00E83DF9">
            <w:pPr>
              <w:jc w:val="center"/>
              <w:rPr>
                <w:rFonts w:eastAsia="Arial" w:cstheme="minorHAnsi"/>
                <w:color w:val="000000"/>
                <w:sz w:val="20"/>
                <w:u w:val="single"/>
              </w:rPr>
            </w:pPr>
          </w:p>
        </w:tc>
        <w:tc>
          <w:tcPr>
            <w:tcW w:w="3510" w:type="dxa"/>
            <w:tcBorders>
              <w:bottom w:val="single" w:sz="12" w:space="0" w:color="auto"/>
            </w:tcBorders>
            <w:vAlign w:val="center"/>
          </w:tcPr>
          <w:p w14:paraId="591A4504" w14:textId="77777777" w:rsidR="00E83DF9" w:rsidRPr="00FA42B8" w:rsidRDefault="00E83DF9">
            <w:pPr>
              <w:jc w:val="center"/>
              <w:rPr>
                <w:rFonts w:eastAsia="Arial" w:cstheme="minorHAnsi"/>
                <w:color w:val="000000"/>
                <w:sz w:val="20"/>
                <w:u w:val="single"/>
              </w:rPr>
            </w:pPr>
          </w:p>
        </w:tc>
      </w:tr>
    </w:tbl>
    <w:p w14:paraId="6974E935" w14:textId="275A2A4C" w:rsidR="00CE3AFB" w:rsidRDefault="00CE3AFB" w:rsidP="00305CE6">
      <w:pPr>
        <w:widowControl/>
        <w:spacing w:line="259" w:lineRule="auto"/>
        <w:rPr>
          <w:rFonts w:eastAsiaTheme="majorEastAsia" w:cstheme="minorHAnsi"/>
          <w:b/>
          <w:i/>
          <w:iCs/>
          <w:color w:val="000000" w:themeColor="text1"/>
          <w:highlight w:val="lightGray"/>
        </w:rPr>
      </w:pPr>
      <w:bookmarkStart w:id="265" w:name="sediment-quality-guidelines"/>
      <w:bookmarkEnd w:id="262"/>
    </w:p>
    <w:p w14:paraId="0DB14CA4" w14:textId="20293F7A" w:rsidR="0030653F" w:rsidRPr="000B52A1" w:rsidRDefault="0030653F" w:rsidP="00CE3AFB">
      <w:pPr>
        <w:pStyle w:val="Heading4"/>
        <w:numPr>
          <w:ilvl w:val="0"/>
          <w:numId w:val="0"/>
        </w:numPr>
        <w:rPr>
          <w:rFonts w:cstheme="minorHAnsi"/>
        </w:rPr>
      </w:pPr>
      <w:r w:rsidRPr="000B52A1">
        <w:rPr>
          <w:rFonts w:cstheme="minorHAnsi"/>
        </w:rPr>
        <w:t>Sediment Quality Guidelines</w:t>
      </w:r>
    </w:p>
    <w:p w14:paraId="145A4AD6" w14:textId="516F6A59" w:rsidR="0041749D" w:rsidRDefault="00825E1D" w:rsidP="00930D68">
      <w:r w:rsidRPr="000B52A1">
        <w:t xml:space="preserve">Sediment Quality Guidelines (SQGs) are </w:t>
      </w:r>
      <w:r>
        <w:t xml:space="preserve">concentrations </w:t>
      </w:r>
      <w:r w:rsidRPr="000B52A1">
        <w:t xml:space="preserve">of contaminants used in </w:t>
      </w:r>
      <w:r>
        <w:t>e</w:t>
      </w:r>
      <w:r w:rsidRPr="000B52A1">
        <w:t xml:space="preserve">cological </w:t>
      </w:r>
      <w:r>
        <w:t>r</w:t>
      </w:r>
      <w:r w:rsidRPr="000B52A1">
        <w:t xml:space="preserve">isk assessments to determine the likelihood of adverse effects </w:t>
      </w:r>
      <w:r>
        <w:t>of</w:t>
      </w:r>
      <w:r w:rsidRPr="000B52A1">
        <w:t xml:space="preserve"> sediment chemistry </w:t>
      </w:r>
      <w:r>
        <w:t>on</w:t>
      </w:r>
      <w:r w:rsidRPr="000B52A1">
        <w:t xml:space="preserve"> biological communities. DEQ applies both consensus-based SQGs known as Probable Effects Concentrations (PECs; </w:t>
      </w:r>
      <w:r w:rsidRPr="00E05B14">
        <w:rPr>
          <w:rFonts w:cstheme="minorHAnsi"/>
        </w:rPr>
        <w:t>MacDonald et al. 2000</w:t>
      </w:r>
      <w:r w:rsidRPr="000B52A1">
        <w:t xml:space="preserve">) and effects-based screening values known as Effects Range Medians (ERMs; </w:t>
      </w:r>
      <w:r w:rsidRPr="00E05B14">
        <w:rPr>
          <w:rFonts w:cstheme="minorHAnsi"/>
        </w:rPr>
        <w:t>Long et al. 1995</w:t>
      </w:r>
      <w:r w:rsidRPr="000B52A1">
        <w:t>). ERM and PEC screening values are published in DEQ’s Water Quality Assessment Guidance Manual (</w:t>
      </w:r>
      <w:r w:rsidRPr="0086654B">
        <w:rPr>
          <w:rFonts w:cstheme="minorHAnsi"/>
        </w:rPr>
        <w:t>DEQ 2023</w:t>
      </w:r>
      <w:r w:rsidRPr="000B52A1">
        <w:t xml:space="preserve">). Bottom salinity at </w:t>
      </w:r>
      <w:r w:rsidR="000C1306" w:rsidRPr="000B52A1">
        <w:t>the time</w:t>
      </w:r>
      <w:r w:rsidRPr="000B52A1">
        <w:t xml:space="preserve"> of sample collection dictates which group of the screening values are applied. Transitional waters (oligohaline) are compared against whichever screening value is lower (Table </w:t>
      </w:r>
      <w:r>
        <w:t>4.5-</w:t>
      </w:r>
      <w:r w:rsidRPr="000B52A1">
        <w:t>14).</w:t>
      </w:r>
    </w:p>
    <w:p w14:paraId="45AC7A6A" w14:textId="7456ABA0" w:rsidR="007963E7" w:rsidRPr="0033279D" w:rsidRDefault="006F168D" w:rsidP="00930D68">
      <w:r>
        <w:br/>
      </w:r>
    </w:p>
    <w:p w14:paraId="4F7FC5E3" w14:textId="5DD84C14" w:rsidR="008D56CA" w:rsidRDefault="008D56CA" w:rsidP="008D56CA">
      <w:pPr>
        <w:pStyle w:val="Caption"/>
        <w:keepNext/>
      </w:pPr>
      <w:bookmarkStart w:id="266" w:name="tab:tab-svsal"/>
      <w:bookmarkStart w:id="267" w:name="_Toc164175204"/>
      <w:bookmarkEnd w:id="266"/>
      <w:r>
        <w:lastRenderedPageBreak/>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14</w:t>
      </w:r>
      <w:r w:rsidR="004F13BA">
        <w:rPr>
          <w:noProof/>
        </w:rPr>
        <w:fldChar w:fldCharType="end"/>
      </w:r>
      <w:r>
        <w:t>.</w:t>
      </w:r>
      <w:r w:rsidRPr="008D56CA">
        <w:rPr>
          <w:rFonts w:cstheme="minorHAnsi"/>
        </w:rPr>
        <w:t xml:space="preserve"> </w:t>
      </w:r>
      <w:r w:rsidR="007C4063" w:rsidRPr="000B52A1">
        <w:rPr>
          <w:rFonts w:cstheme="minorHAnsi"/>
        </w:rPr>
        <w:t>Sediment Quality Guideline (SQG) screening values based on salinity regime.</w:t>
      </w:r>
      <w:bookmarkEnd w:id="267"/>
    </w:p>
    <w:tbl>
      <w:tblPr>
        <w:tblStyle w:val="TableGrid"/>
        <w:tblW w:w="7830" w:type="dxa"/>
        <w:tblLook w:val="04A0" w:firstRow="1" w:lastRow="0" w:firstColumn="1" w:lastColumn="0" w:noHBand="0" w:noVBand="1"/>
        <w:tblCaption w:val="Table of Sediment Quality Guideline (SQG) screening values based on salinity regime."/>
        <w:tblDescription w:val="Sediment Quality Guideline (SQG) screening values based on salinity regime."/>
      </w:tblPr>
      <w:tblGrid>
        <w:gridCol w:w="1911"/>
        <w:gridCol w:w="1794"/>
        <w:gridCol w:w="4125"/>
      </w:tblGrid>
      <w:tr w:rsidR="00C956E6" w14:paraId="0442E71E" w14:textId="77777777" w:rsidTr="00C956E6">
        <w:trPr>
          <w:trHeight w:val="360"/>
        </w:trPr>
        <w:tc>
          <w:tcPr>
            <w:tcW w:w="1911" w:type="dxa"/>
            <w:tcBorders>
              <w:top w:val="single" w:sz="12" w:space="0" w:color="auto"/>
              <w:left w:val="nil"/>
              <w:bottom w:val="single" w:sz="2" w:space="0" w:color="auto"/>
              <w:right w:val="nil"/>
            </w:tcBorders>
            <w:vAlign w:val="center"/>
          </w:tcPr>
          <w:p w14:paraId="371C06F4" w14:textId="77777777" w:rsidR="00C956E6" w:rsidRDefault="00C956E6" w:rsidP="00C956E6">
            <w:r w:rsidRPr="000B52A1">
              <w:rPr>
                <w:rFonts w:eastAsia="Arial" w:cstheme="minorHAnsi"/>
                <w:b/>
                <w:color w:val="000000"/>
                <w:sz w:val="22"/>
                <w:szCs w:val="22"/>
              </w:rPr>
              <w:t>Salinity Regime</w:t>
            </w:r>
          </w:p>
        </w:tc>
        <w:tc>
          <w:tcPr>
            <w:tcW w:w="1794" w:type="dxa"/>
            <w:tcBorders>
              <w:top w:val="single" w:sz="12" w:space="0" w:color="auto"/>
              <w:left w:val="nil"/>
              <w:bottom w:val="single" w:sz="2" w:space="0" w:color="auto"/>
              <w:right w:val="nil"/>
            </w:tcBorders>
          </w:tcPr>
          <w:p w14:paraId="49438A51" w14:textId="77777777" w:rsidR="00C956E6" w:rsidRPr="000B52A1" w:rsidRDefault="00C956E6" w:rsidP="00C956E6">
            <w:pPr>
              <w:rPr>
                <w:rFonts w:eastAsia="Arial" w:cstheme="minorHAnsi"/>
                <w:b/>
                <w:color w:val="000000"/>
                <w:sz w:val="22"/>
                <w:szCs w:val="22"/>
              </w:rPr>
            </w:pPr>
            <w:r>
              <w:rPr>
                <w:rFonts w:eastAsia="Arial" w:cstheme="minorHAnsi"/>
                <w:b/>
                <w:color w:val="000000"/>
                <w:sz w:val="22"/>
                <w:szCs w:val="22"/>
              </w:rPr>
              <w:t>Salinity (ppt)</w:t>
            </w:r>
          </w:p>
        </w:tc>
        <w:tc>
          <w:tcPr>
            <w:tcW w:w="4125" w:type="dxa"/>
            <w:tcBorders>
              <w:top w:val="single" w:sz="12" w:space="0" w:color="auto"/>
              <w:left w:val="nil"/>
              <w:bottom w:val="single" w:sz="2" w:space="0" w:color="auto"/>
              <w:right w:val="nil"/>
            </w:tcBorders>
            <w:vAlign w:val="center"/>
          </w:tcPr>
          <w:p w14:paraId="39067E52" w14:textId="75AF76B5" w:rsidR="00C956E6" w:rsidRPr="000B52A1" w:rsidRDefault="00C956E6" w:rsidP="00C956E6">
            <w:pPr>
              <w:rPr>
                <w:rFonts w:eastAsia="Arial" w:cstheme="minorHAnsi"/>
                <w:b/>
                <w:color w:val="000000"/>
                <w:sz w:val="22"/>
                <w:szCs w:val="22"/>
              </w:rPr>
            </w:pPr>
            <w:r w:rsidRPr="000B52A1">
              <w:rPr>
                <w:rFonts w:eastAsia="Arial" w:cstheme="minorHAnsi"/>
                <w:b/>
                <w:color w:val="000000"/>
                <w:sz w:val="22"/>
                <w:szCs w:val="22"/>
              </w:rPr>
              <w:t>Screening Value</w:t>
            </w:r>
          </w:p>
        </w:tc>
      </w:tr>
      <w:tr w:rsidR="00C956E6" w14:paraId="1CE5FF11" w14:textId="77777777" w:rsidTr="00C956E6">
        <w:trPr>
          <w:trHeight w:val="432"/>
        </w:trPr>
        <w:tc>
          <w:tcPr>
            <w:tcW w:w="1911" w:type="dxa"/>
            <w:tcBorders>
              <w:top w:val="single" w:sz="2" w:space="0" w:color="auto"/>
              <w:left w:val="nil"/>
              <w:bottom w:val="single" w:sz="2" w:space="0" w:color="auto"/>
              <w:right w:val="nil"/>
            </w:tcBorders>
            <w:vAlign w:val="center"/>
          </w:tcPr>
          <w:p w14:paraId="15A917AF" w14:textId="77777777" w:rsidR="00C956E6" w:rsidRDefault="00C956E6" w:rsidP="00C956E6">
            <w:r w:rsidRPr="000B52A1">
              <w:rPr>
                <w:rFonts w:eastAsia="Arial" w:cstheme="minorHAnsi"/>
                <w:color w:val="000000"/>
                <w:sz w:val="22"/>
                <w:szCs w:val="22"/>
              </w:rPr>
              <w:t>Tidal Freshwater</w:t>
            </w:r>
          </w:p>
        </w:tc>
        <w:tc>
          <w:tcPr>
            <w:tcW w:w="1794" w:type="dxa"/>
            <w:tcBorders>
              <w:top w:val="single" w:sz="2" w:space="0" w:color="auto"/>
              <w:left w:val="nil"/>
              <w:bottom w:val="single" w:sz="2" w:space="0" w:color="auto"/>
              <w:right w:val="nil"/>
            </w:tcBorders>
          </w:tcPr>
          <w:p w14:paraId="12FE4761" w14:textId="77777777" w:rsidR="00C956E6" w:rsidRPr="000B52A1" w:rsidRDefault="00C956E6" w:rsidP="00C956E6">
            <w:pPr>
              <w:rPr>
                <w:rFonts w:eastAsia="Arial" w:cstheme="minorHAnsi"/>
                <w:color w:val="000000"/>
                <w:sz w:val="22"/>
                <w:szCs w:val="22"/>
              </w:rPr>
            </w:pPr>
            <w:r>
              <w:rPr>
                <w:rFonts w:eastAsia="Arial" w:cstheme="minorHAnsi"/>
                <w:color w:val="000000"/>
                <w:sz w:val="22"/>
                <w:szCs w:val="22"/>
              </w:rPr>
              <w:t xml:space="preserve">&lt;0.5 </w:t>
            </w:r>
          </w:p>
        </w:tc>
        <w:tc>
          <w:tcPr>
            <w:tcW w:w="4125" w:type="dxa"/>
            <w:tcBorders>
              <w:top w:val="single" w:sz="2" w:space="0" w:color="auto"/>
              <w:left w:val="nil"/>
              <w:bottom w:val="single" w:sz="2" w:space="0" w:color="auto"/>
              <w:right w:val="nil"/>
            </w:tcBorders>
            <w:vAlign w:val="center"/>
          </w:tcPr>
          <w:p w14:paraId="28D1A17B" w14:textId="6769ED05" w:rsidR="00C956E6" w:rsidRPr="000B52A1" w:rsidRDefault="00C956E6" w:rsidP="00C956E6">
            <w:pPr>
              <w:rPr>
                <w:rFonts w:eastAsia="Arial" w:cstheme="minorHAnsi"/>
                <w:color w:val="000000"/>
                <w:sz w:val="22"/>
                <w:szCs w:val="22"/>
              </w:rPr>
            </w:pPr>
            <w:r w:rsidRPr="000B52A1">
              <w:rPr>
                <w:rFonts w:eastAsia="Arial" w:cstheme="minorHAnsi"/>
                <w:color w:val="000000"/>
                <w:sz w:val="22"/>
                <w:szCs w:val="22"/>
              </w:rPr>
              <w:t>Probable Effects Concentration (PEC)</w:t>
            </w:r>
          </w:p>
        </w:tc>
      </w:tr>
      <w:tr w:rsidR="00C956E6" w14:paraId="1838E034" w14:textId="77777777" w:rsidTr="00C956E6">
        <w:trPr>
          <w:trHeight w:val="432"/>
        </w:trPr>
        <w:tc>
          <w:tcPr>
            <w:tcW w:w="1911" w:type="dxa"/>
            <w:tcBorders>
              <w:top w:val="single" w:sz="2" w:space="0" w:color="auto"/>
              <w:left w:val="nil"/>
              <w:bottom w:val="single" w:sz="2" w:space="0" w:color="auto"/>
              <w:right w:val="nil"/>
            </w:tcBorders>
            <w:vAlign w:val="center"/>
          </w:tcPr>
          <w:p w14:paraId="3E76FA08" w14:textId="77777777" w:rsidR="00C956E6" w:rsidRDefault="00C956E6" w:rsidP="00C956E6">
            <w:r w:rsidRPr="000B52A1">
              <w:rPr>
                <w:rFonts w:eastAsia="Arial" w:cstheme="minorHAnsi"/>
                <w:color w:val="000000"/>
                <w:sz w:val="22"/>
                <w:szCs w:val="22"/>
              </w:rPr>
              <w:t>Oligohaline</w:t>
            </w:r>
          </w:p>
        </w:tc>
        <w:tc>
          <w:tcPr>
            <w:tcW w:w="1794" w:type="dxa"/>
            <w:tcBorders>
              <w:top w:val="single" w:sz="2" w:space="0" w:color="auto"/>
              <w:left w:val="nil"/>
              <w:bottom w:val="single" w:sz="2" w:space="0" w:color="auto"/>
              <w:right w:val="nil"/>
            </w:tcBorders>
          </w:tcPr>
          <w:p w14:paraId="7562C9FD" w14:textId="77777777" w:rsidR="00C956E6" w:rsidRDefault="00C956E6" w:rsidP="00C956E6">
            <w:pPr>
              <w:rPr>
                <w:rFonts w:eastAsia="Arial" w:cstheme="minorHAnsi"/>
                <w:color w:val="000000"/>
              </w:rPr>
            </w:pPr>
            <w:r>
              <w:rPr>
                <w:rFonts w:eastAsia="Arial" w:cstheme="minorHAnsi"/>
                <w:color w:val="000000"/>
              </w:rPr>
              <w:t>0.5-5</w:t>
            </w:r>
          </w:p>
        </w:tc>
        <w:tc>
          <w:tcPr>
            <w:tcW w:w="4125" w:type="dxa"/>
            <w:tcBorders>
              <w:top w:val="single" w:sz="2" w:space="0" w:color="auto"/>
              <w:left w:val="nil"/>
              <w:bottom w:val="single" w:sz="2" w:space="0" w:color="auto"/>
              <w:right w:val="nil"/>
            </w:tcBorders>
            <w:vAlign w:val="center"/>
          </w:tcPr>
          <w:p w14:paraId="068ADE9D" w14:textId="65B6CEFA" w:rsidR="00C956E6" w:rsidRDefault="00C956E6" w:rsidP="00C956E6">
            <w:pPr>
              <w:rPr>
                <w:rFonts w:eastAsia="Arial" w:cstheme="minorHAnsi"/>
                <w:color w:val="000000"/>
              </w:rPr>
            </w:pPr>
            <w:r>
              <w:rPr>
                <w:rFonts w:eastAsia="Arial" w:cstheme="minorHAnsi"/>
                <w:color w:val="000000"/>
              </w:rPr>
              <w:t>T</w:t>
            </w:r>
            <w:r w:rsidRPr="000B52A1">
              <w:rPr>
                <w:rFonts w:eastAsia="Arial" w:cstheme="minorHAnsi"/>
                <w:color w:val="000000"/>
                <w:sz w:val="22"/>
                <w:szCs w:val="22"/>
              </w:rPr>
              <w:t xml:space="preserve">he lesser of: Effects Range Median (ERM) </w:t>
            </w:r>
            <w:r w:rsidRPr="00C956E6">
              <w:rPr>
                <w:rFonts w:eastAsia="Arial" w:cstheme="minorHAnsi"/>
                <w:i/>
                <w:iCs/>
                <w:color w:val="000000"/>
                <w:sz w:val="22"/>
                <w:szCs w:val="22"/>
              </w:rPr>
              <w:t>or</w:t>
            </w:r>
            <w:r w:rsidRPr="000B52A1">
              <w:rPr>
                <w:rFonts w:eastAsia="Arial" w:cstheme="minorHAnsi"/>
                <w:color w:val="000000"/>
                <w:sz w:val="22"/>
                <w:szCs w:val="22"/>
              </w:rPr>
              <w:br/>
              <w:t>Probable Effects Concentration (PEC)</w:t>
            </w:r>
          </w:p>
        </w:tc>
      </w:tr>
      <w:tr w:rsidR="00C956E6" w14:paraId="3DDDE57C" w14:textId="77777777" w:rsidTr="00C956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1911" w:type="dxa"/>
            <w:tcBorders>
              <w:top w:val="single" w:sz="2" w:space="0" w:color="auto"/>
            </w:tcBorders>
            <w:vAlign w:val="center"/>
          </w:tcPr>
          <w:p w14:paraId="58FDE509" w14:textId="77777777" w:rsidR="00C956E6" w:rsidRDefault="00C956E6" w:rsidP="00C956E6">
            <w:r w:rsidRPr="000B52A1">
              <w:rPr>
                <w:rFonts w:eastAsia="Arial" w:cstheme="minorHAnsi"/>
                <w:color w:val="000000"/>
                <w:sz w:val="22"/>
                <w:szCs w:val="22"/>
              </w:rPr>
              <w:t>Low Mesohaline</w:t>
            </w:r>
          </w:p>
        </w:tc>
        <w:tc>
          <w:tcPr>
            <w:tcW w:w="1794" w:type="dxa"/>
            <w:tcBorders>
              <w:top w:val="single" w:sz="2" w:space="0" w:color="auto"/>
            </w:tcBorders>
          </w:tcPr>
          <w:p w14:paraId="1F486250" w14:textId="77777777" w:rsidR="00C956E6" w:rsidRPr="000B52A1" w:rsidRDefault="00C956E6" w:rsidP="00C956E6">
            <w:pPr>
              <w:rPr>
                <w:rFonts w:eastAsia="Arial" w:cstheme="minorHAnsi"/>
                <w:color w:val="000000"/>
                <w:sz w:val="22"/>
                <w:szCs w:val="22"/>
              </w:rPr>
            </w:pPr>
            <w:r>
              <w:rPr>
                <w:rFonts w:eastAsia="Arial" w:cstheme="minorHAnsi"/>
                <w:color w:val="000000"/>
                <w:sz w:val="22"/>
                <w:szCs w:val="22"/>
              </w:rPr>
              <w:t>5-12</w:t>
            </w:r>
          </w:p>
        </w:tc>
        <w:tc>
          <w:tcPr>
            <w:tcW w:w="4125" w:type="dxa"/>
            <w:vMerge w:val="restart"/>
            <w:tcBorders>
              <w:top w:val="single" w:sz="2" w:space="0" w:color="auto"/>
            </w:tcBorders>
            <w:vAlign w:val="center"/>
          </w:tcPr>
          <w:p w14:paraId="5A1ADC34" w14:textId="312F37D2" w:rsidR="00C956E6" w:rsidRPr="000B52A1" w:rsidRDefault="00C956E6" w:rsidP="00C956E6">
            <w:pPr>
              <w:rPr>
                <w:rFonts w:eastAsia="Arial" w:cstheme="minorHAnsi"/>
                <w:color w:val="000000"/>
                <w:sz w:val="22"/>
                <w:szCs w:val="22"/>
              </w:rPr>
            </w:pPr>
            <w:r w:rsidRPr="000B52A1">
              <w:rPr>
                <w:rFonts w:eastAsia="Arial" w:cstheme="minorHAnsi"/>
                <w:color w:val="000000"/>
                <w:sz w:val="22"/>
                <w:szCs w:val="22"/>
              </w:rPr>
              <w:t>Effects Range Median (ERM)</w:t>
            </w:r>
          </w:p>
        </w:tc>
      </w:tr>
      <w:tr w:rsidR="00C956E6" w14:paraId="53D58B46" w14:textId="77777777" w:rsidTr="00C956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1911" w:type="dxa"/>
            <w:vAlign w:val="center"/>
          </w:tcPr>
          <w:p w14:paraId="04B98B49" w14:textId="77777777" w:rsidR="00C956E6" w:rsidRDefault="00C956E6" w:rsidP="00C956E6">
            <w:r w:rsidRPr="000B52A1">
              <w:rPr>
                <w:rFonts w:eastAsia="Arial" w:cstheme="minorHAnsi"/>
                <w:color w:val="000000"/>
                <w:sz w:val="22"/>
                <w:szCs w:val="22"/>
              </w:rPr>
              <w:t>High Mesohaline</w:t>
            </w:r>
          </w:p>
        </w:tc>
        <w:tc>
          <w:tcPr>
            <w:tcW w:w="1794" w:type="dxa"/>
          </w:tcPr>
          <w:p w14:paraId="5D211CB3" w14:textId="77777777" w:rsidR="00C956E6" w:rsidRDefault="00C956E6" w:rsidP="00C956E6">
            <w:r>
              <w:t>12-18</w:t>
            </w:r>
          </w:p>
        </w:tc>
        <w:tc>
          <w:tcPr>
            <w:tcW w:w="4125" w:type="dxa"/>
            <w:vMerge/>
            <w:vAlign w:val="center"/>
          </w:tcPr>
          <w:p w14:paraId="6D468EFE" w14:textId="77777777" w:rsidR="00C956E6" w:rsidRDefault="00C956E6" w:rsidP="00C956E6"/>
        </w:tc>
      </w:tr>
      <w:tr w:rsidR="00C956E6" w14:paraId="302A962D" w14:textId="77777777" w:rsidTr="00C956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1911" w:type="dxa"/>
            <w:vAlign w:val="center"/>
          </w:tcPr>
          <w:p w14:paraId="424CD18C" w14:textId="77777777" w:rsidR="00C956E6" w:rsidRDefault="00C956E6" w:rsidP="00C956E6">
            <w:proofErr w:type="spellStart"/>
            <w:r w:rsidRPr="000B52A1">
              <w:rPr>
                <w:rFonts w:eastAsia="Arial" w:cstheme="minorHAnsi"/>
                <w:color w:val="000000"/>
                <w:sz w:val="22"/>
                <w:szCs w:val="22"/>
              </w:rPr>
              <w:t>Polyhaline</w:t>
            </w:r>
            <w:proofErr w:type="spellEnd"/>
          </w:p>
        </w:tc>
        <w:tc>
          <w:tcPr>
            <w:tcW w:w="1794" w:type="dxa"/>
          </w:tcPr>
          <w:p w14:paraId="180FCEE3" w14:textId="77777777" w:rsidR="00C956E6" w:rsidRDefault="00C956E6" w:rsidP="00C956E6">
            <w:r>
              <w:t>18-30</w:t>
            </w:r>
          </w:p>
        </w:tc>
        <w:tc>
          <w:tcPr>
            <w:tcW w:w="4125" w:type="dxa"/>
            <w:vMerge/>
            <w:vAlign w:val="center"/>
          </w:tcPr>
          <w:p w14:paraId="78C29090" w14:textId="77777777" w:rsidR="00C956E6" w:rsidRDefault="00C956E6" w:rsidP="00C956E6"/>
        </w:tc>
      </w:tr>
      <w:tr w:rsidR="00C956E6" w14:paraId="37045DC9" w14:textId="77777777" w:rsidTr="00C956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1911" w:type="dxa"/>
            <w:tcBorders>
              <w:bottom w:val="single" w:sz="12" w:space="0" w:color="auto"/>
            </w:tcBorders>
            <w:vAlign w:val="center"/>
          </w:tcPr>
          <w:p w14:paraId="6CCFFFC8" w14:textId="77777777" w:rsidR="00C956E6" w:rsidRDefault="00C956E6" w:rsidP="00C956E6">
            <w:proofErr w:type="spellStart"/>
            <w:r w:rsidRPr="000B52A1">
              <w:rPr>
                <w:rFonts w:eastAsia="Arial" w:cstheme="minorHAnsi"/>
                <w:color w:val="000000"/>
                <w:sz w:val="22"/>
                <w:szCs w:val="22"/>
              </w:rPr>
              <w:t>Euhaline</w:t>
            </w:r>
            <w:proofErr w:type="spellEnd"/>
          </w:p>
        </w:tc>
        <w:tc>
          <w:tcPr>
            <w:tcW w:w="1794" w:type="dxa"/>
            <w:tcBorders>
              <w:bottom w:val="single" w:sz="12" w:space="0" w:color="auto"/>
            </w:tcBorders>
          </w:tcPr>
          <w:p w14:paraId="029487C8" w14:textId="77777777" w:rsidR="00C956E6" w:rsidRDefault="00C956E6" w:rsidP="00C956E6">
            <w:r>
              <w:t>&gt;30</w:t>
            </w:r>
          </w:p>
        </w:tc>
        <w:tc>
          <w:tcPr>
            <w:tcW w:w="4125" w:type="dxa"/>
            <w:vMerge/>
            <w:tcBorders>
              <w:bottom w:val="single" w:sz="12" w:space="0" w:color="auto"/>
            </w:tcBorders>
            <w:vAlign w:val="center"/>
          </w:tcPr>
          <w:p w14:paraId="4535F1DE" w14:textId="77777777" w:rsidR="00C956E6" w:rsidRDefault="00C956E6" w:rsidP="00C956E6"/>
        </w:tc>
      </w:tr>
    </w:tbl>
    <w:p w14:paraId="2D0DDD3F" w14:textId="172BD6DC" w:rsidR="0030653F" w:rsidRPr="000B52A1" w:rsidRDefault="00BB6D02" w:rsidP="00930D68">
      <w:r>
        <w:br/>
      </w:r>
      <w:r w:rsidR="0030653F" w:rsidRPr="000B52A1">
        <w:t xml:space="preserve">For each station, quotients were derived by dividing the measured concentration of each contaminant by its corresponding PEC or ERM screening value. Quotients greater than 1 indicate the measured concentration exceeded its screening value and adverse effects from that contaminant are “probable”. To predict the toxicity for mixtures of multiple contaminants in sediments, the mean from an ecologically relevant subset of contaminant quotients (mean Sediment Quality Guideline Quotient, </w:t>
      </w:r>
      <w:proofErr w:type="spellStart"/>
      <w:r w:rsidR="0030653F" w:rsidRPr="000B52A1">
        <w:t>mSQG</w:t>
      </w:r>
      <w:proofErr w:type="spellEnd"/>
      <w:r w:rsidR="0030653F" w:rsidRPr="000B52A1">
        <w:t>-Q) is used. DEQ’s saltwater stations incorporate the same contaminant subset used to calculate the mean Effects-Range Median Quotient (</w:t>
      </w:r>
      <w:proofErr w:type="spellStart"/>
      <w:r w:rsidR="0030653F" w:rsidRPr="000B52A1">
        <w:t>mERM</w:t>
      </w:r>
      <w:proofErr w:type="spellEnd"/>
      <w:r w:rsidR="0030653F" w:rsidRPr="000B52A1">
        <w:t>-Q) from Long et al. (</w:t>
      </w:r>
      <w:r w:rsidR="0030653F" w:rsidRPr="0086654B">
        <w:rPr>
          <w:rFonts w:eastAsiaTheme="majorEastAsia" w:cstheme="minorHAnsi"/>
        </w:rPr>
        <w:t>1995</w:t>
      </w:r>
      <w:r w:rsidR="0030653F" w:rsidRPr="000B52A1">
        <w:t>) and the NCCA TSD (</w:t>
      </w:r>
      <w:r w:rsidR="0030653F" w:rsidRPr="0086654B">
        <w:rPr>
          <w:rFonts w:eastAsiaTheme="majorEastAsia" w:cstheme="minorHAnsi"/>
        </w:rPr>
        <w:t>U.S. EPA 2020</w:t>
      </w:r>
      <w:r w:rsidR="0030653F" w:rsidRPr="000B52A1">
        <w:t>). Freshwater and transitional stations adhere to the subset of contaminant quotients used when calculating the mean Probable Effects Concentrations Quotient (</w:t>
      </w:r>
      <w:proofErr w:type="spellStart"/>
      <w:r w:rsidR="0030653F" w:rsidRPr="000B52A1">
        <w:t>mPEC</w:t>
      </w:r>
      <w:proofErr w:type="spellEnd"/>
      <w:r w:rsidR="0030653F" w:rsidRPr="000B52A1">
        <w:t xml:space="preserve">-Q; </w:t>
      </w:r>
      <w:r w:rsidR="0030653F" w:rsidRPr="0086654B">
        <w:rPr>
          <w:rFonts w:eastAsiaTheme="majorEastAsia" w:cstheme="minorHAnsi"/>
        </w:rPr>
        <w:t>Hyland et al. 2003</w:t>
      </w:r>
      <w:r w:rsidR="0030653F" w:rsidRPr="000B52A1">
        <w:t xml:space="preserve">; </w:t>
      </w:r>
      <w:r w:rsidR="0030653F" w:rsidRPr="0086654B">
        <w:rPr>
          <w:rFonts w:eastAsiaTheme="majorEastAsia" w:cstheme="minorHAnsi"/>
        </w:rPr>
        <w:t>Ingersoll et al. 2001</w:t>
      </w:r>
      <w:r w:rsidR="0030653F" w:rsidRPr="000B52A1">
        <w:t xml:space="preserve">; </w:t>
      </w:r>
      <w:r w:rsidR="0030653F" w:rsidRPr="0086654B">
        <w:rPr>
          <w:rFonts w:eastAsiaTheme="majorEastAsia" w:cstheme="minorHAnsi"/>
        </w:rPr>
        <w:t>MacDonald et al. 2000</w:t>
      </w:r>
      <w:r w:rsidR="0030653F" w:rsidRPr="000B52A1">
        <w:t xml:space="preserve">). The larger the value of </w:t>
      </w:r>
      <w:proofErr w:type="spellStart"/>
      <w:r w:rsidR="0030653F" w:rsidRPr="000B52A1">
        <w:t>mSQG</w:t>
      </w:r>
      <w:proofErr w:type="spellEnd"/>
      <w:r w:rsidR="0030653F" w:rsidRPr="000B52A1">
        <w:t xml:space="preserve">-Q, the higher the risk of adverse effects to aquatic life (Table </w:t>
      </w:r>
      <w:r w:rsidR="00B20DDA">
        <w:t>4.5-</w:t>
      </w:r>
      <w:r w:rsidR="0030653F" w:rsidRPr="000B52A1">
        <w:t>15).</w:t>
      </w:r>
      <w:r w:rsidR="00F40890">
        <w:br/>
      </w:r>
    </w:p>
    <w:p w14:paraId="659E74DB" w14:textId="3854E771" w:rsidR="001C3375" w:rsidRPr="0062574F" w:rsidRDefault="00D87A53" w:rsidP="001C3375">
      <w:pPr>
        <w:pStyle w:val="Caption"/>
      </w:pPr>
      <w:bookmarkStart w:id="268" w:name="tab:tab-msqgq"/>
      <w:bookmarkStart w:id="269" w:name="_Toc164175205"/>
      <w:bookmarkEnd w:id="268"/>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15</w:t>
      </w:r>
      <w:r w:rsidR="004F13BA">
        <w:rPr>
          <w:noProof/>
        </w:rPr>
        <w:fldChar w:fldCharType="end"/>
      </w:r>
      <w:r>
        <w:t xml:space="preserve">. </w:t>
      </w:r>
      <w:r w:rsidR="002D0F6B">
        <w:t>Estimate</w:t>
      </w:r>
      <w:r w:rsidR="001C3375">
        <w:t>d</w:t>
      </w:r>
      <w:r w:rsidR="002D0F6B">
        <w:t xml:space="preserve"> </w:t>
      </w:r>
      <w:r w:rsidR="002D0F6B" w:rsidRPr="0A5BE548">
        <w:rPr>
          <w:rFonts w:cstheme="minorBidi"/>
        </w:rPr>
        <w:t>mean Sediment Quality Guideline Quotient (</w:t>
      </w:r>
      <w:proofErr w:type="spellStart"/>
      <w:r w:rsidR="002D0F6B" w:rsidRPr="0A5BE548">
        <w:rPr>
          <w:rFonts w:cstheme="minorBidi"/>
        </w:rPr>
        <w:t>mSQG</w:t>
      </w:r>
      <w:proofErr w:type="spellEnd"/>
      <w:r w:rsidR="002D0F6B" w:rsidRPr="0A5BE548">
        <w:rPr>
          <w:rFonts w:cstheme="minorBidi"/>
        </w:rPr>
        <w:t>-Q)</w:t>
      </w:r>
      <w:r w:rsidR="2EF5F681" w:rsidRPr="0A5BE548">
        <w:rPr>
          <w:rFonts w:cstheme="minorBidi"/>
        </w:rPr>
        <w:t xml:space="preserve"> </w:t>
      </w:r>
      <w:bookmarkEnd w:id="269"/>
      <w:r w:rsidR="002D0F6B" w:rsidRPr="0A5BE548">
        <w:rPr>
          <w:rFonts w:cstheme="minorBidi"/>
        </w:rPr>
        <w:t xml:space="preserve">conditions in Virginia’s estuarine </w:t>
      </w:r>
      <w:r w:rsidR="37616692" w:rsidRPr="0A5BE548">
        <w:rPr>
          <w:rFonts w:cstheme="minorBidi"/>
        </w:rPr>
        <w:t>waters,</w:t>
      </w:r>
      <w:r w:rsidR="002D0F6B" w:rsidRPr="0A5BE548">
        <w:rPr>
          <w:rFonts w:cstheme="minorBidi"/>
        </w:rPr>
        <w:t xml:space="preserve"> 2017-2022. Conditions and benchmark ranges are from U.S. EPA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Mean Sediment Quality Guideline Quotients (mSQG-Q) conditions and ranges based on NCCA 2015 thresholds, 2017-2022."/>
        <w:tblDescription w:val="Mean Sediment Quality Guideline Quotients (mSQG-Q) conditions and ranges based on NCCA 2015 thresholds, 2017-2022."/>
      </w:tblPr>
      <w:tblGrid>
        <w:gridCol w:w="2337"/>
        <w:gridCol w:w="2337"/>
        <w:gridCol w:w="2338"/>
        <w:gridCol w:w="2338"/>
      </w:tblGrid>
      <w:tr w:rsidR="004F5196" w14:paraId="1ECF5DF3" w14:textId="77777777" w:rsidTr="00F40890">
        <w:trPr>
          <w:trHeight w:val="360"/>
        </w:trPr>
        <w:tc>
          <w:tcPr>
            <w:tcW w:w="2337" w:type="dxa"/>
            <w:tcBorders>
              <w:top w:val="single" w:sz="12" w:space="0" w:color="auto"/>
              <w:bottom w:val="single" w:sz="2" w:space="0" w:color="auto"/>
            </w:tcBorders>
            <w:vAlign w:val="center"/>
          </w:tcPr>
          <w:p w14:paraId="43B8D595" w14:textId="77777777" w:rsidR="004F5196" w:rsidRDefault="004F5196">
            <w:proofErr w:type="spellStart"/>
            <w:r w:rsidRPr="000B52A1">
              <w:rPr>
                <w:rFonts w:eastAsia="Arial" w:cstheme="minorHAnsi"/>
                <w:b/>
                <w:color w:val="000000"/>
                <w:sz w:val="22"/>
                <w:szCs w:val="22"/>
              </w:rPr>
              <w:t>mSQG</w:t>
            </w:r>
            <w:proofErr w:type="spellEnd"/>
            <w:r w:rsidRPr="000B52A1">
              <w:rPr>
                <w:rFonts w:eastAsia="Arial" w:cstheme="minorHAnsi"/>
                <w:b/>
                <w:color w:val="000000"/>
                <w:sz w:val="22"/>
                <w:szCs w:val="22"/>
              </w:rPr>
              <w:t>-Q Condition</w:t>
            </w:r>
          </w:p>
        </w:tc>
        <w:tc>
          <w:tcPr>
            <w:tcW w:w="2337" w:type="dxa"/>
            <w:tcBorders>
              <w:top w:val="single" w:sz="12" w:space="0" w:color="auto"/>
              <w:bottom w:val="single" w:sz="2" w:space="0" w:color="auto"/>
            </w:tcBorders>
            <w:vAlign w:val="center"/>
          </w:tcPr>
          <w:p w14:paraId="24E691BE" w14:textId="77777777" w:rsidR="004F5196" w:rsidRDefault="004F5196">
            <w:proofErr w:type="spellStart"/>
            <w:r w:rsidRPr="000B52A1">
              <w:rPr>
                <w:rFonts w:eastAsia="Arial" w:cstheme="minorHAnsi"/>
                <w:b/>
                <w:color w:val="000000"/>
                <w:sz w:val="22"/>
                <w:szCs w:val="22"/>
              </w:rPr>
              <w:t>mSQG</w:t>
            </w:r>
            <w:proofErr w:type="spellEnd"/>
            <w:r w:rsidRPr="000B52A1">
              <w:rPr>
                <w:rFonts w:eastAsia="Arial" w:cstheme="minorHAnsi"/>
                <w:b/>
                <w:color w:val="000000"/>
                <w:sz w:val="22"/>
                <w:szCs w:val="22"/>
              </w:rPr>
              <w:t>-Q Range</w:t>
            </w:r>
          </w:p>
        </w:tc>
        <w:tc>
          <w:tcPr>
            <w:tcW w:w="2338" w:type="dxa"/>
            <w:tcBorders>
              <w:top w:val="single" w:sz="12" w:space="0" w:color="auto"/>
              <w:bottom w:val="single" w:sz="2" w:space="0" w:color="auto"/>
            </w:tcBorders>
            <w:vAlign w:val="center"/>
          </w:tcPr>
          <w:p w14:paraId="3C71ECFB" w14:textId="77777777" w:rsidR="004F5196" w:rsidRDefault="004F5196">
            <w:r w:rsidRPr="000B52A1">
              <w:rPr>
                <w:rFonts w:eastAsia="Arial" w:cstheme="minorHAnsi"/>
                <w:b/>
                <w:color w:val="000000"/>
                <w:sz w:val="22"/>
                <w:szCs w:val="22"/>
              </w:rPr>
              <w:t>Stations</w:t>
            </w:r>
          </w:p>
        </w:tc>
        <w:tc>
          <w:tcPr>
            <w:tcW w:w="2338" w:type="dxa"/>
            <w:tcBorders>
              <w:top w:val="single" w:sz="12" w:space="0" w:color="auto"/>
              <w:bottom w:val="single" w:sz="2" w:space="0" w:color="auto"/>
            </w:tcBorders>
            <w:vAlign w:val="center"/>
          </w:tcPr>
          <w:p w14:paraId="799D338B" w14:textId="18076A40" w:rsidR="004F5196" w:rsidRDefault="004F5196">
            <w:r w:rsidRPr="000B52A1">
              <w:rPr>
                <w:rFonts w:eastAsia="Arial" w:cstheme="minorHAnsi"/>
                <w:b/>
                <w:color w:val="000000"/>
                <w:sz w:val="22"/>
                <w:szCs w:val="22"/>
              </w:rPr>
              <w:t>Percentage</w:t>
            </w:r>
            <w:r w:rsidR="00F22A4E" w:rsidRPr="00F22A4E">
              <w:rPr>
                <w:rFonts w:eastAsia="Arial" w:cstheme="minorHAnsi"/>
                <w:b/>
                <w:color w:val="000000"/>
                <w:sz w:val="22"/>
                <w:szCs w:val="22"/>
                <w:vertAlign w:val="superscript"/>
              </w:rPr>
              <w:t>1</w:t>
            </w:r>
          </w:p>
        </w:tc>
      </w:tr>
      <w:tr w:rsidR="004F5196" w14:paraId="73F4DC26" w14:textId="77777777" w:rsidTr="00930D68">
        <w:trPr>
          <w:trHeight w:val="360"/>
        </w:trPr>
        <w:tc>
          <w:tcPr>
            <w:tcW w:w="2337" w:type="dxa"/>
            <w:tcBorders>
              <w:top w:val="single" w:sz="2" w:space="0" w:color="auto"/>
            </w:tcBorders>
            <w:vAlign w:val="center"/>
          </w:tcPr>
          <w:p w14:paraId="1453EFE6" w14:textId="77777777" w:rsidR="004F5196" w:rsidRDefault="004F5196">
            <w:r w:rsidRPr="000B52A1">
              <w:rPr>
                <w:rFonts w:eastAsia="Arial" w:cstheme="minorHAnsi"/>
                <w:color w:val="000000"/>
                <w:sz w:val="22"/>
                <w:szCs w:val="22"/>
              </w:rPr>
              <w:t>Good</w:t>
            </w:r>
          </w:p>
        </w:tc>
        <w:tc>
          <w:tcPr>
            <w:tcW w:w="2337" w:type="dxa"/>
            <w:tcBorders>
              <w:top w:val="single" w:sz="2" w:space="0" w:color="auto"/>
            </w:tcBorders>
            <w:vAlign w:val="center"/>
          </w:tcPr>
          <w:p w14:paraId="7326FC01" w14:textId="77777777" w:rsidR="004F5196" w:rsidRDefault="004F5196">
            <w:r w:rsidRPr="000B52A1">
              <w:rPr>
                <w:rFonts w:eastAsia="Arial" w:cstheme="minorHAnsi"/>
                <w:color w:val="000000"/>
                <w:sz w:val="22"/>
                <w:szCs w:val="22"/>
              </w:rPr>
              <w:t>≤ 0.022</w:t>
            </w:r>
          </w:p>
        </w:tc>
        <w:tc>
          <w:tcPr>
            <w:tcW w:w="2338" w:type="dxa"/>
            <w:tcBorders>
              <w:top w:val="single" w:sz="2" w:space="0" w:color="auto"/>
            </w:tcBorders>
            <w:vAlign w:val="center"/>
          </w:tcPr>
          <w:p w14:paraId="399EAE12" w14:textId="77777777" w:rsidR="004F5196" w:rsidRDefault="004F5196">
            <w:r w:rsidRPr="000B52A1">
              <w:rPr>
                <w:rFonts w:eastAsia="Arial" w:cstheme="minorHAnsi"/>
                <w:color w:val="000000"/>
                <w:sz w:val="22"/>
                <w:szCs w:val="22"/>
              </w:rPr>
              <w:t>124</w:t>
            </w:r>
          </w:p>
        </w:tc>
        <w:tc>
          <w:tcPr>
            <w:tcW w:w="2338" w:type="dxa"/>
            <w:tcBorders>
              <w:top w:val="single" w:sz="2" w:space="0" w:color="auto"/>
            </w:tcBorders>
            <w:vAlign w:val="center"/>
          </w:tcPr>
          <w:p w14:paraId="1788BE2F" w14:textId="77777777" w:rsidR="004F5196" w:rsidRDefault="004F5196">
            <w:r w:rsidRPr="000B52A1">
              <w:rPr>
                <w:rFonts w:eastAsia="Arial" w:cstheme="minorHAnsi"/>
                <w:color w:val="000000"/>
                <w:sz w:val="22"/>
                <w:szCs w:val="22"/>
              </w:rPr>
              <w:t>41.61 ± 5.62</w:t>
            </w:r>
          </w:p>
        </w:tc>
      </w:tr>
      <w:tr w:rsidR="004F5196" w14:paraId="75441B58" w14:textId="77777777" w:rsidTr="00930D68">
        <w:trPr>
          <w:trHeight w:val="360"/>
        </w:trPr>
        <w:tc>
          <w:tcPr>
            <w:tcW w:w="2337" w:type="dxa"/>
            <w:vAlign w:val="center"/>
          </w:tcPr>
          <w:p w14:paraId="13AE9E29" w14:textId="77777777" w:rsidR="004F5196" w:rsidRDefault="004F5196">
            <w:r w:rsidRPr="000B52A1">
              <w:rPr>
                <w:rFonts w:eastAsia="Arial" w:cstheme="minorHAnsi"/>
                <w:color w:val="000000"/>
                <w:sz w:val="22"/>
                <w:szCs w:val="22"/>
              </w:rPr>
              <w:t>Fair</w:t>
            </w:r>
          </w:p>
        </w:tc>
        <w:tc>
          <w:tcPr>
            <w:tcW w:w="2337" w:type="dxa"/>
            <w:vAlign w:val="center"/>
          </w:tcPr>
          <w:p w14:paraId="2CF64437" w14:textId="77777777" w:rsidR="004F5196" w:rsidRDefault="004F5196">
            <w:r w:rsidRPr="000B52A1">
              <w:rPr>
                <w:rFonts w:eastAsia="Arial" w:cstheme="minorHAnsi"/>
                <w:color w:val="000000"/>
                <w:sz w:val="22"/>
                <w:szCs w:val="22"/>
              </w:rPr>
              <w:t>&gt; 0.022 and ≤ 0.098</w:t>
            </w:r>
          </w:p>
        </w:tc>
        <w:tc>
          <w:tcPr>
            <w:tcW w:w="2338" w:type="dxa"/>
            <w:vAlign w:val="center"/>
          </w:tcPr>
          <w:p w14:paraId="7EA3CA18" w14:textId="77777777" w:rsidR="004F5196" w:rsidRDefault="004F5196">
            <w:r w:rsidRPr="000B52A1">
              <w:rPr>
                <w:rFonts w:eastAsia="Arial" w:cstheme="minorHAnsi"/>
                <w:color w:val="000000"/>
                <w:sz w:val="22"/>
                <w:szCs w:val="22"/>
              </w:rPr>
              <w:t>128</w:t>
            </w:r>
          </w:p>
        </w:tc>
        <w:tc>
          <w:tcPr>
            <w:tcW w:w="2338" w:type="dxa"/>
            <w:vAlign w:val="center"/>
          </w:tcPr>
          <w:p w14:paraId="6C8CEBEF" w14:textId="77777777" w:rsidR="004F5196" w:rsidRDefault="004F5196">
            <w:r w:rsidRPr="000B52A1">
              <w:rPr>
                <w:rFonts w:eastAsia="Arial" w:cstheme="minorHAnsi"/>
                <w:color w:val="000000"/>
                <w:sz w:val="22"/>
                <w:szCs w:val="22"/>
              </w:rPr>
              <w:t>42.95 ± 5.64</w:t>
            </w:r>
          </w:p>
        </w:tc>
      </w:tr>
      <w:tr w:rsidR="004F5196" w14:paraId="683094E1" w14:textId="77777777" w:rsidTr="00930D68">
        <w:trPr>
          <w:trHeight w:val="360"/>
        </w:trPr>
        <w:tc>
          <w:tcPr>
            <w:tcW w:w="2337" w:type="dxa"/>
            <w:vAlign w:val="center"/>
          </w:tcPr>
          <w:p w14:paraId="50D9F1FC" w14:textId="77777777" w:rsidR="004F5196" w:rsidRDefault="004F5196">
            <w:r w:rsidRPr="000B52A1">
              <w:rPr>
                <w:rFonts w:eastAsia="Arial" w:cstheme="minorHAnsi"/>
                <w:color w:val="000000"/>
                <w:sz w:val="22"/>
                <w:szCs w:val="22"/>
              </w:rPr>
              <w:t>Poor</w:t>
            </w:r>
          </w:p>
        </w:tc>
        <w:tc>
          <w:tcPr>
            <w:tcW w:w="2337" w:type="dxa"/>
            <w:vAlign w:val="center"/>
          </w:tcPr>
          <w:p w14:paraId="5425237E" w14:textId="77777777" w:rsidR="004F5196" w:rsidRDefault="004F5196">
            <w:r w:rsidRPr="000B52A1">
              <w:rPr>
                <w:rFonts w:eastAsia="Arial" w:cstheme="minorHAnsi"/>
                <w:color w:val="000000"/>
                <w:sz w:val="22"/>
                <w:szCs w:val="22"/>
              </w:rPr>
              <w:t>&gt; 0.098 and ≤ 0.473</w:t>
            </w:r>
          </w:p>
        </w:tc>
        <w:tc>
          <w:tcPr>
            <w:tcW w:w="2338" w:type="dxa"/>
            <w:vAlign w:val="center"/>
          </w:tcPr>
          <w:p w14:paraId="2FCF7589" w14:textId="77777777" w:rsidR="004F5196" w:rsidRDefault="004F5196">
            <w:r w:rsidRPr="000B52A1">
              <w:rPr>
                <w:rFonts w:eastAsia="Arial" w:cstheme="minorHAnsi"/>
                <w:color w:val="000000"/>
                <w:sz w:val="22"/>
                <w:szCs w:val="22"/>
              </w:rPr>
              <w:t>45</w:t>
            </w:r>
          </w:p>
        </w:tc>
        <w:tc>
          <w:tcPr>
            <w:tcW w:w="2338" w:type="dxa"/>
            <w:vAlign w:val="center"/>
          </w:tcPr>
          <w:p w14:paraId="44DCDDAA" w14:textId="77777777" w:rsidR="004F5196" w:rsidRDefault="004F5196">
            <w:r w:rsidRPr="000B52A1">
              <w:rPr>
                <w:rFonts w:eastAsia="Arial" w:cstheme="minorHAnsi"/>
                <w:color w:val="000000"/>
                <w:sz w:val="22"/>
                <w:szCs w:val="22"/>
              </w:rPr>
              <w:t>15.1 ± 4.08</w:t>
            </w:r>
          </w:p>
        </w:tc>
      </w:tr>
      <w:tr w:rsidR="004F5196" w14:paraId="2D393F28" w14:textId="77777777" w:rsidTr="00F40890">
        <w:trPr>
          <w:trHeight w:val="360"/>
        </w:trPr>
        <w:tc>
          <w:tcPr>
            <w:tcW w:w="2337" w:type="dxa"/>
            <w:tcBorders>
              <w:bottom w:val="single" w:sz="2" w:space="0" w:color="auto"/>
            </w:tcBorders>
            <w:vAlign w:val="center"/>
          </w:tcPr>
          <w:p w14:paraId="2ACC5893" w14:textId="77777777" w:rsidR="004F5196" w:rsidRDefault="004F5196">
            <w:r w:rsidRPr="000B52A1">
              <w:rPr>
                <w:rFonts w:eastAsia="Arial" w:cstheme="minorHAnsi"/>
                <w:color w:val="000000"/>
                <w:sz w:val="22"/>
                <w:szCs w:val="22"/>
              </w:rPr>
              <w:t>Very Poor</w:t>
            </w:r>
          </w:p>
        </w:tc>
        <w:tc>
          <w:tcPr>
            <w:tcW w:w="2337" w:type="dxa"/>
            <w:tcBorders>
              <w:bottom w:val="single" w:sz="2" w:space="0" w:color="auto"/>
            </w:tcBorders>
            <w:vAlign w:val="center"/>
          </w:tcPr>
          <w:p w14:paraId="7C6EDB43" w14:textId="77777777" w:rsidR="004F5196" w:rsidRDefault="004F5196">
            <w:r w:rsidRPr="000B52A1">
              <w:rPr>
                <w:rFonts w:eastAsia="Arial" w:cstheme="minorHAnsi"/>
                <w:color w:val="000000"/>
                <w:sz w:val="22"/>
                <w:szCs w:val="22"/>
              </w:rPr>
              <w:t>&gt; 0.473</w:t>
            </w:r>
          </w:p>
        </w:tc>
        <w:tc>
          <w:tcPr>
            <w:tcW w:w="2338" w:type="dxa"/>
            <w:tcBorders>
              <w:bottom w:val="single" w:sz="2" w:space="0" w:color="auto"/>
            </w:tcBorders>
            <w:vAlign w:val="center"/>
          </w:tcPr>
          <w:p w14:paraId="43DE8DB4" w14:textId="77777777" w:rsidR="004F5196" w:rsidRDefault="004F5196">
            <w:r w:rsidRPr="000B52A1">
              <w:rPr>
                <w:rFonts w:eastAsia="Arial" w:cstheme="minorHAnsi"/>
                <w:color w:val="000000"/>
                <w:sz w:val="22"/>
                <w:szCs w:val="22"/>
              </w:rPr>
              <w:t>1</w:t>
            </w:r>
          </w:p>
        </w:tc>
        <w:tc>
          <w:tcPr>
            <w:tcW w:w="2338" w:type="dxa"/>
            <w:tcBorders>
              <w:bottom w:val="single" w:sz="2" w:space="0" w:color="auto"/>
            </w:tcBorders>
            <w:vAlign w:val="center"/>
          </w:tcPr>
          <w:p w14:paraId="4BEF0FAD" w14:textId="77777777" w:rsidR="004F5196" w:rsidRDefault="004F5196">
            <w:r w:rsidRPr="000B52A1">
              <w:rPr>
                <w:rFonts w:eastAsia="Arial" w:cstheme="minorHAnsi"/>
                <w:color w:val="000000"/>
                <w:sz w:val="22"/>
                <w:szCs w:val="22"/>
              </w:rPr>
              <w:t>0.34 ± 0.66</w:t>
            </w:r>
          </w:p>
        </w:tc>
      </w:tr>
      <w:tr w:rsidR="004F5196" w14:paraId="4C7CB11D" w14:textId="77777777" w:rsidTr="00F40890">
        <w:trPr>
          <w:trHeight w:val="360"/>
        </w:trPr>
        <w:tc>
          <w:tcPr>
            <w:tcW w:w="2337" w:type="dxa"/>
            <w:tcBorders>
              <w:top w:val="single" w:sz="2" w:space="0" w:color="auto"/>
              <w:bottom w:val="single" w:sz="12" w:space="0" w:color="auto"/>
            </w:tcBorders>
            <w:vAlign w:val="center"/>
          </w:tcPr>
          <w:p w14:paraId="0838BD2C" w14:textId="77777777" w:rsidR="004F5196" w:rsidRPr="00930D68" w:rsidRDefault="004F5196">
            <w:pPr>
              <w:rPr>
                <w:b/>
                <w:bCs/>
              </w:rPr>
            </w:pPr>
            <w:r w:rsidRPr="00930D68">
              <w:rPr>
                <w:rFonts w:eastAsia="Arial" w:cstheme="minorHAnsi"/>
                <w:b/>
                <w:bCs/>
                <w:color w:val="000000"/>
                <w:sz w:val="22"/>
                <w:szCs w:val="22"/>
              </w:rPr>
              <w:t>Total</w:t>
            </w:r>
          </w:p>
        </w:tc>
        <w:tc>
          <w:tcPr>
            <w:tcW w:w="2337" w:type="dxa"/>
            <w:tcBorders>
              <w:top w:val="single" w:sz="2" w:space="0" w:color="auto"/>
              <w:bottom w:val="single" w:sz="12" w:space="0" w:color="auto"/>
            </w:tcBorders>
            <w:vAlign w:val="center"/>
          </w:tcPr>
          <w:p w14:paraId="03BDFA15" w14:textId="77777777" w:rsidR="004F5196" w:rsidRPr="00930D68" w:rsidRDefault="004F5196">
            <w:pPr>
              <w:rPr>
                <w:b/>
                <w:bCs/>
              </w:rPr>
            </w:pPr>
          </w:p>
        </w:tc>
        <w:tc>
          <w:tcPr>
            <w:tcW w:w="2338" w:type="dxa"/>
            <w:tcBorders>
              <w:top w:val="single" w:sz="2" w:space="0" w:color="auto"/>
              <w:bottom w:val="single" w:sz="12" w:space="0" w:color="auto"/>
            </w:tcBorders>
            <w:vAlign w:val="center"/>
          </w:tcPr>
          <w:p w14:paraId="2A2FBAD7" w14:textId="77777777" w:rsidR="004F5196" w:rsidRPr="00930D68" w:rsidRDefault="004F5196">
            <w:pPr>
              <w:rPr>
                <w:b/>
                <w:bCs/>
              </w:rPr>
            </w:pPr>
            <w:r w:rsidRPr="00930D68">
              <w:rPr>
                <w:rFonts w:eastAsia="Arial" w:cstheme="minorHAnsi"/>
                <w:b/>
                <w:bCs/>
                <w:color w:val="000000"/>
                <w:sz w:val="22"/>
                <w:szCs w:val="22"/>
              </w:rPr>
              <w:t>298</w:t>
            </w:r>
          </w:p>
        </w:tc>
        <w:tc>
          <w:tcPr>
            <w:tcW w:w="2338" w:type="dxa"/>
            <w:tcBorders>
              <w:top w:val="single" w:sz="2" w:space="0" w:color="auto"/>
              <w:bottom w:val="single" w:sz="12" w:space="0" w:color="auto"/>
            </w:tcBorders>
            <w:vAlign w:val="center"/>
          </w:tcPr>
          <w:p w14:paraId="041FA153" w14:textId="77777777" w:rsidR="004F5196" w:rsidRDefault="004F5196"/>
        </w:tc>
      </w:tr>
    </w:tbl>
    <w:p w14:paraId="220CFC6D" w14:textId="77777777" w:rsidR="00E82051" w:rsidRDefault="00E82051" w:rsidP="00E82051">
      <w:pPr>
        <w:pStyle w:val="TableCaption"/>
      </w:pPr>
      <w:bookmarkStart w:id="270" w:name="logistic-regression-model"/>
      <w:bookmarkEnd w:id="265"/>
      <w:r w:rsidRPr="00E82051">
        <w:rPr>
          <w:vertAlign w:val="superscript"/>
        </w:rPr>
        <w:t>1</w:t>
      </w:r>
      <w:r w:rsidRPr="000F59F4">
        <w:t xml:space="preserve"> </w:t>
      </w:r>
      <w:r>
        <w:t>E</w:t>
      </w:r>
      <w:r w:rsidRPr="000F59F4">
        <w:t>stimated percentage</w:t>
      </w:r>
      <w:r>
        <w:t xml:space="preserve"> (</w:t>
      </w:r>
      <w:r w:rsidRPr="00224A2F">
        <w:t>+/- 95% confidence limits</w:t>
      </w:r>
      <w:r>
        <w:t xml:space="preserve">) </w:t>
      </w:r>
      <w:r w:rsidRPr="000F59F4">
        <w:t>of Virginia’s smaller estuarine waters</w:t>
      </w:r>
      <w:r>
        <w:t xml:space="preserve"> (&lt; 100 sq km drainage)</w:t>
      </w:r>
      <w:r w:rsidRPr="000F59F4">
        <w:t xml:space="preserve"> </w:t>
      </w:r>
      <w:r>
        <w:t>with</w:t>
      </w:r>
      <w:r w:rsidRPr="000F59F4">
        <w:t xml:space="preserve"> indicated </w:t>
      </w:r>
      <w:r>
        <w:t>sediment</w:t>
      </w:r>
      <w:r w:rsidRPr="000F59F4">
        <w:t xml:space="preserve"> </w:t>
      </w:r>
      <w:r>
        <w:t xml:space="preserve">quality </w:t>
      </w:r>
      <w:r w:rsidRPr="000F59F4">
        <w:t xml:space="preserve">condition. </w:t>
      </w:r>
      <w:r>
        <w:t>As e</w:t>
      </w:r>
      <w:r w:rsidRPr="000F59F4">
        <w:t xml:space="preserve">stimated using data from DEQ’s estuarine probabilistic monitoring program and EPA’s National Coastal Condition Assessment </w:t>
      </w:r>
      <w:r>
        <w:t>program. Approximately 95% of stations are from smaller estuaries (&lt; 100 sq km drainage) and approximately 5% of stations are from Chesapeake Bay mainstem.</w:t>
      </w:r>
    </w:p>
    <w:p w14:paraId="7364B2AD" w14:textId="5AFCC448" w:rsidR="00930D68" w:rsidRPr="00930D68" w:rsidRDefault="00930D68" w:rsidP="00930D68">
      <w:pPr>
        <w:rPr>
          <w:rFonts w:eastAsiaTheme="majorEastAsia"/>
        </w:rPr>
      </w:pPr>
    </w:p>
    <w:p w14:paraId="5CBA1B3D" w14:textId="379F3FF0" w:rsidR="0030653F" w:rsidRPr="000B52A1" w:rsidRDefault="0030653F" w:rsidP="00930D68">
      <w:pPr>
        <w:pStyle w:val="Heading4"/>
        <w:numPr>
          <w:ilvl w:val="0"/>
          <w:numId w:val="0"/>
        </w:numPr>
        <w:rPr>
          <w:rFonts w:cstheme="minorHAnsi"/>
        </w:rPr>
      </w:pPr>
      <w:r w:rsidRPr="000B52A1">
        <w:rPr>
          <w:rFonts w:cstheme="minorHAnsi"/>
        </w:rPr>
        <w:t>Logistic Regression Model</w:t>
      </w:r>
    </w:p>
    <w:p w14:paraId="6AB3E20D" w14:textId="4DF367BE" w:rsidR="0030653F" w:rsidRPr="000B52A1" w:rsidRDefault="0030653F" w:rsidP="00930D68">
      <w:r w:rsidRPr="000B52A1">
        <w:t>The EPA NCCA introduced the Logistic Regression Model (LRM) for sediment characterizations in the report on the 2010 National Survey (</w:t>
      </w:r>
      <w:r w:rsidRPr="0086654B">
        <w:rPr>
          <w:rFonts w:cstheme="minorHAnsi"/>
        </w:rPr>
        <w:t>U.S. EPA 2015</w:t>
      </w:r>
      <w:r w:rsidRPr="000B52A1">
        <w:t xml:space="preserve">, </w:t>
      </w:r>
      <w:r w:rsidRPr="0086654B">
        <w:rPr>
          <w:rFonts w:cstheme="minorHAnsi"/>
        </w:rPr>
        <w:t>2016</w:t>
      </w:r>
      <w:r w:rsidRPr="000B52A1">
        <w:t>). Logistic regression coefficients from Field et al. (</w:t>
      </w:r>
      <w:r w:rsidRPr="0086654B">
        <w:rPr>
          <w:rFonts w:cstheme="minorHAnsi"/>
        </w:rPr>
        <w:t>2002</w:t>
      </w:r>
      <w:r w:rsidRPr="000B52A1">
        <w:t xml:space="preserve">) were presented for 10 metals, 21 PAHs, Biphenyl, Total PCBs, and 4 </w:t>
      </w:r>
      <w:r w:rsidRPr="000B52A1">
        <w:lastRenderedPageBreak/>
        <w:t xml:space="preserve">pesticides. The observed concentration of each analyte is used in the LRM to calculate the estimated probability of significant acute mortality to amphipod crustaceans. </w:t>
      </w:r>
      <w:r w:rsidR="003E177F">
        <w:t xml:space="preserve">The </w:t>
      </w:r>
      <w:r w:rsidRPr="000B52A1">
        <w:t>NCCA subsequently used the maximum probability of toxicity (P</w:t>
      </w:r>
      <w:r w:rsidRPr="000B52A1">
        <w:rPr>
          <w:vertAlign w:val="subscript"/>
        </w:rPr>
        <w:t>max</w:t>
      </w:r>
      <w:r w:rsidRPr="000B52A1">
        <w:t>) among all analytes to characterize sediment chemistry at the station (</w:t>
      </w:r>
      <w:r w:rsidRPr="0086654B">
        <w:rPr>
          <w:rFonts w:cstheme="minorHAnsi"/>
        </w:rPr>
        <w:t>U.S. EPA 2015</w:t>
      </w:r>
      <w:r w:rsidRPr="000B52A1">
        <w:t xml:space="preserve">, </w:t>
      </w:r>
      <w:r w:rsidRPr="0086654B">
        <w:rPr>
          <w:rFonts w:cstheme="minorHAnsi"/>
        </w:rPr>
        <w:t>2016</w:t>
      </w:r>
      <w:r w:rsidRPr="000B52A1">
        <w:t xml:space="preserve">). Table </w:t>
      </w:r>
      <w:r w:rsidR="00F051B1">
        <w:t>4.5-16</w:t>
      </w:r>
      <w:r w:rsidRPr="000B52A1">
        <w:t xml:space="preserve"> summarizes the NCCA P</w:t>
      </w:r>
      <w:r w:rsidRPr="000B52A1">
        <w:rPr>
          <w:vertAlign w:val="subscript"/>
        </w:rPr>
        <w:t>max</w:t>
      </w:r>
      <w:r w:rsidRPr="000B52A1">
        <w:t xml:space="preserve"> </w:t>
      </w:r>
      <w:r w:rsidR="00E7368B">
        <w:t xml:space="preserve">benchmarks </w:t>
      </w:r>
      <w:r w:rsidR="00E7368B" w:rsidRPr="000B52A1">
        <w:t>and</w:t>
      </w:r>
      <w:r w:rsidRPr="000B52A1">
        <w:t xml:space="preserve"> the consequent distribution of sediment characterizations in Virginia’s estuarine waters.</w:t>
      </w:r>
      <w:r w:rsidR="00F40890">
        <w:br/>
      </w:r>
    </w:p>
    <w:p w14:paraId="237D5C07" w14:textId="010A0D91" w:rsidR="007F7E88" w:rsidRPr="00D237D4" w:rsidRDefault="00CE599C">
      <w:pPr>
        <w:pStyle w:val="Caption"/>
        <w:keepNext/>
      </w:pPr>
      <w:bookmarkStart w:id="271" w:name="tab:tab-lrm"/>
      <w:bookmarkStart w:id="272" w:name="_Toc164175206"/>
      <w:bookmarkEnd w:id="271"/>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16</w:t>
      </w:r>
      <w:r w:rsidR="004F13BA">
        <w:rPr>
          <w:noProof/>
        </w:rPr>
        <w:fldChar w:fldCharType="end"/>
      </w:r>
      <w:r>
        <w:t xml:space="preserve">. </w:t>
      </w:r>
      <w:r w:rsidR="007F7E88">
        <w:t xml:space="preserve">Estimated </w:t>
      </w:r>
      <w:r w:rsidR="007F7E88" w:rsidRPr="0A5BE548">
        <w:rPr>
          <w:rFonts w:cstheme="minorBidi"/>
        </w:rPr>
        <w:t>logistic regression Pmax conditions in Virginia’s estuarine waters</w:t>
      </w:r>
      <w:bookmarkEnd w:id="272"/>
      <w:r w:rsidR="00EF78CB" w:rsidRPr="0A5BE548">
        <w:rPr>
          <w:rFonts w:cstheme="minorBidi"/>
        </w:rPr>
        <w:t xml:space="preserve"> (</w:t>
      </w:r>
      <w:r w:rsidR="007F7E88" w:rsidRPr="0A5BE548">
        <w:rPr>
          <w:rFonts w:cstheme="minorBidi"/>
        </w:rPr>
        <w:t>2017-2022</w:t>
      </w:r>
      <w:r w:rsidR="00EF78CB" w:rsidRPr="0A5BE548">
        <w:rPr>
          <w:rFonts w:cstheme="minorBidi"/>
        </w:rPr>
        <w:t>)</w:t>
      </w:r>
      <w:r w:rsidR="007F7E88" w:rsidRPr="0A5BE548">
        <w:rPr>
          <w:rFonts w:cstheme="minorBidi"/>
        </w:rPr>
        <w:t>. Conditions and benchmark ranges are from U.S. EPA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Logistic regression Pmax conditions in Virginia's estuarine waters, 2017-2022. Conditions and threshold ranges from U.S. EPA (2020)."/>
        <w:tblDescription w:val="Logistic regression Pmax conditions in Virginia's estuarine waters, 2017-2022. Conditions and threshold ranges from U.S. EPA (2020)."/>
      </w:tblPr>
      <w:tblGrid>
        <w:gridCol w:w="2337"/>
        <w:gridCol w:w="2337"/>
        <w:gridCol w:w="2338"/>
        <w:gridCol w:w="2338"/>
      </w:tblGrid>
      <w:tr w:rsidR="00CE599C" w14:paraId="1F10A5ED" w14:textId="77777777" w:rsidTr="00F40890">
        <w:trPr>
          <w:trHeight w:val="360"/>
        </w:trPr>
        <w:tc>
          <w:tcPr>
            <w:tcW w:w="2337" w:type="dxa"/>
            <w:tcBorders>
              <w:top w:val="single" w:sz="12" w:space="0" w:color="auto"/>
              <w:bottom w:val="single" w:sz="4" w:space="0" w:color="auto"/>
            </w:tcBorders>
            <w:vAlign w:val="center"/>
          </w:tcPr>
          <w:p w14:paraId="6D91C0A9" w14:textId="77777777" w:rsidR="00CE599C" w:rsidRDefault="00CE599C">
            <w:r w:rsidRPr="000B52A1">
              <w:rPr>
                <w:rFonts w:eastAsia="Arial" w:cstheme="minorHAnsi"/>
                <w:b/>
                <w:color w:val="000000"/>
                <w:sz w:val="22"/>
                <w:szCs w:val="22"/>
              </w:rPr>
              <w:t>Pmax Condition</w:t>
            </w:r>
          </w:p>
        </w:tc>
        <w:tc>
          <w:tcPr>
            <w:tcW w:w="2337" w:type="dxa"/>
            <w:tcBorders>
              <w:top w:val="single" w:sz="12" w:space="0" w:color="auto"/>
              <w:bottom w:val="single" w:sz="4" w:space="0" w:color="auto"/>
            </w:tcBorders>
            <w:vAlign w:val="center"/>
          </w:tcPr>
          <w:p w14:paraId="0B991254" w14:textId="77777777" w:rsidR="00CE599C" w:rsidRDefault="00CE599C">
            <w:r w:rsidRPr="000B52A1">
              <w:rPr>
                <w:rFonts w:eastAsia="Arial" w:cstheme="minorHAnsi"/>
                <w:b/>
                <w:color w:val="000000"/>
                <w:sz w:val="22"/>
                <w:szCs w:val="22"/>
              </w:rPr>
              <w:t>Pmax Range</w:t>
            </w:r>
          </w:p>
        </w:tc>
        <w:tc>
          <w:tcPr>
            <w:tcW w:w="2338" w:type="dxa"/>
            <w:tcBorders>
              <w:top w:val="single" w:sz="12" w:space="0" w:color="auto"/>
              <w:bottom w:val="single" w:sz="4" w:space="0" w:color="auto"/>
            </w:tcBorders>
            <w:vAlign w:val="center"/>
          </w:tcPr>
          <w:p w14:paraId="0A60C89B" w14:textId="77777777" w:rsidR="00CE599C" w:rsidRDefault="00CE599C">
            <w:r w:rsidRPr="000B52A1">
              <w:rPr>
                <w:rFonts w:eastAsia="Arial" w:cstheme="minorHAnsi"/>
                <w:b/>
                <w:color w:val="000000"/>
                <w:sz w:val="22"/>
                <w:szCs w:val="22"/>
              </w:rPr>
              <w:t>Stations</w:t>
            </w:r>
          </w:p>
        </w:tc>
        <w:tc>
          <w:tcPr>
            <w:tcW w:w="2338" w:type="dxa"/>
            <w:tcBorders>
              <w:top w:val="single" w:sz="12" w:space="0" w:color="auto"/>
              <w:bottom w:val="single" w:sz="4" w:space="0" w:color="auto"/>
            </w:tcBorders>
            <w:vAlign w:val="center"/>
          </w:tcPr>
          <w:p w14:paraId="3DFC9C9A" w14:textId="11623E73" w:rsidR="00CE599C" w:rsidRDefault="00CE599C">
            <w:r w:rsidRPr="000B52A1">
              <w:rPr>
                <w:rFonts w:eastAsia="Arial" w:cstheme="minorHAnsi"/>
                <w:b/>
                <w:color w:val="000000"/>
                <w:sz w:val="22"/>
                <w:szCs w:val="22"/>
              </w:rPr>
              <w:t>Percentage</w:t>
            </w:r>
            <w:r w:rsidR="007F7E88" w:rsidRPr="007F7E88">
              <w:rPr>
                <w:rFonts w:eastAsia="Arial" w:cstheme="minorHAnsi"/>
                <w:b/>
                <w:color w:val="000000"/>
                <w:sz w:val="22"/>
                <w:szCs w:val="22"/>
                <w:vertAlign w:val="superscript"/>
              </w:rPr>
              <w:t>1</w:t>
            </w:r>
          </w:p>
        </w:tc>
      </w:tr>
      <w:tr w:rsidR="00CE599C" w14:paraId="310406AC" w14:textId="77777777" w:rsidTr="00930D68">
        <w:trPr>
          <w:trHeight w:val="360"/>
        </w:trPr>
        <w:tc>
          <w:tcPr>
            <w:tcW w:w="2337" w:type="dxa"/>
            <w:tcBorders>
              <w:top w:val="single" w:sz="4" w:space="0" w:color="auto"/>
            </w:tcBorders>
            <w:vAlign w:val="center"/>
          </w:tcPr>
          <w:p w14:paraId="5CBA30BD" w14:textId="77777777" w:rsidR="00CE599C" w:rsidRDefault="00CE599C">
            <w:r w:rsidRPr="000B52A1">
              <w:rPr>
                <w:rFonts w:eastAsia="Arial" w:cstheme="minorHAnsi"/>
                <w:color w:val="000000"/>
                <w:sz w:val="22"/>
                <w:szCs w:val="22"/>
              </w:rPr>
              <w:t>Good</w:t>
            </w:r>
          </w:p>
        </w:tc>
        <w:tc>
          <w:tcPr>
            <w:tcW w:w="2337" w:type="dxa"/>
            <w:tcBorders>
              <w:top w:val="single" w:sz="4" w:space="0" w:color="auto"/>
            </w:tcBorders>
            <w:vAlign w:val="center"/>
          </w:tcPr>
          <w:p w14:paraId="6DECB2FA" w14:textId="77777777" w:rsidR="00CE599C" w:rsidRDefault="00CE599C">
            <w:r w:rsidRPr="000B52A1">
              <w:rPr>
                <w:rFonts w:eastAsia="Arial" w:cstheme="minorHAnsi"/>
                <w:color w:val="000000"/>
                <w:sz w:val="22"/>
                <w:szCs w:val="22"/>
              </w:rPr>
              <w:t>≤ 0.5</w:t>
            </w:r>
          </w:p>
        </w:tc>
        <w:tc>
          <w:tcPr>
            <w:tcW w:w="2338" w:type="dxa"/>
            <w:tcBorders>
              <w:top w:val="single" w:sz="4" w:space="0" w:color="auto"/>
            </w:tcBorders>
            <w:vAlign w:val="center"/>
          </w:tcPr>
          <w:p w14:paraId="2C9B0560" w14:textId="77777777" w:rsidR="00CE599C" w:rsidRDefault="00CE599C">
            <w:r w:rsidRPr="000B52A1">
              <w:rPr>
                <w:rFonts w:eastAsia="Arial" w:cstheme="minorHAnsi"/>
                <w:color w:val="000000"/>
                <w:sz w:val="22"/>
                <w:szCs w:val="22"/>
              </w:rPr>
              <w:t>291</w:t>
            </w:r>
          </w:p>
        </w:tc>
        <w:tc>
          <w:tcPr>
            <w:tcW w:w="2338" w:type="dxa"/>
            <w:tcBorders>
              <w:top w:val="single" w:sz="4" w:space="0" w:color="auto"/>
            </w:tcBorders>
            <w:vAlign w:val="center"/>
          </w:tcPr>
          <w:p w14:paraId="522A04B9" w14:textId="77777777" w:rsidR="00CE599C" w:rsidRDefault="00CE599C">
            <w:r w:rsidRPr="000B52A1">
              <w:rPr>
                <w:rFonts w:eastAsia="Arial" w:cstheme="minorHAnsi"/>
                <w:color w:val="000000"/>
                <w:sz w:val="22"/>
                <w:szCs w:val="22"/>
              </w:rPr>
              <w:t>97.65 ± 1.73</w:t>
            </w:r>
          </w:p>
        </w:tc>
      </w:tr>
      <w:tr w:rsidR="00CE599C" w14:paraId="22DE74E2" w14:textId="77777777" w:rsidTr="00930D68">
        <w:trPr>
          <w:trHeight w:val="360"/>
        </w:trPr>
        <w:tc>
          <w:tcPr>
            <w:tcW w:w="2337" w:type="dxa"/>
            <w:vAlign w:val="center"/>
          </w:tcPr>
          <w:p w14:paraId="0280C9AF" w14:textId="77777777" w:rsidR="00CE599C" w:rsidRDefault="00CE599C">
            <w:r w:rsidRPr="000B52A1">
              <w:rPr>
                <w:rFonts w:eastAsia="Arial" w:cstheme="minorHAnsi"/>
                <w:color w:val="000000"/>
                <w:sz w:val="22"/>
                <w:szCs w:val="22"/>
              </w:rPr>
              <w:t>Fair</w:t>
            </w:r>
          </w:p>
        </w:tc>
        <w:tc>
          <w:tcPr>
            <w:tcW w:w="2337" w:type="dxa"/>
            <w:vAlign w:val="center"/>
          </w:tcPr>
          <w:p w14:paraId="21C5DFD8" w14:textId="77777777" w:rsidR="00CE599C" w:rsidRDefault="00CE599C">
            <w:r w:rsidRPr="000B52A1">
              <w:rPr>
                <w:rFonts w:eastAsia="Arial" w:cstheme="minorHAnsi"/>
                <w:color w:val="000000"/>
                <w:sz w:val="22"/>
                <w:szCs w:val="22"/>
              </w:rPr>
              <w:t>&gt; 0.5 and &lt; 0.75</w:t>
            </w:r>
          </w:p>
        </w:tc>
        <w:tc>
          <w:tcPr>
            <w:tcW w:w="2338" w:type="dxa"/>
            <w:vAlign w:val="center"/>
          </w:tcPr>
          <w:p w14:paraId="3F292DD3" w14:textId="77777777" w:rsidR="00CE599C" w:rsidRDefault="00CE599C">
            <w:r w:rsidRPr="000B52A1">
              <w:rPr>
                <w:rFonts w:eastAsia="Arial" w:cstheme="minorHAnsi"/>
                <w:color w:val="000000"/>
                <w:sz w:val="22"/>
                <w:szCs w:val="22"/>
              </w:rPr>
              <w:t>7</w:t>
            </w:r>
          </w:p>
        </w:tc>
        <w:tc>
          <w:tcPr>
            <w:tcW w:w="2338" w:type="dxa"/>
            <w:vAlign w:val="center"/>
          </w:tcPr>
          <w:p w14:paraId="29CFC5A8" w14:textId="77777777" w:rsidR="00CE599C" w:rsidRDefault="00CE599C">
            <w:r w:rsidRPr="000B52A1">
              <w:rPr>
                <w:rFonts w:eastAsia="Arial" w:cstheme="minorHAnsi"/>
                <w:color w:val="000000"/>
                <w:sz w:val="22"/>
                <w:szCs w:val="22"/>
              </w:rPr>
              <w:t>2.35 ± 1.73</w:t>
            </w:r>
          </w:p>
        </w:tc>
      </w:tr>
      <w:tr w:rsidR="00CE599C" w14:paraId="62FC4525" w14:textId="77777777" w:rsidTr="00F40890">
        <w:trPr>
          <w:trHeight w:val="360"/>
        </w:trPr>
        <w:tc>
          <w:tcPr>
            <w:tcW w:w="2337" w:type="dxa"/>
            <w:tcBorders>
              <w:bottom w:val="single" w:sz="2" w:space="0" w:color="auto"/>
            </w:tcBorders>
            <w:vAlign w:val="center"/>
          </w:tcPr>
          <w:p w14:paraId="4B36B414" w14:textId="77777777" w:rsidR="00CE599C" w:rsidRDefault="00CE599C">
            <w:r w:rsidRPr="000B52A1">
              <w:rPr>
                <w:rFonts w:eastAsia="Arial" w:cstheme="minorHAnsi"/>
                <w:color w:val="000000"/>
                <w:sz w:val="22"/>
                <w:szCs w:val="22"/>
              </w:rPr>
              <w:t>Poor</w:t>
            </w:r>
          </w:p>
        </w:tc>
        <w:tc>
          <w:tcPr>
            <w:tcW w:w="2337" w:type="dxa"/>
            <w:tcBorders>
              <w:bottom w:val="single" w:sz="2" w:space="0" w:color="auto"/>
            </w:tcBorders>
            <w:vAlign w:val="center"/>
          </w:tcPr>
          <w:p w14:paraId="0CA74307" w14:textId="77777777" w:rsidR="00CE599C" w:rsidRDefault="00CE599C">
            <w:r w:rsidRPr="000B52A1">
              <w:rPr>
                <w:rFonts w:eastAsia="Arial" w:cstheme="minorHAnsi"/>
                <w:color w:val="000000"/>
                <w:sz w:val="22"/>
                <w:szCs w:val="22"/>
              </w:rPr>
              <w:t>≥ 0.75</w:t>
            </w:r>
          </w:p>
        </w:tc>
        <w:tc>
          <w:tcPr>
            <w:tcW w:w="2338" w:type="dxa"/>
            <w:tcBorders>
              <w:bottom w:val="single" w:sz="2" w:space="0" w:color="auto"/>
            </w:tcBorders>
            <w:vAlign w:val="center"/>
          </w:tcPr>
          <w:p w14:paraId="07C31C44" w14:textId="77777777" w:rsidR="00CE599C" w:rsidRDefault="00CE599C">
            <w:r w:rsidRPr="000B52A1">
              <w:rPr>
                <w:rFonts w:eastAsia="Arial" w:cstheme="minorHAnsi"/>
                <w:color w:val="000000"/>
                <w:sz w:val="22"/>
                <w:szCs w:val="22"/>
              </w:rPr>
              <w:t>0</w:t>
            </w:r>
          </w:p>
        </w:tc>
        <w:tc>
          <w:tcPr>
            <w:tcW w:w="2338" w:type="dxa"/>
            <w:tcBorders>
              <w:bottom w:val="single" w:sz="2" w:space="0" w:color="auto"/>
            </w:tcBorders>
            <w:vAlign w:val="center"/>
          </w:tcPr>
          <w:p w14:paraId="6320236F" w14:textId="77777777" w:rsidR="00CE599C" w:rsidRDefault="00CE599C">
            <w:r w:rsidRPr="000B52A1">
              <w:rPr>
                <w:rFonts w:eastAsia="Arial" w:cstheme="minorHAnsi"/>
                <w:color w:val="000000"/>
                <w:sz w:val="22"/>
                <w:szCs w:val="22"/>
              </w:rPr>
              <w:t>0</w:t>
            </w:r>
          </w:p>
        </w:tc>
      </w:tr>
      <w:tr w:rsidR="00CE599C" w14:paraId="0A475CBC" w14:textId="77777777" w:rsidTr="00F40890">
        <w:trPr>
          <w:trHeight w:val="360"/>
        </w:trPr>
        <w:tc>
          <w:tcPr>
            <w:tcW w:w="2337" w:type="dxa"/>
            <w:tcBorders>
              <w:top w:val="single" w:sz="2" w:space="0" w:color="auto"/>
              <w:bottom w:val="single" w:sz="12" w:space="0" w:color="auto"/>
            </w:tcBorders>
            <w:vAlign w:val="center"/>
          </w:tcPr>
          <w:p w14:paraId="02F584E5" w14:textId="77777777" w:rsidR="00CE599C" w:rsidRPr="0057662E" w:rsidRDefault="00CE599C">
            <w:pPr>
              <w:rPr>
                <w:b/>
                <w:bCs/>
              </w:rPr>
            </w:pPr>
            <w:r w:rsidRPr="0057662E">
              <w:rPr>
                <w:rFonts w:eastAsia="Arial" w:cstheme="minorHAnsi"/>
                <w:b/>
                <w:bCs/>
                <w:color w:val="000000"/>
                <w:sz w:val="22"/>
                <w:szCs w:val="22"/>
              </w:rPr>
              <w:t>Total</w:t>
            </w:r>
          </w:p>
        </w:tc>
        <w:tc>
          <w:tcPr>
            <w:tcW w:w="2337" w:type="dxa"/>
            <w:tcBorders>
              <w:top w:val="single" w:sz="2" w:space="0" w:color="auto"/>
              <w:bottom w:val="single" w:sz="12" w:space="0" w:color="auto"/>
            </w:tcBorders>
            <w:vAlign w:val="center"/>
          </w:tcPr>
          <w:p w14:paraId="1FF8009D" w14:textId="77777777" w:rsidR="00CE599C" w:rsidRPr="0057662E" w:rsidRDefault="00CE599C">
            <w:pPr>
              <w:rPr>
                <w:b/>
                <w:bCs/>
              </w:rPr>
            </w:pPr>
          </w:p>
        </w:tc>
        <w:tc>
          <w:tcPr>
            <w:tcW w:w="2338" w:type="dxa"/>
            <w:tcBorders>
              <w:top w:val="single" w:sz="2" w:space="0" w:color="auto"/>
              <w:bottom w:val="single" w:sz="12" w:space="0" w:color="auto"/>
            </w:tcBorders>
            <w:vAlign w:val="center"/>
          </w:tcPr>
          <w:p w14:paraId="083C3C17" w14:textId="77777777" w:rsidR="00CE599C" w:rsidRPr="0057662E" w:rsidRDefault="00CE599C">
            <w:pPr>
              <w:rPr>
                <w:b/>
                <w:bCs/>
              </w:rPr>
            </w:pPr>
            <w:r w:rsidRPr="0057662E">
              <w:rPr>
                <w:rFonts w:eastAsia="Arial" w:cstheme="minorHAnsi"/>
                <w:b/>
                <w:bCs/>
                <w:color w:val="000000"/>
                <w:sz w:val="22"/>
                <w:szCs w:val="22"/>
              </w:rPr>
              <w:t>298</w:t>
            </w:r>
          </w:p>
        </w:tc>
        <w:tc>
          <w:tcPr>
            <w:tcW w:w="2338" w:type="dxa"/>
            <w:tcBorders>
              <w:top w:val="single" w:sz="2" w:space="0" w:color="auto"/>
              <w:bottom w:val="single" w:sz="12" w:space="0" w:color="auto"/>
            </w:tcBorders>
            <w:vAlign w:val="center"/>
          </w:tcPr>
          <w:p w14:paraId="09D9F98D" w14:textId="77777777" w:rsidR="00CE599C" w:rsidRDefault="00CE599C"/>
        </w:tc>
      </w:tr>
    </w:tbl>
    <w:p w14:paraId="4621FD94" w14:textId="77777777" w:rsidR="00100E8B" w:rsidRDefault="00100E8B" w:rsidP="00100E8B">
      <w:pPr>
        <w:pStyle w:val="TableCaption"/>
      </w:pPr>
      <w:r w:rsidRPr="002A6CF7">
        <w:rPr>
          <w:vertAlign w:val="superscript"/>
        </w:rPr>
        <w:t xml:space="preserve">1 </w:t>
      </w:r>
      <w:r>
        <w:t>E</w:t>
      </w:r>
      <w:r w:rsidRPr="000F59F4">
        <w:t>stimated percentage</w:t>
      </w:r>
      <w:r>
        <w:t xml:space="preserve"> (</w:t>
      </w:r>
      <w:r w:rsidRPr="00224A2F">
        <w:t>+/- 95% confidence limits</w:t>
      </w:r>
      <w:r>
        <w:t xml:space="preserve">) </w:t>
      </w:r>
      <w:r w:rsidRPr="000F59F4">
        <w:t>of Virginia’s smaller estuarine waters</w:t>
      </w:r>
      <w:r>
        <w:t xml:space="preserve"> (&lt; 100 sq km drainage)</w:t>
      </w:r>
      <w:r w:rsidRPr="000F59F4">
        <w:t xml:space="preserve"> </w:t>
      </w:r>
      <w:r>
        <w:t>with</w:t>
      </w:r>
      <w:r w:rsidRPr="000F59F4">
        <w:t xml:space="preserve"> indicated </w:t>
      </w:r>
      <w:r>
        <w:t>sediment</w:t>
      </w:r>
      <w:r w:rsidRPr="000F59F4">
        <w:t xml:space="preserve"> quality condition. </w:t>
      </w:r>
      <w:r>
        <w:t>As e</w:t>
      </w:r>
      <w:r w:rsidRPr="000F59F4">
        <w:t xml:space="preserve">stimated using data from DEQ’s estuarine probabilistic monitoring program and EPA’s National Coastal Condition Assessment </w:t>
      </w:r>
      <w:r>
        <w:t>program. Approximately 95% of stations are from smaller estuaries (&lt; 100 sq km drainage) and approximately 5% of stations are from Chesapeake Bay mainstem.</w:t>
      </w:r>
    </w:p>
    <w:p w14:paraId="42A128B7" w14:textId="77777777" w:rsidR="003B5DFE" w:rsidRPr="000B52A1" w:rsidRDefault="003B5DFE" w:rsidP="00F40890"/>
    <w:p w14:paraId="53F0831C" w14:textId="77777777" w:rsidR="0030653F" w:rsidRPr="000B52A1" w:rsidRDefault="0030653F" w:rsidP="00C5533C">
      <w:pPr>
        <w:pStyle w:val="Heading4"/>
        <w:rPr>
          <w:rFonts w:cstheme="minorHAnsi"/>
        </w:rPr>
      </w:pPr>
      <w:bookmarkStart w:id="273" w:name="X4aa2401a5d68a6937cf4f1b5225014d5a1466d6"/>
      <w:bookmarkEnd w:id="270"/>
      <w:r w:rsidRPr="000B52A1">
        <w:rPr>
          <w:rFonts w:cstheme="minorHAnsi"/>
        </w:rPr>
        <w:t>Equilibrium Partitioning Sediment Benchmark for PAH Mixtures</w:t>
      </w:r>
    </w:p>
    <w:p w14:paraId="224FE72C" w14:textId="77777777" w:rsidR="000C1306" w:rsidRDefault="0030653F" w:rsidP="00930D68">
      <w:r w:rsidRPr="000B52A1">
        <w:t>The ESB for PAH mixtures (ESB</w:t>
      </w:r>
      <w:r w:rsidRPr="000B52A1">
        <w:rPr>
          <w:vertAlign w:val="subscript"/>
        </w:rPr>
        <w:t>PAH</w:t>
      </w:r>
      <w:r w:rsidRPr="000B52A1">
        <w:t>) is the only one of the three sediment chemical contamination indices utilized in this report that adjusts the risk of benthic effects by accounting for the sediment concentration of TOC, which binds PAHs (and other organic contaminants) and reduces their availability (and thus toxicity) to benthic organisms. EPA has published guidelines for estimating the effects of mixtures of PAHs in sediments on the resident benthic communities (</w:t>
      </w:r>
      <w:r w:rsidRPr="0086654B">
        <w:rPr>
          <w:rFonts w:cstheme="minorHAnsi"/>
        </w:rPr>
        <w:t>U.S. EPA 2003</w:t>
      </w:r>
      <w:r w:rsidRPr="000B52A1">
        <w:t xml:space="preserve">). Virginia DEQ uses this method to provide a third line of evidence for the characterization of sediment contamination in estuarine waters. The observed sediment concentrations of 23 individual PAHs are multiplied by their respective toxicity coefficients and adjusted for the total organic carbon concentration in the sediment. The resultant values are then summed across all 23 PAHs, and the sum is subsequently compared to an EPA-defined critical value. The EPA critical value divides the results into two classes: values ≤ </w:t>
      </w:r>
      <w:r w:rsidR="00871711" w:rsidRPr="000B52A1">
        <w:t>1</w:t>
      </w:r>
      <w:r w:rsidR="00871711">
        <w:t>–</w:t>
      </w:r>
      <w:r w:rsidR="00871711" w:rsidRPr="000B52A1">
        <w:t xml:space="preserve">0 </w:t>
      </w:r>
      <w:r w:rsidRPr="000B52A1">
        <w:t xml:space="preserve">- low probability of benthic effects, and values &gt; </w:t>
      </w:r>
      <w:r w:rsidR="00871711" w:rsidRPr="000B52A1">
        <w:t>1</w:t>
      </w:r>
      <w:r w:rsidR="00871711">
        <w:t>–</w:t>
      </w:r>
      <w:r w:rsidR="00871711" w:rsidRPr="000B52A1">
        <w:t xml:space="preserve">0 </w:t>
      </w:r>
      <w:r w:rsidRPr="000B52A1">
        <w:t xml:space="preserve">- elevated probability of benthic effects. To refine the degree of benthic risk and for the sake of comparability with other sediment contamination indices in this report, the elevated probability range of ESBPAH values was subdivided further (Table </w:t>
      </w:r>
      <w:r w:rsidR="00793ECF">
        <w:t>4.5-</w:t>
      </w:r>
      <w:r w:rsidRPr="000B52A1">
        <w:t>17).</w:t>
      </w:r>
    </w:p>
    <w:p w14:paraId="15BDDC37" w14:textId="77777777" w:rsidR="000C1306" w:rsidRDefault="000C1306">
      <w:pPr>
        <w:widowControl/>
        <w:spacing w:after="160" w:line="259" w:lineRule="auto"/>
      </w:pPr>
      <w:r>
        <w:br w:type="page"/>
      </w:r>
    </w:p>
    <w:p w14:paraId="11D91C1F" w14:textId="32B63536" w:rsidR="004C6B01" w:rsidRPr="0062574F" w:rsidRDefault="00286583" w:rsidP="004C6B01">
      <w:pPr>
        <w:pStyle w:val="Caption"/>
      </w:pPr>
      <w:bookmarkStart w:id="274" w:name="tab:tab-esb"/>
      <w:bookmarkStart w:id="275" w:name="_Toc164175207"/>
      <w:bookmarkEnd w:id="274"/>
      <w:r>
        <w:lastRenderedPageBreak/>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17</w:t>
      </w:r>
      <w:r w:rsidR="004F13BA">
        <w:rPr>
          <w:noProof/>
        </w:rPr>
        <w:fldChar w:fldCharType="end"/>
      </w:r>
      <w:r>
        <w:t xml:space="preserve">. </w:t>
      </w:r>
      <w:r w:rsidR="006A70DB">
        <w:t xml:space="preserve">Estimated </w:t>
      </w:r>
      <w:r w:rsidR="006A70DB" w:rsidRPr="0A5BE548">
        <w:rPr>
          <w:rFonts w:cstheme="minorBidi"/>
        </w:rPr>
        <w:t>condition of Equilibrium Partitioning Sediment Benchmarks</w:t>
      </w:r>
      <w:bookmarkEnd w:id="275"/>
      <w:r w:rsidR="006A70DB" w:rsidRPr="0A5BE548">
        <w:rPr>
          <w:rFonts w:cstheme="minorBidi"/>
        </w:rPr>
        <w:t xml:space="preserve"> for PAH mixtures (ESBPAH) in Virginia’s estuarine waters, 2017-2022. Conditions and benchmark ranges are from U.S. EPA (2020).</w:t>
      </w:r>
    </w:p>
    <w:tbl>
      <w:tblPr>
        <w:tblStyle w:val="TableGrid"/>
        <w:tblW w:w="9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Condition of Equilibrium Partitioning Sediment Benchmarks (ESB) for PAH mixtures (ESBPAH) in Virginia's estuarine waters, 2017-2022. Conditions and threshold ranges from U.S. EPA (2020)."/>
        <w:tblDescription w:val="Condition of Equilibrium Partitioning Sediment Benchmarks (ESB) for PAH mixtures (ESBPAH) in Virginia's estuarine waters, 2017-2022. Conditions and threshold ranges from U.S. EPA (2020)."/>
      </w:tblPr>
      <w:tblGrid>
        <w:gridCol w:w="2337"/>
        <w:gridCol w:w="2337"/>
        <w:gridCol w:w="2337"/>
        <w:gridCol w:w="2337"/>
      </w:tblGrid>
      <w:tr w:rsidR="00930D68" w14:paraId="440F6656" w14:textId="77777777" w:rsidTr="00F40890">
        <w:trPr>
          <w:trHeight w:val="360"/>
        </w:trPr>
        <w:tc>
          <w:tcPr>
            <w:tcW w:w="2337" w:type="dxa"/>
            <w:tcBorders>
              <w:top w:val="single" w:sz="12" w:space="0" w:color="auto"/>
              <w:bottom w:val="single" w:sz="2" w:space="0" w:color="auto"/>
            </w:tcBorders>
            <w:vAlign w:val="center"/>
          </w:tcPr>
          <w:p w14:paraId="43C0B224" w14:textId="77777777" w:rsidR="00930D68" w:rsidRDefault="00930D68">
            <w:r w:rsidRPr="000B52A1">
              <w:rPr>
                <w:rFonts w:eastAsia="Arial" w:cstheme="minorHAnsi"/>
                <w:b/>
                <w:color w:val="000000"/>
                <w:sz w:val="22"/>
                <w:szCs w:val="22"/>
              </w:rPr>
              <w:t>ESBPAH Condition</w:t>
            </w:r>
          </w:p>
        </w:tc>
        <w:tc>
          <w:tcPr>
            <w:tcW w:w="2337" w:type="dxa"/>
            <w:tcBorders>
              <w:top w:val="single" w:sz="12" w:space="0" w:color="auto"/>
              <w:bottom w:val="single" w:sz="2" w:space="0" w:color="auto"/>
            </w:tcBorders>
            <w:vAlign w:val="center"/>
          </w:tcPr>
          <w:p w14:paraId="527ED6A2" w14:textId="77777777" w:rsidR="00930D68" w:rsidRDefault="00930D68">
            <w:r w:rsidRPr="000B52A1">
              <w:rPr>
                <w:rFonts w:eastAsia="Arial" w:cstheme="minorHAnsi"/>
                <w:b/>
                <w:color w:val="000000"/>
                <w:sz w:val="22"/>
                <w:szCs w:val="22"/>
              </w:rPr>
              <w:t>ESBPAH Range</w:t>
            </w:r>
          </w:p>
        </w:tc>
        <w:tc>
          <w:tcPr>
            <w:tcW w:w="2337" w:type="dxa"/>
            <w:tcBorders>
              <w:top w:val="single" w:sz="12" w:space="0" w:color="auto"/>
              <w:bottom w:val="single" w:sz="2" w:space="0" w:color="auto"/>
            </w:tcBorders>
            <w:vAlign w:val="center"/>
          </w:tcPr>
          <w:p w14:paraId="66FCF099" w14:textId="77777777" w:rsidR="00930D68" w:rsidRDefault="00930D68">
            <w:r w:rsidRPr="000B52A1">
              <w:rPr>
                <w:rFonts w:eastAsia="Arial" w:cstheme="minorHAnsi"/>
                <w:b/>
                <w:color w:val="000000"/>
                <w:sz w:val="22"/>
                <w:szCs w:val="22"/>
              </w:rPr>
              <w:t>Stations</w:t>
            </w:r>
          </w:p>
        </w:tc>
        <w:tc>
          <w:tcPr>
            <w:tcW w:w="2337" w:type="dxa"/>
            <w:tcBorders>
              <w:top w:val="single" w:sz="12" w:space="0" w:color="auto"/>
              <w:bottom w:val="single" w:sz="2" w:space="0" w:color="auto"/>
            </w:tcBorders>
            <w:vAlign w:val="center"/>
          </w:tcPr>
          <w:p w14:paraId="10A6FF11" w14:textId="6AFB232E" w:rsidR="00930D68" w:rsidRDefault="00930D68">
            <w:r w:rsidRPr="000B52A1">
              <w:rPr>
                <w:rFonts w:eastAsia="Arial" w:cstheme="minorHAnsi"/>
                <w:b/>
                <w:color w:val="000000"/>
                <w:sz w:val="22"/>
                <w:szCs w:val="22"/>
              </w:rPr>
              <w:t>Percentage</w:t>
            </w:r>
            <w:r w:rsidR="002A6CF7" w:rsidRPr="002A6CF7">
              <w:rPr>
                <w:rFonts w:eastAsia="Arial" w:cstheme="minorHAnsi"/>
                <w:b/>
                <w:color w:val="000000"/>
                <w:sz w:val="22"/>
                <w:szCs w:val="22"/>
                <w:vertAlign w:val="superscript"/>
              </w:rPr>
              <w:t>1</w:t>
            </w:r>
          </w:p>
        </w:tc>
      </w:tr>
      <w:tr w:rsidR="00930D68" w14:paraId="327218A4" w14:textId="77777777" w:rsidTr="00930D68">
        <w:trPr>
          <w:trHeight w:val="360"/>
        </w:trPr>
        <w:tc>
          <w:tcPr>
            <w:tcW w:w="2337" w:type="dxa"/>
            <w:tcBorders>
              <w:top w:val="single" w:sz="2" w:space="0" w:color="auto"/>
            </w:tcBorders>
            <w:vAlign w:val="center"/>
          </w:tcPr>
          <w:p w14:paraId="1DD5D1C1" w14:textId="77777777" w:rsidR="00930D68" w:rsidRDefault="00930D68">
            <w:r w:rsidRPr="000B52A1">
              <w:rPr>
                <w:rFonts w:eastAsia="Arial" w:cstheme="minorHAnsi"/>
                <w:color w:val="000000"/>
                <w:sz w:val="22"/>
                <w:szCs w:val="22"/>
              </w:rPr>
              <w:t>Good</w:t>
            </w:r>
          </w:p>
        </w:tc>
        <w:tc>
          <w:tcPr>
            <w:tcW w:w="2337" w:type="dxa"/>
            <w:tcBorders>
              <w:top w:val="single" w:sz="2" w:space="0" w:color="auto"/>
            </w:tcBorders>
            <w:vAlign w:val="center"/>
          </w:tcPr>
          <w:p w14:paraId="2EDC8ACB" w14:textId="77777777" w:rsidR="00930D68" w:rsidRDefault="00930D68">
            <w:r w:rsidRPr="000B52A1">
              <w:rPr>
                <w:rFonts w:eastAsia="Arial" w:cstheme="minorHAnsi"/>
                <w:color w:val="000000"/>
                <w:sz w:val="22"/>
                <w:szCs w:val="22"/>
              </w:rPr>
              <w:t>≤ 1.000</w:t>
            </w:r>
          </w:p>
        </w:tc>
        <w:tc>
          <w:tcPr>
            <w:tcW w:w="2337" w:type="dxa"/>
            <w:tcBorders>
              <w:top w:val="single" w:sz="2" w:space="0" w:color="auto"/>
            </w:tcBorders>
            <w:vAlign w:val="center"/>
          </w:tcPr>
          <w:p w14:paraId="5DC551A1" w14:textId="77777777" w:rsidR="00930D68" w:rsidRDefault="00930D68">
            <w:r w:rsidRPr="000B52A1">
              <w:rPr>
                <w:rFonts w:eastAsia="Arial" w:cstheme="minorHAnsi"/>
                <w:color w:val="000000"/>
                <w:sz w:val="22"/>
                <w:szCs w:val="22"/>
              </w:rPr>
              <w:t>293</w:t>
            </w:r>
          </w:p>
        </w:tc>
        <w:tc>
          <w:tcPr>
            <w:tcW w:w="2337" w:type="dxa"/>
            <w:tcBorders>
              <w:top w:val="single" w:sz="2" w:space="0" w:color="auto"/>
            </w:tcBorders>
            <w:vAlign w:val="center"/>
          </w:tcPr>
          <w:p w14:paraId="75D97D0E" w14:textId="77777777" w:rsidR="00930D68" w:rsidRDefault="00930D68">
            <w:r w:rsidRPr="000B52A1">
              <w:rPr>
                <w:rFonts w:eastAsia="Arial" w:cstheme="minorHAnsi"/>
                <w:color w:val="000000"/>
                <w:sz w:val="22"/>
                <w:szCs w:val="22"/>
              </w:rPr>
              <w:t>98.32 ± 1.46</w:t>
            </w:r>
          </w:p>
        </w:tc>
      </w:tr>
      <w:tr w:rsidR="00930D68" w14:paraId="0221F8A7" w14:textId="77777777" w:rsidTr="00930D68">
        <w:trPr>
          <w:trHeight w:val="360"/>
        </w:trPr>
        <w:tc>
          <w:tcPr>
            <w:tcW w:w="2337" w:type="dxa"/>
            <w:vAlign w:val="center"/>
          </w:tcPr>
          <w:p w14:paraId="5E280C3D" w14:textId="77777777" w:rsidR="00930D68" w:rsidRDefault="00930D68">
            <w:r w:rsidRPr="000B52A1">
              <w:rPr>
                <w:rFonts w:eastAsia="Arial" w:cstheme="minorHAnsi"/>
                <w:color w:val="000000"/>
                <w:sz w:val="22"/>
                <w:szCs w:val="22"/>
              </w:rPr>
              <w:t>Fair</w:t>
            </w:r>
          </w:p>
        </w:tc>
        <w:tc>
          <w:tcPr>
            <w:tcW w:w="2337" w:type="dxa"/>
            <w:vAlign w:val="center"/>
          </w:tcPr>
          <w:p w14:paraId="416A76FF" w14:textId="77777777" w:rsidR="00930D68" w:rsidRDefault="00930D68">
            <w:r w:rsidRPr="000B52A1">
              <w:rPr>
                <w:rFonts w:eastAsia="Arial" w:cstheme="minorHAnsi"/>
                <w:color w:val="000000"/>
                <w:sz w:val="22"/>
                <w:szCs w:val="22"/>
              </w:rPr>
              <w:t>&gt; 1.000 and ≤ 1.100</w:t>
            </w:r>
          </w:p>
        </w:tc>
        <w:tc>
          <w:tcPr>
            <w:tcW w:w="2337" w:type="dxa"/>
            <w:vAlign w:val="center"/>
          </w:tcPr>
          <w:p w14:paraId="2C63F1A0" w14:textId="77777777" w:rsidR="00930D68" w:rsidRDefault="00930D68">
            <w:r w:rsidRPr="000B52A1">
              <w:rPr>
                <w:rFonts w:eastAsia="Arial" w:cstheme="minorHAnsi"/>
                <w:color w:val="000000"/>
                <w:sz w:val="22"/>
                <w:szCs w:val="22"/>
              </w:rPr>
              <w:t>3</w:t>
            </w:r>
          </w:p>
        </w:tc>
        <w:tc>
          <w:tcPr>
            <w:tcW w:w="2337" w:type="dxa"/>
            <w:vAlign w:val="center"/>
          </w:tcPr>
          <w:p w14:paraId="11394A90" w14:textId="77777777" w:rsidR="00930D68" w:rsidRDefault="00930D68">
            <w:r w:rsidRPr="000B52A1">
              <w:rPr>
                <w:rFonts w:eastAsia="Arial" w:cstheme="minorHAnsi"/>
                <w:color w:val="000000"/>
                <w:sz w:val="22"/>
                <w:szCs w:val="22"/>
              </w:rPr>
              <w:t>1.01 ± 1.14</w:t>
            </w:r>
          </w:p>
        </w:tc>
      </w:tr>
      <w:tr w:rsidR="00930D68" w14:paraId="3A21420C" w14:textId="77777777" w:rsidTr="00930D68">
        <w:trPr>
          <w:trHeight w:val="360"/>
        </w:trPr>
        <w:tc>
          <w:tcPr>
            <w:tcW w:w="2337" w:type="dxa"/>
            <w:vAlign w:val="center"/>
          </w:tcPr>
          <w:p w14:paraId="6C4CC22E" w14:textId="77777777" w:rsidR="00930D68" w:rsidRDefault="00930D68">
            <w:r w:rsidRPr="000B52A1">
              <w:rPr>
                <w:rFonts w:eastAsia="Arial" w:cstheme="minorHAnsi"/>
                <w:color w:val="000000"/>
                <w:sz w:val="22"/>
                <w:szCs w:val="22"/>
              </w:rPr>
              <w:t>Poor</w:t>
            </w:r>
          </w:p>
        </w:tc>
        <w:tc>
          <w:tcPr>
            <w:tcW w:w="2337" w:type="dxa"/>
            <w:vAlign w:val="center"/>
          </w:tcPr>
          <w:p w14:paraId="57C262A9" w14:textId="77777777" w:rsidR="00930D68" w:rsidRDefault="00930D68">
            <w:r w:rsidRPr="000B52A1">
              <w:rPr>
                <w:rFonts w:eastAsia="Arial" w:cstheme="minorHAnsi"/>
                <w:color w:val="000000"/>
                <w:sz w:val="22"/>
                <w:szCs w:val="22"/>
              </w:rPr>
              <w:t>&gt; 1.100 and ≤ 5.001</w:t>
            </w:r>
          </w:p>
        </w:tc>
        <w:tc>
          <w:tcPr>
            <w:tcW w:w="2337" w:type="dxa"/>
            <w:vAlign w:val="center"/>
          </w:tcPr>
          <w:p w14:paraId="574FD937" w14:textId="77777777" w:rsidR="00930D68" w:rsidRDefault="00930D68">
            <w:r w:rsidRPr="000B52A1">
              <w:rPr>
                <w:rFonts w:eastAsia="Arial" w:cstheme="minorHAnsi"/>
                <w:color w:val="000000"/>
                <w:sz w:val="22"/>
                <w:szCs w:val="22"/>
              </w:rPr>
              <w:t>1</w:t>
            </w:r>
          </w:p>
        </w:tc>
        <w:tc>
          <w:tcPr>
            <w:tcW w:w="2337" w:type="dxa"/>
            <w:vAlign w:val="center"/>
          </w:tcPr>
          <w:p w14:paraId="2D4CFB6F" w14:textId="77777777" w:rsidR="00930D68" w:rsidRDefault="00930D68">
            <w:r w:rsidRPr="000B52A1">
              <w:rPr>
                <w:rFonts w:eastAsia="Arial" w:cstheme="minorHAnsi"/>
                <w:color w:val="000000"/>
                <w:sz w:val="22"/>
                <w:szCs w:val="22"/>
              </w:rPr>
              <w:t>0.34 ± 0.66</w:t>
            </w:r>
          </w:p>
        </w:tc>
      </w:tr>
      <w:tr w:rsidR="00930D68" w14:paraId="1FE3A226" w14:textId="77777777" w:rsidTr="00F40890">
        <w:trPr>
          <w:trHeight w:val="360"/>
        </w:trPr>
        <w:tc>
          <w:tcPr>
            <w:tcW w:w="2337" w:type="dxa"/>
            <w:tcBorders>
              <w:bottom w:val="single" w:sz="2" w:space="0" w:color="auto"/>
            </w:tcBorders>
            <w:vAlign w:val="center"/>
          </w:tcPr>
          <w:p w14:paraId="28EF90C4" w14:textId="77777777" w:rsidR="00930D68" w:rsidRDefault="00930D68">
            <w:r w:rsidRPr="000B52A1">
              <w:rPr>
                <w:rFonts w:eastAsia="Arial" w:cstheme="minorHAnsi"/>
                <w:color w:val="000000"/>
                <w:sz w:val="22"/>
                <w:szCs w:val="22"/>
              </w:rPr>
              <w:t>Very Poor</w:t>
            </w:r>
          </w:p>
        </w:tc>
        <w:tc>
          <w:tcPr>
            <w:tcW w:w="2337" w:type="dxa"/>
            <w:tcBorders>
              <w:bottom w:val="single" w:sz="2" w:space="0" w:color="auto"/>
            </w:tcBorders>
            <w:vAlign w:val="center"/>
          </w:tcPr>
          <w:p w14:paraId="099170D8" w14:textId="77777777" w:rsidR="00930D68" w:rsidRDefault="00930D68">
            <w:r w:rsidRPr="000B52A1">
              <w:rPr>
                <w:rFonts w:eastAsia="Arial" w:cstheme="minorHAnsi"/>
                <w:color w:val="000000"/>
                <w:sz w:val="22"/>
                <w:szCs w:val="22"/>
              </w:rPr>
              <w:t>&gt; 5.001</w:t>
            </w:r>
          </w:p>
        </w:tc>
        <w:tc>
          <w:tcPr>
            <w:tcW w:w="2337" w:type="dxa"/>
            <w:tcBorders>
              <w:bottom w:val="single" w:sz="2" w:space="0" w:color="auto"/>
            </w:tcBorders>
            <w:vAlign w:val="center"/>
          </w:tcPr>
          <w:p w14:paraId="2BA2C671" w14:textId="77777777" w:rsidR="00930D68" w:rsidRDefault="00930D68">
            <w:r w:rsidRPr="000B52A1">
              <w:rPr>
                <w:rFonts w:eastAsia="Arial" w:cstheme="minorHAnsi"/>
                <w:color w:val="000000"/>
                <w:sz w:val="22"/>
                <w:szCs w:val="22"/>
              </w:rPr>
              <w:t>1</w:t>
            </w:r>
          </w:p>
        </w:tc>
        <w:tc>
          <w:tcPr>
            <w:tcW w:w="2337" w:type="dxa"/>
            <w:tcBorders>
              <w:bottom w:val="single" w:sz="2" w:space="0" w:color="auto"/>
            </w:tcBorders>
            <w:vAlign w:val="center"/>
          </w:tcPr>
          <w:p w14:paraId="1EA3AAD4" w14:textId="77777777" w:rsidR="00930D68" w:rsidRDefault="00930D68">
            <w:r w:rsidRPr="000B52A1">
              <w:rPr>
                <w:rFonts w:eastAsia="Arial" w:cstheme="minorHAnsi"/>
                <w:color w:val="000000"/>
                <w:sz w:val="22"/>
                <w:szCs w:val="22"/>
              </w:rPr>
              <w:t>0.34 ± 0.66</w:t>
            </w:r>
          </w:p>
        </w:tc>
      </w:tr>
      <w:tr w:rsidR="00930D68" w14:paraId="47670D72" w14:textId="77777777" w:rsidTr="00F40890">
        <w:trPr>
          <w:trHeight w:val="360"/>
        </w:trPr>
        <w:tc>
          <w:tcPr>
            <w:tcW w:w="2337" w:type="dxa"/>
            <w:tcBorders>
              <w:top w:val="single" w:sz="2" w:space="0" w:color="auto"/>
              <w:bottom w:val="single" w:sz="12" w:space="0" w:color="auto"/>
            </w:tcBorders>
            <w:vAlign w:val="center"/>
          </w:tcPr>
          <w:p w14:paraId="7AD04BA4" w14:textId="77777777" w:rsidR="00930D68" w:rsidRPr="00F40890" w:rsidRDefault="00930D68">
            <w:pPr>
              <w:rPr>
                <w:rFonts w:eastAsia="Arial" w:cstheme="minorHAnsi"/>
                <w:b/>
                <w:bCs/>
                <w:color w:val="000000"/>
              </w:rPr>
            </w:pPr>
            <w:r w:rsidRPr="00F40890">
              <w:rPr>
                <w:rFonts w:eastAsia="Arial" w:cstheme="minorHAnsi"/>
                <w:b/>
                <w:bCs/>
                <w:color w:val="000000"/>
                <w:sz w:val="22"/>
                <w:szCs w:val="22"/>
              </w:rPr>
              <w:t>Total</w:t>
            </w:r>
          </w:p>
        </w:tc>
        <w:tc>
          <w:tcPr>
            <w:tcW w:w="2337" w:type="dxa"/>
            <w:tcBorders>
              <w:top w:val="single" w:sz="2" w:space="0" w:color="auto"/>
              <w:bottom w:val="single" w:sz="12" w:space="0" w:color="auto"/>
            </w:tcBorders>
            <w:vAlign w:val="center"/>
          </w:tcPr>
          <w:p w14:paraId="23F2C97E" w14:textId="77777777" w:rsidR="00930D68" w:rsidRPr="00F40890" w:rsidRDefault="00930D68">
            <w:pPr>
              <w:rPr>
                <w:rFonts w:eastAsia="Arial" w:cstheme="minorHAnsi"/>
                <w:b/>
                <w:bCs/>
                <w:color w:val="000000"/>
              </w:rPr>
            </w:pPr>
          </w:p>
        </w:tc>
        <w:tc>
          <w:tcPr>
            <w:tcW w:w="2337" w:type="dxa"/>
            <w:tcBorders>
              <w:top w:val="single" w:sz="2" w:space="0" w:color="auto"/>
              <w:bottom w:val="single" w:sz="12" w:space="0" w:color="auto"/>
            </w:tcBorders>
            <w:vAlign w:val="center"/>
          </w:tcPr>
          <w:p w14:paraId="3428A471" w14:textId="77777777" w:rsidR="00930D68" w:rsidRPr="00F40890" w:rsidRDefault="00930D68">
            <w:pPr>
              <w:rPr>
                <w:rFonts w:eastAsia="Arial" w:cstheme="minorHAnsi"/>
                <w:b/>
                <w:bCs/>
                <w:color w:val="000000"/>
              </w:rPr>
            </w:pPr>
            <w:r w:rsidRPr="00F40890">
              <w:rPr>
                <w:rFonts w:eastAsia="Arial" w:cstheme="minorHAnsi"/>
                <w:b/>
                <w:bCs/>
                <w:color w:val="000000"/>
                <w:sz w:val="22"/>
                <w:szCs w:val="22"/>
              </w:rPr>
              <w:t>298</w:t>
            </w:r>
          </w:p>
        </w:tc>
        <w:tc>
          <w:tcPr>
            <w:tcW w:w="2337" w:type="dxa"/>
            <w:tcBorders>
              <w:top w:val="single" w:sz="2" w:space="0" w:color="auto"/>
              <w:bottom w:val="single" w:sz="12" w:space="0" w:color="auto"/>
            </w:tcBorders>
            <w:vAlign w:val="center"/>
          </w:tcPr>
          <w:p w14:paraId="16394956" w14:textId="77777777" w:rsidR="00930D68" w:rsidRPr="000B52A1" w:rsidRDefault="00930D68">
            <w:pPr>
              <w:rPr>
                <w:rFonts w:eastAsia="Arial" w:cstheme="minorHAnsi"/>
                <w:color w:val="000000"/>
              </w:rPr>
            </w:pPr>
          </w:p>
        </w:tc>
      </w:tr>
    </w:tbl>
    <w:p w14:paraId="3F818D74" w14:textId="77777777" w:rsidR="002A6CF7" w:rsidRDefault="002A6CF7" w:rsidP="002A6CF7">
      <w:pPr>
        <w:pStyle w:val="TableCaption"/>
      </w:pPr>
      <w:bookmarkStart w:id="276" w:name="integrated-sediment-chemistry-index"/>
      <w:bookmarkEnd w:id="273"/>
      <w:r w:rsidRPr="002A6CF7">
        <w:rPr>
          <w:vertAlign w:val="superscript"/>
        </w:rPr>
        <w:t xml:space="preserve">1 </w:t>
      </w:r>
      <w:r>
        <w:t>E</w:t>
      </w:r>
      <w:r w:rsidRPr="000F59F4">
        <w:t>stimated percentage</w:t>
      </w:r>
      <w:r>
        <w:t xml:space="preserve"> (</w:t>
      </w:r>
      <w:r w:rsidRPr="00224A2F">
        <w:t>+/- 95% confidence limits</w:t>
      </w:r>
      <w:r>
        <w:t xml:space="preserve">) </w:t>
      </w:r>
      <w:r w:rsidRPr="000F59F4">
        <w:t>of Virginia’s smaller estuarine waters</w:t>
      </w:r>
      <w:r>
        <w:t xml:space="preserve"> (&lt; 100 sq km drainage)</w:t>
      </w:r>
      <w:r w:rsidRPr="000F59F4">
        <w:t xml:space="preserve"> </w:t>
      </w:r>
      <w:r>
        <w:t>with</w:t>
      </w:r>
      <w:r w:rsidRPr="000F59F4">
        <w:t xml:space="preserve"> indicated </w:t>
      </w:r>
      <w:r>
        <w:t>sediment</w:t>
      </w:r>
      <w:r w:rsidRPr="000F59F4">
        <w:t xml:space="preserve"> quality condition. </w:t>
      </w:r>
      <w:r>
        <w:t>As e</w:t>
      </w:r>
      <w:r w:rsidRPr="000F59F4">
        <w:t xml:space="preserve">stimated using data from DEQ’s estuarine probabilistic monitoring program and EPA’s National Coastal Condition Assessment </w:t>
      </w:r>
      <w:r>
        <w:t>program. Approximately 95% of stations are from smaller estuaries (&lt; 100 sq km drainage) and approximately 5% of stations are from Chesapeake Bay mainstem.</w:t>
      </w:r>
    </w:p>
    <w:p w14:paraId="33135974" w14:textId="2650145D" w:rsidR="00930D68" w:rsidRPr="002A6CF7" w:rsidRDefault="00930D68" w:rsidP="00930D68">
      <w:pPr>
        <w:widowControl/>
        <w:spacing w:line="259" w:lineRule="auto"/>
        <w:rPr>
          <w:rFonts w:eastAsiaTheme="majorEastAsia" w:cstheme="minorHAnsi"/>
          <w:b/>
          <w:color w:val="000000" w:themeColor="text1"/>
        </w:rPr>
      </w:pPr>
    </w:p>
    <w:p w14:paraId="46927081" w14:textId="2323E4F5" w:rsidR="0030653F" w:rsidRPr="000B52A1" w:rsidRDefault="0030653F" w:rsidP="00C5533C">
      <w:pPr>
        <w:pStyle w:val="Heading4"/>
        <w:rPr>
          <w:rFonts w:cstheme="minorHAnsi"/>
        </w:rPr>
      </w:pPr>
      <w:r w:rsidRPr="000B52A1">
        <w:rPr>
          <w:rFonts w:cstheme="minorHAnsi"/>
        </w:rPr>
        <w:t>Integrated Sediment Chemistry Index</w:t>
      </w:r>
    </w:p>
    <w:p w14:paraId="7AF2DBDA" w14:textId="653E571E" w:rsidR="0030653F" w:rsidRPr="000B52A1" w:rsidRDefault="007B1420" w:rsidP="00F40890">
      <w:r w:rsidRPr="000B52A1">
        <w:t>DEQ’s Integrated Sediment Chemistry Index (SCI) is derived from characterizations of sediment chemistry based on mean Sediment Quality Guideline Quotient (</w:t>
      </w:r>
      <w:proofErr w:type="spellStart"/>
      <w:r w:rsidRPr="000B52A1">
        <w:t>mSQG</w:t>
      </w:r>
      <w:proofErr w:type="spellEnd"/>
      <w:r w:rsidRPr="000B52A1">
        <w:t>-Q), the P</w:t>
      </w:r>
      <w:r w:rsidRPr="000B52A1">
        <w:rPr>
          <w:vertAlign w:val="subscript"/>
        </w:rPr>
        <w:t>max</w:t>
      </w:r>
      <w:r w:rsidRPr="000B52A1">
        <w:t xml:space="preserve"> statistic of the Logistic Regression Model (LRM-P</w:t>
      </w:r>
      <w:r w:rsidRPr="000B52A1">
        <w:rPr>
          <w:vertAlign w:val="subscript"/>
        </w:rPr>
        <w:t>max</w:t>
      </w:r>
      <w:r w:rsidRPr="000B52A1">
        <w:t>), and the Equilibrium Partitioning Sediment Benchmark for PAH Mixtures (ESB</w:t>
      </w:r>
      <w:r w:rsidRPr="000B52A1">
        <w:rPr>
          <w:vertAlign w:val="subscript"/>
        </w:rPr>
        <w:t>PAH</w:t>
      </w:r>
      <w:r w:rsidRPr="000B52A1">
        <w:t xml:space="preserve">). This is a slight deviation from the NCCA SCI which does not include </w:t>
      </w:r>
      <w:proofErr w:type="gramStart"/>
      <w:r w:rsidRPr="000B52A1">
        <w:t>the ESB</w:t>
      </w:r>
      <w:r w:rsidRPr="000B52A1">
        <w:rPr>
          <w:vertAlign w:val="subscript"/>
        </w:rPr>
        <w:t>PAH</w:t>
      </w:r>
      <w:proofErr w:type="gramEnd"/>
      <w:r w:rsidRPr="000B52A1">
        <w:t>. The ESB</w:t>
      </w:r>
      <w:r w:rsidRPr="000B52A1">
        <w:rPr>
          <w:vertAlign w:val="subscript"/>
        </w:rPr>
        <w:t>PAH</w:t>
      </w:r>
      <w:r w:rsidRPr="000B52A1">
        <w:t xml:space="preserve"> accounts for reduced PAH bioavailability (and thus toxicity) resulting from PAH sequestration by TOC and is pertinent to include in the SCI. Based on the percentage distributions of stations among SCI conditions, Virginia’s estuarine waters</w:t>
      </w:r>
      <w:r>
        <w:t xml:space="preserve"> - with analysis biased toward smaller estuaries (&lt; 100 sq km drainage) as described earlier - are estimated to be in</w:t>
      </w:r>
      <w:r w:rsidRPr="000B52A1">
        <w:t xml:space="preserve"> “Fair” </w:t>
      </w:r>
      <w:r>
        <w:t xml:space="preserve">condition </w:t>
      </w:r>
      <w:r w:rsidRPr="000B52A1">
        <w:t>for sediment chemical contamination</w:t>
      </w:r>
      <w:r>
        <w:t xml:space="preserve"> following NCCA guidelines</w:t>
      </w:r>
      <w:r w:rsidRPr="000B52A1">
        <w:t xml:space="preserve"> (Table </w:t>
      </w:r>
      <w:r>
        <w:t>4.5-</w:t>
      </w:r>
      <w:r w:rsidRPr="000B52A1">
        <w:t>18).</w:t>
      </w:r>
      <w:r>
        <w:t xml:space="preserve"> The SCI characterization is not representative of Chesapeake Bay mainstem or the lower tidal portions of its major tributaries.</w:t>
      </w:r>
      <w:r w:rsidR="00F40890">
        <w:br/>
      </w:r>
    </w:p>
    <w:p w14:paraId="64BAA938" w14:textId="0124735D" w:rsidR="00021837" w:rsidRPr="00D237D4" w:rsidRDefault="00691CC5">
      <w:pPr>
        <w:pStyle w:val="Caption"/>
        <w:keepNext/>
      </w:pPr>
      <w:bookmarkStart w:id="277" w:name="tab:tab-sci"/>
      <w:bookmarkStart w:id="278" w:name="_Toc164175208"/>
      <w:bookmarkEnd w:id="277"/>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18</w:t>
      </w:r>
      <w:r w:rsidR="004F13BA">
        <w:rPr>
          <w:noProof/>
        </w:rPr>
        <w:fldChar w:fldCharType="end"/>
      </w:r>
      <w:r>
        <w:t xml:space="preserve">. </w:t>
      </w:r>
      <w:r w:rsidR="00021837">
        <w:t xml:space="preserve">Estimated </w:t>
      </w:r>
      <w:r w:rsidR="00021837" w:rsidRPr="0A5BE548">
        <w:rPr>
          <w:rFonts w:cstheme="minorBidi"/>
        </w:rPr>
        <w:t>integrated Sediment Chemistry Index (SCI) conditions</w:t>
      </w:r>
      <w:bookmarkEnd w:id="278"/>
      <w:r w:rsidR="00021837" w:rsidRPr="0A5BE548">
        <w:rPr>
          <w:rFonts w:cstheme="minorBidi"/>
        </w:rPr>
        <w:t xml:space="preserve"> in Virginia’s estuarine waters, 2017-2022 based on aggregation of 3 sediment chemistry (SC) indicators (</w:t>
      </w:r>
      <w:proofErr w:type="spellStart"/>
      <w:r w:rsidR="00021837" w:rsidRPr="0A5BE548">
        <w:rPr>
          <w:rFonts w:cstheme="minorBidi"/>
        </w:rPr>
        <w:t>mSQG</w:t>
      </w:r>
      <w:proofErr w:type="spellEnd"/>
      <w:r w:rsidR="00021837" w:rsidRPr="0A5BE548">
        <w:rPr>
          <w:rFonts w:cstheme="minorBidi"/>
        </w:rPr>
        <w:t>-Q, LRM-Pmax, and ESBPAH). Conditions and benchmarks are from U.S. EPA (2020).</w:t>
      </w:r>
    </w:p>
    <w:tbl>
      <w:tblPr>
        <w:tblStyle w:val="TableGrid"/>
        <w:tblW w:w="9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Integrated Sediment Chemistry Index (SCI) conditions in Virginia's estuarine waters 2017-2022 based on aggregation of 3 sediment chemistry (SC) indicators (mSQG-Q, LRM-Pmax, and ESBPAH). Conditions and threshold benchmarks are from U.S. EPA (2020)."/>
        <w:tblDescription w:val="Integrated Sediment Chemistry Index (SCI) conditions in Virginia's estuarine waters 2017-2022 based on aggregation of 3 sediment chemistry (SC) indicators (mSQG-Q, LRM-Pmax, and ESBPAH). Conditions and threshold benchmarks are from U.S. EPA (2020)."/>
      </w:tblPr>
      <w:tblGrid>
        <w:gridCol w:w="2218"/>
        <w:gridCol w:w="4077"/>
        <w:gridCol w:w="1350"/>
        <w:gridCol w:w="1703"/>
      </w:tblGrid>
      <w:tr w:rsidR="00691CC5" w14:paraId="6DFBBEDD" w14:textId="77777777" w:rsidTr="00F40890">
        <w:trPr>
          <w:trHeight w:val="360"/>
        </w:trPr>
        <w:tc>
          <w:tcPr>
            <w:tcW w:w="2218" w:type="dxa"/>
            <w:tcBorders>
              <w:top w:val="single" w:sz="12" w:space="0" w:color="auto"/>
              <w:bottom w:val="single" w:sz="2" w:space="0" w:color="auto"/>
            </w:tcBorders>
            <w:vAlign w:val="center"/>
          </w:tcPr>
          <w:p w14:paraId="227368E6" w14:textId="77777777" w:rsidR="00691CC5" w:rsidRDefault="00691CC5">
            <w:r w:rsidRPr="000B52A1">
              <w:rPr>
                <w:rFonts w:eastAsia="Arial" w:cstheme="minorHAnsi"/>
                <w:b/>
                <w:color w:val="000000"/>
                <w:sz w:val="22"/>
                <w:szCs w:val="22"/>
              </w:rPr>
              <w:t>SCI Condition</w:t>
            </w:r>
          </w:p>
        </w:tc>
        <w:tc>
          <w:tcPr>
            <w:tcW w:w="4077" w:type="dxa"/>
            <w:tcBorders>
              <w:top w:val="single" w:sz="12" w:space="0" w:color="auto"/>
              <w:bottom w:val="single" w:sz="2" w:space="0" w:color="auto"/>
            </w:tcBorders>
            <w:vAlign w:val="center"/>
          </w:tcPr>
          <w:p w14:paraId="408C064A" w14:textId="77777777" w:rsidR="00691CC5" w:rsidRDefault="00691CC5">
            <w:r w:rsidRPr="000B52A1">
              <w:rPr>
                <w:rFonts w:eastAsia="Arial" w:cstheme="minorHAnsi"/>
                <w:b/>
                <w:color w:val="000000"/>
                <w:sz w:val="22"/>
                <w:szCs w:val="22"/>
              </w:rPr>
              <w:t>SC Indicator Benchmarks</w:t>
            </w:r>
          </w:p>
        </w:tc>
        <w:tc>
          <w:tcPr>
            <w:tcW w:w="1350" w:type="dxa"/>
            <w:tcBorders>
              <w:top w:val="single" w:sz="12" w:space="0" w:color="auto"/>
              <w:bottom w:val="single" w:sz="2" w:space="0" w:color="auto"/>
            </w:tcBorders>
            <w:vAlign w:val="center"/>
          </w:tcPr>
          <w:p w14:paraId="56DA0A57" w14:textId="77777777" w:rsidR="00691CC5" w:rsidRDefault="00691CC5">
            <w:r w:rsidRPr="000B52A1">
              <w:rPr>
                <w:rFonts w:eastAsia="Arial" w:cstheme="minorHAnsi"/>
                <w:b/>
                <w:color w:val="000000"/>
                <w:sz w:val="22"/>
                <w:szCs w:val="22"/>
              </w:rPr>
              <w:t>Stations</w:t>
            </w:r>
          </w:p>
        </w:tc>
        <w:tc>
          <w:tcPr>
            <w:tcW w:w="1703" w:type="dxa"/>
            <w:tcBorders>
              <w:top w:val="single" w:sz="12" w:space="0" w:color="auto"/>
              <w:bottom w:val="single" w:sz="2" w:space="0" w:color="auto"/>
            </w:tcBorders>
            <w:vAlign w:val="center"/>
          </w:tcPr>
          <w:p w14:paraId="05CB940F" w14:textId="1F1280F0" w:rsidR="00691CC5" w:rsidRDefault="00691CC5">
            <w:r w:rsidRPr="000B52A1">
              <w:rPr>
                <w:rFonts w:eastAsia="Arial" w:cstheme="minorHAnsi"/>
                <w:b/>
                <w:color w:val="000000"/>
                <w:sz w:val="22"/>
                <w:szCs w:val="22"/>
              </w:rPr>
              <w:t>Percentage</w:t>
            </w:r>
            <w:r w:rsidR="00021837" w:rsidRPr="00021837">
              <w:rPr>
                <w:rFonts w:eastAsia="Arial" w:cstheme="minorHAnsi"/>
                <w:b/>
                <w:color w:val="000000"/>
                <w:sz w:val="22"/>
                <w:szCs w:val="22"/>
                <w:vertAlign w:val="superscript"/>
              </w:rPr>
              <w:t>1</w:t>
            </w:r>
          </w:p>
        </w:tc>
      </w:tr>
      <w:tr w:rsidR="00691CC5" w14:paraId="746E7863" w14:textId="77777777" w:rsidTr="00930D68">
        <w:trPr>
          <w:trHeight w:val="360"/>
        </w:trPr>
        <w:tc>
          <w:tcPr>
            <w:tcW w:w="2218" w:type="dxa"/>
            <w:tcBorders>
              <w:top w:val="single" w:sz="2" w:space="0" w:color="auto"/>
            </w:tcBorders>
            <w:vAlign w:val="center"/>
          </w:tcPr>
          <w:p w14:paraId="6DD6260F" w14:textId="77777777" w:rsidR="00691CC5" w:rsidRDefault="00691CC5">
            <w:r w:rsidRPr="000B52A1">
              <w:rPr>
                <w:rFonts w:eastAsia="Arial" w:cstheme="minorHAnsi"/>
                <w:color w:val="000000"/>
                <w:sz w:val="22"/>
                <w:szCs w:val="22"/>
              </w:rPr>
              <w:t>Good</w:t>
            </w:r>
          </w:p>
        </w:tc>
        <w:tc>
          <w:tcPr>
            <w:tcW w:w="4077" w:type="dxa"/>
            <w:tcBorders>
              <w:top w:val="single" w:sz="2" w:space="0" w:color="auto"/>
            </w:tcBorders>
            <w:vAlign w:val="center"/>
          </w:tcPr>
          <w:p w14:paraId="4B7EFE5E" w14:textId="77777777" w:rsidR="00691CC5" w:rsidRDefault="00691CC5">
            <w:r w:rsidRPr="000B52A1">
              <w:rPr>
                <w:rFonts w:eastAsia="Arial" w:cstheme="minorHAnsi"/>
                <w:color w:val="000000"/>
                <w:sz w:val="22"/>
                <w:szCs w:val="22"/>
              </w:rPr>
              <w:t>All three elements Good</w:t>
            </w:r>
          </w:p>
        </w:tc>
        <w:tc>
          <w:tcPr>
            <w:tcW w:w="1350" w:type="dxa"/>
            <w:tcBorders>
              <w:top w:val="single" w:sz="2" w:space="0" w:color="auto"/>
            </w:tcBorders>
            <w:vAlign w:val="center"/>
          </w:tcPr>
          <w:p w14:paraId="61F12BCC" w14:textId="77777777" w:rsidR="00691CC5" w:rsidRDefault="00691CC5">
            <w:r w:rsidRPr="000B52A1">
              <w:rPr>
                <w:rFonts w:eastAsia="Arial" w:cstheme="minorHAnsi"/>
                <w:color w:val="000000"/>
                <w:sz w:val="22"/>
                <w:szCs w:val="22"/>
              </w:rPr>
              <w:t>124</w:t>
            </w:r>
          </w:p>
        </w:tc>
        <w:tc>
          <w:tcPr>
            <w:tcW w:w="1703" w:type="dxa"/>
            <w:tcBorders>
              <w:top w:val="single" w:sz="2" w:space="0" w:color="auto"/>
            </w:tcBorders>
            <w:vAlign w:val="center"/>
          </w:tcPr>
          <w:p w14:paraId="7C2A0E2B" w14:textId="77777777" w:rsidR="00691CC5" w:rsidRDefault="00691CC5">
            <w:r w:rsidRPr="000B52A1">
              <w:rPr>
                <w:rFonts w:eastAsia="Arial" w:cstheme="minorHAnsi"/>
                <w:color w:val="000000"/>
                <w:sz w:val="22"/>
                <w:szCs w:val="22"/>
              </w:rPr>
              <w:t>41.61 ± 5.62</w:t>
            </w:r>
          </w:p>
        </w:tc>
      </w:tr>
      <w:tr w:rsidR="00691CC5" w14:paraId="7F7BF830" w14:textId="77777777" w:rsidTr="00930D68">
        <w:trPr>
          <w:trHeight w:val="360"/>
        </w:trPr>
        <w:tc>
          <w:tcPr>
            <w:tcW w:w="2218" w:type="dxa"/>
            <w:vAlign w:val="center"/>
          </w:tcPr>
          <w:p w14:paraId="4D0D560A" w14:textId="77777777" w:rsidR="00691CC5" w:rsidRDefault="00691CC5">
            <w:r w:rsidRPr="000B52A1">
              <w:rPr>
                <w:rFonts w:eastAsia="Arial" w:cstheme="minorHAnsi"/>
                <w:color w:val="000000"/>
                <w:sz w:val="22"/>
                <w:szCs w:val="22"/>
              </w:rPr>
              <w:t>Fair</w:t>
            </w:r>
          </w:p>
        </w:tc>
        <w:tc>
          <w:tcPr>
            <w:tcW w:w="4077" w:type="dxa"/>
            <w:vAlign w:val="center"/>
          </w:tcPr>
          <w:p w14:paraId="13AAA304" w14:textId="77777777" w:rsidR="00691CC5" w:rsidRDefault="00691CC5">
            <w:r w:rsidRPr="000B52A1">
              <w:rPr>
                <w:rFonts w:eastAsia="Arial" w:cstheme="minorHAnsi"/>
                <w:color w:val="000000"/>
                <w:sz w:val="22"/>
                <w:szCs w:val="22"/>
              </w:rPr>
              <w:t>No Poor, and at least one element Fair</w:t>
            </w:r>
          </w:p>
        </w:tc>
        <w:tc>
          <w:tcPr>
            <w:tcW w:w="1350" w:type="dxa"/>
            <w:vAlign w:val="center"/>
          </w:tcPr>
          <w:p w14:paraId="143C7AB7" w14:textId="77777777" w:rsidR="00691CC5" w:rsidRDefault="00691CC5">
            <w:r w:rsidRPr="000B52A1">
              <w:rPr>
                <w:rFonts w:eastAsia="Arial" w:cstheme="minorHAnsi"/>
                <w:color w:val="000000"/>
                <w:sz w:val="22"/>
                <w:szCs w:val="22"/>
              </w:rPr>
              <w:t>129</w:t>
            </w:r>
          </w:p>
        </w:tc>
        <w:tc>
          <w:tcPr>
            <w:tcW w:w="1703" w:type="dxa"/>
            <w:vAlign w:val="center"/>
          </w:tcPr>
          <w:p w14:paraId="6F3C830A" w14:textId="77777777" w:rsidR="00691CC5" w:rsidRDefault="00691CC5">
            <w:r w:rsidRPr="000B52A1">
              <w:rPr>
                <w:rFonts w:eastAsia="Arial" w:cstheme="minorHAnsi"/>
                <w:color w:val="000000"/>
                <w:sz w:val="22"/>
                <w:szCs w:val="22"/>
              </w:rPr>
              <w:t>43.29 ± 5.65</w:t>
            </w:r>
          </w:p>
        </w:tc>
      </w:tr>
      <w:tr w:rsidR="00691CC5" w14:paraId="44A35B54" w14:textId="77777777" w:rsidTr="00930D68">
        <w:trPr>
          <w:trHeight w:val="360"/>
        </w:trPr>
        <w:tc>
          <w:tcPr>
            <w:tcW w:w="2218" w:type="dxa"/>
            <w:vAlign w:val="center"/>
          </w:tcPr>
          <w:p w14:paraId="51ED3675" w14:textId="77777777" w:rsidR="00691CC5" w:rsidRDefault="00691CC5">
            <w:r w:rsidRPr="000B52A1">
              <w:rPr>
                <w:rFonts w:eastAsia="Arial" w:cstheme="minorHAnsi"/>
                <w:color w:val="000000"/>
                <w:sz w:val="22"/>
                <w:szCs w:val="22"/>
              </w:rPr>
              <w:t>Poor</w:t>
            </w:r>
          </w:p>
        </w:tc>
        <w:tc>
          <w:tcPr>
            <w:tcW w:w="4077" w:type="dxa"/>
            <w:vAlign w:val="center"/>
          </w:tcPr>
          <w:p w14:paraId="144F0B6F" w14:textId="77777777" w:rsidR="00691CC5" w:rsidRDefault="00691CC5">
            <w:r w:rsidRPr="000B52A1">
              <w:rPr>
                <w:rFonts w:eastAsia="Arial" w:cstheme="minorHAnsi"/>
                <w:color w:val="000000"/>
                <w:sz w:val="22"/>
                <w:szCs w:val="22"/>
              </w:rPr>
              <w:t xml:space="preserve">One or two </w:t>
            </w:r>
            <w:r w:rsidRPr="000B52A1">
              <w:rPr>
                <w:rFonts w:eastAsia="Arial" w:cstheme="minorHAnsi"/>
                <w:color w:val="000000"/>
              </w:rPr>
              <w:t>elements’</w:t>
            </w:r>
            <w:r w:rsidRPr="000B52A1">
              <w:rPr>
                <w:rFonts w:eastAsia="Arial" w:cstheme="minorHAnsi"/>
                <w:color w:val="000000"/>
                <w:sz w:val="22"/>
                <w:szCs w:val="22"/>
              </w:rPr>
              <w:t xml:space="preserve"> Poor or Very Poor</w:t>
            </w:r>
          </w:p>
        </w:tc>
        <w:tc>
          <w:tcPr>
            <w:tcW w:w="1350" w:type="dxa"/>
            <w:vAlign w:val="center"/>
          </w:tcPr>
          <w:p w14:paraId="37766E80" w14:textId="77777777" w:rsidR="00691CC5" w:rsidRDefault="00691CC5">
            <w:r w:rsidRPr="000B52A1">
              <w:rPr>
                <w:rFonts w:eastAsia="Arial" w:cstheme="minorHAnsi"/>
                <w:color w:val="000000"/>
                <w:sz w:val="22"/>
                <w:szCs w:val="22"/>
              </w:rPr>
              <w:t>45</w:t>
            </w:r>
          </w:p>
        </w:tc>
        <w:tc>
          <w:tcPr>
            <w:tcW w:w="1703" w:type="dxa"/>
            <w:vAlign w:val="center"/>
          </w:tcPr>
          <w:p w14:paraId="557A01C9" w14:textId="77777777" w:rsidR="00691CC5" w:rsidRDefault="00691CC5">
            <w:r w:rsidRPr="000B52A1">
              <w:rPr>
                <w:rFonts w:eastAsia="Arial" w:cstheme="minorHAnsi"/>
                <w:color w:val="000000"/>
                <w:sz w:val="22"/>
                <w:szCs w:val="22"/>
              </w:rPr>
              <w:t>15.1 ± 4.08</w:t>
            </w:r>
          </w:p>
        </w:tc>
      </w:tr>
      <w:tr w:rsidR="00691CC5" w14:paraId="385115D9" w14:textId="77777777" w:rsidTr="00F40890">
        <w:trPr>
          <w:trHeight w:val="360"/>
        </w:trPr>
        <w:tc>
          <w:tcPr>
            <w:tcW w:w="2218" w:type="dxa"/>
            <w:tcBorders>
              <w:bottom w:val="single" w:sz="2" w:space="0" w:color="auto"/>
            </w:tcBorders>
            <w:vAlign w:val="center"/>
          </w:tcPr>
          <w:p w14:paraId="49F38127" w14:textId="77777777" w:rsidR="00691CC5" w:rsidRDefault="00691CC5">
            <w:r w:rsidRPr="000B52A1">
              <w:rPr>
                <w:rFonts w:eastAsia="Arial" w:cstheme="minorHAnsi"/>
                <w:color w:val="000000"/>
                <w:sz w:val="22"/>
                <w:szCs w:val="22"/>
              </w:rPr>
              <w:t>Very Poor</w:t>
            </w:r>
          </w:p>
        </w:tc>
        <w:tc>
          <w:tcPr>
            <w:tcW w:w="4077" w:type="dxa"/>
            <w:tcBorders>
              <w:bottom w:val="single" w:sz="2" w:space="0" w:color="auto"/>
            </w:tcBorders>
            <w:vAlign w:val="center"/>
          </w:tcPr>
          <w:p w14:paraId="1DAE94A1" w14:textId="77777777" w:rsidR="00691CC5" w:rsidRDefault="00691CC5">
            <w:r w:rsidRPr="000B52A1">
              <w:rPr>
                <w:rFonts w:eastAsia="Arial" w:cstheme="minorHAnsi"/>
                <w:color w:val="000000"/>
                <w:sz w:val="22"/>
                <w:szCs w:val="22"/>
              </w:rPr>
              <w:t>Two or more elements Very Poor</w:t>
            </w:r>
          </w:p>
        </w:tc>
        <w:tc>
          <w:tcPr>
            <w:tcW w:w="1350" w:type="dxa"/>
            <w:tcBorders>
              <w:bottom w:val="single" w:sz="2" w:space="0" w:color="auto"/>
            </w:tcBorders>
            <w:vAlign w:val="center"/>
          </w:tcPr>
          <w:p w14:paraId="4D88A7B3" w14:textId="77777777" w:rsidR="00691CC5" w:rsidRDefault="00691CC5">
            <w:r w:rsidRPr="000B52A1">
              <w:rPr>
                <w:rFonts w:eastAsia="Arial" w:cstheme="minorHAnsi"/>
                <w:color w:val="000000"/>
                <w:sz w:val="22"/>
                <w:szCs w:val="22"/>
              </w:rPr>
              <w:t>0</w:t>
            </w:r>
          </w:p>
        </w:tc>
        <w:tc>
          <w:tcPr>
            <w:tcW w:w="1703" w:type="dxa"/>
            <w:tcBorders>
              <w:bottom w:val="single" w:sz="2" w:space="0" w:color="auto"/>
            </w:tcBorders>
            <w:vAlign w:val="center"/>
          </w:tcPr>
          <w:p w14:paraId="0E96553F" w14:textId="77777777" w:rsidR="00691CC5" w:rsidRDefault="00691CC5">
            <w:r w:rsidRPr="000B52A1">
              <w:rPr>
                <w:rFonts w:eastAsia="Arial" w:cstheme="minorHAnsi"/>
                <w:color w:val="000000"/>
                <w:sz w:val="22"/>
                <w:szCs w:val="22"/>
              </w:rPr>
              <w:t>0</w:t>
            </w:r>
          </w:p>
        </w:tc>
      </w:tr>
      <w:tr w:rsidR="00691CC5" w:rsidRPr="00F40890" w14:paraId="7A65B784" w14:textId="77777777" w:rsidTr="00F40890">
        <w:trPr>
          <w:trHeight w:val="360"/>
        </w:trPr>
        <w:tc>
          <w:tcPr>
            <w:tcW w:w="2218" w:type="dxa"/>
            <w:tcBorders>
              <w:top w:val="single" w:sz="2" w:space="0" w:color="auto"/>
              <w:bottom w:val="single" w:sz="12" w:space="0" w:color="auto"/>
            </w:tcBorders>
            <w:vAlign w:val="center"/>
          </w:tcPr>
          <w:p w14:paraId="19BFF602" w14:textId="77777777" w:rsidR="00691CC5" w:rsidRPr="00F40890" w:rsidRDefault="00691CC5">
            <w:pPr>
              <w:rPr>
                <w:b/>
                <w:bCs/>
              </w:rPr>
            </w:pPr>
            <w:r w:rsidRPr="00F40890">
              <w:rPr>
                <w:rFonts w:eastAsia="Arial" w:cstheme="minorHAnsi"/>
                <w:b/>
                <w:bCs/>
                <w:color w:val="000000"/>
                <w:sz w:val="22"/>
                <w:szCs w:val="22"/>
              </w:rPr>
              <w:t>Total</w:t>
            </w:r>
          </w:p>
        </w:tc>
        <w:tc>
          <w:tcPr>
            <w:tcW w:w="4077" w:type="dxa"/>
            <w:tcBorders>
              <w:top w:val="single" w:sz="2" w:space="0" w:color="auto"/>
              <w:bottom w:val="single" w:sz="12" w:space="0" w:color="auto"/>
            </w:tcBorders>
            <w:vAlign w:val="center"/>
          </w:tcPr>
          <w:p w14:paraId="744D6BD6" w14:textId="77777777" w:rsidR="00691CC5" w:rsidRPr="00F40890" w:rsidRDefault="00691CC5">
            <w:pPr>
              <w:rPr>
                <w:b/>
                <w:bCs/>
              </w:rPr>
            </w:pPr>
          </w:p>
        </w:tc>
        <w:tc>
          <w:tcPr>
            <w:tcW w:w="1350" w:type="dxa"/>
            <w:tcBorders>
              <w:top w:val="single" w:sz="2" w:space="0" w:color="auto"/>
              <w:bottom w:val="single" w:sz="12" w:space="0" w:color="auto"/>
            </w:tcBorders>
            <w:vAlign w:val="center"/>
          </w:tcPr>
          <w:p w14:paraId="592EEB06" w14:textId="77777777" w:rsidR="00691CC5" w:rsidRPr="00F40890" w:rsidRDefault="00691CC5">
            <w:pPr>
              <w:rPr>
                <w:b/>
                <w:bCs/>
              </w:rPr>
            </w:pPr>
            <w:r w:rsidRPr="00F40890">
              <w:rPr>
                <w:rFonts w:eastAsia="Arial" w:cstheme="minorHAnsi"/>
                <w:b/>
                <w:bCs/>
                <w:color w:val="000000"/>
                <w:sz w:val="22"/>
                <w:szCs w:val="22"/>
              </w:rPr>
              <w:t>298</w:t>
            </w:r>
          </w:p>
        </w:tc>
        <w:tc>
          <w:tcPr>
            <w:tcW w:w="1703" w:type="dxa"/>
            <w:tcBorders>
              <w:top w:val="single" w:sz="2" w:space="0" w:color="auto"/>
              <w:bottom w:val="single" w:sz="12" w:space="0" w:color="auto"/>
            </w:tcBorders>
            <w:vAlign w:val="center"/>
          </w:tcPr>
          <w:p w14:paraId="77FB2FCD" w14:textId="77777777" w:rsidR="00691CC5" w:rsidRPr="00F40890" w:rsidRDefault="00691CC5">
            <w:pPr>
              <w:rPr>
                <w:b/>
                <w:bCs/>
              </w:rPr>
            </w:pPr>
          </w:p>
        </w:tc>
      </w:tr>
    </w:tbl>
    <w:p w14:paraId="01C9F356" w14:textId="77777777" w:rsidR="00E147F6" w:rsidRDefault="00E147F6" w:rsidP="00E147F6">
      <w:pPr>
        <w:pStyle w:val="TableCaption"/>
      </w:pPr>
      <w:r w:rsidRPr="00E147F6">
        <w:rPr>
          <w:vertAlign w:val="superscript"/>
        </w:rPr>
        <w:t>1</w:t>
      </w:r>
      <w:r w:rsidRPr="000F59F4">
        <w:t xml:space="preserve"> </w:t>
      </w:r>
      <w:r>
        <w:t>E</w:t>
      </w:r>
      <w:r w:rsidRPr="000F59F4">
        <w:t>stimated percentage</w:t>
      </w:r>
      <w:r>
        <w:t xml:space="preserve"> (</w:t>
      </w:r>
      <w:r w:rsidRPr="00224A2F">
        <w:t>+/- 95% confidence limits</w:t>
      </w:r>
      <w:r>
        <w:t xml:space="preserve">) </w:t>
      </w:r>
      <w:r w:rsidRPr="000F59F4">
        <w:t>of Virginia’s smaller estuarine waters</w:t>
      </w:r>
      <w:r>
        <w:t xml:space="preserve"> (&lt; 100 sq km drainage)</w:t>
      </w:r>
      <w:r w:rsidRPr="000F59F4">
        <w:t xml:space="preserve"> </w:t>
      </w:r>
      <w:r>
        <w:t>with</w:t>
      </w:r>
      <w:r w:rsidRPr="000F59F4">
        <w:t xml:space="preserve"> indicated </w:t>
      </w:r>
      <w:r>
        <w:t>sediment</w:t>
      </w:r>
      <w:r w:rsidRPr="000F59F4">
        <w:t xml:space="preserve"> quality condition. </w:t>
      </w:r>
      <w:r>
        <w:t>As e</w:t>
      </w:r>
      <w:r w:rsidRPr="000F59F4">
        <w:t xml:space="preserve">stimated using data from DEQ’s estuarine probabilistic monitoring program and EPA’s National Coastal Condition Assessment </w:t>
      </w:r>
      <w:r>
        <w:t>program. Approximately 95% of stations are from smaller estuaries (&lt; 100 sq km drainage) and approximately 5% of stations are from Chesapeake Bay mainstem.</w:t>
      </w:r>
    </w:p>
    <w:p w14:paraId="29D9DA9B" w14:textId="77777777" w:rsidR="00691CC5" w:rsidRPr="000B52A1" w:rsidRDefault="00691CC5" w:rsidP="00F40890"/>
    <w:p w14:paraId="4F86C4FC" w14:textId="77777777" w:rsidR="0030653F" w:rsidRPr="000B52A1" w:rsidRDefault="0030653F" w:rsidP="00C5533C">
      <w:pPr>
        <w:pStyle w:val="Heading4"/>
        <w:rPr>
          <w:rFonts w:cstheme="minorHAnsi"/>
        </w:rPr>
      </w:pPr>
      <w:bookmarkStart w:id="279" w:name="sediment-toxicity"/>
      <w:bookmarkEnd w:id="276"/>
      <w:r w:rsidRPr="000B52A1">
        <w:rPr>
          <w:rFonts w:cstheme="minorHAnsi"/>
        </w:rPr>
        <w:t>Sediment Toxicity</w:t>
      </w:r>
    </w:p>
    <w:p w14:paraId="003FE984" w14:textId="726DD473" w:rsidR="0030653F" w:rsidRPr="000B52A1" w:rsidRDefault="0030653F" w:rsidP="00F40890">
      <w:r w:rsidRPr="000B52A1">
        <w:t xml:space="preserve">In addition to sediment chemistry, sediment toxicity </w:t>
      </w:r>
      <w:r w:rsidR="00691CC5" w:rsidRPr="000B52A1">
        <w:t>is</w:t>
      </w:r>
      <w:r w:rsidRPr="000B52A1">
        <w:t xml:space="preserve"> another important attribute of sediment </w:t>
      </w:r>
      <w:r w:rsidRPr="000B52A1">
        <w:lastRenderedPageBreak/>
        <w:t xml:space="preserve">quality. The acute toxicity of sediment was measured by performing 10-day, static acute toxicity tests with two species of amphipod crustaceans: </w:t>
      </w:r>
      <w:proofErr w:type="spellStart"/>
      <w:r w:rsidRPr="000B52A1">
        <w:rPr>
          <w:i/>
          <w:iCs/>
        </w:rPr>
        <w:t>Leptocheirus</w:t>
      </w:r>
      <w:proofErr w:type="spellEnd"/>
      <w:r w:rsidRPr="000B52A1">
        <w:rPr>
          <w:i/>
          <w:iCs/>
        </w:rPr>
        <w:t xml:space="preserve"> </w:t>
      </w:r>
      <w:proofErr w:type="spellStart"/>
      <w:r w:rsidRPr="000B52A1">
        <w:rPr>
          <w:i/>
          <w:iCs/>
        </w:rPr>
        <w:t>plumulosus</w:t>
      </w:r>
      <w:proofErr w:type="spellEnd"/>
      <w:r w:rsidRPr="000B52A1">
        <w:t xml:space="preserve"> tests at all stations were usually complemented with </w:t>
      </w:r>
      <w:proofErr w:type="spellStart"/>
      <w:r w:rsidRPr="000B52A1">
        <w:rPr>
          <w:i/>
          <w:iCs/>
        </w:rPr>
        <w:t>Hyalella</w:t>
      </w:r>
      <w:proofErr w:type="spellEnd"/>
      <w:r w:rsidRPr="000B52A1">
        <w:rPr>
          <w:i/>
          <w:iCs/>
        </w:rPr>
        <w:t xml:space="preserve"> </w:t>
      </w:r>
      <w:proofErr w:type="spellStart"/>
      <w:r w:rsidRPr="000B52A1">
        <w:rPr>
          <w:i/>
          <w:iCs/>
        </w:rPr>
        <w:t>azteca</w:t>
      </w:r>
      <w:proofErr w:type="spellEnd"/>
      <w:r w:rsidRPr="000B52A1">
        <w:t xml:space="preserve"> tests at stations in tidal freshwaters. The utilization of complementary </w:t>
      </w:r>
      <w:proofErr w:type="spellStart"/>
      <w:r w:rsidRPr="000B52A1">
        <w:rPr>
          <w:i/>
          <w:iCs/>
        </w:rPr>
        <w:t>Hyalella</w:t>
      </w:r>
      <w:proofErr w:type="spellEnd"/>
      <w:r w:rsidRPr="000B52A1">
        <w:t xml:space="preserve"> tests was initiated in 2013, after significant blooms of </w:t>
      </w:r>
      <w:r w:rsidR="004B3767">
        <w:t>i</w:t>
      </w:r>
      <w:r w:rsidR="004B3767" w:rsidRPr="000B52A1">
        <w:t>ron</w:t>
      </w:r>
      <w:r w:rsidRPr="000B52A1">
        <w:t xml:space="preserve">-fixing bacteria were observed on freshwater sediment following normalization of overlying water to 20.0‰ for standardized </w:t>
      </w:r>
      <w:proofErr w:type="spellStart"/>
      <w:r w:rsidRPr="000B52A1">
        <w:rPr>
          <w:i/>
          <w:iCs/>
        </w:rPr>
        <w:t>Leptocheirus</w:t>
      </w:r>
      <w:proofErr w:type="spellEnd"/>
      <w:r w:rsidRPr="000B52A1">
        <w:t xml:space="preserve"> saltwater toxicity tests. The bacterial blooms caused a precipitous drop in pH and elevated ammonia concentrations in the test </w:t>
      </w:r>
      <w:proofErr w:type="gramStart"/>
      <w:r w:rsidRPr="000B52A1">
        <w:t>chambers, and</w:t>
      </w:r>
      <w:proofErr w:type="gramEnd"/>
      <w:r w:rsidRPr="000B52A1">
        <w:t xml:space="preserve"> induced a significant mortality of test organisms that was not a direct result of sediment contamination by toxics. The complementary freshwater tests of sediment from the same station with </w:t>
      </w:r>
      <w:proofErr w:type="spellStart"/>
      <w:r w:rsidRPr="000B52A1">
        <w:rPr>
          <w:i/>
          <w:iCs/>
        </w:rPr>
        <w:t>Hyalella</w:t>
      </w:r>
      <w:proofErr w:type="spellEnd"/>
      <w:r w:rsidRPr="000B52A1">
        <w:t xml:space="preserve"> seldom resulted in such high mortality. If multiple tests were conducted, results from both </w:t>
      </w:r>
      <w:proofErr w:type="spellStart"/>
      <w:r w:rsidRPr="000B52A1">
        <w:rPr>
          <w:i/>
          <w:iCs/>
        </w:rPr>
        <w:t>Leptocheirus</w:t>
      </w:r>
      <w:proofErr w:type="spellEnd"/>
      <w:r w:rsidRPr="000B52A1">
        <w:t xml:space="preserve"> and </w:t>
      </w:r>
      <w:proofErr w:type="spellStart"/>
      <w:r w:rsidRPr="000B52A1">
        <w:rPr>
          <w:i/>
          <w:iCs/>
        </w:rPr>
        <w:t>Hyalella</w:t>
      </w:r>
      <w:proofErr w:type="spellEnd"/>
      <w:r w:rsidRPr="000B52A1">
        <w:t xml:space="preserve"> tests were integrated into a single classification per station.</w:t>
      </w:r>
      <w:r w:rsidR="00F40890">
        <w:br/>
      </w:r>
    </w:p>
    <w:p w14:paraId="7E85A341" w14:textId="5AE4D15D" w:rsidR="00AF0B0E" w:rsidRPr="000B52A1" w:rsidRDefault="00AF0B0E" w:rsidP="00AF0B0E">
      <w:r w:rsidRPr="000B52A1">
        <w:t xml:space="preserve">Table </w:t>
      </w:r>
      <w:r>
        <w:t>4.5-</w:t>
      </w:r>
      <w:r w:rsidRPr="000B52A1">
        <w:t xml:space="preserve">19 summarizes the </w:t>
      </w:r>
      <w:r>
        <w:t xml:space="preserve">sediment toxicity conditions estimated for Virginia’s smaller (&lt; 100 sq </w:t>
      </w:r>
      <w:proofErr w:type="gramStart"/>
      <w:r>
        <w:t>km</w:t>
      </w:r>
      <w:proofErr w:type="gramEnd"/>
      <w:r>
        <w:t xml:space="preserve"> drainage) estuarine waters </w:t>
      </w:r>
      <w:r w:rsidRPr="000B52A1">
        <w:t xml:space="preserve">based upon the results of 10-day, static acute sediment toxicity tests. Toxicity test endpoints were mortality of test organisms, expressed as percent control-corrected survival. Statistically significant difference from controls was tested at α = 0.05 level; ecological effect was considered significant if control-corrected survival was less than 80.0 percent. In some cases, significant amphipod mortality may not be attributed directly to chemical contamination of the sediment. Using the same </w:t>
      </w:r>
      <w:r>
        <w:t>benchmarks</w:t>
      </w:r>
      <w:r w:rsidRPr="000B52A1">
        <w:t xml:space="preserve"> as for </w:t>
      </w:r>
      <w:r>
        <w:t>regional</w:t>
      </w:r>
      <w:r w:rsidRPr="000B52A1">
        <w:t xml:space="preserve"> water quality (Table </w:t>
      </w:r>
      <w:r>
        <w:t>4.5-</w:t>
      </w:r>
      <w:r w:rsidRPr="000B52A1">
        <w:t xml:space="preserve">11), Virginia’s estuarine waters </w:t>
      </w:r>
      <w:r>
        <w:t>- with analysis biased toward smaller estuaries (&lt; 100 sq km drainage) as described earlier - are estimated to be in</w:t>
      </w:r>
      <w:r w:rsidRPr="000B52A1">
        <w:t xml:space="preserve"> “Good” </w:t>
      </w:r>
      <w:r>
        <w:t xml:space="preserve">condition </w:t>
      </w:r>
      <w:r w:rsidRPr="000B52A1">
        <w:t>for sediment toxicity</w:t>
      </w:r>
      <w:r>
        <w:t xml:space="preserve"> following NCCA guidelines</w:t>
      </w:r>
      <w:r w:rsidRPr="000B52A1">
        <w:t xml:space="preserve">, because fewer than 10% of the stations are in “Poor” condition, and more than 50% of the stations are in “Good” condition (Table </w:t>
      </w:r>
      <w:r>
        <w:t>4.5-</w:t>
      </w:r>
      <w:r w:rsidRPr="000B52A1">
        <w:t>19).</w:t>
      </w:r>
    </w:p>
    <w:p w14:paraId="47FCD778" w14:textId="77777777" w:rsidR="004B3767" w:rsidRPr="000B52A1" w:rsidRDefault="004B3767" w:rsidP="00F40890"/>
    <w:p w14:paraId="4927B29A" w14:textId="43B35D23" w:rsidR="007D4037" w:rsidRPr="00D237D4" w:rsidRDefault="002312D4" w:rsidP="007D4037">
      <w:pPr>
        <w:pStyle w:val="Caption"/>
        <w:keepNext/>
      </w:pPr>
      <w:bookmarkStart w:id="280" w:name="tab:tab-tox"/>
      <w:bookmarkStart w:id="281" w:name="_Toc164175209"/>
      <w:bookmarkEnd w:id="280"/>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19</w:t>
      </w:r>
      <w:r w:rsidR="004F13BA">
        <w:rPr>
          <w:noProof/>
        </w:rPr>
        <w:fldChar w:fldCharType="end"/>
      </w:r>
      <w:r>
        <w:t xml:space="preserve">. </w:t>
      </w:r>
      <w:r w:rsidRPr="0A5BE548">
        <w:rPr>
          <w:rFonts w:cstheme="minorBidi"/>
        </w:rPr>
        <w:t>Toxicity conditions and thresholds</w:t>
      </w:r>
      <w:bookmarkEnd w:id="281"/>
      <w:r w:rsidRPr="0A5BE548">
        <w:rPr>
          <w:rFonts w:cstheme="minorBidi"/>
        </w:rPr>
        <w:t>, 2017-2022. Conditions and thresholds are from U.S. EPA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Toxicity conditions and thresholds, 2017-2022. Conditions and thresholds are from U.S. EPA (2020)."/>
        <w:tblDescription w:val="Toxicity conditions and thresholds, 2017-2022. Conditions and thresholds are from U.S. EPA (2020)."/>
      </w:tblPr>
      <w:tblGrid>
        <w:gridCol w:w="1255"/>
        <w:gridCol w:w="5490"/>
        <w:gridCol w:w="1170"/>
        <w:gridCol w:w="1435"/>
      </w:tblGrid>
      <w:tr w:rsidR="00406515" w14:paraId="25F5F602" w14:textId="77777777" w:rsidTr="00DD6EA4">
        <w:trPr>
          <w:trHeight w:val="360"/>
        </w:trPr>
        <w:tc>
          <w:tcPr>
            <w:tcW w:w="1255" w:type="dxa"/>
            <w:tcBorders>
              <w:top w:val="single" w:sz="12" w:space="0" w:color="auto"/>
              <w:bottom w:val="single" w:sz="2" w:space="0" w:color="auto"/>
            </w:tcBorders>
            <w:vAlign w:val="center"/>
          </w:tcPr>
          <w:p w14:paraId="25747536" w14:textId="621C6AAC" w:rsidR="002312D4" w:rsidRDefault="002312D4" w:rsidP="00DD6EA4">
            <w:r w:rsidRPr="000B52A1">
              <w:rPr>
                <w:rFonts w:eastAsia="Arial" w:cstheme="minorHAnsi"/>
                <w:b/>
                <w:color w:val="000000"/>
                <w:sz w:val="22"/>
                <w:szCs w:val="22"/>
              </w:rPr>
              <w:t>Condition</w:t>
            </w:r>
          </w:p>
        </w:tc>
        <w:tc>
          <w:tcPr>
            <w:tcW w:w="5490" w:type="dxa"/>
            <w:tcBorders>
              <w:top w:val="single" w:sz="12" w:space="0" w:color="auto"/>
              <w:bottom w:val="single" w:sz="2" w:space="0" w:color="auto"/>
            </w:tcBorders>
            <w:vAlign w:val="center"/>
          </w:tcPr>
          <w:p w14:paraId="7FC168F0" w14:textId="77777777" w:rsidR="002312D4" w:rsidRDefault="002312D4" w:rsidP="00DD6EA4">
            <w:pPr>
              <w:jc w:val="center"/>
            </w:pPr>
            <w:r w:rsidRPr="000B52A1">
              <w:rPr>
                <w:rFonts w:eastAsia="Arial" w:cstheme="minorHAnsi"/>
                <w:b/>
                <w:color w:val="000000"/>
                <w:sz w:val="22"/>
                <w:szCs w:val="22"/>
              </w:rPr>
              <w:t>Toxicity Range</w:t>
            </w:r>
          </w:p>
        </w:tc>
        <w:tc>
          <w:tcPr>
            <w:tcW w:w="1170" w:type="dxa"/>
            <w:tcBorders>
              <w:top w:val="single" w:sz="12" w:space="0" w:color="auto"/>
              <w:bottom w:val="single" w:sz="2" w:space="0" w:color="auto"/>
            </w:tcBorders>
            <w:vAlign w:val="center"/>
          </w:tcPr>
          <w:p w14:paraId="39E3B49A" w14:textId="77777777" w:rsidR="002312D4" w:rsidRDefault="002312D4" w:rsidP="004A5609">
            <w:pPr>
              <w:jc w:val="right"/>
            </w:pPr>
            <w:r w:rsidRPr="000B52A1">
              <w:rPr>
                <w:rFonts w:eastAsia="Arial" w:cstheme="minorHAnsi"/>
                <w:b/>
                <w:color w:val="000000"/>
                <w:sz w:val="22"/>
                <w:szCs w:val="22"/>
              </w:rPr>
              <w:t>Stations</w:t>
            </w:r>
          </w:p>
        </w:tc>
        <w:tc>
          <w:tcPr>
            <w:tcW w:w="1435" w:type="dxa"/>
            <w:tcBorders>
              <w:top w:val="single" w:sz="12" w:space="0" w:color="auto"/>
              <w:bottom w:val="single" w:sz="2" w:space="0" w:color="auto"/>
            </w:tcBorders>
            <w:vAlign w:val="center"/>
          </w:tcPr>
          <w:p w14:paraId="6F9443B2" w14:textId="12EBE3B6" w:rsidR="002312D4" w:rsidRDefault="002312D4" w:rsidP="004A5609">
            <w:pPr>
              <w:jc w:val="right"/>
            </w:pPr>
            <w:r w:rsidRPr="000B52A1">
              <w:rPr>
                <w:rFonts w:eastAsia="Arial" w:cstheme="minorHAnsi"/>
                <w:b/>
                <w:color w:val="000000"/>
                <w:sz w:val="22"/>
                <w:szCs w:val="22"/>
              </w:rPr>
              <w:t>Percentage</w:t>
            </w:r>
            <w:r w:rsidR="00B0222E" w:rsidRPr="00B0222E">
              <w:rPr>
                <w:rFonts w:eastAsia="Arial" w:cstheme="minorHAnsi"/>
                <w:b/>
                <w:color w:val="000000"/>
                <w:sz w:val="22"/>
                <w:szCs w:val="22"/>
                <w:vertAlign w:val="superscript"/>
              </w:rPr>
              <w:t>1</w:t>
            </w:r>
          </w:p>
        </w:tc>
      </w:tr>
      <w:tr w:rsidR="00406515" w14:paraId="6733E693" w14:textId="77777777" w:rsidTr="00DD6EA4">
        <w:tc>
          <w:tcPr>
            <w:tcW w:w="1255" w:type="dxa"/>
            <w:tcBorders>
              <w:top w:val="single" w:sz="2" w:space="0" w:color="auto"/>
              <w:bottom w:val="single" w:sz="2" w:space="0" w:color="auto"/>
            </w:tcBorders>
            <w:vAlign w:val="center"/>
          </w:tcPr>
          <w:p w14:paraId="67EB6565" w14:textId="77777777" w:rsidR="002312D4" w:rsidRDefault="002312D4" w:rsidP="00DD6EA4">
            <w:r w:rsidRPr="000B52A1">
              <w:rPr>
                <w:rFonts w:eastAsia="Arial" w:cstheme="minorHAnsi"/>
                <w:color w:val="000000"/>
                <w:sz w:val="22"/>
                <w:szCs w:val="22"/>
              </w:rPr>
              <w:t>Good</w:t>
            </w:r>
          </w:p>
        </w:tc>
        <w:tc>
          <w:tcPr>
            <w:tcW w:w="5490" w:type="dxa"/>
            <w:tcBorders>
              <w:top w:val="single" w:sz="2" w:space="0" w:color="auto"/>
              <w:bottom w:val="single" w:sz="2" w:space="0" w:color="auto"/>
            </w:tcBorders>
            <w:vAlign w:val="center"/>
          </w:tcPr>
          <w:p w14:paraId="4C9DB626" w14:textId="2B2CCBB1" w:rsidR="002312D4" w:rsidRDefault="002312D4" w:rsidP="00DD6EA4">
            <w:pPr>
              <w:jc w:val="center"/>
            </w:pPr>
            <w:r w:rsidRPr="000B52A1">
              <w:rPr>
                <w:rFonts w:eastAsia="Arial" w:cstheme="minorHAnsi"/>
                <w:color w:val="000000"/>
                <w:sz w:val="22"/>
                <w:szCs w:val="22"/>
              </w:rPr>
              <w:t xml:space="preserve">Results </w:t>
            </w:r>
            <w:proofErr w:type="gramStart"/>
            <w:r w:rsidRPr="000B52A1">
              <w:rPr>
                <w:rFonts w:eastAsia="Arial" w:cstheme="minorHAnsi"/>
                <w:color w:val="000000"/>
                <w:sz w:val="22"/>
                <w:szCs w:val="22"/>
              </w:rPr>
              <w:t>not</w:t>
            </w:r>
            <w:proofErr w:type="gramEnd"/>
            <w:r w:rsidRPr="000B52A1">
              <w:rPr>
                <w:rFonts w:eastAsia="Arial" w:cstheme="minorHAnsi"/>
                <w:color w:val="000000"/>
                <w:sz w:val="22"/>
                <w:szCs w:val="22"/>
              </w:rPr>
              <w:t xml:space="preserve"> significantly different from controls (p &gt; 0.05)</w:t>
            </w:r>
            <w:r w:rsidRPr="000B52A1">
              <w:rPr>
                <w:rFonts w:eastAsia="Arial" w:cstheme="minorHAnsi"/>
                <w:color w:val="000000"/>
                <w:sz w:val="22"/>
                <w:szCs w:val="22"/>
              </w:rPr>
              <w:br/>
              <w:t xml:space="preserve"> and &gt; 80% control-corrected survival.</w:t>
            </w:r>
          </w:p>
        </w:tc>
        <w:tc>
          <w:tcPr>
            <w:tcW w:w="1170" w:type="dxa"/>
            <w:tcBorders>
              <w:top w:val="single" w:sz="2" w:space="0" w:color="auto"/>
              <w:bottom w:val="single" w:sz="2" w:space="0" w:color="auto"/>
            </w:tcBorders>
            <w:vAlign w:val="center"/>
          </w:tcPr>
          <w:p w14:paraId="59619D34" w14:textId="77777777" w:rsidR="002312D4" w:rsidRDefault="002312D4" w:rsidP="004A5609">
            <w:pPr>
              <w:jc w:val="right"/>
            </w:pPr>
            <w:r w:rsidRPr="000B52A1">
              <w:rPr>
                <w:rFonts w:eastAsia="Arial" w:cstheme="minorHAnsi"/>
                <w:color w:val="000000"/>
                <w:sz w:val="22"/>
                <w:szCs w:val="22"/>
              </w:rPr>
              <w:t>216</w:t>
            </w:r>
          </w:p>
        </w:tc>
        <w:tc>
          <w:tcPr>
            <w:tcW w:w="1435" w:type="dxa"/>
            <w:tcBorders>
              <w:top w:val="single" w:sz="2" w:space="0" w:color="auto"/>
              <w:bottom w:val="single" w:sz="2" w:space="0" w:color="auto"/>
            </w:tcBorders>
            <w:vAlign w:val="center"/>
          </w:tcPr>
          <w:p w14:paraId="10D8C616" w14:textId="77777777" w:rsidR="002312D4" w:rsidRDefault="002312D4" w:rsidP="004A5609">
            <w:pPr>
              <w:jc w:val="right"/>
            </w:pPr>
            <w:r w:rsidRPr="000B52A1">
              <w:rPr>
                <w:rFonts w:eastAsia="Arial" w:cstheme="minorHAnsi"/>
                <w:color w:val="000000"/>
                <w:sz w:val="22"/>
                <w:szCs w:val="22"/>
              </w:rPr>
              <w:t>73.72 ± 5.06</w:t>
            </w:r>
          </w:p>
        </w:tc>
      </w:tr>
      <w:tr w:rsidR="00406515" w14:paraId="65A2E1B4" w14:textId="77777777" w:rsidTr="00DD6EA4">
        <w:tc>
          <w:tcPr>
            <w:tcW w:w="1255" w:type="dxa"/>
            <w:tcBorders>
              <w:top w:val="single" w:sz="2" w:space="0" w:color="auto"/>
              <w:bottom w:val="single" w:sz="2" w:space="0" w:color="auto"/>
            </w:tcBorders>
            <w:vAlign w:val="center"/>
          </w:tcPr>
          <w:p w14:paraId="4D21722A" w14:textId="77777777" w:rsidR="002312D4" w:rsidRDefault="002312D4" w:rsidP="00DD6EA4">
            <w:r w:rsidRPr="000B52A1">
              <w:rPr>
                <w:rFonts w:eastAsia="Arial" w:cstheme="minorHAnsi"/>
                <w:color w:val="000000"/>
                <w:sz w:val="22"/>
                <w:szCs w:val="22"/>
              </w:rPr>
              <w:t>Fair</w:t>
            </w:r>
          </w:p>
        </w:tc>
        <w:tc>
          <w:tcPr>
            <w:tcW w:w="5490" w:type="dxa"/>
            <w:tcBorders>
              <w:top w:val="single" w:sz="2" w:space="0" w:color="auto"/>
              <w:bottom w:val="single" w:sz="2" w:space="0" w:color="auto"/>
            </w:tcBorders>
            <w:vAlign w:val="center"/>
          </w:tcPr>
          <w:p w14:paraId="17258A28" w14:textId="3B1DF71C" w:rsidR="002312D4" w:rsidRDefault="002312D4" w:rsidP="00DD6EA4">
            <w:pPr>
              <w:jc w:val="center"/>
            </w:pPr>
            <w:r w:rsidRPr="000B52A1">
              <w:rPr>
                <w:rFonts w:eastAsia="Arial" w:cstheme="minorHAnsi"/>
                <w:color w:val="000000"/>
                <w:sz w:val="22"/>
                <w:szCs w:val="22"/>
              </w:rPr>
              <w:t>Results significantly less than controls (p &lt; 0.05)</w:t>
            </w:r>
            <w:r w:rsidRPr="000B52A1">
              <w:rPr>
                <w:rFonts w:eastAsia="Arial" w:cstheme="minorHAnsi"/>
                <w:color w:val="000000"/>
                <w:sz w:val="22"/>
                <w:szCs w:val="22"/>
              </w:rPr>
              <w:br/>
              <w:t xml:space="preserve"> and &gt; 80% control-corrected survival</w:t>
            </w:r>
            <w:r w:rsidRPr="000B52A1">
              <w:rPr>
                <w:rFonts w:eastAsia="Arial" w:cstheme="minorHAnsi"/>
                <w:color w:val="000000"/>
                <w:sz w:val="22"/>
                <w:szCs w:val="22"/>
              </w:rPr>
              <w:br/>
              <w:t>OR not significantly different from controls (p &gt; 0.05)</w:t>
            </w:r>
            <w:r w:rsidRPr="000B52A1">
              <w:rPr>
                <w:rFonts w:eastAsia="Arial" w:cstheme="minorHAnsi"/>
                <w:color w:val="000000"/>
                <w:sz w:val="22"/>
                <w:szCs w:val="22"/>
              </w:rPr>
              <w:br/>
              <w:t xml:space="preserve"> and &lt; 80% control-corrected survival.</w:t>
            </w:r>
          </w:p>
        </w:tc>
        <w:tc>
          <w:tcPr>
            <w:tcW w:w="1170" w:type="dxa"/>
            <w:tcBorders>
              <w:top w:val="single" w:sz="2" w:space="0" w:color="auto"/>
              <w:bottom w:val="single" w:sz="2" w:space="0" w:color="auto"/>
            </w:tcBorders>
            <w:vAlign w:val="center"/>
          </w:tcPr>
          <w:p w14:paraId="1631CC4B" w14:textId="77777777" w:rsidR="002312D4" w:rsidRDefault="002312D4" w:rsidP="004A5609">
            <w:pPr>
              <w:jc w:val="right"/>
            </w:pPr>
            <w:r w:rsidRPr="000B52A1">
              <w:rPr>
                <w:rFonts w:eastAsia="Arial" w:cstheme="minorHAnsi"/>
                <w:color w:val="000000"/>
                <w:sz w:val="22"/>
                <w:szCs w:val="22"/>
              </w:rPr>
              <w:t>74</w:t>
            </w:r>
          </w:p>
        </w:tc>
        <w:tc>
          <w:tcPr>
            <w:tcW w:w="1435" w:type="dxa"/>
            <w:tcBorders>
              <w:top w:val="single" w:sz="2" w:space="0" w:color="auto"/>
              <w:bottom w:val="single" w:sz="2" w:space="0" w:color="auto"/>
            </w:tcBorders>
            <w:vAlign w:val="center"/>
          </w:tcPr>
          <w:p w14:paraId="0F770FB9" w14:textId="77777777" w:rsidR="002312D4" w:rsidRDefault="002312D4" w:rsidP="004A5609">
            <w:pPr>
              <w:jc w:val="right"/>
            </w:pPr>
            <w:r w:rsidRPr="000B52A1">
              <w:rPr>
                <w:rFonts w:eastAsia="Arial" w:cstheme="minorHAnsi"/>
                <w:color w:val="000000"/>
                <w:sz w:val="22"/>
                <w:szCs w:val="22"/>
              </w:rPr>
              <w:t>25.26 ± 5</w:t>
            </w:r>
          </w:p>
        </w:tc>
      </w:tr>
      <w:tr w:rsidR="00406515" w14:paraId="2C249CA4" w14:textId="77777777" w:rsidTr="00DD6EA4">
        <w:tc>
          <w:tcPr>
            <w:tcW w:w="1255" w:type="dxa"/>
            <w:tcBorders>
              <w:top w:val="single" w:sz="2" w:space="0" w:color="auto"/>
              <w:bottom w:val="single" w:sz="2" w:space="0" w:color="auto"/>
            </w:tcBorders>
            <w:vAlign w:val="center"/>
          </w:tcPr>
          <w:p w14:paraId="34B9AAC1" w14:textId="77777777" w:rsidR="002312D4" w:rsidRDefault="002312D4" w:rsidP="00DD6EA4">
            <w:r w:rsidRPr="000B52A1">
              <w:rPr>
                <w:rFonts w:eastAsia="Arial" w:cstheme="minorHAnsi"/>
                <w:color w:val="000000"/>
                <w:sz w:val="22"/>
                <w:szCs w:val="22"/>
              </w:rPr>
              <w:t>Poor</w:t>
            </w:r>
          </w:p>
        </w:tc>
        <w:tc>
          <w:tcPr>
            <w:tcW w:w="5490" w:type="dxa"/>
            <w:tcBorders>
              <w:top w:val="single" w:sz="2" w:space="0" w:color="auto"/>
              <w:bottom w:val="single" w:sz="2" w:space="0" w:color="auto"/>
            </w:tcBorders>
            <w:vAlign w:val="center"/>
          </w:tcPr>
          <w:p w14:paraId="51D88B53" w14:textId="079DAF0A" w:rsidR="002312D4" w:rsidRDefault="002312D4" w:rsidP="00DD6EA4">
            <w:pPr>
              <w:jc w:val="center"/>
            </w:pPr>
            <w:r w:rsidRPr="000B52A1">
              <w:rPr>
                <w:rFonts w:eastAsia="Arial" w:cstheme="minorHAnsi"/>
                <w:color w:val="000000"/>
                <w:sz w:val="22"/>
                <w:szCs w:val="22"/>
              </w:rPr>
              <w:t>Results significantly less than controls (p &lt; 0.05)</w:t>
            </w:r>
            <w:r w:rsidRPr="000B52A1">
              <w:rPr>
                <w:rFonts w:eastAsia="Arial" w:cstheme="minorHAnsi"/>
                <w:color w:val="000000"/>
                <w:sz w:val="22"/>
                <w:szCs w:val="22"/>
              </w:rPr>
              <w:br/>
              <w:t xml:space="preserve"> and &lt; 80% control-corrected survival.</w:t>
            </w:r>
          </w:p>
        </w:tc>
        <w:tc>
          <w:tcPr>
            <w:tcW w:w="1170" w:type="dxa"/>
            <w:tcBorders>
              <w:top w:val="single" w:sz="2" w:space="0" w:color="auto"/>
              <w:bottom w:val="single" w:sz="2" w:space="0" w:color="auto"/>
            </w:tcBorders>
            <w:vAlign w:val="center"/>
          </w:tcPr>
          <w:p w14:paraId="7B65C77D" w14:textId="77777777" w:rsidR="002312D4" w:rsidRDefault="002312D4" w:rsidP="004A5609">
            <w:pPr>
              <w:jc w:val="right"/>
            </w:pPr>
            <w:r w:rsidRPr="000B52A1">
              <w:rPr>
                <w:rFonts w:eastAsia="Arial" w:cstheme="minorHAnsi"/>
                <w:color w:val="000000"/>
                <w:sz w:val="22"/>
                <w:szCs w:val="22"/>
              </w:rPr>
              <w:t>3</w:t>
            </w:r>
          </w:p>
        </w:tc>
        <w:tc>
          <w:tcPr>
            <w:tcW w:w="1435" w:type="dxa"/>
            <w:tcBorders>
              <w:top w:val="single" w:sz="2" w:space="0" w:color="auto"/>
              <w:bottom w:val="single" w:sz="2" w:space="0" w:color="auto"/>
            </w:tcBorders>
            <w:vAlign w:val="center"/>
          </w:tcPr>
          <w:p w14:paraId="0AA30C89" w14:textId="77777777" w:rsidR="002312D4" w:rsidRDefault="002312D4" w:rsidP="004A5609">
            <w:pPr>
              <w:jc w:val="right"/>
            </w:pPr>
            <w:r w:rsidRPr="000B52A1">
              <w:rPr>
                <w:rFonts w:eastAsia="Arial" w:cstheme="minorHAnsi"/>
                <w:color w:val="000000"/>
                <w:sz w:val="22"/>
                <w:szCs w:val="22"/>
              </w:rPr>
              <w:t>1.02 ± 1.16</w:t>
            </w:r>
          </w:p>
        </w:tc>
      </w:tr>
      <w:tr w:rsidR="00406515" w14:paraId="42E30F98" w14:textId="77777777" w:rsidTr="00DD6EA4">
        <w:trPr>
          <w:trHeight w:val="360"/>
        </w:trPr>
        <w:tc>
          <w:tcPr>
            <w:tcW w:w="1255" w:type="dxa"/>
            <w:tcBorders>
              <w:top w:val="single" w:sz="2" w:space="0" w:color="auto"/>
              <w:bottom w:val="single" w:sz="12" w:space="0" w:color="auto"/>
            </w:tcBorders>
            <w:vAlign w:val="center"/>
          </w:tcPr>
          <w:p w14:paraId="139A1440" w14:textId="77777777" w:rsidR="002312D4" w:rsidRPr="007665CA" w:rsidRDefault="002312D4" w:rsidP="00DD6EA4">
            <w:pPr>
              <w:rPr>
                <w:b/>
                <w:bCs/>
              </w:rPr>
            </w:pPr>
            <w:r w:rsidRPr="007665CA">
              <w:rPr>
                <w:rFonts w:eastAsia="Arial" w:cstheme="minorHAnsi"/>
                <w:b/>
                <w:bCs/>
                <w:color w:val="000000"/>
                <w:sz w:val="22"/>
                <w:szCs w:val="22"/>
              </w:rPr>
              <w:t>Total</w:t>
            </w:r>
          </w:p>
        </w:tc>
        <w:tc>
          <w:tcPr>
            <w:tcW w:w="5490" w:type="dxa"/>
            <w:tcBorders>
              <w:top w:val="single" w:sz="2" w:space="0" w:color="auto"/>
              <w:bottom w:val="single" w:sz="12" w:space="0" w:color="auto"/>
            </w:tcBorders>
            <w:vAlign w:val="center"/>
          </w:tcPr>
          <w:p w14:paraId="19079878" w14:textId="77777777" w:rsidR="002312D4" w:rsidRPr="007665CA" w:rsidRDefault="002312D4" w:rsidP="004A5609">
            <w:pPr>
              <w:jc w:val="center"/>
              <w:rPr>
                <w:b/>
                <w:bCs/>
              </w:rPr>
            </w:pPr>
          </w:p>
        </w:tc>
        <w:tc>
          <w:tcPr>
            <w:tcW w:w="1170" w:type="dxa"/>
            <w:tcBorders>
              <w:top w:val="single" w:sz="2" w:space="0" w:color="auto"/>
              <w:bottom w:val="single" w:sz="12" w:space="0" w:color="auto"/>
            </w:tcBorders>
            <w:vAlign w:val="center"/>
          </w:tcPr>
          <w:p w14:paraId="5370F66E" w14:textId="77777777" w:rsidR="002312D4" w:rsidRPr="007665CA" w:rsidRDefault="002312D4">
            <w:pPr>
              <w:jc w:val="right"/>
              <w:rPr>
                <w:b/>
                <w:bCs/>
              </w:rPr>
            </w:pPr>
            <w:r w:rsidRPr="007665CA">
              <w:rPr>
                <w:rFonts w:eastAsia="Arial" w:cstheme="minorHAnsi"/>
                <w:b/>
                <w:bCs/>
                <w:color w:val="000000"/>
                <w:sz w:val="22"/>
                <w:szCs w:val="22"/>
              </w:rPr>
              <w:t>293</w:t>
            </w:r>
          </w:p>
        </w:tc>
        <w:tc>
          <w:tcPr>
            <w:tcW w:w="1435" w:type="dxa"/>
            <w:tcBorders>
              <w:top w:val="single" w:sz="2" w:space="0" w:color="auto"/>
              <w:bottom w:val="single" w:sz="12" w:space="0" w:color="auto"/>
            </w:tcBorders>
            <w:vAlign w:val="center"/>
          </w:tcPr>
          <w:p w14:paraId="2FAAB4B3" w14:textId="77777777" w:rsidR="002312D4" w:rsidRDefault="002312D4"/>
        </w:tc>
      </w:tr>
    </w:tbl>
    <w:p w14:paraId="7E8B69EC" w14:textId="77777777" w:rsidR="00B0222E" w:rsidRDefault="00B0222E" w:rsidP="00B0222E">
      <w:pPr>
        <w:pStyle w:val="TableCaption"/>
      </w:pPr>
      <w:r w:rsidRPr="00B0222E">
        <w:rPr>
          <w:vertAlign w:val="superscript"/>
        </w:rPr>
        <w:t>1</w:t>
      </w:r>
      <w:r w:rsidRPr="000F59F4">
        <w:t xml:space="preserve"> </w:t>
      </w:r>
      <w:r>
        <w:t>E</w:t>
      </w:r>
      <w:r w:rsidRPr="000F59F4">
        <w:t>stimated percentage</w:t>
      </w:r>
      <w:r>
        <w:t xml:space="preserve"> (</w:t>
      </w:r>
      <w:r w:rsidRPr="00224A2F">
        <w:t>+/- 95% confidence limits</w:t>
      </w:r>
      <w:r>
        <w:t xml:space="preserve">) </w:t>
      </w:r>
      <w:r w:rsidRPr="000F59F4">
        <w:t>of Virginia’s smaller estuarine waters</w:t>
      </w:r>
      <w:r>
        <w:t xml:space="preserve"> (&lt; 100 sq km drainage)</w:t>
      </w:r>
      <w:r w:rsidRPr="000F59F4">
        <w:t xml:space="preserve"> </w:t>
      </w:r>
      <w:r>
        <w:t>with</w:t>
      </w:r>
      <w:r w:rsidRPr="000F59F4">
        <w:t xml:space="preserve"> indicated </w:t>
      </w:r>
      <w:r>
        <w:t>sediment toxicity</w:t>
      </w:r>
      <w:r w:rsidRPr="000F59F4">
        <w:t xml:space="preserve"> condition. </w:t>
      </w:r>
      <w:r>
        <w:t>As e</w:t>
      </w:r>
      <w:r w:rsidRPr="000F59F4">
        <w:t xml:space="preserve">stimated using data from DEQ’s estuarine probabilistic monitoring program and EPA’s National Coastal Condition Assessment </w:t>
      </w:r>
      <w:r>
        <w:t>program. Approximately 95% of stations are from smaller estuaries (&lt; 100 sq km drainage) and approximately 5% of stations are from Chesapeake Bay mainstem.</w:t>
      </w:r>
    </w:p>
    <w:p w14:paraId="759F1BD5" w14:textId="77777777" w:rsidR="00384EF5" w:rsidRPr="000B52A1" w:rsidRDefault="00384EF5" w:rsidP="00B24DA4"/>
    <w:p w14:paraId="5C09E3A6" w14:textId="77777777" w:rsidR="0030653F" w:rsidRPr="000B52A1" w:rsidRDefault="0030653F" w:rsidP="00C5533C">
      <w:pPr>
        <w:pStyle w:val="Heading4"/>
        <w:rPr>
          <w:rFonts w:cstheme="minorHAnsi"/>
        </w:rPr>
      </w:pPr>
      <w:bookmarkStart w:id="282" w:name="sediment-quality-index"/>
      <w:bookmarkEnd w:id="279"/>
      <w:r w:rsidRPr="000B52A1">
        <w:rPr>
          <w:rFonts w:cstheme="minorHAnsi"/>
        </w:rPr>
        <w:t>Sediment Quality Index</w:t>
      </w:r>
    </w:p>
    <w:p w14:paraId="026F43CE" w14:textId="7AD32A95" w:rsidR="0030653F" w:rsidRPr="000B52A1" w:rsidRDefault="005737FE" w:rsidP="007665CA">
      <w:r w:rsidRPr="000B52A1">
        <w:t>The NCCA has traditionally integrated the Sediment Chemistry Index (SCI) and the sediment toxicity results into a single Sediment Quality Index (SQI), to evaluate whether the sediment at a station is “highly likely or not likely to cause adverse effects to benthic organisms” (</w:t>
      </w:r>
      <w:r w:rsidRPr="0086654B">
        <w:rPr>
          <w:rFonts w:cstheme="minorHAnsi"/>
        </w:rPr>
        <w:t xml:space="preserve">U.S. EPA </w:t>
      </w:r>
      <w:r w:rsidRPr="0086654B">
        <w:rPr>
          <w:rFonts w:cstheme="minorHAnsi"/>
        </w:rPr>
        <w:lastRenderedPageBreak/>
        <w:t>2016</w:t>
      </w:r>
      <w:r w:rsidRPr="000B52A1">
        <w:t xml:space="preserve">). Using the same </w:t>
      </w:r>
      <w:r>
        <w:t>benchmarks</w:t>
      </w:r>
      <w:r w:rsidRPr="000B52A1">
        <w:t xml:space="preserve"> as for generalized </w:t>
      </w:r>
      <w:r>
        <w:t>regional</w:t>
      </w:r>
      <w:r w:rsidRPr="000B52A1">
        <w:t xml:space="preserve"> water quality (Table </w:t>
      </w:r>
      <w:r>
        <w:t>4.5-</w:t>
      </w:r>
      <w:r w:rsidRPr="000B52A1">
        <w:t>11), Virginia’s estuarine waters</w:t>
      </w:r>
      <w:r>
        <w:t xml:space="preserve"> - with analysis biased toward smaller estuaries (&lt; 100 sq km drainage) as described earlier - are estimated to be in </w:t>
      </w:r>
      <w:r w:rsidRPr="000B52A1">
        <w:t xml:space="preserve">“Fair” </w:t>
      </w:r>
      <w:r>
        <w:t xml:space="preserve">condition </w:t>
      </w:r>
      <w:r w:rsidRPr="000B52A1">
        <w:t>for sediment quality</w:t>
      </w:r>
      <w:r>
        <w:t xml:space="preserve"> following NCCA guidelines</w:t>
      </w:r>
      <w:r w:rsidRPr="000B52A1">
        <w:t xml:space="preserve">, because 10 to 20% of the stations are in “Poor” condition, or 50% or fewer of the stations are in “Good” condition (Table </w:t>
      </w:r>
      <w:r>
        <w:t>4.5-</w:t>
      </w:r>
      <w:r w:rsidRPr="000B52A1">
        <w:t>20).</w:t>
      </w:r>
      <w:r w:rsidRPr="006F1E44">
        <w:t xml:space="preserve"> </w:t>
      </w:r>
      <w:r>
        <w:t>This SQI characterization is not representative of Chesapeake Bay mainstem or the lower tidal portions of its major tributaries.</w:t>
      </w:r>
      <w:r w:rsidR="007665CA">
        <w:br/>
      </w:r>
    </w:p>
    <w:p w14:paraId="326418A8" w14:textId="51A6DC4C" w:rsidR="00DE7DA8" w:rsidRPr="00D237D4" w:rsidRDefault="00122632">
      <w:pPr>
        <w:pStyle w:val="Caption"/>
        <w:keepNext/>
      </w:pPr>
      <w:bookmarkStart w:id="283" w:name="tab:tab-sqi"/>
      <w:bookmarkStart w:id="284" w:name="_Toc164175210"/>
      <w:bookmarkEnd w:id="283"/>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20</w:t>
      </w:r>
      <w:r w:rsidR="004F13BA">
        <w:rPr>
          <w:noProof/>
        </w:rPr>
        <w:fldChar w:fldCharType="end"/>
      </w:r>
      <w:r>
        <w:t xml:space="preserve">. </w:t>
      </w:r>
      <w:r w:rsidR="00DE7DA8">
        <w:t xml:space="preserve">Estimated </w:t>
      </w:r>
      <w:r w:rsidR="00DE7DA8" w:rsidRPr="0A5BE548">
        <w:rPr>
          <w:rFonts w:cstheme="minorBidi"/>
        </w:rPr>
        <w:t>Sediment Quality Index (SQI) conditions</w:t>
      </w:r>
      <w:bookmarkEnd w:id="284"/>
      <w:r w:rsidR="00DE7DA8" w:rsidRPr="0A5BE548">
        <w:rPr>
          <w:rFonts w:cstheme="minorBidi"/>
        </w:rPr>
        <w:t xml:space="preserve"> </w:t>
      </w:r>
      <w:r w:rsidR="00DE7DA8">
        <w:t xml:space="preserve">in Virginia’s estuarine waters, </w:t>
      </w:r>
      <w:r w:rsidR="00DE7DA8" w:rsidRPr="0A5BE548">
        <w:rPr>
          <w:rFonts w:cstheme="minorBidi"/>
        </w:rPr>
        <w:t>based on Sediment Chemistry Index (SCI) and sediment toxicity results, 2017-2022. Conditions and benchmarks are from U.S. EPA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Sediment Quality Index (SQI) conditions based on Sediment Chemistry Index (SCI) and sediment toxicity results, 2017-2022. Benchmarks follow NCCA 2015 benchmarks."/>
        <w:tblDescription w:val="Sediment Quality Index (SQI) conditions based on Sediment Chemistry Index (SCI) and sediment toxicity results, 2017-2022. Benchmarks follow NCCA 2015 benchmarks."/>
      </w:tblPr>
      <w:tblGrid>
        <w:gridCol w:w="1615"/>
        <w:gridCol w:w="3960"/>
        <w:gridCol w:w="1437"/>
        <w:gridCol w:w="2338"/>
      </w:tblGrid>
      <w:tr w:rsidR="00AF34CC" w14:paraId="0685EB5A" w14:textId="77777777" w:rsidTr="0036626F">
        <w:trPr>
          <w:trHeight w:val="360"/>
        </w:trPr>
        <w:tc>
          <w:tcPr>
            <w:tcW w:w="1615" w:type="dxa"/>
            <w:tcBorders>
              <w:top w:val="single" w:sz="12" w:space="0" w:color="auto"/>
              <w:bottom w:val="single" w:sz="2" w:space="0" w:color="auto"/>
            </w:tcBorders>
            <w:vAlign w:val="center"/>
          </w:tcPr>
          <w:p w14:paraId="2D8A4197" w14:textId="77777777" w:rsidR="00AF34CC" w:rsidRDefault="00AF34CC">
            <w:r w:rsidRPr="000B52A1">
              <w:rPr>
                <w:rFonts w:eastAsia="Arial" w:cstheme="minorHAnsi"/>
                <w:b/>
                <w:color w:val="000000"/>
                <w:sz w:val="22"/>
                <w:szCs w:val="22"/>
              </w:rPr>
              <w:t>SQI Condition</w:t>
            </w:r>
          </w:p>
        </w:tc>
        <w:tc>
          <w:tcPr>
            <w:tcW w:w="3960" w:type="dxa"/>
            <w:tcBorders>
              <w:top w:val="single" w:sz="12" w:space="0" w:color="auto"/>
              <w:bottom w:val="single" w:sz="2" w:space="0" w:color="auto"/>
            </w:tcBorders>
            <w:vAlign w:val="center"/>
          </w:tcPr>
          <w:p w14:paraId="2C030962" w14:textId="77777777" w:rsidR="00AF34CC" w:rsidRDefault="00AF34CC">
            <w:r w:rsidRPr="000B52A1">
              <w:rPr>
                <w:rFonts w:eastAsia="Arial" w:cstheme="minorHAnsi"/>
                <w:b/>
                <w:color w:val="000000"/>
                <w:sz w:val="22"/>
                <w:szCs w:val="22"/>
              </w:rPr>
              <w:t>SQI Benchmarks</w:t>
            </w:r>
          </w:p>
        </w:tc>
        <w:tc>
          <w:tcPr>
            <w:tcW w:w="1437" w:type="dxa"/>
            <w:tcBorders>
              <w:top w:val="single" w:sz="12" w:space="0" w:color="auto"/>
              <w:bottom w:val="single" w:sz="2" w:space="0" w:color="auto"/>
            </w:tcBorders>
            <w:vAlign w:val="center"/>
          </w:tcPr>
          <w:p w14:paraId="0B8BD20A" w14:textId="77777777" w:rsidR="00AF34CC" w:rsidRDefault="00AF34CC">
            <w:r w:rsidRPr="000B52A1">
              <w:rPr>
                <w:rFonts w:eastAsia="Arial" w:cstheme="minorHAnsi"/>
                <w:b/>
                <w:color w:val="000000"/>
                <w:sz w:val="22"/>
                <w:szCs w:val="22"/>
              </w:rPr>
              <w:t>Stations</w:t>
            </w:r>
          </w:p>
        </w:tc>
        <w:tc>
          <w:tcPr>
            <w:tcW w:w="2338" w:type="dxa"/>
            <w:tcBorders>
              <w:top w:val="single" w:sz="12" w:space="0" w:color="auto"/>
              <w:bottom w:val="single" w:sz="2" w:space="0" w:color="auto"/>
            </w:tcBorders>
            <w:vAlign w:val="center"/>
          </w:tcPr>
          <w:p w14:paraId="0E059085" w14:textId="21D685AA" w:rsidR="00AF34CC" w:rsidRDefault="00AF34CC">
            <w:r w:rsidRPr="000B52A1">
              <w:rPr>
                <w:rFonts w:eastAsia="Arial" w:cstheme="minorHAnsi"/>
                <w:b/>
                <w:color w:val="000000"/>
                <w:sz w:val="22"/>
                <w:szCs w:val="22"/>
              </w:rPr>
              <w:t>Percentage</w:t>
            </w:r>
            <w:r w:rsidR="004C0CED" w:rsidRPr="004C0CED">
              <w:rPr>
                <w:rFonts w:eastAsia="Arial" w:cstheme="minorHAnsi"/>
                <w:b/>
                <w:color w:val="000000"/>
                <w:sz w:val="22"/>
                <w:szCs w:val="22"/>
                <w:vertAlign w:val="superscript"/>
              </w:rPr>
              <w:t>1</w:t>
            </w:r>
          </w:p>
        </w:tc>
      </w:tr>
      <w:tr w:rsidR="00AF34CC" w14:paraId="558D67FC" w14:textId="77777777" w:rsidTr="0036626F">
        <w:trPr>
          <w:trHeight w:val="360"/>
        </w:trPr>
        <w:tc>
          <w:tcPr>
            <w:tcW w:w="1615" w:type="dxa"/>
            <w:tcBorders>
              <w:top w:val="single" w:sz="2" w:space="0" w:color="auto"/>
            </w:tcBorders>
            <w:vAlign w:val="center"/>
          </w:tcPr>
          <w:p w14:paraId="5AA2958A" w14:textId="77777777" w:rsidR="00AF34CC" w:rsidRDefault="00AF34CC">
            <w:r w:rsidRPr="000B52A1">
              <w:rPr>
                <w:rFonts w:eastAsia="Arial" w:cstheme="minorHAnsi"/>
                <w:color w:val="000000"/>
                <w:sz w:val="22"/>
                <w:szCs w:val="22"/>
              </w:rPr>
              <w:t>Good</w:t>
            </w:r>
          </w:p>
        </w:tc>
        <w:tc>
          <w:tcPr>
            <w:tcW w:w="3960" w:type="dxa"/>
            <w:tcBorders>
              <w:top w:val="single" w:sz="2" w:space="0" w:color="auto"/>
            </w:tcBorders>
            <w:vAlign w:val="center"/>
          </w:tcPr>
          <w:p w14:paraId="2A4FB1AA" w14:textId="77777777" w:rsidR="00AF34CC" w:rsidRDefault="00AF34CC">
            <w:r w:rsidRPr="000B52A1">
              <w:rPr>
                <w:rFonts w:eastAsia="Arial" w:cstheme="minorHAnsi"/>
                <w:color w:val="000000"/>
                <w:sz w:val="22"/>
                <w:szCs w:val="22"/>
              </w:rPr>
              <w:t>Toxicity and Chemistry = Good</w:t>
            </w:r>
          </w:p>
        </w:tc>
        <w:tc>
          <w:tcPr>
            <w:tcW w:w="1437" w:type="dxa"/>
            <w:tcBorders>
              <w:top w:val="single" w:sz="2" w:space="0" w:color="auto"/>
            </w:tcBorders>
            <w:vAlign w:val="center"/>
          </w:tcPr>
          <w:p w14:paraId="4E5F9B20" w14:textId="77777777" w:rsidR="00AF34CC" w:rsidRDefault="00AF34CC">
            <w:r w:rsidRPr="000B52A1">
              <w:rPr>
                <w:rFonts w:eastAsia="Arial" w:cstheme="minorHAnsi"/>
                <w:color w:val="000000"/>
                <w:sz w:val="22"/>
                <w:szCs w:val="22"/>
              </w:rPr>
              <w:t>103</w:t>
            </w:r>
          </w:p>
        </w:tc>
        <w:tc>
          <w:tcPr>
            <w:tcW w:w="2338" w:type="dxa"/>
            <w:tcBorders>
              <w:top w:val="single" w:sz="2" w:space="0" w:color="auto"/>
            </w:tcBorders>
            <w:vAlign w:val="center"/>
          </w:tcPr>
          <w:p w14:paraId="44CF08B2" w14:textId="77777777" w:rsidR="00AF34CC" w:rsidRDefault="00AF34CC">
            <w:r w:rsidRPr="000B52A1">
              <w:rPr>
                <w:rFonts w:eastAsia="Arial" w:cstheme="minorHAnsi"/>
                <w:color w:val="000000"/>
                <w:sz w:val="22"/>
                <w:szCs w:val="22"/>
              </w:rPr>
              <w:t>34.56 ± 5.42</w:t>
            </w:r>
          </w:p>
        </w:tc>
      </w:tr>
      <w:tr w:rsidR="00AF34CC" w14:paraId="305F4193" w14:textId="77777777" w:rsidTr="0036626F">
        <w:trPr>
          <w:trHeight w:val="360"/>
        </w:trPr>
        <w:tc>
          <w:tcPr>
            <w:tcW w:w="1615" w:type="dxa"/>
            <w:vAlign w:val="center"/>
          </w:tcPr>
          <w:p w14:paraId="2CDB07CA" w14:textId="77777777" w:rsidR="00AF34CC" w:rsidRDefault="00AF34CC">
            <w:r w:rsidRPr="000B52A1">
              <w:rPr>
                <w:rFonts w:eastAsia="Arial" w:cstheme="minorHAnsi"/>
                <w:color w:val="000000"/>
                <w:sz w:val="22"/>
                <w:szCs w:val="22"/>
              </w:rPr>
              <w:t>Fair</w:t>
            </w:r>
          </w:p>
        </w:tc>
        <w:tc>
          <w:tcPr>
            <w:tcW w:w="3960" w:type="dxa"/>
            <w:vAlign w:val="center"/>
          </w:tcPr>
          <w:p w14:paraId="69C690AB" w14:textId="77777777" w:rsidR="00AF34CC" w:rsidRDefault="00AF34CC">
            <w:r w:rsidRPr="000B52A1">
              <w:rPr>
                <w:rFonts w:eastAsia="Arial" w:cstheme="minorHAnsi"/>
                <w:color w:val="000000"/>
                <w:sz w:val="22"/>
                <w:szCs w:val="22"/>
              </w:rPr>
              <w:t>Toxicity and/or Chemistry = Fair</w:t>
            </w:r>
          </w:p>
        </w:tc>
        <w:tc>
          <w:tcPr>
            <w:tcW w:w="1437" w:type="dxa"/>
            <w:vAlign w:val="center"/>
          </w:tcPr>
          <w:p w14:paraId="01A8EA7C" w14:textId="77777777" w:rsidR="00AF34CC" w:rsidRDefault="00AF34CC">
            <w:r w:rsidRPr="000B52A1">
              <w:rPr>
                <w:rFonts w:eastAsia="Arial" w:cstheme="minorHAnsi"/>
                <w:color w:val="000000"/>
                <w:sz w:val="22"/>
                <w:szCs w:val="22"/>
              </w:rPr>
              <w:t>148</w:t>
            </w:r>
          </w:p>
        </w:tc>
        <w:tc>
          <w:tcPr>
            <w:tcW w:w="2338" w:type="dxa"/>
            <w:vAlign w:val="center"/>
          </w:tcPr>
          <w:p w14:paraId="48383BE9" w14:textId="77777777" w:rsidR="00AF34CC" w:rsidRDefault="00AF34CC">
            <w:r w:rsidRPr="000B52A1">
              <w:rPr>
                <w:rFonts w:eastAsia="Arial" w:cstheme="minorHAnsi"/>
                <w:color w:val="000000"/>
                <w:sz w:val="22"/>
                <w:szCs w:val="22"/>
              </w:rPr>
              <w:t>49.66 ± 5.7</w:t>
            </w:r>
          </w:p>
        </w:tc>
      </w:tr>
      <w:tr w:rsidR="00AF34CC" w14:paraId="2AD2688A" w14:textId="77777777" w:rsidTr="00844E43">
        <w:trPr>
          <w:trHeight w:val="360"/>
        </w:trPr>
        <w:tc>
          <w:tcPr>
            <w:tcW w:w="1615" w:type="dxa"/>
            <w:tcBorders>
              <w:bottom w:val="single" w:sz="2" w:space="0" w:color="auto"/>
            </w:tcBorders>
            <w:vAlign w:val="center"/>
          </w:tcPr>
          <w:p w14:paraId="516360DE" w14:textId="77777777" w:rsidR="00AF34CC" w:rsidRDefault="00AF34CC">
            <w:r w:rsidRPr="000B52A1">
              <w:rPr>
                <w:rFonts w:eastAsia="Arial" w:cstheme="minorHAnsi"/>
                <w:color w:val="000000"/>
                <w:sz w:val="22"/>
                <w:szCs w:val="22"/>
              </w:rPr>
              <w:t>Poor</w:t>
            </w:r>
          </w:p>
        </w:tc>
        <w:tc>
          <w:tcPr>
            <w:tcW w:w="3960" w:type="dxa"/>
            <w:tcBorders>
              <w:bottom w:val="single" w:sz="2" w:space="0" w:color="auto"/>
            </w:tcBorders>
            <w:vAlign w:val="center"/>
          </w:tcPr>
          <w:p w14:paraId="6C8814E3" w14:textId="77777777" w:rsidR="00AF34CC" w:rsidRDefault="00AF34CC">
            <w:r w:rsidRPr="000B52A1">
              <w:rPr>
                <w:rFonts w:eastAsia="Arial" w:cstheme="minorHAnsi"/>
                <w:color w:val="000000"/>
                <w:sz w:val="22"/>
                <w:szCs w:val="22"/>
              </w:rPr>
              <w:t>Toxicity and/or Chemistry = Poor</w:t>
            </w:r>
          </w:p>
        </w:tc>
        <w:tc>
          <w:tcPr>
            <w:tcW w:w="1437" w:type="dxa"/>
            <w:tcBorders>
              <w:bottom w:val="single" w:sz="2" w:space="0" w:color="auto"/>
            </w:tcBorders>
            <w:vAlign w:val="center"/>
          </w:tcPr>
          <w:p w14:paraId="3B964C6A" w14:textId="77777777" w:rsidR="00AF34CC" w:rsidRDefault="00AF34CC">
            <w:r w:rsidRPr="000B52A1">
              <w:rPr>
                <w:rFonts w:eastAsia="Arial" w:cstheme="minorHAnsi"/>
                <w:color w:val="000000"/>
                <w:sz w:val="22"/>
                <w:szCs w:val="22"/>
              </w:rPr>
              <w:t>47</w:t>
            </w:r>
          </w:p>
        </w:tc>
        <w:tc>
          <w:tcPr>
            <w:tcW w:w="2338" w:type="dxa"/>
            <w:tcBorders>
              <w:bottom w:val="single" w:sz="2" w:space="0" w:color="auto"/>
            </w:tcBorders>
            <w:vAlign w:val="center"/>
          </w:tcPr>
          <w:p w14:paraId="0FFE5368" w14:textId="77777777" w:rsidR="00AF34CC" w:rsidRDefault="00AF34CC">
            <w:r w:rsidRPr="000B52A1">
              <w:rPr>
                <w:rFonts w:eastAsia="Arial" w:cstheme="minorHAnsi"/>
                <w:color w:val="000000"/>
                <w:sz w:val="22"/>
                <w:szCs w:val="22"/>
              </w:rPr>
              <w:t>15.77 ± 4.16</w:t>
            </w:r>
          </w:p>
        </w:tc>
      </w:tr>
      <w:tr w:rsidR="00AF34CC" w14:paraId="7A584E9C" w14:textId="77777777" w:rsidTr="00844E43">
        <w:trPr>
          <w:trHeight w:val="360"/>
        </w:trPr>
        <w:tc>
          <w:tcPr>
            <w:tcW w:w="1615" w:type="dxa"/>
            <w:tcBorders>
              <w:top w:val="single" w:sz="2" w:space="0" w:color="auto"/>
              <w:bottom w:val="single" w:sz="12" w:space="0" w:color="auto"/>
            </w:tcBorders>
            <w:vAlign w:val="center"/>
          </w:tcPr>
          <w:p w14:paraId="650152F8" w14:textId="77777777" w:rsidR="00AF34CC" w:rsidRDefault="00AF34CC">
            <w:r w:rsidRPr="000B52A1">
              <w:rPr>
                <w:rFonts w:eastAsia="Arial" w:cstheme="minorHAnsi"/>
                <w:color w:val="000000"/>
                <w:sz w:val="22"/>
                <w:szCs w:val="22"/>
              </w:rPr>
              <w:t>Total</w:t>
            </w:r>
          </w:p>
        </w:tc>
        <w:tc>
          <w:tcPr>
            <w:tcW w:w="3960" w:type="dxa"/>
            <w:tcBorders>
              <w:top w:val="single" w:sz="2" w:space="0" w:color="auto"/>
              <w:bottom w:val="single" w:sz="12" w:space="0" w:color="auto"/>
            </w:tcBorders>
            <w:vAlign w:val="center"/>
          </w:tcPr>
          <w:p w14:paraId="7ED8CFF4" w14:textId="77777777" w:rsidR="00AF34CC" w:rsidRDefault="00AF34CC"/>
        </w:tc>
        <w:tc>
          <w:tcPr>
            <w:tcW w:w="1437" w:type="dxa"/>
            <w:tcBorders>
              <w:top w:val="single" w:sz="2" w:space="0" w:color="auto"/>
              <w:bottom w:val="single" w:sz="12" w:space="0" w:color="auto"/>
            </w:tcBorders>
            <w:vAlign w:val="center"/>
          </w:tcPr>
          <w:p w14:paraId="5EAEB801" w14:textId="77777777" w:rsidR="00AF34CC" w:rsidRDefault="00AF34CC">
            <w:r w:rsidRPr="000B52A1">
              <w:rPr>
                <w:rFonts w:eastAsia="Arial" w:cstheme="minorHAnsi"/>
                <w:color w:val="000000"/>
                <w:sz w:val="22"/>
                <w:szCs w:val="22"/>
              </w:rPr>
              <w:t>298</w:t>
            </w:r>
          </w:p>
        </w:tc>
        <w:tc>
          <w:tcPr>
            <w:tcW w:w="2338" w:type="dxa"/>
            <w:tcBorders>
              <w:top w:val="single" w:sz="2" w:space="0" w:color="auto"/>
              <w:bottom w:val="single" w:sz="12" w:space="0" w:color="auto"/>
            </w:tcBorders>
            <w:vAlign w:val="center"/>
          </w:tcPr>
          <w:p w14:paraId="6FD5DBA5" w14:textId="77777777" w:rsidR="00AF34CC" w:rsidRDefault="00AF34CC"/>
        </w:tc>
      </w:tr>
    </w:tbl>
    <w:p w14:paraId="7F0F8E31" w14:textId="77777777" w:rsidR="00617C1B" w:rsidRDefault="00617C1B" w:rsidP="00617C1B">
      <w:pPr>
        <w:pStyle w:val="TableCaption"/>
      </w:pPr>
      <w:r w:rsidRPr="004C0CED">
        <w:rPr>
          <w:vertAlign w:val="superscript"/>
        </w:rPr>
        <w:t>1</w:t>
      </w:r>
      <w:r w:rsidRPr="000F59F4">
        <w:t xml:space="preserve"> </w:t>
      </w:r>
      <w:r>
        <w:t>E</w:t>
      </w:r>
      <w:r w:rsidRPr="000F59F4">
        <w:t>stimated percentage</w:t>
      </w:r>
      <w:r>
        <w:t xml:space="preserve"> (</w:t>
      </w:r>
      <w:r w:rsidRPr="00224A2F">
        <w:t>+/- 95% confidence limits</w:t>
      </w:r>
      <w:r>
        <w:t xml:space="preserve">) </w:t>
      </w:r>
      <w:r w:rsidRPr="000F59F4">
        <w:t>of Virginia’s smaller estuarine waters</w:t>
      </w:r>
      <w:r>
        <w:t xml:space="preserve"> (&lt; 100 sq km)</w:t>
      </w:r>
      <w:r w:rsidRPr="000F59F4">
        <w:t xml:space="preserve"> </w:t>
      </w:r>
      <w:r>
        <w:t>with</w:t>
      </w:r>
      <w:r w:rsidRPr="000F59F4">
        <w:t xml:space="preserve"> indicated </w:t>
      </w:r>
      <w:r>
        <w:t>sediment</w:t>
      </w:r>
      <w:r w:rsidRPr="000F59F4">
        <w:t xml:space="preserve"> quality condition. </w:t>
      </w:r>
      <w:r>
        <w:t>As e</w:t>
      </w:r>
      <w:r w:rsidRPr="000F59F4">
        <w:t xml:space="preserve">stimated using data from DEQ’s estuarine probabilistic monitoring program and EPA’s National Coastal Condition Assessment </w:t>
      </w:r>
      <w:r>
        <w:t>program. Approximately 95% of stations are from smaller estuaries (&lt; 100 sq km) and approximately 5% of stations are from Chesapeake Bay mainstem.</w:t>
      </w:r>
    </w:p>
    <w:p w14:paraId="25861CF2" w14:textId="3DD29443" w:rsidR="00AF34CC" w:rsidRPr="000B52A1" w:rsidRDefault="00AF34CC" w:rsidP="007665CA"/>
    <w:p w14:paraId="1E5E59D8" w14:textId="158BDB48" w:rsidR="0030653F" w:rsidRPr="000B52A1" w:rsidRDefault="0030653F" w:rsidP="00C5533C">
      <w:pPr>
        <w:pStyle w:val="Heading3"/>
        <w:rPr>
          <w:rFonts w:cstheme="minorHAnsi"/>
        </w:rPr>
      </w:pPr>
      <w:bookmarkStart w:id="285" w:name="benthic-community-condition"/>
      <w:bookmarkEnd w:id="260"/>
      <w:bookmarkEnd w:id="282"/>
      <w:r w:rsidRPr="000B52A1">
        <w:rPr>
          <w:rFonts w:cstheme="minorHAnsi"/>
        </w:rPr>
        <w:t>Benthic Community Condition</w:t>
      </w:r>
    </w:p>
    <w:p w14:paraId="24A970FD" w14:textId="7B257787" w:rsidR="0030653F" w:rsidRPr="000B52A1" w:rsidRDefault="0030653F" w:rsidP="0036626F">
      <w:r w:rsidRPr="000B52A1">
        <w:t xml:space="preserve">A benthic index, certain types of which are commonly referred to as a Benthic Index of Biological Integrity (B-IBI), is a scientific tool used to identify, classify, and interpret the structure and function of benthic communities, often in relation to environmental stressors such as water pollution. Such indices are generally derived from the results of local or regional benthic </w:t>
      </w:r>
      <w:r w:rsidR="00272E16" w:rsidRPr="000B52A1">
        <w:t>surveys and</w:t>
      </w:r>
      <w:r w:rsidRPr="000B52A1">
        <w:t xml:space="preserve"> are consequently geographically restricted in their application. There are several commonly applied regional benthic indices that are appropriate for use in Virginia’s estuarine waters: the Chesapeake Bay Program B-IBI (CBP B-IBI; </w:t>
      </w:r>
      <w:r w:rsidRPr="0086654B">
        <w:rPr>
          <w:rFonts w:cstheme="minorHAnsi"/>
        </w:rPr>
        <w:t>Weisberg et al. 1997</w:t>
      </w:r>
      <w:r w:rsidRPr="000B52A1">
        <w:t xml:space="preserve">), the Mid-Atlantic Integrated Assessment B-IBI (MAIA B-IBI; </w:t>
      </w:r>
      <w:proofErr w:type="spellStart"/>
      <w:r w:rsidRPr="0086654B">
        <w:rPr>
          <w:rFonts w:cstheme="minorHAnsi"/>
        </w:rPr>
        <w:t>Llansó</w:t>
      </w:r>
      <w:proofErr w:type="spellEnd"/>
      <w:r w:rsidRPr="0086654B">
        <w:rPr>
          <w:rFonts w:cstheme="minorHAnsi"/>
        </w:rPr>
        <w:t xml:space="preserve"> et al. 2002a</w:t>
      </w:r>
      <w:r w:rsidRPr="000B52A1">
        <w:t xml:space="preserve">; </w:t>
      </w:r>
      <w:r w:rsidRPr="0086654B">
        <w:rPr>
          <w:rFonts w:cstheme="minorHAnsi"/>
        </w:rPr>
        <w:t>2002b</w:t>
      </w:r>
      <w:r w:rsidRPr="000B52A1">
        <w:t xml:space="preserve">) and the EMAP Index of Estuarine Condition for the Virginian Biogeographic Province (EMAP VP-IEC; </w:t>
      </w:r>
      <w:r w:rsidRPr="0086654B">
        <w:rPr>
          <w:rFonts w:cstheme="minorHAnsi"/>
        </w:rPr>
        <w:t>Paul et al. 2001</w:t>
      </w:r>
      <w:r w:rsidRPr="000B52A1">
        <w:t>). A fourth benthic index, the US M-AMBI, has been adapted by EPA from a well-established European benthic index (</w:t>
      </w:r>
      <w:r w:rsidRPr="0086654B">
        <w:rPr>
          <w:rFonts w:cstheme="minorHAnsi"/>
        </w:rPr>
        <w:t>Pelletier et al. 2018</w:t>
      </w:r>
      <w:r w:rsidRPr="000B52A1">
        <w:t>). It was first evaluated by DEQ for potential inclusion in future weight-of-evidence assessments in 2018. The US M-AMBI was eventually included as a fourth benthic index assimilated into weight-of-evidence assessments from 2019 onward.</w:t>
      </w:r>
      <w:r w:rsidR="0036626F">
        <w:br/>
      </w:r>
    </w:p>
    <w:p w14:paraId="13605242" w14:textId="74CE55EC" w:rsidR="0030653F" w:rsidRPr="000B52A1" w:rsidRDefault="0030653F" w:rsidP="0036626F">
      <w:r w:rsidRPr="000B52A1">
        <w:t xml:space="preserve">Each of the benthic indices currently employed has its own published scale of values and </w:t>
      </w:r>
      <w:r w:rsidR="00982135">
        <w:t>benchmarks</w:t>
      </w:r>
      <w:r w:rsidRPr="000B52A1">
        <w:t xml:space="preserve"> for benthic characterizations. DEQ uses slightly modified scales of </w:t>
      </w:r>
      <w:r w:rsidR="00982135">
        <w:t>benchmark</w:t>
      </w:r>
      <w:r w:rsidRPr="000B52A1">
        <w:t xml:space="preserve"> values for MAIA, EMAP, and M-AMBI indices </w:t>
      </w:r>
      <w:proofErr w:type="gramStart"/>
      <w:r w:rsidRPr="000B52A1">
        <w:t>in order to</w:t>
      </w:r>
      <w:proofErr w:type="gramEnd"/>
      <w:r w:rsidRPr="000B52A1">
        <w:t xml:space="preserve"> better delineate between “Poor” and “Very Poor”, and to make comparisons between all indices more uniform (Table </w:t>
      </w:r>
      <w:r w:rsidR="0037329B">
        <w:t>4.5-</w:t>
      </w:r>
      <w:r w:rsidRPr="000B52A1">
        <w:t xml:space="preserve">21). Determination of modified </w:t>
      </w:r>
      <w:r w:rsidR="00F85FAC">
        <w:t>benchmark</w:t>
      </w:r>
      <w:r w:rsidRPr="000B52A1">
        <w:t xml:space="preserve"> values was guided by summary statistics (e.g., percentile, minimum, and maximum values) using a decade of data from over 600 stations.</w:t>
      </w:r>
      <w:r w:rsidR="0036626F">
        <w:br/>
      </w:r>
      <w:r w:rsidR="009D26AD">
        <w:br/>
      </w:r>
    </w:p>
    <w:p w14:paraId="4478ED13" w14:textId="60522C7D" w:rsidR="00170E8D" w:rsidRPr="00170E8D" w:rsidRDefault="00170E8D" w:rsidP="00170E8D">
      <w:pPr>
        <w:pStyle w:val="TableCaption"/>
        <w:rPr>
          <w:rFonts w:cstheme="minorHAnsi"/>
        </w:rPr>
      </w:pPr>
      <w:bookmarkStart w:id="286" w:name="tab:tab-bibi-thresholds"/>
      <w:bookmarkStart w:id="287" w:name="_Toc164175211"/>
      <w:bookmarkEnd w:id="286"/>
      <w:r>
        <w:lastRenderedPageBreak/>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21</w:t>
      </w:r>
      <w:r w:rsidR="004F13BA">
        <w:rPr>
          <w:noProof/>
        </w:rPr>
        <w:fldChar w:fldCharType="end"/>
      </w:r>
      <w:r>
        <w:t>.</w:t>
      </w:r>
      <w:r w:rsidRPr="00170E8D">
        <w:rPr>
          <w:rFonts w:cstheme="minorHAnsi"/>
        </w:rPr>
        <w:t xml:space="preserve"> </w:t>
      </w:r>
      <w:r w:rsidRPr="000B52A1">
        <w:rPr>
          <w:rFonts w:cstheme="minorHAnsi"/>
        </w:rPr>
        <w:t xml:space="preserve">Modified and original </w:t>
      </w:r>
      <w:r w:rsidR="00F85FAC">
        <w:rPr>
          <w:rFonts w:cstheme="minorHAnsi"/>
        </w:rPr>
        <w:t>benchmark</w:t>
      </w:r>
      <w:r w:rsidRPr="000B52A1">
        <w:rPr>
          <w:rFonts w:cstheme="minorHAnsi"/>
        </w:rPr>
        <w:t xml:space="preserve"> values for each benthic index.</w:t>
      </w:r>
      <w:bookmarkEnd w:id="287"/>
    </w:p>
    <w:tbl>
      <w:tblPr>
        <w:tblStyle w:val="TableGrid"/>
        <w:tblW w:w="9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Modified and original threshold values for each benthic index."/>
        <w:tblDescription w:val="Modified and original threshold values for each benthic index."/>
      </w:tblPr>
      <w:tblGrid>
        <w:gridCol w:w="1558"/>
        <w:gridCol w:w="1558"/>
        <w:gridCol w:w="1558"/>
        <w:gridCol w:w="1558"/>
        <w:gridCol w:w="1559"/>
        <w:gridCol w:w="1834"/>
      </w:tblGrid>
      <w:tr w:rsidR="00D453A0" w14:paraId="5ED5B9C0" w14:textId="77777777" w:rsidTr="0069491A">
        <w:tc>
          <w:tcPr>
            <w:tcW w:w="1558" w:type="dxa"/>
            <w:tcBorders>
              <w:top w:val="single" w:sz="12" w:space="0" w:color="auto"/>
              <w:bottom w:val="single" w:sz="4" w:space="0" w:color="auto"/>
            </w:tcBorders>
            <w:vAlign w:val="center"/>
          </w:tcPr>
          <w:p w14:paraId="6AE97B1B" w14:textId="77777777" w:rsidR="00D453A0" w:rsidRDefault="00D453A0">
            <w:r w:rsidRPr="000B52A1">
              <w:rPr>
                <w:rFonts w:eastAsia="Arial" w:cstheme="minorHAnsi"/>
                <w:b/>
                <w:color w:val="000000"/>
                <w:sz w:val="22"/>
                <w:szCs w:val="22"/>
              </w:rPr>
              <w:t>Index</w:t>
            </w:r>
            <w:r w:rsidRPr="000B52A1">
              <w:rPr>
                <w:rFonts w:eastAsia="Arial" w:cstheme="minorHAnsi"/>
                <w:b/>
                <w:color w:val="000000"/>
                <w:sz w:val="22"/>
                <w:szCs w:val="22"/>
              </w:rPr>
              <w:br/>
              <w:t>Thresholds</w:t>
            </w:r>
          </w:p>
        </w:tc>
        <w:tc>
          <w:tcPr>
            <w:tcW w:w="1558" w:type="dxa"/>
            <w:tcBorders>
              <w:top w:val="single" w:sz="12" w:space="0" w:color="auto"/>
              <w:bottom w:val="single" w:sz="4" w:space="0" w:color="auto"/>
            </w:tcBorders>
            <w:vAlign w:val="center"/>
          </w:tcPr>
          <w:p w14:paraId="1A24B1B9" w14:textId="77777777" w:rsidR="00D453A0" w:rsidRDefault="00D453A0">
            <w:r w:rsidRPr="000B52A1">
              <w:rPr>
                <w:rFonts w:eastAsia="Arial" w:cstheme="minorHAnsi"/>
                <w:b/>
                <w:color w:val="000000"/>
                <w:sz w:val="22"/>
                <w:szCs w:val="22"/>
              </w:rPr>
              <w:t>Benthic Index</w:t>
            </w:r>
            <w:r w:rsidRPr="000B52A1">
              <w:rPr>
                <w:rFonts w:eastAsia="Arial" w:cstheme="minorHAnsi"/>
                <w:b/>
                <w:color w:val="000000"/>
                <w:sz w:val="22"/>
                <w:szCs w:val="22"/>
              </w:rPr>
              <w:br/>
              <w:t>Condition</w:t>
            </w:r>
          </w:p>
        </w:tc>
        <w:tc>
          <w:tcPr>
            <w:tcW w:w="1558" w:type="dxa"/>
            <w:tcBorders>
              <w:top w:val="single" w:sz="12" w:space="0" w:color="auto"/>
              <w:bottom w:val="single" w:sz="4" w:space="0" w:color="auto"/>
            </w:tcBorders>
            <w:vAlign w:val="center"/>
          </w:tcPr>
          <w:p w14:paraId="0CC2C3E0" w14:textId="77777777" w:rsidR="00D453A0" w:rsidRDefault="00D453A0">
            <w:r w:rsidRPr="000B52A1">
              <w:rPr>
                <w:rFonts w:eastAsia="Arial" w:cstheme="minorHAnsi"/>
                <w:b/>
                <w:color w:val="000000"/>
                <w:sz w:val="22"/>
                <w:szCs w:val="22"/>
              </w:rPr>
              <w:t>CBP B-IBI</w:t>
            </w:r>
          </w:p>
        </w:tc>
        <w:tc>
          <w:tcPr>
            <w:tcW w:w="1558" w:type="dxa"/>
            <w:tcBorders>
              <w:top w:val="single" w:sz="12" w:space="0" w:color="auto"/>
              <w:bottom w:val="single" w:sz="4" w:space="0" w:color="auto"/>
            </w:tcBorders>
            <w:vAlign w:val="center"/>
          </w:tcPr>
          <w:p w14:paraId="26E12EA9" w14:textId="77777777" w:rsidR="00D453A0" w:rsidRDefault="00D453A0">
            <w:r w:rsidRPr="000B52A1">
              <w:rPr>
                <w:rFonts w:eastAsia="Arial" w:cstheme="minorHAnsi"/>
                <w:b/>
                <w:color w:val="000000"/>
                <w:sz w:val="22"/>
                <w:szCs w:val="22"/>
              </w:rPr>
              <w:t>MAIA B-IBI</w:t>
            </w:r>
          </w:p>
        </w:tc>
        <w:tc>
          <w:tcPr>
            <w:tcW w:w="1559" w:type="dxa"/>
            <w:tcBorders>
              <w:top w:val="single" w:sz="12" w:space="0" w:color="auto"/>
              <w:bottom w:val="single" w:sz="4" w:space="0" w:color="auto"/>
            </w:tcBorders>
            <w:vAlign w:val="center"/>
          </w:tcPr>
          <w:p w14:paraId="27C7CB68" w14:textId="77777777" w:rsidR="00D453A0" w:rsidRDefault="00D453A0">
            <w:r w:rsidRPr="000B52A1">
              <w:rPr>
                <w:rFonts w:eastAsia="Arial" w:cstheme="minorHAnsi"/>
                <w:b/>
                <w:color w:val="000000"/>
                <w:sz w:val="22"/>
                <w:szCs w:val="22"/>
              </w:rPr>
              <w:t>EMAP VP-IEC</w:t>
            </w:r>
          </w:p>
        </w:tc>
        <w:tc>
          <w:tcPr>
            <w:tcW w:w="1834" w:type="dxa"/>
            <w:tcBorders>
              <w:top w:val="single" w:sz="12" w:space="0" w:color="auto"/>
              <w:bottom w:val="single" w:sz="4" w:space="0" w:color="auto"/>
            </w:tcBorders>
            <w:vAlign w:val="center"/>
          </w:tcPr>
          <w:p w14:paraId="36D32F98" w14:textId="77777777" w:rsidR="00D453A0" w:rsidRDefault="00D453A0">
            <w:r w:rsidRPr="000B52A1">
              <w:rPr>
                <w:rFonts w:eastAsia="Arial" w:cstheme="minorHAnsi"/>
                <w:b/>
                <w:color w:val="000000"/>
                <w:sz w:val="22"/>
                <w:szCs w:val="22"/>
              </w:rPr>
              <w:t>M-AMBI</w:t>
            </w:r>
          </w:p>
        </w:tc>
      </w:tr>
      <w:tr w:rsidR="00D453A0" w14:paraId="4B35A988" w14:textId="77777777" w:rsidTr="0069491A">
        <w:trPr>
          <w:trHeight w:val="300"/>
        </w:trPr>
        <w:tc>
          <w:tcPr>
            <w:tcW w:w="1558" w:type="dxa"/>
            <w:tcBorders>
              <w:top w:val="single" w:sz="4" w:space="0" w:color="auto"/>
              <w:bottom w:val="single" w:sz="2" w:space="0" w:color="auto"/>
            </w:tcBorders>
            <w:vAlign w:val="center"/>
          </w:tcPr>
          <w:p w14:paraId="4843EB4B" w14:textId="77777777" w:rsidR="00D453A0" w:rsidRPr="00D453A0" w:rsidRDefault="00D453A0">
            <w:pPr>
              <w:rPr>
                <w:rFonts w:eastAsia="Arial" w:cstheme="minorBidi"/>
                <w:i/>
                <w:iCs/>
                <w:color w:val="000000"/>
                <w:sz w:val="22"/>
                <w:szCs w:val="22"/>
              </w:rPr>
            </w:pPr>
            <w:r w:rsidRPr="00D453A0">
              <w:rPr>
                <w:rFonts w:eastAsia="Arial" w:cstheme="minorBidi"/>
                <w:i/>
                <w:iCs/>
                <w:color w:val="000000" w:themeColor="text1"/>
                <w:sz w:val="22"/>
                <w:szCs w:val="22"/>
              </w:rPr>
              <w:t>Range of Possible Scores</w:t>
            </w:r>
          </w:p>
        </w:tc>
        <w:tc>
          <w:tcPr>
            <w:tcW w:w="1558" w:type="dxa"/>
            <w:tcBorders>
              <w:top w:val="single" w:sz="4" w:space="0" w:color="auto"/>
              <w:bottom w:val="single" w:sz="2" w:space="0" w:color="auto"/>
            </w:tcBorders>
            <w:vAlign w:val="center"/>
          </w:tcPr>
          <w:p w14:paraId="70A66F57" w14:textId="77777777" w:rsidR="00D453A0" w:rsidRPr="00D453A0" w:rsidRDefault="00D453A0">
            <w:pPr>
              <w:rPr>
                <w:rFonts w:eastAsia="Arial" w:cstheme="minorBidi"/>
                <w:i/>
                <w:iCs/>
                <w:color w:val="000000"/>
                <w:sz w:val="22"/>
                <w:szCs w:val="22"/>
              </w:rPr>
            </w:pPr>
          </w:p>
        </w:tc>
        <w:tc>
          <w:tcPr>
            <w:tcW w:w="1558" w:type="dxa"/>
            <w:tcBorders>
              <w:top w:val="single" w:sz="4" w:space="0" w:color="auto"/>
              <w:bottom w:val="single" w:sz="2" w:space="0" w:color="auto"/>
            </w:tcBorders>
            <w:vAlign w:val="center"/>
          </w:tcPr>
          <w:p w14:paraId="3C0A474E" w14:textId="77777777" w:rsidR="00D453A0" w:rsidRPr="00D453A0" w:rsidRDefault="00D453A0">
            <w:pPr>
              <w:rPr>
                <w:rFonts w:eastAsia="Arial" w:cstheme="minorBidi"/>
                <w:i/>
                <w:iCs/>
                <w:color w:val="000000"/>
                <w:sz w:val="22"/>
                <w:szCs w:val="22"/>
              </w:rPr>
            </w:pPr>
            <w:r w:rsidRPr="00D453A0">
              <w:rPr>
                <w:rFonts w:eastAsia="Arial" w:cstheme="minorBidi"/>
                <w:i/>
                <w:iCs/>
                <w:color w:val="000000" w:themeColor="text1"/>
                <w:sz w:val="22"/>
                <w:szCs w:val="22"/>
              </w:rPr>
              <w:t>1 to 5</w:t>
            </w:r>
          </w:p>
        </w:tc>
        <w:tc>
          <w:tcPr>
            <w:tcW w:w="1558" w:type="dxa"/>
            <w:tcBorders>
              <w:top w:val="single" w:sz="4" w:space="0" w:color="auto"/>
              <w:bottom w:val="single" w:sz="2" w:space="0" w:color="auto"/>
            </w:tcBorders>
            <w:vAlign w:val="center"/>
          </w:tcPr>
          <w:p w14:paraId="715E47FC" w14:textId="77777777" w:rsidR="00D453A0" w:rsidRPr="00D453A0" w:rsidRDefault="00D453A0">
            <w:pPr>
              <w:rPr>
                <w:rFonts w:eastAsia="Arial" w:cstheme="minorBidi"/>
                <w:i/>
                <w:iCs/>
                <w:color w:val="000000"/>
                <w:sz w:val="22"/>
                <w:szCs w:val="22"/>
              </w:rPr>
            </w:pPr>
            <w:r w:rsidRPr="00D453A0">
              <w:rPr>
                <w:rFonts w:eastAsia="Arial" w:cstheme="minorBidi"/>
                <w:i/>
                <w:iCs/>
                <w:color w:val="000000" w:themeColor="text1"/>
                <w:sz w:val="22"/>
                <w:szCs w:val="22"/>
              </w:rPr>
              <w:t>1 to 5</w:t>
            </w:r>
          </w:p>
        </w:tc>
        <w:tc>
          <w:tcPr>
            <w:tcW w:w="1559" w:type="dxa"/>
            <w:tcBorders>
              <w:top w:val="single" w:sz="4" w:space="0" w:color="auto"/>
              <w:bottom w:val="single" w:sz="2" w:space="0" w:color="auto"/>
            </w:tcBorders>
            <w:vAlign w:val="center"/>
          </w:tcPr>
          <w:p w14:paraId="48FC87C8" w14:textId="77777777" w:rsidR="00D453A0" w:rsidRPr="00D453A0" w:rsidRDefault="00D453A0">
            <w:pPr>
              <w:rPr>
                <w:rFonts w:eastAsia="Arial" w:cstheme="minorBidi"/>
                <w:i/>
                <w:iCs/>
                <w:color w:val="000000" w:themeColor="text1"/>
                <w:sz w:val="22"/>
                <w:szCs w:val="22"/>
              </w:rPr>
            </w:pPr>
            <w:r w:rsidRPr="00D453A0">
              <w:rPr>
                <w:rFonts w:eastAsia="Arial" w:cstheme="minorBidi"/>
                <w:i/>
                <w:iCs/>
                <w:color w:val="000000" w:themeColor="text1"/>
                <w:sz w:val="22"/>
                <w:szCs w:val="22"/>
              </w:rPr>
              <w:t>Unbounded about 0</w:t>
            </w:r>
          </w:p>
        </w:tc>
        <w:tc>
          <w:tcPr>
            <w:tcW w:w="1834" w:type="dxa"/>
            <w:tcBorders>
              <w:top w:val="single" w:sz="4" w:space="0" w:color="auto"/>
              <w:bottom w:val="single" w:sz="2" w:space="0" w:color="auto"/>
            </w:tcBorders>
            <w:vAlign w:val="center"/>
          </w:tcPr>
          <w:p w14:paraId="1AF1D99A" w14:textId="77777777" w:rsidR="00D453A0" w:rsidRPr="00D453A0" w:rsidRDefault="00D453A0">
            <w:pPr>
              <w:rPr>
                <w:rFonts w:eastAsia="Arial" w:cstheme="minorBidi"/>
                <w:i/>
                <w:iCs/>
                <w:color w:val="000000"/>
                <w:sz w:val="22"/>
                <w:szCs w:val="22"/>
              </w:rPr>
            </w:pPr>
            <w:r w:rsidRPr="00D453A0">
              <w:rPr>
                <w:rFonts w:eastAsia="Arial" w:cstheme="minorBidi"/>
                <w:i/>
                <w:iCs/>
                <w:color w:val="000000" w:themeColor="text1"/>
                <w:sz w:val="22"/>
                <w:szCs w:val="22"/>
              </w:rPr>
              <w:t>0 to 1</w:t>
            </w:r>
          </w:p>
        </w:tc>
      </w:tr>
      <w:tr w:rsidR="00D453A0" w14:paraId="3EDF5F97" w14:textId="77777777">
        <w:trPr>
          <w:trHeight w:val="360"/>
        </w:trPr>
        <w:tc>
          <w:tcPr>
            <w:tcW w:w="1558" w:type="dxa"/>
            <w:vMerge w:val="restart"/>
            <w:tcBorders>
              <w:top w:val="single" w:sz="2" w:space="0" w:color="auto"/>
            </w:tcBorders>
            <w:vAlign w:val="center"/>
          </w:tcPr>
          <w:p w14:paraId="64B5B646" w14:textId="77777777" w:rsidR="00D453A0" w:rsidRDefault="00D453A0">
            <w:r w:rsidRPr="000B52A1">
              <w:rPr>
                <w:rFonts w:eastAsia="Arial" w:cstheme="minorHAnsi"/>
                <w:color w:val="000000"/>
                <w:sz w:val="22"/>
                <w:szCs w:val="22"/>
              </w:rPr>
              <w:t>Modified</w:t>
            </w:r>
            <w:r w:rsidRPr="000B52A1">
              <w:rPr>
                <w:rFonts w:eastAsia="Arial" w:cstheme="minorHAnsi"/>
                <w:color w:val="000000"/>
                <w:sz w:val="22"/>
                <w:szCs w:val="22"/>
              </w:rPr>
              <w:br/>
              <w:t>(used by DEQ)</w:t>
            </w:r>
          </w:p>
        </w:tc>
        <w:tc>
          <w:tcPr>
            <w:tcW w:w="1558" w:type="dxa"/>
            <w:tcBorders>
              <w:top w:val="single" w:sz="2" w:space="0" w:color="auto"/>
            </w:tcBorders>
            <w:vAlign w:val="center"/>
          </w:tcPr>
          <w:p w14:paraId="2A1E7C8A" w14:textId="77777777" w:rsidR="00D453A0" w:rsidRDefault="00D453A0">
            <w:r w:rsidRPr="000B52A1">
              <w:rPr>
                <w:rFonts w:eastAsia="Arial" w:cstheme="minorHAnsi"/>
                <w:color w:val="000000"/>
                <w:sz w:val="22"/>
                <w:szCs w:val="22"/>
              </w:rPr>
              <w:t>Good</w:t>
            </w:r>
          </w:p>
        </w:tc>
        <w:tc>
          <w:tcPr>
            <w:tcW w:w="1558" w:type="dxa"/>
            <w:tcBorders>
              <w:top w:val="single" w:sz="2" w:space="0" w:color="auto"/>
            </w:tcBorders>
            <w:vAlign w:val="center"/>
          </w:tcPr>
          <w:p w14:paraId="6E9C7D31" w14:textId="77777777" w:rsidR="00D453A0" w:rsidRDefault="00D453A0">
            <w:r w:rsidRPr="000B52A1">
              <w:rPr>
                <w:rFonts w:eastAsia="Arial" w:cstheme="minorHAnsi"/>
                <w:color w:val="000000"/>
                <w:sz w:val="22"/>
                <w:szCs w:val="22"/>
              </w:rPr>
              <w:t>≥ 3.0</w:t>
            </w:r>
          </w:p>
        </w:tc>
        <w:tc>
          <w:tcPr>
            <w:tcW w:w="1558" w:type="dxa"/>
            <w:tcBorders>
              <w:top w:val="single" w:sz="2" w:space="0" w:color="auto"/>
            </w:tcBorders>
            <w:vAlign w:val="center"/>
          </w:tcPr>
          <w:p w14:paraId="047BB073" w14:textId="77777777" w:rsidR="00D453A0" w:rsidRDefault="00D453A0">
            <w:r w:rsidRPr="000B52A1">
              <w:rPr>
                <w:rFonts w:eastAsia="Arial" w:cstheme="minorHAnsi"/>
                <w:color w:val="000000"/>
                <w:sz w:val="22"/>
                <w:szCs w:val="22"/>
              </w:rPr>
              <w:t>≥ 3.0</w:t>
            </w:r>
          </w:p>
        </w:tc>
        <w:tc>
          <w:tcPr>
            <w:tcW w:w="1559" w:type="dxa"/>
            <w:tcBorders>
              <w:top w:val="single" w:sz="2" w:space="0" w:color="auto"/>
            </w:tcBorders>
            <w:vAlign w:val="center"/>
          </w:tcPr>
          <w:p w14:paraId="182CD1C5" w14:textId="77777777" w:rsidR="00D453A0" w:rsidRDefault="00D453A0">
            <w:r w:rsidRPr="000B52A1">
              <w:rPr>
                <w:rFonts w:eastAsia="Arial" w:cstheme="minorHAnsi"/>
                <w:color w:val="000000"/>
                <w:sz w:val="22"/>
                <w:szCs w:val="22"/>
              </w:rPr>
              <w:t>&gt; 0.1</w:t>
            </w:r>
          </w:p>
        </w:tc>
        <w:tc>
          <w:tcPr>
            <w:tcW w:w="1834" w:type="dxa"/>
            <w:tcBorders>
              <w:top w:val="single" w:sz="2" w:space="0" w:color="auto"/>
            </w:tcBorders>
            <w:vAlign w:val="center"/>
          </w:tcPr>
          <w:p w14:paraId="0A782991" w14:textId="77777777" w:rsidR="00D453A0" w:rsidRDefault="00D453A0">
            <w:r w:rsidRPr="000B52A1">
              <w:rPr>
                <w:rFonts w:eastAsia="Arial" w:cstheme="minorHAnsi"/>
                <w:color w:val="000000"/>
                <w:sz w:val="22"/>
                <w:szCs w:val="22"/>
              </w:rPr>
              <w:t>≥ 0.53</w:t>
            </w:r>
          </w:p>
        </w:tc>
      </w:tr>
      <w:tr w:rsidR="00D453A0" w14:paraId="6B9529EA" w14:textId="77777777">
        <w:trPr>
          <w:trHeight w:val="360"/>
        </w:trPr>
        <w:tc>
          <w:tcPr>
            <w:tcW w:w="1558" w:type="dxa"/>
            <w:vMerge/>
            <w:vAlign w:val="center"/>
          </w:tcPr>
          <w:p w14:paraId="1A62FB60" w14:textId="77777777" w:rsidR="00D453A0" w:rsidRDefault="00D453A0"/>
        </w:tc>
        <w:tc>
          <w:tcPr>
            <w:tcW w:w="1558" w:type="dxa"/>
            <w:vAlign w:val="center"/>
          </w:tcPr>
          <w:p w14:paraId="62524B58" w14:textId="77777777" w:rsidR="00D453A0" w:rsidRDefault="00D453A0">
            <w:r w:rsidRPr="000B52A1">
              <w:rPr>
                <w:rFonts w:eastAsia="Arial" w:cstheme="minorHAnsi"/>
                <w:color w:val="000000"/>
                <w:sz w:val="22"/>
                <w:szCs w:val="22"/>
              </w:rPr>
              <w:t>Fair</w:t>
            </w:r>
          </w:p>
        </w:tc>
        <w:tc>
          <w:tcPr>
            <w:tcW w:w="1558" w:type="dxa"/>
            <w:vAlign w:val="center"/>
          </w:tcPr>
          <w:p w14:paraId="0A215506" w14:textId="77777777" w:rsidR="00D453A0" w:rsidRDefault="00D453A0">
            <w:r w:rsidRPr="000B52A1">
              <w:rPr>
                <w:rFonts w:eastAsia="Arial" w:cstheme="minorHAnsi"/>
                <w:color w:val="000000"/>
                <w:sz w:val="22"/>
                <w:szCs w:val="22"/>
              </w:rPr>
              <w:t>2.7 to 2.9</w:t>
            </w:r>
          </w:p>
        </w:tc>
        <w:tc>
          <w:tcPr>
            <w:tcW w:w="1558" w:type="dxa"/>
            <w:vAlign w:val="center"/>
          </w:tcPr>
          <w:p w14:paraId="3BC789CB" w14:textId="77777777" w:rsidR="00D453A0" w:rsidRDefault="00D453A0">
            <w:r w:rsidRPr="000B52A1">
              <w:rPr>
                <w:rFonts w:eastAsia="Arial" w:cstheme="minorHAnsi"/>
                <w:color w:val="000000"/>
                <w:sz w:val="22"/>
                <w:szCs w:val="22"/>
              </w:rPr>
              <w:t>2.7 to 2.9</w:t>
            </w:r>
          </w:p>
        </w:tc>
        <w:tc>
          <w:tcPr>
            <w:tcW w:w="1559" w:type="dxa"/>
            <w:vAlign w:val="center"/>
          </w:tcPr>
          <w:p w14:paraId="70FDF694" w14:textId="77777777" w:rsidR="00D453A0" w:rsidRDefault="00D453A0">
            <w:r w:rsidRPr="000B52A1">
              <w:rPr>
                <w:rFonts w:eastAsia="Arial" w:cstheme="minorHAnsi"/>
                <w:color w:val="000000"/>
                <w:sz w:val="22"/>
                <w:szCs w:val="22"/>
              </w:rPr>
              <w:t>0.1 to -0.1</w:t>
            </w:r>
          </w:p>
        </w:tc>
        <w:tc>
          <w:tcPr>
            <w:tcW w:w="1834" w:type="dxa"/>
            <w:vAlign w:val="center"/>
          </w:tcPr>
          <w:p w14:paraId="59E970B1" w14:textId="77777777" w:rsidR="00D453A0" w:rsidRDefault="00D453A0">
            <w:r w:rsidRPr="000B52A1">
              <w:rPr>
                <w:rFonts w:eastAsia="Arial" w:cstheme="minorHAnsi"/>
                <w:color w:val="000000"/>
                <w:sz w:val="22"/>
                <w:szCs w:val="22"/>
              </w:rPr>
              <w:t>&gt; 0.39 and &lt; 0.53</w:t>
            </w:r>
          </w:p>
        </w:tc>
      </w:tr>
      <w:tr w:rsidR="00D453A0" w14:paraId="71027FB7" w14:textId="77777777">
        <w:trPr>
          <w:trHeight w:val="360"/>
        </w:trPr>
        <w:tc>
          <w:tcPr>
            <w:tcW w:w="1558" w:type="dxa"/>
            <w:vMerge/>
            <w:vAlign w:val="center"/>
          </w:tcPr>
          <w:p w14:paraId="5475DA43" w14:textId="77777777" w:rsidR="00D453A0" w:rsidRDefault="00D453A0"/>
        </w:tc>
        <w:tc>
          <w:tcPr>
            <w:tcW w:w="1558" w:type="dxa"/>
            <w:vAlign w:val="center"/>
          </w:tcPr>
          <w:p w14:paraId="484317AD" w14:textId="77777777" w:rsidR="00D453A0" w:rsidRDefault="00D453A0">
            <w:r w:rsidRPr="000B52A1">
              <w:rPr>
                <w:rFonts w:eastAsia="Arial" w:cstheme="minorHAnsi"/>
                <w:color w:val="000000"/>
                <w:sz w:val="22"/>
                <w:szCs w:val="22"/>
              </w:rPr>
              <w:t>Poor</w:t>
            </w:r>
          </w:p>
        </w:tc>
        <w:tc>
          <w:tcPr>
            <w:tcW w:w="1558" w:type="dxa"/>
            <w:vAlign w:val="center"/>
          </w:tcPr>
          <w:p w14:paraId="50F031CC" w14:textId="77777777" w:rsidR="00D453A0" w:rsidRDefault="00D453A0">
            <w:r w:rsidRPr="000B52A1">
              <w:rPr>
                <w:rFonts w:eastAsia="Arial" w:cstheme="minorHAnsi"/>
                <w:color w:val="000000"/>
                <w:sz w:val="22"/>
                <w:szCs w:val="22"/>
              </w:rPr>
              <w:t>2.1 to 2.6</w:t>
            </w:r>
          </w:p>
        </w:tc>
        <w:tc>
          <w:tcPr>
            <w:tcW w:w="1558" w:type="dxa"/>
            <w:vAlign w:val="center"/>
          </w:tcPr>
          <w:p w14:paraId="29B332CE" w14:textId="77777777" w:rsidR="00D453A0" w:rsidRDefault="00D453A0">
            <w:r w:rsidRPr="000B52A1">
              <w:rPr>
                <w:rFonts w:eastAsia="Arial" w:cstheme="minorHAnsi"/>
                <w:color w:val="000000"/>
                <w:sz w:val="22"/>
                <w:szCs w:val="22"/>
              </w:rPr>
              <w:t>2.1 to 2.6</w:t>
            </w:r>
          </w:p>
        </w:tc>
        <w:tc>
          <w:tcPr>
            <w:tcW w:w="1559" w:type="dxa"/>
            <w:vAlign w:val="center"/>
          </w:tcPr>
          <w:p w14:paraId="5AB0DE8D" w14:textId="77777777" w:rsidR="00D453A0" w:rsidRDefault="00D453A0">
            <w:r w:rsidRPr="000B52A1">
              <w:rPr>
                <w:rFonts w:eastAsia="Arial" w:cstheme="minorHAnsi"/>
                <w:color w:val="000000"/>
                <w:sz w:val="22"/>
                <w:szCs w:val="22"/>
              </w:rPr>
              <w:t>&lt; -0.1 to -1.0</w:t>
            </w:r>
          </w:p>
        </w:tc>
        <w:tc>
          <w:tcPr>
            <w:tcW w:w="1834" w:type="dxa"/>
            <w:vAlign w:val="center"/>
          </w:tcPr>
          <w:p w14:paraId="4E56BFA2" w14:textId="77777777" w:rsidR="00D453A0" w:rsidRDefault="00D453A0">
            <w:r w:rsidRPr="000B52A1">
              <w:rPr>
                <w:rFonts w:eastAsia="Arial" w:cstheme="minorHAnsi"/>
                <w:color w:val="000000"/>
                <w:sz w:val="22"/>
                <w:szCs w:val="22"/>
              </w:rPr>
              <w:t>0.20 to 0.39</w:t>
            </w:r>
          </w:p>
        </w:tc>
      </w:tr>
      <w:tr w:rsidR="00D453A0" w14:paraId="55700FE8" w14:textId="77777777" w:rsidTr="00D453A0">
        <w:trPr>
          <w:trHeight w:val="360"/>
        </w:trPr>
        <w:tc>
          <w:tcPr>
            <w:tcW w:w="1558" w:type="dxa"/>
            <w:vMerge/>
            <w:tcBorders>
              <w:bottom w:val="single" w:sz="2" w:space="0" w:color="auto"/>
            </w:tcBorders>
            <w:vAlign w:val="center"/>
          </w:tcPr>
          <w:p w14:paraId="07EA95D5" w14:textId="77777777" w:rsidR="00D453A0" w:rsidRDefault="00D453A0"/>
        </w:tc>
        <w:tc>
          <w:tcPr>
            <w:tcW w:w="1558" w:type="dxa"/>
            <w:tcBorders>
              <w:bottom w:val="single" w:sz="2" w:space="0" w:color="auto"/>
            </w:tcBorders>
            <w:vAlign w:val="center"/>
          </w:tcPr>
          <w:p w14:paraId="4D82B3B7" w14:textId="77777777" w:rsidR="00D453A0" w:rsidRDefault="00D453A0">
            <w:r w:rsidRPr="000B52A1">
              <w:rPr>
                <w:rFonts w:eastAsia="Arial" w:cstheme="minorHAnsi"/>
                <w:color w:val="000000"/>
                <w:sz w:val="22"/>
                <w:szCs w:val="22"/>
              </w:rPr>
              <w:t>Very Poor</w:t>
            </w:r>
          </w:p>
        </w:tc>
        <w:tc>
          <w:tcPr>
            <w:tcW w:w="1558" w:type="dxa"/>
            <w:tcBorders>
              <w:bottom w:val="single" w:sz="2" w:space="0" w:color="auto"/>
            </w:tcBorders>
            <w:vAlign w:val="center"/>
          </w:tcPr>
          <w:p w14:paraId="2A355B2F" w14:textId="77777777" w:rsidR="00D453A0" w:rsidRDefault="00D453A0">
            <w:r w:rsidRPr="000B52A1">
              <w:rPr>
                <w:rFonts w:eastAsia="Arial" w:cstheme="minorHAnsi"/>
                <w:color w:val="000000"/>
                <w:sz w:val="22"/>
                <w:szCs w:val="22"/>
              </w:rPr>
              <w:t>≤ 2.0</w:t>
            </w:r>
          </w:p>
        </w:tc>
        <w:tc>
          <w:tcPr>
            <w:tcW w:w="1558" w:type="dxa"/>
            <w:tcBorders>
              <w:bottom w:val="single" w:sz="2" w:space="0" w:color="auto"/>
            </w:tcBorders>
            <w:vAlign w:val="center"/>
          </w:tcPr>
          <w:p w14:paraId="5BF7DC89" w14:textId="77777777" w:rsidR="00D453A0" w:rsidRDefault="00D453A0">
            <w:r w:rsidRPr="000B52A1">
              <w:rPr>
                <w:rFonts w:eastAsia="Arial" w:cstheme="minorHAnsi"/>
                <w:color w:val="000000"/>
                <w:sz w:val="22"/>
                <w:szCs w:val="22"/>
              </w:rPr>
              <w:t>≤ 2.0</w:t>
            </w:r>
          </w:p>
        </w:tc>
        <w:tc>
          <w:tcPr>
            <w:tcW w:w="1559" w:type="dxa"/>
            <w:tcBorders>
              <w:bottom w:val="single" w:sz="2" w:space="0" w:color="auto"/>
            </w:tcBorders>
            <w:vAlign w:val="center"/>
          </w:tcPr>
          <w:p w14:paraId="4ED45207" w14:textId="77777777" w:rsidR="00D453A0" w:rsidRDefault="00D453A0">
            <w:r w:rsidRPr="000B52A1">
              <w:rPr>
                <w:rFonts w:eastAsia="Arial" w:cstheme="minorHAnsi"/>
                <w:color w:val="000000"/>
                <w:sz w:val="22"/>
                <w:szCs w:val="22"/>
              </w:rPr>
              <w:t>&lt; -1.0</w:t>
            </w:r>
          </w:p>
        </w:tc>
        <w:tc>
          <w:tcPr>
            <w:tcW w:w="1834" w:type="dxa"/>
            <w:tcBorders>
              <w:bottom w:val="single" w:sz="2" w:space="0" w:color="auto"/>
            </w:tcBorders>
            <w:vAlign w:val="center"/>
          </w:tcPr>
          <w:p w14:paraId="425BC3B7" w14:textId="77777777" w:rsidR="00D453A0" w:rsidRDefault="00D453A0">
            <w:r w:rsidRPr="000B52A1">
              <w:rPr>
                <w:rFonts w:eastAsia="Arial" w:cstheme="minorHAnsi"/>
                <w:color w:val="000000"/>
                <w:sz w:val="22"/>
                <w:szCs w:val="22"/>
              </w:rPr>
              <w:t>&lt; 0.20</w:t>
            </w:r>
          </w:p>
        </w:tc>
      </w:tr>
      <w:tr w:rsidR="00D453A0" w14:paraId="4438FA0C" w14:textId="77777777" w:rsidTr="00D453A0">
        <w:trPr>
          <w:trHeight w:val="360"/>
        </w:trPr>
        <w:tc>
          <w:tcPr>
            <w:tcW w:w="1558" w:type="dxa"/>
            <w:vMerge w:val="restart"/>
            <w:tcBorders>
              <w:top w:val="single" w:sz="2" w:space="0" w:color="auto"/>
              <w:bottom w:val="single" w:sz="4" w:space="0" w:color="auto"/>
            </w:tcBorders>
            <w:vAlign w:val="center"/>
          </w:tcPr>
          <w:p w14:paraId="471F1B9C" w14:textId="77777777" w:rsidR="00D453A0" w:rsidRDefault="00D453A0">
            <w:r w:rsidRPr="000B52A1">
              <w:rPr>
                <w:rFonts w:eastAsia="Arial" w:cstheme="minorHAnsi"/>
                <w:color w:val="000000"/>
                <w:sz w:val="22"/>
                <w:szCs w:val="22"/>
              </w:rPr>
              <w:t>As Originally</w:t>
            </w:r>
            <w:r w:rsidRPr="000B52A1">
              <w:rPr>
                <w:rFonts w:eastAsia="Arial" w:cstheme="minorHAnsi"/>
                <w:color w:val="000000"/>
                <w:sz w:val="22"/>
                <w:szCs w:val="22"/>
              </w:rPr>
              <w:br/>
            </w:r>
            <w:proofErr w:type="spellStart"/>
            <w:r w:rsidRPr="000B52A1">
              <w:rPr>
                <w:rFonts w:eastAsia="Arial" w:cstheme="minorHAnsi"/>
                <w:color w:val="000000"/>
                <w:sz w:val="22"/>
                <w:szCs w:val="22"/>
              </w:rPr>
              <w:t>Published</w:t>
            </w:r>
            <w:r w:rsidRPr="000B52A1">
              <w:rPr>
                <w:rFonts w:eastAsia="Arial" w:cstheme="minorHAnsi"/>
                <w:color w:val="000000"/>
                <w:sz w:val="22"/>
                <w:szCs w:val="22"/>
                <w:vertAlign w:val="superscript"/>
              </w:rPr>
              <w:t>a</w:t>
            </w:r>
            <w:proofErr w:type="spellEnd"/>
          </w:p>
        </w:tc>
        <w:tc>
          <w:tcPr>
            <w:tcW w:w="1558" w:type="dxa"/>
            <w:tcBorders>
              <w:top w:val="single" w:sz="2" w:space="0" w:color="auto"/>
            </w:tcBorders>
            <w:vAlign w:val="center"/>
          </w:tcPr>
          <w:p w14:paraId="0F7311D5" w14:textId="77777777" w:rsidR="00D453A0" w:rsidRDefault="00D453A0">
            <w:r w:rsidRPr="000B52A1">
              <w:rPr>
                <w:rFonts w:eastAsia="Arial" w:cstheme="minorHAnsi"/>
                <w:color w:val="000000"/>
                <w:sz w:val="22"/>
                <w:szCs w:val="22"/>
              </w:rPr>
              <w:t>Good</w:t>
            </w:r>
          </w:p>
        </w:tc>
        <w:tc>
          <w:tcPr>
            <w:tcW w:w="1558" w:type="dxa"/>
            <w:tcBorders>
              <w:top w:val="single" w:sz="2" w:space="0" w:color="auto"/>
            </w:tcBorders>
            <w:vAlign w:val="center"/>
          </w:tcPr>
          <w:p w14:paraId="4C7FC9E8" w14:textId="77777777" w:rsidR="00D453A0" w:rsidRDefault="00D453A0">
            <w:r w:rsidRPr="000B52A1">
              <w:rPr>
                <w:rFonts w:eastAsia="Arial" w:cstheme="minorHAnsi"/>
                <w:color w:val="000000"/>
                <w:sz w:val="22"/>
                <w:szCs w:val="22"/>
              </w:rPr>
              <w:t>≥ 3.0</w:t>
            </w:r>
          </w:p>
        </w:tc>
        <w:tc>
          <w:tcPr>
            <w:tcW w:w="1558" w:type="dxa"/>
            <w:tcBorders>
              <w:top w:val="single" w:sz="2" w:space="0" w:color="auto"/>
            </w:tcBorders>
            <w:vAlign w:val="center"/>
          </w:tcPr>
          <w:p w14:paraId="5D71A597" w14:textId="77777777" w:rsidR="00D453A0" w:rsidRDefault="00D453A0">
            <w:r w:rsidRPr="000B52A1">
              <w:rPr>
                <w:rFonts w:eastAsia="Arial" w:cstheme="minorHAnsi"/>
                <w:color w:val="000000"/>
                <w:sz w:val="22"/>
                <w:szCs w:val="22"/>
              </w:rPr>
              <w:t>≥ 3.0</w:t>
            </w:r>
          </w:p>
        </w:tc>
        <w:tc>
          <w:tcPr>
            <w:tcW w:w="1559" w:type="dxa"/>
            <w:tcBorders>
              <w:top w:val="single" w:sz="2" w:space="0" w:color="auto"/>
            </w:tcBorders>
            <w:vAlign w:val="center"/>
          </w:tcPr>
          <w:p w14:paraId="6BEA89AA" w14:textId="77777777" w:rsidR="00D453A0" w:rsidRDefault="00D453A0">
            <w:r w:rsidRPr="000B52A1">
              <w:rPr>
                <w:rFonts w:eastAsia="Arial" w:cstheme="minorHAnsi"/>
                <w:color w:val="000000"/>
                <w:sz w:val="22"/>
                <w:szCs w:val="22"/>
              </w:rPr>
              <w:t>&gt; 0.0</w:t>
            </w:r>
          </w:p>
        </w:tc>
        <w:tc>
          <w:tcPr>
            <w:tcW w:w="1834" w:type="dxa"/>
            <w:tcBorders>
              <w:top w:val="single" w:sz="2" w:space="0" w:color="auto"/>
            </w:tcBorders>
            <w:vAlign w:val="center"/>
          </w:tcPr>
          <w:p w14:paraId="1FB0299C" w14:textId="77777777" w:rsidR="00D453A0" w:rsidRDefault="00D453A0">
            <w:r w:rsidRPr="000B52A1">
              <w:rPr>
                <w:rFonts w:eastAsia="Arial" w:cstheme="minorHAnsi"/>
                <w:color w:val="000000"/>
                <w:sz w:val="22"/>
                <w:szCs w:val="22"/>
              </w:rPr>
              <w:t>≥ 0.53</w:t>
            </w:r>
          </w:p>
        </w:tc>
      </w:tr>
      <w:tr w:rsidR="00D453A0" w14:paraId="2381DC7E" w14:textId="77777777" w:rsidTr="00D453A0">
        <w:trPr>
          <w:trHeight w:val="360"/>
        </w:trPr>
        <w:tc>
          <w:tcPr>
            <w:tcW w:w="1558" w:type="dxa"/>
            <w:vMerge/>
            <w:tcBorders>
              <w:bottom w:val="single" w:sz="4" w:space="0" w:color="auto"/>
            </w:tcBorders>
            <w:vAlign w:val="center"/>
          </w:tcPr>
          <w:p w14:paraId="58DD76EC" w14:textId="77777777" w:rsidR="00D453A0" w:rsidRDefault="00D453A0"/>
        </w:tc>
        <w:tc>
          <w:tcPr>
            <w:tcW w:w="1558" w:type="dxa"/>
            <w:vAlign w:val="center"/>
          </w:tcPr>
          <w:p w14:paraId="43283066" w14:textId="77777777" w:rsidR="00D453A0" w:rsidRDefault="00D453A0">
            <w:r w:rsidRPr="000B52A1">
              <w:rPr>
                <w:rFonts w:eastAsia="Arial" w:cstheme="minorHAnsi"/>
                <w:color w:val="000000"/>
                <w:sz w:val="22"/>
                <w:szCs w:val="22"/>
              </w:rPr>
              <w:t>Fair</w:t>
            </w:r>
          </w:p>
        </w:tc>
        <w:tc>
          <w:tcPr>
            <w:tcW w:w="1558" w:type="dxa"/>
            <w:vAlign w:val="center"/>
          </w:tcPr>
          <w:p w14:paraId="77D58BC6" w14:textId="77777777" w:rsidR="00D453A0" w:rsidRDefault="00D453A0">
            <w:r w:rsidRPr="000B52A1">
              <w:rPr>
                <w:rFonts w:eastAsia="Arial" w:cstheme="minorHAnsi"/>
                <w:color w:val="000000"/>
                <w:sz w:val="22"/>
                <w:szCs w:val="22"/>
              </w:rPr>
              <w:t>2.7 to 2.9</w:t>
            </w:r>
          </w:p>
        </w:tc>
        <w:tc>
          <w:tcPr>
            <w:tcW w:w="1558" w:type="dxa"/>
            <w:vAlign w:val="center"/>
          </w:tcPr>
          <w:p w14:paraId="56601926" w14:textId="77777777" w:rsidR="00D453A0" w:rsidRDefault="00D453A0">
            <w:r w:rsidRPr="000B52A1">
              <w:rPr>
                <w:rFonts w:eastAsia="Arial" w:cstheme="minorHAnsi"/>
                <w:color w:val="000000"/>
                <w:sz w:val="22"/>
                <w:szCs w:val="22"/>
              </w:rPr>
              <w:t>-</w:t>
            </w:r>
          </w:p>
        </w:tc>
        <w:tc>
          <w:tcPr>
            <w:tcW w:w="1559" w:type="dxa"/>
            <w:vAlign w:val="center"/>
          </w:tcPr>
          <w:p w14:paraId="3FB1A823" w14:textId="77777777" w:rsidR="00D453A0" w:rsidRDefault="00D453A0">
            <w:r w:rsidRPr="000B52A1">
              <w:rPr>
                <w:rFonts w:eastAsia="Arial" w:cstheme="minorHAnsi"/>
                <w:color w:val="000000"/>
                <w:sz w:val="22"/>
                <w:szCs w:val="22"/>
              </w:rPr>
              <w:t>-</w:t>
            </w:r>
          </w:p>
        </w:tc>
        <w:tc>
          <w:tcPr>
            <w:tcW w:w="1834" w:type="dxa"/>
            <w:vAlign w:val="center"/>
          </w:tcPr>
          <w:p w14:paraId="1D8C1EAF" w14:textId="77777777" w:rsidR="00D453A0" w:rsidRDefault="00D453A0">
            <w:r w:rsidRPr="000B52A1">
              <w:rPr>
                <w:rFonts w:eastAsia="Arial" w:cstheme="minorHAnsi"/>
                <w:color w:val="000000"/>
                <w:sz w:val="22"/>
                <w:szCs w:val="22"/>
              </w:rPr>
              <w:t>≥ 0.39 and &lt; 0.53</w:t>
            </w:r>
          </w:p>
        </w:tc>
      </w:tr>
      <w:tr w:rsidR="00D453A0" w14:paraId="60EE9CDB" w14:textId="77777777" w:rsidTr="00D453A0">
        <w:trPr>
          <w:trHeight w:val="360"/>
        </w:trPr>
        <w:tc>
          <w:tcPr>
            <w:tcW w:w="1558" w:type="dxa"/>
            <w:vMerge/>
            <w:tcBorders>
              <w:bottom w:val="single" w:sz="4" w:space="0" w:color="auto"/>
            </w:tcBorders>
            <w:vAlign w:val="center"/>
          </w:tcPr>
          <w:p w14:paraId="47F49B19" w14:textId="77777777" w:rsidR="00D453A0" w:rsidRDefault="00D453A0"/>
        </w:tc>
        <w:tc>
          <w:tcPr>
            <w:tcW w:w="1558" w:type="dxa"/>
            <w:vAlign w:val="center"/>
          </w:tcPr>
          <w:p w14:paraId="0DEEF94F" w14:textId="77777777" w:rsidR="00D453A0" w:rsidRDefault="00D453A0">
            <w:r w:rsidRPr="000B52A1">
              <w:rPr>
                <w:rFonts w:eastAsia="Arial" w:cstheme="minorHAnsi"/>
                <w:color w:val="000000"/>
                <w:sz w:val="22"/>
                <w:szCs w:val="22"/>
              </w:rPr>
              <w:t>Poor</w:t>
            </w:r>
          </w:p>
        </w:tc>
        <w:tc>
          <w:tcPr>
            <w:tcW w:w="1558" w:type="dxa"/>
            <w:vAlign w:val="center"/>
          </w:tcPr>
          <w:p w14:paraId="23DEFC68" w14:textId="77777777" w:rsidR="00D453A0" w:rsidRDefault="00D453A0">
            <w:r w:rsidRPr="000B52A1">
              <w:rPr>
                <w:rFonts w:eastAsia="Arial" w:cstheme="minorHAnsi"/>
                <w:color w:val="000000"/>
                <w:sz w:val="22"/>
                <w:szCs w:val="22"/>
              </w:rPr>
              <w:t>2.1 to 2.6</w:t>
            </w:r>
          </w:p>
        </w:tc>
        <w:tc>
          <w:tcPr>
            <w:tcW w:w="1558" w:type="dxa"/>
            <w:vAlign w:val="center"/>
          </w:tcPr>
          <w:p w14:paraId="3C85D7CE" w14:textId="77777777" w:rsidR="00D453A0" w:rsidRDefault="00D453A0">
            <w:r w:rsidRPr="000B52A1">
              <w:rPr>
                <w:rFonts w:eastAsia="Arial" w:cstheme="minorHAnsi"/>
                <w:color w:val="000000"/>
                <w:sz w:val="22"/>
                <w:szCs w:val="22"/>
              </w:rPr>
              <w:t>2.1 to 2.6</w:t>
            </w:r>
          </w:p>
        </w:tc>
        <w:tc>
          <w:tcPr>
            <w:tcW w:w="1559" w:type="dxa"/>
            <w:vAlign w:val="center"/>
          </w:tcPr>
          <w:p w14:paraId="75B4D240" w14:textId="77777777" w:rsidR="00D453A0" w:rsidRDefault="00D453A0">
            <w:r w:rsidRPr="000B52A1">
              <w:rPr>
                <w:rFonts w:eastAsia="Arial" w:cstheme="minorHAnsi"/>
                <w:color w:val="000000"/>
                <w:sz w:val="22"/>
                <w:szCs w:val="22"/>
              </w:rPr>
              <w:t>≤ 0.0</w:t>
            </w:r>
          </w:p>
        </w:tc>
        <w:tc>
          <w:tcPr>
            <w:tcW w:w="1834" w:type="dxa"/>
            <w:vAlign w:val="center"/>
          </w:tcPr>
          <w:p w14:paraId="34F2C7FA" w14:textId="77777777" w:rsidR="00D453A0" w:rsidRDefault="00D453A0">
            <w:r w:rsidRPr="000B52A1">
              <w:rPr>
                <w:rFonts w:eastAsia="Arial" w:cstheme="minorHAnsi"/>
                <w:color w:val="000000"/>
                <w:sz w:val="22"/>
                <w:szCs w:val="22"/>
              </w:rPr>
              <w:t>&lt; 0.39</w:t>
            </w:r>
          </w:p>
        </w:tc>
      </w:tr>
      <w:tr w:rsidR="00D453A0" w14:paraId="0606E80B" w14:textId="77777777" w:rsidTr="00844E43">
        <w:trPr>
          <w:trHeight w:val="360"/>
        </w:trPr>
        <w:tc>
          <w:tcPr>
            <w:tcW w:w="1558" w:type="dxa"/>
            <w:vMerge/>
            <w:tcBorders>
              <w:bottom w:val="single" w:sz="12" w:space="0" w:color="auto"/>
            </w:tcBorders>
            <w:vAlign w:val="center"/>
          </w:tcPr>
          <w:p w14:paraId="3D0471FF" w14:textId="77777777" w:rsidR="00D453A0" w:rsidRDefault="00D453A0"/>
        </w:tc>
        <w:tc>
          <w:tcPr>
            <w:tcW w:w="1558" w:type="dxa"/>
            <w:tcBorders>
              <w:bottom w:val="single" w:sz="12" w:space="0" w:color="auto"/>
            </w:tcBorders>
            <w:vAlign w:val="center"/>
          </w:tcPr>
          <w:p w14:paraId="6E9627D0" w14:textId="77777777" w:rsidR="00D453A0" w:rsidRDefault="00D453A0">
            <w:r w:rsidRPr="000B52A1">
              <w:rPr>
                <w:rFonts w:eastAsia="Arial" w:cstheme="minorHAnsi"/>
                <w:color w:val="000000"/>
                <w:sz w:val="22"/>
                <w:szCs w:val="22"/>
              </w:rPr>
              <w:t>Very Poor</w:t>
            </w:r>
          </w:p>
        </w:tc>
        <w:tc>
          <w:tcPr>
            <w:tcW w:w="1558" w:type="dxa"/>
            <w:tcBorders>
              <w:bottom w:val="single" w:sz="12" w:space="0" w:color="auto"/>
            </w:tcBorders>
            <w:vAlign w:val="center"/>
          </w:tcPr>
          <w:p w14:paraId="11825126" w14:textId="77777777" w:rsidR="00D453A0" w:rsidRDefault="00D453A0">
            <w:r w:rsidRPr="000B52A1">
              <w:rPr>
                <w:rFonts w:eastAsia="Arial" w:cstheme="minorHAnsi"/>
                <w:color w:val="000000"/>
                <w:sz w:val="22"/>
                <w:szCs w:val="22"/>
              </w:rPr>
              <w:t>≤ 2.0</w:t>
            </w:r>
          </w:p>
        </w:tc>
        <w:tc>
          <w:tcPr>
            <w:tcW w:w="1558" w:type="dxa"/>
            <w:tcBorders>
              <w:bottom w:val="single" w:sz="12" w:space="0" w:color="auto"/>
            </w:tcBorders>
            <w:vAlign w:val="center"/>
          </w:tcPr>
          <w:p w14:paraId="4F6FD893" w14:textId="77777777" w:rsidR="00D453A0" w:rsidRDefault="00D453A0">
            <w:r w:rsidRPr="000B52A1">
              <w:rPr>
                <w:rFonts w:eastAsia="Arial" w:cstheme="minorHAnsi"/>
                <w:color w:val="000000"/>
                <w:sz w:val="22"/>
                <w:szCs w:val="22"/>
              </w:rPr>
              <w:t>-</w:t>
            </w:r>
          </w:p>
        </w:tc>
        <w:tc>
          <w:tcPr>
            <w:tcW w:w="1559" w:type="dxa"/>
            <w:tcBorders>
              <w:bottom w:val="single" w:sz="12" w:space="0" w:color="auto"/>
            </w:tcBorders>
            <w:vAlign w:val="center"/>
          </w:tcPr>
          <w:p w14:paraId="10D45AF8" w14:textId="77777777" w:rsidR="00D453A0" w:rsidRDefault="00D453A0">
            <w:r w:rsidRPr="000B52A1">
              <w:rPr>
                <w:rFonts w:eastAsia="Arial" w:cstheme="minorHAnsi"/>
                <w:color w:val="000000"/>
                <w:sz w:val="22"/>
                <w:szCs w:val="22"/>
              </w:rPr>
              <w:t>-</w:t>
            </w:r>
          </w:p>
        </w:tc>
        <w:tc>
          <w:tcPr>
            <w:tcW w:w="1834" w:type="dxa"/>
            <w:tcBorders>
              <w:bottom w:val="single" w:sz="12" w:space="0" w:color="auto"/>
            </w:tcBorders>
            <w:vAlign w:val="center"/>
          </w:tcPr>
          <w:p w14:paraId="3DB28E39" w14:textId="77777777" w:rsidR="00D453A0" w:rsidRDefault="00D453A0">
            <w:r w:rsidRPr="000B52A1">
              <w:rPr>
                <w:rFonts w:eastAsia="Arial" w:cstheme="minorHAnsi"/>
                <w:color w:val="000000"/>
                <w:sz w:val="22"/>
                <w:szCs w:val="22"/>
              </w:rPr>
              <w:t>-</w:t>
            </w:r>
          </w:p>
        </w:tc>
      </w:tr>
    </w:tbl>
    <w:p w14:paraId="558A0C3A" w14:textId="77777777" w:rsidR="007468E3" w:rsidRPr="00C43780" w:rsidRDefault="007468E3" w:rsidP="007468E3">
      <w:pPr>
        <w:rPr>
          <w:sz w:val="20"/>
        </w:rPr>
      </w:pPr>
      <w:proofErr w:type="spellStart"/>
      <w:r w:rsidRPr="00C43780">
        <w:rPr>
          <w:rFonts w:eastAsia="Arial" w:cstheme="minorHAnsi"/>
          <w:color w:val="000000"/>
          <w:sz w:val="20"/>
          <w:vertAlign w:val="superscript"/>
        </w:rPr>
        <w:t>a</w:t>
      </w:r>
      <w:r w:rsidRPr="00C43780">
        <w:rPr>
          <w:rFonts w:eastAsia="Arial" w:cstheme="minorHAnsi"/>
          <w:color w:val="000000"/>
          <w:sz w:val="20"/>
        </w:rPr>
        <w:t>CBP</w:t>
      </w:r>
      <w:proofErr w:type="spellEnd"/>
      <w:r w:rsidRPr="00C43780">
        <w:rPr>
          <w:rFonts w:eastAsia="Arial" w:cstheme="minorHAnsi"/>
          <w:color w:val="000000"/>
          <w:sz w:val="20"/>
        </w:rPr>
        <w:t xml:space="preserve"> B-IBI: Weisberg et al. 1997; MAIA B-IBI: </w:t>
      </w:r>
      <w:proofErr w:type="spellStart"/>
      <w:r w:rsidRPr="00C43780">
        <w:rPr>
          <w:rFonts w:eastAsia="Arial" w:cstheme="minorHAnsi"/>
          <w:color w:val="000000"/>
          <w:sz w:val="20"/>
        </w:rPr>
        <w:t>Llansó</w:t>
      </w:r>
      <w:proofErr w:type="spellEnd"/>
      <w:r w:rsidRPr="00C43780">
        <w:rPr>
          <w:rFonts w:eastAsia="Arial" w:cstheme="minorHAnsi"/>
          <w:color w:val="000000"/>
          <w:sz w:val="20"/>
        </w:rPr>
        <w:t xml:space="preserve"> et al. 2002a, 2002b; EMAP VP-IEC: Paul et al. 2001; M-AMBI: Pelletier et al. 2018)</w:t>
      </w:r>
    </w:p>
    <w:p w14:paraId="2EF34CB4" w14:textId="77777777" w:rsidR="007468E3" w:rsidRDefault="007468E3" w:rsidP="0050193C"/>
    <w:p w14:paraId="28603CD3" w14:textId="226E6481" w:rsidR="00A4413E" w:rsidRDefault="0030653F" w:rsidP="0050193C">
      <w:r w:rsidRPr="000B52A1">
        <w:t xml:space="preserve">The benthic indices may not all yield the same condition for a station, but they tend to agree more often at the extremes of the scale (“Good” or “Very Poor”) than near the center (“Fair”). The station distributions among the conditions for each of the indices </w:t>
      </w:r>
      <w:proofErr w:type="gramStart"/>
      <w:r w:rsidRPr="000B52A1">
        <w:t>is</w:t>
      </w:r>
      <w:proofErr w:type="gramEnd"/>
      <w:r w:rsidRPr="000B52A1">
        <w:t xml:space="preserve"> summarized in Table </w:t>
      </w:r>
      <w:r w:rsidR="0037329B">
        <w:t>4.5-</w:t>
      </w:r>
      <w:r w:rsidRPr="000B52A1">
        <w:t>22.</w:t>
      </w:r>
    </w:p>
    <w:p w14:paraId="6CD80902" w14:textId="77777777" w:rsidR="00A4413E" w:rsidRPr="000B52A1" w:rsidRDefault="00A4413E" w:rsidP="0050193C"/>
    <w:p w14:paraId="1235918E" w14:textId="3BBDC35C" w:rsidR="005C3614" w:rsidRPr="0062574F" w:rsidRDefault="000B45D4" w:rsidP="005C3614">
      <w:pPr>
        <w:pStyle w:val="Caption"/>
      </w:pPr>
      <w:bookmarkStart w:id="288" w:name="tab:tab-bibi-results"/>
      <w:bookmarkStart w:id="289" w:name="_Toc164175212"/>
      <w:bookmarkEnd w:id="288"/>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22</w:t>
      </w:r>
      <w:r w:rsidR="004F13BA">
        <w:rPr>
          <w:noProof/>
        </w:rPr>
        <w:fldChar w:fldCharType="end"/>
      </w:r>
      <w:r>
        <w:t xml:space="preserve">. </w:t>
      </w:r>
      <w:r w:rsidR="00393C00">
        <w:t xml:space="preserve">Estimated </w:t>
      </w:r>
      <w:r w:rsidR="00393C00" w:rsidRPr="0A5BE548">
        <w:rPr>
          <w:rFonts w:cstheme="minorBidi"/>
        </w:rPr>
        <w:t>benthic community condition in Virginia’s estuarine waters</w:t>
      </w:r>
      <w:bookmarkEnd w:id="289"/>
      <w:r w:rsidR="00393C00" w:rsidRPr="0A5BE548">
        <w:rPr>
          <w:rFonts w:cstheme="minorBidi"/>
        </w:rPr>
        <w:t xml:space="preserve"> using four indices of biological integrity, 2017-2022.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Benthic community condition using four indices of biological integrity, 2017-2022."/>
        <w:tblDescription w:val="Benthic community condition using four indices of biological integrity, 2017-2022."/>
      </w:tblPr>
      <w:tblGrid>
        <w:gridCol w:w="1108"/>
        <w:gridCol w:w="728"/>
        <w:gridCol w:w="1355"/>
        <w:gridCol w:w="680"/>
        <w:gridCol w:w="1355"/>
        <w:gridCol w:w="680"/>
        <w:gridCol w:w="1355"/>
        <w:gridCol w:w="734"/>
        <w:gridCol w:w="1355"/>
      </w:tblGrid>
      <w:tr w:rsidR="00282C2B" w14:paraId="4B3EFA68" w14:textId="77777777" w:rsidTr="00857B0A">
        <w:trPr>
          <w:trHeight w:val="360"/>
        </w:trPr>
        <w:tc>
          <w:tcPr>
            <w:tcW w:w="1108" w:type="dxa"/>
            <w:tcBorders>
              <w:top w:val="single" w:sz="12" w:space="0" w:color="auto"/>
              <w:right w:val="single" w:sz="2" w:space="0" w:color="auto"/>
            </w:tcBorders>
            <w:vAlign w:val="center"/>
          </w:tcPr>
          <w:p w14:paraId="0B2C812C" w14:textId="77777777" w:rsidR="00282C2B" w:rsidRDefault="00282C2B" w:rsidP="00C11B68"/>
        </w:tc>
        <w:tc>
          <w:tcPr>
            <w:tcW w:w="2083" w:type="dxa"/>
            <w:gridSpan w:val="2"/>
            <w:tcBorders>
              <w:top w:val="single" w:sz="12" w:space="0" w:color="auto"/>
              <w:left w:val="single" w:sz="2" w:space="0" w:color="auto"/>
              <w:right w:val="single" w:sz="2" w:space="0" w:color="auto"/>
            </w:tcBorders>
            <w:vAlign w:val="center"/>
          </w:tcPr>
          <w:p w14:paraId="4564368C" w14:textId="77777777" w:rsidR="00282C2B" w:rsidRDefault="00282C2B" w:rsidP="00D120AE">
            <w:pPr>
              <w:jc w:val="center"/>
            </w:pPr>
            <w:r w:rsidRPr="000B52A1">
              <w:rPr>
                <w:rFonts w:eastAsia="Arial" w:cstheme="minorHAnsi"/>
                <w:b/>
                <w:color w:val="000000"/>
                <w:sz w:val="22"/>
                <w:szCs w:val="22"/>
              </w:rPr>
              <w:t>CBP B-IBI</w:t>
            </w:r>
          </w:p>
        </w:tc>
        <w:tc>
          <w:tcPr>
            <w:tcW w:w="2035" w:type="dxa"/>
            <w:gridSpan w:val="2"/>
            <w:tcBorders>
              <w:top w:val="single" w:sz="12" w:space="0" w:color="auto"/>
              <w:left w:val="single" w:sz="2" w:space="0" w:color="auto"/>
              <w:right w:val="single" w:sz="2" w:space="0" w:color="auto"/>
            </w:tcBorders>
            <w:vAlign w:val="center"/>
          </w:tcPr>
          <w:p w14:paraId="308D703A" w14:textId="1332442E" w:rsidR="00282C2B" w:rsidRDefault="00282C2B" w:rsidP="00D120AE">
            <w:pPr>
              <w:jc w:val="center"/>
            </w:pPr>
            <w:r w:rsidRPr="000B52A1">
              <w:rPr>
                <w:rFonts w:eastAsia="Arial" w:cstheme="minorHAnsi"/>
                <w:b/>
                <w:color w:val="000000"/>
                <w:sz w:val="22"/>
                <w:szCs w:val="22"/>
              </w:rPr>
              <w:t>MAIA B-IBI</w:t>
            </w:r>
          </w:p>
        </w:tc>
        <w:tc>
          <w:tcPr>
            <w:tcW w:w="2035" w:type="dxa"/>
            <w:gridSpan w:val="2"/>
            <w:tcBorders>
              <w:top w:val="single" w:sz="12" w:space="0" w:color="auto"/>
              <w:left w:val="single" w:sz="2" w:space="0" w:color="auto"/>
              <w:right w:val="single" w:sz="2" w:space="0" w:color="auto"/>
            </w:tcBorders>
            <w:vAlign w:val="center"/>
          </w:tcPr>
          <w:p w14:paraId="3D1732F8" w14:textId="77777777" w:rsidR="00282C2B" w:rsidRDefault="00282C2B" w:rsidP="00D120AE">
            <w:pPr>
              <w:jc w:val="center"/>
            </w:pPr>
            <w:r w:rsidRPr="000B52A1">
              <w:rPr>
                <w:rFonts w:eastAsia="Arial" w:cstheme="minorHAnsi"/>
                <w:b/>
                <w:color w:val="000000"/>
                <w:sz w:val="22"/>
                <w:szCs w:val="22"/>
              </w:rPr>
              <w:t>EMAP VP-IEC</w:t>
            </w:r>
          </w:p>
        </w:tc>
        <w:tc>
          <w:tcPr>
            <w:tcW w:w="2089" w:type="dxa"/>
            <w:gridSpan w:val="2"/>
            <w:tcBorders>
              <w:top w:val="single" w:sz="12" w:space="0" w:color="auto"/>
              <w:left w:val="single" w:sz="2" w:space="0" w:color="auto"/>
            </w:tcBorders>
            <w:vAlign w:val="center"/>
          </w:tcPr>
          <w:p w14:paraId="3E0B1C06" w14:textId="77777777" w:rsidR="00282C2B" w:rsidRDefault="00282C2B" w:rsidP="00D120AE">
            <w:pPr>
              <w:jc w:val="center"/>
            </w:pPr>
            <w:r w:rsidRPr="000B52A1">
              <w:rPr>
                <w:rFonts w:eastAsia="Arial" w:cstheme="minorHAnsi"/>
                <w:b/>
                <w:color w:val="000000"/>
                <w:sz w:val="22"/>
                <w:szCs w:val="22"/>
              </w:rPr>
              <w:t>M-AMBI</w:t>
            </w:r>
          </w:p>
        </w:tc>
      </w:tr>
      <w:tr w:rsidR="000B45D4" w14:paraId="0FF59912" w14:textId="77777777" w:rsidTr="00857B0A">
        <w:trPr>
          <w:trHeight w:val="360"/>
        </w:trPr>
        <w:tc>
          <w:tcPr>
            <w:tcW w:w="1108" w:type="dxa"/>
            <w:tcBorders>
              <w:bottom w:val="single" w:sz="2" w:space="0" w:color="auto"/>
              <w:right w:val="single" w:sz="2" w:space="0" w:color="auto"/>
            </w:tcBorders>
            <w:vAlign w:val="center"/>
          </w:tcPr>
          <w:p w14:paraId="4A1934A8" w14:textId="77777777" w:rsidR="00282C2B" w:rsidRDefault="00282C2B">
            <w:r w:rsidRPr="000B52A1">
              <w:rPr>
                <w:rFonts w:eastAsia="Arial" w:cstheme="minorHAnsi"/>
                <w:b/>
                <w:color w:val="000000"/>
                <w:sz w:val="22"/>
                <w:szCs w:val="22"/>
              </w:rPr>
              <w:t>Condition</w:t>
            </w:r>
          </w:p>
        </w:tc>
        <w:tc>
          <w:tcPr>
            <w:tcW w:w="728" w:type="dxa"/>
            <w:tcBorders>
              <w:left w:val="single" w:sz="2" w:space="0" w:color="auto"/>
              <w:bottom w:val="single" w:sz="2" w:space="0" w:color="auto"/>
            </w:tcBorders>
            <w:vAlign w:val="center"/>
          </w:tcPr>
          <w:p w14:paraId="4405F8CF" w14:textId="60BC295D" w:rsidR="00282C2B" w:rsidRDefault="00282C2B" w:rsidP="00D120AE">
            <w:pPr>
              <w:jc w:val="center"/>
            </w:pPr>
            <w:r w:rsidRPr="000B52A1">
              <w:rPr>
                <w:rFonts w:eastAsia="Arial" w:cstheme="minorHAnsi"/>
                <w:b/>
                <w:color w:val="000000"/>
                <w:sz w:val="22"/>
                <w:szCs w:val="22"/>
              </w:rPr>
              <w:t>N</w:t>
            </w:r>
          </w:p>
        </w:tc>
        <w:tc>
          <w:tcPr>
            <w:tcW w:w="1355" w:type="dxa"/>
            <w:tcBorders>
              <w:bottom w:val="single" w:sz="2" w:space="0" w:color="auto"/>
              <w:right w:val="single" w:sz="2" w:space="0" w:color="auto"/>
            </w:tcBorders>
            <w:vAlign w:val="center"/>
          </w:tcPr>
          <w:p w14:paraId="3426E6A1" w14:textId="27A440FB" w:rsidR="00282C2B" w:rsidRDefault="00282C2B" w:rsidP="00D120AE">
            <w:pPr>
              <w:jc w:val="center"/>
            </w:pPr>
            <w:r w:rsidRPr="000B52A1">
              <w:rPr>
                <w:rFonts w:eastAsia="Arial" w:cstheme="minorHAnsi"/>
                <w:b/>
                <w:color w:val="000000"/>
                <w:sz w:val="22"/>
                <w:szCs w:val="22"/>
              </w:rPr>
              <w:t>Percentage</w:t>
            </w:r>
            <w:r w:rsidR="00F15FD4" w:rsidRPr="00F15FD4">
              <w:rPr>
                <w:rFonts w:eastAsia="Arial" w:cstheme="minorHAnsi"/>
                <w:b/>
                <w:color w:val="000000"/>
                <w:sz w:val="22"/>
                <w:szCs w:val="22"/>
                <w:vertAlign w:val="superscript"/>
              </w:rPr>
              <w:t>1</w:t>
            </w:r>
          </w:p>
        </w:tc>
        <w:tc>
          <w:tcPr>
            <w:tcW w:w="680" w:type="dxa"/>
            <w:tcBorders>
              <w:left w:val="single" w:sz="2" w:space="0" w:color="auto"/>
              <w:bottom w:val="single" w:sz="2" w:space="0" w:color="auto"/>
            </w:tcBorders>
            <w:vAlign w:val="center"/>
          </w:tcPr>
          <w:p w14:paraId="536A88A0" w14:textId="62C171F5" w:rsidR="00282C2B" w:rsidRDefault="00282C2B" w:rsidP="00D120AE">
            <w:pPr>
              <w:jc w:val="center"/>
            </w:pPr>
            <w:r w:rsidRPr="000B52A1">
              <w:rPr>
                <w:rFonts w:eastAsia="Arial" w:cstheme="minorHAnsi"/>
                <w:b/>
                <w:color w:val="000000"/>
                <w:sz w:val="22"/>
                <w:szCs w:val="22"/>
              </w:rPr>
              <w:t>N</w:t>
            </w:r>
          </w:p>
        </w:tc>
        <w:tc>
          <w:tcPr>
            <w:tcW w:w="1355" w:type="dxa"/>
            <w:tcBorders>
              <w:bottom w:val="single" w:sz="2" w:space="0" w:color="auto"/>
              <w:right w:val="single" w:sz="2" w:space="0" w:color="auto"/>
            </w:tcBorders>
            <w:vAlign w:val="center"/>
          </w:tcPr>
          <w:p w14:paraId="39084FAC" w14:textId="205C333E" w:rsidR="00282C2B" w:rsidRDefault="00F15FD4" w:rsidP="00D120AE">
            <w:pPr>
              <w:jc w:val="center"/>
            </w:pPr>
            <w:r w:rsidRPr="000B52A1">
              <w:rPr>
                <w:rFonts w:eastAsia="Arial" w:cstheme="minorHAnsi"/>
                <w:b/>
                <w:color w:val="000000"/>
                <w:sz w:val="22"/>
                <w:szCs w:val="22"/>
              </w:rPr>
              <w:t>Percentage</w:t>
            </w:r>
            <w:r w:rsidRPr="00F15FD4">
              <w:rPr>
                <w:rFonts w:eastAsia="Arial" w:cstheme="minorHAnsi"/>
                <w:b/>
                <w:color w:val="000000"/>
                <w:sz w:val="22"/>
                <w:szCs w:val="22"/>
                <w:vertAlign w:val="superscript"/>
              </w:rPr>
              <w:t>1</w:t>
            </w:r>
          </w:p>
        </w:tc>
        <w:tc>
          <w:tcPr>
            <w:tcW w:w="680" w:type="dxa"/>
            <w:tcBorders>
              <w:left w:val="single" w:sz="2" w:space="0" w:color="auto"/>
              <w:bottom w:val="single" w:sz="2" w:space="0" w:color="auto"/>
            </w:tcBorders>
            <w:vAlign w:val="center"/>
          </w:tcPr>
          <w:p w14:paraId="0EE54265" w14:textId="1C0C9339" w:rsidR="00282C2B" w:rsidRDefault="00282C2B" w:rsidP="00D120AE">
            <w:pPr>
              <w:jc w:val="center"/>
            </w:pPr>
            <w:r w:rsidRPr="000B52A1">
              <w:rPr>
                <w:rFonts w:eastAsia="Arial" w:cstheme="minorHAnsi"/>
                <w:b/>
                <w:color w:val="000000"/>
                <w:sz w:val="22"/>
                <w:szCs w:val="22"/>
              </w:rPr>
              <w:t>N</w:t>
            </w:r>
          </w:p>
        </w:tc>
        <w:tc>
          <w:tcPr>
            <w:tcW w:w="1355" w:type="dxa"/>
            <w:tcBorders>
              <w:bottom w:val="single" w:sz="2" w:space="0" w:color="auto"/>
              <w:right w:val="single" w:sz="2" w:space="0" w:color="auto"/>
            </w:tcBorders>
            <w:vAlign w:val="center"/>
          </w:tcPr>
          <w:p w14:paraId="0C30C60E" w14:textId="40751862" w:rsidR="00282C2B" w:rsidRDefault="00F15FD4" w:rsidP="00D120AE">
            <w:pPr>
              <w:jc w:val="center"/>
            </w:pPr>
            <w:r w:rsidRPr="000B52A1">
              <w:rPr>
                <w:rFonts w:eastAsia="Arial" w:cstheme="minorHAnsi"/>
                <w:b/>
                <w:color w:val="000000"/>
                <w:sz w:val="22"/>
                <w:szCs w:val="22"/>
              </w:rPr>
              <w:t>Percentage</w:t>
            </w:r>
            <w:r w:rsidRPr="00F15FD4">
              <w:rPr>
                <w:rFonts w:eastAsia="Arial" w:cstheme="minorHAnsi"/>
                <w:b/>
                <w:color w:val="000000"/>
                <w:sz w:val="22"/>
                <w:szCs w:val="22"/>
                <w:vertAlign w:val="superscript"/>
              </w:rPr>
              <w:t>1</w:t>
            </w:r>
          </w:p>
        </w:tc>
        <w:tc>
          <w:tcPr>
            <w:tcW w:w="734" w:type="dxa"/>
            <w:tcBorders>
              <w:left w:val="single" w:sz="2" w:space="0" w:color="auto"/>
              <w:bottom w:val="single" w:sz="2" w:space="0" w:color="auto"/>
            </w:tcBorders>
            <w:vAlign w:val="center"/>
          </w:tcPr>
          <w:p w14:paraId="462AC4C0" w14:textId="2934EA23" w:rsidR="00282C2B" w:rsidRDefault="00282C2B" w:rsidP="00D120AE">
            <w:pPr>
              <w:jc w:val="center"/>
            </w:pPr>
            <w:r w:rsidRPr="000B52A1">
              <w:rPr>
                <w:rFonts w:eastAsia="Arial" w:cstheme="minorHAnsi"/>
                <w:b/>
                <w:color w:val="000000"/>
                <w:sz w:val="22"/>
                <w:szCs w:val="22"/>
              </w:rPr>
              <w:t>N</w:t>
            </w:r>
          </w:p>
        </w:tc>
        <w:tc>
          <w:tcPr>
            <w:tcW w:w="1355" w:type="dxa"/>
            <w:tcBorders>
              <w:bottom w:val="single" w:sz="2" w:space="0" w:color="auto"/>
            </w:tcBorders>
            <w:vAlign w:val="center"/>
          </w:tcPr>
          <w:p w14:paraId="71CAE665" w14:textId="005046E9" w:rsidR="00282C2B" w:rsidRDefault="00F15FD4" w:rsidP="00D120AE">
            <w:pPr>
              <w:jc w:val="center"/>
            </w:pPr>
            <w:r w:rsidRPr="000B52A1">
              <w:rPr>
                <w:rFonts w:eastAsia="Arial" w:cstheme="minorHAnsi"/>
                <w:b/>
                <w:color w:val="000000"/>
                <w:sz w:val="22"/>
                <w:szCs w:val="22"/>
              </w:rPr>
              <w:t>Percentage</w:t>
            </w:r>
            <w:r w:rsidRPr="00F15FD4">
              <w:rPr>
                <w:rFonts w:eastAsia="Arial" w:cstheme="minorHAnsi"/>
                <w:b/>
                <w:color w:val="000000"/>
                <w:sz w:val="22"/>
                <w:szCs w:val="22"/>
                <w:vertAlign w:val="superscript"/>
              </w:rPr>
              <w:t>1</w:t>
            </w:r>
          </w:p>
        </w:tc>
      </w:tr>
      <w:tr w:rsidR="000B45D4" w14:paraId="5D29FA19" w14:textId="77777777" w:rsidTr="00857B0A">
        <w:trPr>
          <w:trHeight w:val="360"/>
        </w:trPr>
        <w:tc>
          <w:tcPr>
            <w:tcW w:w="1108" w:type="dxa"/>
            <w:tcBorders>
              <w:top w:val="single" w:sz="2" w:space="0" w:color="auto"/>
              <w:right w:val="single" w:sz="2" w:space="0" w:color="auto"/>
            </w:tcBorders>
            <w:vAlign w:val="center"/>
          </w:tcPr>
          <w:p w14:paraId="5BFDFC10" w14:textId="77777777" w:rsidR="00282C2B" w:rsidRDefault="00282C2B">
            <w:r w:rsidRPr="000B52A1">
              <w:rPr>
                <w:rFonts w:eastAsia="Arial" w:cstheme="minorHAnsi"/>
                <w:color w:val="000000"/>
                <w:sz w:val="22"/>
                <w:szCs w:val="22"/>
              </w:rPr>
              <w:t>Good</w:t>
            </w:r>
          </w:p>
        </w:tc>
        <w:tc>
          <w:tcPr>
            <w:tcW w:w="728" w:type="dxa"/>
            <w:tcBorders>
              <w:top w:val="single" w:sz="2" w:space="0" w:color="auto"/>
              <w:left w:val="single" w:sz="2" w:space="0" w:color="auto"/>
            </w:tcBorders>
            <w:vAlign w:val="center"/>
          </w:tcPr>
          <w:p w14:paraId="39BBD851" w14:textId="77777777" w:rsidR="00282C2B" w:rsidRDefault="00282C2B" w:rsidP="00452FDB">
            <w:pPr>
              <w:jc w:val="center"/>
            </w:pPr>
            <w:r w:rsidRPr="000B52A1">
              <w:rPr>
                <w:rFonts w:eastAsia="Arial" w:cstheme="minorHAnsi"/>
                <w:color w:val="000000"/>
                <w:sz w:val="22"/>
                <w:szCs w:val="22"/>
              </w:rPr>
              <w:t>65</w:t>
            </w:r>
          </w:p>
        </w:tc>
        <w:tc>
          <w:tcPr>
            <w:tcW w:w="1355" w:type="dxa"/>
            <w:tcBorders>
              <w:top w:val="single" w:sz="2" w:space="0" w:color="auto"/>
              <w:right w:val="single" w:sz="2" w:space="0" w:color="auto"/>
            </w:tcBorders>
            <w:vAlign w:val="center"/>
          </w:tcPr>
          <w:p w14:paraId="7666617B" w14:textId="77777777" w:rsidR="00282C2B" w:rsidRDefault="00282C2B" w:rsidP="00452FDB">
            <w:pPr>
              <w:jc w:val="center"/>
            </w:pPr>
            <w:r w:rsidRPr="000B52A1">
              <w:rPr>
                <w:rFonts w:eastAsia="Arial" w:cstheme="minorHAnsi"/>
                <w:color w:val="000000"/>
                <w:sz w:val="22"/>
                <w:szCs w:val="22"/>
              </w:rPr>
              <w:t>30.95 ± 6.29</w:t>
            </w:r>
          </w:p>
        </w:tc>
        <w:tc>
          <w:tcPr>
            <w:tcW w:w="680" w:type="dxa"/>
            <w:tcBorders>
              <w:top w:val="single" w:sz="2" w:space="0" w:color="auto"/>
              <w:left w:val="single" w:sz="2" w:space="0" w:color="auto"/>
            </w:tcBorders>
            <w:vAlign w:val="center"/>
          </w:tcPr>
          <w:p w14:paraId="50B6A584" w14:textId="77777777" w:rsidR="00282C2B" w:rsidRDefault="00282C2B" w:rsidP="00452FDB">
            <w:pPr>
              <w:jc w:val="center"/>
            </w:pPr>
            <w:r w:rsidRPr="000B52A1">
              <w:rPr>
                <w:rFonts w:eastAsia="Arial" w:cstheme="minorHAnsi"/>
                <w:color w:val="000000"/>
                <w:sz w:val="22"/>
                <w:szCs w:val="22"/>
              </w:rPr>
              <w:t>205</w:t>
            </w:r>
          </w:p>
        </w:tc>
        <w:tc>
          <w:tcPr>
            <w:tcW w:w="1355" w:type="dxa"/>
            <w:tcBorders>
              <w:top w:val="single" w:sz="2" w:space="0" w:color="auto"/>
              <w:right w:val="single" w:sz="2" w:space="0" w:color="auto"/>
            </w:tcBorders>
            <w:vAlign w:val="center"/>
          </w:tcPr>
          <w:p w14:paraId="09F8A048" w14:textId="77777777" w:rsidR="00282C2B" w:rsidRDefault="00282C2B" w:rsidP="00452FDB">
            <w:pPr>
              <w:jc w:val="center"/>
            </w:pPr>
            <w:r w:rsidRPr="000B52A1">
              <w:rPr>
                <w:rFonts w:eastAsia="Arial" w:cstheme="minorHAnsi"/>
                <w:color w:val="000000"/>
                <w:sz w:val="22"/>
                <w:szCs w:val="22"/>
              </w:rPr>
              <w:t>69.02 ± 5.28</w:t>
            </w:r>
          </w:p>
        </w:tc>
        <w:tc>
          <w:tcPr>
            <w:tcW w:w="680" w:type="dxa"/>
            <w:tcBorders>
              <w:top w:val="single" w:sz="2" w:space="0" w:color="auto"/>
              <w:left w:val="single" w:sz="2" w:space="0" w:color="auto"/>
            </w:tcBorders>
            <w:vAlign w:val="center"/>
          </w:tcPr>
          <w:p w14:paraId="2229B024" w14:textId="77777777" w:rsidR="00282C2B" w:rsidRDefault="00282C2B" w:rsidP="00452FDB">
            <w:pPr>
              <w:jc w:val="center"/>
            </w:pPr>
            <w:r w:rsidRPr="000B52A1">
              <w:rPr>
                <w:rFonts w:eastAsia="Arial" w:cstheme="minorHAnsi"/>
                <w:color w:val="000000"/>
                <w:sz w:val="22"/>
                <w:szCs w:val="22"/>
              </w:rPr>
              <w:t>161</w:t>
            </w:r>
          </w:p>
        </w:tc>
        <w:tc>
          <w:tcPr>
            <w:tcW w:w="1355" w:type="dxa"/>
            <w:tcBorders>
              <w:top w:val="single" w:sz="2" w:space="0" w:color="auto"/>
              <w:right w:val="single" w:sz="2" w:space="0" w:color="auto"/>
            </w:tcBorders>
            <w:vAlign w:val="center"/>
          </w:tcPr>
          <w:p w14:paraId="34572195" w14:textId="77777777" w:rsidR="00282C2B" w:rsidRDefault="00282C2B" w:rsidP="00452FDB">
            <w:pPr>
              <w:jc w:val="center"/>
            </w:pPr>
            <w:r w:rsidRPr="000B52A1">
              <w:rPr>
                <w:rFonts w:eastAsia="Arial" w:cstheme="minorHAnsi"/>
                <w:color w:val="000000"/>
                <w:sz w:val="22"/>
                <w:szCs w:val="22"/>
              </w:rPr>
              <w:t>54.21 ± 5.69</w:t>
            </w:r>
          </w:p>
        </w:tc>
        <w:tc>
          <w:tcPr>
            <w:tcW w:w="734" w:type="dxa"/>
            <w:tcBorders>
              <w:top w:val="single" w:sz="2" w:space="0" w:color="auto"/>
              <w:left w:val="single" w:sz="2" w:space="0" w:color="auto"/>
            </w:tcBorders>
            <w:vAlign w:val="center"/>
          </w:tcPr>
          <w:p w14:paraId="0DB01611" w14:textId="77777777" w:rsidR="00282C2B" w:rsidRDefault="00282C2B" w:rsidP="00452FDB">
            <w:pPr>
              <w:jc w:val="center"/>
            </w:pPr>
            <w:r w:rsidRPr="000B52A1">
              <w:rPr>
                <w:rFonts w:eastAsia="Arial" w:cstheme="minorHAnsi"/>
                <w:color w:val="000000"/>
                <w:sz w:val="22"/>
                <w:szCs w:val="22"/>
              </w:rPr>
              <w:t>72</w:t>
            </w:r>
          </w:p>
        </w:tc>
        <w:tc>
          <w:tcPr>
            <w:tcW w:w="1355" w:type="dxa"/>
            <w:tcBorders>
              <w:top w:val="single" w:sz="2" w:space="0" w:color="auto"/>
            </w:tcBorders>
            <w:vAlign w:val="center"/>
          </w:tcPr>
          <w:p w14:paraId="374B41D9" w14:textId="77777777" w:rsidR="00282C2B" w:rsidRDefault="00282C2B" w:rsidP="00452FDB">
            <w:pPr>
              <w:jc w:val="center"/>
            </w:pPr>
            <w:r w:rsidRPr="000B52A1">
              <w:rPr>
                <w:rFonts w:eastAsia="Arial" w:cstheme="minorHAnsi"/>
                <w:color w:val="000000"/>
                <w:sz w:val="22"/>
                <w:szCs w:val="22"/>
              </w:rPr>
              <w:t>36.55 ± 6.77</w:t>
            </w:r>
          </w:p>
        </w:tc>
      </w:tr>
      <w:tr w:rsidR="000B45D4" w14:paraId="1E4A52A0" w14:textId="77777777" w:rsidTr="00857B0A">
        <w:trPr>
          <w:trHeight w:val="360"/>
        </w:trPr>
        <w:tc>
          <w:tcPr>
            <w:tcW w:w="1108" w:type="dxa"/>
            <w:tcBorders>
              <w:right w:val="single" w:sz="2" w:space="0" w:color="auto"/>
            </w:tcBorders>
            <w:vAlign w:val="center"/>
          </w:tcPr>
          <w:p w14:paraId="2E6C69E0" w14:textId="77777777" w:rsidR="00282C2B" w:rsidRDefault="00282C2B">
            <w:r w:rsidRPr="000B52A1">
              <w:rPr>
                <w:rFonts w:eastAsia="Arial" w:cstheme="minorHAnsi"/>
                <w:color w:val="000000"/>
                <w:sz w:val="22"/>
                <w:szCs w:val="22"/>
              </w:rPr>
              <w:t>Fair</w:t>
            </w:r>
          </w:p>
        </w:tc>
        <w:tc>
          <w:tcPr>
            <w:tcW w:w="728" w:type="dxa"/>
            <w:tcBorders>
              <w:left w:val="single" w:sz="2" w:space="0" w:color="auto"/>
            </w:tcBorders>
            <w:vAlign w:val="center"/>
          </w:tcPr>
          <w:p w14:paraId="10267338" w14:textId="77777777" w:rsidR="00282C2B" w:rsidRDefault="00282C2B" w:rsidP="00452FDB">
            <w:pPr>
              <w:jc w:val="center"/>
            </w:pPr>
            <w:r w:rsidRPr="000B52A1">
              <w:rPr>
                <w:rFonts w:eastAsia="Arial" w:cstheme="minorHAnsi"/>
                <w:color w:val="000000"/>
                <w:sz w:val="22"/>
                <w:szCs w:val="22"/>
              </w:rPr>
              <w:t>27</w:t>
            </w:r>
          </w:p>
        </w:tc>
        <w:tc>
          <w:tcPr>
            <w:tcW w:w="1355" w:type="dxa"/>
            <w:tcBorders>
              <w:right w:val="single" w:sz="2" w:space="0" w:color="auto"/>
            </w:tcBorders>
            <w:vAlign w:val="center"/>
          </w:tcPr>
          <w:p w14:paraId="2E1EF1B4" w14:textId="77777777" w:rsidR="00282C2B" w:rsidRDefault="00282C2B" w:rsidP="00452FDB">
            <w:pPr>
              <w:jc w:val="center"/>
            </w:pPr>
            <w:r w:rsidRPr="000B52A1">
              <w:rPr>
                <w:rFonts w:eastAsia="Arial" w:cstheme="minorHAnsi"/>
                <w:color w:val="000000"/>
                <w:sz w:val="22"/>
                <w:szCs w:val="22"/>
              </w:rPr>
              <w:t>12.86 ± 4.55</w:t>
            </w:r>
          </w:p>
        </w:tc>
        <w:tc>
          <w:tcPr>
            <w:tcW w:w="680" w:type="dxa"/>
            <w:tcBorders>
              <w:left w:val="single" w:sz="2" w:space="0" w:color="auto"/>
            </w:tcBorders>
            <w:vAlign w:val="center"/>
          </w:tcPr>
          <w:p w14:paraId="742B4F5E" w14:textId="77777777" w:rsidR="00282C2B" w:rsidRDefault="00282C2B" w:rsidP="00452FDB">
            <w:pPr>
              <w:jc w:val="center"/>
            </w:pPr>
            <w:r w:rsidRPr="000B52A1">
              <w:rPr>
                <w:rFonts w:eastAsia="Arial" w:cstheme="minorHAnsi"/>
                <w:color w:val="000000"/>
                <w:sz w:val="22"/>
                <w:szCs w:val="22"/>
              </w:rPr>
              <w:t>0</w:t>
            </w:r>
          </w:p>
        </w:tc>
        <w:tc>
          <w:tcPr>
            <w:tcW w:w="1355" w:type="dxa"/>
            <w:tcBorders>
              <w:right w:val="single" w:sz="2" w:space="0" w:color="auto"/>
            </w:tcBorders>
            <w:vAlign w:val="center"/>
          </w:tcPr>
          <w:p w14:paraId="3C90C634" w14:textId="77777777" w:rsidR="00282C2B" w:rsidRDefault="00282C2B" w:rsidP="00452FDB">
            <w:pPr>
              <w:jc w:val="center"/>
            </w:pPr>
            <w:r w:rsidRPr="000B52A1">
              <w:rPr>
                <w:rFonts w:eastAsia="Arial" w:cstheme="minorHAnsi"/>
                <w:color w:val="000000"/>
                <w:sz w:val="22"/>
                <w:szCs w:val="22"/>
              </w:rPr>
              <w:t>0</w:t>
            </w:r>
          </w:p>
        </w:tc>
        <w:tc>
          <w:tcPr>
            <w:tcW w:w="680" w:type="dxa"/>
            <w:tcBorders>
              <w:left w:val="single" w:sz="2" w:space="0" w:color="auto"/>
            </w:tcBorders>
            <w:vAlign w:val="center"/>
          </w:tcPr>
          <w:p w14:paraId="191098E0" w14:textId="77777777" w:rsidR="00282C2B" w:rsidRDefault="00282C2B" w:rsidP="00452FDB">
            <w:pPr>
              <w:jc w:val="center"/>
            </w:pPr>
            <w:r w:rsidRPr="000B52A1">
              <w:rPr>
                <w:rFonts w:eastAsia="Arial" w:cstheme="minorHAnsi"/>
                <w:color w:val="000000"/>
                <w:sz w:val="22"/>
                <w:szCs w:val="22"/>
              </w:rPr>
              <w:t>27</w:t>
            </w:r>
          </w:p>
        </w:tc>
        <w:tc>
          <w:tcPr>
            <w:tcW w:w="1355" w:type="dxa"/>
            <w:tcBorders>
              <w:right w:val="single" w:sz="2" w:space="0" w:color="auto"/>
            </w:tcBorders>
            <w:vAlign w:val="center"/>
          </w:tcPr>
          <w:p w14:paraId="2CC59701" w14:textId="77777777" w:rsidR="00282C2B" w:rsidRDefault="00282C2B" w:rsidP="00452FDB">
            <w:pPr>
              <w:jc w:val="center"/>
            </w:pPr>
            <w:r w:rsidRPr="000B52A1">
              <w:rPr>
                <w:rFonts w:eastAsia="Arial" w:cstheme="minorHAnsi"/>
                <w:color w:val="000000"/>
                <w:sz w:val="22"/>
                <w:szCs w:val="22"/>
              </w:rPr>
              <w:t>9.09 ± 3.28</w:t>
            </w:r>
          </w:p>
        </w:tc>
        <w:tc>
          <w:tcPr>
            <w:tcW w:w="734" w:type="dxa"/>
            <w:tcBorders>
              <w:left w:val="single" w:sz="2" w:space="0" w:color="auto"/>
            </w:tcBorders>
            <w:vAlign w:val="center"/>
          </w:tcPr>
          <w:p w14:paraId="333EBBBC" w14:textId="77777777" w:rsidR="00282C2B" w:rsidRDefault="00282C2B" w:rsidP="00452FDB">
            <w:pPr>
              <w:jc w:val="center"/>
            </w:pPr>
            <w:r w:rsidRPr="000B52A1">
              <w:rPr>
                <w:rFonts w:eastAsia="Arial" w:cstheme="minorHAnsi"/>
                <w:color w:val="000000"/>
                <w:sz w:val="22"/>
                <w:szCs w:val="22"/>
              </w:rPr>
              <w:t>64</w:t>
            </w:r>
          </w:p>
        </w:tc>
        <w:tc>
          <w:tcPr>
            <w:tcW w:w="1355" w:type="dxa"/>
            <w:vAlign w:val="center"/>
          </w:tcPr>
          <w:p w14:paraId="08B4E1E2" w14:textId="77777777" w:rsidR="00282C2B" w:rsidRDefault="00282C2B" w:rsidP="00452FDB">
            <w:pPr>
              <w:jc w:val="center"/>
            </w:pPr>
            <w:r w:rsidRPr="000B52A1">
              <w:rPr>
                <w:rFonts w:eastAsia="Arial" w:cstheme="minorHAnsi"/>
                <w:color w:val="000000"/>
                <w:sz w:val="22"/>
                <w:szCs w:val="22"/>
              </w:rPr>
              <w:t>32.49 ± 6.58</w:t>
            </w:r>
          </w:p>
        </w:tc>
      </w:tr>
      <w:tr w:rsidR="000B45D4" w14:paraId="0A68C7E0" w14:textId="77777777" w:rsidTr="00857B0A">
        <w:trPr>
          <w:trHeight w:val="360"/>
        </w:trPr>
        <w:tc>
          <w:tcPr>
            <w:tcW w:w="1108" w:type="dxa"/>
            <w:tcBorders>
              <w:right w:val="single" w:sz="2" w:space="0" w:color="auto"/>
            </w:tcBorders>
            <w:vAlign w:val="center"/>
          </w:tcPr>
          <w:p w14:paraId="24508E75" w14:textId="77777777" w:rsidR="00282C2B" w:rsidRDefault="00282C2B">
            <w:r w:rsidRPr="000B52A1">
              <w:rPr>
                <w:rFonts w:eastAsia="Arial" w:cstheme="minorHAnsi"/>
                <w:color w:val="000000"/>
                <w:sz w:val="22"/>
                <w:szCs w:val="22"/>
              </w:rPr>
              <w:t>Poor</w:t>
            </w:r>
          </w:p>
        </w:tc>
        <w:tc>
          <w:tcPr>
            <w:tcW w:w="728" w:type="dxa"/>
            <w:tcBorders>
              <w:left w:val="single" w:sz="2" w:space="0" w:color="auto"/>
            </w:tcBorders>
            <w:vAlign w:val="center"/>
          </w:tcPr>
          <w:p w14:paraId="4175D92C" w14:textId="77777777" w:rsidR="00282C2B" w:rsidRDefault="00282C2B" w:rsidP="00452FDB">
            <w:pPr>
              <w:jc w:val="center"/>
            </w:pPr>
            <w:r w:rsidRPr="000B52A1">
              <w:rPr>
                <w:rFonts w:eastAsia="Arial" w:cstheme="minorHAnsi"/>
                <w:color w:val="000000"/>
                <w:sz w:val="22"/>
                <w:szCs w:val="22"/>
              </w:rPr>
              <w:t>27</w:t>
            </w:r>
          </w:p>
        </w:tc>
        <w:tc>
          <w:tcPr>
            <w:tcW w:w="1355" w:type="dxa"/>
            <w:tcBorders>
              <w:right w:val="single" w:sz="2" w:space="0" w:color="auto"/>
            </w:tcBorders>
            <w:vAlign w:val="center"/>
          </w:tcPr>
          <w:p w14:paraId="61194F70" w14:textId="77777777" w:rsidR="00282C2B" w:rsidRDefault="00282C2B" w:rsidP="00452FDB">
            <w:pPr>
              <w:jc w:val="center"/>
            </w:pPr>
            <w:r w:rsidRPr="000B52A1">
              <w:rPr>
                <w:rFonts w:eastAsia="Arial" w:cstheme="minorHAnsi"/>
                <w:color w:val="000000"/>
                <w:sz w:val="22"/>
                <w:szCs w:val="22"/>
              </w:rPr>
              <w:t>12.86 ± 4.55</w:t>
            </w:r>
          </w:p>
        </w:tc>
        <w:tc>
          <w:tcPr>
            <w:tcW w:w="680" w:type="dxa"/>
            <w:tcBorders>
              <w:left w:val="single" w:sz="2" w:space="0" w:color="auto"/>
            </w:tcBorders>
            <w:vAlign w:val="center"/>
          </w:tcPr>
          <w:p w14:paraId="23096F74" w14:textId="77777777" w:rsidR="00282C2B" w:rsidRDefault="00282C2B" w:rsidP="00452FDB">
            <w:pPr>
              <w:jc w:val="center"/>
            </w:pPr>
            <w:r w:rsidRPr="000B52A1">
              <w:rPr>
                <w:rFonts w:eastAsia="Arial" w:cstheme="minorHAnsi"/>
                <w:color w:val="000000"/>
                <w:sz w:val="22"/>
                <w:szCs w:val="22"/>
              </w:rPr>
              <w:t>47</w:t>
            </w:r>
          </w:p>
        </w:tc>
        <w:tc>
          <w:tcPr>
            <w:tcW w:w="1355" w:type="dxa"/>
            <w:tcBorders>
              <w:right w:val="single" w:sz="2" w:space="0" w:color="auto"/>
            </w:tcBorders>
            <w:vAlign w:val="center"/>
          </w:tcPr>
          <w:p w14:paraId="3C0580F8" w14:textId="77777777" w:rsidR="00282C2B" w:rsidRDefault="00282C2B" w:rsidP="00452FDB">
            <w:pPr>
              <w:jc w:val="center"/>
            </w:pPr>
            <w:r w:rsidRPr="000B52A1">
              <w:rPr>
                <w:rFonts w:eastAsia="Arial" w:cstheme="minorHAnsi"/>
                <w:color w:val="000000"/>
                <w:sz w:val="22"/>
                <w:szCs w:val="22"/>
              </w:rPr>
              <w:t>15.82 ± 4.17</w:t>
            </w:r>
          </w:p>
        </w:tc>
        <w:tc>
          <w:tcPr>
            <w:tcW w:w="680" w:type="dxa"/>
            <w:tcBorders>
              <w:left w:val="single" w:sz="2" w:space="0" w:color="auto"/>
            </w:tcBorders>
            <w:vAlign w:val="center"/>
          </w:tcPr>
          <w:p w14:paraId="3A317D0A" w14:textId="77777777" w:rsidR="00282C2B" w:rsidRDefault="00282C2B" w:rsidP="00452FDB">
            <w:pPr>
              <w:jc w:val="center"/>
            </w:pPr>
            <w:r w:rsidRPr="000B52A1">
              <w:rPr>
                <w:rFonts w:eastAsia="Arial" w:cstheme="minorHAnsi"/>
                <w:color w:val="000000"/>
                <w:sz w:val="22"/>
                <w:szCs w:val="22"/>
              </w:rPr>
              <w:t>76</w:t>
            </w:r>
          </w:p>
        </w:tc>
        <w:tc>
          <w:tcPr>
            <w:tcW w:w="1355" w:type="dxa"/>
            <w:tcBorders>
              <w:right w:val="single" w:sz="2" w:space="0" w:color="auto"/>
            </w:tcBorders>
            <w:vAlign w:val="center"/>
          </w:tcPr>
          <w:p w14:paraId="1796C566" w14:textId="77777777" w:rsidR="00282C2B" w:rsidRDefault="00282C2B" w:rsidP="00452FDB">
            <w:pPr>
              <w:jc w:val="center"/>
            </w:pPr>
            <w:r w:rsidRPr="000B52A1">
              <w:rPr>
                <w:rFonts w:eastAsia="Arial" w:cstheme="minorHAnsi"/>
                <w:color w:val="000000"/>
                <w:sz w:val="22"/>
                <w:szCs w:val="22"/>
              </w:rPr>
              <w:t>25.59 ± 4.98</w:t>
            </w:r>
          </w:p>
        </w:tc>
        <w:tc>
          <w:tcPr>
            <w:tcW w:w="734" w:type="dxa"/>
            <w:tcBorders>
              <w:left w:val="single" w:sz="2" w:space="0" w:color="auto"/>
            </w:tcBorders>
            <w:vAlign w:val="center"/>
          </w:tcPr>
          <w:p w14:paraId="0E1F8897" w14:textId="77777777" w:rsidR="00282C2B" w:rsidRDefault="00282C2B" w:rsidP="00452FDB">
            <w:pPr>
              <w:jc w:val="center"/>
            </w:pPr>
            <w:r w:rsidRPr="000B52A1">
              <w:rPr>
                <w:rFonts w:eastAsia="Arial" w:cstheme="minorHAnsi"/>
                <w:color w:val="000000"/>
                <w:sz w:val="22"/>
                <w:szCs w:val="22"/>
              </w:rPr>
              <w:t>56</w:t>
            </w:r>
          </w:p>
        </w:tc>
        <w:tc>
          <w:tcPr>
            <w:tcW w:w="1355" w:type="dxa"/>
            <w:vAlign w:val="center"/>
          </w:tcPr>
          <w:p w14:paraId="6AC7B49C" w14:textId="77777777" w:rsidR="00282C2B" w:rsidRDefault="00282C2B" w:rsidP="00452FDB">
            <w:pPr>
              <w:jc w:val="center"/>
            </w:pPr>
            <w:r w:rsidRPr="000B52A1">
              <w:rPr>
                <w:rFonts w:eastAsia="Arial" w:cstheme="minorHAnsi"/>
                <w:color w:val="000000"/>
                <w:sz w:val="22"/>
                <w:szCs w:val="22"/>
              </w:rPr>
              <w:t>28.43 ± 6.34</w:t>
            </w:r>
          </w:p>
        </w:tc>
      </w:tr>
      <w:tr w:rsidR="000B45D4" w14:paraId="737DB947" w14:textId="77777777" w:rsidTr="00844E43">
        <w:trPr>
          <w:trHeight w:val="360"/>
        </w:trPr>
        <w:tc>
          <w:tcPr>
            <w:tcW w:w="1108" w:type="dxa"/>
            <w:tcBorders>
              <w:bottom w:val="single" w:sz="2" w:space="0" w:color="auto"/>
              <w:right w:val="single" w:sz="2" w:space="0" w:color="auto"/>
            </w:tcBorders>
            <w:vAlign w:val="center"/>
          </w:tcPr>
          <w:p w14:paraId="70C891F2" w14:textId="77777777" w:rsidR="00282C2B" w:rsidRDefault="00282C2B">
            <w:r w:rsidRPr="000B52A1">
              <w:rPr>
                <w:rFonts w:eastAsia="Arial" w:cstheme="minorHAnsi"/>
                <w:color w:val="000000"/>
                <w:sz w:val="22"/>
                <w:szCs w:val="22"/>
              </w:rPr>
              <w:t>Very Poor</w:t>
            </w:r>
          </w:p>
        </w:tc>
        <w:tc>
          <w:tcPr>
            <w:tcW w:w="728" w:type="dxa"/>
            <w:tcBorders>
              <w:left w:val="single" w:sz="2" w:space="0" w:color="auto"/>
              <w:bottom w:val="single" w:sz="2" w:space="0" w:color="auto"/>
            </w:tcBorders>
            <w:vAlign w:val="center"/>
          </w:tcPr>
          <w:p w14:paraId="5993EC3F" w14:textId="77777777" w:rsidR="00282C2B" w:rsidRDefault="00282C2B" w:rsidP="00452FDB">
            <w:pPr>
              <w:jc w:val="center"/>
            </w:pPr>
            <w:r w:rsidRPr="000B52A1">
              <w:rPr>
                <w:rFonts w:eastAsia="Arial" w:cstheme="minorHAnsi"/>
                <w:color w:val="000000"/>
                <w:sz w:val="22"/>
                <w:szCs w:val="22"/>
              </w:rPr>
              <w:t>91</w:t>
            </w:r>
          </w:p>
        </w:tc>
        <w:tc>
          <w:tcPr>
            <w:tcW w:w="1355" w:type="dxa"/>
            <w:tcBorders>
              <w:bottom w:val="single" w:sz="2" w:space="0" w:color="auto"/>
              <w:right w:val="single" w:sz="2" w:space="0" w:color="auto"/>
            </w:tcBorders>
            <w:vAlign w:val="center"/>
          </w:tcPr>
          <w:p w14:paraId="1ADB0621" w14:textId="77777777" w:rsidR="00282C2B" w:rsidRDefault="00282C2B" w:rsidP="00452FDB">
            <w:pPr>
              <w:jc w:val="center"/>
            </w:pPr>
            <w:r w:rsidRPr="000B52A1">
              <w:rPr>
                <w:rFonts w:eastAsia="Arial" w:cstheme="minorHAnsi"/>
                <w:color w:val="000000"/>
                <w:sz w:val="22"/>
                <w:szCs w:val="22"/>
              </w:rPr>
              <w:t>43.33 ± 6.74</w:t>
            </w:r>
          </w:p>
        </w:tc>
        <w:tc>
          <w:tcPr>
            <w:tcW w:w="680" w:type="dxa"/>
            <w:tcBorders>
              <w:left w:val="single" w:sz="2" w:space="0" w:color="auto"/>
              <w:bottom w:val="single" w:sz="2" w:space="0" w:color="auto"/>
            </w:tcBorders>
            <w:vAlign w:val="center"/>
          </w:tcPr>
          <w:p w14:paraId="5F86E046" w14:textId="77777777" w:rsidR="00282C2B" w:rsidRDefault="00282C2B" w:rsidP="00452FDB">
            <w:pPr>
              <w:jc w:val="center"/>
            </w:pPr>
            <w:r w:rsidRPr="000B52A1">
              <w:rPr>
                <w:rFonts w:eastAsia="Arial" w:cstheme="minorHAnsi"/>
                <w:color w:val="000000"/>
                <w:sz w:val="22"/>
                <w:szCs w:val="22"/>
              </w:rPr>
              <w:t>45</w:t>
            </w:r>
          </w:p>
        </w:tc>
        <w:tc>
          <w:tcPr>
            <w:tcW w:w="1355" w:type="dxa"/>
            <w:tcBorders>
              <w:bottom w:val="single" w:sz="2" w:space="0" w:color="auto"/>
              <w:right w:val="single" w:sz="2" w:space="0" w:color="auto"/>
            </w:tcBorders>
            <w:vAlign w:val="center"/>
          </w:tcPr>
          <w:p w14:paraId="5456D7C9" w14:textId="77777777" w:rsidR="00282C2B" w:rsidRDefault="00282C2B" w:rsidP="00452FDB">
            <w:pPr>
              <w:jc w:val="center"/>
            </w:pPr>
            <w:r w:rsidRPr="000B52A1">
              <w:rPr>
                <w:rFonts w:eastAsia="Arial" w:cstheme="minorHAnsi"/>
                <w:color w:val="000000"/>
                <w:sz w:val="22"/>
                <w:szCs w:val="22"/>
              </w:rPr>
              <w:t>15.15 ± 4.09</w:t>
            </w:r>
          </w:p>
        </w:tc>
        <w:tc>
          <w:tcPr>
            <w:tcW w:w="680" w:type="dxa"/>
            <w:tcBorders>
              <w:left w:val="single" w:sz="2" w:space="0" w:color="auto"/>
              <w:bottom w:val="single" w:sz="2" w:space="0" w:color="auto"/>
            </w:tcBorders>
            <w:vAlign w:val="center"/>
          </w:tcPr>
          <w:p w14:paraId="22A12B9D" w14:textId="77777777" w:rsidR="00282C2B" w:rsidRDefault="00282C2B" w:rsidP="00452FDB">
            <w:pPr>
              <w:jc w:val="center"/>
            </w:pPr>
            <w:r w:rsidRPr="000B52A1">
              <w:rPr>
                <w:rFonts w:eastAsia="Arial" w:cstheme="minorHAnsi"/>
                <w:color w:val="000000"/>
                <w:sz w:val="22"/>
                <w:szCs w:val="22"/>
              </w:rPr>
              <w:t>33</w:t>
            </w:r>
          </w:p>
        </w:tc>
        <w:tc>
          <w:tcPr>
            <w:tcW w:w="1355" w:type="dxa"/>
            <w:tcBorders>
              <w:bottom w:val="single" w:sz="2" w:space="0" w:color="auto"/>
              <w:right w:val="single" w:sz="2" w:space="0" w:color="auto"/>
            </w:tcBorders>
            <w:vAlign w:val="center"/>
          </w:tcPr>
          <w:p w14:paraId="1C12E79A" w14:textId="77777777" w:rsidR="00282C2B" w:rsidRDefault="00282C2B" w:rsidP="00452FDB">
            <w:pPr>
              <w:jc w:val="center"/>
            </w:pPr>
            <w:r w:rsidRPr="000B52A1">
              <w:rPr>
                <w:rFonts w:eastAsia="Arial" w:cstheme="minorHAnsi"/>
                <w:color w:val="000000"/>
                <w:sz w:val="22"/>
                <w:szCs w:val="22"/>
              </w:rPr>
              <w:t>11.11 ± 3.59</w:t>
            </w:r>
          </w:p>
        </w:tc>
        <w:tc>
          <w:tcPr>
            <w:tcW w:w="734" w:type="dxa"/>
            <w:tcBorders>
              <w:left w:val="single" w:sz="2" w:space="0" w:color="auto"/>
              <w:bottom w:val="single" w:sz="2" w:space="0" w:color="auto"/>
            </w:tcBorders>
            <w:vAlign w:val="center"/>
          </w:tcPr>
          <w:p w14:paraId="1C4BAFF3" w14:textId="77777777" w:rsidR="00282C2B" w:rsidRDefault="00282C2B" w:rsidP="00452FDB">
            <w:pPr>
              <w:jc w:val="center"/>
            </w:pPr>
            <w:r w:rsidRPr="000B52A1">
              <w:rPr>
                <w:rFonts w:eastAsia="Arial" w:cstheme="minorHAnsi"/>
                <w:color w:val="000000"/>
                <w:sz w:val="22"/>
                <w:szCs w:val="22"/>
              </w:rPr>
              <w:t>5</w:t>
            </w:r>
          </w:p>
        </w:tc>
        <w:tc>
          <w:tcPr>
            <w:tcW w:w="1355" w:type="dxa"/>
            <w:tcBorders>
              <w:bottom w:val="single" w:sz="2" w:space="0" w:color="auto"/>
            </w:tcBorders>
            <w:vAlign w:val="center"/>
          </w:tcPr>
          <w:p w14:paraId="1EA9CF2D" w14:textId="77777777" w:rsidR="00282C2B" w:rsidRDefault="00282C2B" w:rsidP="00452FDB">
            <w:pPr>
              <w:jc w:val="center"/>
            </w:pPr>
            <w:r w:rsidRPr="000B52A1">
              <w:rPr>
                <w:rFonts w:eastAsia="Arial" w:cstheme="minorHAnsi"/>
                <w:color w:val="000000"/>
                <w:sz w:val="22"/>
                <w:szCs w:val="22"/>
              </w:rPr>
              <w:t>2.54 ± 2.21</w:t>
            </w:r>
          </w:p>
        </w:tc>
      </w:tr>
      <w:tr w:rsidR="000B45D4" w14:paraId="6E592F55" w14:textId="77777777" w:rsidTr="00844E43">
        <w:trPr>
          <w:trHeight w:val="360"/>
        </w:trPr>
        <w:tc>
          <w:tcPr>
            <w:tcW w:w="1108" w:type="dxa"/>
            <w:tcBorders>
              <w:top w:val="single" w:sz="2" w:space="0" w:color="auto"/>
              <w:bottom w:val="single" w:sz="12" w:space="0" w:color="auto"/>
              <w:right w:val="single" w:sz="2" w:space="0" w:color="auto"/>
            </w:tcBorders>
            <w:vAlign w:val="center"/>
          </w:tcPr>
          <w:p w14:paraId="3939C105" w14:textId="77777777" w:rsidR="00282C2B" w:rsidRPr="00FF744A" w:rsidRDefault="00282C2B">
            <w:pPr>
              <w:rPr>
                <w:b/>
                <w:bCs/>
              </w:rPr>
            </w:pPr>
            <w:r w:rsidRPr="00FF744A">
              <w:rPr>
                <w:rFonts w:eastAsia="Arial" w:cstheme="minorHAnsi"/>
                <w:b/>
                <w:bCs/>
                <w:color w:val="000000"/>
                <w:sz w:val="22"/>
                <w:szCs w:val="22"/>
              </w:rPr>
              <w:t>Total</w:t>
            </w:r>
          </w:p>
        </w:tc>
        <w:tc>
          <w:tcPr>
            <w:tcW w:w="728" w:type="dxa"/>
            <w:tcBorders>
              <w:top w:val="single" w:sz="2" w:space="0" w:color="auto"/>
              <w:left w:val="single" w:sz="2" w:space="0" w:color="auto"/>
              <w:bottom w:val="single" w:sz="12" w:space="0" w:color="auto"/>
            </w:tcBorders>
            <w:vAlign w:val="center"/>
          </w:tcPr>
          <w:p w14:paraId="77AEA9C4" w14:textId="77777777" w:rsidR="00282C2B" w:rsidRPr="00FF744A" w:rsidRDefault="00282C2B" w:rsidP="00452FDB">
            <w:pPr>
              <w:jc w:val="center"/>
              <w:rPr>
                <w:b/>
                <w:bCs/>
              </w:rPr>
            </w:pPr>
            <w:r w:rsidRPr="00FF744A">
              <w:rPr>
                <w:rFonts w:eastAsia="Arial" w:cstheme="minorHAnsi"/>
                <w:b/>
                <w:bCs/>
                <w:color w:val="000000"/>
                <w:sz w:val="22"/>
                <w:szCs w:val="22"/>
              </w:rPr>
              <w:t>210</w:t>
            </w:r>
            <w:r w:rsidRPr="00FF744A">
              <w:rPr>
                <w:rFonts w:eastAsia="Arial" w:cstheme="minorHAnsi"/>
                <w:b/>
                <w:bCs/>
                <w:color w:val="000000"/>
                <w:sz w:val="22"/>
                <w:szCs w:val="22"/>
                <w:vertAlign w:val="superscript"/>
              </w:rPr>
              <w:t>a</w:t>
            </w:r>
          </w:p>
        </w:tc>
        <w:tc>
          <w:tcPr>
            <w:tcW w:w="1355" w:type="dxa"/>
            <w:tcBorders>
              <w:top w:val="single" w:sz="2" w:space="0" w:color="auto"/>
              <w:bottom w:val="single" w:sz="12" w:space="0" w:color="auto"/>
              <w:right w:val="single" w:sz="2" w:space="0" w:color="auto"/>
            </w:tcBorders>
            <w:vAlign w:val="center"/>
          </w:tcPr>
          <w:p w14:paraId="02B3B2F4" w14:textId="77777777" w:rsidR="00282C2B" w:rsidRPr="00FF744A" w:rsidRDefault="00282C2B" w:rsidP="00452FDB">
            <w:pPr>
              <w:jc w:val="center"/>
              <w:rPr>
                <w:b/>
                <w:bCs/>
              </w:rPr>
            </w:pPr>
          </w:p>
        </w:tc>
        <w:tc>
          <w:tcPr>
            <w:tcW w:w="680" w:type="dxa"/>
            <w:tcBorders>
              <w:top w:val="single" w:sz="2" w:space="0" w:color="auto"/>
              <w:left w:val="single" w:sz="2" w:space="0" w:color="auto"/>
              <w:bottom w:val="single" w:sz="12" w:space="0" w:color="auto"/>
            </w:tcBorders>
            <w:vAlign w:val="center"/>
          </w:tcPr>
          <w:p w14:paraId="42E4D9BC" w14:textId="77777777" w:rsidR="00282C2B" w:rsidRPr="00FF744A" w:rsidRDefault="00282C2B" w:rsidP="00452FDB">
            <w:pPr>
              <w:jc w:val="center"/>
              <w:rPr>
                <w:b/>
                <w:bCs/>
              </w:rPr>
            </w:pPr>
            <w:r w:rsidRPr="00FF744A">
              <w:rPr>
                <w:rFonts w:eastAsia="Arial" w:cstheme="minorHAnsi"/>
                <w:b/>
                <w:bCs/>
                <w:color w:val="000000"/>
                <w:sz w:val="22"/>
                <w:szCs w:val="22"/>
              </w:rPr>
              <w:t>297</w:t>
            </w:r>
          </w:p>
        </w:tc>
        <w:tc>
          <w:tcPr>
            <w:tcW w:w="1355" w:type="dxa"/>
            <w:tcBorders>
              <w:top w:val="single" w:sz="2" w:space="0" w:color="auto"/>
              <w:bottom w:val="single" w:sz="12" w:space="0" w:color="auto"/>
              <w:right w:val="single" w:sz="2" w:space="0" w:color="auto"/>
            </w:tcBorders>
            <w:vAlign w:val="center"/>
          </w:tcPr>
          <w:p w14:paraId="6081E9BF" w14:textId="77777777" w:rsidR="00282C2B" w:rsidRPr="00FF744A" w:rsidRDefault="00282C2B" w:rsidP="00452FDB">
            <w:pPr>
              <w:jc w:val="center"/>
              <w:rPr>
                <w:b/>
                <w:bCs/>
              </w:rPr>
            </w:pPr>
          </w:p>
        </w:tc>
        <w:tc>
          <w:tcPr>
            <w:tcW w:w="680" w:type="dxa"/>
            <w:tcBorders>
              <w:top w:val="single" w:sz="2" w:space="0" w:color="auto"/>
              <w:left w:val="single" w:sz="2" w:space="0" w:color="auto"/>
              <w:bottom w:val="single" w:sz="12" w:space="0" w:color="auto"/>
            </w:tcBorders>
            <w:vAlign w:val="center"/>
          </w:tcPr>
          <w:p w14:paraId="72F13D2B" w14:textId="77777777" w:rsidR="00282C2B" w:rsidRPr="00FF744A" w:rsidRDefault="00282C2B" w:rsidP="00452FDB">
            <w:pPr>
              <w:jc w:val="center"/>
              <w:rPr>
                <w:b/>
                <w:bCs/>
              </w:rPr>
            </w:pPr>
            <w:r w:rsidRPr="00FF744A">
              <w:rPr>
                <w:rFonts w:eastAsia="Arial" w:cstheme="minorHAnsi"/>
                <w:b/>
                <w:bCs/>
                <w:color w:val="000000"/>
                <w:sz w:val="22"/>
                <w:szCs w:val="22"/>
              </w:rPr>
              <w:t>297</w:t>
            </w:r>
          </w:p>
        </w:tc>
        <w:tc>
          <w:tcPr>
            <w:tcW w:w="1355" w:type="dxa"/>
            <w:tcBorders>
              <w:top w:val="single" w:sz="2" w:space="0" w:color="auto"/>
              <w:bottom w:val="single" w:sz="12" w:space="0" w:color="auto"/>
              <w:right w:val="single" w:sz="2" w:space="0" w:color="auto"/>
            </w:tcBorders>
            <w:vAlign w:val="center"/>
          </w:tcPr>
          <w:p w14:paraId="2BC49355" w14:textId="77777777" w:rsidR="00282C2B" w:rsidRPr="00FF744A" w:rsidRDefault="00282C2B" w:rsidP="00452FDB">
            <w:pPr>
              <w:jc w:val="center"/>
              <w:rPr>
                <w:b/>
                <w:bCs/>
              </w:rPr>
            </w:pPr>
          </w:p>
        </w:tc>
        <w:tc>
          <w:tcPr>
            <w:tcW w:w="734" w:type="dxa"/>
            <w:tcBorders>
              <w:top w:val="single" w:sz="2" w:space="0" w:color="auto"/>
              <w:left w:val="single" w:sz="2" w:space="0" w:color="auto"/>
              <w:bottom w:val="single" w:sz="12" w:space="0" w:color="auto"/>
            </w:tcBorders>
            <w:vAlign w:val="center"/>
          </w:tcPr>
          <w:p w14:paraId="2F54EF55" w14:textId="77777777" w:rsidR="00282C2B" w:rsidRPr="00FF744A" w:rsidRDefault="00282C2B" w:rsidP="00452FDB">
            <w:pPr>
              <w:jc w:val="center"/>
              <w:rPr>
                <w:b/>
                <w:bCs/>
              </w:rPr>
            </w:pPr>
            <w:r w:rsidRPr="00FF744A">
              <w:rPr>
                <w:rFonts w:eastAsia="Arial" w:cstheme="minorHAnsi"/>
                <w:b/>
                <w:bCs/>
                <w:color w:val="000000"/>
                <w:sz w:val="22"/>
                <w:szCs w:val="22"/>
              </w:rPr>
              <w:t>197</w:t>
            </w:r>
            <w:r w:rsidRPr="00FF744A">
              <w:rPr>
                <w:rFonts w:eastAsia="Arial" w:cstheme="minorHAnsi"/>
                <w:b/>
                <w:bCs/>
                <w:color w:val="000000"/>
                <w:sz w:val="22"/>
                <w:szCs w:val="22"/>
                <w:vertAlign w:val="superscript"/>
              </w:rPr>
              <w:t>b</w:t>
            </w:r>
          </w:p>
        </w:tc>
        <w:tc>
          <w:tcPr>
            <w:tcW w:w="1355" w:type="dxa"/>
            <w:tcBorders>
              <w:top w:val="single" w:sz="2" w:space="0" w:color="auto"/>
              <w:bottom w:val="single" w:sz="12" w:space="0" w:color="auto"/>
            </w:tcBorders>
            <w:vAlign w:val="center"/>
          </w:tcPr>
          <w:p w14:paraId="686E6658" w14:textId="77777777" w:rsidR="00282C2B" w:rsidRDefault="00282C2B" w:rsidP="00452FDB">
            <w:pPr>
              <w:jc w:val="center"/>
            </w:pPr>
          </w:p>
        </w:tc>
      </w:tr>
    </w:tbl>
    <w:p w14:paraId="6E79C943" w14:textId="1CB7C8A8" w:rsidR="00282C2B" w:rsidRPr="0007443D" w:rsidRDefault="00282C2B" w:rsidP="00282C2B">
      <w:pPr>
        <w:rPr>
          <w:sz w:val="20"/>
          <w:szCs w:val="16"/>
        </w:rPr>
      </w:pPr>
      <w:proofErr w:type="gramStart"/>
      <w:r w:rsidRPr="002E2201">
        <w:rPr>
          <w:rFonts w:eastAsia="Arial" w:cstheme="minorHAnsi"/>
          <w:color w:val="000000"/>
          <w:sz w:val="20"/>
          <w:vertAlign w:val="superscript"/>
        </w:rPr>
        <w:t>a</w:t>
      </w:r>
      <w:r w:rsidR="002E2201">
        <w:rPr>
          <w:rFonts w:eastAsia="Arial" w:cstheme="minorHAnsi"/>
          <w:color w:val="000000"/>
          <w:sz w:val="20"/>
          <w:vertAlign w:val="superscript"/>
        </w:rPr>
        <w:t xml:space="preserve"> </w:t>
      </w:r>
      <w:r w:rsidRPr="002E2201">
        <w:rPr>
          <w:rFonts w:eastAsia="Arial" w:cstheme="minorHAnsi"/>
          <w:color w:val="000000"/>
          <w:sz w:val="20"/>
        </w:rPr>
        <w:t>CBP</w:t>
      </w:r>
      <w:proofErr w:type="gramEnd"/>
      <w:r w:rsidRPr="002E2201">
        <w:rPr>
          <w:rFonts w:eastAsia="Arial" w:cstheme="minorHAnsi"/>
          <w:color w:val="000000"/>
          <w:sz w:val="20"/>
        </w:rPr>
        <w:t xml:space="preserve"> B-IBI is not appropriate for use at stations not in </w:t>
      </w:r>
      <w:proofErr w:type="gramStart"/>
      <w:r w:rsidRPr="002E2201">
        <w:rPr>
          <w:rFonts w:eastAsia="Arial" w:cstheme="minorHAnsi"/>
          <w:color w:val="000000"/>
          <w:sz w:val="20"/>
        </w:rPr>
        <w:t>the Chesapeake</w:t>
      </w:r>
      <w:proofErr w:type="gramEnd"/>
      <w:r w:rsidRPr="002E2201">
        <w:rPr>
          <w:rFonts w:eastAsia="Arial" w:cstheme="minorHAnsi"/>
          <w:color w:val="000000"/>
          <w:sz w:val="20"/>
        </w:rPr>
        <w:t xml:space="preserve"> Bay; </w:t>
      </w:r>
      <w:proofErr w:type="spellStart"/>
      <w:r w:rsidRPr="002E2201">
        <w:rPr>
          <w:rFonts w:eastAsia="Arial" w:cstheme="minorHAnsi"/>
          <w:color w:val="000000"/>
          <w:sz w:val="20"/>
          <w:vertAlign w:val="superscript"/>
        </w:rPr>
        <w:t>b</w:t>
      </w:r>
      <w:r w:rsidRPr="002E2201">
        <w:rPr>
          <w:rFonts w:eastAsia="Arial" w:cstheme="minorHAnsi"/>
          <w:color w:val="000000"/>
          <w:sz w:val="20"/>
        </w:rPr>
        <w:t>M</w:t>
      </w:r>
      <w:proofErr w:type="spellEnd"/>
      <w:r w:rsidRPr="002E2201">
        <w:rPr>
          <w:rFonts w:eastAsia="Arial" w:cstheme="minorHAnsi"/>
          <w:color w:val="000000"/>
          <w:sz w:val="20"/>
        </w:rPr>
        <w:t>-AMBI use began in 2019</w:t>
      </w:r>
      <w:r w:rsidR="005A030C">
        <w:rPr>
          <w:rFonts w:eastAsia="Arial" w:cstheme="minorHAnsi"/>
          <w:color w:val="000000"/>
          <w:sz w:val="20"/>
        </w:rPr>
        <w:t>.</w:t>
      </w:r>
      <w:r w:rsidR="00AA2B8E">
        <w:rPr>
          <w:rFonts w:eastAsia="Arial" w:cstheme="minorHAnsi"/>
          <w:color w:val="000000"/>
          <w:sz w:val="20"/>
        </w:rPr>
        <w:br/>
      </w:r>
      <w:r w:rsidR="00AA2B8E" w:rsidRPr="00AA2B8E">
        <w:rPr>
          <w:sz w:val="20"/>
          <w:szCs w:val="16"/>
          <w:vertAlign w:val="superscript"/>
        </w:rPr>
        <w:t>1</w:t>
      </w:r>
      <w:r w:rsidR="00AA2B8E" w:rsidRPr="000F59F4">
        <w:rPr>
          <w:sz w:val="20"/>
          <w:szCs w:val="16"/>
        </w:rPr>
        <w:t xml:space="preserve"> </w:t>
      </w:r>
      <w:r w:rsidR="00AA2B8E">
        <w:rPr>
          <w:sz w:val="20"/>
          <w:szCs w:val="16"/>
        </w:rPr>
        <w:t>E</w:t>
      </w:r>
      <w:r w:rsidR="00AA2B8E" w:rsidRPr="000F59F4">
        <w:rPr>
          <w:sz w:val="20"/>
          <w:szCs w:val="16"/>
        </w:rPr>
        <w:t>stimated percentage</w:t>
      </w:r>
      <w:r w:rsidR="00AA2B8E">
        <w:rPr>
          <w:sz w:val="20"/>
          <w:szCs w:val="16"/>
        </w:rPr>
        <w:t xml:space="preserve"> (</w:t>
      </w:r>
      <w:r w:rsidR="00AA2B8E" w:rsidRPr="00224A2F">
        <w:rPr>
          <w:sz w:val="20"/>
          <w:szCs w:val="16"/>
        </w:rPr>
        <w:t>+/- 95% confidence limits</w:t>
      </w:r>
      <w:r w:rsidR="00AA2B8E">
        <w:rPr>
          <w:sz w:val="20"/>
          <w:szCs w:val="16"/>
        </w:rPr>
        <w:t xml:space="preserve">) </w:t>
      </w:r>
      <w:r w:rsidR="00AA2B8E" w:rsidRPr="000F59F4">
        <w:rPr>
          <w:sz w:val="20"/>
          <w:szCs w:val="16"/>
        </w:rPr>
        <w:t>of Virginia’s smaller estuarine waters</w:t>
      </w:r>
      <w:r w:rsidR="00AA2B8E">
        <w:rPr>
          <w:sz w:val="20"/>
          <w:szCs w:val="16"/>
        </w:rPr>
        <w:t xml:space="preserve"> (&lt; 100 sq km)</w:t>
      </w:r>
      <w:r w:rsidR="00AA2B8E" w:rsidRPr="000F59F4">
        <w:rPr>
          <w:sz w:val="20"/>
          <w:szCs w:val="16"/>
        </w:rPr>
        <w:t xml:space="preserve"> </w:t>
      </w:r>
      <w:r w:rsidR="00AA2B8E">
        <w:rPr>
          <w:sz w:val="20"/>
          <w:szCs w:val="16"/>
        </w:rPr>
        <w:t>with</w:t>
      </w:r>
      <w:r w:rsidR="00AA2B8E" w:rsidRPr="000F59F4">
        <w:rPr>
          <w:sz w:val="20"/>
          <w:szCs w:val="16"/>
        </w:rPr>
        <w:t xml:space="preserve"> indicated water quality condition. </w:t>
      </w:r>
      <w:r w:rsidR="00AA2B8E">
        <w:rPr>
          <w:sz w:val="20"/>
          <w:szCs w:val="16"/>
        </w:rPr>
        <w:t>As e</w:t>
      </w:r>
      <w:r w:rsidR="00AA2B8E" w:rsidRPr="000F59F4">
        <w:rPr>
          <w:sz w:val="20"/>
          <w:szCs w:val="16"/>
        </w:rPr>
        <w:t xml:space="preserve">stimated using data from DEQ’s estuarine probabilistic monitoring program and EPA’s National Coastal Condition Assessment </w:t>
      </w:r>
      <w:r w:rsidR="00AA2B8E">
        <w:rPr>
          <w:sz w:val="20"/>
          <w:szCs w:val="16"/>
        </w:rPr>
        <w:t>program. Approximately 95% of stations are from smaller estuaries (&lt; 100 sq km) and approximately 5% of stations are from Chesapeake Bay mainstem.</w:t>
      </w:r>
    </w:p>
    <w:p w14:paraId="3A3B2CA5" w14:textId="77777777" w:rsidR="00282C2B" w:rsidRPr="000B52A1" w:rsidRDefault="00282C2B" w:rsidP="002E2201"/>
    <w:p w14:paraId="449697FF" w14:textId="77777777" w:rsidR="000C1306" w:rsidRDefault="0030653F" w:rsidP="00C11B68">
      <w:proofErr w:type="gramStart"/>
      <w:r w:rsidRPr="000B52A1">
        <w:t>For the purpose of</w:t>
      </w:r>
      <w:proofErr w:type="gramEnd"/>
      <w:r w:rsidRPr="000B52A1">
        <w:t xml:space="preserve"> the weight-of-</w:t>
      </w:r>
      <w:r>
        <w:t>evidence</w:t>
      </w:r>
      <w:r w:rsidRPr="000B52A1">
        <w:t xml:space="preserve"> assessment for Aquatic Life designated Use (ALU), to be discussed later in this </w:t>
      </w:r>
      <w:r w:rsidR="007E6F35">
        <w:t>section</w:t>
      </w:r>
      <w:r w:rsidRPr="000B52A1">
        <w:t xml:space="preserve">, each benthic index was expressed in terms of its relative degree of degradation (Table </w:t>
      </w:r>
      <w:r w:rsidR="00E12173">
        <w:t>4.5-</w:t>
      </w:r>
      <w:r w:rsidRPr="000B52A1">
        <w:t>23) following guidelines provided in Chapman et al. (</w:t>
      </w:r>
      <w:r w:rsidRPr="3062F639">
        <w:rPr>
          <w:rFonts w:eastAsiaTheme="majorEastAsia" w:cstheme="minorBidi"/>
        </w:rPr>
        <w:t>1987</w:t>
      </w:r>
      <w:r w:rsidRPr="000B52A1">
        <w:t>).</w:t>
      </w:r>
      <w:r w:rsidR="00C11B68">
        <w:br/>
      </w:r>
    </w:p>
    <w:p w14:paraId="0510DC45" w14:textId="77777777" w:rsidR="000C1306" w:rsidRDefault="000C1306" w:rsidP="00C11B68"/>
    <w:p w14:paraId="23985F1A" w14:textId="77777777" w:rsidR="000C1306" w:rsidRDefault="000C1306" w:rsidP="00C11B68"/>
    <w:p w14:paraId="7075B234" w14:textId="77777777" w:rsidR="000C1306" w:rsidRDefault="000C1306" w:rsidP="00C11B68"/>
    <w:p w14:paraId="1430B5CC" w14:textId="03285CDF" w:rsidR="00B812F4" w:rsidRPr="00D237D4" w:rsidRDefault="00F374B9" w:rsidP="00B812F4">
      <w:pPr>
        <w:pStyle w:val="Caption"/>
        <w:keepNext/>
      </w:pPr>
      <w:bookmarkStart w:id="290" w:name="tab:tab-bibi-scoring"/>
      <w:bookmarkStart w:id="291" w:name="_Toc164175213"/>
      <w:bookmarkEnd w:id="290"/>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23</w:t>
      </w:r>
      <w:r w:rsidR="004F13BA">
        <w:rPr>
          <w:noProof/>
        </w:rPr>
        <w:fldChar w:fldCharType="end"/>
      </w:r>
      <w:r>
        <w:t>.</w:t>
      </w:r>
      <w:r w:rsidR="00730980">
        <w:t xml:space="preserve"> </w:t>
      </w:r>
      <w:r w:rsidR="00730980" w:rsidRPr="0A5BE548">
        <w:rPr>
          <w:rFonts w:cstheme="minorBidi"/>
        </w:rPr>
        <w:t>Numeric degradation scores assigned to each benthic index condition</w:t>
      </w:r>
      <w:bookmarkEnd w:id="291"/>
      <w:r w:rsidR="00730980" w:rsidRPr="0A5BE548">
        <w:rPr>
          <w:rFonts w:cstheme="minorBidi"/>
        </w:rPr>
        <w:t xml:space="preserve"> and used in calculating a weighted-average of indices for weight-of-evidence assessment of the aquatic life designated 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Numeric degradation scores assigned to each benthic index condition and used in calculating a weighted-average of indices for weight-of-evidence assessment of the aquatic life designated use."/>
        <w:tblDescription w:val="Numeric degradation scores assigned to each benthic index condition and used in calculating a weighted-average of indices for weight-of-evidence assessment of the aquatic life designated use."/>
      </w:tblPr>
      <w:tblGrid>
        <w:gridCol w:w="4675"/>
        <w:gridCol w:w="2705"/>
      </w:tblGrid>
      <w:tr w:rsidR="002B140C" w14:paraId="28B34AF2" w14:textId="77777777" w:rsidTr="002E2201">
        <w:trPr>
          <w:trHeight w:val="360"/>
        </w:trPr>
        <w:tc>
          <w:tcPr>
            <w:tcW w:w="4675" w:type="dxa"/>
            <w:tcBorders>
              <w:top w:val="single" w:sz="12" w:space="0" w:color="auto"/>
              <w:bottom w:val="single" w:sz="4" w:space="0" w:color="auto"/>
            </w:tcBorders>
            <w:vAlign w:val="center"/>
          </w:tcPr>
          <w:p w14:paraId="52636ACF" w14:textId="77777777" w:rsidR="002B140C" w:rsidRDefault="002B140C">
            <w:r w:rsidRPr="000B52A1">
              <w:rPr>
                <w:rFonts w:eastAsia="Arial" w:cstheme="minorHAnsi"/>
                <w:b/>
                <w:color w:val="000000"/>
                <w:sz w:val="22"/>
                <w:szCs w:val="22"/>
              </w:rPr>
              <w:t xml:space="preserve">Benthic Index </w:t>
            </w:r>
            <w:proofErr w:type="spellStart"/>
            <w:r w:rsidRPr="000B52A1">
              <w:rPr>
                <w:rFonts w:eastAsia="Arial" w:cstheme="minorHAnsi"/>
                <w:b/>
                <w:color w:val="000000"/>
                <w:sz w:val="22"/>
                <w:szCs w:val="22"/>
              </w:rPr>
              <w:t>Condition</w:t>
            </w:r>
            <w:r w:rsidRPr="000B52A1">
              <w:rPr>
                <w:rFonts w:eastAsia="Arial" w:cstheme="minorHAnsi"/>
                <w:b/>
                <w:color w:val="000000"/>
                <w:sz w:val="22"/>
                <w:szCs w:val="22"/>
                <w:vertAlign w:val="superscript"/>
              </w:rPr>
              <w:t>a</w:t>
            </w:r>
            <w:proofErr w:type="spellEnd"/>
          </w:p>
        </w:tc>
        <w:tc>
          <w:tcPr>
            <w:tcW w:w="2705" w:type="dxa"/>
            <w:tcBorders>
              <w:top w:val="single" w:sz="12" w:space="0" w:color="auto"/>
              <w:bottom w:val="single" w:sz="4" w:space="0" w:color="auto"/>
            </w:tcBorders>
            <w:vAlign w:val="center"/>
          </w:tcPr>
          <w:p w14:paraId="4B0562FC" w14:textId="77777777" w:rsidR="002B140C" w:rsidRDefault="002B140C" w:rsidP="00170E8D">
            <w:pPr>
              <w:jc w:val="center"/>
            </w:pPr>
            <w:r w:rsidRPr="000B52A1">
              <w:rPr>
                <w:rFonts w:eastAsia="Arial" w:cstheme="minorHAnsi"/>
                <w:b/>
                <w:color w:val="000000"/>
                <w:sz w:val="22"/>
                <w:szCs w:val="22"/>
              </w:rPr>
              <w:t>Degradation Score</w:t>
            </w:r>
          </w:p>
        </w:tc>
      </w:tr>
      <w:tr w:rsidR="002B140C" w14:paraId="4C596D75" w14:textId="77777777" w:rsidTr="002E2201">
        <w:trPr>
          <w:trHeight w:val="360"/>
        </w:trPr>
        <w:tc>
          <w:tcPr>
            <w:tcW w:w="4675" w:type="dxa"/>
            <w:tcBorders>
              <w:top w:val="single" w:sz="4" w:space="0" w:color="auto"/>
            </w:tcBorders>
            <w:vAlign w:val="center"/>
          </w:tcPr>
          <w:p w14:paraId="014EE0E3" w14:textId="29FD8206" w:rsidR="002B140C" w:rsidRDefault="002B140C">
            <w:r w:rsidRPr="000B52A1">
              <w:rPr>
                <w:rFonts w:eastAsia="Arial" w:cstheme="minorHAnsi"/>
                <w:color w:val="000000"/>
                <w:sz w:val="22"/>
                <w:szCs w:val="22"/>
              </w:rPr>
              <w:t xml:space="preserve">Good </w:t>
            </w:r>
          </w:p>
        </w:tc>
        <w:tc>
          <w:tcPr>
            <w:tcW w:w="2705" w:type="dxa"/>
            <w:tcBorders>
              <w:top w:val="single" w:sz="4" w:space="0" w:color="auto"/>
            </w:tcBorders>
            <w:vAlign w:val="center"/>
          </w:tcPr>
          <w:p w14:paraId="4A161611" w14:textId="77777777" w:rsidR="002B140C" w:rsidRDefault="002B140C" w:rsidP="00170E8D">
            <w:pPr>
              <w:jc w:val="center"/>
            </w:pPr>
            <w:r w:rsidRPr="000B52A1">
              <w:rPr>
                <w:rFonts w:eastAsia="Arial" w:cstheme="minorHAnsi"/>
                <w:color w:val="000000"/>
                <w:sz w:val="22"/>
                <w:szCs w:val="22"/>
              </w:rPr>
              <w:t>0</w:t>
            </w:r>
          </w:p>
        </w:tc>
      </w:tr>
      <w:tr w:rsidR="002B140C" w14:paraId="5100127F" w14:textId="77777777" w:rsidTr="002E2201">
        <w:trPr>
          <w:trHeight w:val="360"/>
        </w:trPr>
        <w:tc>
          <w:tcPr>
            <w:tcW w:w="4675" w:type="dxa"/>
            <w:vAlign w:val="center"/>
          </w:tcPr>
          <w:p w14:paraId="1DC8FA4C" w14:textId="68B39BA9" w:rsidR="002B140C" w:rsidRDefault="002B140C">
            <w:r w:rsidRPr="000B52A1">
              <w:rPr>
                <w:rFonts w:eastAsia="Arial" w:cstheme="minorHAnsi"/>
                <w:color w:val="000000"/>
                <w:sz w:val="22"/>
                <w:szCs w:val="22"/>
              </w:rPr>
              <w:t xml:space="preserve">Fair </w:t>
            </w:r>
          </w:p>
        </w:tc>
        <w:tc>
          <w:tcPr>
            <w:tcW w:w="2705" w:type="dxa"/>
            <w:vAlign w:val="center"/>
          </w:tcPr>
          <w:p w14:paraId="4236F274" w14:textId="77777777" w:rsidR="002B140C" w:rsidRDefault="002B140C" w:rsidP="00170E8D">
            <w:pPr>
              <w:jc w:val="center"/>
            </w:pPr>
            <w:r w:rsidRPr="000B52A1">
              <w:rPr>
                <w:rFonts w:eastAsia="Arial" w:cstheme="minorHAnsi"/>
                <w:color w:val="000000"/>
                <w:sz w:val="22"/>
                <w:szCs w:val="22"/>
              </w:rPr>
              <w:t>1</w:t>
            </w:r>
          </w:p>
        </w:tc>
      </w:tr>
      <w:tr w:rsidR="002B140C" w14:paraId="41399CC9" w14:textId="77777777" w:rsidTr="002E2201">
        <w:trPr>
          <w:trHeight w:val="360"/>
        </w:trPr>
        <w:tc>
          <w:tcPr>
            <w:tcW w:w="4675" w:type="dxa"/>
            <w:vAlign w:val="center"/>
          </w:tcPr>
          <w:p w14:paraId="0AD2817C" w14:textId="4D678812" w:rsidR="002B140C" w:rsidRDefault="002B140C">
            <w:r w:rsidRPr="000B52A1">
              <w:rPr>
                <w:rFonts w:eastAsia="Arial" w:cstheme="minorHAnsi"/>
                <w:color w:val="000000"/>
                <w:sz w:val="22"/>
                <w:szCs w:val="22"/>
              </w:rPr>
              <w:t xml:space="preserve">Poor </w:t>
            </w:r>
          </w:p>
        </w:tc>
        <w:tc>
          <w:tcPr>
            <w:tcW w:w="2705" w:type="dxa"/>
            <w:vAlign w:val="center"/>
          </w:tcPr>
          <w:p w14:paraId="48BE2260" w14:textId="77777777" w:rsidR="002B140C" w:rsidRDefault="002B140C" w:rsidP="00170E8D">
            <w:pPr>
              <w:jc w:val="center"/>
            </w:pPr>
            <w:r w:rsidRPr="000B52A1">
              <w:rPr>
                <w:rFonts w:eastAsia="Arial" w:cstheme="minorHAnsi"/>
                <w:color w:val="000000"/>
                <w:sz w:val="22"/>
                <w:szCs w:val="22"/>
              </w:rPr>
              <w:t>2</w:t>
            </w:r>
          </w:p>
        </w:tc>
      </w:tr>
      <w:tr w:rsidR="002B140C" w14:paraId="72068599" w14:textId="77777777" w:rsidTr="002E2201">
        <w:trPr>
          <w:trHeight w:val="360"/>
        </w:trPr>
        <w:tc>
          <w:tcPr>
            <w:tcW w:w="4675" w:type="dxa"/>
            <w:tcBorders>
              <w:bottom w:val="single" w:sz="12" w:space="0" w:color="auto"/>
            </w:tcBorders>
            <w:vAlign w:val="center"/>
          </w:tcPr>
          <w:p w14:paraId="5A4091AD" w14:textId="17DC070A" w:rsidR="002B140C" w:rsidRDefault="002B140C">
            <w:r w:rsidRPr="000B52A1">
              <w:rPr>
                <w:rFonts w:eastAsia="Arial" w:cstheme="minorHAnsi"/>
                <w:color w:val="000000"/>
                <w:sz w:val="22"/>
                <w:szCs w:val="22"/>
              </w:rPr>
              <w:t xml:space="preserve">Very Poor </w:t>
            </w:r>
          </w:p>
        </w:tc>
        <w:tc>
          <w:tcPr>
            <w:tcW w:w="2705" w:type="dxa"/>
            <w:tcBorders>
              <w:bottom w:val="single" w:sz="12" w:space="0" w:color="auto"/>
            </w:tcBorders>
            <w:vAlign w:val="center"/>
          </w:tcPr>
          <w:p w14:paraId="7A217EB3" w14:textId="77777777" w:rsidR="002B140C" w:rsidRDefault="002B140C" w:rsidP="00170E8D">
            <w:pPr>
              <w:jc w:val="center"/>
            </w:pPr>
            <w:r w:rsidRPr="000B52A1">
              <w:rPr>
                <w:rFonts w:eastAsia="Arial" w:cstheme="minorHAnsi"/>
                <w:color w:val="000000"/>
                <w:sz w:val="22"/>
                <w:szCs w:val="22"/>
              </w:rPr>
              <w:t>3</w:t>
            </w:r>
          </w:p>
        </w:tc>
      </w:tr>
    </w:tbl>
    <w:p w14:paraId="229FD706" w14:textId="10DACB8B" w:rsidR="00747EA4" w:rsidRPr="002E2201" w:rsidRDefault="00747EA4" w:rsidP="00747EA4">
      <w:pPr>
        <w:rPr>
          <w:sz w:val="20"/>
        </w:rPr>
      </w:pPr>
      <w:proofErr w:type="spellStart"/>
      <w:proofErr w:type="gramStart"/>
      <w:r w:rsidRPr="002E2201">
        <w:rPr>
          <w:rFonts w:eastAsia="Arial" w:cstheme="minorHAnsi"/>
          <w:color w:val="000000"/>
          <w:sz w:val="20"/>
          <w:vertAlign w:val="superscript"/>
        </w:rPr>
        <w:t>a</w:t>
      </w:r>
      <w:proofErr w:type="spellEnd"/>
      <w:r w:rsidR="002E2201">
        <w:rPr>
          <w:rFonts w:eastAsia="Arial" w:cstheme="minorHAnsi"/>
          <w:color w:val="000000"/>
          <w:sz w:val="20"/>
          <w:vertAlign w:val="superscript"/>
        </w:rPr>
        <w:t xml:space="preserve"> </w:t>
      </w:r>
      <w:r w:rsidRPr="002E2201">
        <w:rPr>
          <w:rFonts w:eastAsia="Arial" w:cstheme="minorHAnsi"/>
          <w:color w:val="000000"/>
          <w:sz w:val="20"/>
        </w:rPr>
        <w:t>Conditions</w:t>
      </w:r>
      <w:proofErr w:type="gramEnd"/>
      <w:r w:rsidRPr="002E2201">
        <w:rPr>
          <w:rFonts w:eastAsia="Arial" w:cstheme="minorHAnsi"/>
          <w:color w:val="000000"/>
          <w:sz w:val="20"/>
        </w:rPr>
        <w:t xml:space="preserve"> after Chapman et al. 1987</w:t>
      </w:r>
    </w:p>
    <w:p w14:paraId="1AF98FBC" w14:textId="4A6B1E54" w:rsidR="0030653F" w:rsidRPr="000B52A1" w:rsidRDefault="00780E09" w:rsidP="002E2201">
      <w:r>
        <w:br/>
      </w:r>
      <w:r w:rsidR="0030653F" w:rsidRPr="000B52A1">
        <w:t xml:space="preserve">A weighted average of all indices was then calculated to determine an Integrated Benthic Score (IBS) for each station. At stations within the Chesapeake Bay drainage, the CBP B-IBI carries twice the weight of other indices. Likewise, stations that are direct drainages to Atlantic Coastal Bays use a weight of 2 for the Mid-Atlantic B-IBI. The EMAP and M-AMBI indices have a weight of 1 regardless of watershed. The relative weights of each index for each geographic region of Virginia’s estuarine waters are summarized in Table </w:t>
      </w:r>
      <w:r w:rsidR="00E12173">
        <w:t>4.5-</w:t>
      </w:r>
      <w:r w:rsidR="0030653F" w:rsidRPr="000B52A1">
        <w:t>24.</w:t>
      </w:r>
      <w:r w:rsidR="002E2201">
        <w:br/>
      </w:r>
    </w:p>
    <w:p w14:paraId="7458BCEA" w14:textId="1BEA7EFF" w:rsidR="00B812F4" w:rsidRPr="00D237D4" w:rsidRDefault="00744250" w:rsidP="00B812F4">
      <w:pPr>
        <w:pStyle w:val="Caption"/>
        <w:keepNext/>
      </w:pPr>
      <w:bookmarkStart w:id="292" w:name="tab:tab-bibi-weights"/>
      <w:bookmarkStart w:id="293" w:name="_Toc164175214"/>
      <w:bookmarkEnd w:id="292"/>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24</w:t>
      </w:r>
      <w:r w:rsidR="004F13BA">
        <w:rPr>
          <w:noProof/>
        </w:rPr>
        <w:fldChar w:fldCharType="end"/>
      </w:r>
      <w:r>
        <w:t>.</w:t>
      </w:r>
      <w:r w:rsidRPr="0A5BE548">
        <w:rPr>
          <w:rFonts w:cstheme="minorBidi"/>
        </w:rPr>
        <w:t xml:space="preserve"> Relative weighting of benthic indices by estuarine region</w:t>
      </w:r>
      <w:bookmarkEnd w:id="293"/>
      <w:r w:rsidRPr="0A5BE548">
        <w:rPr>
          <w:rFonts w:cstheme="minorBidi"/>
        </w:rPr>
        <w:t>, applied to index degradation scores in calculating the weighted-average Integrated Benthic Score</w:t>
      </w:r>
    </w:p>
    <w:tbl>
      <w:tblPr>
        <w:tblStyle w:val="TableGrid"/>
        <w:tblW w:w="89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Relative weighting of benthic indices by estuarine region, applied to index degradation scores in calculating the weighted-average Integrated Benthic Score"/>
        <w:tblDescription w:val="Relative weighting of benthic indices by estuarine region, applied to index degradation scores in calculating the weighted-average Integrated Benthic Score"/>
      </w:tblPr>
      <w:tblGrid>
        <w:gridCol w:w="1795"/>
        <w:gridCol w:w="2250"/>
        <w:gridCol w:w="2430"/>
        <w:gridCol w:w="2430"/>
      </w:tblGrid>
      <w:tr w:rsidR="00F421EA" w14:paraId="03CC3FE8" w14:textId="77777777" w:rsidTr="002E2201">
        <w:tc>
          <w:tcPr>
            <w:tcW w:w="1795" w:type="dxa"/>
            <w:tcBorders>
              <w:top w:val="single" w:sz="12" w:space="0" w:color="auto"/>
              <w:bottom w:val="single" w:sz="4" w:space="0" w:color="auto"/>
            </w:tcBorders>
            <w:vAlign w:val="center"/>
          </w:tcPr>
          <w:p w14:paraId="759DEED7" w14:textId="77777777" w:rsidR="00F421EA" w:rsidRDefault="00F421EA">
            <w:r w:rsidRPr="000B52A1">
              <w:rPr>
                <w:rFonts w:eastAsia="Arial" w:cstheme="minorHAnsi"/>
                <w:b/>
                <w:color w:val="000000"/>
                <w:sz w:val="22"/>
                <w:szCs w:val="22"/>
              </w:rPr>
              <w:t>Benthic Index</w:t>
            </w:r>
          </w:p>
        </w:tc>
        <w:tc>
          <w:tcPr>
            <w:tcW w:w="2250" w:type="dxa"/>
            <w:tcBorders>
              <w:top w:val="single" w:sz="12" w:space="0" w:color="auto"/>
              <w:bottom w:val="single" w:sz="4" w:space="0" w:color="auto"/>
            </w:tcBorders>
            <w:vAlign w:val="center"/>
          </w:tcPr>
          <w:p w14:paraId="46E0A2D8" w14:textId="77777777" w:rsidR="00F421EA" w:rsidRDefault="00F421EA">
            <w:r w:rsidRPr="000B52A1">
              <w:rPr>
                <w:rFonts w:eastAsia="Arial" w:cstheme="minorHAnsi"/>
                <w:b/>
                <w:color w:val="000000"/>
                <w:sz w:val="22"/>
                <w:szCs w:val="22"/>
              </w:rPr>
              <w:t>Chesapeake Bay</w:t>
            </w:r>
            <w:r>
              <w:rPr>
                <w:rFonts w:eastAsia="Arial" w:cstheme="minorHAnsi"/>
                <w:b/>
                <w:color w:val="000000"/>
              </w:rPr>
              <w:t xml:space="preserve"> </w:t>
            </w:r>
            <w:r w:rsidRPr="000B52A1">
              <w:rPr>
                <w:rFonts w:eastAsia="Arial" w:cstheme="minorHAnsi"/>
                <w:b/>
                <w:color w:val="000000"/>
                <w:sz w:val="22"/>
                <w:szCs w:val="22"/>
              </w:rPr>
              <w:t>Region</w:t>
            </w:r>
          </w:p>
        </w:tc>
        <w:tc>
          <w:tcPr>
            <w:tcW w:w="2430" w:type="dxa"/>
            <w:tcBorders>
              <w:top w:val="single" w:sz="12" w:space="0" w:color="auto"/>
              <w:bottom w:val="single" w:sz="4" w:space="0" w:color="auto"/>
            </w:tcBorders>
            <w:vAlign w:val="center"/>
          </w:tcPr>
          <w:p w14:paraId="32D4124F" w14:textId="77777777" w:rsidR="00F421EA" w:rsidRDefault="00F421EA">
            <w:r w:rsidRPr="000B52A1">
              <w:rPr>
                <w:rFonts w:eastAsia="Arial" w:cstheme="minorHAnsi"/>
                <w:b/>
                <w:color w:val="000000"/>
                <w:sz w:val="22"/>
                <w:szCs w:val="22"/>
              </w:rPr>
              <w:t>Atlantic Delmarva</w:t>
            </w:r>
            <w:r>
              <w:rPr>
                <w:rFonts w:eastAsia="Arial" w:cstheme="minorHAnsi"/>
                <w:b/>
                <w:color w:val="000000"/>
              </w:rPr>
              <w:t xml:space="preserve"> </w:t>
            </w:r>
            <w:r w:rsidRPr="000B52A1">
              <w:rPr>
                <w:rFonts w:eastAsia="Arial" w:cstheme="minorHAnsi"/>
                <w:b/>
                <w:color w:val="000000"/>
                <w:sz w:val="22"/>
                <w:szCs w:val="22"/>
              </w:rPr>
              <w:t>Region</w:t>
            </w:r>
          </w:p>
        </w:tc>
        <w:tc>
          <w:tcPr>
            <w:tcW w:w="2430" w:type="dxa"/>
            <w:tcBorders>
              <w:top w:val="single" w:sz="12" w:space="0" w:color="auto"/>
              <w:bottom w:val="single" w:sz="4" w:space="0" w:color="auto"/>
            </w:tcBorders>
            <w:vAlign w:val="center"/>
          </w:tcPr>
          <w:p w14:paraId="0CCF3260" w14:textId="77777777" w:rsidR="00F421EA" w:rsidRDefault="00F421EA">
            <w:r w:rsidRPr="000B52A1">
              <w:rPr>
                <w:rFonts w:eastAsia="Arial" w:cstheme="minorHAnsi"/>
                <w:b/>
                <w:color w:val="000000"/>
                <w:sz w:val="22"/>
                <w:szCs w:val="22"/>
              </w:rPr>
              <w:t>Back Bay &amp;</w:t>
            </w:r>
            <w:r w:rsidRPr="000B52A1">
              <w:rPr>
                <w:rFonts w:eastAsia="Arial" w:cstheme="minorHAnsi"/>
                <w:b/>
                <w:color w:val="000000"/>
                <w:sz w:val="22"/>
                <w:szCs w:val="22"/>
              </w:rPr>
              <w:br/>
              <w:t>North Landing River</w:t>
            </w:r>
          </w:p>
        </w:tc>
      </w:tr>
      <w:tr w:rsidR="00F421EA" w14:paraId="457C0EE3" w14:textId="77777777" w:rsidTr="002E2201">
        <w:trPr>
          <w:trHeight w:val="360"/>
        </w:trPr>
        <w:tc>
          <w:tcPr>
            <w:tcW w:w="1795" w:type="dxa"/>
            <w:tcBorders>
              <w:top w:val="single" w:sz="4" w:space="0" w:color="auto"/>
            </w:tcBorders>
            <w:vAlign w:val="center"/>
          </w:tcPr>
          <w:p w14:paraId="4DBC4F25" w14:textId="77777777" w:rsidR="00F421EA" w:rsidRDefault="00F421EA">
            <w:r w:rsidRPr="000B52A1">
              <w:rPr>
                <w:rFonts w:eastAsia="Arial" w:cstheme="minorHAnsi"/>
                <w:color w:val="000000"/>
                <w:sz w:val="22"/>
                <w:szCs w:val="22"/>
              </w:rPr>
              <w:t>CBP B-IBI</w:t>
            </w:r>
          </w:p>
        </w:tc>
        <w:tc>
          <w:tcPr>
            <w:tcW w:w="2250" w:type="dxa"/>
            <w:tcBorders>
              <w:top w:val="single" w:sz="4" w:space="0" w:color="auto"/>
            </w:tcBorders>
            <w:vAlign w:val="center"/>
          </w:tcPr>
          <w:p w14:paraId="4C350A32" w14:textId="77777777" w:rsidR="00F421EA" w:rsidRDefault="00F421EA">
            <w:r w:rsidRPr="000B52A1">
              <w:rPr>
                <w:rFonts w:eastAsia="Arial" w:cstheme="minorHAnsi"/>
                <w:color w:val="000000"/>
                <w:sz w:val="22"/>
                <w:szCs w:val="22"/>
              </w:rPr>
              <w:t>2</w:t>
            </w:r>
          </w:p>
        </w:tc>
        <w:tc>
          <w:tcPr>
            <w:tcW w:w="2430" w:type="dxa"/>
            <w:tcBorders>
              <w:top w:val="single" w:sz="4" w:space="0" w:color="auto"/>
            </w:tcBorders>
            <w:vAlign w:val="center"/>
          </w:tcPr>
          <w:p w14:paraId="29D4EC25" w14:textId="77777777" w:rsidR="00F421EA" w:rsidRDefault="00F421EA">
            <w:r w:rsidRPr="000B52A1">
              <w:rPr>
                <w:rFonts w:eastAsia="Arial" w:cstheme="minorHAnsi"/>
                <w:color w:val="000000"/>
                <w:sz w:val="22"/>
                <w:szCs w:val="22"/>
              </w:rPr>
              <w:t>0</w:t>
            </w:r>
          </w:p>
        </w:tc>
        <w:tc>
          <w:tcPr>
            <w:tcW w:w="2430" w:type="dxa"/>
            <w:tcBorders>
              <w:top w:val="single" w:sz="4" w:space="0" w:color="auto"/>
            </w:tcBorders>
            <w:vAlign w:val="center"/>
          </w:tcPr>
          <w:p w14:paraId="687401F5" w14:textId="77777777" w:rsidR="00F421EA" w:rsidRDefault="00F421EA">
            <w:r w:rsidRPr="000B52A1">
              <w:rPr>
                <w:rFonts w:eastAsia="Arial" w:cstheme="minorHAnsi"/>
                <w:color w:val="000000"/>
                <w:sz w:val="22"/>
                <w:szCs w:val="22"/>
              </w:rPr>
              <w:t>0</w:t>
            </w:r>
          </w:p>
        </w:tc>
      </w:tr>
      <w:tr w:rsidR="00F421EA" w14:paraId="6CBB07B6" w14:textId="77777777" w:rsidTr="002E2201">
        <w:trPr>
          <w:trHeight w:val="360"/>
        </w:trPr>
        <w:tc>
          <w:tcPr>
            <w:tcW w:w="1795" w:type="dxa"/>
            <w:vAlign w:val="center"/>
          </w:tcPr>
          <w:p w14:paraId="4353F01C" w14:textId="77777777" w:rsidR="00F421EA" w:rsidRDefault="00F421EA">
            <w:r w:rsidRPr="000B52A1">
              <w:rPr>
                <w:rFonts w:eastAsia="Arial" w:cstheme="minorHAnsi"/>
                <w:color w:val="000000"/>
                <w:sz w:val="22"/>
                <w:szCs w:val="22"/>
              </w:rPr>
              <w:t>MAIA B-IBI</w:t>
            </w:r>
          </w:p>
        </w:tc>
        <w:tc>
          <w:tcPr>
            <w:tcW w:w="2250" w:type="dxa"/>
            <w:vAlign w:val="center"/>
          </w:tcPr>
          <w:p w14:paraId="062F2D41" w14:textId="77777777" w:rsidR="00F421EA" w:rsidRDefault="00F421EA">
            <w:r w:rsidRPr="000B52A1">
              <w:rPr>
                <w:rFonts w:eastAsia="Arial" w:cstheme="minorHAnsi"/>
                <w:color w:val="000000"/>
                <w:sz w:val="22"/>
                <w:szCs w:val="22"/>
              </w:rPr>
              <w:t>1</w:t>
            </w:r>
          </w:p>
        </w:tc>
        <w:tc>
          <w:tcPr>
            <w:tcW w:w="2430" w:type="dxa"/>
            <w:vAlign w:val="center"/>
          </w:tcPr>
          <w:p w14:paraId="5AE7CA3D" w14:textId="77777777" w:rsidR="00F421EA" w:rsidRDefault="00F421EA">
            <w:r w:rsidRPr="000B52A1">
              <w:rPr>
                <w:rFonts w:eastAsia="Arial" w:cstheme="minorHAnsi"/>
                <w:color w:val="000000"/>
                <w:sz w:val="22"/>
                <w:szCs w:val="22"/>
              </w:rPr>
              <w:t>2</w:t>
            </w:r>
          </w:p>
        </w:tc>
        <w:tc>
          <w:tcPr>
            <w:tcW w:w="2430" w:type="dxa"/>
            <w:vAlign w:val="center"/>
          </w:tcPr>
          <w:p w14:paraId="094665C6" w14:textId="77777777" w:rsidR="00F421EA" w:rsidRDefault="00F421EA">
            <w:r w:rsidRPr="000B52A1">
              <w:rPr>
                <w:rFonts w:eastAsia="Arial" w:cstheme="minorHAnsi"/>
                <w:color w:val="000000"/>
                <w:sz w:val="22"/>
                <w:szCs w:val="22"/>
              </w:rPr>
              <w:t>2</w:t>
            </w:r>
          </w:p>
        </w:tc>
      </w:tr>
      <w:tr w:rsidR="00F421EA" w14:paraId="2D88D48C" w14:textId="77777777" w:rsidTr="002E2201">
        <w:trPr>
          <w:trHeight w:val="360"/>
        </w:trPr>
        <w:tc>
          <w:tcPr>
            <w:tcW w:w="1795" w:type="dxa"/>
            <w:vAlign w:val="center"/>
          </w:tcPr>
          <w:p w14:paraId="5E23C674" w14:textId="77777777" w:rsidR="00F421EA" w:rsidRDefault="00F421EA">
            <w:r w:rsidRPr="000B52A1">
              <w:rPr>
                <w:rFonts w:eastAsia="Arial" w:cstheme="minorHAnsi"/>
                <w:color w:val="000000"/>
                <w:sz w:val="22"/>
                <w:szCs w:val="22"/>
              </w:rPr>
              <w:t>EMAP VP-IEC</w:t>
            </w:r>
          </w:p>
        </w:tc>
        <w:tc>
          <w:tcPr>
            <w:tcW w:w="2250" w:type="dxa"/>
            <w:vAlign w:val="center"/>
          </w:tcPr>
          <w:p w14:paraId="1D813B5E" w14:textId="77777777" w:rsidR="00F421EA" w:rsidRDefault="00F421EA">
            <w:r w:rsidRPr="000B52A1">
              <w:rPr>
                <w:rFonts w:eastAsia="Arial" w:cstheme="minorHAnsi"/>
                <w:color w:val="000000"/>
                <w:sz w:val="22"/>
                <w:szCs w:val="22"/>
              </w:rPr>
              <w:t>1</w:t>
            </w:r>
          </w:p>
        </w:tc>
        <w:tc>
          <w:tcPr>
            <w:tcW w:w="2430" w:type="dxa"/>
            <w:vAlign w:val="center"/>
          </w:tcPr>
          <w:p w14:paraId="01CF35DB" w14:textId="77777777" w:rsidR="00F421EA" w:rsidRDefault="00F421EA">
            <w:r w:rsidRPr="000B52A1">
              <w:rPr>
                <w:rFonts w:eastAsia="Arial" w:cstheme="minorHAnsi"/>
                <w:color w:val="000000"/>
                <w:sz w:val="22"/>
                <w:szCs w:val="22"/>
              </w:rPr>
              <w:t>1</w:t>
            </w:r>
          </w:p>
        </w:tc>
        <w:tc>
          <w:tcPr>
            <w:tcW w:w="2430" w:type="dxa"/>
            <w:vAlign w:val="center"/>
          </w:tcPr>
          <w:p w14:paraId="0551C896" w14:textId="77777777" w:rsidR="00F421EA" w:rsidRDefault="00F421EA">
            <w:r w:rsidRPr="000B52A1">
              <w:rPr>
                <w:rFonts w:eastAsia="Arial" w:cstheme="minorHAnsi"/>
                <w:color w:val="000000"/>
                <w:sz w:val="22"/>
                <w:szCs w:val="22"/>
              </w:rPr>
              <w:t>1</w:t>
            </w:r>
          </w:p>
        </w:tc>
      </w:tr>
      <w:tr w:rsidR="00F421EA" w14:paraId="22C2FE94" w14:textId="77777777" w:rsidTr="002E2201">
        <w:trPr>
          <w:trHeight w:val="360"/>
        </w:trPr>
        <w:tc>
          <w:tcPr>
            <w:tcW w:w="1795" w:type="dxa"/>
            <w:tcBorders>
              <w:bottom w:val="single" w:sz="12" w:space="0" w:color="auto"/>
            </w:tcBorders>
            <w:vAlign w:val="center"/>
          </w:tcPr>
          <w:p w14:paraId="754ED637" w14:textId="77777777" w:rsidR="00F421EA" w:rsidRDefault="00F421EA">
            <w:r w:rsidRPr="000B52A1">
              <w:rPr>
                <w:rFonts w:eastAsia="Arial" w:cstheme="minorHAnsi"/>
                <w:color w:val="000000"/>
                <w:sz w:val="22"/>
                <w:szCs w:val="22"/>
              </w:rPr>
              <w:t>M-AMBI</w:t>
            </w:r>
          </w:p>
        </w:tc>
        <w:tc>
          <w:tcPr>
            <w:tcW w:w="2250" w:type="dxa"/>
            <w:tcBorders>
              <w:bottom w:val="single" w:sz="12" w:space="0" w:color="auto"/>
            </w:tcBorders>
            <w:vAlign w:val="center"/>
          </w:tcPr>
          <w:p w14:paraId="6C7CE4FD" w14:textId="77777777" w:rsidR="00F421EA" w:rsidRDefault="00F421EA">
            <w:r w:rsidRPr="000B52A1">
              <w:rPr>
                <w:rFonts w:eastAsia="Arial" w:cstheme="minorHAnsi"/>
                <w:color w:val="000000"/>
                <w:sz w:val="22"/>
                <w:szCs w:val="22"/>
              </w:rPr>
              <w:t>1</w:t>
            </w:r>
          </w:p>
        </w:tc>
        <w:tc>
          <w:tcPr>
            <w:tcW w:w="2430" w:type="dxa"/>
            <w:tcBorders>
              <w:bottom w:val="single" w:sz="12" w:space="0" w:color="auto"/>
            </w:tcBorders>
            <w:vAlign w:val="center"/>
          </w:tcPr>
          <w:p w14:paraId="0E69C0D0" w14:textId="77777777" w:rsidR="00F421EA" w:rsidRDefault="00F421EA">
            <w:r w:rsidRPr="000B52A1">
              <w:rPr>
                <w:rFonts w:eastAsia="Arial" w:cstheme="minorHAnsi"/>
                <w:color w:val="000000"/>
                <w:sz w:val="22"/>
                <w:szCs w:val="22"/>
              </w:rPr>
              <w:t>1</w:t>
            </w:r>
          </w:p>
        </w:tc>
        <w:tc>
          <w:tcPr>
            <w:tcW w:w="2430" w:type="dxa"/>
            <w:tcBorders>
              <w:bottom w:val="single" w:sz="12" w:space="0" w:color="auto"/>
            </w:tcBorders>
            <w:vAlign w:val="center"/>
          </w:tcPr>
          <w:p w14:paraId="0A16ABA1" w14:textId="77777777" w:rsidR="00F421EA" w:rsidRDefault="00F421EA">
            <w:r w:rsidRPr="000B52A1">
              <w:rPr>
                <w:rFonts w:eastAsia="Arial" w:cstheme="minorHAnsi"/>
                <w:color w:val="000000"/>
                <w:sz w:val="22"/>
                <w:szCs w:val="22"/>
              </w:rPr>
              <w:t>1</w:t>
            </w:r>
          </w:p>
        </w:tc>
      </w:tr>
    </w:tbl>
    <w:p w14:paraId="12F770B5" w14:textId="77777777" w:rsidR="00583C5A" w:rsidRDefault="00583C5A" w:rsidP="0038508F"/>
    <w:p w14:paraId="3C8C505E" w14:textId="77777777" w:rsidR="000C1306" w:rsidRDefault="00B77B07" w:rsidP="00D94EE5">
      <w:r w:rsidRPr="000B52A1">
        <w:t xml:space="preserve">The results of integrating the benthic community degradation scores, by calculating a single weighted-average IBS, are summarized in Table </w:t>
      </w:r>
      <w:r>
        <w:t>4.5-</w:t>
      </w:r>
      <w:r w:rsidRPr="000B52A1">
        <w:t xml:space="preserve">25. Based on the </w:t>
      </w:r>
      <w:r>
        <w:t>benchmarks</w:t>
      </w:r>
      <w:r w:rsidRPr="000B52A1">
        <w:t xml:space="preserve"> for general </w:t>
      </w:r>
      <w:r>
        <w:t xml:space="preserve">regional </w:t>
      </w:r>
      <w:r w:rsidRPr="000B52A1">
        <w:t xml:space="preserve">characterization provided in Table </w:t>
      </w:r>
      <w:r>
        <w:t>4.5-</w:t>
      </w:r>
      <w:r w:rsidRPr="000B52A1">
        <w:t>11, Virginia’s estuarine waters</w:t>
      </w:r>
      <w:r>
        <w:t xml:space="preserve"> - with analysis biased toward smaller estuaries (&lt; 100 sq km drainage) as described earlier - are estimated to be</w:t>
      </w:r>
      <w:r w:rsidDel="001E568E">
        <w:t xml:space="preserve"> </w:t>
      </w:r>
      <w:r w:rsidRPr="000B52A1">
        <w:t>“Poor” for benthic community condition</w:t>
      </w:r>
      <w:r>
        <w:t xml:space="preserve"> following NCCA guidelines</w:t>
      </w:r>
      <w:r w:rsidRPr="000B52A1">
        <w:t xml:space="preserve">, because more than 20% of the stations are in “Poor” condition or worse based on IBS conditions. The IBS conditions and </w:t>
      </w:r>
      <w:r>
        <w:t>benchmark</w:t>
      </w:r>
      <w:r w:rsidRPr="000B52A1">
        <w:t xml:space="preserve"> ranges can be found in Table </w:t>
      </w:r>
      <w:r>
        <w:t>4.5-</w:t>
      </w:r>
      <w:r w:rsidRPr="000B52A1">
        <w:t>25.</w:t>
      </w:r>
    </w:p>
    <w:p w14:paraId="433AAF65" w14:textId="77777777" w:rsidR="000C1306" w:rsidRDefault="000C1306">
      <w:pPr>
        <w:widowControl/>
        <w:spacing w:after="160" w:line="259" w:lineRule="auto"/>
      </w:pPr>
      <w:r>
        <w:br w:type="page"/>
      </w:r>
    </w:p>
    <w:p w14:paraId="16D51E5C" w14:textId="339B82BF" w:rsidR="008F5205" w:rsidRPr="00FD0805" w:rsidRDefault="00583C5A" w:rsidP="0A5BE548">
      <w:pPr>
        <w:pStyle w:val="Caption"/>
        <w:keepNext/>
        <w:rPr>
          <w:rFonts w:cstheme="minorBidi"/>
          <w:specVanish/>
        </w:rPr>
      </w:pPr>
      <w:bookmarkStart w:id="294" w:name="tab:tab-ibs"/>
      <w:bookmarkStart w:id="295" w:name="_Toc164175215"/>
      <w:bookmarkEnd w:id="294"/>
      <w:r>
        <w:lastRenderedPageBreak/>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25</w:t>
      </w:r>
      <w:r w:rsidR="004F13BA">
        <w:rPr>
          <w:noProof/>
        </w:rPr>
        <w:fldChar w:fldCharType="end"/>
      </w:r>
      <w:r>
        <w:t>.</w:t>
      </w:r>
      <w:r w:rsidRPr="0A5BE548">
        <w:rPr>
          <w:rFonts w:cstheme="minorBidi"/>
        </w:rPr>
        <w:t xml:space="preserve"> </w:t>
      </w:r>
      <w:r w:rsidR="008F5205" w:rsidRPr="0A5BE548">
        <w:rPr>
          <w:rFonts w:cstheme="minorBidi"/>
        </w:rPr>
        <w:t>Estimated weighted average Integrated Benthic Score (IBS) conditions</w:t>
      </w:r>
      <w:bookmarkEnd w:id="295"/>
      <w:r w:rsidR="008F5205" w:rsidRPr="0A5BE548">
        <w:rPr>
          <w:rFonts w:cstheme="minorBidi"/>
        </w:rPr>
        <w:t xml:space="preserve"> and benchmark ranges in Virginia’s estuarine waters, 2017-2022.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Weighted average Integrated Benthic Score (IBS) conditions and threshold ranges, 2017-2022."/>
        <w:tblDescription w:val="Weighted average Integrated Benthic Score (IBS) conditions and threshold ranges, 2017-2022."/>
      </w:tblPr>
      <w:tblGrid>
        <w:gridCol w:w="3240"/>
        <w:gridCol w:w="1885"/>
        <w:gridCol w:w="1887"/>
        <w:gridCol w:w="2338"/>
      </w:tblGrid>
      <w:tr w:rsidR="00DC67A8" w14:paraId="79BAEB46" w14:textId="77777777" w:rsidTr="00D94EE5">
        <w:trPr>
          <w:trHeight w:val="360"/>
        </w:trPr>
        <w:tc>
          <w:tcPr>
            <w:tcW w:w="3240" w:type="dxa"/>
            <w:tcBorders>
              <w:top w:val="single" w:sz="12" w:space="0" w:color="auto"/>
              <w:bottom w:val="single" w:sz="4" w:space="0" w:color="auto"/>
            </w:tcBorders>
            <w:vAlign w:val="center"/>
          </w:tcPr>
          <w:p w14:paraId="47F7D3D5" w14:textId="77777777" w:rsidR="00DC67A8" w:rsidRDefault="00DC67A8">
            <w:r w:rsidRPr="000B52A1">
              <w:rPr>
                <w:rFonts w:eastAsia="Arial" w:cstheme="minorHAnsi"/>
                <w:b/>
                <w:color w:val="000000"/>
                <w:sz w:val="22"/>
                <w:szCs w:val="22"/>
              </w:rPr>
              <w:t>IBS Condition</w:t>
            </w:r>
          </w:p>
        </w:tc>
        <w:tc>
          <w:tcPr>
            <w:tcW w:w="1885" w:type="dxa"/>
            <w:tcBorders>
              <w:top w:val="single" w:sz="12" w:space="0" w:color="auto"/>
              <w:bottom w:val="single" w:sz="4" w:space="0" w:color="auto"/>
            </w:tcBorders>
            <w:vAlign w:val="center"/>
          </w:tcPr>
          <w:p w14:paraId="09865B70" w14:textId="77777777" w:rsidR="00DC67A8" w:rsidRDefault="00DC67A8">
            <w:r w:rsidRPr="000B52A1">
              <w:rPr>
                <w:rFonts w:eastAsia="Arial" w:cstheme="minorHAnsi"/>
                <w:b/>
                <w:color w:val="000000"/>
                <w:sz w:val="22"/>
                <w:szCs w:val="22"/>
              </w:rPr>
              <w:t>IBS Range</w:t>
            </w:r>
          </w:p>
        </w:tc>
        <w:tc>
          <w:tcPr>
            <w:tcW w:w="1887" w:type="dxa"/>
            <w:tcBorders>
              <w:top w:val="single" w:sz="12" w:space="0" w:color="auto"/>
              <w:bottom w:val="single" w:sz="4" w:space="0" w:color="auto"/>
            </w:tcBorders>
            <w:vAlign w:val="center"/>
          </w:tcPr>
          <w:p w14:paraId="026E8EFD" w14:textId="77777777" w:rsidR="00DC67A8" w:rsidRDefault="00DC67A8">
            <w:r w:rsidRPr="000B52A1">
              <w:rPr>
                <w:rFonts w:eastAsia="Arial" w:cstheme="minorHAnsi"/>
                <w:b/>
                <w:color w:val="000000"/>
                <w:sz w:val="22"/>
                <w:szCs w:val="22"/>
              </w:rPr>
              <w:t>Stations</w:t>
            </w:r>
          </w:p>
        </w:tc>
        <w:tc>
          <w:tcPr>
            <w:tcW w:w="2338" w:type="dxa"/>
            <w:tcBorders>
              <w:top w:val="single" w:sz="12" w:space="0" w:color="auto"/>
              <w:bottom w:val="single" w:sz="4" w:space="0" w:color="auto"/>
            </w:tcBorders>
            <w:vAlign w:val="center"/>
          </w:tcPr>
          <w:p w14:paraId="66703555" w14:textId="0E3E026F" w:rsidR="00DC67A8" w:rsidRDefault="00DC67A8">
            <w:r w:rsidRPr="000B52A1">
              <w:rPr>
                <w:rFonts w:eastAsia="Arial" w:cstheme="minorHAnsi"/>
                <w:b/>
                <w:color w:val="000000"/>
                <w:sz w:val="22"/>
                <w:szCs w:val="22"/>
              </w:rPr>
              <w:t>Percentage</w:t>
            </w:r>
            <w:r w:rsidR="008F5205" w:rsidRPr="008F5205">
              <w:rPr>
                <w:rFonts w:eastAsia="Arial" w:cstheme="minorHAnsi"/>
                <w:b/>
                <w:color w:val="000000"/>
                <w:sz w:val="22"/>
                <w:szCs w:val="22"/>
                <w:vertAlign w:val="superscript"/>
              </w:rPr>
              <w:t>1</w:t>
            </w:r>
          </w:p>
        </w:tc>
      </w:tr>
      <w:tr w:rsidR="00DC67A8" w14:paraId="668DE79D" w14:textId="77777777" w:rsidTr="00D94EE5">
        <w:trPr>
          <w:trHeight w:val="360"/>
        </w:trPr>
        <w:tc>
          <w:tcPr>
            <w:tcW w:w="3240" w:type="dxa"/>
            <w:tcBorders>
              <w:top w:val="single" w:sz="4" w:space="0" w:color="auto"/>
            </w:tcBorders>
            <w:vAlign w:val="center"/>
          </w:tcPr>
          <w:p w14:paraId="12E0D4C5" w14:textId="04A50B51" w:rsidR="00DC67A8" w:rsidRDefault="00DC67A8">
            <w:r w:rsidRPr="000B52A1">
              <w:rPr>
                <w:rFonts w:eastAsia="Arial" w:cstheme="minorHAnsi"/>
                <w:color w:val="000000"/>
                <w:sz w:val="22"/>
                <w:szCs w:val="22"/>
              </w:rPr>
              <w:t xml:space="preserve">Good </w:t>
            </w:r>
          </w:p>
        </w:tc>
        <w:tc>
          <w:tcPr>
            <w:tcW w:w="1885" w:type="dxa"/>
            <w:tcBorders>
              <w:top w:val="single" w:sz="4" w:space="0" w:color="auto"/>
            </w:tcBorders>
            <w:vAlign w:val="center"/>
          </w:tcPr>
          <w:p w14:paraId="564F3240" w14:textId="77777777" w:rsidR="00DC67A8" w:rsidRDefault="00DC67A8">
            <w:r w:rsidRPr="000B52A1">
              <w:rPr>
                <w:rFonts w:eastAsia="Arial" w:cstheme="minorHAnsi"/>
                <w:color w:val="000000"/>
                <w:sz w:val="22"/>
                <w:szCs w:val="22"/>
              </w:rPr>
              <w:t>≤ 0.5</w:t>
            </w:r>
          </w:p>
        </w:tc>
        <w:tc>
          <w:tcPr>
            <w:tcW w:w="1887" w:type="dxa"/>
            <w:tcBorders>
              <w:top w:val="single" w:sz="4" w:space="0" w:color="auto"/>
            </w:tcBorders>
            <w:vAlign w:val="center"/>
          </w:tcPr>
          <w:p w14:paraId="3747B34B" w14:textId="77777777" w:rsidR="00DC67A8" w:rsidRDefault="00DC67A8">
            <w:r w:rsidRPr="000B52A1">
              <w:rPr>
                <w:rFonts w:eastAsia="Arial" w:cstheme="minorHAnsi"/>
                <w:color w:val="000000"/>
                <w:sz w:val="22"/>
                <w:szCs w:val="22"/>
              </w:rPr>
              <w:t>122</w:t>
            </w:r>
          </w:p>
        </w:tc>
        <w:tc>
          <w:tcPr>
            <w:tcW w:w="2338" w:type="dxa"/>
            <w:tcBorders>
              <w:top w:val="single" w:sz="4" w:space="0" w:color="auto"/>
            </w:tcBorders>
            <w:vAlign w:val="center"/>
          </w:tcPr>
          <w:p w14:paraId="54B60941" w14:textId="77777777" w:rsidR="00DC67A8" w:rsidRDefault="00DC67A8">
            <w:r w:rsidRPr="000B52A1">
              <w:rPr>
                <w:rFonts w:eastAsia="Arial" w:cstheme="minorHAnsi"/>
                <w:color w:val="000000"/>
                <w:sz w:val="22"/>
                <w:szCs w:val="22"/>
              </w:rPr>
              <w:t>41.08 ± 5.62</w:t>
            </w:r>
          </w:p>
        </w:tc>
      </w:tr>
      <w:tr w:rsidR="00DC67A8" w14:paraId="4780013C" w14:textId="77777777" w:rsidTr="00D94EE5">
        <w:trPr>
          <w:trHeight w:val="360"/>
        </w:trPr>
        <w:tc>
          <w:tcPr>
            <w:tcW w:w="3240" w:type="dxa"/>
            <w:vAlign w:val="center"/>
          </w:tcPr>
          <w:p w14:paraId="6CFB6C8A" w14:textId="580C80D0" w:rsidR="00DC67A8" w:rsidRDefault="00DC67A8">
            <w:r w:rsidRPr="000B52A1">
              <w:rPr>
                <w:rFonts w:eastAsia="Arial" w:cstheme="minorHAnsi"/>
                <w:color w:val="000000"/>
                <w:sz w:val="22"/>
                <w:szCs w:val="22"/>
              </w:rPr>
              <w:t xml:space="preserve">Fair </w:t>
            </w:r>
          </w:p>
        </w:tc>
        <w:tc>
          <w:tcPr>
            <w:tcW w:w="1885" w:type="dxa"/>
            <w:vAlign w:val="center"/>
          </w:tcPr>
          <w:p w14:paraId="047FE9AA" w14:textId="77777777" w:rsidR="00DC67A8" w:rsidRDefault="00DC67A8">
            <w:r w:rsidRPr="000B52A1">
              <w:rPr>
                <w:rFonts w:eastAsia="Arial" w:cstheme="minorHAnsi"/>
                <w:color w:val="000000"/>
                <w:sz w:val="22"/>
                <w:szCs w:val="22"/>
              </w:rPr>
              <w:t>&gt; 0.5 and ≤ 1.5</w:t>
            </w:r>
          </w:p>
        </w:tc>
        <w:tc>
          <w:tcPr>
            <w:tcW w:w="1887" w:type="dxa"/>
            <w:vAlign w:val="center"/>
          </w:tcPr>
          <w:p w14:paraId="3A33D83A" w14:textId="77777777" w:rsidR="00DC67A8" w:rsidRDefault="00DC67A8">
            <w:r w:rsidRPr="000B52A1">
              <w:rPr>
                <w:rFonts w:eastAsia="Arial" w:cstheme="minorHAnsi"/>
                <w:color w:val="000000"/>
                <w:sz w:val="22"/>
                <w:szCs w:val="22"/>
              </w:rPr>
              <w:t>82</w:t>
            </w:r>
          </w:p>
        </w:tc>
        <w:tc>
          <w:tcPr>
            <w:tcW w:w="2338" w:type="dxa"/>
            <w:vAlign w:val="center"/>
          </w:tcPr>
          <w:p w14:paraId="71FB0F1F" w14:textId="77777777" w:rsidR="00DC67A8" w:rsidRDefault="00DC67A8">
            <w:r w:rsidRPr="000B52A1">
              <w:rPr>
                <w:rFonts w:eastAsia="Arial" w:cstheme="minorHAnsi"/>
                <w:color w:val="000000"/>
                <w:sz w:val="22"/>
                <w:szCs w:val="22"/>
              </w:rPr>
              <w:t>27.61 ± 5.11</w:t>
            </w:r>
          </w:p>
        </w:tc>
      </w:tr>
      <w:tr w:rsidR="00DC67A8" w14:paraId="5397D1B2" w14:textId="77777777" w:rsidTr="00D94EE5">
        <w:trPr>
          <w:trHeight w:val="360"/>
        </w:trPr>
        <w:tc>
          <w:tcPr>
            <w:tcW w:w="3240" w:type="dxa"/>
            <w:vAlign w:val="center"/>
          </w:tcPr>
          <w:p w14:paraId="14BC4712" w14:textId="5E7C19D9" w:rsidR="00DC67A8" w:rsidRDefault="00DC67A8">
            <w:r w:rsidRPr="000B52A1">
              <w:rPr>
                <w:rFonts w:eastAsia="Arial" w:cstheme="minorHAnsi"/>
                <w:color w:val="000000"/>
                <w:sz w:val="22"/>
                <w:szCs w:val="22"/>
              </w:rPr>
              <w:t xml:space="preserve">Poor </w:t>
            </w:r>
          </w:p>
        </w:tc>
        <w:tc>
          <w:tcPr>
            <w:tcW w:w="1885" w:type="dxa"/>
            <w:vAlign w:val="center"/>
          </w:tcPr>
          <w:p w14:paraId="15FF4313" w14:textId="77777777" w:rsidR="00DC67A8" w:rsidRDefault="00DC67A8">
            <w:r w:rsidRPr="000B52A1">
              <w:rPr>
                <w:rFonts w:eastAsia="Arial" w:cstheme="minorHAnsi"/>
                <w:color w:val="000000"/>
                <w:sz w:val="22"/>
                <w:szCs w:val="22"/>
              </w:rPr>
              <w:t>&gt; 1.5 and ≤ 2.5</w:t>
            </w:r>
          </w:p>
        </w:tc>
        <w:tc>
          <w:tcPr>
            <w:tcW w:w="1887" w:type="dxa"/>
            <w:vAlign w:val="center"/>
          </w:tcPr>
          <w:p w14:paraId="7CBCF8F4" w14:textId="77777777" w:rsidR="00DC67A8" w:rsidRDefault="00DC67A8">
            <w:r w:rsidRPr="000B52A1">
              <w:rPr>
                <w:rFonts w:eastAsia="Arial" w:cstheme="minorHAnsi"/>
                <w:color w:val="000000"/>
                <w:sz w:val="22"/>
                <w:szCs w:val="22"/>
              </w:rPr>
              <w:t>60</w:t>
            </w:r>
          </w:p>
        </w:tc>
        <w:tc>
          <w:tcPr>
            <w:tcW w:w="2338" w:type="dxa"/>
            <w:vAlign w:val="center"/>
          </w:tcPr>
          <w:p w14:paraId="78A7ACA9" w14:textId="77777777" w:rsidR="00DC67A8" w:rsidRDefault="00DC67A8">
            <w:r w:rsidRPr="000B52A1">
              <w:rPr>
                <w:rFonts w:eastAsia="Arial" w:cstheme="minorHAnsi"/>
                <w:color w:val="000000"/>
                <w:sz w:val="22"/>
                <w:szCs w:val="22"/>
              </w:rPr>
              <w:t>20.2 ± 4.59</w:t>
            </w:r>
          </w:p>
        </w:tc>
      </w:tr>
      <w:tr w:rsidR="00DC67A8" w14:paraId="259C22B3" w14:textId="77777777" w:rsidTr="00D94EE5">
        <w:trPr>
          <w:trHeight w:val="360"/>
        </w:trPr>
        <w:tc>
          <w:tcPr>
            <w:tcW w:w="3240" w:type="dxa"/>
            <w:tcBorders>
              <w:bottom w:val="single" w:sz="2" w:space="0" w:color="auto"/>
            </w:tcBorders>
            <w:vAlign w:val="center"/>
          </w:tcPr>
          <w:p w14:paraId="02546EB6" w14:textId="2DFE4230" w:rsidR="00DC67A8" w:rsidRDefault="00DC67A8">
            <w:r w:rsidRPr="000B52A1">
              <w:rPr>
                <w:rFonts w:eastAsia="Arial" w:cstheme="minorHAnsi"/>
                <w:color w:val="000000"/>
                <w:sz w:val="22"/>
                <w:szCs w:val="22"/>
              </w:rPr>
              <w:t>Very Poor</w:t>
            </w:r>
          </w:p>
        </w:tc>
        <w:tc>
          <w:tcPr>
            <w:tcW w:w="1885" w:type="dxa"/>
            <w:tcBorders>
              <w:bottom w:val="single" w:sz="2" w:space="0" w:color="auto"/>
            </w:tcBorders>
            <w:vAlign w:val="center"/>
          </w:tcPr>
          <w:p w14:paraId="7C27F5CF" w14:textId="77777777" w:rsidR="00DC67A8" w:rsidRDefault="00DC67A8">
            <w:r w:rsidRPr="000B52A1">
              <w:rPr>
                <w:rFonts w:eastAsia="Arial" w:cstheme="minorHAnsi"/>
                <w:color w:val="000000"/>
                <w:sz w:val="22"/>
                <w:szCs w:val="22"/>
              </w:rPr>
              <w:t>&gt; 2.5</w:t>
            </w:r>
          </w:p>
        </w:tc>
        <w:tc>
          <w:tcPr>
            <w:tcW w:w="1887" w:type="dxa"/>
            <w:tcBorders>
              <w:bottom w:val="single" w:sz="2" w:space="0" w:color="auto"/>
            </w:tcBorders>
            <w:vAlign w:val="center"/>
          </w:tcPr>
          <w:p w14:paraId="240E0129" w14:textId="77777777" w:rsidR="00DC67A8" w:rsidRDefault="00DC67A8">
            <w:r w:rsidRPr="000B52A1">
              <w:rPr>
                <w:rFonts w:eastAsia="Arial" w:cstheme="minorHAnsi"/>
                <w:color w:val="000000"/>
                <w:sz w:val="22"/>
                <w:szCs w:val="22"/>
              </w:rPr>
              <w:t>33</w:t>
            </w:r>
          </w:p>
        </w:tc>
        <w:tc>
          <w:tcPr>
            <w:tcW w:w="2338" w:type="dxa"/>
            <w:tcBorders>
              <w:bottom w:val="single" w:sz="2" w:space="0" w:color="auto"/>
            </w:tcBorders>
            <w:vAlign w:val="center"/>
          </w:tcPr>
          <w:p w14:paraId="484F4F25" w14:textId="77777777" w:rsidR="00DC67A8" w:rsidRDefault="00DC67A8">
            <w:r w:rsidRPr="000B52A1">
              <w:rPr>
                <w:rFonts w:eastAsia="Arial" w:cstheme="minorHAnsi"/>
                <w:color w:val="000000"/>
                <w:sz w:val="22"/>
                <w:szCs w:val="22"/>
              </w:rPr>
              <w:t>11.11 ± 3.59</w:t>
            </w:r>
          </w:p>
        </w:tc>
      </w:tr>
      <w:tr w:rsidR="00DC67A8" w14:paraId="6929AF28" w14:textId="77777777" w:rsidTr="00D94EE5">
        <w:trPr>
          <w:trHeight w:val="360"/>
        </w:trPr>
        <w:tc>
          <w:tcPr>
            <w:tcW w:w="3240" w:type="dxa"/>
            <w:tcBorders>
              <w:top w:val="single" w:sz="2" w:space="0" w:color="auto"/>
              <w:bottom w:val="single" w:sz="12" w:space="0" w:color="auto"/>
            </w:tcBorders>
            <w:vAlign w:val="center"/>
          </w:tcPr>
          <w:p w14:paraId="71EBE1D9" w14:textId="77777777" w:rsidR="00DC67A8" w:rsidRPr="00D94EE5" w:rsidRDefault="00DC67A8">
            <w:pPr>
              <w:rPr>
                <w:b/>
                <w:bCs/>
              </w:rPr>
            </w:pPr>
            <w:r w:rsidRPr="00D94EE5">
              <w:rPr>
                <w:rFonts w:eastAsia="Arial" w:cstheme="minorHAnsi"/>
                <w:b/>
                <w:bCs/>
                <w:color w:val="000000"/>
                <w:sz w:val="22"/>
                <w:szCs w:val="22"/>
              </w:rPr>
              <w:t>Total</w:t>
            </w:r>
          </w:p>
        </w:tc>
        <w:tc>
          <w:tcPr>
            <w:tcW w:w="1885" w:type="dxa"/>
            <w:tcBorders>
              <w:top w:val="single" w:sz="2" w:space="0" w:color="auto"/>
              <w:bottom w:val="single" w:sz="12" w:space="0" w:color="auto"/>
            </w:tcBorders>
            <w:vAlign w:val="center"/>
          </w:tcPr>
          <w:p w14:paraId="01444436" w14:textId="77777777" w:rsidR="00DC67A8" w:rsidRPr="00D94EE5" w:rsidRDefault="00DC67A8">
            <w:pPr>
              <w:rPr>
                <w:b/>
                <w:bCs/>
              </w:rPr>
            </w:pPr>
          </w:p>
        </w:tc>
        <w:tc>
          <w:tcPr>
            <w:tcW w:w="1887" w:type="dxa"/>
            <w:tcBorders>
              <w:top w:val="single" w:sz="2" w:space="0" w:color="auto"/>
              <w:bottom w:val="single" w:sz="12" w:space="0" w:color="auto"/>
            </w:tcBorders>
            <w:vAlign w:val="center"/>
          </w:tcPr>
          <w:p w14:paraId="32F98131" w14:textId="77777777" w:rsidR="00DC67A8" w:rsidRPr="00D94EE5" w:rsidRDefault="00DC67A8">
            <w:pPr>
              <w:rPr>
                <w:b/>
                <w:bCs/>
              </w:rPr>
            </w:pPr>
            <w:r w:rsidRPr="00D94EE5">
              <w:rPr>
                <w:rFonts w:eastAsia="Arial" w:cstheme="minorHAnsi"/>
                <w:b/>
                <w:bCs/>
                <w:color w:val="000000"/>
                <w:sz w:val="22"/>
                <w:szCs w:val="22"/>
              </w:rPr>
              <w:t>297</w:t>
            </w:r>
          </w:p>
        </w:tc>
        <w:tc>
          <w:tcPr>
            <w:tcW w:w="2338" w:type="dxa"/>
            <w:tcBorders>
              <w:top w:val="single" w:sz="2" w:space="0" w:color="auto"/>
              <w:bottom w:val="single" w:sz="12" w:space="0" w:color="auto"/>
            </w:tcBorders>
            <w:vAlign w:val="center"/>
          </w:tcPr>
          <w:p w14:paraId="28DE09C6" w14:textId="77777777" w:rsidR="00DC67A8" w:rsidRDefault="00DC67A8"/>
        </w:tc>
      </w:tr>
    </w:tbl>
    <w:p w14:paraId="63595286" w14:textId="35AFF29C" w:rsidR="00DC67A8" w:rsidRPr="000B52A1" w:rsidRDefault="00E044BF" w:rsidP="00D94EE5">
      <w:r w:rsidRPr="00E044BF">
        <w:rPr>
          <w:sz w:val="20"/>
          <w:szCs w:val="16"/>
          <w:vertAlign w:val="superscript"/>
        </w:rPr>
        <w:t>1</w:t>
      </w:r>
      <w:r w:rsidRPr="000F59F4">
        <w:rPr>
          <w:sz w:val="20"/>
          <w:szCs w:val="16"/>
        </w:rPr>
        <w:t xml:space="preserve"> </w:t>
      </w:r>
      <w:r>
        <w:rPr>
          <w:sz w:val="20"/>
          <w:szCs w:val="16"/>
        </w:rPr>
        <w:t>E</w:t>
      </w:r>
      <w:r w:rsidRPr="000F59F4">
        <w:rPr>
          <w:sz w:val="20"/>
          <w:szCs w:val="16"/>
        </w:rPr>
        <w:t>stimated percentage</w:t>
      </w:r>
      <w:r>
        <w:rPr>
          <w:sz w:val="20"/>
          <w:szCs w:val="16"/>
        </w:rPr>
        <w:t xml:space="preserve"> (</w:t>
      </w:r>
      <w:r w:rsidRPr="00224A2F">
        <w:rPr>
          <w:sz w:val="20"/>
          <w:szCs w:val="16"/>
        </w:rPr>
        <w:t>+/- 95% confidence limits</w:t>
      </w:r>
      <w:r>
        <w:rPr>
          <w:sz w:val="20"/>
          <w:szCs w:val="16"/>
        </w:rPr>
        <w:t xml:space="preserve">) </w:t>
      </w:r>
      <w:r w:rsidRPr="000F59F4">
        <w:rPr>
          <w:sz w:val="20"/>
          <w:szCs w:val="16"/>
        </w:rPr>
        <w:t>of Virginia’s smaller estuarine waters</w:t>
      </w:r>
      <w:r>
        <w:rPr>
          <w:sz w:val="20"/>
          <w:szCs w:val="16"/>
        </w:rPr>
        <w:t xml:space="preserve"> (&lt; 100 sq km)</w:t>
      </w:r>
      <w:r w:rsidRPr="000F59F4">
        <w:rPr>
          <w:sz w:val="20"/>
          <w:szCs w:val="16"/>
        </w:rPr>
        <w:t xml:space="preserve"> </w:t>
      </w:r>
      <w:r>
        <w:rPr>
          <w:sz w:val="20"/>
          <w:szCs w:val="16"/>
        </w:rPr>
        <w:t>with</w:t>
      </w:r>
      <w:r w:rsidRPr="000F59F4">
        <w:rPr>
          <w:sz w:val="20"/>
          <w:szCs w:val="16"/>
        </w:rPr>
        <w:t xml:space="preserve"> indicated water quality condition. </w:t>
      </w:r>
      <w:r>
        <w:rPr>
          <w:sz w:val="20"/>
          <w:szCs w:val="16"/>
        </w:rPr>
        <w:t>As e</w:t>
      </w:r>
      <w:r w:rsidRPr="000F59F4">
        <w:rPr>
          <w:sz w:val="20"/>
          <w:szCs w:val="16"/>
        </w:rPr>
        <w:t xml:space="preserve">stimated using data from DEQ’s estuarine probabilistic monitoring program and EPA’s National Coastal Condition Assessment </w:t>
      </w:r>
      <w:r>
        <w:rPr>
          <w:sz w:val="20"/>
          <w:szCs w:val="16"/>
        </w:rPr>
        <w:t>program. Approximately 95% of stations are from smaller estuaries (&lt; 100 sq km) and approximately 5% of stations are from Chesapeake Bay mainstem.</w:t>
      </w:r>
      <w:r>
        <w:rPr>
          <w:sz w:val="20"/>
          <w:szCs w:val="16"/>
        </w:rPr>
        <w:br/>
      </w:r>
    </w:p>
    <w:p w14:paraId="714901FE" w14:textId="31681673" w:rsidR="0030653F" w:rsidRPr="000B52A1" w:rsidRDefault="0030653F" w:rsidP="00C5533C">
      <w:pPr>
        <w:pStyle w:val="Heading3"/>
        <w:rPr>
          <w:rFonts w:cstheme="minorHAnsi"/>
        </w:rPr>
      </w:pPr>
      <w:bookmarkStart w:id="296" w:name="weight-of-evidence-assessment"/>
      <w:bookmarkEnd w:id="285"/>
      <w:r w:rsidRPr="000B52A1">
        <w:rPr>
          <w:rFonts w:cstheme="minorHAnsi"/>
        </w:rPr>
        <w:t>Weight-of-Evidence Assessment</w:t>
      </w:r>
    </w:p>
    <w:p w14:paraId="4A2CB7DC" w14:textId="77777777" w:rsidR="00DB563E" w:rsidRPr="000B52A1" w:rsidRDefault="00DB563E" w:rsidP="00DB563E">
      <w:pPr>
        <w:pStyle w:val="FirstParagraph"/>
        <w:rPr>
          <w:rFonts w:asciiTheme="minorHAnsi" w:hAnsiTheme="minorHAnsi" w:cstheme="minorHAnsi"/>
        </w:rPr>
      </w:pPr>
      <w:r w:rsidRPr="000B52A1">
        <w:rPr>
          <w:rFonts w:asciiTheme="minorHAnsi" w:hAnsiTheme="minorHAnsi" w:cstheme="minorHAnsi"/>
        </w:rPr>
        <w:t xml:space="preserve">Weight-of-Evidence (WOE) assessments of each individual station for Aquatic Life Use (ALU) were carried out based primarily upon the Sediment Quality Triad (SQT) of sediment chemistry, sediment toxicity, and benthic community condition. All three of these measures </w:t>
      </w:r>
      <w:proofErr w:type="gramStart"/>
      <w:r w:rsidRPr="000B52A1">
        <w:rPr>
          <w:rFonts w:asciiTheme="minorHAnsi" w:hAnsiTheme="minorHAnsi" w:cstheme="minorHAnsi"/>
        </w:rPr>
        <w:t>are considered to be</w:t>
      </w:r>
      <w:proofErr w:type="gramEnd"/>
      <w:r w:rsidRPr="000B52A1">
        <w:rPr>
          <w:rFonts w:asciiTheme="minorHAnsi" w:hAnsiTheme="minorHAnsi" w:cstheme="minorHAnsi"/>
        </w:rPr>
        <w:t xml:space="preserve"> temporally integrative, providing an assessment of environmental conditions experienced by the benthic community during the period prior to the time of sampling. The water quality parameters (e.g., nutrients, bacteria, DO, temperature, pH, etc.), however</w:t>
      </w:r>
      <w:r>
        <w:rPr>
          <w:rFonts w:asciiTheme="minorHAnsi" w:hAnsiTheme="minorHAnsi" w:cstheme="minorHAnsi"/>
        </w:rPr>
        <w:t>,</w:t>
      </w:r>
      <w:r w:rsidRPr="000B52A1">
        <w:rPr>
          <w:rFonts w:asciiTheme="minorHAnsi" w:hAnsiTheme="minorHAnsi" w:cstheme="minorHAnsi"/>
        </w:rPr>
        <w:t xml:space="preserve"> are considered instantaneous observations and are insufficient for assessment purposes because the intensity and duration of such stressors are unknown. The evaluation and interpretation of the SQT is carried out with the use of an analytical matrix (</w:t>
      </w:r>
      <w:r w:rsidRPr="00E05B14">
        <w:rPr>
          <w:rFonts w:asciiTheme="minorHAnsi" w:hAnsiTheme="minorHAnsi" w:cstheme="minorHAnsi"/>
        </w:rPr>
        <w:t>Chapman et al. 1986</w:t>
      </w:r>
      <w:r w:rsidRPr="000B52A1">
        <w:rPr>
          <w:rFonts w:asciiTheme="minorHAnsi" w:hAnsiTheme="minorHAnsi" w:cstheme="minorHAnsi"/>
        </w:rPr>
        <w:t xml:space="preserve">, </w:t>
      </w:r>
      <w:r w:rsidRPr="00E05B14">
        <w:rPr>
          <w:rFonts w:asciiTheme="minorHAnsi" w:hAnsiTheme="minorHAnsi" w:cstheme="minorHAnsi"/>
        </w:rPr>
        <w:t>1987</w:t>
      </w:r>
      <w:r w:rsidRPr="000B52A1">
        <w:rPr>
          <w:rFonts w:asciiTheme="minorHAnsi" w:hAnsiTheme="minorHAnsi" w:cstheme="minorHAnsi"/>
        </w:rPr>
        <w:t>) that is described in DEQ’s Water Quality Assessment Guidance Manual (</w:t>
      </w:r>
      <w:r w:rsidRPr="0086654B">
        <w:rPr>
          <w:rFonts w:asciiTheme="minorHAnsi" w:hAnsiTheme="minorHAnsi" w:cstheme="minorHAnsi"/>
        </w:rPr>
        <w:t>DEQ 2023</w:t>
      </w:r>
      <w:r w:rsidRPr="000B52A1">
        <w:rPr>
          <w:rFonts w:asciiTheme="minorHAnsi" w:hAnsiTheme="minorHAnsi" w:cstheme="minorHAnsi"/>
        </w:rPr>
        <w:t>).</w:t>
      </w:r>
    </w:p>
    <w:p w14:paraId="74EB5497" w14:textId="3B4A96BD" w:rsidR="00B379F4" w:rsidRDefault="0030653F" w:rsidP="0030653F">
      <w:pPr>
        <w:pStyle w:val="BodyText"/>
        <w:rPr>
          <w:rFonts w:cstheme="minorHAnsi"/>
        </w:rPr>
      </w:pPr>
      <w:r w:rsidRPr="000B52A1">
        <w:rPr>
          <w:rFonts w:cstheme="minorHAnsi"/>
        </w:rPr>
        <w:t xml:space="preserve">It should be noted that formal aquatic life impairment designations (i.e., those placed in Category 5A) determined using the SQT and reported here, are only those with observed degradation of benthic communities (IBS condition of “Poor” or “Very Poor”) that is likely attributable to toxic chemical contamination of the sediment which may be indicated through either observed sediment chemistry risk or sediment toxicity. Any cases of observed degradation of benthic communities that are not accompanied by evidence of chemical contamination or toxicity are identified as waters of concern and are placed in Category 3E. In the opposite scenario - evidence of chemical contamination or toxicity with no observed degradation of the benthic community - those stations are placed in Category 3B and prioritized for follow-up monitoring. At times, ancillary information collected at probabilistic stations may be sufficient to suggest additional potential attributable causes for observed benthic degradation. For example, if sediment sand content is extremely high (≥ 95 percent) and the station is in a tidal channel or is exposed to wave action, natural degradation of the benthic community due to scouring may be suggested as a potential cause. Similarly, if bottom DO concentration is “Poor” or only “Fair” at the time of sampling, oxygen depletion may be suggested as a potential cause, and ancillary data on nutrient and/or </w:t>
      </w:r>
      <w:proofErr w:type="spellStart"/>
      <w:r w:rsidR="00773B97">
        <w:rPr>
          <w:rFonts w:eastAsiaTheme="minorHAnsi"/>
        </w:rPr>
        <w:t>Chl</w:t>
      </w:r>
      <w:proofErr w:type="spellEnd"/>
      <w:r w:rsidR="00773B97">
        <w:rPr>
          <w:rFonts w:eastAsiaTheme="minorHAnsi"/>
        </w:rPr>
        <w:t>-</w:t>
      </w:r>
      <w:r w:rsidR="00773B97" w:rsidRPr="000234AF">
        <w:rPr>
          <w:rFonts w:cstheme="minorHAnsi"/>
          <w:i/>
          <w:snapToGrid/>
          <w:color w:val="000000"/>
          <w:szCs w:val="24"/>
        </w:rPr>
        <w:t>a</w:t>
      </w:r>
      <w:r w:rsidR="00773B97" w:rsidRPr="005B6B04">
        <w:rPr>
          <w:rFonts w:eastAsiaTheme="minorHAnsi"/>
        </w:rPr>
        <w:t xml:space="preserve"> </w:t>
      </w:r>
      <w:r w:rsidR="00AD36D8" w:rsidRPr="000B52A1">
        <w:rPr>
          <w:rFonts w:cstheme="minorHAnsi"/>
        </w:rPr>
        <w:t>concentration</w:t>
      </w:r>
      <w:r w:rsidRPr="000B52A1">
        <w:rPr>
          <w:rFonts w:cstheme="minorHAnsi"/>
        </w:rPr>
        <w:t xml:space="preserve"> may suggest eutrophication. Table </w:t>
      </w:r>
      <w:r w:rsidR="00E82EB9">
        <w:rPr>
          <w:rFonts w:cstheme="minorHAnsi"/>
        </w:rPr>
        <w:t>4.5-</w:t>
      </w:r>
      <w:r w:rsidRPr="000B52A1">
        <w:rPr>
          <w:rFonts w:cstheme="minorHAnsi"/>
        </w:rPr>
        <w:t>26 summarizes the results of the WOE assessment of the aquatic life designated use at 298 Virginia probabilistic estuarine stations sampled 2017-2022.</w:t>
      </w:r>
    </w:p>
    <w:p w14:paraId="1AEE674C" w14:textId="43A100D6" w:rsidR="00B379F4" w:rsidRPr="000B52A1" w:rsidRDefault="00B379F4" w:rsidP="0030653F">
      <w:pPr>
        <w:pStyle w:val="BodyText"/>
        <w:rPr>
          <w:rFonts w:cstheme="minorHAnsi"/>
        </w:rPr>
      </w:pPr>
    </w:p>
    <w:p w14:paraId="0F7A9CCF" w14:textId="6AE4BAA8" w:rsidR="00137534" w:rsidRPr="00137534" w:rsidRDefault="00DD027E" w:rsidP="000160C1">
      <w:pPr>
        <w:pStyle w:val="Caption"/>
        <w:rPr>
          <w:sz w:val="24"/>
          <w:szCs w:val="24"/>
        </w:rPr>
      </w:pPr>
      <w:bookmarkStart w:id="297" w:name="tab:tab-woe-results"/>
      <w:bookmarkStart w:id="298" w:name="_Toc164175216"/>
      <w:bookmarkEnd w:id="297"/>
      <w:r>
        <w:lastRenderedPageBreak/>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26</w:t>
      </w:r>
      <w:r w:rsidR="004F13BA">
        <w:rPr>
          <w:noProof/>
        </w:rPr>
        <w:fldChar w:fldCharType="end"/>
      </w:r>
      <w:r>
        <w:t xml:space="preserve">. </w:t>
      </w:r>
      <w:r w:rsidRPr="000B52A1">
        <w:t xml:space="preserve">Assessment categories </w:t>
      </w:r>
      <w:r w:rsidR="000160C1" w:rsidRPr="000B52A1">
        <w:t>regarding</w:t>
      </w:r>
      <w:r w:rsidRPr="000B52A1">
        <w:t xml:space="preserve"> aquatic life designated use (ALU)</w:t>
      </w:r>
      <w:bookmarkEnd w:id="298"/>
      <w:r>
        <w:t>. Categories are the results of the weight-of-evidence assessment of the sediment quality triad: sediment chemistry, sediment toxicity, and benthic community condition.</w:t>
      </w:r>
    </w:p>
    <w:tbl>
      <w:tblPr>
        <w:tblStyle w:val="TableGrid"/>
        <w:tblW w:w="9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Assessment categories in regards to aquatic life designated use (ALU). Categories are the results of the weight-of-evidence assessment of the sediment quality triad: sediment chemistry, sediment toxicity, and benthic community condition."/>
        <w:tblDescription w:val="Assessment categories in regards to aquatic life designated use (ALU). Categories are the results of the weight-of-evidence assessment of the sediment quality triad: sediment chemistry, sediment toxicity, and benthic community condition."/>
      </w:tblPr>
      <w:tblGrid>
        <w:gridCol w:w="1548"/>
        <w:gridCol w:w="5341"/>
        <w:gridCol w:w="960"/>
        <w:gridCol w:w="1499"/>
      </w:tblGrid>
      <w:tr w:rsidR="00D94EE5" w14:paraId="2EF46130" w14:textId="77777777" w:rsidTr="007B5BB0">
        <w:trPr>
          <w:trHeight w:val="360"/>
        </w:trPr>
        <w:tc>
          <w:tcPr>
            <w:tcW w:w="1548" w:type="dxa"/>
            <w:tcBorders>
              <w:top w:val="single" w:sz="12" w:space="0" w:color="auto"/>
              <w:bottom w:val="single" w:sz="4" w:space="0" w:color="auto"/>
            </w:tcBorders>
            <w:vAlign w:val="center"/>
          </w:tcPr>
          <w:p w14:paraId="037155AA" w14:textId="2A297FEC" w:rsidR="005C167D" w:rsidRDefault="005C167D">
            <w:r w:rsidRPr="000B52A1">
              <w:rPr>
                <w:rFonts w:eastAsia="Arial" w:cstheme="minorHAnsi"/>
                <w:b/>
                <w:color w:val="000000"/>
                <w:sz w:val="22"/>
                <w:szCs w:val="22"/>
              </w:rPr>
              <w:t>Category</w:t>
            </w:r>
          </w:p>
        </w:tc>
        <w:tc>
          <w:tcPr>
            <w:tcW w:w="5341" w:type="dxa"/>
            <w:tcBorders>
              <w:top w:val="single" w:sz="12" w:space="0" w:color="auto"/>
              <w:bottom w:val="single" w:sz="4" w:space="0" w:color="auto"/>
            </w:tcBorders>
            <w:vAlign w:val="center"/>
          </w:tcPr>
          <w:p w14:paraId="2DF001CC" w14:textId="77777777" w:rsidR="005C167D" w:rsidRDefault="005C167D">
            <w:r w:rsidRPr="000B52A1">
              <w:rPr>
                <w:rFonts w:eastAsia="Arial" w:cstheme="minorHAnsi"/>
                <w:b/>
                <w:color w:val="000000"/>
                <w:sz w:val="22"/>
                <w:szCs w:val="22"/>
              </w:rPr>
              <w:t>Category Description</w:t>
            </w:r>
          </w:p>
        </w:tc>
        <w:tc>
          <w:tcPr>
            <w:tcW w:w="960" w:type="dxa"/>
            <w:tcBorders>
              <w:top w:val="single" w:sz="12" w:space="0" w:color="auto"/>
              <w:bottom w:val="single" w:sz="4" w:space="0" w:color="auto"/>
            </w:tcBorders>
            <w:vAlign w:val="center"/>
          </w:tcPr>
          <w:p w14:paraId="6B81BAEF" w14:textId="77777777" w:rsidR="005C167D" w:rsidRDefault="005C167D">
            <w:r w:rsidRPr="000B52A1">
              <w:rPr>
                <w:rFonts w:eastAsia="Arial" w:cstheme="minorHAnsi"/>
                <w:b/>
                <w:color w:val="000000"/>
                <w:sz w:val="22"/>
                <w:szCs w:val="22"/>
              </w:rPr>
              <w:t>Stations</w:t>
            </w:r>
          </w:p>
        </w:tc>
        <w:tc>
          <w:tcPr>
            <w:tcW w:w="1499" w:type="dxa"/>
            <w:tcBorders>
              <w:top w:val="single" w:sz="12" w:space="0" w:color="auto"/>
              <w:bottom w:val="single" w:sz="4" w:space="0" w:color="auto"/>
            </w:tcBorders>
            <w:vAlign w:val="center"/>
          </w:tcPr>
          <w:p w14:paraId="6AED5C21" w14:textId="24CCC9E1" w:rsidR="005C167D" w:rsidRDefault="005C167D">
            <w:r w:rsidRPr="000B52A1">
              <w:rPr>
                <w:rFonts w:eastAsia="Arial" w:cstheme="minorHAnsi"/>
                <w:b/>
                <w:color w:val="000000"/>
                <w:sz w:val="22"/>
                <w:szCs w:val="22"/>
              </w:rPr>
              <w:t>Percentage</w:t>
            </w:r>
            <w:r w:rsidR="00ED7416" w:rsidRPr="00ED7416">
              <w:rPr>
                <w:rFonts w:eastAsia="Arial" w:cstheme="minorHAnsi"/>
                <w:b/>
                <w:color w:val="000000"/>
                <w:sz w:val="22"/>
                <w:szCs w:val="22"/>
                <w:vertAlign w:val="superscript"/>
              </w:rPr>
              <w:t>1</w:t>
            </w:r>
          </w:p>
        </w:tc>
      </w:tr>
      <w:tr w:rsidR="00D410FE" w14:paraId="743943C6" w14:textId="77777777" w:rsidTr="00D410FE">
        <w:trPr>
          <w:trHeight w:val="1152"/>
        </w:trPr>
        <w:tc>
          <w:tcPr>
            <w:tcW w:w="1548" w:type="dxa"/>
            <w:tcBorders>
              <w:top w:val="single" w:sz="4" w:space="0" w:color="auto"/>
              <w:bottom w:val="single" w:sz="4" w:space="0" w:color="auto"/>
            </w:tcBorders>
            <w:vAlign w:val="center"/>
          </w:tcPr>
          <w:p w14:paraId="70414A5F" w14:textId="77777777" w:rsidR="005C167D" w:rsidRDefault="005C167D">
            <w:r w:rsidRPr="000B52A1">
              <w:rPr>
                <w:rFonts w:eastAsia="Arial" w:cstheme="minorHAnsi"/>
                <w:color w:val="000000"/>
                <w:sz w:val="22"/>
                <w:szCs w:val="22"/>
              </w:rPr>
              <w:t>2A</w:t>
            </w:r>
          </w:p>
        </w:tc>
        <w:tc>
          <w:tcPr>
            <w:tcW w:w="5341" w:type="dxa"/>
            <w:tcBorders>
              <w:top w:val="single" w:sz="4" w:space="0" w:color="auto"/>
              <w:bottom w:val="single" w:sz="4" w:space="0" w:color="auto"/>
            </w:tcBorders>
            <w:vAlign w:val="center"/>
          </w:tcPr>
          <w:p w14:paraId="13CF19D9" w14:textId="4FE40398" w:rsidR="005C167D" w:rsidRDefault="005C167D">
            <w:r w:rsidRPr="00D410FE">
              <w:rPr>
                <w:rFonts w:eastAsia="Arial" w:cstheme="minorHAnsi"/>
                <w:i/>
                <w:iCs/>
                <w:color w:val="000000"/>
                <w:sz w:val="22"/>
                <w:szCs w:val="22"/>
              </w:rPr>
              <w:t>Fully Supporting of ALU</w:t>
            </w:r>
            <w:r w:rsidRPr="000B52A1">
              <w:rPr>
                <w:rFonts w:eastAsia="Arial" w:cstheme="minorHAnsi"/>
                <w:color w:val="000000"/>
                <w:sz w:val="22"/>
                <w:szCs w:val="22"/>
              </w:rPr>
              <w:br/>
            </w:r>
            <w:r w:rsidR="00D410FE">
              <w:rPr>
                <w:rFonts w:eastAsia="Arial" w:cstheme="minorHAnsi"/>
                <w:color w:val="000000"/>
                <w:sz w:val="22"/>
                <w:szCs w:val="22"/>
              </w:rPr>
              <w:t>B</w:t>
            </w:r>
            <w:r w:rsidRPr="000B52A1">
              <w:rPr>
                <w:rFonts w:eastAsia="Arial" w:cstheme="minorHAnsi"/>
                <w:color w:val="000000"/>
                <w:sz w:val="22"/>
                <w:szCs w:val="22"/>
              </w:rPr>
              <w:t>iological condition meets goals; evidence for absence of</w:t>
            </w:r>
            <w:r w:rsidRPr="000B52A1">
              <w:rPr>
                <w:rFonts w:eastAsia="Arial" w:cstheme="minorHAnsi"/>
                <w:color w:val="000000"/>
                <w:sz w:val="22"/>
                <w:szCs w:val="22"/>
              </w:rPr>
              <w:br/>
              <w:t>chemical contaminant-induced degradation</w:t>
            </w:r>
          </w:p>
        </w:tc>
        <w:tc>
          <w:tcPr>
            <w:tcW w:w="960" w:type="dxa"/>
            <w:tcBorders>
              <w:top w:val="single" w:sz="4" w:space="0" w:color="auto"/>
              <w:bottom w:val="single" w:sz="4" w:space="0" w:color="auto"/>
            </w:tcBorders>
            <w:vAlign w:val="center"/>
          </w:tcPr>
          <w:p w14:paraId="0B1F4CB6" w14:textId="77777777" w:rsidR="005C167D" w:rsidRDefault="005C167D">
            <w:r w:rsidRPr="000B52A1">
              <w:rPr>
                <w:rFonts w:eastAsia="Arial" w:cstheme="minorHAnsi"/>
                <w:color w:val="000000"/>
                <w:sz w:val="22"/>
                <w:szCs w:val="22"/>
              </w:rPr>
              <w:t>61</w:t>
            </w:r>
          </w:p>
        </w:tc>
        <w:tc>
          <w:tcPr>
            <w:tcW w:w="1499" w:type="dxa"/>
            <w:tcBorders>
              <w:top w:val="single" w:sz="4" w:space="0" w:color="auto"/>
              <w:bottom w:val="single" w:sz="4" w:space="0" w:color="auto"/>
            </w:tcBorders>
            <w:vAlign w:val="center"/>
          </w:tcPr>
          <w:p w14:paraId="4ACEA268" w14:textId="77777777" w:rsidR="005C167D" w:rsidRDefault="005C167D">
            <w:r w:rsidRPr="000B52A1">
              <w:rPr>
                <w:rFonts w:eastAsia="Arial" w:cstheme="minorHAnsi"/>
                <w:color w:val="000000"/>
                <w:sz w:val="22"/>
                <w:szCs w:val="22"/>
              </w:rPr>
              <w:t>20.47 ± 4.6</w:t>
            </w:r>
          </w:p>
        </w:tc>
      </w:tr>
      <w:tr w:rsidR="00D410FE" w14:paraId="625F7E93" w14:textId="77777777" w:rsidTr="00D410FE">
        <w:trPr>
          <w:trHeight w:val="1152"/>
        </w:trPr>
        <w:tc>
          <w:tcPr>
            <w:tcW w:w="1548" w:type="dxa"/>
            <w:tcBorders>
              <w:top w:val="single" w:sz="4" w:space="0" w:color="auto"/>
              <w:bottom w:val="single" w:sz="2" w:space="0" w:color="auto"/>
            </w:tcBorders>
            <w:vAlign w:val="center"/>
          </w:tcPr>
          <w:p w14:paraId="53E9F485" w14:textId="77777777" w:rsidR="005C167D" w:rsidRDefault="005C167D">
            <w:r w:rsidRPr="000B52A1">
              <w:rPr>
                <w:rFonts w:eastAsia="Arial" w:cstheme="minorHAnsi"/>
                <w:color w:val="000000"/>
                <w:sz w:val="22"/>
                <w:szCs w:val="22"/>
              </w:rPr>
              <w:t>3B</w:t>
            </w:r>
          </w:p>
        </w:tc>
        <w:tc>
          <w:tcPr>
            <w:tcW w:w="5341" w:type="dxa"/>
            <w:tcBorders>
              <w:top w:val="single" w:sz="4" w:space="0" w:color="auto"/>
              <w:bottom w:val="single" w:sz="2" w:space="0" w:color="auto"/>
            </w:tcBorders>
            <w:vAlign w:val="center"/>
          </w:tcPr>
          <w:p w14:paraId="51567A3E" w14:textId="0E774560" w:rsidR="005C167D" w:rsidRDefault="005C167D">
            <w:r w:rsidRPr="00D410FE">
              <w:rPr>
                <w:rFonts w:eastAsia="Arial" w:cstheme="minorHAnsi"/>
                <w:i/>
                <w:iCs/>
                <w:color w:val="000000"/>
                <w:sz w:val="22"/>
                <w:szCs w:val="22"/>
              </w:rPr>
              <w:t>Prioritized for Follow-up Monitoring</w:t>
            </w:r>
            <w:r w:rsidRPr="000B52A1">
              <w:rPr>
                <w:rFonts w:eastAsia="Arial" w:cstheme="minorHAnsi"/>
                <w:color w:val="000000"/>
                <w:sz w:val="22"/>
                <w:szCs w:val="22"/>
              </w:rPr>
              <w:br/>
            </w:r>
            <w:r w:rsidR="00D410FE">
              <w:rPr>
                <w:rFonts w:eastAsia="Arial" w:cstheme="minorHAnsi"/>
                <w:color w:val="000000"/>
                <w:sz w:val="22"/>
                <w:szCs w:val="22"/>
              </w:rPr>
              <w:t>B</w:t>
            </w:r>
            <w:r w:rsidRPr="000B52A1">
              <w:rPr>
                <w:rFonts w:eastAsia="Arial" w:cstheme="minorHAnsi"/>
                <w:color w:val="000000"/>
                <w:sz w:val="22"/>
                <w:szCs w:val="22"/>
              </w:rPr>
              <w:t>iological degradation observed, but no evidence for</w:t>
            </w:r>
            <w:r w:rsidRPr="000B52A1">
              <w:rPr>
                <w:rFonts w:eastAsia="Arial" w:cstheme="minorHAnsi"/>
                <w:color w:val="000000"/>
                <w:sz w:val="22"/>
                <w:szCs w:val="22"/>
              </w:rPr>
              <w:br/>
              <w:t>chemical contaminant-induced degradation</w:t>
            </w:r>
          </w:p>
        </w:tc>
        <w:tc>
          <w:tcPr>
            <w:tcW w:w="960" w:type="dxa"/>
            <w:tcBorders>
              <w:top w:val="single" w:sz="4" w:space="0" w:color="auto"/>
              <w:bottom w:val="single" w:sz="2" w:space="0" w:color="auto"/>
            </w:tcBorders>
            <w:vAlign w:val="center"/>
          </w:tcPr>
          <w:p w14:paraId="7D9C73E3" w14:textId="77777777" w:rsidR="005C167D" w:rsidRDefault="005C167D">
            <w:r w:rsidRPr="000B52A1">
              <w:rPr>
                <w:rFonts w:eastAsia="Arial" w:cstheme="minorHAnsi"/>
                <w:color w:val="000000"/>
                <w:sz w:val="22"/>
                <w:szCs w:val="22"/>
              </w:rPr>
              <w:t>148</w:t>
            </w:r>
          </w:p>
        </w:tc>
        <w:tc>
          <w:tcPr>
            <w:tcW w:w="1499" w:type="dxa"/>
            <w:tcBorders>
              <w:top w:val="single" w:sz="4" w:space="0" w:color="auto"/>
              <w:bottom w:val="single" w:sz="2" w:space="0" w:color="auto"/>
            </w:tcBorders>
            <w:vAlign w:val="center"/>
          </w:tcPr>
          <w:p w14:paraId="7616C3B9" w14:textId="77777777" w:rsidR="005C167D" w:rsidRDefault="005C167D">
            <w:r w:rsidRPr="000B52A1">
              <w:rPr>
                <w:rFonts w:eastAsia="Arial" w:cstheme="minorHAnsi"/>
                <w:color w:val="000000"/>
                <w:sz w:val="22"/>
                <w:szCs w:val="22"/>
              </w:rPr>
              <w:t>49.66 ± 5.7</w:t>
            </w:r>
          </w:p>
        </w:tc>
      </w:tr>
      <w:tr w:rsidR="005C167D" w14:paraId="25CE65DA" w14:textId="77777777" w:rsidTr="00D410FE">
        <w:trPr>
          <w:trHeight w:val="1152"/>
        </w:trPr>
        <w:tc>
          <w:tcPr>
            <w:tcW w:w="1548" w:type="dxa"/>
            <w:tcBorders>
              <w:top w:val="single" w:sz="2" w:space="0" w:color="auto"/>
              <w:bottom w:val="single" w:sz="2" w:space="0" w:color="auto"/>
            </w:tcBorders>
            <w:vAlign w:val="center"/>
          </w:tcPr>
          <w:p w14:paraId="0487BCAD" w14:textId="77777777" w:rsidR="005C167D" w:rsidRDefault="005C167D">
            <w:r w:rsidRPr="000B52A1">
              <w:rPr>
                <w:rFonts w:eastAsia="Arial" w:cstheme="minorHAnsi"/>
                <w:color w:val="000000"/>
                <w:sz w:val="22"/>
                <w:szCs w:val="22"/>
              </w:rPr>
              <w:t>3E</w:t>
            </w:r>
          </w:p>
        </w:tc>
        <w:tc>
          <w:tcPr>
            <w:tcW w:w="5341" w:type="dxa"/>
            <w:tcBorders>
              <w:top w:val="single" w:sz="2" w:space="0" w:color="auto"/>
              <w:bottom w:val="single" w:sz="2" w:space="0" w:color="auto"/>
            </w:tcBorders>
            <w:vAlign w:val="center"/>
          </w:tcPr>
          <w:p w14:paraId="665DE235" w14:textId="44674362" w:rsidR="005C167D" w:rsidRDefault="005C167D">
            <w:r w:rsidRPr="00D410FE">
              <w:rPr>
                <w:rFonts w:eastAsia="Arial" w:cstheme="minorHAnsi"/>
                <w:i/>
                <w:iCs/>
                <w:color w:val="000000"/>
                <w:sz w:val="22"/>
                <w:szCs w:val="22"/>
              </w:rPr>
              <w:t>Waters of Concern</w:t>
            </w:r>
            <w:r w:rsidRPr="000B52A1">
              <w:rPr>
                <w:rFonts w:eastAsia="Arial" w:cstheme="minorHAnsi"/>
                <w:color w:val="000000"/>
                <w:sz w:val="22"/>
                <w:szCs w:val="22"/>
              </w:rPr>
              <w:br/>
            </w:r>
            <w:r w:rsidR="00D410FE">
              <w:rPr>
                <w:rFonts w:eastAsia="Arial" w:cstheme="minorHAnsi"/>
                <w:color w:val="000000"/>
                <w:sz w:val="22"/>
                <w:szCs w:val="22"/>
              </w:rPr>
              <w:t>N</w:t>
            </w:r>
            <w:r w:rsidRPr="000B52A1">
              <w:rPr>
                <w:rFonts w:eastAsia="Arial" w:cstheme="minorHAnsi"/>
                <w:color w:val="000000"/>
                <w:sz w:val="22"/>
                <w:szCs w:val="22"/>
              </w:rPr>
              <w:t>o observed biological degradation, but evidence indicates</w:t>
            </w:r>
            <w:r w:rsidR="00D410FE">
              <w:rPr>
                <w:rFonts w:eastAsia="Arial" w:cstheme="minorHAnsi"/>
                <w:color w:val="000000"/>
                <w:sz w:val="22"/>
                <w:szCs w:val="22"/>
              </w:rPr>
              <w:t xml:space="preserve"> </w:t>
            </w:r>
            <w:r w:rsidRPr="000B52A1">
              <w:rPr>
                <w:rFonts w:eastAsia="Arial" w:cstheme="minorHAnsi"/>
                <w:color w:val="000000"/>
                <w:sz w:val="22"/>
                <w:szCs w:val="22"/>
              </w:rPr>
              <w:t>potential for chemical contaminant-induced degradation</w:t>
            </w:r>
          </w:p>
        </w:tc>
        <w:tc>
          <w:tcPr>
            <w:tcW w:w="960" w:type="dxa"/>
            <w:tcBorders>
              <w:top w:val="single" w:sz="2" w:space="0" w:color="auto"/>
              <w:bottom w:val="single" w:sz="2" w:space="0" w:color="auto"/>
            </w:tcBorders>
            <w:vAlign w:val="center"/>
          </w:tcPr>
          <w:p w14:paraId="3ABBEF49" w14:textId="77777777" w:rsidR="005C167D" w:rsidRDefault="005C167D">
            <w:r w:rsidRPr="000B52A1">
              <w:rPr>
                <w:rFonts w:eastAsia="Arial" w:cstheme="minorHAnsi"/>
                <w:color w:val="000000"/>
                <w:sz w:val="22"/>
                <w:szCs w:val="22"/>
              </w:rPr>
              <w:t>39</w:t>
            </w:r>
          </w:p>
        </w:tc>
        <w:tc>
          <w:tcPr>
            <w:tcW w:w="1499" w:type="dxa"/>
            <w:tcBorders>
              <w:top w:val="single" w:sz="2" w:space="0" w:color="auto"/>
              <w:bottom w:val="single" w:sz="2" w:space="0" w:color="auto"/>
            </w:tcBorders>
            <w:vAlign w:val="center"/>
          </w:tcPr>
          <w:p w14:paraId="56D789CD" w14:textId="77777777" w:rsidR="005C167D" w:rsidRDefault="005C167D">
            <w:r w:rsidRPr="000B52A1">
              <w:rPr>
                <w:rFonts w:eastAsia="Arial" w:cstheme="minorHAnsi"/>
                <w:color w:val="000000"/>
                <w:sz w:val="22"/>
                <w:szCs w:val="22"/>
              </w:rPr>
              <w:t>13.09 ± 3.84</w:t>
            </w:r>
          </w:p>
        </w:tc>
      </w:tr>
      <w:tr w:rsidR="00D94EE5" w14:paraId="59A6A7F5" w14:textId="77777777" w:rsidTr="00D410FE">
        <w:trPr>
          <w:trHeight w:val="1152"/>
        </w:trPr>
        <w:tc>
          <w:tcPr>
            <w:tcW w:w="1548" w:type="dxa"/>
            <w:tcBorders>
              <w:top w:val="single" w:sz="2" w:space="0" w:color="auto"/>
              <w:bottom w:val="single" w:sz="2" w:space="0" w:color="auto"/>
            </w:tcBorders>
            <w:vAlign w:val="center"/>
          </w:tcPr>
          <w:p w14:paraId="7A2610A4" w14:textId="77777777" w:rsidR="005C167D" w:rsidRDefault="005C167D">
            <w:r w:rsidRPr="000B52A1">
              <w:rPr>
                <w:rFonts w:eastAsia="Arial" w:cstheme="minorHAnsi"/>
                <w:color w:val="000000"/>
                <w:sz w:val="22"/>
                <w:szCs w:val="22"/>
              </w:rPr>
              <w:t>5A</w:t>
            </w:r>
          </w:p>
        </w:tc>
        <w:tc>
          <w:tcPr>
            <w:tcW w:w="5341" w:type="dxa"/>
            <w:tcBorders>
              <w:top w:val="single" w:sz="2" w:space="0" w:color="auto"/>
              <w:bottom w:val="single" w:sz="2" w:space="0" w:color="auto"/>
            </w:tcBorders>
            <w:vAlign w:val="center"/>
          </w:tcPr>
          <w:p w14:paraId="2159697A" w14:textId="762AC14F" w:rsidR="005C167D" w:rsidRDefault="005C167D">
            <w:r w:rsidRPr="00D410FE">
              <w:rPr>
                <w:rFonts w:eastAsia="Arial" w:cstheme="minorHAnsi"/>
                <w:i/>
                <w:iCs/>
                <w:color w:val="000000"/>
                <w:sz w:val="22"/>
                <w:szCs w:val="22"/>
              </w:rPr>
              <w:t>Impaired for ALU</w:t>
            </w:r>
            <w:r w:rsidRPr="000B52A1">
              <w:rPr>
                <w:rFonts w:eastAsia="Arial" w:cstheme="minorHAnsi"/>
                <w:color w:val="000000"/>
                <w:sz w:val="22"/>
                <w:szCs w:val="22"/>
              </w:rPr>
              <w:br/>
            </w:r>
            <w:r w:rsidR="00D410FE">
              <w:rPr>
                <w:rFonts w:eastAsia="Arial" w:cstheme="minorHAnsi"/>
                <w:color w:val="000000"/>
                <w:sz w:val="22"/>
                <w:szCs w:val="22"/>
              </w:rPr>
              <w:t>E</w:t>
            </w:r>
            <w:r w:rsidRPr="000B52A1">
              <w:rPr>
                <w:rFonts w:eastAsia="Arial" w:cstheme="minorHAnsi"/>
                <w:color w:val="000000"/>
                <w:sz w:val="22"/>
                <w:szCs w:val="22"/>
              </w:rPr>
              <w:t>vidence for chemical contaminant-induced degradation</w:t>
            </w:r>
          </w:p>
        </w:tc>
        <w:tc>
          <w:tcPr>
            <w:tcW w:w="960" w:type="dxa"/>
            <w:tcBorders>
              <w:top w:val="single" w:sz="2" w:space="0" w:color="auto"/>
              <w:bottom w:val="single" w:sz="2" w:space="0" w:color="auto"/>
            </w:tcBorders>
            <w:vAlign w:val="center"/>
          </w:tcPr>
          <w:p w14:paraId="7E303792" w14:textId="77777777" w:rsidR="005C167D" w:rsidRDefault="005C167D">
            <w:r w:rsidRPr="000B52A1">
              <w:rPr>
                <w:rFonts w:eastAsia="Arial" w:cstheme="minorHAnsi"/>
                <w:color w:val="000000"/>
                <w:sz w:val="22"/>
                <w:szCs w:val="22"/>
              </w:rPr>
              <w:t>50</w:t>
            </w:r>
          </w:p>
        </w:tc>
        <w:tc>
          <w:tcPr>
            <w:tcW w:w="1499" w:type="dxa"/>
            <w:tcBorders>
              <w:top w:val="single" w:sz="2" w:space="0" w:color="auto"/>
              <w:bottom w:val="single" w:sz="2" w:space="0" w:color="auto"/>
            </w:tcBorders>
            <w:vAlign w:val="center"/>
          </w:tcPr>
          <w:p w14:paraId="1AD0DC78" w14:textId="77777777" w:rsidR="005C167D" w:rsidRDefault="005C167D">
            <w:r w:rsidRPr="000B52A1">
              <w:rPr>
                <w:rFonts w:eastAsia="Arial" w:cstheme="minorHAnsi"/>
                <w:color w:val="000000"/>
                <w:sz w:val="22"/>
                <w:szCs w:val="22"/>
              </w:rPr>
              <w:t>16.78 ± 4.26</w:t>
            </w:r>
          </w:p>
        </w:tc>
      </w:tr>
      <w:tr w:rsidR="00D94EE5" w:rsidRPr="00D94EE5" w14:paraId="536BB093" w14:textId="77777777" w:rsidTr="007B5BB0">
        <w:trPr>
          <w:trHeight w:val="360"/>
        </w:trPr>
        <w:tc>
          <w:tcPr>
            <w:tcW w:w="1548" w:type="dxa"/>
            <w:tcBorders>
              <w:top w:val="single" w:sz="2" w:space="0" w:color="auto"/>
              <w:bottom w:val="single" w:sz="12" w:space="0" w:color="auto"/>
            </w:tcBorders>
            <w:vAlign w:val="center"/>
          </w:tcPr>
          <w:p w14:paraId="69863CF7" w14:textId="77777777" w:rsidR="005C167D" w:rsidRPr="00D94EE5" w:rsidRDefault="005C167D">
            <w:pPr>
              <w:rPr>
                <w:b/>
                <w:bCs/>
              </w:rPr>
            </w:pPr>
            <w:r w:rsidRPr="00D94EE5">
              <w:rPr>
                <w:rFonts w:eastAsia="Arial" w:cstheme="minorHAnsi"/>
                <w:b/>
                <w:bCs/>
                <w:color w:val="000000"/>
                <w:sz w:val="22"/>
                <w:szCs w:val="22"/>
              </w:rPr>
              <w:t>Total</w:t>
            </w:r>
          </w:p>
        </w:tc>
        <w:tc>
          <w:tcPr>
            <w:tcW w:w="5341" w:type="dxa"/>
            <w:tcBorders>
              <w:top w:val="single" w:sz="2" w:space="0" w:color="auto"/>
              <w:bottom w:val="single" w:sz="12" w:space="0" w:color="auto"/>
            </w:tcBorders>
            <w:vAlign w:val="center"/>
          </w:tcPr>
          <w:p w14:paraId="5DDDBD33" w14:textId="77777777" w:rsidR="005C167D" w:rsidRPr="00D94EE5" w:rsidRDefault="005C167D">
            <w:pPr>
              <w:rPr>
                <w:b/>
                <w:bCs/>
              </w:rPr>
            </w:pPr>
          </w:p>
        </w:tc>
        <w:tc>
          <w:tcPr>
            <w:tcW w:w="960" w:type="dxa"/>
            <w:tcBorders>
              <w:top w:val="single" w:sz="2" w:space="0" w:color="auto"/>
              <w:bottom w:val="single" w:sz="12" w:space="0" w:color="auto"/>
            </w:tcBorders>
            <w:vAlign w:val="center"/>
          </w:tcPr>
          <w:p w14:paraId="1EB035D4" w14:textId="77777777" w:rsidR="005C167D" w:rsidRPr="00D94EE5" w:rsidRDefault="005C167D">
            <w:pPr>
              <w:rPr>
                <w:b/>
                <w:bCs/>
              </w:rPr>
            </w:pPr>
            <w:r w:rsidRPr="00D94EE5">
              <w:rPr>
                <w:rFonts w:eastAsia="Arial" w:cstheme="minorHAnsi"/>
                <w:b/>
                <w:bCs/>
                <w:color w:val="000000"/>
                <w:sz w:val="22"/>
                <w:szCs w:val="22"/>
              </w:rPr>
              <w:t>298</w:t>
            </w:r>
          </w:p>
        </w:tc>
        <w:tc>
          <w:tcPr>
            <w:tcW w:w="1499" w:type="dxa"/>
            <w:tcBorders>
              <w:top w:val="single" w:sz="2" w:space="0" w:color="auto"/>
              <w:bottom w:val="single" w:sz="12" w:space="0" w:color="auto"/>
            </w:tcBorders>
            <w:vAlign w:val="center"/>
          </w:tcPr>
          <w:p w14:paraId="690DD9DC" w14:textId="77777777" w:rsidR="005C167D" w:rsidRPr="00D94EE5" w:rsidRDefault="005C167D">
            <w:pPr>
              <w:rPr>
                <w:b/>
                <w:bCs/>
              </w:rPr>
            </w:pPr>
          </w:p>
        </w:tc>
      </w:tr>
    </w:tbl>
    <w:p w14:paraId="12BA7FFD" w14:textId="77777777" w:rsidR="00B94B97" w:rsidRDefault="00B94B97" w:rsidP="00B94B97">
      <w:pPr>
        <w:rPr>
          <w:sz w:val="20"/>
          <w:szCs w:val="16"/>
        </w:rPr>
      </w:pPr>
      <w:r w:rsidRPr="00B94B97">
        <w:rPr>
          <w:sz w:val="20"/>
          <w:szCs w:val="16"/>
          <w:vertAlign w:val="superscript"/>
        </w:rPr>
        <w:t>1</w:t>
      </w:r>
      <w:r w:rsidRPr="000F59F4">
        <w:rPr>
          <w:sz w:val="20"/>
          <w:szCs w:val="16"/>
        </w:rPr>
        <w:t xml:space="preserve"> </w:t>
      </w:r>
      <w:r>
        <w:rPr>
          <w:sz w:val="20"/>
          <w:szCs w:val="16"/>
        </w:rPr>
        <w:t>E</w:t>
      </w:r>
      <w:r w:rsidRPr="000F59F4">
        <w:rPr>
          <w:sz w:val="20"/>
          <w:szCs w:val="16"/>
        </w:rPr>
        <w:t>stimated percentage</w:t>
      </w:r>
      <w:r>
        <w:rPr>
          <w:sz w:val="20"/>
          <w:szCs w:val="16"/>
        </w:rPr>
        <w:t xml:space="preserve"> (</w:t>
      </w:r>
      <w:r w:rsidRPr="00224A2F">
        <w:rPr>
          <w:sz w:val="20"/>
          <w:szCs w:val="16"/>
        </w:rPr>
        <w:t>+/- 95% confidence limits</w:t>
      </w:r>
      <w:r>
        <w:rPr>
          <w:sz w:val="20"/>
          <w:szCs w:val="16"/>
        </w:rPr>
        <w:t xml:space="preserve">) </w:t>
      </w:r>
      <w:r w:rsidRPr="000F59F4">
        <w:rPr>
          <w:sz w:val="20"/>
          <w:szCs w:val="16"/>
        </w:rPr>
        <w:t>of Virginia’s smaller estuarine waters</w:t>
      </w:r>
      <w:r>
        <w:rPr>
          <w:sz w:val="20"/>
          <w:szCs w:val="16"/>
        </w:rPr>
        <w:t xml:space="preserve"> (&lt; 100 sq km)</w:t>
      </w:r>
      <w:r w:rsidRPr="000F59F4">
        <w:rPr>
          <w:sz w:val="20"/>
          <w:szCs w:val="16"/>
        </w:rPr>
        <w:t xml:space="preserve"> </w:t>
      </w:r>
      <w:r>
        <w:rPr>
          <w:sz w:val="20"/>
          <w:szCs w:val="16"/>
        </w:rPr>
        <w:t>with</w:t>
      </w:r>
      <w:r w:rsidRPr="000F59F4">
        <w:rPr>
          <w:sz w:val="20"/>
          <w:szCs w:val="16"/>
        </w:rPr>
        <w:t xml:space="preserve"> indicated water quality condition. </w:t>
      </w:r>
      <w:r>
        <w:rPr>
          <w:sz w:val="20"/>
          <w:szCs w:val="16"/>
        </w:rPr>
        <w:t>As e</w:t>
      </w:r>
      <w:r w:rsidRPr="000F59F4">
        <w:rPr>
          <w:sz w:val="20"/>
          <w:szCs w:val="16"/>
        </w:rPr>
        <w:t xml:space="preserve">stimated using data from DEQ’s estuarine probabilistic monitoring program and EPA’s National Coastal Condition Assessment </w:t>
      </w:r>
      <w:r>
        <w:rPr>
          <w:sz w:val="20"/>
          <w:szCs w:val="16"/>
        </w:rPr>
        <w:t>program. Approximately 95% of stations are from smaller estuaries (&lt; 100 sq km) and approximately 5% of stations are from Chesapeake Bay mainstem.</w:t>
      </w:r>
    </w:p>
    <w:p w14:paraId="40BD1103" w14:textId="77777777" w:rsidR="0038508F" w:rsidRPr="0038508F" w:rsidRDefault="0038508F" w:rsidP="00B94B97">
      <w:pPr>
        <w:rPr>
          <w:szCs w:val="24"/>
        </w:rPr>
      </w:pPr>
    </w:p>
    <w:p w14:paraId="375F7812" w14:textId="01320396" w:rsidR="0030653F" w:rsidRPr="000B52A1" w:rsidRDefault="0030653F" w:rsidP="00C5533C">
      <w:pPr>
        <w:pStyle w:val="Heading3"/>
        <w:rPr>
          <w:rFonts w:cstheme="minorHAnsi"/>
        </w:rPr>
      </w:pPr>
      <w:bookmarkStart w:id="299" w:name="summary-and-conclusion"/>
      <w:bookmarkEnd w:id="296"/>
      <w:r w:rsidRPr="000B52A1">
        <w:rPr>
          <w:rFonts w:cstheme="minorHAnsi"/>
        </w:rPr>
        <w:t>Summary and Conclusion</w:t>
      </w:r>
    </w:p>
    <w:p w14:paraId="648E1F35" w14:textId="73ED4134" w:rsidR="0030653F" w:rsidRPr="000B52A1" w:rsidRDefault="0030653F" w:rsidP="004539B0">
      <w:r w:rsidRPr="000B52A1">
        <w:t xml:space="preserve">DEQ’s estuarine probabilistic monitoring program sampled 298 estuarine stations during the 2017-2022 assessment period. </w:t>
      </w:r>
      <w:proofErr w:type="gramStart"/>
      <w:r w:rsidRPr="000B52A1">
        <w:t>The majority of</w:t>
      </w:r>
      <w:proofErr w:type="gramEnd"/>
      <w:r w:rsidRPr="000B52A1">
        <w:t xml:space="preserve"> the stations fell within the minor tidal tributaries and </w:t>
      </w:r>
      <w:proofErr w:type="spellStart"/>
      <w:r w:rsidRPr="000B52A1">
        <w:t>embayments</w:t>
      </w:r>
      <w:proofErr w:type="spellEnd"/>
      <w:r w:rsidRPr="000B52A1">
        <w:t xml:space="preserve"> of the Chesapeake Bay watershed or in the estuarine waters of Atlantic Delmarva and the Back Bay / North Landing River region of southeastern Virginia.</w:t>
      </w:r>
      <w:r w:rsidR="002C52C6" w:rsidRPr="002C52C6">
        <w:t xml:space="preserve"> </w:t>
      </w:r>
      <w:r w:rsidR="002C52C6">
        <w:t xml:space="preserve">The results are not </w:t>
      </w:r>
      <w:r w:rsidR="000C1306">
        <w:t>transferable</w:t>
      </w:r>
      <w:r w:rsidR="002C52C6">
        <w:t xml:space="preserve"> or indicative of conditions outside of the program sampling design such as the mainstem of the Chesapeake Bay.</w:t>
      </w:r>
    </w:p>
    <w:p w14:paraId="3B5017D6" w14:textId="2CC766DE" w:rsidR="0030653F" w:rsidRPr="000B52A1" w:rsidRDefault="004539B0" w:rsidP="004539B0">
      <w:r>
        <w:br/>
      </w:r>
      <w:r w:rsidR="0030653F" w:rsidRPr="000B52A1">
        <w:t xml:space="preserve">Weight-of-Evidence (WOE) assessments were carried out on each probabilistic station. WOE assessments evaluated the evidence for chemical contaminant-induced impairment of the aquatic life designated use, as indicated by chemical contaminants in the sediment, acute sediment toxicity, and benthic community condition. WOE aquatic life assessments of 298 probabilistic estuarine stations (Table </w:t>
      </w:r>
      <w:r w:rsidR="00E82EB9">
        <w:t>4.5-</w:t>
      </w:r>
      <w:r w:rsidR="0030653F" w:rsidRPr="000B52A1">
        <w:t>26) concluded that, based on those three lines of evidence:</w:t>
      </w:r>
    </w:p>
    <w:p w14:paraId="0AAF2F95" w14:textId="77777777" w:rsidR="0030653F" w:rsidRPr="000B52A1" w:rsidRDefault="0030653F">
      <w:pPr>
        <w:pStyle w:val="Compact"/>
        <w:numPr>
          <w:ilvl w:val="0"/>
          <w:numId w:val="15"/>
        </w:numPr>
        <w:rPr>
          <w:rFonts w:cstheme="minorHAnsi"/>
        </w:rPr>
      </w:pPr>
      <w:r w:rsidRPr="000B52A1">
        <w:rPr>
          <w:rFonts w:cstheme="minorHAnsi"/>
        </w:rPr>
        <w:t>20.5 percent of stations were fully supporting of the ALU (Category 2A)</w:t>
      </w:r>
    </w:p>
    <w:p w14:paraId="7DC11B80" w14:textId="3735F440" w:rsidR="0030653F" w:rsidRPr="000B52A1" w:rsidRDefault="0030653F">
      <w:pPr>
        <w:pStyle w:val="Compact"/>
        <w:numPr>
          <w:ilvl w:val="0"/>
          <w:numId w:val="15"/>
        </w:numPr>
        <w:rPr>
          <w:rFonts w:cstheme="minorHAnsi"/>
        </w:rPr>
      </w:pPr>
      <w:r w:rsidRPr="000B52A1">
        <w:rPr>
          <w:rFonts w:cstheme="minorHAnsi"/>
        </w:rPr>
        <w:t>49.</w:t>
      </w:r>
      <w:r w:rsidR="00865266">
        <w:rPr>
          <w:rFonts w:cstheme="minorHAnsi"/>
        </w:rPr>
        <w:t>6</w:t>
      </w:r>
      <w:r w:rsidRPr="000B52A1">
        <w:rPr>
          <w:rFonts w:cstheme="minorHAnsi"/>
        </w:rPr>
        <w:t xml:space="preserve"> percent of stations showed biological degradation but no evidence for chemicals as the cause and thus were prioritized for follow-up monitoring (Category 3B).</w:t>
      </w:r>
    </w:p>
    <w:p w14:paraId="7448FC6D" w14:textId="77777777" w:rsidR="0030653F" w:rsidRPr="000B52A1" w:rsidRDefault="0030653F">
      <w:pPr>
        <w:pStyle w:val="Compact"/>
        <w:numPr>
          <w:ilvl w:val="0"/>
          <w:numId w:val="15"/>
        </w:numPr>
        <w:rPr>
          <w:rFonts w:cstheme="minorHAnsi"/>
        </w:rPr>
      </w:pPr>
      <w:r w:rsidRPr="000B52A1">
        <w:rPr>
          <w:rFonts w:cstheme="minorHAnsi"/>
        </w:rPr>
        <w:lastRenderedPageBreak/>
        <w:t>13.1 percent of stations were of concern (Category 3E), showing no biological degradation but exhibiting the potential for degradation based on elevated sediment chemical levels, acute toxicity, or both</w:t>
      </w:r>
    </w:p>
    <w:p w14:paraId="2F08D66A" w14:textId="4870C7C6" w:rsidR="0030653F" w:rsidRDefault="0030653F">
      <w:pPr>
        <w:pStyle w:val="Compact"/>
        <w:numPr>
          <w:ilvl w:val="0"/>
          <w:numId w:val="15"/>
        </w:numPr>
        <w:rPr>
          <w:rFonts w:cstheme="minorHAnsi"/>
        </w:rPr>
      </w:pPr>
      <w:r w:rsidRPr="000B52A1">
        <w:rPr>
          <w:rFonts w:cstheme="minorHAnsi"/>
        </w:rPr>
        <w:t xml:space="preserve">16.8 percent of stations were assessed as </w:t>
      </w:r>
      <w:proofErr w:type="gramStart"/>
      <w:r w:rsidRPr="000B52A1">
        <w:rPr>
          <w:rFonts w:cstheme="minorHAnsi"/>
        </w:rPr>
        <w:t>biologically-impaired</w:t>
      </w:r>
      <w:proofErr w:type="gramEnd"/>
      <w:r w:rsidRPr="000B52A1">
        <w:rPr>
          <w:rFonts w:cstheme="minorHAnsi"/>
        </w:rPr>
        <w:t xml:space="preserve"> due to chemical contaminants (Category 5A)</w:t>
      </w:r>
    </w:p>
    <w:p w14:paraId="60C0E92E" w14:textId="77777777" w:rsidR="00ED654F" w:rsidRPr="000B52A1" w:rsidRDefault="00ED654F" w:rsidP="00ED654F"/>
    <w:p w14:paraId="01165AE2" w14:textId="3CE24A79" w:rsidR="0030653F" w:rsidRPr="000B52A1" w:rsidRDefault="00FD0FD2" w:rsidP="00A0215F">
      <w:r w:rsidRPr="000B52A1">
        <w:t xml:space="preserve">Three aggregate indices were calculated using </w:t>
      </w:r>
      <w:r>
        <w:t>benchmark</w:t>
      </w:r>
      <w:r w:rsidRPr="000B52A1">
        <w:t xml:space="preserve">s developed by EPA’s NCCA program, from which general </w:t>
      </w:r>
      <w:r>
        <w:t>regional</w:t>
      </w:r>
      <w:r w:rsidRPr="000B52A1">
        <w:t xml:space="preserve"> estuarine conditions were estimated. Overall estuarine conditions</w:t>
      </w:r>
      <w:r>
        <w:t xml:space="preserve"> in Virginia</w:t>
      </w:r>
      <w:r w:rsidRPr="000B52A1">
        <w:t xml:space="preserve"> </w:t>
      </w:r>
      <w:r>
        <w:t xml:space="preserve">- with analysis biased toward smaller estuaries (&lt; 100 sq km drainage) as described earlier - are estimated to be in </w:t>
      </w:r>
      <w:r w:rsidRPr="000B52A1">
        <w:t>“Fair” to “Poor”</w:t>
      </w:r>
      <w:r>
        <w:t xml:space="preserve"> condition following NCCA guidelines</w:t>
      </w:r>
      <w:r w:rsidRPr="000B52A1">
        <w:t xml:space="preserve"> for the assessment period 2017-2022 (Table </w:t>
      </w:r>
      <w:r>
        <w:t>4.5-</w:t>
      </w:r>
      <w:r w:rsidRPr="000B52A1">
        <w:t>27).</w:t>
      </w:r>
      <w:r w:rsidRPr="006D6361">
        <w:t xml:space="preserve"> </w:t>
      </w:r>
      <w:r>
        <w:t>These index characterizations are not representative of Chesapeake Bay mainstem or the lower tidal portions of its major tributaries.</w:t>
      </w:r>
      <w:r w:rsidR="00ED654F">
        <w:br/>
      </w:r>
    </w:p>
    <w:p w14:paraId="540B909C" w14:textId="0CBECBEE" w:rsidR="00211245" w:rsidRPr="0062574F" w:rsidRDefault="00417524" w:rsidP="0A5BE548">
      <w:pPr>
        <w:pStyle w:val="Caption"/>
        <w:rPr>
          <w:rFonts w:cstheme="minorBidi"/>
        </w:rPr>
      </w:pPr>
      <w:bookmarkStart w:id="300" w:name="tab:tab-summary"/>
      <w:bookmarkStart w:id="301" w:name="_Toc164175217"/>
      <w:bookmarkEnd w:id="300"/>
      <w:r>
        <w:t xml:space="preserve">Table </w:t>
      </w:r>
      <w:r w:rsidR="004F13BA">
        <w:fldChar w:fldCharType="begin"/>
      </w:r>
      <w:r w:rsidR="004F13BA">
        <w:instrText xml:space="preserve"> STYLEREF 2 \s </w:instrText>
      </w:r>
      <w:r w:rsidR="004F13BA">
        <w:fldChar w:fldCharType="separate"/>
      </w:r>
      <w:r w:rsidR="00CD06AE">
        <w:rPr>
          <w:noProof/>
        </w:rPr>
        <w:t>4.5</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27</w:t>
      </w:r>
      <w:r w:rsidR="004F13BA">
        <w:rPr>
          <w:noProof/>
        </w:rPr>
        <w:fldChar w:fldCharType="end"/>
      </w:r>
      <w:r>
        <w:t>.</w:t>
      </w:r>
      <w:r w:rsidRPr="0A5BE548">
        <w:rPr>
          <w:rFonts w:cstheme="minorBidi"/>
        </w:rPr>
        <w:t xml:space="preserve"> </w:t>
      </w:r>
      <w:r w:rsidR="00BC21C6" w:rsidRPr="0A5BE548">
        <w:rPr>
          <w:rFonts w:cstheme="minorBidi"/>
        </w:rPr>
        <w:t>Estimated generalized condition for each aggregated</w:t>
      </w:r>
      <w:r w:rsidR="00211245" w:rsidRPr="0A5BE548">
        <w:rPr>
          <w:rFonts w:cstheme="minorBidi"/>
        </w:rPr>
        <w:t xml:space="preserve"> index</w:t>
      </w:r>
      <w:bookmarkEnd w:id="301"/>
      <w:r w:rsidR="00BC21C6" w:rsidRPr="0A5BE548">
        <w:rPr>
          <w:rFonts w:cstheme="minorBidi"/>
        </w:rPr>
        <w:t xml:space="preserve"> in Virginia’s estuarine waters, 2017-2022.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Generalized statewide estuarine condition for each aggregated index, 2017-2022."/>
        <w:tblDescription w:val="Generalized statewide estuarine condition for each aggregated index, 2017-2022."/>
      </w:tblPr>
      <w:tblGrid>
        <w:gridCol w:w="4495"/>
        <w:gridCol w:w="4145"/>
      </w:tblGrid>
      <w:tr w:rsidR="00417524" w14:paraId="7D6C2F82" w14:textId="77777777" w:rsidTr="007B5BB0">
        <w:trPr>
          <w:trHeight w:val="360"/>
        </w:trPr>
        <w:tc>
          <w:tcPr>
            <w:tcW w:w="4495" w:type="dxa"/>
            <w:tcBorders>
              <w:top w:val="single" w:sz="12" w:space="0" w:color="auto"/>
              <w:bottom w:val="single" w:sz="4" w:space="0" w:color="auto"/>
            </w:tcBorders>
            <w:vAlign w:val="center"/>
          </w:tcPr>
          <w:p w14:paraId="1C8B5E63" w14:textId="77777777" w:rsidR="00417524" w:rsidRDefault="00417524">
            <w:r w:rsidRPr="000B52A1">
              <w:rPr>
                <w:rFonts w:eastAsia="Arial" w:cstheme="minorHAnsi"/>
                <w:b/>
                <w:color w:val="000000"/>
                <w:sz w:val="22"/>
                <w:szCs w:val="22"/>
              </w:rPr>
              <w:t>Aggregated Index</w:t>
            </w:r>
          </w:p>
        </w:tc>
        <w:tc>
          <w:tcPr>
            <w:tcW w:w="4145" w:type="dxa"/>
            <w:tcBorders>
              <w:top w:val="single" w:sz="12" w:space="0" w:color="auto"/>
              <w:bottom w:val="single" w:sz="4" w:space="0" w:color="auto"/>
            </w:tcBorders>
            <w:vAlign w:val="center"/>
          </w:tcPr>
          <w:p w14:paraId="29B0C46C" w14:textId="3999DD7B" w:rsidR="00417524" w:rsidRDefault="00417524">
            <w:r w:rsidRPr="000B52A1">
              <w:rPr>
                <w:rFonts w:eastAsia="Arial" w:cstheme="minorHAnsi"/>
                <w:b/>
                <w:color w:val="000000"/>
                <w:sz w:val="22"/>
                <w:szCs w:val="22"/>
              </w:rPr>
              <w:t>Statewide Estuarine Condition</w:t>
            </w:r>
            <w:r w:rsidR="00292CE0" w:rsidRPr="00292CE0">
              <w:rPr>
                <w:rFonts w:eastAsia="Arial" w:cstheme="minorHAnsi"/>
                <w:b/>
                <w:color w:val="000000"/>
                <w:sz w:val="22"/>
                <w:szCs w:val="22"/>
                <w:vertAlign w:val="superscript"/>
              </w:rPr>
              <w:t>1</w:t>
            </w:r>
          </w:p>
        </w:tc>
      </w:tr>
      <w:tr w:rsidR="00417524" w14:paraId="3EB87024" w14:textId="77777777" w:rsidTr="007B5BB0">
        <w:trPr>
          <w:trHeight w:val="360"/>
        </w:trPr>
        <w:tc>
          <w:tcPr>
            <w:tcW w:w="4495" w:type="dxa"/>
            <w:tcBorders>
              <w:top w:val="single" w:sz="4" w:space="0" w:color="auto"/>
            </w:tcBorders>
            <w:vAlign w:val="center"/>
          </w:tcPr>
          <w:p w14:paraId="3A678AFC" w14:textId="77777777" w:rsidR="00417524" w:rsidRDefault="00417524">
            <w:r w:rsidRPr="000B52A1">
              <w:rPr>
                <w:rFonts w:eastAsia="Arial" w:cstheme="minorHAnsi"/>
                <w:color w:val="000000"/>
                <w:sz w:val="22"/>
                <w:szCs w:val="22"/>
              </w:rPr>
              <w:t>Water Quality Index</w:t>
            </w:r>
          </w:p>
        </w:tc>
        <w:tc>
          <w:tcPr>
            <w:tcW w:w="4145" w:type="dxa"/>
            <w:tcBorders>
              <w:top w:val="single" w:sz="4" w:space="0" w:color="auto"/>
            </w:tcBorders>
            <w:vAlign w:val="center"/>
          </w:tcPr>
          <w:p w14:paraId="314BA9A8" w14:textId="77777777" w:rsidR="00417524" w:rsidRDefault="00417524">
            <w:r w:rsidRPr="000B52A1">
              <w:rPr>
                <w:rFonts w:eastAsia="Arial" w:cstheme="minorHAnsi"/>
                <w:color w:val="000000"/>
                <w:sz w:val="22"/>
                <w:szCs w:val="22"/>
              </w:rPr>
              <w:t>Fair</w:t>
            </w:r>
          </w:p>
        </w:tc>
      </w:tr>
      <w:tr w:rsidR="00417524" w14:paraId="3CD86A84" w14:textId="77777777" w:rsidTr="007B5BB0">
        <w:trPr>
          <w:trHeight w:val="360"/>
        </w:trPr>
        <w:tc>
          <w:tcPr>
            <w:tcW w:w="4495" w:type="dxa"/>
            <w:vAlign w:val="center"/>
          </w:tcPr>
          <w:p w14:paraId="44B2F450" w14:textId="77777777" w:rsidR="00417524" w:rsidRDefault="00417524">
            <w:r w:rsidRPr="000B52A1">
              <w:rPr>
                <w:rFonts w:eastAsia="Arial" w:cstheme="minorHAnsi"/>
                <w:color w:val="000000"/>
                <w:sz w:val="22"/>
                <w:szCs w:val="22"/>
              </w:rPr>
              <w:t>Sediment Quality Index</w:t>
            </w:r>
          </w:p>
        </w:tc>
        <w:tc>
          <w:tcPr>
            <w:tcW w:w="4145" w:type="dxa"/>
            <w:vAlign w:val="center"/>
          </w:tcPr>
          <w:p w14:paraId="205375BC" w14:textId="77777777" w:rsidR="00417524" w:rsidRDefault="00417524">
            <w:r w:rsidRPr="000B52A1">
              <w:rPr>
                <w:rFonts w:eastAsia="Arial" w:cstheme="minorHAnsi"/>
                <w:color w:val="000000"/>
                <w:sz w:val="22"/>
                <w:szCs w:val="22"/>
              </w:rPr>
              <w:t>Fair</w:t>
            </w:r>
          </w:p>
        </w:tc>
      </w:tr>
      <w:tr w:rsidR="00417524" w14:paraId="49F489D4" w14:textId="77777777" w:rsidTr="007B5BB0">
        <w:trPr>
          <w:trHeight w:val="360"/>
        </w:trPr>
        <w:tc>
          <w:tcPr>
            <w:tcW w:w="4495" w:type="dxa"/>
            <w:tcBorders>
              <w:bottom w:val="single" w:sz="12" w:space="0" w:color="auto"/>
            </w:tcBorders>
            <w:vAlign w:val="center"/>
          </w:tcPr>
          <w:p w14:paraId="557B0CCA" w14:textId="77777777" w:rsidR="00417524" w:rsidRDefault="00417524">
            <w:r w:rsidRPr="000B52A1">
              <w:rPr>
                <w:rFonts w:eastAsia="Arial" w:cstheme="minorHAnsi"/>
                <w:color w:val="000000"/>
                <w:sz w:val="22"/>
                <w:szCs w:val="22"/>
              </w:rPr>
              <w:t>Integrated Benthic Score</w:t>
            </w:r>
          </w:p>
        </w:tc>
        <w:tc>
          <w:tcPr>
            <w:tcW w:w="4145" w:type="dxa"/>
            <w:tcBorders>
              <w:bottom w:val="single" w:sz="12" w:space="0" w:color="auto"/>
            </w:tcBorders>
            <w:vAlign w:val="center"/>
          </w:tcPr>
          <w:p w14:paraId="6CA67C1E" w14:textId="77777777" w:rsidR="00417524" w:rsidRDefault="00417524">
            <w:r w:rsidRPr="000B52A1">
              <w:rPr>
                <w:rFonts w:eastAsia="Arial" w:cstheme="minorHAnsi"/>
                <w:color w:val="000000"/>
                <w:sz w:val="22"/>
                <w:szCs w:val="22"/>
              </w:rPr>
              <w:t>Poor</w:t>
            </w:r>
          </w:p>
        </w:tc>
      </w:tr>
    </w:tbl>
    <w:p w14:paraId="581F180B" w14:textId="012E32F8" w:rsidR="00417524" w:rsidRPr="00970084" w:rsidRDefault="008716EA" w:rsidP="00ED654F">
      <w:pPr>
        <w:rPr>
          <w:sz w:val="20"/>
          <w:szCs w:val="16"/>
        </w:rPr>
      </w:pPr>
      <w:r w:rsidRPr="008716EA">
        <w:rPr>
          <w:sz w:val="20"/>
          <w:szCs w:val="16"/>
          <w:vertAlign w:val="superscript"/>
        </w:rPr>
        <w:t>1</w:t>
      </w:r>
      <w:r w:rsidRPr="000F59F4">
        <w:rPr>
          <w:sz w:val="20"/>
          <w:szCs w:val="16"/>
        </w:rPr>
        <w:t xml:space="preserve"> </w:t>
      </w:r>
      <w:r>
        <w:rPr>
          <w:sz w:val="20"/>
          <w:szCs w:val="16"/>
        </w:rPr>
        <w:t>E</w:t>
      </w:r>
      <w:r w:rsidRPr="000F59F4">
        <w:rPr>
          <w:sz w:val="20"/>
          <w:szCs w:val="16"/>
        </w:rPr>
        <w:t>stimated</w:t>
      </w:r>
      <w:r>
        <w:rPr>
          <w:sz w:val="20"/>
          <w:szCs w:val="16"/>
        </w:rPr>
        <w:t xml:space="preserve"> condition </w:t>
      </w:r>
      <w:r w:rsidRPr="000F59F4">
        <w:rPr>
          <w:sz w:val="20"/>
          <w:szCs w:val="16"/>
        </w:rPr>
        <w:t>of Virginia’s smaller estuarine waters</w:t>
      </w:r>
      <w:r>
        <w:rPr>
          <w:sz w:val="20"/>
          <w:szCs w:val="16"/>
        </w:rPr>
        <w:t xml:space="preserve"> (&lt; 100 sq km)</w:t>
      </w:r>
      <w:r w:rsidRPr="000F59F4">
        <w:rPr>
          <w:sz w:val="20"/>
          <w:szCs w:val="16"/>
        </w:rPr>
        <w:t xml:space="preserve"> </w:t>
      </w:r>
      <w:r>
        <w:rPr>
          <w:sz w:val="20"/>
          <w:szCs w:val="16"/>
        </w:rPr>
        <w:t>for each index</w:t>
      </w:r>
      <w:r w:rsidRPr="000F59F4">
        <w:rPr>
          <w:sz w:val="20"/>
          <w:szCs w:val="16"/>
        </w:rPr>
        <w:t xml:space="preserve">. </w:t>
      </w:r>
      <w:r>
        <w:rPr>
          <w:sz w:val="20"/>
          <w:szCs w:val="16"/>
        </w:rPr>
        <w:t>As e</w:t>
      </w:r>
      <w:r w:rsidRPr="000F59F4">
        <w:rPr>
          <w:sz w:val="20"/>
          <w:szCs w:val="16"/>
        </w:rPr>
        <w:t xml:space="preserve">stimated using data from DEQ’s estuarine probabilistic monitoring program and EPA’s National Coastal Condition Assessment </w:t>
      </w:r>
      <w:r>
        <w:rPr>
          <w:sz w:val="20"/>
          <w:szCs w:val="16"/>
        </w:rPr>
        <w:t>program. Approximately 95% of stations are from smaller estuaries (&lt; 100 sq km drainage) and approximately 5% of stations are from Chesapeake Bay mainstem.</w:t>
      </w:r>
    </w:p>
    <w:bookmarkEnd w:id="299"/>
    <w:p w14:paraId="2D17604E" w14:textId="77777777" w:rsidR="005A6D85" w:rsidRDefault="005A6D85" w:rsidP="005A6D85"/>
    <w:p w14:paraId="4CFCDAA9" w14:textId="565ABB53" w:rsidR="005A6D85" w:rsidRDefault="005A6D85" w:rsidP="005A6D85">
      <w:pPr>
        <w:sectPr w:rsidR="005A6D85" w:rsidSect="009079C4">
          <w:type w:val="continuous"/>
          <w:pgSz w:w="12240" w:h="15840" w:code="1"/>
          <w:pgMar w:top="1152" w:right="1440" w:bottom="720" w:left="1440" w:header="720" w:footer="720" w:gutter="0"/>
          <w:cols w:space="720"/>
        </w:sectPr>
      </w:pPr>
    </w:p>
    <w:p w14:paraId="235994FC" w14:textId="7D4B10AA" w:rsidR="00681785" w:rsidRDefault="00CA7E76" w:rsidP="004F756C">
      <w:pPr>
        <w:pStyle w:val="Heading2"/>
        <w:jc w:val="left"/>
      </w:pPr>
      <w:bookmarkStart w:id="302" w:name="_Toc152763315"/>
      <w:bookmarkStart w:id="303" w:name="_Toc155771961"/>
      <w:bookmarkStart w:id="304" w:name="_Toc191900440"/>
      <w:r>
        <w:t xml:space="preserve">Chesapeake </w:t>
      </w:r>
      <w:r w:rsidR="004F756C">
        <w:t>B</w:t>
      </w:r>
      <w:r>
        <w:t xml:space="preserve">ay </w:t>
      </w:r>
      <w:bookmarkEnd w:id="302"/>
      <w:r w:rsidR="00681AFF" w:rsidRPr="00681AFF">
        <w:rPr>
          <w:rFonts w:cstheme="minorHAnsi"/>
          <w:szCs w:val="24"/>
        </w:rPr>
        <w:t>A</w:t>
      </w:r>
      <w:r w:rsidR="00681AFF">
        <w:rPr>
          <w:rFonts w:cstheme="minorHAnsi"/>
          <w:szCs w:val="24"/>
        </w:rPr>
        <w:t>ssessment</w:t>
      </w:r>
      <w:bookmarkEnd w:id="303"/>
      <w:bookmarkEnd w:id="304"/>
    </w:p>
    <w:p w14:paraId="73D7C013" w14:textId="29F6A883" w:rsidR="00000B89" w:rsidRDefault="00626A95" w:rsidP="00000B89">
      <w:pPr>
        <w:rPr>
          <w:szCs w:val="24"/>
        </w:rPr>
      </w:pPr>
      <w:r w:rsidRPr="00626A95">
        <w:rPr>
          <w:szCs w:val="24"/>
        </w:rPr>
        <w:t xml:space="preserve">Virginia coordinates with the Chesapeake Bay Program partnership </w:t>
      </w:r>
      <w:r w:rsidR="00330A24">
        <w:rPr>
          <w:szCs w:val="24"/>
        </w:rPr>
        <w:t xml:space="preserve">and EPA Region 3 </w:t>
      </w:r>
      <w:r w:rsidRPr="00626A95">
        <w:rPr>
          <w:szCs w:val="24"/>
        </w:rPr>
        <w:t>in implementing water quality monitoring and assessment protocols for evaluating its tidal waters in the Chesapeake Bay watershed. The assessment of Chesapeake Bay tidal waters in Virginia is presented below; additional information on the Chesapeake Bay Program is described in more detail in Section 6.8.</w:t>
      </w:r>
    </w:p>
    <w:p w14:paraId="5BB245AF" w14:textId="77777777" w:rsidR="0077545E" w:rsidRPr="00C74B39" w:rsidRDefault="0077545E" w:rsidP="00000B89">
      <w:pPr>
        <w:rPr>
          <w:szCs w:val="24"/>
        </w:rPr>
      </w:pPr>
    </w:p>
    <w:p w14:paraId="4337C048" w14:textId="45FDE7BF" w:rsidR="00000B89" w:rsidRPr="002D0424" w:rsidRDefault="00000B89" w:rsidP="002D0424">
      <w:pPr>
        <w:pStyle w:val="Heading3"/>
        <w:rPr>
          <w:snapToGrid/>
        </w:rPr>
      </w:pPr>
      <w:r w:rsidRPr="00C74B39">
        <w:rPr>
          <w:snapToGrid/>
        </w:rPr>
        <w:t>Assessment of Aquatic Life Use in Chesapeake Bay and Its Tidal Tributaries</w:t>
      </w:r>
    </w:p>
    <w:p w14:paraId="3D120DE9" w14:textId="25FF929B" w:rsidR="006A3E44" w:rsidRPr="00687E42" w:rsidRDefault="006A3E44" w:rsidP="00A263D0">
      <w:r w:rsidRPr="006A3E44">
        <w:t xml:space="preserve">An amendment to </w:t>
      </w:r>
      <w:r w:rsidRPr="00687E42">
        <w:t xml:space="preserve">increase the SAV and water clarity acreage goals for portions of the Rappahannock and James Rivers (RPPMH, JMSTF2, JMSTF1, JMSMH, and JMSPH) was included in the most recent triennial review of Virginia’s water quality standards regulation (effective April 18, 2023). The criteria for these segments are now consistent with the reasoning underlying the SAV acreage goal criteria for other Bay segments. Approximately 48% of the total statewide SAV </w:t>
      </w:r>
      <w:r w:rsidR="00B32581" w:rsidRPr="235817F8">
        <w:t>acre</w:t>
      </w:r>
      <w:r w:rsidRPr="00687E42">
        <w:t xml:space="preserve"> goal was attained during the 2024 </w:t>
      </w:r>
      <w:r w:rsidR="00B32581">
        <w:t>IR</w:t>
      </w:r>
      <w:r w:rsidRPr="00687E42">
        <w:t xml:space="preserve"> cycle. The acreage </w:t>
      </w:r>
      <w:r w:rsidR="00B32581" w:rsidRPr="235817F8">
        <w:t xml:space="preserve">goal </w:t>
      </w:r>
      <w:r w:rsidRPr="00687E42">
        <w:t xml:space="preserve">increases </w:t>
      </w:r>
      <w:r w:rsidR="00B32581" w:rsidRPr="235817F8">
        <w:t>incorporated into</w:t>
      </w:r>
      <w:r w:rsidRPr="00687E42">
        <w:t xml:space="preserve"> the </w:t>
      </w:r>
      <w:r w:rsidR="00B32581" w:rsidRPr="235817F8">
        <w:t>regulations</w:t>
      </w:r>
      <w:r w:rsidRPr="00687E42">
        <w:t xml:space="preserve"> are </w:t>
      </w:r>
      <w:r w:rsidR="00B32581">
        <w:t>partially reflected</w:t>
      </w:r>
      <w:r w:rsidRPr="00687E42">
        <w:t xml:space="preserve"> in the change from previous assessment cycles where it was reported that nearly 60% of the total statewide SAV goal was being attained.</w:t>
      </w:r>
    </w:p>
    <w:p w14:paraId="78AC7636" w14:textId="77777777" w:rsidR="006A3E44" w:rsidRPr="00687E42" w:rsidRDefault="006A3E44" w:rsidP="00A263D0"/>
    <w:p w14:paraId="71DF4A45" w14:textId="2BE80D4C" w:rsidR="00883B23" w:rsidRPr="002454FD" w:rsidRDefault="006A3E44" w:rsidP="00883B23">
      <w:pPr>
        <w:widowControl/>
        <w:textAlignment w:val="baseline"/>
        <w:rPr>
          <w:rFonts w:ascii="Segoe UI" w:hAnsi="Segoe UI" w:cs="Segoe UI"/>
          <w:snapToGrid/>
          <w:sz w:val="18"/>
          <w:szCs w:val="18"/>
        </w:rPr>
      </w:pPr>
      <w:r w:rsidRPr="00687E42">
        <w:t>The CBP</w:t>
      </w:r>
      <w:r w:rsidR="00687E42" w:rsidRPr="00687E42">
        <w:t xml:space="preserve"> </w:t>
      </w:r>
      <w:r w:rsidRPr="00687E42">
        <w:t xml:space="preserve">has been performing the assessment of three Bay DO criteria on behalf of Virginia and the other Bay jurisdictions since the adoption of the DO criteria into Virginia’s water quality standards in 2005. DEQ learned in 2023 that </w:t>
      </w:r>
      <w:proofErr w:type="gramStart"/>
      <w:r w:rsidRPr="00687E42">
        <w:t>the CBP</w:t>
      </w:r>
      <w:proofErr w:type="gramEnd"/>
      <w:r w:rsidR="00C74BEC">
        <w:t xml:space="preserve"> </w:t>
      </w:r>
      <w:r w:rsidRPr="00687E42">
        <w:t xml:space="preserve">has not been rounding data when </w:t>
      </w:r>
      <w:r w:rsidRPr="00687E42">
        <w:lastRenderedPageBreak/>
        <w:t>assessing DO. The Virginia Water Quality Standards regulation specifies which figures in a criterion should be treated as meaningful (significant</w:t>
      </w:r>
      <w:r w:rsidRPr="006A3E44">
        <w:t xml:space="preserve">) for the purposes of decision-making. For the 2024 IR, DEQ has performed the DO assessment for the three DO criteria consistent with Virginia’s Water Quality Standards regulation. </w:t>
      </w:r>
      <w:r w:rsidR="00883B23" w:rsidRPr="002454FD">
        <w:rPr>
          <w:rFonts w:ascii="Calibri" w:hAnsi="Calibri" w:cs="Calibri"/>
          <w:snapToGrid/>
          <w:szCs w:val="24"/>
        </w:rPr>
        <w:t xml:space="preserve">The 2024 dissolved oxygen assessment shows attainment of the assessed Open Water criteria is achieved in the lower Rappahannock River, the James River, as well as in the mainstem Bay (to include Mobjack Bay and Pocomoke Sound). These improvements do not result in waterbody segments being removed from the Impaired Waters List as not all applicable DO criteria are currently assessed, and all criteria must be met before removing </w:t>
      </w:r>
      <w:proofErr w:type="gramStart"/>
      <w:r w:rsidR="00883B23" w:rsidRPr="002454FD">
        <w:rPr>
          <w:rFonts w:ascii="Calibri" w:hAnsi="Calibri" w:cs="Calibri"/>
          <w:snapToGrid/>
          <w:szCs w:val="24"/>
        </w:rPr>
        <w:t>waters</w:t>
      </w:r>
      <w:proofErr w:type="gramEnd"/>
      <w:r w:rsidR="00883B23" w:rsidRPr="002454FD">
        <w:rPr>
          <w:rFonts w:ascii="Calibri" w:hAnsi="Calibri" w:cs="Calibri"/>
          <w:snapToGrid/>
          <w:szCs w:val="24"/>
        </w:rPr>
        <w:t xml:space="preserve"> from the impaired list. The upper Pamunkey River and Elizabeth River are two segments where the assessed Open Water criteria were </w:t>
      </w:r>
      <w:proofErr w:type="gramStart"/>
      <w:r w:rsidR="00883B23" w:rsidRPr="002454FD">
        <w:rPr>
          <w:rFonts w:ascii="Calibri" w:hAnsi="Calibri" w:cs="Calibri"/>
          <w:snapToGrid/>
          <w:szCs w:val="24"/>
        </w:rPr>
        <w:t>meeting</w:t>
      </w:r>
      <w:proofErr w:type="gramEnd"/>
      <w:r w:rsidR="00883B23" w:rsidRPr="002454FD">
        <w:rPr>
          <w:rFonts w:ascii="Calibri" w:hAnsi="Calibri" w:cs="Calibri"/>
          <w:snapToGrid/>
          <w:szCs w:val="24"/>
        </w:rPr>
        <w:t xml:space="preserve"> last cycle and are not this cycle. Attainment of the assessed </w:t>
      </w:r>
      <w:proofErr w:type="gramStart"/>
      <w:r w:rsidR="00883B23" w:rsidRPr="002454FD">
        <w:rPr>
          <w:rFonts w:ascii="Calibri" w:hAnsi="Calibri" w:cs="Calibri"/>
          <w:snapToGrid/>
          <w:szCs w:val="24"/>
        </w:rPr>
        <w:t>Deep Water</w:t>
      </w:r>
      <w:proofErr w:type="gramEnd"/>
      <w:r w:rsidR="00883B23" w:rsidRPr="002454FD">
        <w:rPr>
          <w:rFonts w:ascii="Calibri" w:hAnsi="Calibri" w:cs="Calibri"/>
          <w:snapToGrid/>
          <w:szCs w:val="24"/>
        </w:rPr>
        <w:t xml:space="preserve"> criteria is achieved in the mainstem Bay</w:t>
      </w:r>
      <w:r w:rsidR="00883B23">
        <w:rPr>
          <w:rFonts w:ascii="Calibri" w:hAnsi="Calibri" w:cs="Calibri"/>
          <w:snapToGrid/>
          <w:szCs w:val="24"/>
        </w:rPr>
        <w:t>. However,</w:t>
      </w:r>
      <w:r w:rsidR="00883B23" w:rsidRPr="002454FD">
        <w:rPr>
          <w:rFonts w:ascii="Calibri" w:hAnsi="Calibri" w:cs="Calibri"/>
          <w:snapToGrid/>
          <w:szCs w:val="24"/>
        </w:rPr>
        <w:t xml:space="preserve"> in the Rappahannock, York and Southern Branch of the Elizabeth River segments</w:t>
      </w:r>
      <w:r w:rsidR="00883B23">
        <w:rPr>
          <w:rFonts w:ascii="Calibri" w:hAnsi="Calibri" w:cs="Calibri"/>
          <w:snapToGrid/>
          <w:szCs w:val="24"/>
        </w:rPr>
        <w:t xml:space="preserve"> the </w:t>
      </w:r>
      <w:proofErr w:type="gramStart"/>
      <w:r w:rsidR="00883B23">
        <w:rPr>
          <w:rFonts w:ascii="Calibri" w:hAnsi="Calibri" w:cs="Calibri"/>
          <w:snapToGrid/>
          <w:szCs w:val="24"/>
        </w:rPr>
        <w:t>Deep Water</w:t>
      </w:r>
      <w:proofErr w:type="gramEnd"/>
      <w:r w:rsidR="00883B23">
        <w:rPr>
          <w:rFonts w:ascii="Calibri" w:hAnsi="Calibri" w:cs="Calibri"/>
          <w:snapToGrid/>
          <w:szCs w:val="24"/>
        </w:rPr>
        <w:t xml:space="preserve"> criteria are not achieved</w:t>
      </w:r>
      <w:r w:rsidR="00883B23" w:rsidRPr="002454FD">
        <w:rPr>
          <w:rFonts w:ascii="Calibri" w:hAnsi="Calibri" w:cs="Calibri"/>
          <w:snapToGrid/>
          <w:szCs w:val="24"/>
        </w:rPr>
        <w:t>.</w:t>
      </w:r>
      <w:r w:rsidR="00883B23" w:rsidRPr="002454FD">
        <w:rPr>
          <w:rFonts w:ascii="Calibri" w:hAnsi="Calibri" w:cs="Calibri"/>
          <w:snapToGrid/>
          <w:sz w:val="22"/>
          <w:szCs w:val="22"/>
        </w:rPr>
        <w:t xml:space="preserve"> </w:t>
      </w:r>
      <w:r w:rsidR="00883B23" w:rsidRPr="002454FD">
        <w:rPr>
          <w:rFonts w:ascii="Calibri" w:hAnsi="Calibri" w:cs="Calibri"/>
          <w:snapToGrid/>
          <w:szCs w:val="24"/>
        </w:rPr>
        <w:t xml:space="preserve">The Deep Channel </w:t>
      </w:r>
      <w:r w:rsidR="00045192" w:rsidRPr="00045192">
        <w:rPr>
          <w:rFonts w:ascii="Calibri" w:hAnsi="Calibri" w:cs="Calibri"/>
          <w:snapToGrid/>
          <w:szCs w:val="24"/>
        </w:rPr>
        <w:t>Chesapeake Bay specific designated uses</w:t>
      </w:r>
      <w:r w:rsidR="00673E2B">
        <w:rPr>
          <w:rFonts w:ascii="Calibri" w:hAnsi="Calibri" w:cs="Calibri"/>
          <w:snapToGrid/>
          <w:szCs w:val="24"/>
        </w:rPr>
        <w:t xml:space="preserve"> </w:t>
      </w:r>
      <w:proofErr w:type="gramStart"/>
      <w:r w:rsidR="00883B23" w:rsidRPr="002454FD">
        <w:rPr>
          <w:rFonts w:ascii="Calibri" w:hAnsi="Calibri" w:cs="Calibri"/>
          <w:snapToGrid/>
          <w:szCs w:val="24"/>
        </w:rPr>
        <w:t>is</w:t>
      </w:r>
      <w:proofErr w:type="gramEnd"/>
      <w:r w:rsidR="00883B23" w:rsidRPr="002454FD">
        <w:rPr>
          <w:rFonts w:ascii="Calibri" w:hAnsi="Calibri" w:cs="Calibri"/>
          <w:snapToGrid/>
          <w:szCs w:val="24"/>
        </w:rPr>
        <w:t xml:space="preserve"> attaining in all Virginia waters </w:t>
      </w:r>
      <w:proofErr w:type="gramStart"/>
      <w:r w:rsidR="00883B23" w:rsidRPr="002454FD">
        <w:rPr>
          <w:rFonts w:ascii="Calibri" w:hAnsi="Calibri" w:cs="Calibri"/>
          <w:snapToGrid/>
          <w:szCs w:val="24"/>
        </w:rPr>
        <w:t>where it is assessed this cycle</w:t>
      </w:r>
      <w:proofErr w:type="gramEnd"/>
      <w:r w:rsidR="00883B23" w:rsidRPr="002454FD">
        <w:rPr>
          <w:rFonts w:ascii="Calibri" w:hAnsi="Calibri" w:cs="Calibri"/>
          <w:snapToGrid/>
          <w:szCs w:val="24"/>
        </w:rPr>
        <w:t>. </w:t>
      </w:r>
    </w:p>
    <w:p w14:paraId="30BD7FEA" w14:textId="77777777" w:rsidR="006A3E44" w:rsidRPr="006A3E44" w:rsidRDefault="006A3E44" w:rsidP="00BF2478">
      <w:pPr>
        <w:widowControl/>
        <w:textAlignment w:val="baseline"/>
        <w:rPr>
          <w:szCs w:val="24"/>
        </w:rPr>
      </w:pPr>
    </w:p>
    <w:p w14:paraId="1E622419" w14:textId="256BE2E0" w:rsidR="00CF135A" w:rsidRPr="00CF135A" w:rsidRDefault="006A3E44" w:rsidP="00A263D0">
      <w:pPr>
        <w:rPr>
          <w:szCs w:val="24"/>
        </w:rPr>
      </w:pPr>
      <w:r w:rsidRPr="006A3E44">
        <w:rPr>
          <w:szCs w:val="24"/>
        </w:rPr>
        <w:t xml:space="preserve">The Lower James River Tidal Fresh segment failed to meet both the seasonal mean and short-duration chlorophyll criteria in both the Spring and Summer months. The Upper James River Tidal Fresh segment failed to meet the chlorophyll criteria during the summer months. The most recent estuarine benthic assessment results show full attainment in the lower mainstem segments. It is anticipated that progress in Bay aquatic life </w:t>
      </w:r>
      <w:proofErr w:type="gramStart"/>
      <w:r w:rsidRPr="006A3E44">
        <w:rPr>
          <w:szCs w:val="24"/>
        </w:rPr>
        <w:t>use attainment</w:t>
      </w:r>
      <w:proofErr w:type="gramEnd"/>
      <w:r w:rsidRPr="006A3E44">
        <w:rPr>
          <w:szCs w:val="24"/>
        </w:rPr>
        <w:t xml:space="preserve"> will continue to improve as the </w:t>
      </w:r>
      <w:r w:rsidRPr="009A050D">
        <w:rPr>
          <w:szCs w:val="24"/>
        </w:rPr>
        <w:t>Bay TMDL</w:t>
      </w:r>
      <w:r w:rsidRPr="006A3E44">
        <w:rPr>
          <w:szCs w:val="24"/>
        </w:rPr>
        <w:t xml:space="preserve"> and Virginia’s Watershed Implementation Plan</w:t>
      </w:r>
      <w:r w:rsidR="003C55EE">
        <w:rPr>
          <w:szCs w:val="24"/>
        </w:rPr>
        <w:t xml:space="preserve"> </w:t>
      </w:r>
      <w:r w:rsidRPr="006A3E44">
        <w:rPr>
          <w:szCs w:val="24"/>
        </w:rPr>
        <w:t>are implemented.</w:t>
      </w:r>
    </w:p>
    <w:p w14:paraId="10E2BCFF" w14:textId="77777777" w:rsidR="00CF135A" w:rsidRPr="00CF135A" w:rsidRDefault="00CF135A" w:rsidP="00A263D0">
      <w:pPr>
        <w:rPr>
          <w:szCs w:val="24"/>
        </w:rPr>
      </w:pPr>
    </w:p>
    <w:p w14:paraId="4E476113" w14:textId="0623D0D9" w:rsidR="00A414AC" w:rsidRDefault="00CF135A" w:rsidP="00A263D0">
      <w:pPr>
        <w:rPr>
          <w:szCs w:val="24"/>
        </w:rPr>
      </w:pPr>
      <w:r w:rsidRPr="00CF135A">
        <w:rPr>
          <w:szCs w:val="24"/>
        </w:rPr>
        <w:t xml:space="preserve">The following sections describe in further detail 1) </w:t>
      </w:r>
      <w:r w:rsidR="00A414AC" w:rsidRPr="00A414AC">
        <w:rPr>
          <w:szCs w:val="24"/>
        </w:rPr>
        <w:t xml:space="preserve">Chesapeake Bay specific </w:t>
      </w:r>
      <w:r w:rsidR="00164988">
        <w:rPr>
          <w:szCs w:val="24"/>
        </w:rPr>
        <w:t xml:space="preserve">aquatic life </w:t>
      </w:r>
      <w:r w:rsidR="00A414AC" w:rsidRPr="00A414AC">
        <w:rPr>
          <w:szCs w:val="24"/>
        </w:rPr>
        <w:t>designated uses</w:t>
      </w:r>
      <w:r w:rsidR="00A414AC" w:rsidRPr="00CF135A">
        <w:rPr>
          <w:szCs w:val="24"/>
        </w:rPr>
        <w:t xml:space="preserve"> </w:t>
      </w:r>
      <w:r w:rsidRPr="00CF135A">
        <w:rPr>
          <w:szCs w:val="24"/>
        </w:rPr>
        <w:t>and criteria, 2) 2024 assessment results</w:t>
      </w:r>
      <w:r w:rsidR="0025235F">
        <w:rPr>
          <w:szCs w:val="24"/>
        </w:rPr>
        <w:t>,</w:t>
      </w:r>
      <w:r w:rsidRPr="00CF135A">
        <w:rPr>
          <w:szCs w:val="24"/>
        </w:rPr>
        <w:t xml:space="preserve"> and 3) trend analysis.</w:t>
      </w:r>
      <w:r w:rsidR="00A414AC">
        <w:rPr>
          <w:szCs w:val="24"/>
        </w:rPr>
        <w:t xml:space="preserve"> </w:t>
      </w:r>
    </w:p>
    <w:p w14:paraId="4AF708F2" w14:textId="77777777" w:rsidR="00A414AC" w:rsidRDefault="00A414AC" w:rsidP="00A263D0">
      <w:pPr>
        <w:rPr>
          <w:szCs w:val="24"/>
        </w:rPr>
      </w:pPr>
    </w:p>
    <w:p w14:paraId="490705DC" w14:textId="2363E93A" w:rsidR="002D0424" w:rsidRPr="00C74B39" w:rsidRDefault="002D0424" w:rsidP="00A263D0">
      <w:pPr>
        <w:rPr>
          <w:rFonts w:ascii="Times New Roman" w:hAnsi="Times New Roman"/>
          <w:szCs w:val="24"/>
        </w:rPr>
      </w:pPr>
      <w:r w:rsidRPr="00C74B39">
        <w:rPr>
          <w:rFonts w:ascii="Times New Roman" w:hAnsi="Times New Roman"/>
          <w:szCs w:val="24"/>
        </w:rPr>
        <w:br w:type="page"/>
      </w:r>
    </w:p>
    <w:p w14:paraId="191E0C88" w14:textId="37266C5A" w:rsidR="00EE57A2" w:rsidRDefault="00EE57A2" w:rsidP="00EE57A2">
      <w:pPr>
        <w:pStyle w:val="BodyTextIndent"/>
        <w:keepNext/>
        <w:widowControl/>
        <w:ind w:firstLine="0"/>
      </w:pPr>
    </w:p>
    <w:p w14:paraId="03DC95CA" w14:textId="77777777" w:rsidR="00000B89" w:rsidRPr="00C74B39" w:rsidRDefault="00000B89" w:rsidP="00000B89">
      <w:pPr>
        <w:pStyle w:val="Heading3"/>
      </w:pPr>
      <w:r w:rsidRPr="00C74B39">
        <w:t>Chesapeake Bay and Tidal Tributaries Aquatic Life Uses and Criteria</w:t>
      </w:r>
    </w:p>
    <w:p w14:paraId="4E03BAB1" w14:textId="20FC7CF1" w:rsidR="00FF2C04" w:rsidRPr="00C74B39" w:rsidRDefault="00FF2C04" w:rsidP="00FF2C04">
      <w:pPr>
        <w:keepLines/>
        <w:rPr>
          <w:szCs w:val="24"/>
        </w:rPr>
      </w:pPr>
      <w:r w:rsidRPr="00C74B39">
        <w:rPr>
          <w:szCs w:val="24"/>
        </w:rPr>
        <w:t xml:space="preserve">The Chesapeake Bay </w:t>
      </w:r>
      <w:r w:rsidR="00865C6D">
        <w:rPr>
          <w:szCs w:val="24"/>
        </w:rPr>
        <w:t xml:space="preserve">specific </w:t>
      </w:r>
      <w:r w:rsidRPr="00C74B39">
        <w:rPr>
          <w:szCs w:val="24"/>
        </w:rPr>
        <w:t>aquatic life uses described below reflect the different aquatic living resource communities living in the different areas of the Bay. Impairment of any of these sub-categories of aquatic life use is also considered an impairment of the overall aquatic life use. The overall aquatic life use also exists as a distinct designated use (</w:t>
      </w:r>
      <w:r w:rsidR="00EE57A2" w:rsidRPr="00C74B39">
        <w:rPr>
          <w:szCs w:val="24"/>
        </w:rPr>
        <w:t>i.e.,</w:t>
      </w:r>
      <w:r w:rsidRPr="00C74B39">
        <w:rPr>
          <w:szCs w:val="24"/>
        </w:rPr>
        <w:t xml:space="preserve"> distinct from the </w:t>
      </w:r>
      <w:r w:rsidR="00E72362" w:rsidRPr="00C74B39">
        <w:rPr>
          <w:szCs w:val="24"/>
        </w:rPr>
        <w:t xml:space="preserve">Chesapeake Bay </w:t>
      </w:r>
      <w:r w:rsidR="00E72362">
        <w:rPr>
          <w:szCs w:val="24"/>
        </w:rPr>
        <w:t xml:space="preserve">specific </w:t>
      </w:r>
      <w:r w:rsidR="00E72362" w:rsidRPr="00C74B39">
        <w:rPr>
          <w:szCs w:val="24"/>
        </w:rPr>
        <w:t>aquatic life uses</w:t>
      </w:r>
      <w:r w:rsidRPr="00C74B39">
        <w:rPr>
          <w:szCs w:val="24"/>
        </w:rPr>
        <w:t xml:space="preserve">) and is assessed with other protocols including benthic Indices of Biological Integrity (IBI), ammonia criteria, and toxicity bioassays. </w:t>
      </w:r>
    </w:p>
    <w:p w14:paraId="24FFF9D4" w14:textId="77777777" w:rsidR="00000B89" w:rsidRPr="00C74B39" w:rsidRDefault="00000B89" w:rsidP="00000B89">
      <w:pPr>
        <w:rPr>
          <w:szCs w:val="24"/>
        </w:rPr>
      </w:pPr>
    </w:p>
    <w:p w14:paraId="633468F4" w14:textId="7B25E089" w:rsidR="00000B89" w:rsidRPr="005A7F2C" w:rsidRDefault="00000B89" w:rsidP="00000B89">
      <w:pPr>
        <w:pStyle w:val="Heading4"/>
        <w:rPr>
          <w:b w:val="0"/>
        </w:rPr>
      </w:pPr>
      <w:r w:rsidRPr="00C74B39">
        <w:t>Designated Uses</w:t>
      </w:r>
    </w:p>
    <w:p w14:paraId="30A57121" w14:textId="0F6B595D" w:rsidR="005142DD" w:rsidRDefault="005A7F2C" w:rsidP="005142DD">
      <w:pPr>
        <w:keepNext/>
        <w:keepLines/>
        <w:rPr>
          <w:rFonts w:cstheme="minorHAnsi"/>
          <w:szCs w:val="24"/>
        </w:rPr>
      </w:pPr>
      <w:r w:rsidRPr="005A7F2C">
        <w:rPr>
          <w:rFonts w:cstheme="minorHAnsi"/>
          <w:szCs w:val="24"/>
        </w:rPr>
        <w:t xml:space="preserve">Multiple designated uses exist in waters in the Chesapeake Bay and its tidal tributaries. Figure 4.6-2 illustrates these designated uses. Detailed descriptions are available in Virginia’s </w:t>
      </w:r>
      <w:proofErr w:type="gramStart"/>
      <w:r w:rsidRPr="005A7F2C">
        <w:rPr>
          <w:rFonts w:cstheme="minorHAnsi"/>
          <w:szCs w:val="24"/>
        </w:rPr>
        <w:t>WQS</w:t>
      </w:r>
      <w:proofErr w:type="gramEnd"/>
      <w:r w:rsidRPr="005A7F2C">
        <w:rPr>
          <w:rFonts w:cstheme="minorHAnsi"/>
          <w:szCs w:val="24"/>
        </w:rPr>
        <w:t xml:space="preserve"> and the </w:t>
      </w:r>
      <w:r w:rsidRPr="007505CF">
        <w:rPr>
          <w:rFonts w:cstheme="minorHAnsi"/>
          <w:i/>
          <w:iCs/>
          <w:szCs w:val="24"/>
        </w:rPr>
        <w:t>Technical Support Document for Identification of Chesapeake Bay Designated Uses and Attainability 2004 Addendum Chesapeake Bay Program Office, Annapolis, Maryland.</w:t>
      </w:r>
      <w:r>
        <w:rPr>
          <w:rFonts w:cstheme="minorHAnsi"/>
          <w:szCs w:val="24"/>
        </w:rPr>
        <w:br/>
      </w:r>
    </w:p>
    <w:p w14:paraId="41E64BD1" w14:textId="77777777" w:rsidR="005142DD" w:rsidRDefault="005142DD" w:rsidP="005142DD">
      <w:pPr>
        <w:pStyle w:val="Foote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40288">
        <w:rPr>
          <w:rFonts w:cstheme="minorHAnsi"/>
          <w:noProof/>
          <w:szCs w:val="24"/>
        </w:rPr>
        <w:drawing>
          <wp:inline distT="0" distB="0" distL="0" distR="0" wp14:anchorId="3E2CD0E1" wp14:editId="58561E21">
            <wp:extent cx="5007320" cy="3765835"/>
            <wp:effectExtent l="19050" t="19050" r="22225" b="25400"/>
            <wp:docPr id="935077295" name="Picture 935077295" descr="Conceptualized illustration of location of the five Chesapeake Bay tidal water designated us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onceptualized illustration of location of the five Chesapeake Bay tidal water designated use zones"/>
                    <pic:cNvPicPr>
                      <a:picLocks noChangeAspect="1" noChangeArrowheads="1"/>
                    </pic:cNvPicPr>
                  </pic:nvPicPr>
                  <pic:blipFill>
                    <a:blip r:embed="rId202" cstate="screen">
                      <a:grayscl/>
                      <a:extLst>
                        <a:ext uri="{28A0092B-C50C-407E-A947-70E740481C1C}">
                          <a14:useLocalDpi xmlns:a14="http://schemas.microsoft.com/office/drawing/2010/main"/>
                        </a:ext>
                      </a:extLst>
                    </a:blip>
                    <a:srcRect/>
                    <a:stretch>
                      <a:fillRect/>
                    </a:stretch>
                  </pic:blipFill>
                  <pic:spPr bwMode="auto">
                    <a:xfrm>
                      <a:off x="0" y="0"/>
                      <a:ext cx="5013476" cy="3770465"/>
                    </a:xfrm>
                    <a:prstGeom prst="rect">
                      <a:avLst/>
                    </a:prstGeom>
                    <a:noFill/>
                    <a:ln w="6350" cmpd="sng">
                      <a:solidFill>
                        <a:srgbClr val="000000"/>
                      </a:solidFill>
                      <a:miter lim="800000"/>
                      <a:headEnd/>
                      <a:tailEnd/>
                    </a:ln>
                    <a:effectLst/>
                  </pic:spPr>
                </pic:pic>
              </a:graphicData>
            </a:graphic>
          </wp:inline>
        </w:drawing>
      </w:r>
    </w:p>
    <w:p w14:paraId="3AF75962" w14:textId="656CDDEB" w:rsidR="005142DD" w:rsidRPr="00440288" w:rsidRDefault="005142DD" w:rsidP="005142DD">
      <w:pPr>
        <w:pStyle w:val="Caption"/>
        <w:rPr>
          <w:rFonts w:cstheme="minorHAnsi"/>
          <w:b/>
          <w:szCs w:val="24"/>
        </w:rPr>
      </w:pPr>
      <w:bookmarkStart w:id="305" w:name="_Toc152766290"/>
      <w:r>
        <w:t xml:space="preserve">Figure </w:t>
      </w:r>
      <w:r w:rsidR="004F13BA">
        <w:fldChar w:fldCharType="begin"/>
      </w:r>
      <w:r w:rsidR="004F13BA">
        <w:instrText xml:space="preserve"> STYLEREF 2 \s </w:instrText>
      </w:r>
      <w:r w:rsidR="004F13BA">
        <w:fldChar w:fldCharType="separate"/>
      </w:r>
      <w:r w:rsidR="00803AE6">
        <w:rPr>
          <w:noProof/>
        </w:rPr>
        <w:t>4.6</w:t>
      </w:r>
      <w:r w:rsidR="004F13BA">
        <w:rPr>
          <w:noProof/>
        </w:rPr>
        <w:fldChar w:fldCharType="end"/>
      </w:r>
      <w:r>
        <w:noBreakHyphen/>
        <w:t xml:space="preserve">1. </w:t>
      </w:r>
      <w:r>
        <w:rPr>
          <w:rFonts w:cstheme="minorHAnsi"/>
          <w:szCs w:val="24"/>
        </w:rPr>
        <w:t>I</w:t>
      </w:r>
      <w:r w:rsidRPr="00440288">
        <w:rPr>
          <w:rFonts w:cstheme="minorHAnsi"/>
          <w:szCs w:val="24"/>
        </w:rPr>
        <w:t>llustration of the five Chesapeake Bay tidal water designated use zones.</w:t>
      </w:r>
      <w:bookmarkEnd w:id="305"/>
    </w:p>
    <w:p w14:paraId="3B122370" w14:textId="77777777" w:rsidR="005142DD" w:rsidRPr="00372D88" w:rsidRDefault="005142DD" w:rsidP="005142DD">
      <w:pPr>
        <w:keepNext/>
        <w:keepLines/>
        <w:rPr>
          <w:rFonts w:cstheme="minorHAnsi"/>
          <w:szCs w:val="24"/>
        </w:rPr>
      </w:pPr>
    </w:p>
    <w:p w14:paraId="588C1FFF" w14:textId="77777777" w:rsidR="005046EE" w:rsidRDefault="005046EE" w:rsidP="00315A38">
      <w:pPr>
        <w:keepNext/>
        <w:keepLines/>
        <w:jc w:val="center"/>
        <w:rPr>
          <w:rFonts w:cstheme="minorHAnsi"/>
          <w:szCs w:val="24"/>
        </w:rPr>
      </w:pPr>
    </w:p>
    <w:p w14:paraId="196627CA" w14:textId="6D9A6E73" w:rsidR="00315A38" w:rsidRPr="00902527" w:rsidRDefault="00315A38" w:rsidP="00315A38">
      <w:pPr>
        <w:keepNext/>
        <w:keepLines/>
        <w:jc w:val="center"/>
        <w:rPr>
          <w:rFonts w:cstheme="minorHAnsi"/>
          <w:szCs w:val="24"/>
        </w:rPr>
      </w:pPr>
      <w:r w:rsidRPr="00902527">
        <w:rPr>
          <w:rFonts w:cstheme="minorHAnsi"/>
          <w:szCs w:val="24"/>
        </w:rPr>
        <w:t>Migratory Fish Spawning and Nursery (MSN) Designated Use</w:t>
      </w:r>
    </w:p>
    <w:p w14:paraId="7F1138FC" w14:textId="77777777" w:rsidR="00315A38" w:rsidRPr="00902527" w:rsidRDefault="00315A38" w:rsidP="00315A38">
      <w:pPr>
        <w:keepNext/>
        <w:keepLines/>
        <w:rPr>
          <w:rFonts w:cstheme="minorHAnsi"/>
          <w:szCs w:val="24"/>
          <w:u w:val="single"/>
        </w:rPr>
      </w:pPr>
    </w:p>
    <w:p w14:paraId="5A45C51C" w14:textId="465C2014" w:rsidR="004E7F9D" w:rsidRPr="004E7F9D" w:rsidRDefault="004E7F9D" w:rsidP="004E7F9D">
      <w:pPr>
        <w:keepNext/>
        <w:keepLines/>
        <w:rPr>
          <w:rFonts w:cstheme="minorHAnsi"/>
          <w:szCs w:val="24"/>
        </w:rPr>
      </w:pPr>
      <w:r w:rsidRPr="004E7F9D">
        <w:rPr>
          <w:rFonts w:cstheme="minorHAnsi"/>
          <w:szCs w:val="24"/>
        </w:rPr>
        <w:t>This use exists in waters in the Chesapeake Bay and its tidal tributaries that protect the survival, growth</w:t>
      </w:r>
      <w:r w:rsidR="006E24BB">
        <w:rPr>
          <w:rFonts w:cstheme="minorHAnsi"/>
          <w:szCs w:val="24"/>
        </w:rPr>
        <w:t>,</w:t>
      </w:r>
      <w:r w:rsidRPr="004E7F9D">
        <w:rPr>
          <w:rFonts w:cstheme="minorHAnsi"/>
          <w:szCs w:val="24"/>
        </w:rPr>
        <w:t xml:space="preserve"> and propagation of the early life stages of a balanced, indigenous population of anadromous, semi-anadromous, catadromous</w:t>
      </w:r>
      <w:r w:rsidRPr="004E7F9D">
        <w:rPr>
          <w:rStyle w:val="FootnoteReference"/>
          <w:rFonts w:cstheme="minorHAnsi"/>
          <w:szCs w:val="24"/>
          <w:vertAlign w:val="superscript"/>
        </w:rPr>
        <w:footnoteReference w:id="14"/>
      </w:r>
      <w:r w:rsidRPr="004E7F9D">
        <w:rPr>
          <w:rFonts w:cstheme="minorHAnsi"/>
          <w:szCs w:val="24"/>
        </w:rPr>
        <w:t xml:space="preserve"> and tidal-fresh resident fish species inhabiting spawning and nursery grounds. The designated use extends from the beginning of tidal waters to the downriver end of spawning and nursery habitats, as determined through a composite of all targeted anadromous and semi-anadromous fish species' spawning and nursery habitats. The designated use extends horizontally from the shoreline of the body of water to the adjacent shoreline and extends down through the water column to the bottom water-sediment interface. This use applies February 1 through May 31 and exists concurrently with the open-water use.</w:t>
      </w:r>
    </w:p>
    <w:p w14:paraId="41A7A195" w14:textId="77777777" w:rsidR="004E7F9D" w:rsidRPr="004E7F9D" w:rsidRDefault="004E7F9D" w:rsidP="004E7F9D">
      <w:pPr>
        <w:keepNext/>
        <w:keepLines/>
        <w:rPr>
          <w:rFonts w:cstheme="minorHAnsi"/>
          <w:szCs w:val="24"/>
        </w:rPr>
      </w:pPr>
    </w:p>
    <w:p w14:paraId="56EEA5DF" w14:textId="012002F0" w:rsidR="004E7F9D" w:rsidRPr="004E7F9D" w:rsidRDefault="004E7F9D" w:rsidP="004E7F9D">
      <w:pPr>
        <w:keepNext/>
        <w:keepLines/>
        <w:jc w:val="center"/>
        <w:rPr>
          <w:rFonts w:cstheme="minorHAnsi"/>
          <w:szCs w:val="24"/>
        </w:rPr>
      </w:pPr>
      <w:r w:rsidRPr="004E7F9D">
        <w:rPr>
          <w:rFonts w:cstheme="minorHAnsi"/>
          <w:szCs w:val="24"/>
        </w:rPr>
        <w:t>Shallow</w:t>
      </w:r>
      <w:r w:rsidR="006E24BB">
        <w:rPr>
          <w:rFonts w:cstheme="minorHAnsi"/>
          <w:szCs w:val="24"/>
        </w:rPr>
        <w:t xml:space="preserve"> </w:t>
      </w:r>
      <w:r w:rsidRPr="004E7F9D">
        <w:rPr>
          <w:rFonts w:cstheme="minorHAnsi"/>
          <w:szCs w:val="24"/>
        </w:rPr>
        <w:t>Water Submerged Aquatic Vegetation (SWSAV) Designated Use</w:t>
      </w:r>
    </w:p>
    <w:p w14:paraId="1C5E4690" w14:textId="77777777" w:rsidR="004E7F9D" w:rsidRPr="004E7F9D" w:rsidRDefault="004E7F9D" w:rsidP="004E7F9D">
      <w:pPr>
        <w:keepNext/>
        <w:keepLines/>
        <w:rPr>
          <w:rFonts w:cstheme="minorHAnsi"/>
          <w:szCs w:val="24"/>
          <w:u w:val="single"/>
        </w:rPr>
      </w:pPr>
    </w:p>
    <w:p w14:paraId="67C5C106" w14:textId="001E4518" w:rsidR="004E7F9D" w:rsidRPr="004E7F9D" w:rsidRDefault="004E7F9D" w:rsidP="004E7F9D">
      <w:pPr>
        <w:keepNext/>
        <w:keepLines/>
        <w:rPr>
          <w:rFonts w:cstheme="minorHAnsi"/>
          <w:szCs w:val="24"/>
          <w:u w:val="single"/>
        </w:rPr>
      </w:pPr>
      <w:r w:rsidRPr="004E7F9D">
        <w:rPr>
          <w:rFonts w:cstheme="minorHAnsi"/>
          <w:szCs w:val="24"/>
        </w:rPr>
        <w:t>This use exists in waters in the Chesapeake Bay and its tidal tributaries that support the survival, growth</w:t>
      </w:r>
      <w:r w:rsidR="006E24BB">
        <w:rPr>
          <w:rFonts w:cstheme="minorHAnsi"/>
          <w:szCs w:val="24"/>
        </w:rPr>
        <w:t>,</w:t>
      </w:r>
      <w:r w:rsidRPr="004E7F9D">
        <w:rPr>
          <w:rFonts w:cstheme="minorHAnsi"/>
          <w:szCs w:val="24"/>
        </w:rPr>
        <w:t xml:space="preserve"> and propagation of submerged aquatic vegetation (rooted, underwater bay grasses). </w:t>
      </w:r>
      <w:bookmarkStart w:id="306" w:name="_Hlt54681657"/>
    </w:p>
    <w:p w14:paraId="288B04A8" w14:textId="77777777" w:rsidR="004E7F9D" w:rsidRPr="004E7F9D" w:rsidRDefault="004E7F9D" w:rsidP="004E7F9D">
      <w:pPr>
        <w:keepNext/>
        <w:keepLines/>
        <w:jc w:val="both"/>
        <w:rPr>
          <w:rFonts w:cstheme="minorHAnsi"/>
          <w:szCs w:val="24"/>
          <w:u w:val="single"/>
        </w:rPr>
      </w:pPr>
    </w:p>
    <w:p w14:paraId="783E7612" w14:textId="16781920" w:rsidR="004E7F9D" w:rsidRPr="004E7F9D" w:rsidRDefault="004E7F9D" w:rsidP="004E7F9D">
      <w:pPr>
        <w:keepNext/>
        <w:keepLines/>
        <w:jc w:val="center"/>
        <w:rPr>
          <w:rFonts w:cstheme="minorHAnsi"/>
          <w:szCs w:val="24"/>
        </w:rPr>
      </w:pPr>
      <w:r w:rsidRPr="004E7F9D">
        <w:rPr>
          <w:rFonts w:cstheme="minorHAnsi"/>
          <w:szCs w:val="24"/>
        </w:rPr>
        <w:t>Open</w:t>
      </w:r>
      <w:r w:rsidR="006E24BB">
        <w:rPr>
          <w:rFonts w:cstheme="minorHAnsi"/>
          <w:szCs w:val="24"/>
        </w:rPr>
        <w:t xml:space="preserve"> </w:t>
      </w:r>
      <w:r w:rsidRPr="004E7F9D">
        <w:rPr>
          <w:rFonts w:cstheme="minorHAnsi"/>
          <w:szCs w:val="24"/>
        </w:rPr>
        <w:t>Water (OW) Aquatic Life Designated Use</w:t>
      </w:r>
    </w:p>
    <w:p w14:paraId="0F4496F7" w14:textId="77777777" w:rsidR="004E7F9D" w:rsidRPr="004E7F9D" w:rsidRDefault="004E7F9D" w:rsidP="004E7F9D">
      <w:pPr>
        <w:jc w:val="both"/>
        <w:rPr>
          <w:rFonts w:cstheme="minorHAnsi"/>
          <w:szCs w:val="24"/>
          <w:u w:val="single"/>
        </w:rPr>
      </w:pPr>
    </w:p>
    <w:p w14:paraId="5560301C" w14:textId="244D5900" w:rsidR="004E7F9D" w:rsidRPr="004E7F9D" w:rsidRDefault="004E7F9D" w:rsidP="004E7F9D">
      <w:pPr>
        <w:rPr>
          <w:rFonts w:cstheme="minorHAnsi"/>
          <w:szCs w:val="24"/>
        </w:rPr>
      </w:pPr>
      <w:r w:rsidRPr="004E7F9D">
        <w:rPr>
          <w:rFonts w:cstheme="minorHAnsi"/>
          <w:szCs w:val="24"/>
        </w:rPr>
        <w:t>This use exists in waters in the Chesapeake Bay and its tidal tributaries that protect the survival, growth</w:t>
      </w:r>
      <w:r w:rsidR="006E24BB">
        <w:rPr>
          <w:rFonts w:cstheme="minorHAnsi"/>
          <w:szCs w:val="24"/>
        </w:rPr>
        <w:t>,</w:t>
      </w:r>
      <w:r w:rsidRPr="004E7F9D">
        <w:rPr>
          <w:rFonts w:cstheme="minorHAnsi"/>
          <w:szCs w:val="24"/>
        </w:rPr>
        <w:t xml:space="preserve"> and propagation of a balanced, indigenous population of aquatic life inhabiting open water habitats. </w:t>
      </w:r>
    </w:p>
    <w:p w14:paraId="66228CB8" w14:textId="77777777" w:rsidR="004E7F9D" w:rsidRPr="004E7F9D" w:rsidRDefault="004E7F9D" w:rsidP="004E7F9D">
      <w:pPr>
        <w:rPr>
          <w:rFonts w:cstheme="minorHAnsi"/>
          <w:szCs w:val="24"/>
        </w:rPr>
      </w:pPr>
    </w:p>
    <w:p w14:paraId="567D53EC" w14:textId="65E653A9" w:rsidR="004E7F9D" w:rsidRPr="004E7F9D" w:rsidRDefault="004E7F9D" w:rsidP="004E7F9D">
      <w:pPr>
        <w:jc w:val="center"/>
        <w:rPr>
          <w:rFonts w:cstheme="minorHAnsi"/>
          <w:szCs w:val="24"/>
        </w:rPr>
      </w:pPr>
      <w:r w:rsidRPr="004E7F9D">
        <w:rPr>
          <w:rFonts w:cstheme="minorHAnsi"/>
          <w:szCs w:val="24"/>
        </w:rPr>
        <w:t>Deep</w:t>
      </w:r>
      <w:r w:rsidR="006E24BB">
        <w:rPr>
          <w:rFonts w:cstheme="minorHAnsi"/>
          <w:szCs w:val="24"/>
        </w:rPr>
        <w:t xml:space="preserve"> </w:t>
      </w:r>
      <w:r w:rsidRPr="004E7F9D">
        <w:rPr>
          <w:rFonts w:cstheme="minorHAnsi"/>
          <w:szCs w:val="24"/>
        </w:rPr>
        <w:t>Water (DW) Aquatic Life Designated Use</w:t>
      </w:r>
    </w:p>
    <w:p w14:paraId="21095FD9" w14:textId="77777777" w:rsidR="004E7F9D" w:rsidRPr="004E7F9D" w:rsidRDefault="004E7F9D" w:rsidP="004E7F9D">
      <w:pPr>
        <w:rPr>
          <w:rFonts w:cstheme="minorHAnsi"/>
          <w:b/>
          <w:szCs w:val="24"/>
        </w:rPr>
      </w:pPr>
    </w:p>
    <w:p w14:paraId="7FAEDCDF" w14:textId="1EFC59BC" w:rsidR="004E7F9D" w:rsidRPr="004E7F9D" w:rsidRDefault="004E7F9D" w:rsidP="004E7F9D">
      <w:pPr>
        <w:pStyle w:val="p2"/>
        <w:spacing w:before="0" w:after="0"/>
        <w:rPr>
          <w:rFonts w:asciiTheme="minorHAnsi" w:hAnsiTheme="minorHAnsi" w:cstheme="minorHAnsi"/>
          <w:szCs w:val="24"/>
        </w:rPr>
      </w:pPr>
      <w:r w:rsidRPr="004E7F9D">
        <w:rPr>
          <w:rFonts w:asciiTheme="minorHAnsi" w:hAnsiTheme="minorHAnsi" w:cstheme="minorHAnsi"/>
          <w:szCs w:val="24"/>
        </w:rPr>
        <w:t xml:space="preserve">This use exists in waters in the Chesapeake Bay and its tidal tributaries that protect </w:t>
      </w:r>
      <w:r w:rsidRPr="004E7F9D">
        <w:rPr>
          <w:rFonts w:asciiTheme="minorHAnsi" w:hAnsiTheme="minorHAnsi" w:cstheme="minorHAnsi"/>
          <w:color w:val="000000"/>
          <w:szCs w:val="24"/>
        </w:rPr>
        <w:t xml:space="preserve">the survival and growth of a balanced, indigenous population of aquatic life inhabiting </w:t>
      </w:r>
      <w:proofErr w:type="gramStart"/>
      <w:r w:rsidRPr="004E7F9D">
        <w:rPr>
          <w:rFonts w:asciiTheme="minorHAnsi" w:hAnsiTheme="minorHAnsi" w:cstheme="minorHAnsi"/>
          <w:color w:val="000000"/>
          <w:szCs w:val="24"/>
        </w:rPr>
        <w:t>deep</w:t>
      </w:r>
      <w:r w:rsidR="006E24BB">
        <w:rPr>
          <w:rFonts w:asciiTheme="minorHAnsi" w:hAnsiTheme="minorHAnsi" w:cstheme="minorHAnsi"/>
          <w:color w:val="000000"/>
          <w:szCs w:val="24"/>
        </w:rPr>
        <w:t xml:space="preserve"> </w:t>
      </w:r>
      <w:r w:rsidRPr="004E7F9D">
        <w:rPr>
          <w:rFonts w:asciiTheme="minorHAnsi" w:hAnsiTheme="minorHAnsi" w:cstheme="minorHAnsi"/>
          <w:color w:val="000000"/>
          <w:szCs w:val="24"/>
        </w:rPr>
        <w:t>water</w:t>
      </w:r>
      <w:proofErr w:type="gramEnd"/>
      <w:r w:rsidRPr="004E7F9D">
        <w:rPr>
          <w:rFonts w:asciiTheme="minorHAnsi" w:hAnsiTheme="minorHAnsi" w:cstheme="minorHAnsi"/>
          <w:color w:val="000000"/>
          <w:szCs w:val="24"/>
        </w:rPr>
        <w:t xml:space="preserve"> habitats. </w:t>
      </w:r>
      <w:bookmarkEnd w:id="306"/>
    </w:p>
    <w:p w14:paraId="725C5D6E" w14:textId="77777777" w:rsidR="004E7F9D" w:rsidRPr="004E7F9D" w:rsidRDefault="004E7F9D" w:rsidP="004E7F9D">
      <w:pPr>
        <w:pStyle w:val="p2"/>
        <w:spacing w:before="0" w:after="0"/>
        <w:jc w:val="center"/>
        <w:rPr>
          <w:rFonts w:asciiTheme="minorHAnsi" w:hAnsiTheme="minorHAnsi" w:cstheme="minorHAnsi"/>
          <w:szCs w:val="24"/>
        </w:rPr>
      </w:pPr>
    </w:p>
    <w:p w14:paraId="5C794011" w14:textId="36190607" w:rsidR="004E7F9D" w:rsidRPr="004E7F9D" w:rsidRDefault="004E7F9D" w:rsidP="004E7F9D">
      <w:pPr>
        <w:pStyle w:val="p2"/>
        <w:spacing w:before="0" w:after="0"/>
        <w:jc w:val="center"/>
        <w:rPr>
          <w:rFonts w:asciiTheme="minorHAnsi" w:hAnsiTheme="minorHAnsi" w:cstheme="minorHAnsi"/>
          <w:szCs w:val="24"/>
        </w:rPr>
      </w:pPr>
      <w:r w:rsidRPr="004E7F9D">
        <w:rPr>
          <w:rFonts w:asciiTheme="minorHAnsi" w:hAnsiTheme="minorHAnsi" w:cstheme="minorHAnsi"/>
          <w:szCs w:val="24"/>
        </w:rPr>
        <w:t>Deep</w:t>
      </w:r>
      <w:r w:rsidR="006E24BB">
        <w:rPr>
          <w:rFonts w:asciiTheme="minorHAnsi" w:hAnsiTheme="minorHAnsi" w:cstheme="minorHAnsi"/>
          <w:szCs w:val="24"/>
        </w:rPr>
        <w:t xml:space="preserve"> </w:t>
      </w:r>
      <w:r w:rsidRPr="004E7F9D">
        <w:rPr>
          <w:rFonts w:asciiTheme="minorHAnsi" w:hAnsiTheme="minorHAnsi" w:cstheme="minorHAnsi"/>
          <w:szCs w:val="24"/>
        </w:rPr>
        <w:t>Channel (DC) Seasonal Refuge Designated Use</w:t>
      </w:r>
    </w:p>
    <w:p w14:paraId="329BB6CD" w14:textId="77777777" w:rsidR="004E7F9D" w:rsidRPr="004E7F9D" w:rsidRDefault="004E7F9D" w:rsidP="004E7F9D">
      <w:pPr>
        <w:pStyle w:val="p2"/>
        <w:spacing w:before="0" w:after="0"/>
        <w:jc w:val="center"/>
        <w:rPr>
          <w:rFonts w:asciiTheme="minorHAnsi" w:hAnsiTheme="minorHAnsi" w:cstheme="minorHAnsi"/>
          <w:szCs w:val="24"/>
        </w:rPr>
      </w:pPr>
    </w:p>
    <w:p w14:paraId="1AC09C29" w14:textId="6B06D4CA" w:rsidR="004E7F9D" w:rsidRPr="004E7F9D" w:rsidRDefault="004E7F9D" w:rsidP="004E7F9D">
      <w:pPr>
        <w:pStyle w:val="p2"/>
        <w:spacing w:before="0" w:after="0"/>
        <w:rPr>
          <w:rFonts w:asciiTheme="minorHAnsi" w:hAnsiTheme="minorHAnsi" w:cstheme="minorHAnsi"/>
          <w:szCs w:val="24"/>
        </w:rPr>
      </w:pPr>
      <w:r w:rsidRPr="004E7F9D">
        <w:rPr>
          <w:rFonts w:asciiTheme="minorHAnsi" w:hAnsiTheme="minorHAnsi" w:cstheme="minorHAnsi"/>
          <w:szCs w:val="24"/>
        </w:rPr>
        <w:t>This use exists in waters in the Chesapeake Bay and its tidal tributaries that protect the survival of a balanced, indigenous population of benthic infauna and epifauna inhabiting deep</w:t>
      </w:r>
      <w:r w:rsidR="006E24BB">
        <w:rPr>
          <w:rFonts w:asciiTheme="minorHAnsi" w:hAnsiTheme="minorHAnsi" w:cstheme="minorHAnsi"/>
          <w:szCs w:val="24"/>
        </w:rPr>
        <w:t xml:space="preserve"> </w:t>
      </w:r>
      <w:r w:rsidRPr="004E7F9D">
        <w:rPr>
          <w:rFonts w:asciiTheme="minorHAnsi" w:hAnsiTheme="minorHAnsi" w:cstheme="minorHAnsi"/>
          <w:szCs w:val="24"/>
        </w:rPr>
        <w:t xml:space="preserve">channel habitats. </w:t>
      </w:r>
    </w:p>
    <w:p w14:paraId="6A338185" w14:textId="77777777" w:rsidR="004E7F9D" w:rsidRDefault="004E7F9D" w:rsidP="004E7F9D">
      <w:pPr>
        <w:pStyle w:val="p2"/>
        <w:spacing w:before="0" w:after="0"/>
        <w:jc w:val="both"/>
        <w:rPr>
          <w:rFonts w:asciiTheme="minorHAnsi" w:hAnsiTheme="minorHAnsi" w:cstheme="minorHAnsi"/>
          <w:szCs w:val="24"/>
        </w:rPr>
      </w:pPr>
    </w:p>
    <w:p w14:paraId="744B2BFE" w14:textId="77777777" w:rsidR="00951103" w:rsidRDefault="00951103" w:rsidP="004E7F9D">
      <w:pPr>
        <w:pStyle w:val="p2"/>
        <w:spacing w:before="0" w:after="0"/>
        <w:jc w:val="both"/>
        <w:rPr>
          <w:rFonts w:asciiTheme="minorHAnsi" w:hAnsiTheme="minorHAnsi" w:cstheme="minorHAnsi"/>
          <w:szCs w:val="24"/>
        </w:rPr>
      </w:pPr>
    </w:p>
    <w:p w14:paraId="74A4637E" w14:textId="77777777" w:rsidR="00951103" w:rsidRPr="004E7F9D" w:rsidRDefault="00951103" w:rsidP="004E7F9D">
      <w:pPr>
        <w:pStyle w:val="p2"/>
        <w:spacing w:before="0" w:after="0"/>
        <w:jc w:val="both"/>
        <w:rPr>
          <w:rFonts w:asciiTheme="minorHAnsi" w:hAnsiTheme="minorHAnsi" w:cstheme="minorHAnsi"/>
          <w:szCs w:val="24"/>
        </w:rPr>
      </w:pPr>
    </w:p>
    <w:p w14:paraId="54FCC719" w14:textId="77777777" w:rsidR="004E7F9D" w:rsidRPr="004E7F9D" w:rsidRDefault="004E7F9D" w:rsidP="004E7F9D">
      <w:pPr>
        <w:pStyle w:val="Heading4"/>
      </w:pPr>
      <w:r w:rsidRPr="004E7F9D">
        <w:lastRenderedPageBreak/>
        <w:t>Applicable Criteria</w:t>
      </w:r>
    </w:p>
    <w:p w14:paraId="399221C0" w14:textId="7C5C4760" w:rsidR="004E7F9D" w:rsidRPr="00951103" w:rsidRDefault="004E7F9D" w:rsidP="004E7F9D">
      <w:pPr>
        <w:pStyle w:val="p2"/>
        <w:spacing w:before="0" w:after="0"/>
        <w:rPr>
          <w:rFonts w:asciiTheme="minorHAnsi" w:hAnsiTheme="minorHAnsi" w:cstheme="minorHAnsi"/>
          <w:snapToGrid w:val="0"/>
          <w:szCs w:val="24"/>
        </w:rPr>
      </w:pPr>
      <w:r w:rsidRPr="00951103">
        <w:rPr>
          <w:rFonts w:asciiTheme="minorHAnsi" w:hAnsiTheme="minorHAnsi" w:cstheme="minorHAnsi"/>
          <w:snapToGrid w:val="0"/>
          <w:szCs w:val="24"/>
        </w:rPr>
        <w:t>Dissolved oxygen (DO) criteria protecting the described uses are shown in Table 4.6-1. The methodology for assessing monitoring data against these criteria involves spatial interpolation of fixed site monitoring results to create a 3-D picture of DO conditions in thousands of individual grid cells throughout the Bay. Each individual grid cell is then assessed against the criteria. In this way, the volume of water in attainment is calculated for each data collection cruise, allowing for an assessment of criteria on a spatial scale. To account for natural fluctuations over seasons and years, the individual monthly spatial assessments of a three-year period are aggregated, allowing for an estimate of the frequency of violations. (Note that this contrasts with the six-year period used in the assessment of DO for non-Bay waters.) The frequency and spatial extent of violations are combined to create a cumulative frequency diagram (CFD) curve, which is examined against an established reference curve.</w:t>
      </w:r>
    </w:p>
    <w:p w14:paraId="3625A13D" w14:textId="65AFAF65" w:rsidR="004E7F9D" w:rsidRPr="00951103" w:rsidRDefault="004E7F9D" w:rsidP="004E7F9D">
      <w:pPr>
        <w:pStyle w:val="p2"/>
        <w:spacing w:before="0" w:after="0"/>
        <w:rPr>
          <w:rFonts w:asciiTheme="minorHAnsi" w:hAnsiTheme="minorHAnsi" w:cstheme="minorHAnsi"/>
          <w:snapToGrid w:val="0"/>
          <w:szCs w:val="24"/>
        </w:rPr>
      </w:pPr>
      <w:r w:rsidRPr="00951103">
        <w:rPr>
          <w:rFonts w:asciiTheme="minorHAnsi" w:hAnsiTheme="minorHAnsi" w:cstheme="minorHAnsi"/>
          <w:snapToGrid w:val="0"/>
          <w:szCs w:val="24"/>
        </w:rPr>
        <w:t>The DO assessment is based on stations monitored by DEQ, Old Dominion University, Virginia Institute of Marine Science, municipalities</w:t>
      </w:r>
      <w:r w:rsidRPr="00874C15">
        <w:rPr>
          <w:rFonts w:asciiTheme="minorHAnsi" w:hAnsiTheme="minorHAnsi" w:cstheme="minorHAnsi"/>
          <w:snapToGrid w:val="0"/>
          <w:szCs w:val="24"/>
        </w:rPr>
        <w:t>, and citizens groups.</w:t>
      </w:r>
      <w:r w:rsidRPr="00951103">
        <w:rPr>
          <w:rFonts w:asciiTheme="minorHAnsi" w:hAnsiTheme="minorHAnsi" w:cstheme="minorHAnsi"/>
          <w:snapToGrid w:val="0"/>
          <w:szCs w:val="24"/>
        </w:rPr>
        <w:t xml:space="preserve"> Details of the assessment procedure can be found in guidance manuals from EPA and DEQ (</w:t>
      </w:r>
      <w:r w:rsidRPr="009A050D">
        <w:rPr>
          <w:rFonts w:asciiTheme="minorHAnsi" w:hAnsiTheme="minorHAnsi" w:cstheme="minorHAnsi"/>
          <w:i/>
          <w:szCs w:val="24"/>
        </w:rPr>
        <w:t>Ambient Water Quality Criteria for Dissolved Oxygen, Water Clarity, and Chlorophyll a for the Chesapeake Bay and its Tidal Tributaries (EPA 903-R-03-002, April 2003), the 2004 (EPA 903-R-002, October 2004), 2007 (CBP/TRS 285-07, EPA 903-R-07-003), 2007 (CBP/TRS 288/07, EPA 903-R-005), 2008 (CBP/TRS 290-08, EPA 903-R-08-001), 2010 (CBP/TRS 301-10, EPA 903-R-10-002), 2017 (CBP/TRS 320-17, EPA 903-R-17-002) addenda</w:t>
      </w:r>
      <w:r w:rsidRPr="009A050D">
        <w:rPr>
          <w:rFonts w:asciiTheme="minorHAnsi" w:hAnsiTheme="minorHAnsi" w:cstheme="minorHAnsi"/>
          <w:snapToGrid w:val="0"/>
          <w:szCs w:val="24"/>
        </w:rPr>
        <w:t xml:space="preserve"> </w:t>
      </w:r>
      <w:r w:rsidRPr="009A050D">
        <w:rPr>
          <w:rFonts w:asciiTheme="minorHAnsi" w:hAnsiTheme="minorHAnsi" w:cstheme="minorHAnsi"/>
          <w:i/>
          <w:snapToGrid w:val="0"/>
          <w:szCs w:val="24"/>
        </w:rPr>
        <w:t>and the</w:t>
      </w:r>
      <w:r w:rsidRPr="009A050D">
        <w:rPr>
          <w:rFonts w:asciiTheme="minorHAnsi" w:hAnsiTheme="minorHAnsi" w:cstheme="minorHAnsi"/>
          <w:snapToGrid w:val="0"/>
          <w:szCs w:val="24"/>
        </w:rPr>
        <w:t xml:space="preserve"> </w:t>
      </w:r>
      <w:r w:rsidRPr="009A050D">
        <w:rPr>
          <w:rFonts w:asciiTheme="minorHAnsi" w:hAnsiTheme="minorHAnsi" w:cstheme="minorHAnsi"/>
          <w:i/>
          <w:snapToGrid w:val="0"/>
          <w:szCs w:val="24"/>
        </w:rPr>
        <w:t xml:space="preserve">Final 2024 </w:t>
      </w:r>
      <w:r w:rsidRPr="009A050D">
        <w:rPr>
          <w:rFonts w:asciiTheme="minorHAnsi" w:hAnsiTheme="minorHAnsi" w:cstheme="minorHAnsi"/>
          <w:i/>
          <w:szCs w:val="24"/>
        </w:rPr>
        <w:t>Water Quality Assessment Guidance Manual, November, 2023</w:t>
      </w:r>
      <w:r w:rsidRPr="009A050D">
        <w:rPr>
          <w:rFonts w:asciiTheme="minorHAnsi" w:hAnsiTheme="minorHAnsi" w:cstheme="minorHAnsi"/>
          <w:snapToGrid w:val="0"/>
          <w:szCs w:val="24"/>
        </w:rPr>
        <w:t>).</w:t>
      </w:r>
    </w:p>
    <w:p w14:paraId="040AFC4A" w14:textId="77777777" w:rsidR="00495804" w:rsidRPr="00951103" w:rsidRDefault="00495804" w:rsidP="00495804">
      <w:pPr>
        <w:pStyle w:val="p2"/>
        <w:spacing w:before="0" w:after="0"/>
        <w:rPr>
          <w:rFonts w:asciiTheme="minorHAnsi" w:hAnsiTheme="minorHAnsi" w:cstheme="minorHAnsi"/>
          <w:snapToGrid w:val="0"/>
          <w:szCs w:val="24"/>
        </w:rPr>
      </w:pPr>
    </w:p>
    <w:p w14:paraId="4F33C1F2" w14:textId="77777777" w:rsidR="00612B87" w:rsidRPr="00A2180B" w:rsidRDefault="00612B87" w:rsidP="00612B87">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cstheme="minorHAnsi"/>
          <w:sz w:val="20"/>
          <w:szCs w:val="24"/>
        </w:rPr>
        <w:sectPr w:rsidR="00612B87" w:rsidRPr="00A2180B" w:rsidSect="009079C4">
          <w:footerReference w:type="even" r:id="rId203"/>
          <w:type w:val="continuous"/>
          <w:pgSz w:w="12240" w:h="15840" w:code="1"/>
          <w:pgMar w:top="1152" w:right="1440" w:bottom="720" w:left="1440" w:header="720" w:footer="720" w:gutter="0"/>
          <w:cols w:space="720"/>
        </w:sectPr>
      </w:pPr>
    </w:p>
    <w:p w14:paraId="0FA452F5" w14:textId="022281CE" w:rsidR="00612B87" w:rsidRDefault="00612B87" w:rsidP="00612B87">
      <w:pPr>
        <w:pStyle w:val="Caption"/>
        <w:keepNext/>
      </w:pPr>
      <w:bookmarkStart w:id="307" w:name="_Toc164175218"/>
      <w:r>
        <w:lastRenderedPageBreak/>
        <w:t xml:space="preserve">Table </w:t>
      </w:r>
      <w:r w:rsidR="004F13BA">
        <w:fldChar w:fldCharType="begin"/>
      </w:r>
      <w:r w:rsidR="004F13BA">
        <w:instrText xml:space="preserve"> STYLEREF 2 \s </w:instrText>
      </w:r>
      <w:r w:rsidR="004F13BA">
        <w:fldChar w:fldCharType="separate"/>
      </w:r>
      <w:r w:rsidR="00CD06AE">
        <w:rPr>
          <w:noProof/>
        </w:rPr>
        <w:t>4.6</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w:t>
      </w:r>
      <w:r w:rsidR="004F13BA">
        <w:rPr>
          <w:noProof/>
        </w:rPr>
        <w:fldChar w:fldCharType="end"/>
      </w:r>
      <w:r>
        <w:t xml:space="preserve">. </w:t>
      </w:r>
      <w:r w:rsidRPr="00440288">
        <w:rPr>
          <w:rFonts w:cstheme="minorHAnsi"/>
          <w:szCs w:val="24"/>
        </w:rPr>
        <w:t>Chesapeake Bay dissolved oxygen criteria</w:t>
      </w:r>
      <w:r>
        <w:rPr>
          <w:rFonts w:cstheme="minorHAnsi"/>
          <w:szCs w:val="24"/>
        </w:rPr>
        <w:t>.</w:t>
      </w:r>
      <w:bookmarkEnd w:id="307"/>
    </w:p>
    <w:tbl>
      <w:tblPr>
        <w:tblW w:w="12960" w:type="dxa"/>
        <w:tblInd w:w="101"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101" w:type="dxa"/>
          <w:right w:w="101" w:type="dxa"/>
        </w:tblCellMar>
        <w:tblLook w:val="0000" w:firstRow="0" w:lastRow="0" w:firstColumn="0" w:lastColumn="0" w:noHBand="0" w:noVBand="0"/>
        <w:tblCaption w:val="Table of Chesapeake Bay Dissolved Oxygen Criteria"/>
        <w:tblDescription w:val="Chesapeake Bay Dissolved Oxygen Criteria for the Aquatic Life Sub-Uses"/>
      </w:tblPr>
      <w:tblGrid>
        <w:gridCol w:w="1800"/>
        <w:gridCol w:w="3580"/>
        <w:gridCol w:w="5220"/>
        <w:gridCol w:w="2360"/>
      </w:tblGrid>
      <w:tr w:rsidR="00612B87" w:rsidRPr="00440288" w14:paraId="3CC08076" w14:textId="77777777">
        <w:trPr>
          <w:cantSplit/>
        </w:trPr>
        <w:tc>
          <w:tcPr>
            <w:tcW w:w="1800" w:type="dxa"/>
            <w:tcBorders>
              <w:top w:val="single" w:sz="12" w:space="0" w:color="auto"/>
              <w:left w:val="single" w:sz="8" w:space="0" w:color="000000"/>
              <w:bottom w:val="single" w:sz="8" w:space="0" w:color="000000"/>
              <w:right w:val="single" w:sz="8" w:space="0" w:color="000000"/>
            </w:tcBorders>
          </w:tcPr>
          <w:p w14:paraId="2E0F4604" w14:textId="77777777" w:rsidR="00612B87" w:rsidRPr="00440288" w:rsidRDefault="00612B87">
            <w:pPr>
              <w:spacing w:before="84" w:after="40"/>
              <w:jc w:val="center"/>
              <w:rPr>
                <w:rFonts w:cstheme="minorHAnsi"/>
                <w:b/>
                <w:bCs/>
                <w:sz w:val="22"/>
                <w:szCs w:val="22"/>
              </w:rPr>
            </w:pPr>
            <w:r w:rsidRPr="00440288">
              <w:rPr>
                <w:rFonts w:cstheme="minorHAnsi"/>
                <w:b/>
                <w:bCs/>
                <w:sz w:val="22"/>
                <w:szCs w:val="22"/>
              </w:rPr>
              <w:t>Designated Use</w:t>
            </w:r>
          </w:p>
        </w:tc>
        <w:tc>
          <w:tcPr>
            <w:tcW w:w="3580" w:type="dxa"/>
            <w:tcBorders>
              <w:top w:val="single" w:sz="12" w:space="0" w:color="auto"/>
              <w:left w:val="single" w:sz="8" w:space="0" w:color="000000"/>
              <w:bottom w:val="single" w:sz="8" w:space="0" w:color="000000"/>
              <w:right w:val="single" w:sz="8" w:space="0" w:color="000000"/>
            </w:tcBorders>
          </w:tcPr>
          <w:p w14:paraId="1AFDC619" w14:textId="77777777" w:rsidR="00612B87" w:rsidRPr="00440288" w:rsidRDefault="00612B87">
            <w:pPr>
              <w:spacing w:before="84" w:after="40"/>
              <w:jc w:val="center"/>
              <w:rPr>
                <w:rFonts w:cstheme="minorHAnsi"/>
                <w:b/>
                <w:bCs/>
                <w:sz w:val="22"/>
                <w:szCs w:val="22"/>
              </w:rPr>
            </w:pPr>
            <w:r w:rsidRPr="00440288">
              <w:rPr>
                <w:rFonts w:cstheme="minorHAnsi"/>
                <w:b/>
                <w:bCs/>
                <w:sz w:val="22"/>
                <w:szCs w:val="22"/>
              </w:rPr>
              <w:t>Criteria Concentration/Duration</w:t>
            </w:r>
          </w:p>
        </w:tc>
        <w:tc>
          <w:tcPr>
            <w:tcW w:w="5220" w:type="dxa"/>
            <w:tcBorders>
              <w:top w:val="single" w:sz="12" w:space="0" w:color="auto"/>
              <w:left w:val="single" w:sz="8" w:space="0" w:color="000000"/>
              <w:bottom w:val="single" w:sz="8" w:space="0" w:color="000000"/>
              <w:right w:val="single" w:sz="8" w:space="0" w:color="000000"/>
            </w:tcBorders>
          </w:tcPr>
          <w:p w14:paraId="14A55ADE" w14:textId="77777777" w:rsidR="00612B87" w:rsidRPr="00440288" w:rsidRDefault="00612B87">
            <w:pPr>
              <w:spacing w:before="84" w:after="40"/>
              <w:jc w:val="center"/>
              <w:rPr>
                <w:rFonts w:cstheme="minorHAnsi"/>
                <w:b/>
                <w:bCs/>
                <w:sz w:val="22"/>
                <w:szCs w:val="22"/>
              </w:rPr>
            </w:pPr>
            <w:r w:rsidRPr="00440288">
              <w:rPr>
                <w:rFonts w:cstheme="minorHAnsi"/>
                <w:b/>
                <w:bCs/>
                <w:sz w:val="22"/>
                <w:szCs w:val="22"/>
              </w:rPr>
              <w:t>Protection Provided</w:t>
            </w:r>
          </w:p>
        </w:tc>
        <w:tc>
          <w:tcPr>
            <w:tcW w:w="2360" w:type="dxa"/>
            <w:tcBorders>
              <w:top w:val="single" w:sz="12" w:space="0" w:color="auto"/>
              <w:left w:val="single" w:sz="8" w:space="0" w:color="000000"/>
              <w:bottom w:val="single" w:sz="8" w:space="0" w:color="000000"/>
              <w:right w:val="single" w:sz="8" w:space="0" w:color="000000"/>
            </w:tcBorders>
          </w:tcPr>
          <w:p w14:paraId="269BA974" w14:textId="77777777" w:rsidR="00612B87" w:rsidRPr="00440288" w:rsidRDefault="00612B87">
            <w:pPr>
              <w:spacing w:before="84" w:after="40"/>
              <w:jc w:val="center"/>
              <w:rPr>
                <w:rFonts w:cstheme="minorHAnsi"/>
                <w:b/>
                <w:bCs/>
                <w:sz w:val="22"/>
                <w:szCs w:val="22"/>
              </w:rPr>
            </w:pPr>
            <w:r w:rsidRPr="00440288">
              <w:rPr>
                <w:rFonts w:cstheme="minorHAnsi"/>
                <w:b/>
                <w:bCs/>
                <w:sz w:val="22"/>
                <w:szCs w:val="22"/>
              </w:rPr>
              <w:t>Temporal Application</w:t>
            </w:r>
          </w:p>
        </w:tc>
      </w:tr>
      <w:tr w:rsidR="00612B87" w:rsidRPr="00440288" w14:paraId="30BAFE53" w14:textId="77777777">
        <w:trPr>
          <w:cantSplit/>
        </w:trPr>
        <w:tc>
          <w:tcPr>
            <w:tcW w:w="1800" w:type="dxa"/>
            <w:vMerge w:val="restart"/>
            <w:tcBorders>
              <w:top w:val="single" w:sz="8" w:space="0" w:color="000000"/>
              <w:left w:val="single" w:sz="7" w:space="0" w:color="000000"/>
              <w:bottom w:val="single" w:sz="7" w:space="0" w:color="000000"/>
              <w:right w:val="single" w:sz="7" w:space="0" w:color="000000"/>
            </w:tcBorders>
            <w:vAlign w:val="center"/>
          </w:tcPr>
          <w:p w14:paraId="400D06FC" w14:textId="77777777" w:rsidR="00612B87" w:rsidRPr="00440288" w:rsidRDefault="00612B87">
            <w:pPr>
              <w:jc w:val="center"/>
              <w:rPr>
                <w:rFonts w:cstheme="minorHAnsi"/>
                <w:sz w:val="22"/>
                <w:szCs w:val="22"/>
              </w:rPr>
            </w:pPr>
            <w:r w:rsidRPr="00440288">
              <w:rPr>
                <w:rFonts w:cstheme="minorHAnsi"/>
                <w:sz w:val="22"/>
                <w:szCs w:val="22"/>
              </w:rPr>
              <w:t>Migratory fish spawning</w:t>
            </w:r>
          </w:p>
          <w:p w14:paraId="4ED1BC66" w14:textId="77777777" w:rsidR="00612B87" w:rsidRPr="00440288" w:rsidRDefault="00612B87">
            <w:pPr>
              <w:jc w:val="center"/>
              <w:rPr>
                <w:rFonts w:cstheme="minorHAnsi"/>
                <w:sz w:val="22"/>
                <w:szCs w:val="22"/>
              </w:rPr>
            </w:pPr>
            <w:r w:rsidRPr="00440288">
              <w:rPr>
                <w:rFonts w:cstheme="minorHAnsi"/>
                <w:sz w:val="22"/>
                <w:szCs w:val="22"/>
              </w:rPr>
              <w:t>and</w:t>
            </w:r>
          </w:p>
          <w:p w14:paraId="5F358080" w14:textId="77777777" w:rsidR="00612B87" w:rsidRPr="00440288" w:rsidRDefault="00612B87">
            <w:pPr>
              <w:spacing w:after="40"/>
              <w:jc w:val="center"/>
              <w:rPr>
                <w:rFonts w:cstheme="minorHAnsi"/>
                <w:sz w:val="22"/>
                <w:szCs w:val="22"/>
              </w:rPr>
            </w:pPr>
            <w:r w:rsidRPr="00440288">
              <w:rPr>
                <w:rFonts w:cstheme="minorHAnsi"/>
                <w:sz w:val="22"/>
                <w:szCs w:val="22"/>
              </w:rPr>
              <w:t>nursery use</w:t>
            </w:r>
          </w:p>
        </w:tc>
        <w:tc>
          <w:tcPr>
            <w:tcW w:w="3580" w:type="dxa"/>
            <w:tcBorders>
              <w:top w:val="single" w:sz="8" w:space="0" w:color="000000"/>
              <w:left w:val="single" w:sz="7" w:space="0" w:color="000000"/>
              <w:bottom w:val="single" w:sz="7" w:space="0" w:color="000000"/>
              <w:right w:val="single" w:sz="7" w:space="0" w:color="000000"/>
            </w:tcBorders>
          </w:tcPr>
          <w:p w14:paraId="228F9A79" w14:textId="77777777" w:rsidR="00612B87" w:rsidRPr="00440288" w:rsidRDefault="00612B87">
            <w:pPr>
              <w:spacing w:before="84"/>
              <w:jc w:val="center"/>
              <w:rPr>
                <w:rFonts w:cstheme="minorHAnsi"/>
                <w:sz w:val="22"/>
                <w:szCs w:val="22"/>
              </w:rPr>
            </w:pPr>
            <w:r w:rsidRPr="00440288">
              <w:rPr>
                <w:rFonts w:cstheme="minorHAnsi"/>
                <w:sz w:val="22"/>
                <w:szCs w:val="22"/>
              </w:rPr>
              <w:t xml:space="preserve">7-day mean </w:t>
            </w:r>
            <w:r w:rsidRPr="00440288">
              <w:rPr>
                <w:rFonts w:cstheme="minorHAnsi"/>
                <w:sz w:val="22"/>
                <w:szCs w:val="22"/>
                <w:u w:val="single"/>
              </w:rPr>
              <w:t>&gt;</w:t>
            </w:r>
            <w:r w:rsidRPr="00440288">
              <w:rPr>
                <w:rFonts w:cstheme="minorHAnsi"/>
                <w:sz w:val="22"/>
                <w:szCs w:val="22"/>
              </w:rPr>
              <w:t xml:space="preserve"> 6 mg</w:t>
            </w:r>
            <w:r>
              <w:rPr>
                <w:rFonts w:cstheme="minorHAnsi"/>
                <w:sz w:val="22"/>
                <w:szCs w:val="22"/>
              </w:rPr>
              <w:t>/L</w:t>
            </w:r>
          </w:p>
          <w:p w14:paraId="7A25E3FA" w14:textId="77777777" w:rsidR="00612B87" w:rsidRPr="00440288" w:rsidRDefault="00612B87">
            <w:pPr>
              <w:spacing w:after="40"/>
              <w:jc w:val="center"/>
              <w:rPr>
                <w:rFonts w:cstheme="minorHAnsi"/>
                <w:sz w:val="22"/>
                <w:szCs w:val="22"/>
              </w:rPr>
            </w:pPr>
            <w:r w:rsidRPr="00440288">
              <w:rPr>
                <w:rFonts w:cstheme="minorHAnsi"/>
                <w:sz w:val="22"/>
                <w:szCs w:val="22"/>
              </w:rPr>
              <w:t>(tidal habitats with 0-0.5 ppt salinity)</w:t>
            </w:r>
          </w:p>
        </w:tc>
        <w:tc>
          <w:tcPr>
            <w:tcW w:w="5220" w:type="dxa"/>
            <w:tcBorders>
              <w:top w:val="single" w:sz="8" w:space="0" w:color="000000"/>
              <w:left w:val="single" w:sz="7" w:space="0" w:color="000000"/>
              <w:bottom w:val="single" w:sz="7" w:space="0" w:color="000000"/>
              <w:right w:val="single" w:sz="7" w:space="0" w:color="000000"/>
            </w:tcBorders>
          </w:tcPr>
          <w:p w14:paraId="1AA7EDBA" w14:textId="77777777" w:rsidR="00612B87" w:rsidRPr="00440288" w:rsidRDefault="00612B87">
            <w:pPr>
              <w:spacing w:before="84" w:after="40"/>
              <w:jc w:val="center"/>
              <w:rPr>
                <w:rFonts w:cstheme="minorHAnsi"/>
                <w:sz w:val="22"/>
                <w:szCs w:val="22"/>
              </w:rPr>
            </w:pPr>
            <w:r w:rsidRPr="00440288">
              <w:rPr>
                <w:rFonts w:cstheme="minorHAnsi"/>
                <w:sz w:val="22"/>
                <w:szCs w:val="22"/>
              </w:rPr>
              <w:t>Survival/growth of larval/juvenile tidal-fresh resident fish; protective</w:t>
            </w:r>
            <w:r w:rsidRPr="00440288">
              <w:rPr>
                <w:rFonts w:cstheme="minorHAnsi"/>
                <w:color w:val="FF0000"/>
                <w:sz w:val="22"/>
                <w:szCs w:val="22"/>
              </w:rPr>
              <w:t xml:space="preserve"> </w:t>
            </w:r>
            <w:r w:rsidRPr="00440288">
              <w:rPr>
                <w:rFonts w:cstheme="minorHAnsi"/>
                <w:sz w:val="22"/>
                <w:szCs w:val="22"/>
              </w:rPr>
              <w:t>of threatened/endangered species.</w:t>
            </w:r>
          </w:p>
        </w:tc>
        <w:tc>
          <w:tcPr>
            <w:tcW w:w="2360" w:type="dxa"/>
            <w:vMerge w:val="restart"/>
            <w:tcBorders>
              <w:top w:val="single" w:sz="8" w:space="0" w:color="000000"/>
              <w:left w:val="single" w:sz="7" w:space="0" w:color="000000"/>
              <w:bottom w:val="single" w:sz="7" w:space="0" w:color="000000"/>
              <w:right w:val="single" w:sz="7" w:space="0" w:color="000000"/>
            </w:tcBorders>
          </w:tcPr>
          <w:p w14:paraId="3757AE72" w14:textId="77777777" w:rsidR="00612B87" w:rsidRPr="00440288" w:rsidRDefault="00612B87">
            <w:pPr>
              <w:spacing w:before="84"/>
              <w:jc w:val="center"/>
              <w:rPr>
                <w:rFonts w:cstheme="minorHAnsi"/>
                <w:sz w:val="22"/>
                <w:szCs w:val="22"/>
              </w:rPr>
            </w:pPr>
          </w:p>
          <w:p w14:paraId="39CC15E5" w14:textId="77777777" w:rsidR="00612B87" w:rsidRPr="00440288" w:rsidRDefault="00612B87">
            <w:pPr>
              <w:jc w:val="center"/>
              <w:rPr>
                <w:rFonts w:cstheme="minorHAnsi"/>
                <w:sz w:val="22"/>
                <w:szCs w:val="22"/>
              </w:rPr>
            </w:pPr>
            <w:r w:rsidRPr="00440288">
              <w:rPr>
                <w:rFonts w:cstheme="minorHAnsi"/>
                <w:sz w:val="22"/>
                <w:szCs w:val="22"/>
              </w:rPr>
              <w:t>February 1 - May 31</w:t>
            </w:r>
          </w:p>
          <w:p w14:paraId="6570BACC" w14:textId="77777777" w:rsidR="00612B87" w:rsidRPr="00440288" w:rsidRDefault="00612B87">
            <w:pPr>
              <w:spacing w:after="40"/>
              <w:jc w:val="center"/>
              <w:rPr>
                <w:rFonts w:cstheme="minorHAnsi"/>
                <w:sz w:val="22"/>
                <w:szCs w:val="22"/>
              </w:rPr>
            </w:pPr>
          </w:p>
        </w:tc>
      </w:tr>
      <w:tr w:rsidR="00612B87" w:rsidRPr="00440288" w14:paraId="0520D181" w14:textId="77777777">
        <w:trPr>
          <w:cantSplit/>
        </w:trPr>
        <w:tc>
          <w:tcPr>
            <w:tcW w:w="1800" w:type="dxa"/>
            <w:vMerge/>
            <w:tcBorders>
              <w:top w:val="single" w:sz="7" w:space="0" w:color="000000"/>
              <w:left w:val="single" w:sz="7" w:space="0" w:color="000000"/>
              <w:bottom w:val="single" w:sz="7" w:space="0" w:color="000000"/>
              <w:right w:val="single" w:sz="7" w:space="0" w:color="000000"/>
            </w:tcBorders>
            <w:vAlign w:val="center"/>
          </w:tcPr>
          <w:p w14:paraId="10BB844E" w14:textId="77777777" w:rsidR="00612B87" w:rsidRPr="00440288" w:rsidRDefault="00612B87">
            <w:pPr>
              <w:spacing w:before="84" w:after="40"/>
              <w:jc w:val="center"/>
              <w:rPr>
                <w:rFonts w:cstheme="minorHAnsi"/>
                <w:sz w:val="22"/>
                <w:szCs w:val="22"/>
              </w:rPr>
            </w:pPr>
          </w:p>
        </w:tc>
        <w:tc>
          <w:tcPr>
            <w:tcW w:w="3580" w:type="dxa"/>
            <w:tcBorders>
              <w:top w:val="single" w:sz="7" w:space="0" w:color="000000"/>
              <w:left w:val="single" w:sz="7" w:space="0" w:color="000000"/>
              <w:bottom w:val="single" w:sz="7" w:space="0" w:color="000000"/>
              <w:right w:val="single" w:sz="7" w:space="0" w:color="000000"/>
            </w:tcBorders>
          </w:tcPr>
          <w:p w14:paraId="04CF6920" w14:textId="77777777" w:rsidR="00612B87" w:rsidRPr="00440288" w:rsidRDefault="00612B87">
            <w:pPr>
              <w:spacing w:before="84" w:after="40"/>
              <w:jc w:val="center"/>
              <w:rPr>
                <w:rFonts w:cstheme="minorHAnsi"/>
                <w:sz w:val="22"/>
                <w:szCs w:val="22"/>
              </w:rPr>
            </w:pPr>
            <w:r w:rsidRPr="00440288">
              <w:rPr>
                <w:rFonts w:cstheme="minorHAnsi"/>
                <w:sz w:val="22"/>
                <w:szCs w:val="22"/>
              </w:rPr>
              <w:t xml:space="preserve">Instantaneous minimum </w:t>
            </w:r>
            <w:r w:rsidRPr="00440288">
              <w:rPr>
                <w:rFonts w:cstheme="minorHAnsi"/>
                <w:sz w:val="22"/>
                <w:szCs w:val="22"/>
                <w:u w:val="single"/>
              </w:rPr>
              <w:t>&gt;</w:t>
            </w:r>
            <w:r w:rsidRPr="00440288">
              <w:rPr>
                <w:rFonts w:cstheme="minorHAnsi"/>
                <w:sz w:val="22"/>
                <w:szCs w:val="22"/>
              </w:rPr>
              <w:t xml:space="preserve"> 5 mg</w:t>
            </w:r>
            <w:r>
              <w:rPr>
                <w:rFonts w:cstheme="minorHAnsi"/>
                <w:sz w:val="22"/>
                <w:szCs w:val="22"/>
              </w:rPr>
              <w:t>/L</w:t>
            </w:r>
          </w:p>
        </w:tc>
        <w:tc>
          <w:tcPr>
            <w:tcW w:w="5220" w:type="dxa"/>
            <w:tcBorders>
              <w:top w:val="single" w:sz="7" w:space="0" w:color="000000"/>
              <w:left w:val="single" w:sz="7" w:space="0" w:color="000000"/>
              <w:bottom w:val="single" w:sz="7" w:space="0" w:color="000000"/>
              <w:right w:val="single" w:sz="7" w:space="0" w:color="000000"/>
            </w:tcBorders>
          </w:tcPr>
          <w:p w14:paraId="24009A5D" w14:textId="77777777" w:rsidR="00612B87" w:rsidRPr="00440288" w:rsidRDefault="00612B87">
            <w:pPr>
              <w:spacing w:before="84" w:after="40"/>
              <w:jc w:val="center"/>
              <w:rPr>
                <w:rFonts w:cstheme="minorHAnsi"/>
                <w:sz w:val="22"/>
                <w:szCs w:val="22"/>
              </w:rPr>
            </w:pPr>
            <w:r w:rsidRPr="00440288">
              <w:rPr>
                <w:rFonts w:cstheme="minorHAnsi"/>
                <w:sz w:val="22"/>
                <w:szCs w:val="22"/>
              </w:rPr>
              <w:t>Survival</w:t>
            </w:r>
            <w:r>
              <w:rPr>
                <w:rFonts w:cstheme="minorHAnsi"/>
                <w:sz w:val="22"/>
                <w:szCs w:val="22"/>
              </w:rPr>
              <w:t>/</w:t>
            </w:r>
            <w:r w:rsidRPr="00440288">
              <w:rPr>
                <w:rFonts w:cstheme="minorHAnsi"/>
                <w:sz w:val="22"/>
                <w:szCs w:val="22"/>
              </w:rPr>
              <w:t>growth of larval/juvenile migratory fish; protective of threatened/endangered species.</w:t>
            </w:r>
          </w:p>
        </w:tc>
        <w:tc>
          <w:tcPr>
            <w:tcW w:w="2360" w:type="dxa"/>
            <w:vMerge/>
            <w:tcBorders>
              <w:top w:val="single" w:sz="7" w:space="0" w:color="000000"/>
              <w:left w:val="single" w:sz="7" w:space="0" w:color="000000"/>
              <w:bottom w:val="single" w:sz="7" w:space="0" w:color="000000"/>
              <w:right w:val="single" w:sz="7" w:space="0" w:color="000000"/>
            </w:tcBorders>
          </w:tcPr>
          <w:p w14:paraId="462E9BEE" w14:textId="77777777" w:rsidR="00612B87" w:rsidRPr="00440288" w:rsidRDefault="00612B87">
            <w:pPr>
              <w:spacing w:before="84" w:after="40"/>
              <w:rPr>
                <w:rFonts w:cstheme="minorHAnsi"/>
                <w:sz w:val="22"/>
                <w:szCs w:val="22"/>
              </w:rPr>
            </w:pPr>
          </w:p>
        </w:tc>
      </w:tr>
      <w:tr w:rsidR="00612B87" w:rsidRPr="00440288" w14:paraId="2E309AB5" w14:textId="77777777">
        <w:trPr>
          <w:cantSplit/>
          <w:trHeight w:val="325"/>
        </w:trPr>
        <w:tc>
          <w:tcPr>
            <w:tcW w:w="1800" w:type="dxa"/>
            <w:vMerge/>
            <w:tcBorders>
              <w:top w:val="single" w:sz="7" w:space="0" w:color="000000"/>
              <w:left w:val="single" w:sz="7" w:space="0" w:color="000000"/>
              <w:bottom w:val="single" w:sz="7" w:space="0" w:color="000000"/>
              <w:right w:val="single" w:sz="7" w:space="0" w:color="000000"/>
            </w:tcBorders>
            <w:vAlign w:val="center"/>
          </w:tcPr>
          <w:p w14:paraId="571205BF" w14:textId="77777777" w:rsidR="00612B87" w:rsidRPr="00440288" w:rsidRDefault="00612B87">
            <w:pPr>
              <w:spacing w:before="84" w:after="40"/>
              <w:jc w:val="center"/>
              <w:rPr>
                <w:rFonts w:cstheme="minorHAnsi"/>
                <w:sz w:val="22"/>
                <w:szCs w:val="22"/>
              </w:rPr>
            </w:pPr>
          </w:p>
        </w:tc>
        <w:tc>
          <w:tcPr>
            <w:tcW w:w="8800" w:type="dxa"/>
            <w:gridSpan w:val="2"/>
            <w:tcBorders>
              <w:top w:val="single" w:sz="7" w:space="0" w:color="000000"/>
              <w:left w:val="single" w:sz="7" w:space="0" w:color="000000"/>
              <w:bottom w:val="single" w:sz="7" w:space="0" w:color="000000"/>
              <w:right w:val="single" w:sz="7" w:space="0" w:color="000000"/>
            </w:tcBorders>
          </w:tcPr>
          <w:p w14:paraId="69735FF4" w14:textId="77777777" w:rsidR="00612B87" w:rsidRPr="00440288" w:rsidRDefault="00612B87">
            <w:pPr>
              <w:spacing w:before="84" w:after="40"/>
              <w:jc w:val="center"/>
              <w:rPr>
                <w:rFonts w:cstheme="minorHAnsi"/>
                <w:sz w:val="22"/>
                <w:szCs w:val="22"/>
              </w:rPr>
            </w:pPr>
            <w:r w:rsidRPr="00440288">
              <w:rPr>
                <w:rFonts w:cstheme="minorHAnsi"/>
                <w:sz w:val="22"/>
                <w:szCs w:val="22"/>
              </w:rPr>
              <w:t>Open-water fish and shellfish designated use criteria apply</w:t>
            </w:r>
          </w:p>
        </w:tc>
        <w:tc>
          <w:tcPr>
            <w:tcW w:w="2360" w:type="dxa"/>
            <w:tcBorders>
              <w:top w:val="single" w:sz="7" w:space="0" w:color="000000"/>
              <w:left w:val="single" w:sz="7" w:space="0" w:color="000000"/>
              <w:bottom w:val="single" w:sz="7" w:space="0" w:color="000000"/>
              <w:right w:val="single" w:sz="7" w:space="0" w:color="000000"/>
            </w:tcBorders>
          </w:tcPr>
          <w:p w14:paraId="0A34FF3E" w14:textId="77777777" w:rsidR="00612B87" w:rsidRPr="00440288" w:rsidRDefault="00612B87">
            <w:pPr>
              <w:spacing w:before="84" w:after="40"/>
              <w:jc w:val="center"/>
              <w:rPr>
                <w:rFonts w:cstheme="minorHAnsi"/>
                <w:sz w:val="22"/>
                <w:szCs w:val="22"/>
              </w:rPr>
            </w:pPr>
            <w:r w:rsidRPr="00440288">
              <w:rPr>
                <w:rFonts w:cstheme="minorHAnsi"/>
                <w:sz w:val="22"/>
                <w:szCs w:val="22"/>
              </w:rPr>
              <w:t>June 1 - January 31</w:t>
            </w:r>
          </w:p>
        </w:tc>
      </w:tr>
      <w:tr w:rsidR="00612B87" w:rsidRPr="00440288" w14:paraId="5A0814B3" w14:textId="77777777">
        <w:trPr>
          <w:cantSplit/>
        </w:trPr>
        <w:tc>
          <w:tcPr>
            <w:tcW w:w="1800" w:type="dxa"/>
            <w:tcBorders>
              <w:top w:val="single" w:sz="7" w:space="0" w:color="000000"/>
              <w:left w:val="single" w:sz="7" w:space="0" w:color="000000"/>
              <w:bottom w:val="single" w:sz="7" w:space="0" w:color="000000"/>
              <w:right w:val="single" w:sz="7" w:space="0" w:color="000000"/>
            </w:tcBorders>
            <w:vAlign w:val="center"/>
          </w:tcPr>
          <w:p w14:paraId="19ABD98A" w14:textId="77777777" w:rsidR="00612B87" w:rsidRPr="00440288" w:rsidRDefault="00612B87">
            <w:pPr>
              <w:spacing w:before="84" w:after="40"/>
              <w:jc w:val="center"/>
              <w:rPr>
                <w:rFonts w:cstheme="minorHAnsi"/>
                <w:sz w:val="22"/>
                <w:szCs w:val="22"/>
              </w:rPr>
            </w:pPr>
            <w:proofErr w:type="gramStart"/>
            <w:r w:rsidRPr="00440288">
              <w:rPr>
                <w:rFonts w:cstheme="minorHAnsi"/>
                <w:sz w:val="22"/>
                <w:szCs w:val="22"/>
              </w:rPr>
              <w:t>Shallow-</w:t>
            </w:r>
            <w:r>
              <w:rPr>
                <w:rFonts w:cstheme="minorHAnsi"/>
                <w:sz w:val="22"/>
                <w:szCs w:val="22"/>
              </w:rPr>
              <w:t>w</w:t>
            </w:r>
            <w:r w:rsidRPr="00440288">
              <w:rPr>
                <w:rFonts w:cstheme="minorHAnsi"/>
                <w:sz w:val="22"/>
                <w:szCs w:val="22"/>
              </w:rPr>
              <w:t>ater bay</w:t>
            </w:r>
            <w:proofErr w:type="gramEnd"/>
            <w:r w:rsidRPr="00440288">
              <w:rPr>
                <w:rFonts w:cstheme="minorHAnsi"/>
                <w:sz w:val="22"/>
                <w:szCs w:val="22"/>
              </w:rPr>
              <w:t xml:space="preserve"> grass use</w:t>
            </w:r>
          </w:p>
        </w:tc>
        <w:tc>
          <w:tcPr>
            <w:tcW w:w="8800" w:type="dxa"/>
            <w:gridSpan w:val="2"/>
            <w:tcBorders>
              <w:top w:val="single" w:sz="7" w:space="0" w:color="000000"/>
              <w:left w:val="single" w:sz="7" w:space="0" w:color="000000"/>
              <w:bottom w:val="single" w:sz="7" w:space="0" w:color="000000"/>
              <w:right w:val="single" w:sz="7" w:space="0" w:color="000000"/>
            </w:tcBorders>
          </w:tcPr>
          <w:p w14:paraId="70C5370E" w14:textId="77777777" w:rsidR="00612B87" w:rsidRPr="00440288" w:rsidRDefault="00612B87">
            <w:pPr>
              <w:tabs>
                <w:tab w:val="center" w:pos="4219"/>
              </w:tabs>
              <w:spacing w:before="84" w:after="40"/>
              <w:jc w:val="center"/>
              <w:rPr>
                <w:rFonts w:cstheme="minorHAnsi"/>
                <w:sz w:val="22"/>
                <w:szCs w:val="22"/>
              </w:rPr>
            </w:pPr>
            <w:r w:rsidRPr="00440288">
              <w:rPr>
                <w:rFonts w:cstheme="minorHAnsi"/>
                <w:sz w:val="22"/>
                <w:szCs w:val="22"/>
              </w:rPr>
              <w:t>Open-water fish and shellfish designated use criteria apply</w:t>
            </w:r>
          </w:p>
        </w:tc>
        <w:tc>
          <w:tcPr>
            <w:tcW w:w="2360" w:type="dxa"/>
            <w:tcBorders>
              <w:top w:val="single" w:sz="7" w:space="0" w:color="000000"/>
              <w:left w:val="single" w:sz="7" w:space="0" w:color="000000"/>
              <w:bottom w:val="single" w:sz="7" w:space="0" w:color="000000"/>
              <w:right w:val="single" w:sz="7" w:space="0" w:color="000000"/>
            </w:tcBorders>
          </w:tcPr>
          <w:p w14:paraId="58DE0F91" w14:textId="77777777" w:rsidR="00612B87" w:rsidRPr="00440288" w:rsidRDefault="00612B87">
            <w:pPr>
              <w:spacing w:before="84" w:after="40"/>
              <w:jc w:val="center"/>
              <w:rPr>
                <w:rFonts w:cstheme="minorHAnsi"/>
                <w:sz w:val="22"/>
                <w:szCs w:val="22"/>
              </w:rPr>
            </w:pPr>
            <w:r w:rsidRPr="00440288">
              <w:rPr>
                <w:rFonts w:cstheme="minorHAnsi"/>
                <w:sz w:val="22"/>
                <w:szCs w:val="22"/>
              </w:rPr>
              <w:t>Year-round</w:t>
            </w:r>
          </w:p>
        </w:tc>
      </w:tr>
      <w:tr w:rsidR="00612B87" w:rsidRPr="00440288" w14:paraId="0240CC4B" w14:textId="77777777">
        <w:trPr>
          <w:cantSplit/>
        </w:trPr>
        <w:tc>
          <w:tcPr>
            <w:tcW w:w="1800" w:type="dxa"/>
            <w:vMerge w:val="restart"/>
            <w:tcBorders>
              <w:top w:val="single" w:sz="7" w:space="0" w:color="000000"/>
              <w:left w:val="single" w:sz="7" w:space="0" w:color="000000"/>
              <w:bottom w:val="single" w:sz="7" w:space="0" w:color="000000"/>
              <w:right w:val="single" w:sz="7" w:space="0" w:color="000000"/>
            </w:tcBorders>
            <w:vAlign w:val="center"/>
          </w:tcPr>
          <w:p w14:paraId="030F0DDE" w14:textId="77777777" w:rsidR="00612B87" w:rsidRPr="00440288" w:rsidRDefault="00612B87">
            <w:pPr>
              <w:spacing w:after="40"/>
              <w:jc w:val="center"/>
              <w:rPr>
                <w:rFonts w:cstheme="minorHAnsi"/>
                <w:sz w:val="22"/>
                <w:szCs w:val="22"/>
              </w:rPr>
            </w:pPr>
            <w:r w:rsidRPr="00440288">
              <w:rPr>
                <w:rFonts w:cstheme="minorHAnsi"/>
                <w:sz w:val="22"/>
                <w:szCs w:val="22"/>
              </w:rPr>
              <w:t>Open-water fish and shellfish use</w:t>
            </w:r>
            <w:r w:rsidRPr="00440288">
              <w:rPr>
                <w:rFonts w:cstheme="minorHAnsi"/>
                <w:sz w:val="22"/>
                <w:szCs w:val="22"/>
                <w:vertAlign w:val="superscript"/>
              </w:rPr>
              <w:t>1</w:t>
            </w:r>
          </w:p>
        </w:tc>
        <w:tc>
          <w:tcPr>
            <w:tcW w:w="3580" w:type="dxa"/>
            <w:tcBorders>
              <w:top w:val="single" w:sz="7" w:space="0" w:color="000000"/>
              <w:left w:val="single" w:sz="7" w:space="0" w:color="000000"/>
              <w:bottom w:val="single" w:sz="7" w:space="0" w:color="000000"/>
              <w:right w:val="single" w:sz="7" w:space="0" w:color="000000"/>
            </w:tcBorders>
          </w:tcPr>
          <w:p w14:paraId="7393B445" w14:textId="77777777" w:rsidR="00612B87" w:rsidRPr="00686234" w:rsidRDefault="00612B87">
            <w:pPr>
              <w:spacing w:before="84"/>
              <w:jc w:val="center"/>
              <w:rPr>
                <w:rFonts w:cstheme="minorHAnsi"/>
                <w:sz w:val="22"/>
                <w:szCs w:val="22"/>
              </w:rPr>
            </w:pPr>
            <w:r w:rsidRPr="00686234">
              <w:rPr>
                <w:rFonts w:cstheme="minorHAnsi"/>
                <w:sz w:val="22"/>
                <w:szCs w:val="22"/>
              </w:rPr>
              <w:t xml:space="preserve">30-day mean </w:t>
            </w:r>
            <w:r w:rsidRPr="00686234">
              <w:rPr>
                <w:rFonts w:cstheme="minorHAnsi"/>
                <w:sz w:val="22"/>
                <w:szCs w:val="22"/>
                <w:u w:val="single"/>
              </w:rPr>
              <w:t>&gt;</w:t>
            </w:r>
            <w:r w:rsidRPr="00686234">
              <w:rPr>
                <w:rFonts w:cstheme="minorHAnsi"/>
                <w:sz w:val="22"/>
                <w:szCs w:val="22"/>
              </w:rPr>
              <w:t xml:space="preserve"> 5.5 mg/L</w:t>
            </w:r>
          </w:p>
          <w:p w14:paraId="0477A4DF" w14:textId="77777777" w:rsidR="00612B87" w:rsidRPr="00686234" w:rsidRDefault="00612B87">
            <w:pPr>
              <w:spacing w:after="40"/>
              <w:jc w:val="center"/>
              <w:rPr>
                <w:rFonts w:cstheme="minorHAnsi"/>
                <w:sz w:val="22"/>
                <w:szCs w:val="22"/>
              </w:rPr>
            </w:pPr>
            <w:r w:rsidRPr="00686234">
              <w:rPr>
                <w:rFonts w:cstheme="minorHAnsi"/>
                <w:sz w:val="22"/>
                <w:szCs w:val="22"/>
              </w:rPr>
              <w:t>(tidal habitats with 0-0.5 ppt salinity)</w:t>
            </w:r>
          </w:p>
        </w:tc>
        <w:tc>
          <w:tcPr>
            <w:tcW w:w="5220" w:type="dxa"/>
            <w:tcBorders>
              <w:top w:val="single" w:sz="7" w:space="0" w:color="000000"/>
              <w:left w:val="single" w:sz="7" w:space="0" w:color="000000"/>
              <w:bottom w:val="single" w:sz="7" w:space="0" w:color="000000"/>
              <w:right w:val="single" w:sz="7" w:space="0" w:color="000000"/>
            </w:tcBorders>
          </w:tcPr>
          <w:p w14:paraId="7CFCB57B" w14:textId="77777777" w:rsidR="00612B87" w:rsidRPr="00440288" w:rsidRDefault="00612B87">
            <w:pPr>
              <w:spacing w:before="84" w:after="40"/>
              <w:jc w:val="center"/>
              <w:rPr>
                <w:rFonts w:cstheme="minorHAnsi"/>
                <w:sz w:val="22"/>
                <w:szCs w:val="22"/>
              </w:rPr>
            </w:pPr>
            <w:r w:rsidRPr="00440288">
              <w:rPr>
                <w:rFonts w:cstheme="minorHAnsi"/>
                <w:sz w:val="22"/>
                <w:szCs w:val="22"/>
              </w:rPr>
              <w:t>Growth of tidal-fresh juvenile</w:t>
            </w:r>
            <w:r>
              <w:rPr>
                <w:rFonts w:cstheme="minorHAnsi"/>
                <w:sz w:val="22"/>
                <w:szCs w:val="22"/>
              </w:rPr>
              <w:t>/</w:t>
            </w:r>
            <w:r w:rsidRPr="00440288">
              <w:rPr>
                <w:rFonts w:cstheme="minorHAnsi"/>
                <w:sz w:val="22"/>
                <w:szCs w:val="22"/>
              </w:rPr>
              <w:t>adult fish; protective of threatened/endangered species.</w:t>
            </w:r>
          </w:p>
        </w:tc>
        <w:tc>
          <w:tcPr>
            <w:tcW w:w="2360" w:type="dxa"/>
            <w:vMerge w:val="restart"/>
            <w:tcBorders>
              <w:top w:val="single" w:sz="7" w:space="0" w:color="000000"/>
              <w:left w:val="single" w:sz="7" w:space="0" w:color="000000"/>
              <w:bottom w:val="single" w:sz="7" w:space="0" w:color="000000"/>
              <w:right w:val="single" w:sz="7" w:space="0" w:color="000000"/>
            </w:tcBorders>
          </w:tcPr>
          <w:p w14:paraId="05CB31EA" w14:textId="77777777" w:rsidR="00612B87" w:rsidRPr="00440288" w:rsidRDefault="00612B87">
            <w:pPr>
              <w:spacing w:before="84"/>
              <w:jc w:val="center"/>
              <w:rPr>
                <w:rFonts w:cstheme="minorHAnsi"/>
                <w:sz w:val="22"/>
                <w:szCs w:val="22"/>
              </w:rPr>
            </w:pPr>
          </w:p>
          <w:p w14:paraId="5F4685CB" w14:textId="77777777" w:rsidR="00612B87" w:rsidRPr="00440288" w:rsidRDefault="00612B87">
            <w:pPr>
              <w:jc w:val="center"/>
              <w:rPr>
                <w:rFonts w:cstheme="minorHAnsi"/>
                <w:sz w:val="22"/>
                <w:szCs w:val="22"/>
              </w:rPr>
            </w:pPr>
          </w:p>
          <w:p w14:paraId="2F87A7E5" w14:textId="77777777" w:rsidR="00612B87" w:rsidRPr="00440288" w:rsidRDefault="00612B87">
            <w:pPr>
              <w:spacing w:after="40"/>
              <w:jc w:val="center"/>
              <w:rPr>
                <w:rFonts w:cstheme="minorHAnsi"/>
                <w:sz w:val="22"/>
                <w:szCs w:val="22"/>
              </w:rPr>
            </w:pPr>
            <w:r w:rsidRPr="00440288">
              <w:rPr>
                <w:rFonts w:cstheme="minorHAnsi"/>
                <w:sz w:val="22"/>
                <w:szCs w:val="22"/>
              </w:rPr>
              <w:t>Year-round</w:t>
            </w:r>
          </w:p>
        </w:tc>
      </w:tr>
      <w:tr w:rsidR="00612B87" w:rsidRPr="00440288" w14:paraId="1E6D1777" w14:textId="77777777">
        <w:trPr>
          <w:cantSplit/>
        </w:trPr>
        <w:tc>
          <w:tcPr>
            <w:tcW w:w="1800" w:type="dxa"/>
            <w:vMerge/>
            <w:tcBorders>
              <w:top w:val="single" w:sz="7" w:space="0" w:color="000000"/>
              <w:left w:val="single" w:sz="7" w:space="0" w:color="000000"/>
              <w:bottom w:val="single" w:sz="7" w:space="0" w:color="000000"/>
              <w:right w:val="single" w:sz="7" w:space="0" w:color="000000"/>
            </w:tcBorders>
            <w:vAlign w:val="center"/>
          </w:tcPr>
          <w:p w14:paraId="0AEA1365" w14:textId="77777777" w:rsidR="00612B87" w:rsidRPr="00440288" w:rsidRDefault="00612B87">
            <w:pPr>
              <w:spacing w:before="84" w:after="40"/>
              <w:jc w:val="center"/>
              <w:rPr>
                <w:rFonts w:cstheme="minorHAnsi"/>
                <w:sz w:val="22"/>
                <w:szCs w:val="22"/>
              </w:rPr>
            </w:pPr>
          </w:p>
        </w:tc>
        <w:tc>
          <w:tcPr>
            <w:tcW w:w="3580" w:type="dxa"/>
            <w:tcBorders>
              <w:top w:val="single" w:sz="7" w:space="0" w:color="000000"/>
              <w:left w:val="single" w:sz="7" w:space="0" w:color="000000"/>
              <w:bottom w:val="single" w:sz="7" w:space="0" w:color="000000"/>
              <w:right w:val="single" w:sz="7" w:space="0" w:color="000000"/>
            </w:tcBorders>
          </w:tcPr>
          <w:p w14:paraId="50F6BB5F" w14:textId="77777777" w:rsidR="00612B87" w:rsidRPr="00686234" w:rsidRDefault="00612B87">
            <w:pPr>
              <w:spacing w:before="84"/>
              <w:jc w:val="center"/>
              <w:rPr>
                <w:rFonts w:cstheme="minorHAnsi"/>
                <w:sz w:val="22"/>
                <w:szCs w:val="22"/>
              </w:rPr>
            </w:pPr>
            <w:r w:rsidRPr="00686234">
              <w:rPr>
                <w:rFonts w:cstheme="minorHAnsi"/>
                <w:sz w:val="22"/>
                <w:szCs w:val="22"/>
              </w:rPr>
              <w:t xml:space="preserve">30-day mean </w:t>
            </w:r>
            <w:r w:rsidRPr="00686234">
              <w:rPr>
                <w:rFonts w:cstheme="minorHAnsi"/>
                <w:sz w:val="22"/>
                <w:szCs w:val="22"/>
                <w:u w:val="single"/>
              </w:rPr>
              <w:t>&gt;</w:t>
            </w:r>
            <w:r w:rsidRPr="00686234">
              <w:rPr>
                <w:rFonts w:cstheme="minorHAnsi"/>
                <w:sz w:val="22"/>
                <w:szCs w:val="22"/>
              </w:rPr>
              <w:t xml:space="preserve"> 5 mg/L</w:t>
            </w:r>
          </w:p>
          <w:p w14:paraId="247F0664" w14:textId="77777777" w:rsidR="00612B87" w:rsidRPr="00686234" w:rsidRDefault="00612B87">
            <w:pPr>
              <w:spacing w:after="40"/>
              <w:jc w:val="center"/>
              <w:rPr>
                <w:rFonts w:cstheme="minorHAnsi"/>
                <w:sz w:val="22"/>
                <w:szCs w:val="22"/>
              </w:rPr>
            </w:pPr>
            <w:r w:rsidRPr="00686234">
              <w:rPr>
                <w:rFonts w:cstheme="minorHAnsi"/>
                <w:sz w:val="22"/>
                <w:szCs w:val="22"/>
              </w:rPr>
              <w:t>(tidal habitats with &gt;0.5 ppt salinity)</w:t>
            </w:r>
          </w:p>
        </w:tc>
        <w:tc>
          <w:tcPr>
            <w:tcW w:w="5220" w:type="dxa"/>
            <w:tcBorders>
              <w:top w:val="single" w:sz="7" w:space="0" w:color="000000"/>
              <w:left w:val="single" w:sz="7" w:space="0" w:color="000000"/>
              <w:bottom w:val="single" w:sz="7" w:space="0" w:color="000000"/>
              <w:right w:val="single" w:sz="7" w:space="0" w:color="000000"/>
            </w:tcBorders>
          </w:tcPr>
          <w:p w14:paraId="3825018C" w14:textId="77777777" w:rsidR="00612B87" w:rsidRPr="00440288" w:rsidRDefault="00612B87">
            <w:pPr>
              <w:spacing w:before="84" w:after="40"/>
              <w:jc w:val="center"/>
              <w:rPr>
                <w:rFonts w:cstheme="minorHAnsi"/>
                <w:sz w:val="22"/>
                <w:szCs w:val="22"/>
              </w:rPr>
            </w:pPr>
            <w:r w:rsidRPr="00440288">
              <w:rPr>
                <w:rFonts w:cstheme="minorHAnsi"/>
                <w:sz w:val="22"/>
                <w:szCs w:val="22"/>
              </w:rPr>
              <w:t xml:space="preserve">Growth of </w:t>
            </w:r>
            <w:proofErr w:type="gramStart"/>
            <w:r w:rsidRPr="00440288">
              <w:rPr>
                <w:rFonts w:cstheme="minorHAnsi"/>
                <w:sz w:val="22"/>
                <w:szCs w:val="22"/>
              </w:rPr>
              <w:t>larval</w:t>
            </w:r>
            <w:proofErr w:type="gramEnd"/>
            <w:r w:rsidRPr="00440288">
              <w:rPr>
                <w:rFonts w:cstheme="minorHAnsi"/>
                <w:sz w:val="22"/>
                <w:szCs w:val="22"/>
              </w:rPr>
              <w:t>, juvenile</w:t>
            </w:r>
            <w:r>
              <w:rPr>
                <w:rFonts w:cstheme="minorHAnsi"/>
                <w:sz w:val="22"/>
                <w:szCs w:val="22"/>
              </w:rPr>
              <w:t>,</w:t>
            </w:r>
            <w:r w:rsidRPr="00440288">
              <w:rPr>
                <w:rFonts w:cstheme="minorHAnsi"/>
                <w:sz w:val="22"/>
                <w:szCs w:val="22"/>
              </w:rPr>
              <w:t xml:space="preserve"> and adult fish</w:t>
            </w:r>
            <w:r>
              <w:rPr>
                <w:rFonts w:cstheme="minorHAnsi"/>
                <w:sz w:val="22"/>
                <w:szCs w:val="22"/>
              </w:rPr>
              <w:t>/</w:t>
            </w:r>
            <w:r w:rsidRPr="00440288">
              <w:rPr>
                <w:rFonts w:cstheme="minorHAnsi"/>
                <w:sz w:val="22"/>
                <w:szCs w:val="22"/>
              </w:rPr>
              <w:t>shellfish; protective</w:t>
            </w:r>
            <w:r w:rsidRPr="00440288">
              <w:rPr>
                <w:rFonts w:cstheme="minorHAnsi"/>
                <w:color w:val="FF0000"/>
                <w:sz w:val="22"/>
                <w:szCs w:val="22"/>
              </w:rPr>
              <w:t xml:space="preserve"> </w:t>
            </w:r>
            <w:r w:rsidRPr="00440288">
              <w:rPr>
                <w:rFonts w:cstheme="minorHAnsi"/>
                <w:sz w:val="22"/>
                <w:szCs w:val="22"/>
              </w:rPr>
              <w:t>of threatened/endangered species.</w:t>
            </w:r>
          </w:p>
        </w:tc>
        <w:tc>
          <w:tcPr>
            <w:tcW w:w="2360" w:type="dxa"/>
            <w:vMerge/>
            <w:tcBorders>
              <w:top w:val="single" w:sz="7" w:space="0" w:color="000000"/>
              <w:left w:val="single" w:sz="7" w:space="0" w:color="000000"/>
              <w:bottom w:val="single" w:sz="7" w:space="0" w:color="000000"/>
              <w:right w:val="single" w:sz="7" w:space="0" w:color="000000"/>
            </w:tcBorders>
          </w:tcPr>
          <w:p w14:paraId="7EB91BD1" w14:textId="77777777" w:rsidR="00612B87" w:rsidRPr="00440288" w:rsidRDefault="00612B87">
            <w:pPr>
              <w:spacing w:before="84" w:after="40"/>
              <w:jc w:val="center"/>
              <w:rPr>
                <w:rFonts w:cstheme="minorHAnsi"/>
                <w:sz w:val="22"/>
                <w:szCs w:val="22"/>
              </w:rPr>
            </w:pPr>
          </w:p>
        </w:tc>
      </w:tr>
      <w:tr w:rsidR="00612B87" w:rsidRPr="00440288" w14:paraId="23DFD45D" w14:textId="77777777">
        <w:trPr>
          <w:cantSplit/>
        </w:trPr>
        <w:tc>
          <w:tcPr>
            <w:tcW w:w="1800" w:type="dxa"/>
            <w:vMerge/>
            <w:tcBorders>
              <w:top w:val="single" w:sz="7" w:space="0" w:color="000000"/>
              <w:left w:val="single" w:sz="7" w:space="0" w:color="000000"/>
              <w:bottom w:val="single" w:sz="7" w:space="0" w:color="000000"/>
              <w:right w:val="single" w:sz="7" w:space="0" w:color="000000"/>
            </w:tcBorders>
            <w:vAlign w:val="center"/>
          </w:tcPr>
          <w:p w14:paraId="5A29F17E" w14:textId="77777777" w:rsidR="00612B87" w:rsidRPr="00440288" w:rsidRDefault="00612B87">
            <w:pPr>
              <w:spacing w:before="84" w:after="40"/>
              <w:jc w:val="center"/>
              <w:rPr>
                <w:rFonts w:cstheme="minorHAnsi"/>
                <w:sz w:val="22"/>
                <w:szCs w:val="22"/>
              </w:rPr>
            </w:pPr>
          </w:p>
        </w:tc>
        <w:tc>
          <w:tcPr>
            <w:tcW w:w="3580" w:type="dxa"/>
            <w:tcBorders>
              <w:top w:val="single" w:sz="7" w:space="0" w:color="000000"/>
              <w:left w:val="single" w:sz="7" w:space="0" w:color="000000"/>
              <w:bottom w:val="single" w:sz="7" w:space="0" w:color="000000"/>
              <w:right w:val="single" w:sz="7" w:space="0" w:color="000000"/>
            </w:tcBorders>
          </w:tcPr>
          <w:p w14:paraId="162250A2" w14:textId="77777777" w:rsidR="00612B87" w:rsidRPr="00440288" w:rsidRDefault="00612B87">
            <w:pPr>
              <w:spacing w:before="84" w:after="40"/>
              <w:jc w:val="center"/>
              <w:rPr>
                <w:rFonts w:cstheme="minorHAnsi"/>
                <w:sz w:val="22"/>
                <w:szCs w:val="22"/>
              </w:rPr>
            </w:pPr>
            <w:r w:rsidRPr="00440288">
              <w:rPr>
                <w:rFonts w:cstheme="minorHAnsi"/>
                <w:sz w:val="22"/>
                <w:szCs w:val="22"/>
              </w:rPr>
              <w:t xml:space="preserve">7-day mean </w:t>
            </w:r>
            <w:r w:rsidRPr="00440288">
              <w:rPr>
                <w:rFonts w:cstheme="minorHAnsi"/>
                <w:sz w:val="22"/>
                <w:szCs w:val="22"/>
                <w:u w:val="single"/>
              </w:rPr>
              <w:t>&gt;</w:t>
            </w:r>
            <w:r w:rsidRPr="00440288">
              <w:rPr>
                <w:rFonts w:cstheme="minorHAnsi"/>
                <w:sz w:val="22"/>
                <w:szCs w:val="22"/>
              </w:rPr>
              <w:t xml:space="preserve"> 4 mg</w:t>
            </w:r>
            <w:r>
              <w:rPr>
                <w:rFonts w:cstheme="minorHAnsi"/>
                <w:sz w:val="22"/>
                <w:szCs w:val="22"/>
              </w:rPr>
              <w:t>/L</w:t>
            </w:r>
          </w:p>
        </w:tc>
        <w:tc>
          <w:tcPr>
            <w:tcW w:w="5220" w:type="dxa"/>
            <w:tcBorders>
              <w:top w:val="single" w:sz="7" w:space="0" w:color="000000"/>
              <w:left w:val="single" w:sz="7" w:space="0" w:color="000000"/>
              <w:bottom w:val="single" w:sz="7" w:space="0" w:color="000000"/>
              <w:right w:val="single" w:sz="7" w:space="0" w:color="000000"/>
            </w:tcBorders>
          </w:tcPr>
          <w:p w14:paraId="3D7C12DF" w14:textId="77777777" w:rsidR="00612B87" w:rsidRPr="00440288" w:rsidRDefault="00612B87">
            <w:pPr>
              <w:spacing w:before="84" w:after="40"/>
              <w:jc w:val="center"/>
              <w:rPr>
                <w:rFonts w:cstheme="minorHAnsi"/>
                <w:sz w:val="22"/>
                <w:szCs w:val="22"/>
              </w:rPr>
            </w:pPr>
            <w:r w:rsidRPr="00440288">
              <w:rPr>
                <w:rFonts w:cstheme="minorHAnsi"/>
                <w:sz w:val="22"/>
                <w:szCs w:val="22"/>
              </w:rPr>
              <w:t>Survival of open-water fish larvae.</w:t>
            </w:r>
          </w:p>
        </w:tc>
        <w:tc>
          <w:tcPr>
            <w:tcW w:w="2360" w:type="dxa"/>
            <w:vMerge/>
            <w:tcBorders>
              <w:top w:val="single" w:sz="7" w:space="0" w:color="000000"/>
              <w:left w:val="single" w:sz="7" w:space="0" w:color="000000"/>
              <w:bottom w:val="single" w:sz="7" w:space="0" w:color="000000"/>
              <w:right w:val="single" w:sz="7" w:space="0" w:color="000000"/>
            </w:tcBorders>
          </w:tcPr>
          <w:p w14:paraId="5BECBB71" w14:textId="77777777" w:rsidR="00612B87" w:rsidRPr="00440288" w:rsidRDefault="00612B87">
            <w:pPr>
              <w:spacing w:before="84" w:after="40"/>
              <w:rPr>
                <w:rFonts w:cstheme="minorHAnsi"/>
                <w:sz w:val="22"/>
                <w:szCs w:val="22"/>
              </w:rPr>
            </w:pPr>
          </w:p>
        </w:tc>
      </w:tr>
      <w:tr w:rsidR="00612B87" w:rsidRPr="00440288" w14:paraId="37480A89" w14:textId="77777777">
        <w:trPr>
          <w:cantSplit/>
        </w:trPr>
        <w:tc>
          <w:tcPr>
            <w:tcW w:w="1800" w:type="dxa"/>
            <w:vMerge/>
            <w:tcBorders>
              <w:top w:val="single" w:sz="7" w:space="0" w:color="000000"/>
              <w:left w:val="single" w:sz="7" w:space="0" w:color="000000"/>
              <w:bottom w:val="single" w:sz="7" w:space="0" w:color="000000"/>
              <w:right w:val="single" w:sz="7" w:space="0" w:color="000000"/>
            </w:tcBorders>
            <w:vAlign w:val="center"/>
          </w:tcPr>
          <w:p w14:paraId="5CE2C65B" w14:textId="77777777" w:rsidR="00612B87" w:rsidRPr="00440288" w:rsidRDefault="00612B87">
            <w:pPr>
              <w:spacing w:before="84" w:after="40"/>
              <w:jc w:val="center"/>
              <w:rPr>
                <w:rFonts w:cstheme="minorHAnsi"/>
                <w:sz w:val="22"/>
                <w:szCs w:val="22"/>
              </w:rPr>
            </w:pPr>
          </w:p>
        </w:tc>
        <w:tc>
          <w:tcPr>
            <w:tcW w:w="3580" w:type="dxa"/>
            <w:tcBorders>
              <w:top w:val="single" w:sz="7" w:space="0" w:color="000000"/>
              <w:left w:val="single" w:sz="7" w:space="0" w:color="000000"/>
              <w:bottom w:val="single" w:sz="7" w:space="0" w:color="000000"/>
              <w:right w:val="single" w:sz="7" w:space="0" w:color="000000"/>
            </w:tcBorders>
          </w:tcPr>
          <w:p w14:paraId="02E07158" w14:textId="77777777" w:rsidR="00612B87" w:rsidRPr="00440288" w:rsidRDefault="00612B87">
            <w:pPr>
              <w:spacing w:before="84" w:after="40"/>
              <w:jc w:val="center"/>
              <w:rPr>
                <w:rFonts w:cstheme="minorHAnsi"/>
                <w:sz w:val="22"/>
                <w:szCs w:val="22"/>
              </w:rPr>
            </w:pPr>
            <w:r w:rsidRPr="00440288">
              <w:rPr>
                <w:rFonts w:cstheme="minorHAnsi"/>
                <w:sz w:val="22"/>
                <w:szCs w:val="22"/>
              </w:rPr>
              <w:t xml:space="preserve">Instantaneous minimum </w:t>
            </w:r>
            <w:r w:rsidRPr="00440288">
              <w:rPr>
                <w:rFonts w:cstheme="minorHAnsi"/>
                <w:sz w:val="22"/>
                <w:szCs w:val="22"/>
                <w:u w:val="single"/>
              </w:rPr>
              <w:t>&gt;</w:t>
            </w:r>
            <w:r w:rsidRPr="00440288">
              <w:rPr>
                <w:rFonts w:cstheme="minorHAnsi"/>
                <w:sz w:val="22"/>
                <w:szCs w:val="22"/>
              </w:rPr>
              <w:t xml:space="preserve"> 3.2 mg</w:t>
            </w:r>
            <w:r>
              <w:rPr>
                <w:rFonts w:cstheme="minorHAnsi"/>
                <w:sz w:val="22"/>
                <w:szCs w:val="22"/>
              </w:rPr>
              <w:t>/L</w:t>
            </w:r>
          </w:p>
        </w:tc>
        <w:tc>
          <w:tcPr>
            <w:tcW w:w="5220" w:type="dxa"/>
            <w:tcBorders>
              <w:top w:val="single" w:sz="7" w:space="0" w:color="000000"/>
              <w:left w:val="single" w:sz="7" w:space="0" w:color="000000"/>
              <w:bottom w:val="single" w:sz="7" w:space="0" w:color="000000"/>
              <w:right w:val="single" w:sz="7" w:space="0" w:color="000000"/>
            </w:tcBorders>
          </w:tcPr>
          <w:p w14:paraId="7769001A" w14:textId="77777777" w:rsidR="00612B87" w:rsidRPr="00440288" w:rsidRDefault="00612B87">
            <w:pPr>
              <w:spacing w:before="84" w:after="40"/>
              <w:jc w:val="center"/>
              <w:rPr>
                <w:rFonts w:cstheme="minorHAnsi"/>
                <w:sz w:val="22"/>
                <w:szCs w:val="22"/>
              </w:rPr>
            </w:pPr>
            <w:r w:rsidRPr="00440288">
              <w:rPr>
                <w:rFonts w:cstheme="minorHAnsi"/>
                <w:sz w:val="22"/>
                <w:szCs w:val="22"/>
              </w:rPr>
              <w:t>Survival of threatened/endangered sturgeon species.</w:t>
            </w:r>
            <w:r w:rsidRPr="00440288">
              <w:rPr>
                <w:rFonts w:cstheme="minorHAnsi"/>
                <w:sz w:val="22"/>
                <w:szCs w:val="22"/>
                <w:vertAlign w:val="superscript"/>
              </w:rPr>
              <w:t>2</w:t>
            </w:r>
          </w:p>
        </w:tc>
        <w:tc>
          <w:tcPr>
            <w:tcW w:w="2360" w:type="dxa"/>
            <w:vMerge/>
            <w:tcBorders>
              <w:top w:val="single" w:sz="7" w:space="0" w:color="000000"/>
              <w:left w:val="single" w:sz="7" w:space="0" w:color="000000"/>
              <w:bottom w:val="single" w:sz="7" w:space="0" w:color="000000"/>
              <w:right w:val="single" w:sz="7" w:space="0" w:color="000000"/>
            </w:tcBorders>
          </w:tcPr>
          <w:p w14:paraId="1235DC10" w14:textId="77777777" w:rsidR="00612B87" w:rsidRPr="00440288" w:rsidRDefault="00612B87">
            <w:pPr>
              <w:spacing w:before="84" w:after="40"/>
              <w:rPr>
                <w:rFonts w:cstheme="minorHAnsi"/>
                <w:sz w:val="22"/>
                <w:szCs w:val="22"/>
              </w:rPr>
            </w:pPr>
          </w:p>
        </w:tc>
      </w:tr>
      <w:tr w:rsidR="00612B87" w:rsidRPr="00440288" w14:paraId="51D30B11" w14:textId="77777777">
        <w:trPr>
          <w:cantSplit/>
        </w:trPr>
        <w:tc>
          <w:tcPr>
            <w:tcW w:w="1800" w:type="dxa"/>
            <w:vMerge w:val="restart"/>
            <w:tcBorders>
              <w:top w:val="single" w:sz="7" w:space="0" w:color="000000"/>
              <w:left w:val="single" w:sz="7" w:space="0" w:color="000000"/>
              <w:bottom w:val="single" w:sz="7" w:space="0" w:color="000000"/>
              <w:right w:val="single" w:sz="7" w:space="0" w:color="000000"/>
            </w:tcBorders>
            <w:vAlign w:val="center"/>
          </w:tcPr>
          <w:p w14:paraId="61C8F080" w14:textId="77777777" w:rsidR="00612B87" w:rsidRPr="00440288" w:rsidRDefault="00612B87">
            <w:pPr>
              <w:spacing w:after="40"/>
              <w:jc w:val="center"/>
              <w:rPr>
                <w:rFonts w:cstheme="minorHAnsi"/>
                <w:sz w:val="22"/>
                <w:szCs w:val="22"/>
              </w:rPr>
            </w:pPr>
            <w:r w:rsidRPr="00440288">
              <w:rPr>
                <w:rFonts w:cstheme="minorHAnsi"/>
                <w:sz w:val="22"/>
                <w:szCs w:val="22"/>
              </w:rPr>
              <w:t>Deep-water seasonal fish and shellfish use</w:t>
            </w:r>
          </w:p>
        </w:tc>
        <w:tc>
          <w:tcPr>
            <w:tcW w:w="3580" w:type="dxa"/>
            <w:tcBorders>
              <w:top w:val="single" w:sz="7" w:space="0" w:color="000000"/>
              <w:left w:val="single" w:sz="7" w:space="0" w:color="000000"/>
              <w:bottom w:val="single" w:sz="7" w:space="0" w:color="000000"/>
              <w:right w:val="single" w:sz="7" w:space="0" w:color="000000"/>
            </w:tcBorders>
          </w:tcPr>
          <w:p w14:paraId="74BF4A52" w14:textId="77777777" w:rsidR="00612B87" w:rsidRPr="00686234" w:rsidRDefault="00612B87">
            <w:pPr>
              <w:spacing w:before="84" w:after="40"/>
              <w:jc w:val="center"/>
              <w:rPr>
                <w:rFonts w:cstheme="minorHAnsi"/>
                <w:sz w:val="22"/>
                <w:szCs w:val="22"/>
              </w:rPr>
            </w:pPr>
            <w:r w:rsidRPr="00686234">
              <w:rPr>
                <w:rFonts w:cstheme="minorHAnsi"/>
                <w:sz w:val="22"/>
                <w:szCs w:val="22"/>
              </w:rPr>
              <w:t xml:space="preserve">30-day mean </w:t>
            </w:r>
            <w:r w:rsidRPr="00686234">
              <w:rPr>
                <w:rFonts w:cstheme="minorHAnsi"/>
                <w:sz w:val="22"/>
                <w:szCs w:val="22"/>
                <w:u w:val="single"/>
              </w:rPr>
              <w:t>&gt;</w:t>
            </w:r>
            <w:r w:rsidRPr="00686234">
              <w:rPr>
                <w:rFonts w:cstheme="minorHAnsi"/>
                <w:sz w:val="22"/>
                <w:szCs w:val="22"/>
              </w:rPr>
              <w:t xml:space="preserve"> 3 mg/L</w:t>
            </w:r>
          </w:p>
        </w:tc>
        <w:tc>
          <w:tcPr>
            <w:tcW w:w="5220" w:type="dxa"/>
            <w:tcBorders>
              <w:top w:val="single" w:sz="7" w:space="0" w:color="000000"/>
              <w:left w:val="single" w:sz="7" w:space="0" w:color="000000"/>
              <w:bottom w:val="single" w:sz="7" w:space="0" w:color="000000"/>
              <w:right w:val="single" w:sz="7" w:space="0" w:color="000000"/>
            </w:tcBorders>
          </w:tcPr>
          <w:p w14:paraId="6993143D" w14:textId="77777777" w:rsidR="00612B87" w:rsidRPr="00440288" w:rsidRDefault="00612B87">
            <w:pPr>
              <w:spacing w:before="84" w:after="40"/>
              <w:jc w:val="center"/>
              <w:rPr>
                <w:rFonts w:cstheme="minorHAnsi"/>
                <w:sz w:val="22"/>
                <w:szCs w:val="22"/>
              </w:rPr>
            </w:pPr>
            <w:r w:rsidRPr="00440288">
              <w:rPr>
                <w:rFonts w:cstheme="minorHAnsi"/>
                <w:sz w:val="22"/>
                <w:szCs w:val="22"/>
              </w:rPr>
              <w:t>Survival</w:t>
            </w:r>
            <w:r>
              <w:rPr>
                <w:rFonts w:cstheme="minorHAnsi"/>
                <w:sz w:val="22"/>
                <w:szCs w:val="22"/>
              </w:rPr>
              <w:t>/</w:t>
            </w:r>
            <w:r w:rsidRPr="00440288">
              <w:rPr>
                <w:rFonts w:cstheme="minorHAnsi"/>
                <w:sz w:val="22"/>
                <w:szCs w:val="22"/>
              </w:rPr>
              <w:t>recruitment of bay anchovy eggs and larvae.</w:t>
            </w:r>
          </w:p>
        </w:tc>
        <w:tc>
          <w:tcPr>
            <w:tcW w:w="2360" w:type="dxa"/>
            <w:vMerge w:val="restart"/>
            <w:tcBorders>
              <w:top w:val="single" w:sz="7" w:space="0" w:color="000000"/>
              <w:left w:val="single" w:sz="7" w:space="0" w:color="000000"/>
              <w:bottom w:val="single" w:sz="7" w:space="0" w:color="000000"/>
              <w:right w:val="single" w:sz="7" w:space="0" w:color="000000"/>
            </w:tcBorders>
          </w:tcPr>
          <w:p w14:paraId="4A7C4A17" w14:textId="77777777" w:rsidR="00612B87" w:rsidRPr="00440288" w:rsidRDefault="00612B87">
            <w:pPr>
              <w:spacing w:before="84"/>
              <w:jc w:val="center"/>
              <w:rPr>
                <w:rFonts w:cstheme="minorHAnsi"/>
                <w:sz w:val="22"/>
                <w:szCs w:val="22"/>
              </w:rPr>
            </w:pPr>
          </w:p>
          <w:p w14:paraId="1D333DB5" w14:textId="77777777" w:rsidR="00612B87" w:rsidRPr="00440288" w:rsidRDefault="00612B87">
            <w:pPr>
              <w:spacing w:after="40"/>
              <w:jc w:val="center"/>
              <w:rPr>
                <w:rFonts w:cstheme="minorHAnsi"/>
                <w:sz w:val="22"/>
                <w:szCs w:val="22"/>
              </w:rPr>
            </w:pPr>
            <w:r w:rsidRPr="00440288">
              <w:rPr>
                <w:rFonts w:cstheme="minorHAnsi"/>
                <w:sz w:val="22"/>
                <w:szCs w:val="22"/>
              </w:rPr>
              <w:t>June 1 - September 30</w:t>
            </w:r>
          </w:p>
        </w:tc>
      </w:tr>
      <w:tr w:rsidR="00612B87" w:rsidRPr="00440288" w14:paraId="79224AEA" w14:textId="77777777">
        <w:trPr>
          <w:cantSplit/>
        </w:trPr>
        <w:tc>
          <w:tcPr>
            <w:tcW w:w="1800" w:type="dxa"/>
            <w:vMerge/>
            <w:tcBorders>
              <w:top w:val="single" w:sz="7" w:space="0" w:color="000000"/>
              <w:left w:val="single" w:sz="7" w:space="0" w:color="000000"/>
              <w:bottom w:val="single" w:sz="7" w:space="0" w:color="000000"/>
              <w:right w:val="single" w:sz="7" w:space="0" w:color="000000"/>
            </w:tcBorders>
            <w:vAlign w:val="center"/>
          </w:tcPr>
          <w:p w14:paraId="285C5B80" w14:textId="77777777" w:rsidR="00612B87" w:rsidRPr="00440288" w:rsidRDefault="00612B87">
            <w:pPr>
              <w:spacing w:before="84" w:after="40"/>
              <w:jc w:val="center"/>
              <w:rPr>
                <w:rFonts w:cstheme="minorHAnsi"/>
                <w:sz w:val="22"/>
                <w:szCs w:val="22"/>
              </w:rPr>
            </w:pPr>
          </w:p>
        </w:tc>
        <w:tc>
          <w:tcPr>
            <w:tcW w:w="3580" w:type="dxa"/>
            <w:tcBorders>
              <w:top w:val="single" w:sz="7" w:space="0" w:color="000000"/>
              <w:left w:val="single" w:sz="7" w:space="0" w:color="000000"/>
              <w:bottom w:val="single" w:sz="7" w:space="0" w:color="000000"/>
              <w:right w:val="single" w:sz="7" w:space="0" w:color="000000"/>
            </w:tcBorders>
          </w:tcPr>
          <w:p w14:paraId="7A2F0C8C" w14:textId="77777777" w:rsidR="00612B87" w:rsidRPr="00440288" w:rsidRDefault="00612B87">
            <w:pPr>
              <w:spacing w:before="84" w:after="40"/>
              <w:jc w:val="center"/>
              <w:rPr>
                <w:rFonts w:cstheme="minorHAnsi"/>
                <w:sz w:val="22"/>
                <w:szCs w:val="22"/>
              </w:rPr>
            </w:pPr>
            <w:r w:rsidRPr="00440288">
              <w:rPr>
                <w:rFonts w:cstheme="minorHAnsi"/>
                <w:sz w:val="22"/>
                <w:szCs w:val="22"/>
              </w:rPr>
              <w:t xml:space="preserve">1-day mean </w:t>
            </w:r>
            <w:r w:rsidRPr="00440288">
              <w:rPr>
                <w:rFonts w:cstheme="minorHAnsi"/>
                <w:sz w:val="22"/>
                <w:szCs w:val="22"/>
                <w:u w:val="single"/>
              </w:rPr>
              <w:t>&gt;</w:t>
            </w:r>
            <w:r w:rsidRPr="00440288">
              <w:rPr>
                <w:rFonts w:cstheme="minorHAnsi"/>
                <w:sz w:val="22"/>
                <w:szCs w:val="22"/>
              </w:rPr>
              <w:t xml:space="preserve"> 2.3 mg</w:t>
            </w:r>
            <w:r>
              <w:rPr>
                <w:rFonts w:cstheme="minorHAnsi"/>
                <w:sz w:val="22"/>
                <w:szCs w:val="22"/>
              </w:rPr>
              <w:t>/L</w:t>
            </w:r>
          </w:p>
        </w:tc>
        <w:tc>
          <w:tcPr>
            <w:tcW w:w="5220" w:type="dxa"/>
            <w:tcBorders>
              <w:top w:val="single" w:sz="7" w:space="0" w:color="000000"/>
              <w:left w:val="single" w:sz="7" w:space="0" w:color="000000"/>
              <w:bottom w:val="single" w:sz="7" w:space="0" w:color="000000"/>
              <w:right w:val="single" w:sz="7" w:space="0" w:color="000000"/>
            </w:tcBorders>
          </w:tcPr>
          <w:p w14:paraId="7A0148E6" w14:textId="77777777" w:rsidR="00612B87" w:rsidRPr="00440288" w:rsidRDefault="00612B87">
            <w:pPr>
              <w:spacing w:before="84" w:after="40"/>
              <w:jc w:val="center"/>
              <w:rPr>
                <w:rFonts w:cstheme="minorHAnsi"/>
                <w:sz w:val="22"/>
                <w:szCs w:val="22"/>
              </w:rPr>
            </w:pPr>
            <w:r w:rsidRPr="00440288">
              <w:rPr>
                <w:rFonts w:cstheme="minorHAnsi"/>
                <w:sz w:val="22"/>
                <w:szCs w:val="22"/>
              </w:rPr>
              <w:t>Survival of open-water juvenile</w:t>
            </w:r>
            <w:r>
              <w:rPr>
                <w:rFonts w:cstheme="minorHAnsi"/>
                <w:sz w:val="22"/>
                <w:szCs w:val="22"/>
              </w:rPr>
              <w:t>/</w:t>
            </w:r>
            <w:r w:rsidRPr="00440288">
              <w:rPr>
                <w:rFonts w:cstheme="minorHAnsi"/>
                <w:sz w:val="22"/>
                <w:szCs w:val="22"/>
              </w:rPr>
              <w:t>adult fish.</w:t>
            </w:r>
          </w:p>
        </w:tc>
        <w:tc>
          <w:tcPr>
            <w:tcW w:w="2360" w:type="dxa"/>
            <w:vMerge/>
            <w:tcBorders>
              <w:top w:val="single" w:sz="7" w:space="0" w:color="000000"/>
              <w:left w:val="single" w:sz="7" w:space="0" w:color="000000"/>
              <w:bottom w:val="single" w:sz="7" w:space="0" w:color="000000"/>
              <w:right w:val="single" w:sz="7" w:space="0" w:color="000000"/>
            </w:tcBorders>
          </w:tcPr>
          <w:p w14:paraId="1E568B14" w14:textId="77777777" w:rsidR="00612B87" w:rsidRPr="00440288" w:rsidRDefault="00612B87">
            <w:pPr>
              <w:spacing w:before="84" w:after="40"/>
              <w:rPr>
                <w:rFonts w:cstheme="minorHAnsi"/>
                <w:sz w:val="22"/>
                <w:szCs w:val="22"/>
              </w:rPr>
            </w:pPr>
          </w:p>
        </w:tc>
      </w:tr>
      <w:tr w:rsidR="00612B87" w:rsidRPr="00440288" w14:paraId="387FFAE0" w14:textId="77777777">
        <w:trPr>
          <w:cantSplit/>
        </w:trPr>
        <w:tc>
          <w:tcPr>
            <w:tcW w:w="1800" w:type="dxa"/>
            <w:vMerge/>
            <w:tcBorders>
              <w:top w:val="single" w:sz="7" w:space="0" w:color="000000"/>
              <w:left w:val="single" w:sz="7" w:space="0" w:color="000000"/>
              <w:bottom w:val="single" w:sz="7" w:space="0" w:color="000000"/>
              <w:right w:val="single" w:sz="7" w:space="0" w:color="000000"/>
            </w:tcBorders>
            <w:vAlign w:val="center"/>
          </w:tcPr>
          <w:p w14:paraId="33A0EC3E" w14:textId="77777777" w:rsidR="00612B87" w:rsidRPr="00440288" w:rsidRDefault="00612B87">
            <w:pPr>
              <w:spacing w:before="84" w:after="40"/>
              <w:jc w:val="center"/>
              <w:rPr>
                <w:rFonts w:cstheme="minorHAnsi"/>
                <w:sz w:val="22"/>
                <w:szCs w:val="22"/>
              </w:rPr>
            </w:pPr>
          </w:p>
        </w:tc>
        <w:tc>
          <w:tcPr>
            <w:tcW w:w="3580" w:type="dxa"/>
            <w:tcBorders>
              <w:top w:val="single" w:sz="7" w:space="0" w:color="000000"/>
              <w:left w:val="single" w:sz="7" w:space="0" w:color="000000"/>
              <w:bottom w:val="single" w:sz="7" w:space="0" w:color="000000"/>
              <w:right w:val="single" w:sz="7" w:space="0" w:color="000000"/>
            </w:tcBorders>
          </w:tcPr>
          <w:p w14:paraId="3F93DC77" w14:textId="77777777" w:rsidR="00612B87" w:rsidRPr="00440288" w:rsidRDefault="00612B87">
            <w:pPr>
              <w:spacing w:before="84" w:after="40"/>
              <w:jc w:val="center"/>
              <w:rPr>
                <w:rFonts w:cstheme="minorHAnsi"/>
                <w:sz w:val="22"/>
                <w:szCs w:val="22"/>
              </w:rPr>
            </w:pPr>
            <w:r w:rsidRPr="00440288">
              <w:rPr>
                <w:rFonts w:cstheme="minorHAnsi"/>
                <w:sz w:val="22"/>
                <w:szCs w:val="22"/>
              </w:rPr>
              <w:t xml:space="preserve">Instantaneous minimum </w:t>
            </w:r>
            <w:r w:rsidRPr="00440288">
              <w:rPr>
                <w:rFonts w:cstheme="minorHAnsi"/>
                <w:sz w:val="22"/>
                <w:szCs w:val="22"/>
                <w:u w:val="single"/>
              </w:rPr>
              <w:t>&gt;</w:t>
            </w:r>
            <w:r w:rsidRPr="00440288">
              <w:rPr>
                <w:rFonts w:cstheme="minorHAnsi"/>
                <w:sz w:val="22"/>
                <w:szCs w:val="22"/>
              </w:rPr>
              <w:t xml:space="preserve"> 1.7 mg</w:t>
            </w:r>
            <w:r>
              <w:rPr>
                <w:rFonts w:cstheme="minorHAnsi"/>
                <w:sz w:val="22"/>
                <w:szCs w:val="22"/>
              </w:rPr>
              <w:t>/L</w:t>
            </w:r>
          </w:p>
        </w:tc>
        <w:tc>
          <w:tcPr>
            <w:tcW w:w="5220" w:type="dxa"/>
            <w:tcBorders>
              <w:top w:val="single" w:sz="7" w:space="0" w:color="000000"/>
              <w:left w:val="single" w:sz="7" w:space="0" w:color="000000"/>
              <w:bottom w:val="single" w:sz="7" w:space="0" w:color="000000"/>
              <w:right w:val="single" w:sz="7" w:space="0" w:color="000000"/>
            </w:tcBorders>
          </w:tcPr>
          <w:p w14:paraId="267DA82F" w14:textId="77777777" w:rsidR="00612B87" w:rsidRPr="00440288" w:rsidRDefault="00612B87">
            <w:pPr>
              <w:spacing w:before="84" w:after="40"/>
              <w:jc w:val="center"/>
              <w:rPr>
                <w:rFonts w:cstheme="minorHAnsi"/>
                <w:sz w:val="22"/>
                <w:szCs w:val="22"/>
              </w:rPr>
            </w:pPr>
            <w:r w:rsidRPr="00440288">
              <w:rPr>
                <w:rFonts w:cstheme="minorHAnsi"/>
                <w:sz w:val="22"/>
                <w:szCs w:val="22"/>
              </w:rPr>
              <w:t>Survival of bay anchovy eggs</w:t>
            </w:r>
            <w:r>
              <w:rPr>
                <w:rFonts w:cstheme="minorHAnsi"/>
                <w:sz w:val="22"/>
                <w:szCs w:val="22"/>
              </w:rPr>
              <w:t>/</w:t>
            </w:r>
            <w:r w:rsidRPr="00440288">
              <w:rPr>
                <w:rFonts w:cstheme="minorHAnsi"/>
                <w:sz w:val="22"/>
                <w:szCs w:val="22"/>
              </w:rPr>
              <w:t>larvae.</w:t>
            </w:r>
          </w:p>
        </w:tc>
        <w:tc>
          <w:tcPr>
            <w:tcW w:w="2360" w:type="dxa"/>
            <w:vMerge/>
            <w:tcBorders>
              <w:top w:val="single" w:sz="7" w:space="0" w:color="000000"/>
              <w:left w:val="single" w:sz="7" w:space="0" w:color="000000"/>
              <w:bottom w:val="single" w:sz="7" w:space="0" w:color="000000"/>
              <w:right w:val="single" w:sz="7" w:space="0" w:color="000000"/>
            </w:tcBorders>
          </w:tcPr>
          <w:p w14:paraId="3DA9DC94" w14:textId="77777777" w:rsidR="00612B87" w:rsidRPr="00440288" w:rsidRDefault="00612B87">
            <w:pPr>
              <w:spacing w:before="84" w:after="40"/>
              <w:rPr>
                <w:rFonts w:cstheme="minorHAnsi"/>
                <w:sz w:val="22"/>
                <w:szCs w:val="22"/>
              </w:rPr>
            </w:pPr>
          </w:p>
        </w:tc>
      </w:tr>
      <w:tr w:rsidR="00612B87" w:rsidRPr="00440288" w14:paraId="079F280A" w14:textId="77777777">
        <w:trPr>
          <w:cantSplit/>
        </w:trPr>
        <w:tc>
          <w:tcPr>
            <w:tcW w:w="1800" w:type="dxa"/>
            <w:vMerge/>
            <w:tcBorders>
              <w:top w:val="single" w:sz="7" w:space="0" w:color="000000"/>
              <w:left w:val="single" w:sz="7" w:space="0" w:color="000000"/>
              <w:bottom w:val="single" w:sz="8" w:space="0" w:color="000000"/>
              <w:right w:val="single" w:sz="7" w:space="0" w:color="000000"/>
            </w:tcBorders>
            <w:vAlign w:val="center"/>
          </w:tcPr>
          <w:p w14:paraId="20C82670" w14:textId="77777777" w:rsidR="00612B87" w:rsidRPr="00440288" w:rsidRDefault="00612B87">
            <w:pPr>
              <w:spacing w:before="84" w:after="40"/>
              <w:jc w:val="center"/>
              <w:rPr>
                <w:rFonts w:cstheme="minorHAnsi"/>
                <w:sz w:val="22"/>
                <w:szCs w:val="22"/>
              </w:rPr>
            </w:pPr>
          </w:p>
        </w:tc>
        <w:tc>
          <w:tcPr>
            <w:tcW w:w="8800" w:type="dxa"/>
            <w:gridSpan w:val="2"/>
            <w:tcBorders>
              <w:top w:val="single" w:sz="7" w:space="0" w:color="000000"/>
              <w:left w:val="single" w:sz="7" w:space="0" w:color="000000"/>
              <w:bottom w:val="single" w:sz="8" w:space="0" w:color="000000"/>
              <w:right w:val="single" w:sz="7" w:space="0" w:color="000000"/>
            </w:tcBorders>
          </w:tcPr>
          <w:p w14:paraId="39775FF8" w14:textId="77777777" w:rsidR="00612B87" w:rsidRPr="00440288" w:rsidRDefault="00612B87">
            <w:pPr>
              <w:spacing w:before="84" w:after="40"/>
              <w:jc w:val="center"/>
              <w:rPr>
                <w:rFonts w:cstheme="minorHAnsi"/>
                <w:sz w:val="22"/>
                <w:szCs w:val="22"/>
              </w:rPr>
            </w:pPr>
            <w:r w:rsidRPr="00440288">
              <w:rPr>
                <w:rFonts w:cstheme="minorHAnsi"/>
                <w:sz w:val="22"/>
                <w:szCs w:val="22"/>
              </w:rPr>
              <w:t>Open-water fish and shellfish designated-use criteria apply</w:t>
            </w:r>
          </w:p>
        </w:tc>
        <w:tc>
          <w:tcPr>
            <w:tcW w:w="2360" w:type="dxa"/>
            <w:tcBorders>
              <w:top w:val="single" w:sz="7" w:space="0" w:color="000000"/>
              <w:left w:val="single" w:sz="7" w:space="0" w:color="000000"/>
              <w:bottom w:val="single" w:sz="8" w:space="0" w:color="000000"/>
              <w:right w:val="single" w:sz="7" w:space="0" w:color="000000"/>
            </w:tcBorders>
          </w:tcPr>
          <w:p w14:paraId="33A9794C" w14:textId="77777777" w:rsidR="00612B87" w:rsidRPr="00440288" w:rsidRDefault="00612B87">
            <w:pPr>
              <w:spacing w:before="84" w:after="40"/>
              <w:jc w:val="center"/>
              <w:rPr>
                <w:rFonts w:cstheme="minorHAnsi"/>
                <w:sz w:val="22"/>
                <w:szCs w:val="22"/>
              </w:rPr>
            </w:pPr>
            <w:r w:rsidRPr="00440288">
              <w:rPr>
                <w:rFonts w:cstheme="minorHAnsi"/>
                <w:sz w:val="22"/>
                <w:szCs w:val="22"/>
              </w:rPr>
              <w:t>October 1 - May 31</w:t>
            </w:r>
          </w:p>
        </w:tc>
      </w:tr>
      <w:tr w:rsidR="00612B87" w:rsidRPr="00440288" w14:paraId="5EFA9D41" w14:textId="77777777">
        <w:trPr>
          <w:cantSplit/>
        </w:trPr>
        <w:tc>
          <w:tcPr>
            <w:tcW w:w="1800" w:type="dxa"/>
            <w:vMerge w:val="restart"/>
            <w:tcBorders>
              <w:top w:val="single" w:sz="8" w:space="0" w:color="000000"/>
              <w:left w:val="single" w:sz="8" w:space="0" w:color="000000"/>
              <w:bottom w:val="single" w:sz="8" w:space="0" w:color="000000"/>
              <w:right w:val="single" w:sz="8" w:space="0" w:color="000000"/>
            </w:tcBorders>
            <w:vAlign w:val="center"/>
          </w:tcPr>
          <w:p w14:paraId="7FCFA96C" w14:textId="77777777" w:rsidR="00612B87" w:rsidRPr="00440288" w:rsidRDefault="00612B87">
            <w:pPr>
              <w:spacing w:after="40"/>
              <w:jc w:val="center"/>
              <w:rPr>
                <w:rFonts w:cstheme="minorHAnsi"/>
                <w:sz w:val="22"/>
                <w:szCs w:val="22"/>
              </w:rPr>
            </w:pPr>
            <w:r w:rsidRPr="00440288">
              <w:rPr>
                <w:rFonts w:cstheme="minorHAnsi"/>
                <w:sz w:val="22"/>
                <w:szCs w:val="22"/>
              </w:rPr>
              <w:t>Deep-channel seasonal refuge use</w:t>
            </w:r>
          </w:p>
        </w:tc>
        <w:tc>
          <w:tcPr>
            <w:tcW w:w="3580" w:type="dxa"/>
            <w:tcBorders>
              <w:top w:val="single" w:sz="8" w:space="0" w:color="000000"/>
              <w:left w:val="single" w:sz="8" w:space="0" w:color="000000"/>
              <w:bottom w:val="single" w:sz="8" w:space="0" w:color="000000"/>
              <w:right w:val="single" w:sz="8" w:space="0" w:color="000000"/>
            </w:tcBorders>
          </w:tcPr>
          <w:p w14:paraId="5CA3915D" w14:textId="77777777" w:rsidR="00612B87" w:rsidRPr="00686234" w:rsidRDefault="00612B87">
            <w:pPr>
              <w:spacing w:before="84" w:after="40"/>
              <w:jc w:val="center"/>
              <w:rPr>
                <w:rFonts w:cstheme="minorHAnsi"/>
                <w:sz w:val="22"/>
                <w:szCs w:val="22"/>
              </w:rPr>
            </w:pPr>
            <w:r w:rsidRPr="00686234">
              <w:rPr>
                <w:rFonts w:cstheme="minorHAnsi"/>
                <w:sz w:val="22"/>
                <w:szCs w:val="22"/>
              </w:rPr>
              <w:t xml:space="preserve">Instantaneous minimum </w:t>
            </w:r>
            <w:r w:rsidRPr="00686234">
              <w:rPr>
                <w:rFonts w:cstheme="minorHAnsi"/>
                <w:sz w:val="22"/>
                <w:szCs w:val="22"/>
                <w:u w:val="single"/>
              </w:rPr>
              <w:t>&gt;</w:t>
            </w:r>
            <w:r w:rsidRPr="00686234">
              <w:rPr>
                <w:rFonts w:cstheme="minorHAnsi"/>
                <w:sz w:val="22"/>
                <w:szCs w:val="22"/>
              </w:rPr>
              <w:t xml:space="preserve"> 1 mg/L</w:t>
            </w:r>
          </w:p>
        </w:tc>
        <w:tc>
          <w:tcPr>
            <w:tcW w:w="5220" w:type="dxa"/>
            <w:tcBorders>
              <w:top w:val="single" w:sz="8" w:space="0" w:color="000000"/>
              <w:left w:val="single" w:sz="8" w:space="0" w:color="000000"/>
              <w:bottom w:val="single" w:sz="8" w:space="0" w:color="000000"/>
              <w:right w:val="single" w:sz="8" w:space="0" w:color="000000"/>
            </w:tcBorders>
          </w:tcPr>
          <w:p w14:paraId="0A0C83D1" w14:textId="77777777" w:rsidR="00612B87" w:rsidRPr="00440288" w:rsidRDefault="00612B87">
            <w:pPr>
              <w:spacing w:before="84" w:after="40"/>
              <w:jc w:val="center"/>
              <w:rPr>
                <w:rFonts w:cstheme="minorHAnsi"/>
                <w:sz w:val="22"/>
                <w:szCs w:val="22"/>
              </w:rPr>
            </w:pPr>
            <w:r w:rsidRPr="00440288">
              <w:rPr>
                <w:rFonts w:cstheme="minorHAnsi"/>
                <w:sz w:val="22"/>
                <w:szCs w:val="22"/>
              </w:rPr>
              <w:t>Survival of bottom-dwelling worms</w:t>
            </w:r>
            <w:r>
              <w:rPr>
                <w:rFonts w:cstheme="minorHAnsi"/>
                <w:sz w:val="22"/>
                <w:szCs w:val="22"/>
              </w:rPr>
              <w:t>/</w:t>
            </w:r>
            <w:r w:rsidRPr="00440288">
              <w:rPr>
                <w:rFonts w:cstheme="minorHAnsi"/>
                <w:sz w:val="22"/>
                <w:szCs w:val="22"/>
              </w:rPr>
              <w:t>clams.</w:t>
            </w:r>
          </w:p>
        </w:tc>
        <w:tc>
          <w:tcPr>
            <w:tcW w:w="2360" w:type="dxa"/>
            <w:tcBorders>
              <w:top w:val="single" w:sz="8" w:space="0" w:color="000000"/>
              <w:left w:val="single" w:sz="8" w:space="0" w:color="000000"/>
              <w:bottom w:val="single" w:sz="8" w:space="0" w:color="000000"/>
              <w:right w:val="single" w:sz="8" w:space="0" w:color="000000"/>
            </w:tcBorders>
          </w:tcPr>
          <w:p w14:paraId="1D29930A" w14:textId="77777777" w:rsidR="00612B87" w:rsidRPr="00440288" w:rsidRDefault="00612B87">
            <w:pPr>
              <w:spacing w:before="84" w:after="40"/>
              <w:jc w:val="center"/>
              <w:rPr>
                <w:rFonts w:cstheme="minorHAnsi"/>
                <w:sz w:val="22"/>
                <w:szCs w:val="22"/>
              </w:rPr>
            </w:pPr>
            <w:r w:rsidRPr="00440288">
              <w:rPr>
                <w:rFonts w:cstheme="minorHAnsi"/>
                <w:sz w:val="22"/>
                <w:szCs w:val="22"/>
              </w:rPr>
              <w:t>June 1 - September 30</w:t>
            </w:r>
          </w:p>
        </w:tc>
      </w:tr>
      <w:tr w:rsidR="00612B87" w:rsidRPr="00440288" w14:paraId="06D0B90F" w14:textId="77777777">
        <w:trPr>
          <w:cantSplit/>
        </w:trPr>
        <w:tc>
          <w:tcPr>
            <w:tcW w:w="1800" w:type="dxa"/>
            <w:vMerge/>
            <w:tcBorders>
              <w:top w:val="single" w:sz="8" w:space="0" w:color="000000"/>
              <w:left w:val="single" w:sz="8" w:space="0" w:color="000000"/>
              <w:bottom w:val="single" w:sz="12" w:space="0" w:color="auto"/>
              <w:right w:val="single" w:sz="8" w:space="0" w:color="000000"/>
            </w:tcBorders>
          </w:tcPr>
          <w:p w14:paraId="4F6FB069" w14:textId="77777777" w:rsidR="00612B87" w:rsidRPr="00440288" w:rsidRDefault="00612B87">
            <w:pPr>
              <w:spacing w:before="84" w:after="40"/>
              <w:rPr>
                <w:rFonts w:cstheme="minorHAnsi"/>
                <w:sz w:val="22"/>
                <w:szCs w:val="22"/>
              </w:rPr>
            </w:pPr>
          </w:p>
        </w:tc>
        <w:tc>
          <w:tcPr>
            <w:tcW w:w="8800" w:type="dxa"/>
            <w:gridSpan w:val="2"/>
            <w:tcBorders>
              <w:top w:val="single" w:sz="8" w:space="0" w:color="000000"/>
              <w:left w:val="single" w:sz="8" w:space="0" w:color="000000"/>
              <w:bottom w:val="single" w:sz="12" w:space="0" w:color="auto"/>
              <w:right w:val="single" w:sz="8" w:space="0" w:color="000000"/>
            </w:tcBorders>
          </w:tcPr>
          <w:p w14:paraId="0ACF9845" w14:textId="77777777" w:rsidR="00612B87" w:rsidRPr="00440288" w:rsidRDefault="00612B87">
            <w:pPr>
              <w:spacing w:before="84" w:after="40"/>
              <w:jc w:val="center"/>
              <w:rPr>
                <w:rFonts w:cstheme="minorHAnsi"/>
                <w:sz w:val="22"/>
                <w:szCs w:val="22"/>
              </w:rPr>
            </w:pPr>
            <w:r w:rsidRPr="00440288">
              <w:rPr>
                <w:rFonts w:cstheme="minorHAnsi"/>
                <w:sz w:val="22"/>
                <w:szCs w:val="22"/>
              </w:rPr>
              <w:t>Open-water fish and shellfish designated use criteria apply</w:t>
            </w:r>
          </w:p>
        </w:tc>
        <w:tc>
          <w:tcPr>
            <w:tcW w:w="2360" w:type="dxa"/>
            <w:tcBorders>
              <w:top w:val="single" w:sz="8" w:space="0" w:color="000000"/>
              <w:left w:val="single" w:sz="8" w:space="0" w:color="000000"/>
              <w:bottom w:val="single" w:sz="12" w:space="0" w:color="auto"/>
              <w:right w:val="single" w:sz="8" w:space="0" w:color="000000"/>
            </w:tcBorders>
          </w:tcPr>
          <w:p w14:paraId="591146A9" w14:textId="77777777" w:rsidR="00612B87" w:rsidRPr="00440288" w:rsidRDefault="00612B87">
            <w:pPr>
              <w:spacing w:before="84" w:after="40"/>
              <w:jc w:val="center"/>
              <w:rPr>
                <w:rFonts w:cstheme="minorHAnsi"/>
                <w:sz w:val="22"/>
                <w:szCs w:val="22"/>
              </w:rPr>
            </w:pPr>
            <w:r w:rsidRPr="00440288">
              <w:rPr>
                <w:rFonts w:cstheme="minorHAnsi"/>
                <w:sz w:val="22"/>
                <w:szCs w:val="22"/>
              </w:rPr>
              <w:t>October 1 - May 31</w:t>
            </w:r>
          </w:p>
        </w:tc>
      </w:tr>
    </w:tbl>
    <w:p w14:paraId="10582B00" w14:textId="77777777" w:rsidR="00612B87" w:rsidRPr="00A2180B" w:rsidRDefault="00612B87" w:rsidP="00612B87">
      <w:pPr>
        <w:rPr>
          <w:rFonts w:cstheme="minorHAnsi"/>
          <w:color w:val="000000"/>
          <w:sz w:val="20"/>
        </w:rPr>
      </w:pPr>
      <w:r w:rsidRPr="00A2180B">
        <w:rPr>
          <w:rFonts w:cstheme="minorHAnsi"/>
          <w:color w:val="000000"/>
          <w:sz w:val="20"/>
          <w:vertAlign w:val="superscript"/>
        </w:rPr>
        <w:t xml:space="preserve">1 </w:t>
      </w:r>
      <w:r w:rsidRPr="00A2180B">
        <w:rPr>
          <w:rFonts w:cstheme="minorHAnsi"/>
          <w:color w:val="000000"/>
          <w:sz w:val="20"/>
        </w:rPr>
        <w:t>Special criteria for the Mattaponi and Pamunkey rivers are 30-day mean &gt; 4.0 mg/</w:t>
      </w:r>
      <w:r>
        <w:rPr>
          <w:rFonts w:cstheme="minorHAnsi"/>
          <w:color w:val="000000"/>
          <w:sz w:val="20"/>
        </w:rPr>
        <w:t>L</w:t>
      </w:r>
      <w:r w:rsidRPr="00A2180B">
        <w:rPr>
          <w:rFonts w:cstheme="minorHAnsi"/>
          <w:color w:val="000000"/>
          <w:sz w:val="20"/>
        </w:rPr>
        <w:t>;</w:t>
      </w:r>
      <w:r>
        <w:rPr>
          <w:rFonts w:cstheme="minorHAnsi"/>
          <w:color w:val="000000"/>
          <w:sz w:val="20"/>
        </w:rPr>
        <w:t xml:space="preserve"> </w:t>
      </w:r>
      <w:r w:rsidRPr="00A2180B">
        <w:rPr>
          <w:rFonts w:cstheme="minorHAnsi"/>
          <w:color w:val="000000"/>
          <w:sz w:val="20"/>
        </w:rPr>
        <w:t>Instantaneous minimum &gt; 3.2 mg/</w:t>
      </w:r>
      <w:r>
        <w:rPr>
          <w:rFonts w:cstheme="minorHAnsi"/>
          <w:color w:val="000000"/>
          <w:sz w:val="20"/>
        </w:rPr>
        <w:t>L</w:t>
      </w:r>
      <w:r w:rsidRPr="00A2180B">
        <w:rPr>
          <w:rFonts w:cstheme="minorHAnsi"/>
          <w:color w:val="000000"/>
          <w:sz w:val="20"/>
        </w:rPr>
        <w:t xml:space="preserve"> at temperatures &lt; 29</w:t>
      </w:r>
      <w:r w:rsidRPr="00A2180B">
        <w:rPr>
          <w:rFonts w:cstheme="minorHAnsi"/>
          <w:color w:val="000000"/>
          <w:sz w:val="20"/>
          <w:vertAlign w:val="superscript"/>
        </w:rPr>
        <w:t>o</w:t>
      </w:r>
      <w:r w:rsidRPr="00A2180B">
        <w:rPr>
          <w:rFonts w:cstheme="minorHAnsi"/>
          <w:color w:val="000000"/>
          <w:sz w:val="20"/>
        </w:rPr>
        <w:t>C; Instantaneous minimum &gt; 4.3 mg/</w:t>
      </w:r>
      <w:r>
        <w:rPr>
          <w:rFonts w:cstheme="minorHAnsi"/>
          <w:color w:val="000000"/>
          <w:sz w:val="20"/>
        </w:rPr>
        <w:t>L</w:t>
      </w:r>
      <w:r w:rsidRPr="00A2180B">
        <w:rPr>
          <w:rFonts w:cstheme="minorHAnsi"/>
          <w:color w:val="000000"/>
          <w:sz w:val="20"/>
        </w:rPr>
        <w:t xml:space="preserve"> at temperatures &gt; 29</w:t>
      </w:r>
      <w:r w:rsidRPr="00A2180B">
        <w:rPr>
          <w:rFonts w:cstheme="minorHAnsi"/>
          <w:color w:val="000000"/>
          <w:sz w:val="20"/>
          <w:vertAlign w:val="superscript"/>
        </w:rPr>
        <w:t>o</w:t>
      </w:r>
      <w:r w:rsidRPr="00A2180B">
        <w:rPr>
          <w:rFonts w:cstheme="minorHAnsi"/>
          <w:color w:val="000000"/>
          <w:sz w:val="20"/>
        </w:rPr>
        <w:t xml:space="preserve">C. </w:t>
      </w:r>
    </w:p>
    <w:p w14:paraId="21765B78" w14:textId="5E2DF814" w:rsidR="00612B87" w:rsidRPr="008F1410" w:rsidRDefault="00612B87" w:rsidP="00612B87">
      <w:pPr>
        <w:rPr>
          <w:rFonts w:cstheme="minorHAnsi"/>
          <w:color w:val="000000"/>
          <w:sz w:val="20"/>
        </w:rPr>
        <w:sectPr w:rsidR="00612B87" w:rsidRPr="008F1410" w:rsidSect="009079C4">
          <w:headerReference w:type="even" r:id="rId204"/>
          <w:headerReference w:type="first" r:id="rId205"/>
          <w:pgSz w:w="15840" w:h="12240" w:orient="landscape" w:code="1"/>
          <w:pgMar w:top="1440" w:right="1440" w:bottom="1440" w:left="1440" w:header="720" w:footer="720" w:gutter="0"/>
          <w:cols w:space="720"/>
        </w:sectPr>
      </w:pPr>
      <w:r w:rsidRPr="00A2180B">
        <w:rPr>
          <w:rFonts w:cstheme="minorHAnsi"/>
          <w:color w:val="000000"/>
          <w:sz w:val="20"/>
          <w:vertAlign w:val="superscript"/>
        </w:rPr>
        <w:t xml:space="preserve">2 </w:t>
      </w:r>
      <w:r w:rsidRPr="00A2180B">
        <w:rPr>
          <w:rFonts w:cstheme="minorHAnsi"/>
          <w:color w:val="000000"/>
          <w:sz w:val="20"/>
        </w:rPr>
        <w:t>At temperatures considered stressful to shortnose sturgeon (&gt; 29</w:t>
      </w:r>
      <w:r w:rsidRPr="00A2180B">
        <w:rPr>
          <w:rFonts w:cstheme="minorHAnsi"/>
          <w:color w:val="000000"/>
          <w:sz w:val="20"/>
          <w:vertAlign w:val="superscript"/>
        </w:rPr>
        <w:t>o</w:t>
      </w:r>
      <w:r w:rsidRPr="00A2180B">
        <w:rPr>
          <w:rFonts w:cstheme="minorHAnsi"/>
          <w:color w:val="000000"/>
          <w:sz w:val="20"/>
        </w:rPr>
        <w:t>C), dissolved oxygen concentrations above an instantaneous minimum of 4.3 mg</w:t>
      </w:r>
      <w:r>
        <w:rPr>
          <w:rFonts w:cstheme="minorHAnsi"/>
          <w:color w:val="000000"/>
          <w:sz w:val="20"/>
        </w:rPr>
        <w:t xml:space="preserve">/L </w:t>
      </w:r>
      <w:r w:rsidRPr="00A2180B">
        <w:rPr>
          <w:rFonts w:cstheme="minorHAnsi"/>
          <w:color w:val="000000"/>
          <w:sz w:val="20"/>
        </w:rPr>
        <w:t>will protect survival of this listed sturgeon species.</w:t>
      </w:r>
    </w:p>
    <w:p w14:paraId="347D6160" w14:textId="592A485A" w:rsidR="00495804" w:rsidRPr="00902527" w:rsidRDefault="00495804" w:rsidP="00495804">
      <w:pPr>
        <w:pStyle w:val="p2"/>
        <w:spacing w:before="0" w:after="0"/>
        <w:rPr>
          <w:rFonts w:asciiTheme="minorHAnsi" w:hAnsiTheme="minorHAnsi" w:cstheme="minorHAnsi"/>
          <w:snapToGrid w:val="0"/>
          <w:szCs w:val="24"/>
        </w:rPr>
      </w:pPr>
      <w:r w:rsidRPr="00902527">
        <w:rPr>
          <w:rFonts w:asciiTheme="minorHAnsi" w:hAnsiTheme="minorHAnsi" w:cstheme="minorHAnsi"/>
          <w:snapToGrid w:val="0"/>
          <w:szCs w:val="24"/>
        </w:rPr>
        <w:lastRenderedPageBreak/>
        <w:t>Criteria specific to the SWSAV</w:t>
      </w:r>
      <w:r w:rsidR="001B5A4A">
        <w:rPr>
          <w:rFonts w:asciiTheme="minorHAnsi" w:hAnsiTheme="minorHAnsi" w:cstheme="minorHAnsi"/>
          <w:snapToGrid w:val="0"/>
          <w:szCs w:val="24"/>
        </w:rPr>
        <w:t xml:space="preserve"> </w:t>
      </w:r>
      <w:r w:rsidRPr="00902527">
        <w:rPr>
          <w:rFonts w:asciiTheme="minorHAnsi" w:hAnsiTheme="minorHAnsi" w:cstheme="minorHAnsi"/>
          <w:snapToGrid w:val="0"/>
          <w:szCs w:val="24"/>
        </w:rPr>
        <w:t>are shown in Table 4.6-2. The criterion of “SAV Acres” was assessed in every segment. The criterion for “Water Clarity Acres” was assessed where data were available (CB7, CB8, CRRMH, RPPOH, RPPMH, RPPTF, and LYNPH). The SAV Acres criterion is met by having aquatic vegetation present as measured by annual aerial photography. The Water Clarity Acres criterion is met by having sufficient water clarity present to support the potential for aquatic vegetation to grow (</w:t>
      </w:r>
      <w:r w:rsidR="00902527" w:rsidRPr="00902527">
        <w:rPr>
          <w:rFonts w:asciiTheme="minorHAnsi" w:hAnsiTheme="minorHAnsi" w:cstheme="minorHAnsi"/>
          <w:snapToGrid w:val="0"/>
          <w:szCs w:val="24"/>
        </w:rPr>
        <w:t>i.e.,</w:t>
      </w:r>
      <w:r w:rsidRPr="00902527">
        <w:rPr>
          <w:rFonts w:asciiTheme="minorHAnsi" w:hAnsiTheme="minorHAnsi" w:cstheme="minorHAnsi"/>
          <w:snapToGrid w:val="0"/>
          <w:szCs w:val="24"/>
        </w:rPr>
        <w:t xml:space="preserve"> regardless of whether the submerged aquatic vegetation is </w:t>
      </w:r>
      <w:r w:rsidR="00EE57A2" w:rsidRPr="00902527">
        <w:rPr>
          <w:rFonts w:asciiTheme="minorHAnsi" w:hAnsiTheme="minorHAnsi" w:cstheme="minorHAnsi"/>
          <w:snapToGrid w:val="0"/>
          <w:szCs w:val="24"/>
        </w:rPr>
        <w:t>present</w:t>
      </w:r>
      <w:r w:rsidRPr="00902527">
        <w:rPr>
          <w:rFonts w:asciiTheme="minorHAnsi" w:hAnsiTheme="minorHAnsi" w:cstheme="minorHAnsi"/>
          <w:snapToGrid w:val="0"/>
          <w:szCs w:val="24"/>
        </w:rPr>
        <w:t xml:space="preserve">). This criterion was created because the water may be clear enough to support submerged aquatic vegetation, but it may take several years for the areas to re-populate with grasses. A recent amendment was made to the water quality standards regulation to increase the SAV and water clarity acreage criteria for RPPMH, JMSTF2, JMSTF1, JMSMH, and JMSPH so these criteria are now consistent with the reasoning underlying the SAV criteria for other Bay segments. A detailed description of the assessment methodology can be found in </w:t>
      </w:r>
      <w:r w:rsidRPr="009A050D">
        <w:rPr>
          <w:rFonts w:asciiTheme="minorHAnsi" w:hAnsiTheme="minorHAnsi" w:cstheme="minorHAnsi"/>
          <w:i/>
          <w:szCs w:val="24"/>
        </w:rPr>
        <w:t xml:space="preserve">Ambient Water Quality Criteria for Dissolved Oxygen, Water Clarity, and Chlorophyll </w:t>
      </w:r>
      <w:proofErr w:type="gramStart"/>
      <w:r w:rsidRPr="009A050D">
        <w:rPr>
          <w:rFonts w:asciiTheme="minorHAnsi" w:hAnsiTheme="minorHAnsi" w:cstheme="minorHAnsi"/>
          <w:i/>
          <w:szCs w:val="24"/>
        </w:rPr>
        <w:t>a for</w:t>
      </w:r>
      <w:proofErr w:type="gramEnd"/>
      <w:r w:rsidRPr="009A050D">
        <w:rPr>
          <w:rFonts w:asciiTheme="minorHAnsi" w:hAnsiTheme="minorHAnsi" w:cstheme="minorHAnsi"/>
          <w:i/>
          <w:szCs w:val="24"/>
        </w:rPr>
        <w:t xml:space="preserve"> the Chesapeake Bay and Its tidal Tributaries,</w:t>
      </w:r>
      <w:r w:rsidRPr="009A050D">
        <w:rPr>
          <w:rFonts w:asciiTheme="minorHAnsi" w:hAnsiTheme="minorHAnsi" w:cstheme="minorHAnsi"/>
          <w:i/>
          <w:snapToGrid w:val="0"/>
          <w:szCs w:val="24"/>
        </w:rPr>
        <w:t xml:space="preserve"> 2008 Technical Support for Criteria Assessment Protocols Addendum,</w:t>
      </w:r>
      <w:r w:rsidRPr="009A050D">
        <w:rPr>
          <w:rFonts w:asciiTheme="minorHAnsi" w:hAnsiTheme="minorHAnsi" w:cstheme="minorHAnsi"/>
          <w:i/>
          <w:szCs w:val="24"/>
        </w:rPr>
        <w:t xml:space="preserve"> EPA 903-R-08-001 September 2008.</w:t>
      </w:r>
      <w:r w:rsidR="000C4308">
        <w:rPr>
          <w:rFonts w:asciiTheme="minorHAnsi" w:hAnsiTheme="minorHAnsi" w:cstheme="minorHAnsi"/>
          <w:i/>
          <w:szCs w:val="24"/>
        </w:rPr>
        <w:br/>
      </w:r>
    </w:p>
    <w:p w14:paraId="50F804A4" w14:textId="3DB6F0CE" w:rsidR="000C4308" w:rsidRPr="00FD0805" w:rsidRDefault="000C4308" w:rsidP="0A5BE548">
      <w:pPr>
        <w:pStyle w:val="Caption"/>
        <w:keepNext/>
        <w:rPr>
          <w:rFonts w:cstheme="minorBidi"/>
          <w:specVanish/>
        </w:rPr>
      </w:pPr>
      <w:bookmarkStart w:id="308" w:name="_Toc164175219"/>
      <w:r>
        <w:t xml:space="preserve">Table </w:t>
      </w:r>
      <w:r w:rsidR="004F13BA">
        <w:fldChar w:fldCharType="begin"/>
      </w:r>
      <w:r w:rsidR="004F13BA">
        <w:instrText xml:space="preserve"> STYLEREF 2 \s </w:instrText>
      </w:r>
      <w:r w:rsidR="004F13BA">
        <w:fldChar w:fldCharType="separate"/>
      </w:r>
      <w:r w:rsidR="00CD06AE">
        <w:rPr>
          <w:noProof/>
        </w:rPr>
        <w:t>4.6</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w:t>
      </w:r>
      <w:r w:rsidR="004F13BA">
        <w:rPr>
          <w:noProof/>
        </w:rPr>
        <w:fldChar w:fldCharType="end"/>
      </w:r>
      <w:r>
        <w:t xml:space="preserve">. </w:t>
      </w:r>
      <w:r w:rsidRPr="0A5BE548">
        <w:rPr>
          <w:rFonts w:cstheme="minorBidi"/>
        </w:rPr>
        <w:t>Summary of Chesapeake Bay water clarity criteria</w:t>
      </w:r>
      <w:bookmarkEnd w:id="308"/>
      <w:r w:rsidRPr="0A5BE548">
        <w:rPr>
          <w:rFonts w:cstheme="minorBidi"/>
        </w:rPr>
        <w:t xml:space="preserve"> for application to Shallow-Water SAV designated use habitats. Chesapeake Bay program segments are shown in Figure 4.6-3.</w:t>
      </w:r>
    </w:p>
    <w:tbl>
      <w:tblPr>
        <w:tblW w:w="9497" w:type="dxa"/>
        <w:tblLayout w:type="fixed"/>
        <w:tblCellMar>
          <w:left w:w="72" w:type="dxa"/>
          <w:right w:w="72" w:type="dxa"/>
        </w:tblCellMar>
        <w:tblLook w:val="0000" w:firstRow="0" w:lastRow="0" w:firstColumn="0" w:lastColumn="0" w:noHBand="0" w:noVBand="0"/>
        <w:tblCaption w:val="Table of Summary of Chesapeake Bay Water Clarity Criteria for Application to Shallow-Water SAV Designated Use Habitats"/>
        <w:tblDescription w:val="Summary of Chesapeake Bay water clarity criteria for application to Shallow-Water SAV designated use habitats"/>
      </w:tblPr>
      <w:tblGrid>
        <w:gridCol w:w="1757"/>
        <w:gridCol w:w="1028"/>
        <w:gridCol w:w="2250"/>
        <w:gridCol w:w="2070"/>
        <w:gridCol w:w="2392"/>
      </w:tblGrid>
      <w:tr w:rsidR="000C4308" w:rsidRPr="00440288" w14:paraId="2777E647" w14:textId="77777777">
        <w:trPr>
          <w:trHeight w:val="476"/>
          <w:tblHeader/>
        </w:trPr>
        <w:tc>
          <w:tcPr>
            <w:tcW w:w="1757" w:type="dxa"/>
            <w:tcBorders>
              <w:top w:val="single" w:sz="12" w:space="0" w:color="auto"/>
              <w:bottom w:val="single" w:sz="4" w:space="0" w:color="auto"/>
            </w:tcBorders>
            <w:vAlign w:val="center"/>
          </w:tcPr>
          <w:p w14:paraId="55D6D727" w14:textId="77777777" w:rsidR="000C4308" w:rsidRPr="00691D33"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bCs/>
                <w:sz w:val="22"/>
                <w:szCs w:val="22"/>
              </w:rPr>
            </w:pPr>
            <w:r w:rsidRPr="00691D33">
              <w:rPr>
                <w:rFonts w:cstheme="minorHAnsi"/>
                <w:b/>
                <w:bCs/>
                <w:sz w:val="22"/>
                <w:szCs w:val="22"/>
              </w:rPr>
              <w:t>Chesapeake Bay Program Segment</w:t>
            </w:r>
          </w:p>
        </w:tc>
        <w:tc>
          <w:tcPr>
            <w:tcW w:w="1028" w:type="dxa"/>
            <w:tcBorders>
              <w:top w:val="single" w:sz="12" w:space="0" w:color="auto"/>
              <w:bottom w:val="single" w:sz="4" w:space="0" w:color="auto"/>
            </w:tcBorders>
            <w:vAlign w:val="center"/>
          </w:tcPr>
          <w:p w14:paraId="2E08C943" w14:textId="77777777" w:rsidR="000C4308" w:rsidRPr="00691D33"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bCs/>
                <w:sz w:val="22"/>
                <w:szCs w:val="22"/>
              </w:rPr>
            </w:pPr>
            <w:r w:rsidRPr="00691D33">
              <w:rPr>
                <w:rFonts w:cstheme="minorHAnsi"/>
                <w:b/>
                <w:bCs/>
                <w:sz w:val="22"/>
                <w:szCs w:val="22"/>
              </w:rPr>
              <w:t>SAV Acres</w:t>
            </w:r>
            <w:r w:rsidRPr="00691D33">
              <w:rPr>
                <w:rFonts w:cstheme="minorHAnsi"/>
                <w:b/>
                <w:bCs/>
                <w:sz w:val="22"/>
                <w:szCs w:val="22"/>
                <w:vertAlign w:val="superscript"/>
              </w:rPr>
              <w:t>1</w:t>
            </w:r>
          </w:p>
        </w:tc>
        <w:tc>
          <w:tcPr>
            <w:tcW w:w="2250" w:type="dxa"/>
            <w:tcBorders>
              <w:top w:val="single" w:sz="12" w:space="0" w:color="auto"/>
              <w:bottom w:val="single" w:sz="4" w:space="0" w:color="auto"/>
            </w:tcBorders>
            <w:vAlign w:val="center"/>
          </w:tcPr>
          <w:p w14:paraId="221DDDDE" w14:textId="77777777" w:rsidR="000C4308" w:rsidRPr="00691D33"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bCs/>
                <w:sz w:val="22"/>
                <w:szCs w:val="22"/>
              </w:rPr>
            </w:pPr>
            <w:r w:rsidRPr="00691D33">
              <w:rPr>
                <w:rFonts w:cstheme="minorHAnsi"/>
                <w:b/>
                <w:bCs/>
                <w:sz w:val="22"/>
                <w:szCs w:val="22"/>
              </w:rPr>
              <w:t>Percent light-through-water</w:t>
            </w:r>
            <w:r w:rsidRPr="00691D33">
              <w:rPr>
                <w:rFonts w:cstheme="minorHAnsi"/>
                <w:b/>
                <w:bCs/>
                <w:sz w:val="22"/>
                <w:szCs w:val="22"/>
                <w:vertAlign w:val="superscript"/>
              </w:rPr>
              <w:t>2</w:t>
            </w:r>
          </w:p>
        </w:tc>
        <w:tc>
          <w:tcPr>
            <w:tcW w:w="2070" w:type="dxa"/>
            <w:tcBorders>
              <w:top w:val="single" w:sz="12" w:space="0" w:color="auto"/>
              <w:bottom w:val="single" w:sz="4" w:space="0" w:color="auto"/>
            </w:tcBorders>
            <w:vAlign w:val="center"/>
          </w:tcPr>
          <w:p w14:paraId="6ED54EE9" w14:textId="77777777" w:rsidR="000C4308" w:rsidRPr="00691D33"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bCs/>
                <w:color w:val="FF0000"/>
                <w:sz w:val="22"/>
                <w:szCs w:val="22"/>
              </w:rPr>
            </w:pPr>
            <w:r w:rsidRPr="00691D33">
              <w:rPr>
                <w:rFonts w:cstheme="minorHAnsi"/>
                <w:b/>
                <w:bCs/>
                <w:sz w:val="22"/>
                <w:szCs w:val="22"/>
              </w:rPr>
              <w:t>Water Clarity Acres</w:t>
            </w:r>
            <w:r w:rsidRPr="00691D33">
              <w:rPr>
                <w:rFonts w:cstheme="minorHAnsi"/>
                <w:b/>
                <w:bCs/>
                <w:sz w:val="22"/>
                <w:szCs w:val="22"/>
                <w:vertAlign w:val="superscript"/>
              </w:rPr>
              <w:t>1</w:t>
            </w:r>
            <w:r w:rsidRPr="00691D33">
              <w:rPr>
                <w:rFonts w:cstheme="minorHAnsi"/>
                <w:b/>
                <w:bCs/>
                <w:sz w:val="22"/>
                <w:szCs w:val="22"/>
              </w:rPr>
              <w:t xml:space="preserve"> </w:t>
            </w:r>
          </w:p>
        </w:tc>
        <w:tc>
          <w:tcPr>
            <w:tcW w:w="2392" w:type="dxa"/>
            <w:tcBorders>
              <w:top w:val="single" w:sz="12" w:space="0" w:color="auto"/>
              <w:bottom w:val="single" w:sz="4" w:space="0" w:color="auto"/>
            </w:tcBorders>
            <w:vAlign w:val="center"/>
          </w:tcPr>
          <w:p w14:paraId="08412281" w14:textId="77777777" w:rsidR="000C4308" w:rsidRPr="00691D33"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bCs/>
                <w:sz w:val="22"/>
                <w:szCs w:val="22"/>
              </w:rPr>
            </w:pPr>
            <w:r w:rsidRPr="00691D33">
              <w:rPr>
                <w:rFonts w:cstheme="minorHAnsi"/>
                <w:b/>
                <w:bCs/>
                <w:sz w:val="22"/>
                <w:szCs w:val="22"/>
              </w:rPr>
              <w:t>Temporal Application</w:t>
            </w:r>
          </w:p>
          <w:p w14:paraId="45D56B08" w14:textId="77777777" w:rsidR="000C4308" w:rsidRPr="00691D33"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bCs/>
                <w:color w:val="FF0000"/>
                <w:sz w:val="22"/>
                <w:szCs w:val="22"/>
              </w:rPr>
            </w:pPr>
            <w:r w:rsidRPr="00691D33">
              <w:rPr>
                <w:rFonts w:cstheme="minorHAnsi"/>
                <w:b/>
                <w:bCs/>
                <w:sz w:val="22"/>
                <w:szCs w:val="22"/>
              </w:rPr>
              <w:t xml:space="preserve"> </w:t>
            </w:r>
          </w:p>
        </w:tc>
      </w:tr>
      <w:tr w:rsidR="000C4308" w:rsidRPr="00440288" w14:paraId="0B6472B3" w14:textId="77777777">
        <w:trPr>
          <w:trHeight w:val="72"/>
        </w:trPr>
        <w:tc>
          <w:tcPr>
            <w:tcW w:w="1757" w:type="dxa"/>
            <w:tcBorders>
              <w:top w:val="single" w:sz="4" w:space="0" w:color="auto"/>
            </w:tcBorders>
            <w:vAlign w:val="center"/>
          </w:tcPr>
          <w:p w14:paraId="3DC9F98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CB5MH</w:t>
            </w:r>
          </w:p>
        </w:tc>
        <w:tc>
          <w:tcPr>
            <w:tcW w:w="1028" w:type="dxa"/>
            <w:tcBorders>
              <w:top w:val="single" w:sz="4" w:space="0" w:color="auto"/>
            </w:tcBorders>
            <w:vAlign w:val="center"/>
          </w:tcPr>
          <w:p w14:paraId="087576D3"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7,633</w:t>
            </w:r>
          </w:p>
        </w:tc>
        <w:tc>
          <w:tcPr>
            <w:tcW w:w="2250" w:type="dxa"/>
            <w:tcBorders>
              <w:top w:val="single" w:sz="4" w:space="0" w:color="auto"/>
            </w:tcBorders>
          </w:tcPr>
          <w:p w14:paraId="1D5C2F88"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tcBorders>
              <w:top w:val="single" w:sz="4" w:space="0" w:color="auto"/>
            </w:tcBorders>
            <w:vAlign w:val="center"/>
          </w:tcPr>
          <w:p w14:paraId="749834B1"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14,514</w:t>
            </w:r>
          </w:p>
        </w:tc>
        <w:tc>
          <w:tcPr>
            <w:tcW w:w="2392" w:type="dxa"/>
            <w:tcBorders>
              <w:top w:val="single" w:sz="4" w:space="0" w:color="auto"/>
            </w:tcBorders>
            <w:vAlign w:val="center"/>
          </w:tcPr>
          <w:p w14:paraId="0E2A64A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21CE955B" w14:textId="77777777">
        <w:trPr>
          <w:trHeight w:val="72"/>
        </w:trPr>
        <w:tc>
          <w:tcPr>
            <w:tcW w:w="1757" w:type="dxa"/>
            <w:vAlign w:val="center"/>
          </w:tcPr>
          <w:p w14:paraId="2791058F"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CB6PH</w:t>
            </w:r>
          </w:p>
        </w:tc>
        <w:tc>
          <w:tcPr>
            <w:tcW w:w="1028" w:type="dxa"/>
            <w:vAlign w:val="center"/>
          </w:tcPr>
          <w:p w14:paraId="018F1233"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1,267</w:t>
            </w:r>
          </w:p>
        </w:tc>
        <w:tc>
          <w:tcPr>
            <w:tcW w:w="2250" w:type="dxa"/>
            <w:vAlign w:val="center"/>
          </w:tcPr>
          <w:p w14:paraId="68B9DA6F"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3CFDBF1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3,168</w:t>
            </w:r>
          </w:p>
        </w:tc>
        <w:tc>
          <w:tcPr>
            <w:tcW w:w="2392" w:type="dxa"/>
            <w:vAlign w:val="center"/>
          </w:tcPr>
          <w:p w14:paraId="6D99012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March 1 - November 30</w:t>
            </w:r>
          </w:p>
        </w:tc>
      </w:tr>
      <w:tr w:rsidR="000C4308" w:rsidRPr="00440288" w14:paraId="5583F462" w14:textId="77777777">
        <w:trPr>
          <w:trHeight w:val="72"/>
        </w:trPr>
        <w:tc>
          <w:tcPr>
            <w:tcW w:w="1757" w:type="dxa"/>
            <w:vAlign w:val="center"/>
          </w:tcPr>
          <w:p w14:paraId="0D448985"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CB7PH</w:t>
            </w:r>
          </w:p>
        </w:tc>
        <w:tc>
          <w:tcPr>
            <w:tcW w:w="1028" w:type="dxa"/>
            <w:vAlign w:val="center"/>
          </w:tcPr>
          <w:p w14:paraId="195C7568"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15,107</w:t>
            </w:r>
          </w:p>
        </w:tc>
        <w:tc>
          <w:tcPr>
            <w:tcW w:w="2250" w:type="dxa"/>
            <w:vAlign w:val="center"/>
          </w:tcPr>
          <w:p w14:paraId="0B10D234"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1F5CC9F1"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34,085</w:t>
            </w:r>
          </w:p>
        </w:tc>
        <w:tc>
          <w:tcPr>
            <w:tcW w:w="2392" w:type="dxa"/>
            <w:vAlign w:val="center"/>
          </w:tcPr>
          <w:p w14:paraId="45BBED1B"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March 1 - November 30</w:t>
            </w:r>
          </w:p>
        </w:tc>
      </w:tr>
      <w:tr w:rsidR="000C4308" w:rsidRPr="00440288" w14:paraId="7AC0F14B" w14:textId="77777777">
        <w:trPr>
          <w:trHeight w:val="72"/>
        </w:trPr>
        <w:tc>
          <w:tcPr>
            <w:tcW w:w="1757" w:type="dxa"/>
            <w:vAlign w:val="center"/>
          </w:tcPr>
          <w:p w14:paraId="424329B2"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CB8PH</w:t>
            </w:r>
          </w:p>
        </w:tc>
        <w:tc>
          <w:tcPr>
            <w:tcW w:w="1028" w:type="dxa"/>
            <w:vAlign w:val="center"/>
          </w:tcPr>
          <w:p w14:paraId="25A36031"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11</w:t>
            </w:r>
          </w:p>
        </w:tc>
        <w:tc>
          <w:tcPr>
            <w:tcW w:w="2250" w:type="dxa"/>
            <w:vAlign w:val="center"/>
          </w:tcPr>
          <w:p w14:paraId="07ADF911"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3838BCAB"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28</w:t>
            </w:r>
          </w:p>
        </w:tc>
        <w:tc>
          <w:tcPr>
            <w:tcW w:w="2392" w:type="dxa"/>
            <w:vAlign w:val="center"/>
          </w:tcPr>
          <w:p w14:paraId="73AACE8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March 1 - November 30</w:t>
            </w:r>
          </w:p>
        </w:tc>
      </w:tr>
      <w:tr w:rsidR="000C4308" w:rsidRPr="00440288" w14:paraId="5EA5442E" w14:textId="77777777">
        <w:trPr>
          <w:trHeight w:val="72"/>
        </w:trPr>
        <w:tc>
          <w:tcPr>
            <w:tcW w:w="1757" w:type="dxa"/>
            <w:vAlign w:val="center"/>
          </w:tcPr>
          <w:p w14:paraId="56F5C08F"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POTTF</w:t>
            </w:r>
          </w:p>
        </w:tc>
        <w:tc>
          <w:tcPr>
            <w:tcW w:w="1028" w:type="dxa"/>
            <w:vAlign w:val="center"/>
          </w:tcPr>
          <w:p w14:paraId="2CE9009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2,093</w:t>
            </w:r>
          </w:p>
        </w:tc>
        <w:tc>
          <w:tcPr>
            <w:tcW w:w="2250" w:type="dxa"/>
            <w:vAlign w:val="center"/>
          </w:tcPr>
          <w:p w14:paraId="01C8AE7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w:t>
            </w:r>
          </w:p>
        </w:tc>
        <w:tc>
          <w:tcPr>
            <w:tcW w:w="2070" w:type="dxa"/>
            <w:vAlign w:val="center"/>
          </w:tcPr>
          <w:p w14:paraId="0ADA16F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5,233</w:t>
            </w:r>
          </w:p>
        </w:tc>
        <w:tc>
          <w:tcPr>
            <w:tcW w:w="2392" w:type="dxa"/>
            <w:vAlign w:val="center"/>
          </w:tcPr>
          <w:p w14:paraId="6BB01F14"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1BB7481D" w14:textId="77777777">
        <w:trPr>
          <w:trHeight w:val="72"/>
        </w:trPr>
        <w:tc>
          <w:tcPr>
            <w:tcW w:w="1757" w:type="dxa"/>
            <w:vAlign w:val="center"/>
          </w:tcPr>
          <w:p w14:paraId="0535886F"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POTOH</w:t>
            </w:r>
          </w:p>
        </w:tc>
        <w:tc>
          <w:tcPr>
            <w:tcW w:w="1028" w:type="dxa"/>
            <w:vAlign w:val="center"/>
          </w:tcPr>
          <w:p w14:paraId="71BFB721"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1,503</w:t>
            </w:r>
          </w:p>
        </w:tc>
        <w:tc>
          <w:tcPr>
            <w:tcW w:w="2250" w:type="dxa"/>
            <w:vAlign w:val="center"/>
          </w:tcPr>
          <w:p w14:paraId="62E15EA7"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w:t>
            </w:r>
          </w:p>
        </w:tc>
        <w:tc>
          <w:tcPr>
            <w:tcW w:w="2070" w:type="dxa"/>
            <w:vAlign w:val="center"/>
          </w:tcPr>
          <w:p w14:paraId="7AF91BA2"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3,758</w:t>
            </w:r>
          </w:p>
        </w:tc>
        <w:tc>
          <w:tcPr>
            <w:tcW w:w="2392" w:type="dxa"/>
            <w:vAlign w:val="center"/>
          </w:tcPr>
          <w:p w14:paraId="41A6166E"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39ACAF2C" w14:textId="77777777">
        <w:trPr>
          <w:trHeight w:val="72"/>
        </w:trPr>
        <w:tc>
          <w:tcPr>
            <w:tcW w:w="1757" w:type="dxa"/>
            <w:vAlign w:val="center"/>
          </w:tcPr>
          <w:p w14:paraId="61564551"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POTMH</w:t>
            </w:r>
          </w:p>
        </w:tc>
        <w:tc>
          <w:tcPr>
            <w:tcW w:w="1028" w:type="dxa"/>
            <w:vAlign w:val="center"/>
          </w:tcPr>
          <w:p w14:paraId="45AE2AE3"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4,250</w:t>
            </w:r>
          </w:p>
        </w:tc>
        <w:tc>
          <w:tcPr>
            <w:tcW w:w="2250" w:type="dxa"/>
            <w:vAlign w:val="center"/>
          </w:tcPr>
          <w:p w14:paraId="45B026F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11D3F68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10,625</w:t>
            </w:r>
          </w:p>
        </w:tc>
        <w:tc>
          <w:tcPr>
            <w:tcW w:w="2392" w:type="dxa"/>
            <w:vAlign w:val="center"/>
          </w:tcPr>
          <w:p w14:paraId="0BA45063"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3B908113" w14:textId="77777777">
        <w:trPr>
          <w:trHeight w:val="72"/>
        </w:trPr>
        <w:tc>
          <w:tcPr>
            <w:tcW w:w="1757" w:type="dxa"/>
            <w:vAlign w:val="center"/>
          </w:tcPr>
          <w:p w14:paraId="30C8F038"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RPPTF</w:t>
            </w:r>
          </w:p>
        </w:tc>
        <w:tc>
          <w:tcPr>
            <w:tcW w:w="1028" w:type="dxa"/>
            <w:vAlign w:val="center"/>
          </w:tcPr>
          <w:p w14:paraId="27B467E4"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66</w:t>
            </w:r>
          </w:p>
        </w:tc>
        <w:tc>
          <w:tcPr>
            <w:tcW w:w="2250" w:type="dxa"/>
            <w:vAlign w:val="center"/>
          </w:tcPr>
          <w:p w14:paraId="4F025D9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w:t>
            </w:r>
          </w:p>
        </w:tc>
        <w:tc>
          <w:tcPr>
            <w:tcW w:w="2070" w:type="dxa"/>
            <w:vAlign w:val="center"/>
          </w:tcPr>
          <w:p w14:paraId="28CE03F6"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165</w:t>
            </w:r>
          </w:p>
        </w:tc>
        <w:tc>
          <w:tcPr>
            <w:tcW w:w="2392" w:type="dxa"/>
            <w:vAlign w:val="center"/>
          </w:tcPr>
          <w:p w14:paraId="027AC97D"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737294C4" w14:textId="77777777">
        <w:trPr>
          <w:trHeight w:val="72"/>
        </w:trPr>
        <w:tc>
          <w:tcPr>
            <w:tcW w:w="1757" w:type="dxa"/>
            <w:vAlign w:val="center"/>
          </w:tcPr>
          <w:p w14:paraId="31B48661"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RPPOH</w:t>
            </w:r>
          </w:p>
        </w:tc>
        <w:tc>
          <w:tcPr>
            <w:tcW w:w="1028" w:type="dxa"/>
            <w:vAlign w:val="center"/>
          </w:tcPr>
          <w:p w14:paraId="759404D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000000"/>
                <w:sz w:val="22"/>
                <w:szCs w:val="22"/>
              </w:rPr>
            </w:pPr>
            <w:r w:rsidRPr="008F1410">
              <w:rPr>
                <w:rFonts w:cstheme="minorHAnsi"/>
                <w:color w:val="000000"/>
                <w:sz w:val="22"/>
                <w:szCs w:val="22"/>
              </w:rPr>
              <w:t>4</w:t>
            </w:r>
          </w:p>
        </w:tc>
        <w:tc>
          <w:tcPr>
            <w:tcW w:w="2250" w:type="dxa"/>
            <w:vAlign w:val="center"/>
          </w:tcPr>
          <w:p w14:paraId="4A8B7304"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w:t>
            </w:r>
          </w:p>
        </w:tc>
        <w:tc>
          <w:tcPr>
            <w:tcW w:w="2070" w:type="dxa"/>
            <w:vAlign w:val="center"/>
          </w:tcPr>
          <w:p w14:paraId="62C84D7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000000"/>
                <w:sz w:val="22"/>
                <w:szCs w:val="22"/>
              </w:rPr>
            </w:pPr>
            <w:r w:rsidRPr="008F1410">
              <w:rPr>
                <w:rFonts w:cstheme="minorHAnsi"/>
                <w:color w:val="000000"/>
                <w:sz w:val="22"/>
                <w:szCs w:val="22"/>
              </w:rPr>
              <w:t>10</w:t>
            </w:r>
          </w:p>
        </w:tc>
        <w:tc>
          <w:tcPr>
            <w:tcW w:w="2392" w:type="dxa"/>
            <w:vAlign w:val="center"/>
          </w:tcPr>
          <w:p w14:paraId="3950FFD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11AF357E" w14:textId="77777777">
        <w:trPr>
          <w:trHeight w:val="72"/>
        </w:trPr>
        <w:tc>
          <w:tcPr>
            <w:tcW w:w="1757" w:type="dxa"/>
            <w:vAlign w:val="center"/>
          </w:tcPr>
          <w:p w14:paraId="0DC22AF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RPPMH</w:t>
            </w:r>
          </w:p>
        </w:tc>
        <w:tc>
          <w:tcPr>
            <w:tcW w:w="1028" w:type="dxa"/>
            <w:vAlign w:val="center"/>
          </w:tcPr>
          <w:p w14:paraId="6CF77164"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 xml:space="preserve"> 5380</w:t>
            </w:r>
          </w:p>
        </w:tc>
        <w:tc>
          <w:tcPr>
            <w:tcW w:w="2250" w:type="dxa"/>
            <w:vAlign w:val="center"/>
          </w:tcPr>
          <w:p w14:paraId="6BC5E87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2274D143"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000000"/>
                <w:sz w:val="22"/>
                <w:szCs w:val="22"/>
              </w:rPr>
            </w:pPr>
            <w:r w:rsidRPr="008F1410">
              <w:rPr>
                <w:rFonts w:cstheme="minorHAnsi"/>
                <w:color w:val="000000"/>
                <w:sz w:val="22"/>
                <w:szCs w:val="22"/>
              </w:rPr>
              <w:t>13,450</w:t>
            </w:r>
          </w:p>
        </w:tc>
        <w:tc>
          <w:tcPr>
            <w:tcW w:w="2392" w:type="dxa"/>
            <w:vAlign w:val="center"/>
          </w:tcPr>
          <w:p w14:paraId="768CC6B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6F8AE6A5" w14:textId="77777777">
        <w:trPr>
          <w:trHeight w:val="72"/>
        </w:trPr>
        <w:tc>
          <w:tcPr>
            <w:tcW w:w="1757" w:type="dxa"/>
            <w:vAlign w:val="center"/>
          </w:tcPr>
          <w:p w14:paraId="09A3D774"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CRRMH</w:t>
            </w:r>
          </w:p>
        </w:tc>
        <w:tc>
          <w:tcPr>
            <w:tcW w:w="1028" w:type="dxa"/>
            <w:vAlign w:val="center"/>
          </w:tcPr>
          <w:p w14:paraId="6D8D24D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768</w:t>
            </w:r>
          </w:p>
        </w:tc>
        <w:tc>
          <w:tcPr>
            <w:tcW w:w="2250" w:type="dxa"/>
            <w:vAlign w:val="center"/>
          </w:tcPr>
          <w:p w14:paraId="5ACBA36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51476E2B"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1,920</w:t>
            </w:r>
          </w:p>
        </w:tc>
        <w:tc>
          <w:tcPr>
            <w:tcW w:w="2392" w:type="dxa"/>
            <w:vAlign w:val="center"/>
          </w:tcPr>
          <w:p w14:paraId="3C5A4EB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3BA33437" w14:textId="77777777">
        <w:trPr>
          <w:trHeight w:val="72"/>
        </w:trPr>
        <w:tc>
          <w:tcPr>
            <w:tcW w:w="1757" w:type="dxa"/>
            <w:vAlign w:val="center"/>
          </w:tcPr>
          <w:p w14:paraId="3EBF472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PIAMH</w:t>
            </w:r>
          </w:p>
        </w:tc>
        <w:tc>
          <w:tcPr>
            <w:tcW w:w="1028" w:type="dxa"/>
            <w:vAlign w:val="center"/>
          </w:tcPr>
          <w:p w14:paraId="4B1A26F2"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3,479</w:t>
            </w:r>
          </w:p>
        </w:tc>
        <w:tc>
          <w:tcPr>
            <w:tcW w:w="2250" w:type="dxa"/>
            <w:vAlign w:val="center"/>
          </w:tcPr>
          <w:p w14:paraId="4554E216"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64724D77"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8,014</w:t>
            </w:r>
          </w:p>
        </w:tc>
        <w:tc>
          <w:tcPr>
            <w:tcW w:w="2392" w:type="dxa"/>
            <w:vAlign w:val="center"/>
          </w:tcPr>
          <w:p w14:paraId="1012C884"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512550CA" w14:textId="77777777">
        <w:trPr>
          <w:trHeight w:val="72"/>
        </w:trPr>
        <w:tc>
          <w:tcPr>
            <w:tcW w:w="1757" w:type="dxa"/>
            <w:vAlign w:val="center"/>
          </w:tcPr>
          <w:p w14:paraId="7F16E7A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MPNTF</w:t>
            </w:r>
          </w:p>
        </w:tc>
        <w:tc>
          <w:tcPr>
            <w:tcW w:w="1028" w:type="dxa"/>
            <w:vAlign w:val="center"/>
          </w:tcPr>
          <w:p w14:paraId="2CC23BC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85</w:t>
            </w:r>
          </w:p>
        </w:tc>
        <w:tc>
          <w:tcPr>
            <w:tcW w:w="2250" w:type="dxa"/>
            <w:vAlign w:val="center"/>
          </w:tcPr>
          <w:p w14:paraId="327B0A3F"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w:t>
            </w:r>
          </w:p>
        </w:tc>
        <w:tc>
          <w:tcPr>
            <w:tcW w:w="2070" w:type="dxa"/>
            <w:vAlign w:val="center"/>
          </w:tcPr>
          <w:p w14:paraId="3544D007"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213</w:t>
            </w:r>
          </w:p>
        </w:tc>
        <w:tc>
          <w:tcPr>
            <w:tcW w:w="2392" w:type="dxa"/>
            <w:vAlign w:val="center"/>
          </w:tcPr>
          <w:p w14:paraId="2BED7EC7"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75CEC8E8" w14:textId="77777777">
        <w:trPr>
          <w:trHeight w:val="72"/>
        </w:trPr>
        <w:tc>
          <w:tcPr>
            <w:tcW w:w="1757" w:type="dxa"/>
            <w:vAlign w:val="center"/>
          </w:tcPr>
          <w:p w14:paraId="1F992D93"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MPNOH</w:t>
            </w:r>
          </w:p>
        </w:tc>
        <w:tc>
          <w:tcPr>
            <w:tcW w:w="1028" w:type="dxa"/>
            <w:vAlign w:val="center"/>
          </w:tcPr>
          <w:p w14:paraId="5276323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c>
          <w:tcPr>
            <w:tcW w:w="2250" w:type="dxa"/>
            <w:vAlign w:val="center"/>
          </w:tcPr>
          <w:p w14:paraId="1B719C0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c>
          <w:tcPr>
            <w:tcW w:w="2070" w:type="dxa"/>
            <w:vAlign w:val="center"/>
          </w:tcPr>
          <w:p w14:paraId="707BCB4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c>
          <w:tcPr>
            <w:tcW w:w="2392" w:type="dxa"/>
            <w:vAlign w:val="center"/>
          </w:tcPr>
          <w:p w14:paraId="5831491D"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r>
      <w:tr w:rsidR="000C4308" w:rsidRPr="00440288" w14:paraId="4465688B" w14:textId="77777777">
        <w:trPr>
          <w:trHeight w:val="72"/>
        </w:trPr>
        <w:tc>
          <w:tcPr>
            <w:tcW w:w="1757" w:type="dxa"/>
            <w:vAlign w:val="center"/>
          </w:tcPr>
          <w:p w14:paraId="18FE514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PMKTF</w:t>
            </w:r>
          </w:p>
        </w:tc>
        <w:tc>
          <w:tcPr>
            <w:tcW w:w="1028" w:type="dxa"/>
            <w:vAlign w:val="center"/>
          </w:tcPr>
          <w:p w14:paraId="6F8131A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187</w:t>
            </w:r>
          </w:p>
        </w:tc>
        <w:tc>
          <w:tcPr>
            <w:tcW w:w="2250" w:type="dxa"/>
            <w:vAlign w:val="center"/>
          </w:tcPr>
          <w:p w14:paraId="4A5B1FE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w:t>
            </w:r>
          </w:p>
        </w:tc>
        <w:tc>
          <w:tcPr>
            <w:tcW w:w="2070" w:type="dxa"/>
            <w:vAlign w:val="center"/>
          </w:tcPr>
          <w:p w14:paraId="24E48092"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468</w:t>
            </w:r>
          </w:p>
        </w:tc>
        <w:tc>
          <w:tcPr>
            <w:tcW w:w="2392" w:type="dxa"/>
            <w:vAlign w:val="center"/>
          </w:tcPr>
          <w:p w14:paraId="6D2520B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57E9817F" w14:textId="77777777">
        <w:trPr>
          <w:trHeight w:val="72"/>
        </w:trPr>
        <w:tc>
          <w:tcPr>
            <w:tcW w:w="1757" w:type="dxa"/>
            <w:vAlign w:val="center"/>
          </w:tcPr>
          <w:p w14:paraId="016888C6"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PMKOH</w:t>
            </w:r>
          </w:p>
        </w:tc>
        <w:tc>
          <w:tcPr>
            <w:tcW w:w="1028" w:type="dxa"/>
            <w:vAlign w:val="center"/>
          </w:tcPr>
          <w:p w14:paraId="2253B31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c>
          <w:tcPr>
            <w:tcW w:w="2250" w:type="dxa"/>
            <w:vAlign w:val="center"/>
          </w:tcPr>
          <w:p w14:paraId="000AB581"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c>
          <w:tcPr>
            <w:tcW w:w="2070" w:type="dxa"/>
            <w:vAlign w:val="center"/>
          </w:tcPr>
          <w:p w14:paraId="35E1D8A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c>
          <w:tcPr>
            <w:tcW w:w="2392" w:type="dxa"/>
            <w:vAlign w:val="center"/>
          </w:tcPr>
          <w:p w14:paraId="3441B5D5"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r>
      <w:tr w:rsidR="000C4308" w:rsidRPr="00440288" w14:paraId="0FAB59FD" w14:textId="77777777">
        <w:trPr>
          <w:trHeight w:val="72"/>
        </w:trPr>
        <w:tc>
          <w:tcPr>
            <w:tcW w:w="1757" w:type="dxa"/>
            <w:vAlign w:val="center"/>
          </w:tcPr>
          <w:p w14:paraId="3419CC2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YRKMH</w:t>
            </w:r>
          </w:p>
        </w:tc>
        <w:tc>
          <w:tcPr>
            <w:tcW w:w="1028" w:type="dxa"/>
            <w:vAlign w:val="center"/>
          </w:tcPr>
          <w:p w14:paraId="5CBA37BB"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239</w:t>
            </w:r>
          </w:p>
        </w:tc>
        <w:tc>
          <w:tcPr>
            <w:tcW w:w="2250" w:type="dxa"/>
            <w:vAlign w:val="center"/>
          </w:tcPr>
          <w:p w14:paraId="6EF8DDEB"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5C666A2B"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598</w:t>
            </w:r>
          </w:p>
        </w:tc>
        <w:tc>
          <w:tcPr>
            <w:tcW w:w="2392" w:type="dxa"/>
            <w:vAlign w:val="center"/>
          </w:tcPr>
          <w:p w14:paraId="6003DFBE"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12984353" w14:textId="77777777">
        <w:trPr>
          <w:trHeight w:val="72"/>
        </w:trPr>
        <w:tc>
          <w:tcPr>
            <w:tcW w:w="1757" w:type="dxa"/>
            <w:vAlign w:val="center"/>
          </w:tcPr>
          <w:p w14:paraId="3BA7E9D8"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YRKPH</w:t>
            </w:r>
          </w:p>
        </w:tc>
        <w:tc>
          <w:tcPr>
            <w:tcW w:w="1028" w:type="dxa"/>
            <w:vAlign w:val="center"/>
          </w:tcPr>
          <w:p w14:paraId="33C2E062"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2,793</w:t>
            </w:r>
          </w:p>
        </w:tc>
        <w:tc>
          <w:tcPr>
            <w:tcW w:w="2250" w:type="dxa"/>
            <w:vAlign w:val="center"/>
          </w:tcPr>
          <w:p w14:paraId="5626CC11"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296F986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000000"/>
                <w:sz w:val="22"/>
                <w:szCs w:val="22"/>
              </w:rPr>
            </w:pPr>
            <w:r w:rsidRPr="008F1410">
              <w:rPr>
                <w:rFonts w:cstheme="minorHAnsi"/>
                <w:color w:val="000000"/>
                <w:sz w:val="22"/>
                <w:szCs w:val="22"/>
              </w:rPr>
              <w:t>6,982</w:t>
            </w:r>
          </w:p>
        </w:tc>
        <w:tc>
          <w:tcPr>
            <w:tcW w:w="2392" w:type="dxa"/>
            <w:vAlign w:val="center"/>
          </w:tcPr>
          <w:p w14:paraId="39371E75"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March 1 - November 30</w:t>
            </w:r>
          </w:p>
        </w:tc>
      </w:tr>
      <w:tr w:rsidR="000C4308" w:rsidRPr="00440288" w14:paraId="3D5BEEE6" w14:textId="77777777">
        <w:trPr>
          <w:trHeight w:val="72"/>
        </w:trPr>
        <w:tc>
          <w:tcPr>
            <w:tcW w:w="1757" w:type="dxa"/>
            <w:vAlign w:val="center"/>
          </w:tcPr>
          <w:p w14:paraId="765B924D"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lastRenderedPageBreak/>
              <w:t>MOBPH</w:t>
            </w:r>
          </w:p>
        </w:tc>
        <w:tc>
          <w:tcPr>
            <w:tcW w:w="1028" w:type="dxa"/>
            <w:vAlign w:val="center"/>
          </w:tcPr>
          <w:p w14:paraId="32089B4B"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15,901</w:t>
            </w:r>
          </w:p>
        </w:tc>
        <w:tc>
          <w:tcPr>
            <w:tcW w:w="2250" w:type="dxa"/>
            <w:vAlign w:val="center"/>
          </w:tcPr>
          <w:p w14:paraId="0F3A67E3"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4EB0288F"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33,990</w:t>
            </w:r>
          </w:p>
        </w:tc>
        <w:tc>
          <w:tcPr>
            <w:tcW w:w="2392" w:type="dxa"/>
            <w:vAlign w:val="center"/>
          </w:tcPr>
          <w:p w14:paraId="5710DF86"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March 1 - November 30</w:t>
            </w:r>
          </w:p>
        </w:tc>
      </w:tr>
      <w:tr w:rsidR="000C4308" w:rsidRPr="00440288" w14:paraId="004C68D5" w14:textId="77777777">
        <w:trPr>
          <w:trHeight w:val="72"/>
        </w:trPr>
        <w:tc>
          <w:tcPr>
            <w:tcW w:w="1757" w:type="dxa"/>
            <w:vAlign w:val="center"/>
          </w:tcPr>
          <w:p w14:paraId="0AE8B185"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JMSTF2</w:t>
            </w:r>
          </w:p>
        </w:tc>
        <w:tc>
          <w:tcPr>
            <w:tcW w:w="1028" w:type="dxa"/>
            <w:vAlign w:val="center"/>
          </w:tcPr>
          <w:p w14:paraId="1BEEE521"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266</w:t>
            </w:r>
          </w:p>
        </w:tc>
        <w:tc>
          <w:tcPr>
            <w:tcW w:w="2250" w:type="dxa"/>
            <w:vAlign w:val="center"/>
          </w:tcPr>
          <w:p w14:paraId="36D8E41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w:t>
            </w:r>
          </w:p>
        </w:tc>
        <w:tc>
          <w:tcPr>
            <w:tcW w:w="2070" w:type="dxa"/>
            <w:vAlign w:val="center"/>
          </w:tcPr>
          <w:p w14:paraId="39B38D5E"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665</w:t>
            </w:r>
          </w:p>
        </w:tc>
        <w:tc>
          <w:tcPr>
            <w:tcW w:w="2392" w:type="dxa"/>
            <w:vAlign w:val="center"/>
          </w:tcPr>
          <w:p w14:paraId="3843136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36F3A09B" w14:textId="77777777">
        <w:trPr>
          <w:trHeight w:val="72"/>
        </w:trPr>
        <w:tc>
          <w:tcPr>
            <w:tcW w:w="1757" w:type="dxa"/>
            <w:vAlign w:val="center"/>
          </w:tcPr>
          <w:p w14:paraId="0E5E6403"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JMSTF1</w:t>
            </w:r>
          </w:p>
        </w:tc>
        <w:tc>
          <w:tcPr>
            <w:tcW w:w="1028" w:type="dxa"/>
            <w:vAlign w:val="center"/>
          </w:tcPr>
          <w:p w14:paraId="562F7625"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1333</w:t>
            </w:r>
          </w:p>
        </w:tc>
        <w:tc>
          <w:tcPr>
            <w:tcW w:w="2250" w:type="dxa"/>
            <w:vAlign w:val="center"/>
          </w:tcPr>
          <w:p w14:paraId="75D45458"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w:t>
            </w:r>
          </w:p>
        </w:tc>
        <w:tc>
          <w:tcPr>
            <w:tcW w:w="2070" w:type="dxa"/>
            <w:vAlign w:val="center"/>
          </w:tcPr>
          <w:p w14:paraId="6DB49D64"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3,332</w:t>
            </w:r>
          </w:p>
        </w:tc>
        <w:tc>
          <w:tcPr>
            <w:tcW w:w="2392" w:type="dxa"/>
            <w:vAlign w:val="center"/>
          </w:tcPr>
          <w:p w14:paraId="4506F50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33D4BEA3" w14:textId="77777777">
        <w:trPr>
          <w:trHeight w:val="72"/>
        </w:trPr>
        <w:tc>
          <w:tcPr>
            <w:tcW w:w="1757" w:type="dxa"/>
            <w:vAlign w:val="center"/>
          </w:tcPr>
          <w:p w14:paraId="3B652C95"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APPTF</w:t>
            </w:r>
          </w:p>
        </w:tc>
        <w:tc>
          <w:tcPr>
            <w:tcW w:w="1028" w:type="dxa"/>
            <w:vAlign w:val="center"/>
          </w:tcPr>
          <w:p w14:paraId="336C148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379</w:t>
            </w:r>
          </w:p>
        </w:tc>
        <w:tc>
          <w:tcPr>
            <w:tcW w:w="2250" w:type="dxa"/>
            <w:vAlign w:val="center"/>
          </w:tcPr>
          <w:p w14:paraId="545CC5C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w:t>
            </w:r>
          </w:p>
        </w:tc>
        <w:tc>
          <w:tcPr>
            <w:tcW w:w="2070" w:type="dxa"/>
            <w:vAlign w:val="center"/>
          </w:tcPr>
          <w:p w14:paraId="061B4BDE"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948</w:t>
            </w:r>
          </w:p>
        </w:tc>
        <w:tc>
          <w:tcPr>
            <w:tcW w:w="2392" w:type="dxa"/>
            <w:vAlign w:val="center"/>
          </w:tcPr>
          <w:p w14:paraId="603A3373"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09E160F9" w14:textId="77777777">
        <w:trPr>
          <w:trHeight w:val="72"/>
        </w:trPr>
        <w:tc>
          <w:tcPr>
            <w:tcW w:w="1757" w:type="dxa"/>
            <w:vAlign w:val="center"/>
          </w:tcPr>
          <w:p w14:paraId="03A2305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JMSOH</w:t>
            </w:r>
          </w:p>
        </w:tc>
        <w:tc>
          <w:tcPr>
            <w:tcW w:w="1028" w:type="dxa"/>
            <w:vAlign w:val="center"/>
          </w:tcPr>
          <w:p w14:paraId="0025F54B"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15</w:t>
            </w:r>
          </w:p>
        </w:tc>
        <w:tc>
          <w:tcPr>
            <w:tcW w:w="2250" w:type="dxa"/>
            <w:vAlign w:val="center"/>
          </w:tcPr>
          <w:p w14:paraId="4B3FF6BE"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w:t>
            </w:r>
          </w:p>
        </w:tc>
        <w:tc>
          <w:tcPr>
            <w:tcW w:w="2070" w:type="dxa"/>
            <w:vAlign w:val="center"/>
          </w:tcPr>
          <w:p w14:paraId="6FE9AF37"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38</w:t>
            </w:r>
          </w:p>
        </w:tc>
        <w:tc>
          <w:tcPr>
            <w:tcW w:w="2392" w:type="dxa"/>
            <w:vAlign w:val="center"/>
          </w:tcPr>
          <w:p w14:paraId="72F3B13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393EAC01" w14:textId="77777777">
        <w:trPr>
          <w:trHeight w:val="72"/>
        </w:trPr>
        <w:tc>
          <w:tcPr>
            <w:tcW w:w="1757" w:type="dxa"/>
            <w:vAlign w:val="center"/>
          </w:tcPr>
          <w:p w14:paraId="2651DE8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CHKOH</w:t>
            </w:r>
          </w:p>
        </w:tc>
        <w:tc>
          <w:tcPr>
            <w:tcW w:w="1028" w:type="dxa"/>
            <w:vAlign w:val="center"/>
          </w:tcPr>
          <w:p w14:paraId="2DD322CF"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535</w:t>
            </w:r>
          </w:p>
        </w:tc>
        <w:tc>
          <w:tcPr>
            <w:tcW w:w="2250" w:type="dxa"/>
            <w:vAlign w:val="center"/>
          </w:tcPr>
          <w:p w14:paraId="17EB2E67"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w:t>
            </w:r>
          </w:p>
        </w:tc>
        <w:tc>
          <w:tcPr>
            <w:tcW w:w="2070" w:type="dxa"/>
            <w:vAlign w:val="center"/>
          </w:tcPr>
          <w:p w14:paraId="345FD8A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1,338</w:t>
            </w:r>
          </w:p>
        </w:tc>
        <w:tc>
          <w:tcPr>
            <w:tcW w:w="2392" w:type="dxa"/>
            <w:vAlign w:val="center"/>
          </w:tcPr>
          <w:p w14:paraId="5C07FB4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16DF72CB" w14:textId="77777777">
        <w:trPr>
          <w:trHeight w:val="72"/>
        </w:trPr>
        <w:tc>
          <w:tcPr>
            <w:tcW w:w="1757" w:type="dxa"/>
            <w:vAlign w:val="center"/>
          </w:tcPr>
          <w:p w14:paraId="34596F77"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JMSMH</w:t>
            </w:r>
          </w:p>
        </w:tc>
        <w:tc>
          <w:tcPr>
            <w:tcW w:w="1028" w:type="dxa"/>
            <w:vAlign w:val="center"/>
          </w:tcPr>
          <w:p w14:paraId="6615FE8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color w:val="000000"/>
                <w:sz w:val="22"/>
                <w:szCs w:val="22"/>
              </w:rPr>
              <w:t>531</w:t>
            </w:r>
          </w:p>
        </w:tc>
        <w:tc>
          <w:tcPr>
            <w:tcW w:w="2250" w:type="dxa"/>
            <w:vAlign w:val="center"/>
          </w:tcPr>
          <w:p w14:paraId="74D3244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63240625"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000000"/>
                <w:sz w:val="22"/>
                <w:szCs w:val="22"/>
              </w:rPr>
            </w:pPr>
            <w:r w:rsidRPr="008F1410">
              <w:rPr>
                <w:rFonts w:cstheme="minorHAnsi"/>
                <w:color w:val="000000"/>
                <w:sz w:val="22"/>
                <w:szCs w:val="22"/>
              </w:rPr>
              <w:t>1,328</w:t>
            </w:r>
          </w:p>
        </w:tc>
        <w:tc>
          <w:tcPr>
            <w:tcW w:w="2392" w:type="dxa"/>
            <w:vAlign w:val="center"/>
          </w:tcPr>
          <w:p w14:paraId="780C9C92"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2CCFC297" w14:textId="77777777">
        <w:trPr>
          <w:trHeight w:val="72"/>
        </w:trPr>
        <w:tc>
          <w:tcPr>
            <w:tcW w:w="1757" w:type="dxa"/>
            <w:vAlign w:val="center"/>
          </w:tcPr>
          <w:p w14:paraId="1543A300"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JMSPH</w:t>
            </w:r>
          </w:p>
        </w:tc>
        <w:tc>
          <w:tcPr>
            <w:tcW w:w="1028" w:type="dxa"/>
            <w:vAlign w:val="center"/>
          </w:tcPr>
          <w:p w14:paraId="5ED0F4E4"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color w:val="000000"/>
                <w:sz w:val="22"/>
                <w:szCs w:val="22"/>
              </w:rPr>
              <w:t>604</w:t>
            </w:r>
          </w:p>
        </w:tc>
        <w:tc>
          <w:tcPr>
            <w:tcW w:w="2250" w:type="dxa"/>
            <w:vAlign w:val="center"/>
          </w:tcPr>
          <w:p w14:paraId="114FAA05"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383A3777"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000000"/>
                <w:sz w:val="22"/>
                <w:szCs w:val="22"/>
              </w:rPr>
            </w:pPr>
            <w:r w:rsidRPr="008F1410">
              <w:rPr>
                <w:rFonts w:cstheme="minorHAnsi"/>
                <w:color w:val="000000"/>
                <w:sz w:val="22"/>
                <w:szCs w:val="22"/>
              </w:rPr>
              <w:t>1,510</w:t>
            </w:r>
          </w:p>
        </w:tc>
        <w:tc>
          <w:tcPr>
            <w:tcW w:w="2392" w:type="dxa"/>
            <w:vAlign w:val="center"/>
          </w:tcPr>
          <w:p w14:paraId="2C6EAC2B"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jc w:val="center"/>
              <w:rPr>
                <w:rFonts w:cstheme="minorHAnsi"/>
                <w:sz w:val="22"/>
                <w:szCs w:val="22"/>
              </w:rPr>
            </w:pPr>
            <w:r w:rsidRPr="008F1410">
              <w:rPr>
                <w:rFonts w:cstheme="minorHAnsi"/>
                <w:sz w:val="22"/>
                <w:szCs w:val="22"/>
              </w:rPr>
              <w:t>March 1 - November 30</w:t>
            </w:r>
          </w:p>
        </w:tc>
      </w:tr>
      <w:tr w:rsidR="000C4308" w:rsidRPr="00440288" w14:paraId="463698BB" w14:textId="77777777">
        <w:trPr>
          <w:trHeight w:val="72"/>
        </w:trPr>
        <w:tc>
          <w:tcPr>
            <w:tcW w:w="1757" w:type="dxa"/>
            <w:vAlign w:val="center"/>
          </w:tcPr>
          <w:p w14:paraId="3968F3F2"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LYNPH</w:t>
            </w:r>
          </w:p>
        </w:tc>
        <w:tc>
          <w:tcPr>
            <w:tcW w:w="1028" w:type="dxa"/>
            <w:vAlign w:val="center"/>
          </w:tcPr>
          <w:p w14:paraId="0A6363A2"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107</w:t>
            </w:r>
          </w:p>
        </w:tc>
        <w:tc>
          <w:tcPr>
            <w:tcW w:w="2250" w:type="dxa"/>
            <w:vAlign w:val="center"/>
          </w:tcPr>
          <w:p w14:paraId="21F1F3B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5A1FF10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268</w:t>
            </w:r>
          </w:p>
        </w:tc>
        <w:tc>
          <w:tcPr>
            <w:tcW w:w="2392" w:type="dxa"/>
            <w:vAlign w:val="center"/>
          </w:tcPr>
          <w:p w14:paraId="166F4855"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March 1 - November 30</w:t>
            </w:r>
          </w:p>
        </w:tc>
      </w:tr>
      <w:tr w:rsidR="000C4308" w:rsidRPr="00440288" w14:paraId="75A099E7" w14:textId="77777777">
        <w:trPr>
          <w:trHeight w:val="72"/>
        </w:trPr>
        <w:tc>
          <w:tcPr>
            <w:tcW w:w="1757" w:type="dxa"/>
            <w:vAlign w:val="center"/>
          </w:tcPr>
          <w:p w14:paraId="378E0C16"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POCOH</w:t>
            </w:r>
          </w:p>
        </w:tc>
        <w:tc>
          <w:tcPr>
            <w:tcW w:w="1028" w:type="dxa"/>
            <w:vAlign w:val="center"/>
          </w:tcPr>
          <w:p w14:paraId="5F726CC6"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c>
          <w:tcPr>
            <w:tcW w:w="2250" w:type="dxa"/>
            <w:vAlign w:val="center"/>
          </w:tcPr>
          <w:p w14:paraId="43C3DE64"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c>
          <w:tcPr>
            <w:tcW w:w="2070" w:type="dxa"/>
            <w:vAlign w:val="center"/>
          </w:tcPr>
          <w:p w14:paraId="4C3782D6"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c>
          <w:tcPr>
            <w:tcW w:w="2392" w:type="dxa"/>
            <w:vAlign w:val="center"/>
          </w:tcPr>
          <w:p w14:paraId="08A323C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w:t>
            </w:r>
          </w:p>
        </w:tc>
      </w:tr>
      <w:tr w:rsidR="000C4308" w:rsidRPr="00440288" w14:paraId="0C93DED9" w14:textId="77777777">
        <w:trPr>
          <w:trHeight w:val="72"/>
        </w:trPr>
        <w:tc>
          <w:tcPr>
            <w:tcW w:w="1757" w:type="dxa"/>
            <w:vAlign w:val="center"/>
          </w:tcPr>
          <w:p w14:paraId="2D3D227D"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POCMH</w:t>
            </w:r>
          </w:p>
        </w:tc>
        <w:tc>
          <w:tcPr>
            <w:tcW w:w="1028" w:type="dxa"/>
            <w:vAlign w:val="center"/>
          </w:tcPr>
          <w:p w14:paraId="1D60DAB9"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4,066</w:t>
            </w:r>
          </w:p>
        </w:tc>
        <w:tc>
          <w:tcPr>
            <w:tcW w:w="2250" w:type="dxa"/>
            <w:vAlign w:val="center"/>
          </w:tcPr>
          <w:p w14:paraId="27B39F5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vAlign w:val="center"/>
          </w:tcPr>
          <w:p w14:paraId="30F55015"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9,368</w:t>
            </w:r>
          </w:p>
        </w:tc>
        <w:tc>
          <w:tcPr>
            <w:tcW w:w="2392" w:type="dxa"/>
            <w:vAlign w:val="center"/>
          </w:tcPr>
          <w:p w14:paraId="4E0E104B"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r w:rsidR="000C4308" w:rsidRPr="00440288" w14:paraId="4589E867" w14:textId="77777777">
        <w:trPr>
          <w:trHeight w:val="72"/>
        </w:trPr>
        <w:tc>
          <w:tcPr>
            <w:tcW w:w="1757" w:type="dxa"/>
            <w:tcBorders>
              <w:bottom w:val="single" w:sz="12" w:space="0" w:color="auto"/>
            </w:tcBorders>
            <w:vAlign w:val="center"/>
          </w:tcPr>
          <w:p w14:paraId="1FD8D6E4"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TANMH</w:t>
            </w:r>
          </w:p>
        </w:tc>
        <w:tc>
          <w:tcPr>
            <w:tcW w:w="1028" w:type="dxa"/>
            <w:tcBorders>
              <w:bottom w:val="single" w:sz="12" w:space="0" w:color="auto"/>
            </w:tcBorders>
            <w:vAlign w:val="center"/>
          </w:tcPr>
          <w:p w14:paraId="5CB8BB2C"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color w:val="FF0000"/>
                <w:sz w:val="22"/>
                <w:szCs w:val="22"/>
              </w:rPr>
            </w:pPr>
            <w:r w:rsidRPr="008F1410">
              <w:rPr>
                <w:rFonts w:cstheme="minorHAnsi"/>
                <w:sz w:val="22"/>
                <w:szCs w:val="22"/>
              </w:rPr>
              <w:t>13,579</w:t>
            </w:r>
          </w:p>
        </w:tc>
        <w:tc>
          <w:tcPr>
            <w:tcW w:w="2250" w:type="dxa"/>
            <w:tcBorders>
              <w:bottom w:val="single" w:sz="12" w:space="0" w:color="auto"/>
            </w:tcBorders>
            <w:vAlign w:val="center"/>
          </w:tcPr>
          <w:p w14:paraId="35F178B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w:t>
            </w:r>
          </w:p>
        </w:tc>
        <w:tc>
          <w:tcPr>
            <w:tcW w:w="2070" w:type="dxa"/>
            <w:tcBorders>
              <w:bottom w:val="single" w:sz="12" w:space="0" w:color="auto"/>
            </w:tcBorders>
            <w:vAlign w:val="center"/>
          </w:tcPr>
          <w:p w14:paraId="0BB14713"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22,064</w:t>
            </w:r>
          </w:p>
        </w:tc>
        <w:tc>
          <w:tcPr>
            <w:tcW w:w="2392" w:type="dxa"/>
            <w:tcBorders>
              <w:bottom w:val="single" w:sz="12" w:space="0" w:color="auto"/>
            </w:tcBorders>
            <w:vAlign w:val="center"/>
          </w:tcPr>
          <w:p w14:paraId="2B004CAA" w14:textId="77777777" w:rsidR="000C4308" w:rsidRPr="008F1410" w:rsidRDefault="000C4308">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F1410">
              <w:rPr>
                <w:rFonts w:cstheme="minorHAnsi"/>
                <w:sz w:val="22"/>
                <w:szCs w:val="22"/>
              </w:rPr>
              <w:t>April 1 - October 31</w:t>
            </w:r>
          </w:p>
        </w:tc>
      </w:tr>
    </w:tbl>
    <w:p w14:paraId="79ED4991" w14:textId="19F41D92" w:rsidR="00612B87" w:rsidRPr="00C23629" w:rsidRDefault="000C4308" w:rsidP="00C23629">
      <w:pPr>
        <w:tabs>
          <w:tab w:val="left" w:pos="0"/>
          <w:tab w:val="right" w:pos="4938"/>
          <w:tab w:val="left" w:pos="5040"/>
          <w:tab w:val="left" w:pos="5760"/>
          <w:tab w:val="left" w:pos="6480"/>
          <w:tab w:val="left" w:pos="7200"/>
          <w:tab w:val="left" w:pos="7920"/>
          <w:tab w:val="left" w:pos="8640"/>
          <w:tab w:val="left" w:pos="9360"/>
          <w:tab w:val="left" w:pos="10080"/>
        </w:tabs>
        <w:rPr>
          <w:rFonts w:cstheme="minorHAnsi"/>
          <w:szCs w:val="24"/>
        </w:rPr>
      </w:pPr>
      <w:r w:rsidRPr="00031198">
        <w:rPr>
          <w:rFonts w:cstheme="minorHAnsi"/>
          <w:sz w:val="20"/>
          <w:vertAlign w:val="superscript"/>
        </w:rPr>
        <w:t>1</w:t>
      </w:r>
      <w:r w:rsidRPr="00031198">
        <w:rPr>
          <w:rFonts w:cstheme="minorHAnsi"/>
          <w:sz w:val="20"/>
        </w:rPr>
        <w:t xml:space="preserve"> The assessment period for SAV and water clarity acres is the single best year in the most recent three consecutive years. When three consecutive years of data are not available, a minimum of three years within a six-year data assessment window is used.</w:t>
      </w:r>
      <w:r w:rsidRPr="00031198">
        <w:rPr>
          <w:rFonts w:cstheme="minorHAnsi"/>
          <w:sz w:val="20"/>
        </w:rPr>
        <w:br/>
      </w:r>
      <w:r w:rsidRPr="00031198">
        <w:rPr>
          <w:rFonts w:cstheme="minorHAnsi"/>
          <w:sz w:val="20"/>
          <w:vertAlign w:val="superscript"/>
        </w:rPr>
        <w:t>2</w:t>
      </w:r>
      <w:r w:rsidRPr="00031198">
        <w:rPr>
          <w:rFonts w:cstheme="minorHAnsi"/>
          <w:sz w:val="20"/>
        </w:rPr>
        <w:t xml:space="preserve"> Percent Light through Water = 100e</w:t>
      </w:r>
      <w:r w:rsidRPr="00031198">
        <w:rPr>
          <w:rFonts w:cstheme="minorHAnsi"/>
          <w:sz w:val="20"/>
          <w:vertAlign w:val="superscript"/>
        </w:rPr>
        <w:t>(-</w:t>
      </w:r>
      <w:proofErr w:type="spellStart"/>
      <w:r w:rsidRPr="00031198">
        <w:rPr>
          <w:rFonts w:cstheme="minorHAnsi"/>
          <w:sz w:val="20"/>
          <w:vertAlign w:val="superscript"/>
        </w:rPr>
        <w:t>KdZ</w:t>
      </w:r>
      <w:proofErr w:type="spellEnd"/>
      <w:r w:rsidRPr="00031198">
        <w:rPr>
          <w:rFonts w:cstheme="minorHAnsi"/>
          <w:sz w:val="20"/>
          <w:vertAlign w:val="superscript"/>
        </w:rPr>
        <w:t>)</w:t>
      </w:r>
      <w:r w:rsidRPr="00031198">
        <w:rPr>
          <w:rFonts w:cstheme="minorHAnsi"/>
          <w:sz w:val="20"/>
        </w:rPr>
        <w:t xml:space="preserve"> where </w:t>
      </w:r>
      <w:proofErr w:type="spellStart"/>
      <w:r w:rsidRPr="00031198">
        <w:rPr>
          <w:rFonts w:cstheme="minorHAnsi"/>
          <w:sz w:val="20"/>
        </w:rPr>
        <w:t>K</w:t>
      </w:r>
      <w:r w:rsidRPr="00031198">
        <w:rPr>
          <w:rFonts w:cstheme="minorHAnsi"/>
          <w:sz w:val="20"/>
          <w:vertAlign w:val="subscript"/>
        </w:rPr>
        <w:t>d</w:t>
      </w:r>
      <w:proofErr w:type="spellEnd"/>
      <w:r w:rsidRPr="00031198">
        <w:rPr>
          <w:rFonts w:cstheme="minorHAnsi"/>
          <w:sz w:val="20"/>
        </w:rPr>
        <w:t xml:space="preserve"> is water column light attenuation coefficient and can be measured directly or converted from a measured </w:t>
      </w:r>
      <w:proofErr w:type="spellStart"/>
      <w:r w:rsidRPr="00031198">
        <w:rPr>
          <w:rFonts w:cstheme="minorHAnsi"/>
          <w:sz w:val="20"/>
        </w:rPr>
        <w:t>secchi</w:t>
      </w:r>
      <w:proofErr w:type="spellEnd"/>
      <w:r w:rsidRPr="00031198">
        <w:rPr>
          <w:rFonts w:cstheme="minorHAnsi"/>
          <w:sz w:val="20"/>
        </w:rPr>
        <w:t xml:space="preserve"> depth where </w:t>
      </w:r>
      <w:proofErr w:type="spellStart"/>
      <w:r w:rsidRPr="00031198">
        <w:rPr>
          <w:rFonts w:cstheme="minorHAnsi"/>
          <w:sz w:val="20"/>
        </w:rPr>
        <w:t>K</w:t>
      </w:r>
      <w:r w:rsidRPr="00031198">
        <w:rPr>
          <w:rFonts w:cstheme="minorHAnsi"/>
          <w:sz w:val="20"/>
          <w:vertAlign w:val="subscript"/>
        </w:rPr>
        <w:t>d</w:t>
      </w:r>
      <w:proofErr w:type="spellEnd"/>
      <w:r w:rsidRPr="00031198">
        <w:rPr>
          <w:rFonts w:cstheme="minorHAnsi"/>
          <w:sz w:val="20"/>
        </w:rPr>
        <w:t xml:space="preserve"> = 1.45/</w:t>
      </w:r>
      <w:proofErr w:type="spellStart"/>
      <w:r w:rsidRPr="00031198">
        <w:rPr>
          <w:rFonts w:cstheme="minorHAnsi"/>
          <w:sz w:val="20"/>
        </w:rPr>
        <w:t>secchi</w:t>
      </w:r>
      <w:proofErr w:type="spellEnd"/>
      <w:r w:rsidRPr="00031198">
        <w:rPr>
          <w:rFonts w:cstheme="minorHAnsi"/>
          <w:sz w:val="20"/>
        </w:rPr>
        <w:t xml:space="preserve"> depth. Z = depth at location of measurement of </w:t>
      </w:r>
      <w:proofErr w:type="spellStart"/>
      <w:r w:rsidRPr="00031198">
        <w:rPr>
          <w:rFonts w:cstheme="minorHAnsi"/>
          <w:sz w:val="20"/>
        </w:rPr>
        <w:t>K</w:t>
      </w:r>
      <w:r w:rsidRPr="00031198">
        <w:rPr>
          <w:rFonts w:cstheme="minorHAnsi"/>
          <w:sz w:val="20"/>
          <w:vertAlign w:val="subscript"/>
        </w:rPr>
        <w:t>d</w:t>
      </w:r>
      <w:proofErr w:type="spellEnd"/>
      <w:r w:rsidRPr="00031198">
        <w:rPr>
          <w:rFonts w:cstheme="minorHAnsi"/>
          <w:b/>
          <w:sz w:val="20"/>
        </w:rPr>
        <w:t>.</w:t>
      </w:r>
      <w:r>
        <w:rPr>
          <w:rFonts w:cstheme="minorHAnsi"/>
          <w:sz w:val="20"/>
        </w:rPr>
        <w:br/>
      </w:r>
    </w:p>
    <w:p w14:paraId="2212150A" w14:textId="689B9E10" w:rsidR="00495804" w:rsidRPr="00902527" w:rsidRDefault="00495804" w:rsidP="00495804">
      <w:pPr>
        <w:rPr>
          <w:rFonts w:cstheme="minorHAnsi"/>
          <w:szCs w:val="24"/>
        </w:rPr>
      </w:pPr>
      <w:r w:rsidRPr="00902527">
        <w:rPr>
          <w:rFonts w:cstheme="minorHAnsi"/>
          <w:szCs w:val="24"/>
        </w:rPr>
        <w:t xml:space="preserve">The </w:t>
      </w:r>
      <w:proofErr w:type="spellStart"/>
      <w:r w:rsidR="00773B97">
        <w:rPr>
          <w:rFonts w:eastAsiaTheme="minorHAnsi"/>
        </w:rPr>
        <w:t>Chl</w:t>
      </w:r>
      <w:proofErr w:type="spellEnd"/>
      <w:r w:rsidR="00773B97">
        <w:rPr>
          <w:rFonts w:eastAsiaTheme="minorHAnsi"/>
        </w:rPr>
        <w:t>-</w:t>
      </w:r>
      <w:r w:rsidR="00773B97" w:rsidRPr="000234AF">
        <w:rPr>
          <w:rFonts w:cstheme="minorHAnsi"/>
          <w:i/>
          <w:snapToGrid/>
          <w:color w:val="000000"/>
          <w:szCs w:val="24"/>
        </w:rPr>
        <w:t>a</w:t>
      </w:r>
      <w:r w:rsidR="00773B97" w:rsidRPr="005B6B04">
        <w:rPr>
          <w:rFonts w:eastAsiaTheme="minorHAnsi"/>
        </w:rPr>
        <w:t xml:space="preserve"> </w:t>
      </w:r>
      <w:r w:rsidRPr="00902527">
        <w:rPr>
          <w:rFonts w:cstheme="minorHAnsi"/>
          <w:szCs w:val="24"/>
        </w:rPr>
        <w:t xml:space="preserve">criteria assessed are shown in Table 4.6-3 and Table 4.6-4. There are separate criteria applicable to each segment and season, and a spatial-temporal assessment is conducted using a cumulative frequency diagram (see </w:t>
      </w:r>
      <w:r w:rsidRPr="00902527">
        <w:rPr>
          <w:rFonts w:cstheme="minorHAnsi"/>
          <w:i/>
          <w:szCs w:val="24"/>
        </w:rPr>
        <w:t>Ambient Water Quality Criteria for Dissolved Oxygen, Water Clarity, and Chlorophyll a for the Chesapeake Bay and Its tidal Tributaries, 2008 Technical Support for Criteria Assessment Protocols Addendum, EPA 903-R-08-001, EPA 903-R-08-001 September 2008</w:t>
      </w:r>
      <w:r w:rsidRPr="00902527">
        <w:rPr>
          <w:rFonts w:cstheme="minorHAnsi"/>
          <w:szCs w:val="24"/>
        </w:rPr>
        <w:t>). A segment with more than two exceedances of the same seasonal mean criterion or a greater than 10% exceedance rate of an applicable short-duration criterion shall be assessed as impaired. For a segment that is attaining its applicable short-duration criterion and has two consecutive exceedances of the same seasonal mean criterion, additional lines of evidence must be evaluated before assessing the segment as fully supporting. The occurrence of at least one of the following in the segment of concern during either of the “exceedance” seasons shall trigger an “impaired” categorization:</w:t>
      </w:r>
    </w:p>
    <w:p w14:paraId="2ABDD935" w14:textId="77777777" w:rsidR="00495804" w:rsidRPr="00902527" w:rsidRDefault="00495804" w:rsidP="00495804">
      <w:pPr>
        <w:rPr>
          <w:rFonts w:cstheme="minorHAnsi"/>
          <w:szCs w:val="24"/>
        </w:rPr>
      </w:pPr>
    </w:p>
    <w:p w14:paraId="50427F0D" w14:textId="77777777" w:rsidR="00495804" w:rsidRPr="00902527" w:rsidRDefault="00495804">
      <w:pPr>
        <w:pStyle w:val="ListParagraph"/>
        <w:widowControl/>
        <w:numPr>
          <w:ilvl w:val="0"/>
          <w:numId w:val="36"/>
        </w:numPr>
        <w:spacing w:before="0" w:after="0"/>
        <w:rPr>
          <w:rFonts w:cstheme="minorHAnsi"/>
          <w:szCs w:val="24"/>
        </w:rPr>
      </w:pPr>
      <w:r w:rsidRPr="00902527">
        <w:rPr>
          <w:rFonts w:cstheme="minorHAnsi"/>
          <w:szCs w:val="24"/>
        </w:rPr>
        <w:t>VDH HAB advisory issued by the Division of Shellfish Safety</w:t>
      </w:r>
    </w:p>
    <w:p w14:paraId="2210E36D" w14:textId="16DA8D4D" w:rsidR="00495804" w:rsidRPr="00902527" w:rsidRDefault="00495804">
      <w:pPr>
        <w:pStyle w:val="ListParagraph"/>
        <w:widowControl/>
        <w:numPr>
          <w:ilvl w:val="0"/>
          <w:numId w:val="36"/>
        </w:numPr>
        <w:spacing w:before="0" w:after="0"/>
        <w:rPr>
          <w:rFonts w:cstheme="minorHAnsi"/>
          <w:szCs w:val="24"/>
        </w:rPr>
      </w:pPr>
      <w:r w:rsidRPr="00902527">
        <w:rPr>
          <w:rFonts w:cstheme="minorHAnsi"/>
          <w:szCs w:val="24"/>
        </w:rPr>
        <w:t xml:space="preserve">A fish </w:t>
      </w:r>
      <w:proofErr w:type="gramStart"/>
      <w:r w:rsidRPr="00902527">
        <w:rPr>
          <w:rFonts w:cstheme="minorHAnsi"/>
          <w:szCs w:val="24"/>
        </w:rPr>
        <w:t>kill</w:t>
      </w:r>
      <w:proofErr w:type="gramEnd"/>
      <w:r w:rsidRPr="00902527">
        <w:rPr>
          <w:rFonts w:cstheme="minorHAnsi"/>
          <w:szCs w:val="24"/>
        </w:rPr>
        <w:t xml:space="preserve"> documented by DEQ coinciding with chlorophyll concentrations greater than the magnitude of the applicable short-duration chlorophyll</w:t>
      </w:r>
      <w:r w:rsidR="00380D5B">
        <w:rPr>
          <w:rFonts w:cstheme="minorHAnsi"/>
          <w:szCs w:val="24"/>
        </w:rPr>
        <w:t xml:space="preserve"> </w:t>
      </w:r>
      <w:r w:rsidRPr="00380D5B">
        <w:rPr>
          <w:rFonts w:cstheme="minorHAnsi"/>
          <w:i/>
          <w:iCs/>
          <w:szCs w:val="24"/>
        </w:rPr>
        <w:t>a</w:t>
      </w:r>
      <w:r w:rsidRPr="00902527">
        <w:rPr>
          <w:rFonts w:cstheme="minorHAnsi"/>
          <w:szCs w:val="24"/>
        </w:rPr>
        <w:t xml:space="preserve"> criterion or a HAB event documented by the HAB Task Force.</w:t>
      </w:r>
    </w:p>
    <w:p w14:paraId="7CF18DEF" w14:textId="10EC00ED" w:rsidR="00495804" w:rsidRPr="00902527" w:rsidRDefault="00495804">
      <w:pPr>
        <w:pStyle w:val="ListParagraph"/>
        <w:widowControl/>
        <w:numPr>
          <w:ilvl w:val="0"/>
          <w:numId w:val="36"/>
        </w:numPr>
        <w:spacing w:before="0" w:after="0"/>
        <w:rPr>
          <w:rFonts w:cstheme="minorHAnsi"/>
          <w:szCs w:val="24"/>
        </w:rPr>
      </w:pPr>
      <w:r w:rsidRPr="00902527">
        <w:rPr>
          <w:rFonts w:cstheme="minorHAnsi"/>
          <w:szCs w:val="24"/>
        </w:rPr>
        <w:lastRenderedPageBreak/>
        <w:t>More than 10% of dissolved oxygen samples are below the Open Water instantaneous minimum criteria (4.3 mg/</w:t>
      </w:r>
      <w:r w:rsidR="00902527" w:rsidRPr="00902527">
        <w:rPr>
          <w:rFonts w:cstheme="minorHAnsi"/>
          <w:szCs w:val="24"/>
        </w:rPr>
        <w:t>L</w:t>
      </w:r>
      <w:r w:rsidRPr="00902527">
        <w:rPr>
          <w:rFonts w:cstheme="minorHAnsi"/>
          <w:szCs w:val="24"/>
        </w:rPr>
        <w:t xml:space="preserve"> for water </w:t>
      </w:r>
      <w:proofErr w:type="gramStart"/>
      <w:r w:rsidRPr="00902527">
        <w:rPr>
          <w:rFonts w:cstheme="minorHAnsi"/>
          <w:szCs w:val="24"/>
        </w:rPr>
        <w:t>temperature</w:t>
      </w:r>
      <w:proofErr w:type="gramEnd"/>
      <w:r w:rsidRPr="00902527">
        <w:rPr>
          <w:rFonts w:cstheme="minorHAnsi"/>
          <w:szCs w:val="24"/>
        </w:rPr>
        <w:t xml:space="preserve"> greater than 29°C and 3.2 mg/</w:t>
      </w:r>
      <w:r w:rsidR="00902527" w:rsidRPr="00902527">
        <w:rPr>
          <w:rFonts w:cstheme="minorHAnsi"/>
          <w:szCs w:val="24"/>
        </w:rPr>
        <w:t>L</w:t>
      </w:r>
      <w:r w:rsidRPr="00902527">
        <w:rPr>
          <w:rFonts w:cstheme="minorHAnsi"/>
          <w:szCs w:val="24"/>
        </w:rPr>
        <w:t xml:space="preserve"> for water </w:t>
      </w:r>
      <w:proofErr w:type="gramStart"/>
      <w:r w:rsidRPr="00902527">
        <w:rPr>
          <w:rFonts w:cstheme="minorHAnsi"/>
          <w:szCs w:val="24"/>
        </w:rPr>
        <w:t>temperature</w:t>
      </w:r>
      <w:proofErr w:type="gramEnd"/>
      <w:r w:rsidRPr="00902527">
        <w:rPr>
          <w:rFonts w:cstheme="minorHAnsi"/>
          <w:szCs w:val="24"/>
        </w:rPr>
        <w:t xml:space="preserve"> less or equal to 29°C).</w:t>
      </w:r>
    </w:p>
    <w:p w14:paraId="7ABE3533" w14:textId="0FA2C751" w:rsidR="00000B89" w:rsidRPr="00440288" w:rsidRDefault="00495804">
      <w:pPr>
        <w:pStyle w:val="ListParagraph"/>
        <w:widowControl/>
        <w:numPr>
          <w:ilvl w:val="0"/>
          <w:numId w:val="36"/>
        </w:numPr>
        <w:spacing w:before="0" w:after="0"/>
        <w:rPr>
          <w:rFonts w:cstheme="minorHAnsi"/>
          <w:szCs w:val="24"/>
        </w:rPr>
      </w:pPr>
      <w:r w:rsidRPr="00902527">
        <w:rPr>
          <w:rFonts w:cstheme="minorHAnsi"/>
          <w:szCs w:val="24"/>
        </w:rPr>
        <w:t>More than 10% of pH samples are less than 6.0 or greater than 9.0.</w:t>
      </w:r>
    </w:p>
    <w:p w14:paraId="05F4E888" w14:textId="0F2BCE7B" w:rsidR="006D6EB7" w:rsidRPr="00C23629" w:rsidRDefault="006D6EB7" w:rsidP="00F40537">
      <w:pPr>
        <w:tabs>
          <w:tab w:val="left" w:pos="0"/>
          <w:tab w:val="right" w:pos="4938"/>
          <w:tab w:val="left" w:pos="5040"/>
          <w:tab w:val="left" w:pos="5760"/>
          <w:tab w:val="left" w:pos="6480"/>
          <w:tab w:val="left" w:pos="7200"/>
          <w:tab w:val="left" w:pos="7920"/>
          <w:tab w:val="left" w:pos="8640"/>
          <w:tab w:val="left" w:pos="9360"/>
          <w:tab w:val="left" w:pos="10080"/>
        </w:tabs>
        <w:rPr>
          <w:rFonts w:cstheme="minorHAnsi"/>
          <w:szCs w:val="24"/>
        </w:rPr>
      </w:pPr>
    </w:p>
    <w:p w14:paraId="35A74CAB" w14:textId="121633DA" w:rsidR="00936FD5" w:rsidRPr="00936FD5" w:rsidRDefault="00691D33" w:rsidP="0A5BE548">
      <w:pPr>
        <w:pStyle w:val="Caption"/>
        <w:keepNext/>
        <w:rPr>
          <w:rFonts w:cstheme="minorBidi"/>
          <w:specVanish/>
        </w:rPr>
      </w:pPr>
      <w:bookmarkStart w:id="309" w:name="_Toc164175220"/>
      <w:r>
        <w:t xml:space="preserve">Table </w:t>
      </w:r>
      <w:r w:rsidR="004F13BA">
        <w:fldChar w:fldCharType="begin"/>
      </w:r>
      <w:r w:rsidR="004F13BA">
        <w:instrText xml:space="preserve"> STYLEREF 2 \s </w:instrText>
      </w:r>
      <w:r w:rsidR="004F13BA">
        <w:fldChar w:fldCharType="separate"/>
      </w:r>
      <w:r w:rsidR="00CD06AE">
        <w:rPr>
          <w:noProof/>
        </w:rPr>
        <w:t>4.6</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3</w:t>
      </w:r>
      <w:r w:rsidR="004F13BA">
        <w:rPr>
          <w:noProof/>
        </w:rPr>
        <w:fldChar w:fldCharType="end"/>
      </w:r>
      <w:r>
        <w:t>.</w:t>
      </w:r>
      <w:r w:rsidRPr="0A5BE548">
        <w:rPr>
          <w:rFonts w:cstheme="minorBidi"/>
        </w:rPr>
        <w:t xml:space="preserve"> Chlorophyll </w:t>
      </w:r>
      <w:r w:rsidRPr="0A5BE548">
        <w:rPr>
          <w:rFonts w:cstheme="minorBidi"/>
          <w:i/>
        </w:rPr>
        <w:t>a</w:t>
      </w:r>
      <w:r w:rsidRPr="0A5BE548">
        <w:rPr>
          <w:rFonts w:cstheme="minorBidi"/>
        </w:rPr>
        <w:t xml:space="preserve"> </w:t>
      </w:r>
      <w:proofErr w:type="gramStart"/>
      <w:r w:rsidRPr="0A5BE548">
        <w:rPr>
          <w:rFonts w:cstheme="minorBidi"/>
        </w:rPr>
        <w:t>seasonal mean criteria</w:t>
      </w:r>
      <w:proofErr w:type="gramEnd"/>
      <w:r w:rsidRPr="0A5BE548">
        <w:rPr>
          <w:rFonts w:cstheme="minorBidi"/>
        </w:rPr>
        <w:t xml:space="preserve"> for assessment</w:t>
      </w:r>
      <w:r w:rsidR="746CAB2F" w:rsidRPr="0A5BE548">
        <w:rPr>
          <w:rFonts w:cstheme="minorBidi"/>
        </w:rPr>
        <w:t xml:space="preserve"> </w:t>
      </w:r>
      <w:bookmarkEnd w:id="309"/>
      <w:r w:rsidRPr="0A5BE548">
        <w:rPr>
          <w:rFonts w:cstheme="minorBidi"/>
        </w:rPr>
        <w:t xml:space="preserve">of the </w:t>
      </w:r>
      <w:proofErr w:type="gramStart"/>
      <w:r w:rsidRPr="0A5BE548">
        <w:rPr>
          <w:rFonts w:cstheme="minorBidi"/>
        </w:rPr>
        <w:t>open-water</w:t>
      </w:r>
      <w:proofErr w:type="gramEnd"/>
      <w:r w:rsidRPr="0A5BE548">
        <w:rPr>
          <w:rFonts w:cstheme="minorBidi"/>
        </w:rPr>
        <w:t xml:space="preserve"> designated use habitats in the James River.</w:t>
      </w:r>
    </w:p>
    <w:tbl>
      <w:tblPr>
        <w:tblW w:w="93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Table of Chlorophyll-a Criteria for Application to Open Water Designated Use Habitats in the James River"/>
        <w:tblDescription w:val="Chlorophyll-a criteria for application to open-water designated use habitats in the James River"/>
      </w:tblPr>
      <w:tblGrid>
        <w:gridCol w:w="1525"/>
        <w:gridCol w:w="1710"/>
        <w:gridCol w:w="4140"/>
        <w:gridCol w:w="1992"/>
      </w:tblGrid>
      <w:tr w:rsidR="006D6EB7" w:rsidRPr="0089508A" w14:paraId="0AD16106" w14:textId="77777777" w:rsidTr="009B56FC">
        <w:tc>
          <w:tcPr>
            <w:tcW w:w="1525" w:type="dxa"/>
            <w:tcBorders>
              <w:top w:val="single" w:sz="12" w:space="0" w:color="auto"/>
              <w:bottom w:val="single" w:sz="4" w:space="0" w:color="auto"/>
            </w:tcBorders>
            <w:vAlign w:val="center"/>
          </w:tcPr>
          <w:p w14:paraId="1F896ECB"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sz w:val="22"/>
                <w:szCs w:val="22"/>
              </w:rPr>
            </w:pPr>
            <w:r w:rsidRPr="0089508A">
              <w:rPr>
                <w:rFonts w:cstheme="minorHAnsi"/>
                <w:b/>
                <w:sz w:val="22"/>
                <w:szCs w:val="22"/>
              </w:rPr>
              <w:t>Designated Use</w:t>
            </w:r>
          </w:p>
        </w:tc>
        <w:tc>
          <w:tcPr>
            <w:tcW w:w="1710" w:type="dxa"/>
            <w:tcBorders>
              <w:top w:val="single" w:sz="12" w:space="0" w:color="auto"/>
            </w:tcBorders>
          </w:tcPr>
          <w:p w14:paraId="766C1CDD"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sz w:val="22"/>
                <w:szCs w:val="22"/>
              </w:rPr>
            </w:pPr>
            <w:r w:rsidRPr="0089508A">
              <w:rPr>
                <w:rFonts w:cstheme="minorHAnsi"/>
                <w:b/>
                <w:sz w:val="22"/>
                <w:szCs w:val="22"/>
              </w:rPr>
              <w:t xml:space="preserve">Chlorophyll </w:t>
            </w:r>
            <w:r w:rsidRPr="0089508A">
              <w:rPr>
                <w:rFonts w:cstheme="minorHAnsi"/>
                <w:b/>
                <w:i/>
                <w:sz w:val="22"/>
                <w:szCs w:val="22"/>
              </w:rPr>
              <w:t>a</w:t>
            </w:r>
          </w:p>
          <w:p w14:paraId="2C9C3030" w14:textId="7999CE3E"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sz w:val="22"/>
                <w:szCs w:val="22"/>
              </w:rPr>
            </w:pPr>
            <w:r w:rsidRPr="0089508A">
              <w:rPr>
                <w:rFonts w:cstheme="minorHAnsi"/>
                <w:b/>
                <w:sz w:val="22"/>
                <w:szCs w:val="22"/>
              </w:rPr>
              <w:t>(ug/</w:t>
            </w:r>
            <w:r w:rsidR="00485694">
              <w:rPr>
                <w:rFonts w:cstheme="minorHAnsi"/>
                <w:b/>
                <w:sz w:val="22"/>
                <w:szCs w:val="22"/>
              </w:rPr>
              <w:t>L</w:t>
            </w:r>
            <w:r w:rsidRPr="0089508A">
              <w:rPr>
                <w:rFonts w:cstheme="minorHAnsi"/>
                <w:b/>
                <w:sz w:val="22"/>
                <w:szCs w:val="22"/>
              </w:rPr>
              <w:t>)</w:t>
            </w:r>
          </w:p>
        </w:tc>
        <w:tc>
          <w:tcPr>
            <w:tcW w:w="4140" w:type="dxa"/>
            <w:tcBorders>
              <w:top w:val="single" w:sz="12" w:space="0" w:color="auto"/>
            </w:tcBorders>
            <w:vAlign w:val="center"/>
          </w:tcPr>
          <w:p w14:paraId="7EF17C79"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sz w:val="22"/>
                <w:szCs w:val="22"/>
              </w:rPr>
            </w:pPr>
            <w:r w:rsidRPr="0089508A">
              <w:rPr>
                <w:rFonts w:cstheme="minorHAnsi"/>
                <w:b/>
                <w:sz w:val="22"/>
                <w:szCs w:val="22"/>
              </w:rPr>
              <w:t xml:space="preserve">Chesapeake Bay Program Segment </w:t>
            </w:r>
            <w:r w:rsidRPr="0089508A">
              <w:rPr>
                <w:rFonts w:cstheme="minorHAnsi"/>
                <w:b/>
                <w:sz w:val="22"/>
                <w:szCs w:val="22"/>
                <w:vertAlign w:val="superscript"/>
              </w:rPr>
              <w:t>1</w:t>
            </w:r>
          </w:p>
        </w:tc>
        <w:tc>
          <w:tcPr>
            <w:tcW w:w="1992" w:type="dxa"/>
            <w:tcBorders>
              <w:top w:val="single" w:sz="12" w:space="0" w:color="auto"/>
            </w:tcBorders>
            <w:vAlign w:val="center"/>
          </w:tcPr>
          <w:p w14:paraId="11412266"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sz w:val="22"/>
                <w:szCs w:val="22"/>
              </w:rPr>
            </w:pPr>
            <w:r w:rsidRPr="0089508A">
              <w:rPr>
                <w:rFonts w:cstheme="minorHAnsi"/>
                <w:b/>
                <w:sz w:val="22"/>
                <w:szCs w:val="22"/>
              </w:rPr>
              <w:t>Temporal Application</w:t>
            </w:r>
          </w:p>
        </w:tc>
      </w:tr>
      <w:tr w:rsidR="006D6EB7" w:rsidRPr="0089508A" w14:paraId="74941126" w14:textId="77777777" w:rsidTr="009B56FC">
        <w:trPr>
          <w:cantSplit/>
          <w:trHeight w:val="422"/>
        </w:trPr>
        <w:tc>
          <w:tcPr>
            <w:tcW w:w="1525" w:type="dxa"/>
            <w:vMerge w:val="restart"/>
            <w:tcBorders>
              <w:bottom w:val="single" w:sz="12" w:space="0" w:color="auto"/>
            </w:tcBorders>
            <w:textDirection w:val="btLr"/>
            <w:vAlign w:val="center"/>
          </w:tcPr>
          <w:p w14:paraId="1D83DEFA"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ind w:left="113" w:right="113"/>
              <w:jc w:val="center"/>
              <w:rPr>
                <w:rFonts w:cstheme="minorHAnsi"/>
                <w:b/>
                <w:sz w:val="22"/>
                <w:szCs w:val="22"/>
              </w:rPr>
            </w:pPr>
            <w:r w:rsidRPr="0089508A">
              <w:rPr>
                <w:rFonts w:cstheme="minorHAnsi"/>
                <w:b/>
                <w:sz w:val="22"/>
                <w:szCs w:val="22"/>
              </w:rPr>
              <w:t>Open-Water</w:t>
            </w:r>
          </w:p>
        </w:tc>
        <w:tc>
          <w:tcPr>
            <w:tcW w:w="1710" w:type="dxa"/>
            <w:vAlign w:val="center"/>
          </w:tcPr>
          <w:p w14:paraId="670DCE59"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8</w:t>
            </w:r>
          </w:p>
        </w:tc>
        <w:tc>
          <w:tcPr>
            <w:tcW w:w="4140" w:type="dxa"/>
            <w:vAlign w:val="center"/>
          </w:tcPr>
          <w:p w14:paraId="17B208A5" w14:textId="77777777" w:rsidR="006D6EB7" w:rsidRPr="0089508A" w:rsidRDefault="006D6EB7" w:rsidP="001A2FD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lang w:val="sv-SE"/>
              </w:rPr>
            </w:pPr>
            <w:r w:rsidRPr="0089508A">
              <w:rPr>
                <w:rFonts w:cstheme="minorHAnsi"/>
                <w:sz w:val="22"/>
                <w:szCs w:val="22"/>
                <w:lang w:val="sv-SE"/>
              </w:rPr>
              <w:t>JMSTFU (James Tidal Fresh Upper)</w:t>
            </w:r>
          </w:p>
        </w:tc>
        <w:tc>
          <w:tcPr>
            <w:tcW w:w="1992" w:type="dxa"/>
            <w:vMerge w:val="restart"/>
            <w:vAlign w:val="center"/>
          </w:tcPr>
          <w:p w14:paraId="24027364"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March 1 - May 31</w:t>
            </w:r>
          </w:p>
          <w:p w14:paraId="0D1187D1"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(spring)</w:t>
            </w:r>
          </w:p>
        </w:tc>
      </w:tr>
      <w:tr w:rsidR="006D6EB7" w:rsidRPr="0089508A" w14:paraId="15C1CF51" w14:textId="77777777" w:rsidTr="009B56FC">
        <w:trPr>
          <w:cantSplit/>
          <w:trHeight w:val="285"/>
        </w:trPr>
        <w:tc>
          <w:tcPr>
            <w:tcW w:w="1525" w:type="dxa"/>
            <w:vMerge/>
            <w:tcBorders>
              <w:bottom w:val="single" w:sz="12" w:space="0" w:color="auto"/>
            </w:tcBorders>
            <w:textDirection w:val="btLr"/>
            <w:vAlign w:val="center"/>
          </w:tcPr>
          <w:p w14:paraId="6F62CFCB"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ind w:left="113" w:right="113"/>
              <w:jc w:val="center"/>
              <w:rPr>
                <w:rFonts w:cstheme="minorHAnsi"/>
                <w:b/>
                <w:sz w:val="22"/>
                <w:szCs w:val="22"/>
              </w:rPr>
            </w:pPr>
          </w:p>
        </w:tc>
        <w:tc>
          <w:tcPr>
            <w:tcW w:w="1710" w:type="dxa"/>
            <w:vAlign w:val="center"/>
          </w:tcPr>
          <w:p w14:paraId="3CCA9BA7"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10</w:t>
            </w:r>
          </w:p>
        </w:tc>
        <w:tc>
          <w:tcPr>
            <w:tcW w:w="4140" w:type="dxa"/>
            <w:vAlign w:val="center"/>
          </w:tcPr>
          <w:p w14:paraId="43C227B7" w14:textId="4E001CED" w:rsidR="006D6EB7" w:rsidRPr="0089508A" w:rsidRDefault="006D6EB7" w:rsidP="001A2FD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JMSTFL (James Tidal Fresh Lower)</w:t>
            </w:r>
          </w:p>
        </w:tc>
        <w:tc>
          <w:tcPr>
            <w:tcW w:w="1992" w:type="dxa"/>
            <w:vMerge/>
            <w:vAlign w:val="center"/>
          </w:tcPr>
          <w:p w14:paraId="0A7A6D5A"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sz w:val="22"/>
                <w:szCs w:val="22"/>
              </w:rPr>
            </w:pPr>
          </w:p>
        </w:tc>
      </w:tr>
      <w:tr w:rsidR="006D6EB7" w:rsidRPr="0089508A" w14:paraId="6A28F111" w14:textId="77777777" w:rsidTr="009B56FC">
        <w:trPr>
          <w:cantSplit/>
        </w:trPr>
        <w:tc>
          <w:tcPr>
            <w:tcW w:w="1525" w:type="dxa"/>
            <w:vMerge/>
            <w:tcBorders>
              <w:bottom w:val="single" w:sz="12" w:space="0" w:color="auto"/>
            </w:tcBorders>
          </w:tcPr>
          <w:p w14:paraId="473B240D"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p>
        </w:tc>
        <w:tc>
          <w:tcPr>
            <w:tcW w:w="1710" w:type="dxa"/>
            <w:vAlign w:val="center"/>
          </w:tcPr>
          <w:p w14:paraId="42E2E775"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13</w:t>
            </w:r>
          </w:p>
        </w:tc>
        <w:tc>
          <w:tcPr>
            <w:tcW w:w="4140" w:type="dxa"/>
            <w:vAlign w:val="center"/>
          </w:tcPr>
          <w:p w14:paraId="15D63A17" w14:textId="77777777" w:rsidR="006D6EB7" w:rsidRPr="0089508A" w:rsidRDefault="006D6EB7" w:rsidP="001A2FD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JMSOH (James Oligohaline)</w:t>
            </w:r>
          </w:p>
        </w:tc>
        <w:tc>
          <w:tcPr>
            <w:tcW w:w="1992" w:type="dxa"/>
            <w:vMerge/>
          </w:tcPr>
          <w:p w14:paraId="567F3BE0"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p>
        </w:tc>
      </w:tr>
      <w:tr w:rsidR="006D6EB7" w:rsidRPr="0089508A" w14:paraId="2FA61463" w14:textId="77777777" w:rsidTr="009B56FC">
        <w:trPr>
          <w:cantSplit/>
          <w:trHeight w:val="350"/>
        </w:trPr>
        <w:tc>
          <w:tcPr>
            <w:tcW w:w="1525" w:type="dxa"/>
            <w:vMerge/>
            <w:tcBorders>
              <w:bottom w:val="single" w:sz="12" w:space="0" w:color="auto"/>
            </w:tcBorders>
          </w:tcPr>
          <w:p w14:paraId="3FB4FA35"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p>
        </w:tc>
        <w:tc>
          <w:tcPr>
            <w:tcW w:w="1710" w:type="dxa"/>
            <w:vAlign w:val="center"/>
          </w:tcPr>
          <w:p w14:paraId="1CEFA5B6"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7</w:t>
            </w:r>
          </w:p>
        </w:tc>
        <w:tc>
          <w:tcPr>
            <w:tcW w:w="4140" w:type="dxa"/>
            <w:vAlign w:val="center"/>
          </w:tcPr>
          <w:p w14:paraId="30B50485" w14:textId="77777777" w:rsidR="006D6EB7" w:rsidRPr="0089508A" w:rsidRDefault="006D6EB7" w:rsidP="001A2FD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JMSMH (James Mesohaline)</w:t>
            </w:r>
          </w:p>
        </w:tc>
        <w:tc>
          <w:tcPr>
            <w:tcW w:w="1992" w:type="dxa"/>
            <w:vMerge/>
          </w:tcPr>
          <w:p w14:paraId="2B7B2E25"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p>
        </w:tc>
      </w:tr>
      <w:tr w:rsidR="006D6EB7" w:rsidRPr="0089508A" w14:paraId="445C2245" w14:textId="77777777" w:rsidTr="009B56FC">
        <w:trPr>
          <w:cantSplit/>
          <w:trHeight w:val="350"/>
        </w:trPr>
        <w:tc>
          <w:tcPr>
            <w:tcW w:w="1525" w:type="dxa"/>
            <w:vMerge/>
            <w:tcBorders>
              <w:bottom w:val="single" w:sz="12" w:space="0" w:color="auto"/>
            </w:tcBorders>
          </w:tcPr>
          <w:p w14:paraId="1168F6BB"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p>
        </w:tc>
        <w:tc>
          <w:tcPr>
            <w:tcW w:w="1710" w:type="dxa"/>
            <w:vAlign w:val="center"/>
          </w:tcPr>
          <w:p w14:paraId="02CE1278"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8</w:t>
            </w:r>
          </w:p>
        </w:tc>
        <w:tc>
          <w:tcPr>
            <w:tcW w:w="4140" w:type="dxa"/>
            <w:vAlign w:val="center"/>
          </w:tcPr>
          <w:p w14:paraId="36A7315A" w14:textId="77777777" w:rsidR="006D6EB7" w:rsidRPr="0089508A" w:rsidRDefault="006D6EB7" w:rsidP="001A2FD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 xml:space="preserve">JMSPH (James </w:t>
            </w:r>
            <w:proofErr w:type="spellStart"/>
            <w:r w:rsidRPr="0089508A">
              <w:rPr>
                <w:rFonts w:cstheme="minorHAnsi"/>
                <w:sz w:val="22"/>
                <w:szCs w:val="22"/>
              </w:rPr>
              <w:t>Polyhaline</w:t>
            </w:r>
            <w:proofErr w:type="spellEnd"/>
            <w:r w:rsidRPr="0089508A">
              <w:rPr>
                <w:rFonts w:cstheme="minorHAnsi"/>
                <w:sz w:val="22"/>
                <w:szCs w:val="22"/>
              </w:rPr>
              <w:t>)</w:t>
            </w:r>
          </w:p>
        </w:tc>
        <w:tc>
          <w:tcPr>
            <w:tcW w:w="1992" w:type="dxa"/>
            <w:vMerge/>
            <w:tcBorders>
              <w:bottom w:val="single" w:sz="4" w:space="0" w:color="auto"/>
            </w:tcBorders>
          </w:tcPr>
          <w:p w14:paraId="471D2689"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p>
        </w:tc>
      </w:tr>
      <w:tr w:rsidR="006D6EB7" w:rsidRPr="0089508A" w14:paraId="13B086A4" w14:textId="77777777" w:rsidTr="009B56FC">
        <w:trPr>
          <w:cantSplit/>
          <w:trHeight w:val="285"/>
        </w:trPr>
        <w:tc>
          <w:tcPr>
            <w:tcW w:w="1525" w:type="dxa"/>
            <w:vMerge/>
            <w:tcBorders>
              <w:bottom w:val="single" w:sz="12" w:space="0" w:color="auto"/>
            </w:tcBorders>
          </w:tcPr>
          <w:p w14:paraId="1D9B9C5E"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p>
        </w:tc>
        <w:tc>
          <w:tcPr>
            <w:tcW w:w="1710" w:type="dxa"/>
            <w:vAlign w:val="center"/>
          </w:tcPr>
          <w:p w14:paraId="75CA79D1"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21</w:t>
            </w:r>
          </w:p>
        </w:tc>
        <w:tc>
          <w:tcPr>
            <w:tcW w:w="4140" w:type="dxa"/>
            <w:vAlign w:val="center"/>
          </w:tcPr>
          <w:p w14:paraId="73B0458D" w14:textId="77777777" w:rsidR="006D6EB7" w:rsidRPr="0089508A" w:rsidRDefault="006D6EB7" w:rsidP="001A2FD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lang w:val="sv-SE"/>
              </w:rPr>
            </w:pPr>
            <w:r w:rsidRPr="0089508A">
              <w:rPr>
                <w:rFonts w:cstheme="minorHAnsi"/>
                <w:sz w:val="22"/>
                <w:szCs w:val="22"/>
                <w:lang w:val="sv-SE"/>
              </w:rPr>
              <w:t>JMSTFU (James Tidal Fresh Upper)</w:t>
            </w:r>
          </w:p>
        </w:tc>
        <w:tc>
          <w:tcPr>
            <w:tcW w:w="1992" w:type="dxa"/>
            <w:vMerge w:val="restart"/>
            <w:tcBorders>
              <w:bottom w:val="single" w:sz="12" w:space="0" w:color="auto"/>
            </w:tcBorders>
            <w:vAlign w:val="center"/>
          </w:tcPr>
          <w:p w14:paraId="4C693187"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July 1 - September 30</w:t>
            </w:r>
          </w:p>
          <w:p w14:paraId="7A9DD2E5"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(summer)</w:t>
            </w:r>
          </w:p>
        </w:tc>
      </w:tr>
      <w:tr w:rsidR="006D6EB7" w:rsidRPr="0089508A" w14:paraId="20C81AF2" w14:textId="77777777" w:rsidTr="009B56FC">
        <w:trPr>
          <w:cantSplit/>
          <w:trHeight w:val="285"/>
        </w:trPr>
        <w:tc>
          <w:tcPr>
            <w:tcW w:w="1525" w:type="dxa"/>
            <w:vMerge/>
            <w:tcBorders>
              <w:bottom w:val="single" w:sz="12" w:space="0" w:color="auto"/>
            </w:tcBorders>
          </w:tcPr>
          <w:p w14:paraId="762A0755"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p>
        </w:tc>
        <w:tc>
          <w:tcPr>
            <w:tcW w:w="1710" w:type="dxa"/>
            <w:vAlign w:val="center"/>
          </w:tcPr>
          <w:p w14:paraId="45684C34"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24</w:t>
            </w:r>
          </w:p>
        </w:tc>
        <w:tc>
          <w:tcPr>
            <w:tcW w:w="4140" w:type="dxa"/>
            <w:vAlign w:val="center"/>
          </w:tcPr>
          <w:p w14:paraId="4D403856" w14:textId="77777777" w:rsidR="006D6EB7" w:rsidRPr="0089508A" w:rsidRDefault="006D6EB7" w:rsidP="001A2FD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JMSTFL (James Tidal Fresh Lower)</w:t>
            </w:r>
          </w:p>
        </w:tc>
        <w:tc>
          <w:tcPr>
            <w:tcW w:w="1992" w:type="dxa"/>
            <w:vMerge/>
            <w:tcBorders>
              <w:bottom w:val="single" w:sz="12" w:space="0" w:color="auto"/>
            </w:tcBorders>
            <w:vAlign w:val="center"/>
          </w:tcPr>
          <w:p w14:paraId="33BE2617"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b/>
                <w:sz w:val="22"/>
                <w:szCs w:val="22"/>
              </w:rPr>
            </w:pPr>
          </w:p>
        </w:tc>
      </w:tr>
      <w:tr w:rsidR="006D6EB7" w:rsidRPr="0089508A" w14:paraId="7DD38A5B" w14:textId="77777777" w:rsidTr="009B56FC">
        <w:trPr>
          <w:cantSplit/>
          <w:trHeight w:val="350"/>
        </w:trPr>
        <w:tc>
          <w:tcPr>
            <w:tcW w:w="1525" w:type="dxa"/>
            <w:vMerge/>
            <w:tcBorders>
              <w:bottom w:val="single" w:sz="12" w:space="0" w:color="auto"/>
            </w:tcBorders>
          </w:tcPr>
          <w:p w14:paraId="37BE808B"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both"/>
              <w:rPr>
                <w:rFonts w:cstheme="minorHAnsi"/>
                <w:sz w:val="22"/>
                <w:szCs w:val="22"/>
              </w:rPr>
            </w:pPr>
          </w:p>
        </w:tc>
        <w:tc>
          <w:tcPr>
            <w:tcW w:w="1710" w:type="dxa"/>
            <w:vAlign w:val="center"/>
          </w:tcPr>
          <w:p w14:paraId="22562B0A"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11</w:t>
            </w:r>
          </w:p>
        </w:tc>
        <w:tc>
          <w:tcPr>
            <w:tcW w:w="4140" w:type="dxa"/>
            <w:vAlign w:val="center"/>
          </w:tcPr>
          <w:p w14:paraId="5EBDF09A" w14:textId="77777777" w:rsidR="006D6EB7" w:rsidRPr="0089508A" w:rsidRDefault="006D6EB7" w:rsidP="001A2FD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JMSOH (James Oligohaline)</w:t>
            </w:r>
          </w:p>
        </w:tc>
        <w:tc>
          <w:tcPr>
            <w:tcW w:w="1992" w:type="dxa"/>
            <w:vMerge/>
            <w:tcBorders>
              <w:bottom w:val="single" w:sz="12" w:space="0" w:color="auto"/>
            </w:tcBorders>
          </w:tcPr>
          <w:p w14:paraId="37C43935"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both"/>
              <w:rPr>
                <w:rFonts w:cstheme="minorHAnsi"/>
                <w:sz w:val="22"/>
                <w:szCs w:val="22"/>
              </w:rPr>
            </w:pPr>
          </w:p>
        </w:tc>
      </w:tr>
      <w:tr w:rsidR="006D6EB7" w:rsidRPr="0089508A" w14:paraId="169149B0" w14:textId="77777777" w:rsidTr="009B56FC">
        <w:trPr>
          <w:cantSplit/>
          <w:trHeight w:val="350"/>
        </w:trPr>
        <w:tc>
          <w:tcPr>
            <w:tcW w:w="1525" w:type="dxa"/>
            <w:vMerge/>
            <w:tcBorders>
              <w:bottom w:val="single" w:sz="12" w:space="0" w:color="auto"/>
            </w:tcBorders>
          </w:tcPr>
          <w:p w14:paraId="376FB8AC"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both"/>
              <w:rPr>
                <w:rFonts w:cstheme="minorHAnsi"/>
                <w:sz w:val="22"/>
                <w:szCs w:val="22"/>
              </w:rPr>
            </w:pPr>
          </w:p>
        </w:tc>
        <w:tc>
          <w:tcPr>
            <w:tcW w:w="1710" w:type="dxa"/>
            <w:tcBorders>
              <w:bottom w:val="single" w:sz="4" w:space="0" w:color="auto"/>
            </w:tcBorders>
            <w:vAlign w:val="center"/>
          </w:tcPr>
          <w:p w14:paraId="540C82D0"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7</w:t>
            </w:r>
          </w:p>
        </w:tc>
        <w:tc>
          <w:tcPr>
            <w:tcW w:w="4140" w:type="dxa"/>
            <w:tcBorders>
              <w:bottom w:val="single" w:sz="4" w:space="0" w:color="auto"/>
            </w:tcBorders>
            <w:vAlign w:val="center"/>
          </w:tcPr>
          <w:p w14:paraId="7F0347B7" w14:textId="73744175" w:rsidR="006D6EB7" w:rsidRPr="0089508A" w:rsidRDefault="006D6EB7" w:rsidP="001A2FD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JMSMH (James Mesohaline)</w:t>
            </w:r>
          </w:p>
        </w:tc>
        <w:tc>
          <w:tcPr>
            <w:tcW w:w="1992" w:type="dxa"/>
            <w:vMerge/>
            <w:tcBorders>
              <w:bottom w:val="single" w:sz="12" w:space="0" w:color="auto"/>
            </w:tcBorders>
          </w:tcPr>
          <w:p w14:paraId="3BE335BC"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both"/>
              <w:rPr>
                <w:rFonts w:cstheme="minorHAnsi"/>
                <w:sz w:val="22"/>
                <w:szCs w:val="22"/>
              </w:rPr>
            </w:pPr>
          </w:p>
        </w:tc>
      </w:tr>
      <w:tr w:rsidR="006D6EB7" w:rsidRPr="0089508A" w14:paraId="4C77674D" w14:textId="77777777" w:rsidTr="009B56FC">
        <w:trPr>
          <w:cantSplit/>
          <w:trHeight w:val="350"/>
        </w:trPr>
        <w:tc>
          <w:tcPr>
            <w:tcW w:w="1525" w:type="dxa"/>
            <w:vMerge/>
            <w:tcBorders>
              <w:bottom w:val="single" w:sz="12" w:space="0" w:color="auto"/>
            </w:tcBorders>
          </w:tcPr>
          <w:p w14:paraId="5EC496FD"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both"/>
              <w:rPr>
                <w:rFonts w:cstheme="minorHAnsi"/>
                <w:sz w:val="22"/>
                <w:szCs w:val="22"/>
              </w:rPr>
            </w:pPr>
          </w:p>
        </w:tc>
        <w:tc>
          <w:tcPr>
            <w:tcW w:w="1710" w:type="dxa"/>
            <w:tcBorders>
              <w:bottom w:val="single" w:sz="12" w:space="0" w:color="auto"/>
            </w:tcBorders>
            <w:vAlign w:val="center"/>
          </w:tcPr>
          <w:p w14:paraId="36E14EA3"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7</w:t>
            </w:r>
          </w:p>
        </w:tc>
        <w:tc>
          <w:tcPr>
            <w:tcW w:w="4140" w:type="dxa"/>
            <w:tcBorders>
              <w:bottom w:val="single" w:sz="12" w:space="0" w:color="auto"/>
            </w:tcBorders>
            <w:vAlign w:val="center"/>
          </w:tcPr>
          <w:p w14:paraId="7C929E2D" w14:textId="77777777" w:rsidR="006D6EB7" w:rsidRPr="0089508A" w:rsidRDefault="006D6EB7" w:rsidP="001A2FD7">
            <w:pPr>
              <w:tabs>
                <w:tab w:val="left" w:pos="0"/>
                <w:tab w:val="right" w:pos="4938"/>
                <w:tab w:val="left" w:pos="5040"/>
                <w:tab w:val="left" w:pos="5760"/>
                <w:tab w:val="left" w:pos="6480"/>
                <w:tab w:val="left" w:pos="7200"/>
                <w:tab w:val="left" w:pos="7920"/>
                <w:tab w:val="left" w:pos="8640"/>
                <w:tab w:val="left" w:pos="9360"/>
                <w:tab w:val="left" w:pos="10080"/>
              </w:tabs>
              <w:spacing w:after="98"/>
              <w:jc w:val="center"/>
              <w:rPr>
                <w:rFonts w:cstheme="minorHAnsi"/>
                <w:sz w:val="22"/>
                <w:szCs w:val="22"/>
              </w:rPr>
            </w:pPr>
            <w:r w:rsidRPr="0089508A">
              <w:rPr>
                <w:rFonts w:cstheme="minorHAnsi"/>
                <w:sz w:val="22"/>
                <w:szCs w:val="22"/>
              </w:rPr>
              <w:t xml:space="preserve">JMSPH (James </w:t>
            </w:r>
            <w:proofErr w:type="spellStart"/>
            <w:r w:rsidRPr="0089508A">
              <w:rPr>
                <w:rFonts w:cstheme="minorHAnsi"/>
                <w:sz w:val="22"/>
                <w:szCs w:val="22"/>
              </w:rPr>
              <w:t>Polyhaline</w:t>
            </w:r>
            <w:proofErr w:type="spellEnd"/>
            <w:r w:rsidRPr="0089508A">
              <w:rPr>
                <w:rFonts w:cstheme="minorHAnsi"/>
                <w:sz w:val="22"/>
                <w:szCs w:val="22"/>
              </w:rPr>
              <w:t>)</w:t>
            </w:r>
          </w:p>
        </w:tc>
        <w:tc>
          <w:tcPr>
            <w:tcW w:w="1992" w:type="dxa"/>
            <w:vMerge/>
            <w:tcBorders>
              <w:bottom w:val="single" w:sz="12" w:space="0" w:color="auto"/>
            </w:tcBorders>
          </w:tcPr>
          <w:p w14:paraId="1FCB11D2" w14:textId="77777777" w:rsidR="006D6EB7" w:rsidRPr="0089508A" w:rsidRDefault="006D6EB7">
            <w:pPr>
              <w:tabs>
                <w:tab w:val="left" w:pos="0"/>
                <w:tab w:val="right" w:pos="4938"/>
                <w:tab w:val="left" w:pos="5040"/>
                <w:tab w:val="left" w:pos="5760"/>
                <w:tab w:val="left" w:pos="6480"/>
                <w:tab w:val="left" w:pos="7200"/>
                <w:tab w:val="left" w:pos="7920"/>
                <w:tab w:val="left" w:pos="8640"/>
                <w:tab w:val="left" w:pos="9360"/>
                <w:tab w:val="left" w:pos="10080"/>
              </w:tabs>
              <w:spacing w:after="98"/>
              <w:jc w:val="both"/>
              <w:rPr>
                <w:rFonts w:cstheme="minorHAnsi"/>
                <w:sz w:val="22"/>
                <w:szCs w:val="22"/>
              </w:rPr>
            </w:pPr>
          </w:p>
        </w:tc>
      </w:tr>
    </w:tbl>
    <w:p w14:paraId="6B3BDEC3" w14:textId="02D8B144" w:rsidR="006D6EB7" w:rsidRPr="00575A17" w:rsidRDefault="006D6EB7" w:rsidP="00575A17">
      <w:pPr>
        <w:rPr>
          <w:rFonts w:cstheme="minorHAnsi"/>
          <w:sz w:val="22"/>
          <w:szCs w:val="22"/>
        </w:rPr>
      </w:pPr>
      <w:r w:rsidRPr="0089508A">
        <w:rPr>
          <w:rFonts w:cstheme="minorHAnsi"/>
          <w:sz w:val="22"/>
          <w:szCs w:val="22"/>
        </w:rPr>
        <w:br w:type="page"/>
      </w:r>
    </w:p>
    <w:p w14:paraId="65D861EC" w14:textId="4DB600BA" w:rsidR="00FF57D4" w:rsidRPr="00FF57D4" w:rsidRDefault="002C71EC" w:rsidP="0A5BE548">
      <w:pPr>
        <w:pStyle w:val="Caption"/>
        <w:keepNext/>
        <w:rPr>
          <w:rFonts w:cstheme="minorBidi"/>
          <w:specVanish/>
        </w:rPr>
      </w:pPr>
      <w:bookmarkStart w:id="310" w:name="_Toc164175221"/>
      <w:r>
        <w:lastRenderedPageBreak/>
        <w:t xml:space="preserve">Table </w:t>
      </w:r>
      <w:r w:rsidR="004F13BA">
        <w:fldChar w:fldCharType="begin"/>
      </w:r>
      <w:r w:rsidR="004F13BA">
        <w:instrText xml:space="preserve"> STYLEREF 2 \s </w:instrText>
      </w:r>
      <w:r w:rsidR="004F13BA">
        <w:fldChar w:fldCharType="separate"/>
      </w:r>
      <w:r w:rsidR="00CD06AE">
        <w:rPr>
          <w:noProof/>
        </w:rPr>
        <w:t>4.6</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4</w:t>
      </w:r>
      <w:r w:rsidR="004F13BA">
        <w:rPr>
          <w:noProof/>
        </w:rPr>
        <w:fldChar w:fldCharType="end"/>
      </w:r>
      <w:r>
        <w:t xml:space="preserve">. </w:t>
      </w:r>
      <w:r w:rsidRPr="0A5BE548">
        <w:rPr>
          <w:rFonts w:cstheme="minorBidi"/>
        </w:rPr>
        <w:t xml:space="preserve">Chlorophyll </w:t>
      </w:r>
      <w:r w:rsidRPr="0A5BE548">
        <w:rPr>
          <w:rFonts w:cstheme="minorBidi"/>
          <w:i/>
        </w:rPr>
        <w:t>a</w:t>
      </w:r>
      <w:r w:rsidRPr="0A5BE548">
        <w:rPr>
          <w:rFonts w:cstheme="minorBidi"/>
        </w:rPr>
        <w:t xml:space="preserve"> short-duration criteria for assessment</w:t>
      </w:r>
      <w:bookmarkEnd w:id="310"/>
      <w:r w:rsidR="00FF57D4" w:rsidRPr="0A5BE548">
        <w:rPr>
          <w:rFonts w:cstheme="minorBidi"/>
        </w:rPr>
        <w:t xml:space="preserve"> </w:t>
      </w:r>
      <w:r w:rsidRPr="0A5BE548">
        <w:rPr>
          <w:rFonts w:cstheme="minorBidi"/>
        </w:rPr>
        <w:t>of the open-water designated use habitats in the James River.</w:t>
      </w:r>
    </w:p>
    <w:tbl>
      <w:tblPr>
        <w:tblW w:w="0" w:type="auto"/>
        <w:tblCellMar>
          <w:left w:w="0" w:type="dxa"/>
          <w:right w:w="0" w:type="dxa"/>
        </w:tblCellMar>
        <w:tblLook w:val="04A0" w:firstRow="1" w:lastRow="0" w:firstColumn="1" w:lastColumn="0" w:noHBand="0" w:noVBand="1"/>
        <w:tblCaption w:val="Chlorophyll a short-duration criteria for assessment of the open-water designated use habitats in the James River."/>
        <w:tblDescription w:val="Chlorophyll a short-duration criteria for assessment of the open-water designated use habitats in the James River. See Figure 4.6-3 for locations of these segments.&#10;"/>
      </w:tblPr>
      <w:tblGrid>
        <w:gridCol w:w="1508"/>
        <w:gridCol w:w="2170"/>
        <w:gridCol w:w="4010"/>
        <w:gridCol w:w="1672"/>
      </w:tblGrid>
      <w:tr w:rsidR="006D6EB7" w:rsidRPr="00440288" w14:paraId="381BD690" w14:textId="77777777" w:rsidTr="00EC5676">
        <w:trPr>
          <w:trHeight w:val="880"/>
        </w:trPr>
        <w:tc>
          <w:tcPr>
            <w:tcW w:w="1413" w:type="dxa"/>
            <w:tcBorders>
              <w:top w:val="single" w:sz="12" w:space="0" w:color="auto"/>
              <w:bottom w:val="single" w:sz="2" w:space="0" w:color="auto"/>
            </w:tcBorders>
            <w:tcMar>
              <w:top w:w="0" w:type="dxa"/>
              <w:left w:w="108" w:type="dxa"/>
              <w:bottom w:w="0" w:type="dxa"/>
              <w:right w:w="108" w:type="dxa"/>
            </w:tcMar>
            <w:vAlign w:val="center"/>
            <w:hideMark/>
          </w:tcPr>
          <w:p w14:paraId="72DDD84C" w14:textId="6E186FD7" w:rsidR="006D6EB7" w:rsidRPr="00F0564B" w:rsidRDefault="006D6EB7" w:rsidP="00EC5676">
            <w:pPr>
              <w:spacing w:before="60" w:after="60" w:line="324" w:lineRule="atLeast"/>
              <w:ind w:left="120" w:right="120"/>
              <w:jc w:val="center"/>
              <w:textAlignment w:val="baseline"/>
              <w:rPr>
                <w:b/>
                <w:sz w:val="22"/>
                <w:szCs w:val="22"/>
              </w:rPr>
            </w:pPr>
            <w:r w:rsidRPr="00F0564B">
              <w:rPr>
                <w:b/>
                <w:sz w:val="22"/>
                <w:szCs w:val="22"/>
              </w:rPr>
              <w:t xml:space="preserve">Chlorophyll </w:t>
            </w:r>
            <w:r w:rsidRPr="00F0564B">
              <w:rPr>
                <w:b/>
                <w:i/>
                <w:sz w:val="22"/>
                <w:szCs w:val="22"/>
              </w:rPr>
              <w:t>a</w:t>
            </w:r>
            <w:r w:rsidRPr="00F0564B">
              <w:rPr>
                <w:b/>
                <w:sz w:val="22"/>
                <w:szCs w:val="22"/>
              </w:rPr>
              <w:t xml:space="preserve"> </w:t>
            </w:r>
            <w:r w:rsidR="00485694" w:rsidRPr="00F0564B">
              <w:rPr>
                <w:b/>
                <w:sz w:val="22"/>
                <w:szCs w:val="22"/>
              </w:rPr>
              <w:t>(</w:t>
            </w:r>
            <w:proofErr w:type="gramStart"/>
            <w:r w:rsidRPr="00F0564B">
              <w:rPr>
                <w:b/>
                <w:sz w:val="22"/>
                <w:szCs w:val="22"/>
              </w:rPr>
              <w:t>µg</w:t>
            </w:r>
            <w:proofErr w:type="gramEnd"/>
            <w:r w:rsidRPr="00F0564B">
              <w:rPr>
                <w:b/>
                <w:sz w:val="22"/>
                <w:szCs w:val="22"/>
              </w:rPr>
              <w:t>/</w:t>
            </w:r>
            <w:r w:rsidR="00485694" w:rsidRPr="00F0564B">
              <w:rPr>
                <w:b/>
                <w:sz w:val="22"/>
                <w:szCs w:val="22"/>
              </w:rPr>
              <w:t>L)</w:t>
            </w:r>
          </w:p>
        </w:tc>
        <w:tc>
          <w:tcPr>
            <w:tcW w:w="2187" w:type="dxa"/>
            <w:tcBorders>
              <w:top w:val="single" w:sz="12" w:space="0" w:color="auto"/>
              <w:bottom w:val="single" w:sz="2" w:space="0" w:color="auto"/>
            </w:tcBorders>
            <w:tcMar>
              <w:top w:w="0" w:type="dxa"/>
              <w:left w:w="108" w:type="dxa"/>
              <w:bottom w:w="0" w:type="dxa"/>
              <w:right w:w="108" w:type="dxa"/>
            </w:tcMar>
            <w:vAlign w:val="center"/>
            <w:hideMark/>
          </w:tcPr>
          <w:p w14:paraId="43BFC662" w14:textId="77777777" w:rsidR="006D6EB7" w:rsidRPr="00F0564B" w:rsidRDefault="006D6EB7" w:rsidP="00EC5676">
            <w:pPr>
              <w:spacing w:before="60" w:after="60" w:line="324" w:lineRule="atLeast"/>
              <w:ind w:left="120" w:right="120"/>
              <w:jc w:val="center"/>
              <w:textAlignment w:val="baseline"/>
              <w:rPr>
                <w:b/>
                <w:sz w:val="22"/>
                <w:szCs w:val="22"/>
              </w:rPr>
            </w:pPr>
            <w:r w:rsidRPr="00F0564B">
              <w:rPr>
                <w:b/>
                <w:sz w:val="22"/>
                <w:szCs w:val="22"/>
              </w:rPr>
              <w:t>Chesapeake Bay Program Segment</w:t>
            </w:r>
            <w:r w:rsidRPr="00F0564B">
              <w:rPr>
                <w:b/>
                <w:sz w:val="22"/>
                <w:szCs w:val="22"/>
                <w:vertAlign w:val="superscript"/>
              </w:rPr>
              <w:t>1</w:t>
            </w:r>
          </w:p>
        </w:tc>
        <w:tc>
          <w:tcPr>
            <w:tcW w:w="4077" w:type="dxa"/>
            <w:tcBorders>
              <w:top w:val="single" w:sz="12" w:space="0" w:color="auto"/>
              <w:bottom w:val="single" w:sz="2" w:space="0" w:color="auto"/>
            </w:tcBorders>
            <w:tcMar>
              <w:top w:w="0" w:type="dxa"/>
              <w:left w:w="108" w:type="dxa"/>
              <w:bottom w:w="0" w:type="dxa"/>
              <w:right w:w="108" w:type="dxa"/>
            </w:tcMar>
            <w:vAlign w:val="center"/>
            <w:hideMark/>
          </w:tcPr>
          <w:p w14:paraId="2F2A714C" w14:textId="77777777" w:rsidR="006D6EB7" w:rsidRPr="00F0564B" w:rsidRDefault="006D6EB7" w:rsidP="00EC5676">
            <w:pPr>
              <w:spacing w:before="60" w:after="60" w:line="324" w:lineRule="atLeast"/>
              <w:ind w:left="120" w:right="120"/>
              <w:jc w:val="center"/>
              <w:textAlignment w:val="baseline"/>
              <w:rPr>
                <w:b/>
                <w:sz w:val="22"/>
                <w:szCs w:val="22"/>
              </w:rPr>
            </w:pPr>
            <w:r w:rsidRPr="00F0564B">
              <w:rPr>
                <w:b/>
                <w:sz w:val="22"/>
                <w:szCs w:val="22"/>
              </w:rPr>
              <w:t>Spatial Application</w:t>
            </w:r>
          </w:p>
        </w:tc>
        <w:tc>
          <w:tcPr>
            <w:tcW w:w="1683" w:type="dxa"/>
            <w:tcBorders>
              <w:top w:val="single" w:sz="12" w:space="0" w:color="auto"/>
              <w:bottom w:val="single" w:sz="2" w:space="0" w:color="auto"/>
            </w:tcBorders>
            <w:tcMar>
              <w:top w:w="0" w:type="dxa"/>
              <w:left w:w="108" w:type="dxa"/>
              <w:bottom w:w="0" w:type="dxa"/>
              <w:right w:w="108" w:type="dxa"/>
            </w:tcMar>
            <w:vAlign w:val="center"/>
            <w:hideMark/>
          </w:tcPr>
          <w:p w14:paraId="0A494655" w14:textId="77777777" w:rsidR="006D6EB7" w:rsidRPr="00F0564B" w:rsidRDefault="006D6EB7" w:rsidP="00EC5676">
            <w:pPr>
              <w:spacing w:before="60" w:after="60" w:line="324" w:lineRule="atLeast"/>
              <w:ind w:left="120" w:right="120"/>
              <w:jc w:val="center"/>
              <w:textAlignment w:val="baseline"/>
              <w:rPr>
                <w:b/>
                <w:sz w:val="22"/>
                <w:szCs w:val="22"/>
              </w:rPr>
            </w:pPr>
            <w:r w:rsidRPr="00F0564B">
              <w:rPr>
                <w:b/>
                <w:sz w:val="22"/>
                <w:szCs w:val="22"/>
              </w:rPr>
              <w:t>Duration</w:t>
            </w:r>
          </w:p>
        </w:tc>
      </w:tr>
      <w:tr w:rsidR="006D6EB7" w:rsidRPr="00440288" w14:paraId="19C274FC" w14:textId="77777777" w:rsidTr="00FD5FBA">
        <w:trPr>
          <w:trHeight w:val="677"/>
        </w:trPr>
        <w:tc>
          <w:tcPr>
            <w:tcW w:w="1413" w:type="dxa"/>
            <w:tcBorders>
              <w:top w:val="single" w:sz="2" w:space="0" w:color="auto"/>
              <w:bottom w:val="single" w:sz="2" w:space="0" w:color="auto"/>
            </w:tcBorders>
            <w:tcMar>
              <w:top w:w="0" w:type="dxa"/>
              <w:left w:w="108" w:type="dxa"/>
              <w:bottom w:w="0" w:type="dxa"/>
              <w:right w:w="108" w:type="dxa"/>
            </w:tcMar>
            <w:vAlign w:val="center"/>
            <w:hideMark/>
          </w:tcPr>
          <w:p w14:paraId="1F03282F"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w:t>
            </w:r>
          </w:p>
        </w:tc>
        <w:tc>
          <w:tcPr>
            <w:tcW w:w="2187" w:type="dxa"/>
            <w:tcBorders>
              <w:top w:val="single" w:sz="2" w:space="0" w:color="auto"/>
              <w:bottom w:val="single" w:sz="2" w:space="0" w:color="auto"/>
            </w:tcBorders>
            <w:tcMar>
              <w:top w:w="0" w:type="dxa"/>
              <w:left w:w="108" w:type="dxa"/>
              <w:bottom w:w="0" w:type="dxa"/>
              <w:right w:w="108" w:type="dxa"/>
            </w:tcMar>
            <w:vAlign w:val="center"/>
            <w:hideMark/>
          </w:tcPr>
          <w:p w14:paraId="57294CB1"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JMSTF2</w:t>
            </w:r>
          </w:p>
        </w:tc>
        <w:tc>
          <w:tcPr>
            <w:tcW w:w="4077" w:type="dxa"/>
            <w:tcBorders>
              <w:top w:val="single" w:sz="2" w:space="0" w:color="auto"/>
              <w:bottom w:val="single" w:sz="2" w:space="0" w:color="auto"/>
            </w:tcBorders>
            <w:tcMar>
              <w:top w:w="0" w:type="dxa"/>
              <w:left w:w="108" w:type="dxa"/>
              <w:bottom w:w="0" w:type="dxa"/>
              <w:right w:w="108" w:type="dxa"/>
            </w:tcMar>
            <w:vAlign w:val="center"/>
            <w:hideMark/>
          </w:tcPr>
          <w:p w14:paraId="6670164A"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Upstream boundary of JMSTF2 to river mile 95</w:t>
            </w:r>
          </w:p>
        </w:tc>
        <w:tc>
          <w:tcPr>
            <w:tcW w:w="1683" w:type="dxa"/>
            <w:tcBorders>
              <w:top w:val="single" w:sz="2" w:space="0" w:color="auto"/>
              <w:bottom w:val="single" w:sz="2" w:space="0" w:color="auto"/>
            </w:tcBorders>
            <w:tcMar>
              <w:top w:w="0" w:type="dxa"/>
              <w:left w:w="108" w:type="dxa"/>
              <w:bottom w:w="0" w:type="dxa"/>
              <w:right w:w="108" w:type="dxa"/>
            </w:tcMar>
            <w:vAlign w:val="center"/>
            <w:hideMark/>
          </w:tcPr>
          <w:p w14:paraId="7513F59D"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w:t>
            </w:r>
          </w:p>
        </w:tc>
      </w:tr>
      <w:tr w:rsidR="006D6EB7" w:rsidRPr="00440288" w14:paraId="078F6544" w14:textId="77777777" w:rsidTr="00FD5FBA">
        <w:trPr>
          <w:trHeight w:val="677"/>
        </w:trPr>
        <w:tc>
          <w:tcPr>
            <w:tcW w:w="1413" w:type="dxa"/>
            <w:tcBorders>
              <w:top w:val="single" w:sz="2" w:space="0" w:color="auto"/>
              <w:bottom w:val="single" w:sz="2" w:space="0" w:color="auto"/>
            </w:tcBorders>
            <w:tcMar>
              <w:top w:w="0" w:type="dxa"/>
              <w:left w:w="108" w:type="dxa"/>
              <w:bottom w:w="0" w:type="dxa"/>
              <w:right w:w="108" w:type="dxa"/>
            </w:tcMar>
            <w:vAlign w:val="center"/>
            <w:hideMark/>
          </w:tcPr>
          <w:p w14:paraId="540E9F38"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52</w:t>
            </w:r>
          </w:p>
        </w:tc>
        <w:tc>
          <w:tcPr>
            <w:tcW w:w="2187" w:type="dxa"/>
            <w:tcBorders>
              <w:top w:val="single" w:sz="2" w:space="0" w:color="auto"/>
              <w:bottom w:val="single" w:sz="2" w:space="0" w:color="auto"/>
            </w:tcBorders>
            <w:tcMar>
              <w:top w:w="0" w:type="dxa"/>
              <w:left w:w="108" w:type="dxa"/>
              <w:bottom w:w="0" w:type="dxa"/>
              <w:right w:w="108" w:type="dxa"/>
            </w:tcMar>
            <w:vAlign w:val="center"/>
            <w:hideMark/>
          </w:tcPr>
          <w:p w14:paraId="4FFEFF9C"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JMSTF2</w:t>
            </w:r>
          </w:p>
        </w:tc>
        <w:tc>
          <w:tcPr>
            <w:tcW w:w="4077" w:type="dxa"/>
            <w:tcBorders>
              <w:top w:val="single" w:sz="2" w:space="0" w:color="auto"/>
              <w:bottom w:val="single" w:sz="2" w:space="0" w:color="auto"/>
            </w:tcBorders>
            <w:tcMar>
              <w:top w:w="0" w:type="dxa"/>
              <w:left w:w="108" w:type="dxa"/>
              <w:bottom w:w="0" w:type="dxa"/>
              <w:right w:w="108" w:type="dxa"/>
            </w:tcMar>
            <w:vAlign w:val="center"/>
            <w:hideMark/>
          </w:tcPr>
          <w:p w14:paraId="04A0DC77"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River mile 95 to downstream boundary of JMSTF2</w:t>
            </w:r>
          </w:p>
        </w:tc>
        <w:tc>
          <w:tcPr>
            <w:tcW w:w="1683" w:type="dxa"/>
            <w:tcBorders>
              <w:top w:val="single" w:sz="2" w:space="0" w:color="auto"/>
              <w:bottom w:val="single" w:sz="2" w:space="0" w:color="auto"/>
            </w:tcBorders>
            <w:tcMar>
              <w:top w:w="0" w:type="dxa"/>
              <w:left w:w="108" w:type="dxa"/>
              <w:bottom w:w="0" w:type="dxa"/>
              <w:right w:w="108" w:type="dxa"/>
            </w:tcMar>
            <w:vAlign w:val="center"/>
            <w:hideMark/>
          </w:tcPr>
          <w:p w14:paraId="2A367E13"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1-month median</w:t>
            </w:r>
          </w:p>
        </w:tc>
      </w:tr>
      <w:tr w:rsidR="006D6EB7" w:rsidRPr="00440288" w14:paraId="0122513C" w14:textId="77777777" w:rsidTr="00FD5FBA">
        <w:trPr>
          <w:trHeight w:val="677"/>
        </w:trPr>
        <w:tc>
          <w:tcPr>
            <w:tcW w:w="1413" w:type="dxa"/>
            <w:tcBorders>
              <w:top w:val="single" w:sz="2" w:space="0" w:color="auto"/>
              <w:bottom w:val="single" w:sz="2" w:space="0" w:color="auto"/>
            </w:tcBorders>
            <w:tcMar>
              <w:top w:w="0" w:type="dxa"/>
              <w:left w:w="108" w:type="dxa"/>
              <w:bottom w:w="0" w:type="dxa"/>
              <w:right w:w="108" w:type="dxa"/>
            </w:tcMar>
            <w:vAlign w:val="center"/>
            <w:hideMark/>
          </w:tcPr>
          <w:p w14:paraId="232C8452"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52</w:t>
            </w:r>
          </w:p>
        </w:tc>
        <w:tc>
          <w:tcPr>
            <w:tcW w:w="2187" w:type="dxa"/>
            <w:tcBorders>
              <w:top w:val="single" w:sz="2" w:space="0" w:color="auto"/>
              <w:bottom w:val="single" w:sz="2" w:space="0" w:color="auto"/>
            </w:tcBorders>
            <w:tcMar>
              <w:top w:w="0" w:type="dxa"/>
              <w:left w:w="108" w:type="dxa"/>
              <w:bottom w:w="0" w:type="dxa"/>
              <w:right w:w="108" w:type="dxa"/>
            </w:tcMar>
            <w:vAlign w:val="center"/>
            <w:hideMark/>
          </w:tcPr>
          <w:p w14:paraId="7DDD147A"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JMSTF1</w:t>
            </w:r>
          </w:p>
        </w:tc>
        <w:tc>
          <w:tcPr>
            <w:tcW w:w="4077" w:type="dxa"/>
            <w:tcBorders>
              <w:top w:val="single" w:sz="2" w:space="0" w:color="auto"/>
              <w:bottom w:val="single" w:sz="2" w:space="0" w:color="auto"/>
            </w:tcBorders>
            <w:tcMar>
              <w:top w:w="0" w:type="dxa"/>
              <w:left w:w="108" w:type="dxa"/>
              <w:bottom w:w="0" w:type="dxa"/>
              <w:right w:w="108" w:type="dxa"/>
            </w:tcMar>
            <w:vAlign w:val="center"/>
            <w:hideMark/>
          </w:tcPr>
          <w:p w14:paraId="25679298"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Upstream boundary of JMSTF1 to river mile 67</w:t>
            </w:r>
          </w:p>
        </w:tc>
        <w:tc>
          <w:tcPr>
            <w:tcW w:w="1683" w:type="dxa"/>
            <w:tcBorders>
              <w:top w:val="single" w:sz="2" w:space="0" w:color="auto"/>
              <w:bottom w:val="single" w:sz="2" w:space="0" w:color="auto"/>
            </w:tcBorders>
            <w:tcMar>
              <w:top w:w="0" w:type="dxa"/>
              <w:left w:w="108" w:type="dxa"/>
              <w:bottom w:w="0" w:type="dxa"/>
              <w:right w:w="108" w:type="dxa"/>
            </w:tcMar>
            <w:vAlign w:val="center"/>
            <w:hideMark/>
          </w:tcPr>
          <w:p w14:paraId="116F97E1"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1-month median</w:t>
            </w:r>
          </w:p>
        </w:tc>
      </w:tr>
      <w:tr w:rsidR="006D6EB7" w:rsidRPr="00440288" w14:paraId="77FBB378" w14:textId="77777777" w:rsidTr="00FD5FBA">
        <w:trPr>
          <w:trHeight w:val="677"/>
        </w:trPr>
        <w:tc>
          <w:tcPr>
            <w:tcW w:w="1413" w:type="dxa"/>
            <w:tcBorders>
              <w:top w:val="single" w:sz="2" w:space="0" w:color="auto"/>
              <w:bottom w:val="single" w:sz="2" w:space="0" w:color="auto"/>
            </w:tcBorders>
            <w:tcMar>
              <w:top w:w="0" w:type="dxa"/>
              <w:left w:w="108" w:type="dxa"/>
              <w:bottom w:w="0" w:type="dxa"/>
              <w:right w:w="108" w:type="dxa"/>
            </w:tcMar>
            <w:vAlign w:val="center"/>
            <w:hideMark/>
          </w:tcPr>
          <w:p w14:paraId="1C930AA5"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34</w:t>
            </w:r>
          </w:p>
        </w:tc>
        <w:tc>
          <w:tcPr>
            <w:tcW w:w="2187" w:type="dxa"/>
            <w:tcBorders>
              <w:top w:val="single" w:sz="2" w:space="0" w:color="auto"/>
              <w:bottom w:val="single" w:sz="2" w:space="0" w:color="auto"/>
            </w:tcBorders>
            <w:tcMar>
              <w:top w:w="0" w:type="dxa"/>
              <w:left w:w="108" w:type="dxa"/>
              <w:bottom w:w="0" w:type="dxa"/>
              <w:right w:w="108" w:type="dxa"/>
            </w:tcMar>
            <w:vAlign w:val="center"/>
            <w:hideMark/>
          </w:tcPr>
          <w:p w14:paraId="500C16FC"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JMSTF1</w:t>
            </w:r>
          </w:p>
        </w:tc>
        <w:tc>
          <w:tcPr>
            <w:tcW w:w="4077" w:type="dxa"/>
            <w:tcBorders>
              <w:top w:val="single" w:sz="2" w:space="0" w:color="auto"/>
              <w:bottom w:val="single" w:sz="2" w:space="0" w:color="auto"/>
            </w:tcBorders>
            <w:tcMar>
              <w:top w:w="0" w:type="dxa"/>
              <w:left w:w="108" w:type="dxa"/>
              <w:bottom w:w="0" w:type="dxa"/>
              <w:right w:w="108" w:type="dxa"/>
            </w:tcMar>
            <w:vAlign w:val="center"/>
            <w:hideMark/>
          </w:tcPr>
          <w:p w14:paraId="7ADAABFB"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River mile 67 to downstream boundary of JMSTF1</w:t>
            </w:r>
          </w:p>
        </w:tc>
        <w:tc>
          <w:tcPr>
            <w:tcW w:w="1683" w:type="dxa"/>
            <w:tcBorders>
              <w:top w:val="single" w:sz="2" w:space="0" w:color="auto"/>
              <w:bottom w:val="single" w:sz="2" w:space="0" w:color="auto"/>
            </w:tcBorders>
            <w:tcMar>
              <w:top w:w="0" w:type="dxa"/>
              <w:left w:w="108" w:type="dxa"/>
              <w:bottom w:w="0" w:type="dxa"/>
              <w:right w:w="108" w:type="dxa"/>
            </w:tcMar>
            <w:vAlign w:val="center"/>
            <w:hideMark/>
          </w:tcPr>
          <w:p w14:paraId="3204AA08"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1-month median</w:t>
            </w:r>
          </w:p>
        </w:tc>
      </w:tr>
      <w:tr w:rsidR="006D6EB7" w:rsidRPr="00440288" w14:paraId="77521E49" w14:textId="77777777" w:rsidTr="00FD5FBA">
        <w:trPr>
          <w:trHeight w:val="677"/>
        </w:trPr>
        <w:tc>
          <w:tcPr>
            <w:tcW w:w="1413" w:type="dxa"/>
            <w:tcBorders>
              <w:top w:val="single" w:sz="2" w:space="0" w:color="auto"/>
              <w:bottom w:val="single" w:sz="2" w:space="0" w:color="auto"/>
            </w:tcBorders>
            <w:tcMar>
              <w:top w:w="0" w:type="dxa"/>
              <w:left w:w="108" w:type="dxa"/>
              <w:bottom w:w="0" w:type="dxa"/>
              <w:right w:w="108" w:type="dxa"/>
            </w:tcMar>
            <w:vAlign w:val="center"/>
            <w:hideMark/>
          </w:tcPr>
          <w:p w14:paraId="0E20F623"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w:t>
            </w:r>
          </w:p>
        </w:tc>
        <w:tc>
          <w:tcPr>
            <w:tcW w:w="2187" w:type="dxa"/>
            <w:tcBorders>
              <w:top w:val="single" w:sz="2" w:space="0" w:color="auto"/>
              <w:bottom w:val="single" w:sz="2" w:space="0" w:color="auto"/>
            </w:tcBorders>
            <w:tcMar>
              <w:top w:w="0" w:type="dxa"/>
              <w:left w:w="108" w:type="dxa"/>
              <w:bottom w:w="0" w:type="dxa"/>
              <w:right w:w="108" w:type="dxa"/>
            </w:tcMar>
            <w:vAlign w:val="center"/>
            <w:hideMark/>
          </w:tcPr>
          <w:p w14:paraId="218F53CA"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JMSOH</w:t>
            </w:r>
          </w:p>
        </w:tc>
        <w:tc>
          <w:tcPr>
            <w:tcW w:w="4077" w:type="dxa"/>
            <w:tcBorders>
              <w:top w:val="single" w:sz="2" w:space="0" w:color="auto"/>
              <w:bottom w:val="single" w:sz="2" w:space="0" w:color="auto"/>
            </w:tcBorders>
            <w:tcMar>
              <w:top w:w="0" w:type="dxa"/>
              <w:left w:w="108" w:type="dxa"/>
              <w:bottom w:w="0" w:type="dxa"/>
              <w:right w:w="108" w:type="dxa"/>
            </w:tcMar>
            <w:vAlign w:val="center"/>
            <w:hideMark/>
          </w:tcPr>
          <w:p w14:paraId="128E3345"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Entire segment</w:t>
            </w:r>
          </w:p>
        </w:tc>
        <w:tc>
          <w:tcPr>
            <w:tcW w:w="1683" w:type="dxa"/>
            <w:tcBorders>
              <w:top w:val="single" w:sz="2" w:space="0" w:color="auto"/>
              <w:bottom w:val="single" w:sz="2" w:space="0" w:color="auto"/>
            </w:tcBorders>
            <w:tcMar>
              <w:top w:w="0" w:type="dxa"/>
              <w:left w:w="108" w:type="dxa"/>
              <w:bottom w:w="0" w:type="dxa"/>
              <w:right w:w="108" w:type="dxa"/>
            </w:tcMar>
            <w:vAlign w:val="center"/>
            <w:hideMark/>
          </w:tcPr>
          <w:p w14:paraId="74518B18"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w:t>
            </w:r>
          </w:p>
        </w:tc>
      </w:tr>
      <w:tr w:rsidR="006D6EB7" w:rsidRPr="00440288" w14:paraId="5995F1BD" w14:textId="77777777" w:rsidTr="00FD5FBA">
        <w:trPr>
          <w:trHeight w:val="677"/>
        </w:trPr>
        <w:tc>
          <w:tcPr>
            <w:tcW w:w="1413" w:type="dxa"/>
            <w:tcBorders>
              <w:top w:val="single" w:sz="2" w:space="0" w:color="auto"/>
              <w:bottom w:val="single" w:sz="2" w:space="0" w:color="auto"/>
            </w:tcBorders>
            <w:tcMar>
              <w:top w:w="0" w:type="dxa"/>
              <w:left w:w="108" w:type="dxa"/>
              <w:bottom w:w="0" w:type="dxa"/>
              <w:right w:w="108" w:type="dxa"/>
            </w:tcMar>
            <w:vAlign w:val="center"/>
            <w:hideMark/>
          </w:tcPr>
          <w:p w14:paraId="2460DF6A"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59</w:t>
            </w:r>
          </w:p>
        </w:tc>
        <w:tc>
          <w:tcPr>
            <w:tcW w:w="2187" w:type="dxa"/>
            <w:tcBorders>
              <w:top w:val="single" w:sz="2" w:space="0" w:color="auto"/>
              <w:bottom w:val="single" w:sz="2" w:space="0" w:color="auto"/>
            </w:tcBorders>
            <w:tcMar>
              <w:top w:w="0" w:type="dxa"/>
              <w:left w:w="108" w:type="dxa"/>
              <w:bottom w:w="0" w:type="dxa"/>
              <w:right w:w="108" w:type="dxa"/>
            </w:tcMar>
            <w:vAlign w:val="center"/>
            <w:hideMark/>
          </w:tcPr>
          <w:p w14:paraId="3367B9F4"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JMSMH</w:t>
            </w:r>
          </w:p>
        </w:tc>
        <w:tc>
          <w:tcPr>
            <w:tcW w:w="4077" w:type="dxa"/>
            <w:tcBorders>
              <w:top w:val="single" w:sz="2" w:space="0" w:color="auto"/>
              <w:bottom w:val="single" w:sz="2" w:space="0" w:color="auto"/>
            </w:tcBorders>
            <w:tcMar>
              <w:top w:w="0" w:type="dxa"/>
              <w:left w:w="108" w:type="dxa"/>
              <w:bottom w:w="0" w:type="dxa"/>
              <w:right w:w="108" w:type="dxa"/>
            </w:tcMar>
            <w:vAlign w:val="center"/>
            <w:hideMark/>
          </w:tcPr>
          <w:p w14:paraId="2D559451"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Entire segment</w:t>
            </w:r>
          </w:p>
        </w:tc>
        <w:tc>
          <w:tcPr>
            <w:tcW w:w="1683" w:type="dxa"/>
            <w:tcBorders>
              <w:top w:val="single" w:sz="2" w:space="0" w:color="auto"/>
              <w:bottom w:val="single" w:sz="2" w:space="0" w:color="auto"/>
            </w:tcBorders>
            <w:tcMar>
              <w:top w:w="0" w:type="dxa"/>
              <w:left w:w="108" w:type="dxa"/>
              <w:bottom w:w="0" w:type="dxa"/>
              <w:right w:w="108" w:type="dxa"/>
            </w:tcMar>
            <w:vAlign w:val="center"/>
            <w:hideMark/>
          </w:tcPr>
          <w:p w14:paraId="4727B6A0"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1-day median</w:t>
            </w:r>
          </w:p>
        </w:tc>
      </w:tr>
      <w:tr w:rsidR="006D6EB7" w:rsidRPr="00440288" w14:paraId="3E9071D3" w14:textId="77777777" w:rsidTr="00FD5FBA">
        <w:trPr>
          <w:trHeight w:val="677"/>
        </w:trPr>
        <w:tc>
          <w:tcPr>
            <w:tcW w:w="1413" w:type="dxa"/>
            <w:tcBorders>
              <w:top w:val="single" w:sz="2" w:space="0" w:color="auto"/>
              <w:bottom w:val="single" w:sz="12" w:space="0" w:color="auto"/>
            </w:tcBorders>
            <w:tcMar>
              <w:top w:w="0" w:type="dxa"/>
              <w:left w:w="108" w:type="dxa"/>
              <w:bottom w:w="0" w:type="dxa"/>
              <w:right w:w="108" w:type="dxa"/>
            </w:tcMar>
            <w:vAlign w:val="center"/>
            <w:hideMark/>
          </w:tcPr>
          <w:p w14:paraId="6867C2CA"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20</w:t>
            </w:r>
          </w:p>
        </w:tc>
        <w:tc>
          <w:tcPr>
            <w:tcW w:w="2187" w:type="dxa"/>
            <w:tcBorders>
              <w:top w:val="single" w:sz="2" w:space="0" w:color="auto"/>
              <w:bottom w:val="single" w:sz="12" w:space="0" w:color="auto"/>
            </w:tcBorders>
            <w:tcMar>
              <w:top w:w="0" w:type="dxa"/>
              <w:left w:w="108" w:type="dxa"/>
              <w:bottom w:w="0" w:type="dxa"/>
              <w:right w:w="108" w:type="dxa"/>
            </w:tcMar>
            <w:vAlign w:val="center"/>
            <w:hideMark/>
          </w:tcPr>
          <w:p w14:paraId="6FA8A522"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JMSPH</w:t>
            </w:r>
          </w:p>
        </w:tc>
        <w:tc>
          <w:tcPr>
            <w:tcW w:w="4077" w:type="dxa"/>
            <w:tcBorders>
              <w:top w:val="single" w:sz="2" w:space="0" w:color="auto"/>
              <w:bottom w:val="single" w:sz="12" w:space="0" w:color="auto"/>
            </w:tcBorders>
            <w:tcMar>
              <w:top w:w="0" w:type="dxa"/>
              <w:left w:w="108" w:type="dxa"/>
              <w:bottom w:w="0" w:type="dxa"/>
              <w:right w:w="108" w:type="dxa"/>
            </w:tcMar>
            <w:vAlign w:val="center"/>
            <w:hideMark/>
          </w:tcPr>
          <w:p w14:paraId="33D3FCD1"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Entire segment</w:t>
            </w:r>
          </w:p>
        </w:tc>
        <w:tc>
          <w:tcPr>
            <w:tcW w:w="1683" w:type="dxa"/>
            <w:tcBorders>
              <w:top w:val="single" w:sz="2" w:space="0" w:color="auto"/>
              <w:bottom w:val="single" w:sz="12" w:space="0" w:color="auto"/>
            </w:tcBorders>
            <w:tcMar>
              <w:top w:w="0" w:type="dxa"/>
              <w:left w:w="108" w:type="dxa"/>
              <w:bottom w:w="0" w:type="dxa"/>
              <w:right w:w="108" w:type="dxa"/>
            </w:tcMar>
            <w:vAlign w:val="center"/>
            <w:hideMark/>
          </w:tcPr>
          <w:p w14:paraId="6696B451" w14:textId="77777777" w:rsidR="006D6EB7" w:rsidRPr="00D447B5" w:rsidRDefault="006D6EB7" w:rsidP="00C2368D">
            <w:pPr>
              <w:spacing w:before="60" w:after="60" w:line="324" w:lineRule="atLeast"/>
              <w:ind w:left="120" w:right="120"/>
              <w:jc w:val="center"/>
              <w:textAlignment w:val="baseline"/>
              <w:rPr>
                <w:sz w:val="22"/>
                <w:szCs w:val="22"/>
              </w:rPr>
            </w:pPr>
            <w:r w:rsidRPr="00D447B5">
              <w:rPr>
                <w:sz w:val="22"/>
                <w:szCs w:val="22"/>
              </w:rPr>
              <w:t>1-day median</w:t>
            </w:r>
          </w:p>
        </w:tc>
      </w:tr>
    </w:tbl>
    <w:p w14:paraId="2585891A" w14:textId="3F45B3E5" w:rsidR="006D6EB7" w:rsidRDefault="006D6EB7" w:rsidP="006D6EB7">
      <w:pPr>
        <w:pStyle w:val="BodyTextIndent"/>
        <w:widowControl/>
        <w:tabs>
          <w:tab w:val="num" w:pos="0"/>
        </w:tabs>
        <w:ind w:firstLine="0"/>
        <w:rPr>
          <w:rFonts w:cstheme="minorHAnsi"/>
          <w:sz w:val="20"/>
        </w:rPr>
      </w:pPr>
      <w:r w:rsidRPr="003B1895">
        <w:rPr>
          <w:rFonts w:cstheme="minorHAnsi"/>
          <w:sz w:val="20"/>
          <w:vertAlign w:val="superscript"/>
        </w:rPr>
        <w:t>1</w:t>
      </w:r>
      <w:r w:rsidR="002C71EC" w:rsidRPr="003B1895">
        <w:rPr>
          <w:rFonts w:cstheme="minorHAnsi"/>
          <w:sz w:val="20"/>
        </w:rPr>
        <w:t xml:space="preserve"> </w:t>
      </w:r>
      <w:r w:rsidRPr="003B1895">
        <w:rPr>
          <w:rFonts w:cstheme="minorHAnsi"/>
          <w:sz w:val="20"/>
        </w:rPr>
        <w:t>See Figure 4.6-</w:t>
      </w:r>
      <w:r w:rsidR="008F31CF" w:rsidRPr="003B1895">
        <w:rPr>
          <w:rFonts w:cstheme="minorHAnsi"/>
          <w:sz w:val="20"/>
        </w:rPr>
        <w:t>1</w:t>
      </w:r>
      <w:r w:rsidRPr="003B1895">
        <w:rPr>
          <w:rFonts w:cstheme="minorHAnsi"/>
          <w:sz w:val="20"/>
        </w:rPr>
        <w:t xml:space="preserve"> for locations of these segments.</w:t>
      </w:r>
      <w:r w:rsidR="001853DC" w:rsidRPr="003B1895">
        <w:rPr>
          <w:rFonts w:cstheme="minorHAnsi"/>
          <w:sz w:val="20"/>
        </w:rPr>
        <w:t xml:space="preserve"> JMSTF2 corresponds to JMSTF</w:t>
      </w:r>
      <w:r w:rsidR="003B1895" w:rsidRPr="003B1895">
        <w:rPr>
          <w:rFonts w:cstheme="minorHAnsi"/>
          <w:sz w:val="20"/>
        </w:rPr>
        <w:t>-</w:t>
      </w:r>
      <w:r w:rsidR="001853DC" w:rsidRPr="003B1895">
        <w:rPr>
          <w:rFonts w:cstheme="minorHAnsi"/>
          <w:sz w:val="20"/>
        </w:rPr>
        <w:t>U and JMSTF1 corresponds to JMSTF</w:t>
      </w:r>
      <w:r w:rsidR="003B1895" w:rsidRPr="003B1895">
        <w:rPr>
          <w:rFonts w:cstheme="minorHAnsi"/>
          <w:sz w:val="20"/>
        </w:rPr>
        <w:t>-</w:t>
      </w:r>
      <w:r w:rsidR="001853DC" w:rsidRPr="003B1895">
        <w:rPr>
          <w:rFonts w:cstheme="minorHAnsi"/>
          <w:sz w:val="20"/>
        </w:rPr>
        <w:t>L.</w:t>
      </w:r>
    </w:p>
    <w:p w14:paraId="3EEF20B7" w14:textId="77777777" w:rsidR="003B1895" w:rsidRPr="002C71EC" w:rsidRDefault="003B1895" w:rsidP="006D6EB7">
      <w:pPr>
        <w:pStyle w:val="BodyTextIndent"/>
        <w:widowControl/>
        <w:tabs>
          <w:tab w:val="num" w:pos="0"/>
        </w:tabs>
        <w:ind w:firstLine="0"/>
        <w:rPr>
          <w:rFonts w:cstheme="minorHAnsi"/>
          <w:sz w:val="20"/>
        </w:rPr>
      </w:pPr>
    </w:p>
    <w:p w14:paraId="24F8B7FD" w14:textId="76C6E3EB" w:rsidR="00334C90" w:rsidRPr="00440288" w:rsidRDefault="00334C90" w:rsidP="00334C90">
      <w:pPr>
        <w:pStyle w:val="Heading4"/>
        <w:rPr>
          <w:u w:val="single"/>
        </w:rPr>
      </w:pPr>
      <w:r w:rsidRPr="00C74B39">
        <w:t>Spatial Assessment Units</w:t>
      </w:r>
    </w:p>
    <w:p w14:paraId="74B72F89" w14:textId="4B2C4F07" w:rsidR="00334C90" w:rsidRPr="00440288" w:rsidRDefault="00334C90" w:rsidP="00334C90">
      <w:pPr>
        <w:rPr>
          <w:rFonts w:cstheme="minorHAnsi"/>
          <w:szCs w:val="24"/>
        </w:rPr>
      </w:pPr>
      <w:r w:rsidRPr="00440288">
        <w:rPr>
          <w:rFonts w:cstheme="minorHAnsi"/>
          <w:szCs w:val="24"/>
        </w:rPr>
        <w:t>A general overview of the CBP segmentation scheme that is used for assessment of designated uses is shown in Figure 4.6-</w:t>
      </w:r>
      <w:r w:rsidR="00A01424">
        <w:rPr>
          <w:rFonts w:cstheme="minorHAnsi"/>
          <w:szCs w:val="24"/>
        </w:rPr>
        <w:t>1</w:t>
      </w:r>
      <w:r w:rsidRPr="00440288">
        <w:rPr>
          <w:rFonts w:cstheme="minorHAnsi"/>
          <w:szCs w:val="24"/>
        </w:rPr>
        <w:t xml:space="preserve">. Not every designated use exists in each segment or necessarily throughout the full extent of the segments in which they exist. Details of where each designated use occurs within each of these CBP segments can be found in </w:t>
      </w:r>
      <w:r w:rsidRPr="00440288">
        <w:rPr>
          <w:rFonts w:cstheme="minorHAnsi"/>
          <w:i/>
          <w:color w:val="000000"/>
          <w:szCs w:val="24"/>
        </w:rPr>
        <w:t xml:space="preserve">Technical </w:t>
      </w:r>
      <w:r w:rsidRPr="009A050D">
        <w:rPr>
          <w:rFonts w:cstheme="minorHAnsi"/>
          <w:i/>
          <w:color w:val="000000"/>
          <w:szCs w:val="24"/>
        </w:rPr>
        <w:t xml:space="preserve">Support Document for Identification of Chesapeake Bay Designated Uses and Attainability, 2004 Addendum, October 2004, EPA 903-R-04-006 </w:t>
      </w:r>
      <w:r w:rsidRPr="009A050D">
        <w:rPr>
          <w:rFonts w:cstheme="minorHAnsi"/>
          <w:color w:val="000000"/>
          <w:szCs w:val="24"/>
        </w:rPr>
        <w:t xml:space="preserve">and </w:t>
      </w:r>
      <w:r w:rsidRPr="009A050D">
        <w:rPr>
          <w:rFonts w:cstheme="minorHAnsi"/>
          <w:i/>
          <w:szCs w:val="24"/>
        </w:rPr>
        <w:t>Ambient Water Quality Criteria for Dissolved Oxygen, Water Clarity, and Chlorophyll a for the Chesapeake Bay and Its tidal Tributaries, 2010 Technical Support for Criteria Assessment Protocols Addendum, EPA 903-R-10-002 May 2010</w:t>
      </w:r>
      <w:r w:rsidRPr="00440288">
        <w:rPr>
          <w:rFonts w:cstheme="minorHAnsi"/>
          <w:szCs w:val="24"/>
        </w:rPr>
        <w:t>.</w:t>
      </w:r>
    </w:p>
    <w:p w14:paraId="0EE97EBE" w14:textId="77777777" w:rsidR="006D6EB7" w:rsidRPr="00440288" w:rsidRDefault="006D6EB7" w:rsidP="006D6EB7">
      <w:pPr>
        <w:rPr>
          <w:rFonts w:cstheme="minorHAnsi"/>
          <w:szCs w:val="24"/>
        </w:rPr>
      </w:pPr>
      <w:r w:rsidRPr="00440288">
        <w:rPr>
          <w:rFonts w:cstheme="minorHAnsi"/>
          <w:szCs w:val="24"/>
        </w:rPr>
        <w:br w:type="page"/>
      </w:r>
    </w:p>
    <w:p w14:paraId="38A3635F" w14:textId="24D3335B" w:rsidR="005D74B6" w:rsidRDefault="006D6EB7" w:rsidP="00803AE6">
      <w:pPr>
        <w:pStyle w:val="BodyTextIndent"/>
        <w:keepNext/>
        <w:widowControl/>
        <w:tabs>
          <w:tab w:val="num" w:pos="0"/>
        </w:tabs>
        <w:ind w:firstLine="0"/>
      </w:pPr>
      <w:r w:rsidRPr="00C74B39">
        <w:rPr>
          <w:rFonts w:ascii="Times New Roman" w:hAnsi="Times New Roman"/>
          <w:noProof/>
          <w:snapToGrid/>
          <w:szCs w:val="24"/>
        </w:rPr>
        <w:lastRenderedPageBreak/>
        <w:drawing>
          <wp:inline distT="0" distB="0" distL="0" distR="0" wp14:anchorId="2DBFB183" wp14:editId="2E09B7F2">
            <wp:extent cx="5436870" cy="7871460"/>
            <wp:effectExtent l="0" t="0" r="0" b="0"/>
            <wp:docPr id="152" name="Picture 152" descr="Map of Chesapeake Bay dissolved oxygen and water clarity assessment seg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Map of Chesapeake Bay dissolved oxygen and water clarity assessment segmentation"/>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5436870" cy="7871460"/>
                    </a:xfrm>
                    <a:prstGeom prst="rect">
                      <a:avLst/>
                    </a:prstGeom>
                    <a:noFill/>
                    <a:ln w="9525">
                      <a:noFill/>
                      <a:miter lim="800000"/>
                      <a:headEnd/>
                      <a:tailEnd/>
                    </a:ln>
                  </pic:spPr>
                </pic:pic>
              </a:graphicData>
            </a:graphic>
          </wp:inline>
        </w:drawing>
      </w:r>
    </w:p>
    <w:p w14:paraId="2EAFFFC3" w14:textId="01FC1BF8" w:rsidR="006D6EB7" w:rsidRPr="009E5BD9" w:rsidRDefault="005D74B6" w:rsidP="005D74B6">
      <w:pPr>
        <w:pStyle w:val="Caption"/>
        <w:jc w:val="both"/>
        <w:rPr>
          <w:rFonts w:cstheme="minorHAnsi"/>
          <w:b/>
          <w:i/>
          <w:sz w:val="24"/>
          <w:szCs w:val="24"/>
        </w:rPr>
      </w:pPr>
      <w:bookmarkStart w:id="311" w:name="_Toc152766291"/>
      <w:bookmarkStart w:id="312" w:name="_Toc164175115"/>
      <w:r w:rsidRPr="009E5BD9">
        <w:rPr>
          <w:rFonts w:cstheme="minorHAnsi"/>
        </w:rPr>
        <w:t xml:space="preserve">Figure </w:t>
      </w:r>
      <w:r w:rsidR="00E429BB">
        <w:rPr>
          <w:rFonts w:cstheme="minorHAnsi"/>
        </w:rPr>
        <w:fldChar w:fldCharType="begin"/>
      </w:r>
      <w:r w:rsidR="00E429BB">
        <w:rPr>
          <w:rFonts w:cstheme="minorHAnsi"/>
        </w:rPr>
        <w:instrText xml:space="preserve"> STYLEREF 2 \s </w:instrText>
      </w:r>
      <w:r w:rsidR="00E429BB">
        <w:rPr>
          <w:rFonts w:cstheme="minorHAnsi"/>
        </w:rPr>
        <w:fldChar w:fldCharType="separate"/>
      </w:r>
      <w:r w:rsidR="00E429BB">
        <w:rPr>
          <w:rFonts w:cstheme="minorHAnsi"/>
          <w:noProof/>
        </w:rPr>
        <w:t>4.6</w:t>
      </w:r>
      <w:r w:rsidR="00E429BB">
        <w:rPr>
          <w:rFonts w:cstheme="minorHAnsi"/>
        </w:rPr>
        <w:fldChar w:fldCharType="end"/>
      </w:r>
      <w:r w:rsidR="00E429BB">
        <w:rPr>
          <w:rFonts w:cstheme="minorHAnsi"/>
        </w:rPr>
        <w:noBreakHyphen/>
      </w:r>
      <w:r w:rsidR="00E429BB">
        <w:rPr>
          <w:rFonts w:cstheme="minorHAnsi"/>
        </w:rPr>
        <w:fldChar w:fldCharType="begin"/>
      </w:r>
      <w:r w:rsidR="00E429BB">
        <w:rPr>
          <w:rFonts w:cstheme="minorHAnsi"/>
        </w:rPr>
        <w:instrText xml:space="preserve"> SEQ Figure \* ARABIC \s 2 </w:instrText>
      </w:r>
      <w:r w:rsidR="00E429BB">
        <w:rPr>
          <w:rFonts w:cstheme="minorHAnsi"/>
        </w:rPr>
        <w:fldChar w:fldCharType="separate"/>
      </w:r>
      <w:r w:rsidR="00E429BB">
        <w:rPr>
          <w:rFonts w:cstheme="minorHAnsi"/>
          <w:noProof/>
        </w:rPr>
        <w:t>1</w:t>
      </w:r>
      <w:r w:rsidR="00E429BB">
        <w:rPr>
          <w:rFonts w:cstheme="minorHAnsi"/>
        </w:rPr>
        <w:fldChar w:fldCharType="end"/>
      </w:r>
      <w:r w:rsidRPr="009E5BD9">
        <w:rPr>
          <w:rFonts w:cstheme="minorHAnsi"/>
        </w:rPr>
        <w:t xml:space="preserve">. </w:t>
      </w:r>
      <w:r w:rsidRPr="009E5BD9">
        <w:rPr>
          <w:rFonts w:cstheme="minorHAnsi"/>
          <w:szCs w:val="24"/>
        </w:rPr>
        <w:t>Chesapeake Bay dissolved oxygen and water clarity assessment segmentation.</w:t>
      </w:r>
      <w:bookmarkEnd w:id="311"/>
      <w:bookmarkEnd w:id="312"/>
    </w:p>
    <w:p w14:paraId="08B48ABA" w14:textId="01C3D8CA" w:rsidR="00000B89" w:rsidRPr="007E1E62" w:rsidRDefault="00000B89" w:rsidP="007E1E62">
      <w:pPr>
        <w:pStyle w:val="Heading3"/>
      </w:pPr>
      <w:r w:rsidRPr="00426776">
        <w:lastRenderedPageBreak/>
        <w:t xml:space="preserve">Aquatic Life </w:t>
      </w:r>
      <w:r w:rsidR="00E60900">
        <w:t xml:space="preserve">Use </w:t>
      </w:r>
      <w:r w:rsidRPr="00426776">
        <w:t>Assessment Results</w:t>
      </w:r>
    </w:p>
    <w:p w14:paraId="56E59A55" w14:textId="73E563BD" w:rsidR="00803AE6" w:rsidRDefault="00965972" w:rsidP="00803AE6">
      <w:pPr>
        <w:keepNext/>
      </w:pPr>
      <w:r w:rsidRPr="00965972">
        <w:t>Figure 4.6-</w:t>
      </w:r>
      <w:r>
        <w:t>2</w:t>
      </w:r>
      <w:r w:rsidRPr="00965972">
        <w:t xml:space="preserve"> summarizes the current aquatic life use status for the</w:t>
      </w:r>
      <w:r w:rsidR="0022162E">
        <w:t xml:space="preserve"> Chesapeake</w:t>
      </w:r>
      <w:r w:rsidRPr="00965972">
        <w:t xml:space="preserve"> Bay-specific criteria detailed in </w:t>
      </w:r>
      <w:r w:rsidRPr="000F7360">
        <w:t>9AVAC25-260-185 (</w:t>
      </w:r>
      <w:r w:rsidRPr="00965972">
        <w:t>note it does not reflect other impairments such as fish tissue contaminants, pH, or other aquatic life criteria).</w:t>
      </w:r>
      <w:r>
        <w:br/>
      </w:r>
      <w:r w:rsidR="00132971">
        <w:br/>
      </w:r>
      <w:r w:rsidR="007D010A">
        <w:rPr>
          <w:noProof/>
        </w:rPr>
        <w:lastRenderedPageBreak/>
        <w:drawing>
          <wp:inline distT="0" distB="0" distL="0" distR="0" wp14:anchorId="1599BB33" wp14:editId="0002608B">
            <wp:extent cx="5722398" cy="7581900"/>
            <wp:effectExtent l="0" t="0" r="0" b="0"/>
            <wp:docPr id="746811954" name="Picture 5" descr="Figure 4.6 2. Impairment status of the bay aquatic life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11954" name="Picture 5" descr="Figure 4.6 2. Impairment status of the bay aquatic life use"/>
                    <pic:cNvPicPr>
                      <a:picLocks noChangeAspect="1" noChangeArrowheads="1"/>
                    </pic:cNvPicPr>
                  </pic:nvPicPr>
                  <pic:blipFill rotWithShape="1">
                    <a:blip r:embed="rId207" cstate="print">
                      <a:extLst>
                        <a:ext uri="{28A0092B-C50C-407E-A947-70E740481C1C}">
                          <a14:useLocalDpi xmlns:a14="http://schemas.microsoft.com/office/drawing/2010/main"/>
                        </a:ext>
                      </a:extLst>
                    </a:blip>
                    <a:srcRect/>
                    <a:stretch/>
                  </pic:blipFill>
                  <pic:spPr bwMode="auto">
                    <a:xfrm>
                      <a:off x="0" y="0"/>
                      <a:ext cx="5725742" cy="7586331"/>
                    </a:xfrm>
                    <a:prstGeom prst="rect">
                      <a:avLst/>
                    </a:prstGeom>
                    <a:noFill/>
                    <a:ln>
                      <a:noFill/>
                    </a:ln>
                    <a:extLst>
                      <a:ext uri="{53640926-AAD7-44D8-BBD7-CCE9431645EC}">
                        <a14:shadowObscured xmlns:a14="http://schemas.microsoft.com/office/drawing/2010/main"/>
                      </a:ext>
                    </a:extLst>
                  </pic:spPr>
                </pic:pic>
              </a:graphicData>
            </a:graphic>
          </wp:inline>
        </w:drawing>
      </w:r>
    </w:p>
    <w:p w14:paraId="415E9ADA" w14:textId="0B9B18A0" w:rsidR="00803AE6" w:rsidRDefault="00803AE6" w:rsidP="00803AE6">
      <w:pPr>
        <w:pStyle w:val="Caption"/>
      </w:pPr>
      <w:bookmarkStart w:id="313" w:name="_Toc164175116"/>
      <w:r>
        <w:t xml:space="preserve">Figure </w:t>
      </w:r>
      <w:r w:rsidR="004F13BA">
        <w:fldChar w:fldCharType="begin"/>
      </w:r>
      <w:r w:rsidR="004F13BA">
        <w:instrText xml:space="preserve"> STYLEREF 2 \s </w:instrText>
      </w:r>
      <w:r w:rsidR="004F13BA">
        <w:fldChar w:fldCharType="separate"/>
      </w:r>
      <w:r w:rsidR="00E429BB">
        <w:rPr>
          <w:noProof/>
        </w:rPr>
        <w:t>4.6</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w:t>
      </w:r>
      <w:r w:rsidR="004F13BA">
        <w:rPr>
          <w:noProof/>
        </w:rPr>
        <w:fldChar w:fldCharType="end"/>
      </w:r>
      <w:r>
        <w:t xml:space="preserve">. </w:t>
      </w:r>
      <w:r w:rsidRPr="008B0B25">
        <w:t xml:space="preserve">Impairment status of the </w:t>
      </w:r>
      <w:r w:rsidR="00913FCB">
        <w:t>Chesapeake B</w:t>
      </w:r>
      <w:r w:rsidRPr="008B0B25">
        <w:t xml:space="preserve">ay </w:t>
      </w:r>
      <w:r w:rsidR="00913FCB">
        <w:t xml:space="preserve">specific </w:t>
      </w:r>
      <w:r w:rsidRPr="008B0B25">
        <w:t xml:space="preserve">aquatic life </w:t>
      </w:r>
      <w:r w:rsidR="002C2D2A">
        <w:t xml:space="preserve">designated </w:t>
      </w:r>
      <w:bookmarkEnd w:id="313"/>
      <w:r w:rsidR="002C2D2A" w:rsidRPr="008B0B25">
        <w:t>us</w:t>
      </w:r>
      <w:r w:rsidR="002C2D2A">
        <w:t>es</w:t>
      </w:r>
      <w:r>
        <w:br/>
      </w:r>
    </w:p>
    <w:p w14:paraId="15D2CCEE" w14:textId="1FF7655D" w:rsidR="00000B89" w:rsidRPr="007E1E62" w:rsidRDefault="00000B89" w:rsidP="00000B89">
      <w:pPr>
        <w:pStyle w:val="Heading4"/>
        <w:rPr>
          <w:b w:val="0"/>
        </w:rPr>
      </w:pPr>
      <w:r w:rsidRPr="00C74B39">
        <w:lastRenderedPageBreak/>
        <w:t xml:space="preserve">Migratory Fish Spawning and Nursery Designated Use </w:t>
      </w:r>
      <w:r w:rsidR="00803AE6">
        <w:t>Evaluation</w:t>
      </w:r>
    </w:p>
    <w:p w14:paraId="41C1E2D6" w14:textId="23E8EFF0" w:rsidR="00F5715A" w:rsidRPr="00F5715A" w:rsidRDefault="00F5715A" w:rsidP="00F5715A">
      <w:pPr>
        <w:rPr>
          <w:szCs w:val="24"/>
        </w:rPr>
      </w:pPr>
      <w:r w:rsidRPr="00F5715A">
        <w:rPr>
          <w:szCs w:val="24"/>
        </w:rPr>
        <w:t xml:space="preserve">The short-duration Bay DO criteria, including all the criteria that protect the </w:t>
      </w:r>
      <w:r w:rsidRPr="009A050D">
        <w:rPr>
          <w:szCs w:val="24"/>
        </w:rPr>
        <w:t>Migratory Fish Spawning and Nursery (MFSN)</w:t>
      </w:r>
      <w:r w:rsidRPr="00F5715A">
        <w:rPr>
          <w:szCs w:val="24"/>
        </w:rPr>
        <w:t xml:space="preserve"> designated use, were evaluated at continuous monitoring stations that were active during the 2020-2022 period. The analysis is based on assessment methods described in Section 5.12 of the Final 2024 Water Quality Assessment Guidance. However, since there are no established assessment methods for the short-duration criteria in Chesapeake Bay waters, this should only serve as an evaluation and not a formal assessment of the MFSN designated use. The results of this analysis are reported </w:t>
      </w:r>
      <w:r w:rsidRPr="00D46236">
        <w:rPr>
          <w:szCs w:val="24"/>
        </w:rPr>
        <w:t>in Figure 4.6-</w:t>
      </w:r>
      <w:r w:rsidR="00C713FF" w:rsidRPr="00D46236">
        <w:rPr>
          <w:szCs w:val="24"/>
        </w:rPr>
        <w:t>3</w:t>
      </w:r>
      <w:r w:rsidRPr="00D46236">
        <w:rPr>
          <w:szCs w:val="24"/>
        </w:rPr>
        <w:t>.</w:t>
      </w:r>
      <w:r w:rsidRPr="00F5715A">
        <w:rPr>
          <w:szCs w:val="24"/>
        </w:rPr>
        <w:t xml:space="preserve"> </w:t>
      </w:r>
    </w:p>
    <w:p w14:paraId="46280DAC" w14:textId="77777777" w:rsidR="00F5715A" w:rsidRPr="00F5715A" w:rsidRDefault="00F5715A" w:rsidP="00F5715A">
      <w:pPr>
        <w:rPr>
          <w:szCs w:val="24"/>
        </w:rPr>
      </w:pPr>
    </w:p>
    <w:p w14:paraId="2882B7DD" w14:textId="290E29DF" w:rsidR="00610020" w:rsidRDefault="00F5715A" w:rsidP="00610020">
      <w:pPr>
        <w:keepNext/>
      </w:pPr>
      <w:r w:rsidRPr="00F5715A">
        <w:rPr>
          <w:szCs w:val="24"/>
        </w:rPr>
        <w:t xml:space="preserve">Continuous monitoring of DO in shallow water areas </w:t>
      </w:r>
      <w:proofErr w:type="gramStart"/>
      <w:r w:rsidRPr="00F5715A">
        <w:rPr>
          <w:szCs w:val="24"/>
        </w:rPr>
        <w:t>provide</w:t>
      </w:r>
      <w:proofErr w:type="gramEnd"/>
      <w:r w:rsidRPr="00F5715A">
        <w:rPr>
          <w:szCs w:val="24"/>
        </w:rPr>
        <w:t xml:space="preserve"> an appropriate dataset to evaluate short-duration criteria including the 7-day mean and instantaneous minimum. The MFSN designated use is applicable February-May and in low salinity waters. The results show the stations in PMKTF, PMKOH, RPPOH, and POTTF met the MFSN 7-day mean and Open Water and MFSN instantaneous minimum criteria. Stations in RPPMH, YRKMH, YRKPH, LYNPH met the OW 7-day mean criterion but were observed to have more than two consecutive days when the OW instantaneous minimum criterion was exceeded.</w:t>
      </w:r>
      <w:r w:rsidR="001346AF">
        <w:rPr>
          <w:szCs w:val="24"/>
        </w:rPr>
        <w:br/>
      </w:r>
      <w:r w:rsidR="001346AF">
        <w:rPr>
          <w:szCs w:val="24"/>
        </w:rPr>
        <w:br/>
      </w:r>
      <w:r w:rsidR="001346AF" w:rsidRPr="00C74B39">
        <w:rPr>
          <w:b/>
          <w:noProof/>
          <w:szCs w:val="24"/>
        </w:rPr>
        <w:lastRenderedPageBreak/>
        <w:drawing>
          <wp:inline distT="0" distB="0" distL="0" distR="0" wp14:anchorId="6EC74202" wp14:editId="23FC96AB">
            <wp:extent cx="5943600" cy="7900464"/>
            <wp:effectExtent l="0" t="0" r="0" b="5715"/>
            <wp:docPr id="1441986965" name="Picture 1441986965" descr="Map&#10;&#10;Figure 4.6 3. Evaluation of the Migratory Fish Spawning and Nursery designated use using continuous monitoring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86965" name="Picture 1441986965" descr="Map&#10;&#10;Figure 4.6 3. Evaluation of the Migratory Fish Spawning and Nursery designated use using continuous monitoring data"/>
                    <pic:cNvPicPr/>
                  </pic:nvPicPr>
                  <pic:blipFill rotWithShape="1">
                    <a:blip r:embed="rId208" cstate="print">
                      <a:extLst>
                        <a:ext uri="{28A0092B-C50C-407E-A947-70E740481C1C}">
                          <a14:useLocalDpi xmlns:a14="http://schemas.microsoft.com/office/drawing/2010/main"/>
                        </a:ext>
                      </a:extLst>
                    </a:blip>
                    <a:srcRect/>
                    <a:stretch/>
                  </pic:blipFill>
                  <pic:spPr bwMode="auto">
                    <a:xfrm>
                      <a:off x="0" y="0"/>
                      <a:ext cx="5943600" cy="7900464"/>
                    </a:xfrm>
                    <a:prstGeom prst="rect">
                      <a:avLst/>
                    </a:prstGeom>
                    <a:ln>
                      <a:noFill/>
                    </a:ln>
                    <a:extLst>
                      <a:ext uri="{53640926-AAD7-44D8-BBD7-CCE9431645EC}">
                        <a14:shadowObscured xmlns:a14="http://schemas.microsoft.com/office/drawing/2010/main"/>
                      </a:ext>
                    </a:extLst>
                  </pic:spPr>
                </pic:pic>
              </a:graphicData>
            </a:graphic>
          </wp:inline>
        </w:drawing>
      </w:r>
    </w:p>
    <w:p w14:paraId="20640139" w14:textId="2358761D" w:rsidR="00000B89" w:rsidRPr="00234D59" w:rsidRDefault="00610020" w:rsidP="00234D59">
      <w:pPr>
        <w:pStyle w:val="Caption"/>
      </w:pPr>
      <w:bookmarkStart w:id="314" w:name="_Toc164175117"/>
      <w:r>
        <w:t xml:space="preserve">Figure </w:t>
      </w:r>
      <w:r w:rsidR="004F13BA">
        <w:fldChar w:fldCharType="begin"/>
      </w:r>
      <w:r w:rsidR="004F13BA">
        <w:instrText xml:space="preserve"> STYLEREF 2 \s </w:instrText>
      </w:r>
      <w:r w:rsidR="004F13BA">
        <w:fldChar w:fldCharType="separate"/>
      </w:r>
      <w:r w:rsidR="00E429BB">
        <w:rPr>
          <w:noProof/>
        </w:rPr>
        <w:t>4.6</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3</w:t>
      </w:r>
      <w:r w:rsidR="004F13BA">
        <w:rPr>
          <w:noProof/>
        </w:rPr>
        <w:fldChar w:fldCharType="end"/>
      </w:r>
      <w:r>
        <w:t xml:space="preserve">. </w:t>
      </w:r>
      <w:r w:rsidR="002C2D2A">
        <w:rPr>
          <w:szCs w:val="24"/>
        </w:rPr>
        <w:t>Evaluation</w:t>
      </w:r>
      <w:r w:rsidR="002C2D2A" w:rsidRPr="009A050D">
        <w:rPr>
          <w:szCs w:val="24"/>
        </w:rPr>
        <w:t xml:space="preserve"> </w:t>
      </w:r>
      <w:r w:rsidR="00E04135" w:rsidRPr="009A050D">
        <w:rPr>
          <w:szCs w:val="24"/>
        </w:rPr>
        <w:t>of the Migratory Fish Spawning and Nursery designated use</w:t>
      </w:r>
      <w:bookmarkEnd w:id="314"/>
      <w:r w:rsidR="0066719C">
        <w:rPr>
          <w:szCs w:val="24"/>
        </w:rPr>
        <w:t xml:space="preserve"> using continuous monitoring data</w:t>
      </w:r>
    </w:p>
    <w:p w14:paraId="1FBEF805" w14:textId="4031C826" w:rsidR="00000B89" w:rsidRPr="00151424" w:rsidRDefault="00000B89" w:rsidP="00151424">
      <w:pPr>
        <w:pStyle w:val="Heading4"/>
        <w:rPr>
          <w:b w:val="0"/>
        </w:rPr>
      </w:pPr>
      <w:r w:rsidRPr="00C74B39">
        <w:lastRenderedPageBreak/>
        <w:t>Open-Water Designated Use Assessment</w:t>
      </w:r>
    </w:p>
    <w:p w14:paraId="3FB5FF49" w14:textId="584663D2" w:rsidR="00234D59" w:rsidRPr="00C5088B" w:rsidRDefault="00234D59" w:rsidP="00234D5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Cs w:val="24"/>
        </w:rPr>
      </w:pPr>
      <w:r w:rsidRPr="00C5088B">
        <w:rPr>
          <w:szCs w:val="24"/>
        </w:rPr>
        <w:t>Figure 4.6-</w:t>
      </w:r>
      <w:r w:rsidR="008365AB" w:rsidRPr="00C5088B">
        <w:rPr>
          <w:szCs w:val="24"/>
        </w:rPr>
        <w:t>4</w:t>
      </w:r>
      <w:r w:rsidRPr="00C5088B">
        <w:rPr>
          <w:szCs w:val="24"/>
        </w:rPr>
        <w:t xml:space="preserve"> shows attainment of the 30-day mean criterion for DO in the Open-Water designated use. Overall summer exceedance rates in impaired segments are not substantially different for this reporting period compared to 2022, but improvements have been seen in some segments throughout the Bay from </w:t>
      </w:r>
      <w:proofErr w:type="gramStart"/>
      <w:r w:rsidRPr="00C5088B">
        <w:rPr>
          <w:szCs w:val="24"/>
        </w:rPr>
        <w:t>last</w:t>
      </w:r>
      <w:proofErr w:type="gramEnd"/>
      <w:r w:rsidRPr="00C5088B">
        <w:rPr>
          <w:szCs w:val="24"/>
        </w:rPr>
        <w:t xml:space="preserve"> assessment cycle. Segments that currently meet the 30-day mean criterion and failed it previously: Chesapeake Bay Mainstem (CB7PH), Lafayette River (LAFMH), Lynnhaven River (LYNPH), Mobjack Bay (MOBPH), Potomac River Tidal Fresh (POTTF), Rappahannock River Mesohaline (RPPMH) and Pamunkey River Oligohaline (PMKOH). Attainment of the assessed criteria is achieved in the entire James River, the Potomac River </w:t>
      </w:r>
      <w:proofErr w:type="spellStart"/>
      <w:r w:rsidRPr="00C5088B">
        <w:rPr>
          <w:szCs w:val="24"/>
        </w:rPr>
        <w:t>embayments</w:t>
      </w:r>
      <w:proofErr w:type="spellEnd"/>
      <w:r w:rsidRPr="00C5088B">
        <w:rPr>
          <w:szCs w:val="24"/>
        </w:rPr>
        <w:t xml:space="preserve"> in Virginia and the mainstem Bay (i.e. CB5MH, CB6PH, CB7PH, CB8PH, Mobjack Bay (MOBPH) and Pocomoke Sound (POCMH)). The highest DO exceedance rates occurred in the Southern and Eastern branches of the Elizabeth River—summertime exceedance rates of 38.04% and 29.85%, respectively. Hypoxia during the non-summer months was observed in the Southern and Eastern branches of the Elizabeth River, and </w:t>
      </w:r>
      <w:r w:rsidR="00F01A7F" w:rsidRPr="00C5088B">
        <w:rPr>
          <w:szCs w:val="24"/>
        </w:rPr>
        <w:t xml:space="preserve">the oligohaline portion of the </w:t>
      </w:r>
      <w:r w:rsidR="00706BDF" w:rsidRPr="00C5088B">
        <w:rPr>
          <w:szCs w:val="24"/>
        </w:rPr>
        <w:t>Mattaponi</w:t>
      </w:r>
      <w:r w:rsidRPr="00C5088B">
        <w:rPr>
          <w:szCs w:val="24"/>
        </w:rPr>
        <w:t xml:space="preserve"> River (MPNOH).</w:t>
      </w:r>
    </w:p>
    <w:p w14:paraId="440F6D95" w14:textId="77777777" w:rsidR="00234D59" w:rsidRPr="00C5088B" w:rsidRDefault="00234D59" w:rsidP="00234D5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Cs w:val="24"/>
        </w:rPr>
      </w:pPr>
    </w:p>
    <w:p w14:paraId="2BC50E52" w14:textId="3847BCA4" w:rsidR="002B1425" w:rsidRDefault="00234D59" w:rsidP="002B1425">
      <w:pPr>
        <w:pStyle w:val="Foote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C5088B">
        <w:rPr>
          <w:szCs w:val="24"/>
        </w:rPr>
        <w:t>Figure 4.6-</w:t>
      </w:r>
      <w:r w:rsidR="008365AB" w:rsidRPr="00C5088B">
        <w:rPr>
          <w:szCs w:val="24"/>
        </w:rPr>
        <w:t>5</w:t>
      </w:r>
      <w:r w:rsidRPr="00C5088B">
        <w:rPr>
          <w:szCs w:val="24"/>
        </w:rPr>
        <w:t xml:space="preserve"> shows</w:t>
      </w:r>
      <w:r w:rsidRPr="00234D59">
        <w:rPr>
          <w:szCs w:val="24"/>
        </w:rPr>
        <w:t xml:space="preserve"> an evaluation of chlorophyll-</w:t>
      </w:r>
      <w:proofErr w:type="gramStart"/>
      <w:r w:rsidRPr="00234D59">
        <w:rPr>
          <w:szCs w:val="24"/>
        </w:rPr>
        <w:t>a</w:t>
      </w:r>
      <w:proofErr w:type="gramEnd"/>
      <w:r w:rsidRPr="00234D59">
        <w:rPr>
          <w:szCs w:val="24"/>
        </w:rPr>
        <w:t xml:space="preserve"> in the James River. The James River Tidal Fresh Lower (JMSTFL) failed the spring criteria. All segments, except for the Upper and Lower Tidal Fresh segments (JMSTFL and JMSTFU) met the seasonal summer and short-duration criteria.</w:t>
      </w:r>
      <w:r>
        <w:rPr>
          <w:szCs w:val="24"/>
        </w:rPr>
        <w:br/>
      </w:r>
      <w:r>
        <w:rPr>
          <w:szCs w:val="24"/>
        </w:rPr>
        <w:br/>
      </w:r>
      <w:r w:rsidR="002B1425" w:rsidRPr="00C74B39">
        <w:rPr>
          <w:noProof/>
          <w:szCs w:val="24"/>
        </w:rPr>
        <w:lastRenderedPageBreak/>
        <w:drawing>
          <wp:inline distT="0" distB="0" distL="0" distR="0" wp14:anchorId="23ED6872" wp14:editId="23E7DB97">
            <wp:extent cx="5924550" cy="7830643"/>
            <wp:effectExtent l="0" t="0" r="0" b="0"/>
            <wp:docPr id="421585025" name="Picture 421585025" descr="Map&#10;&#10;Figure 4.6 4. Attainment of the Open-Water designated use (dissolved oxygen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85025" name="Picture 421585025" descr="Map&#10;&#10;Figure 4.6 4. Attainment of the Open-Water designated use (dissolved oxygen criteria)."/>
                    <pic:cNvPicPr/>
                  </pic:nvPicPr>
                  <pic:blipFill rotWithShape="1">
                    <a:blip r:embed="rId209" cstate="print">
                      <a:extLst>
                        <a:ext uri="{28A0092B-C50C-407E-A947-70E740481C1C}">
                          <a14:useLocalDpi xmlns:a14="http://schemas.microsoft.com/office/drawing/2010/main"/>
                        </a:ext>
                      </a:extLst>
                    </a:blip>
                    <a:srcRect/>
                    <a:stretch/>
                  </pic:blipFill>
                  <pic:spPr bwMode="auto">
                    <a:xfrm>
                      <a:off x="0" y="0"/>
                      <a:ext cx="5929644" cy="7837376"/>
                    </a:xfrm>
                    <a:prstGeom prst="rect">
                      <a:avLst/>
                    </a:prstGeom>
                    <a:ln>
                      <a:noFill/>
                    </a:ln>
                    <a:extLst>
                      <a:ext uri="{53640926-AAD7-44D8-BBD7-CCE9431645EC}">
                        <a14:shadowObscured xmlns:a14="http://schemas.microsoft.com/office/drawing/2010/main"/>
                      </a:ext>
                    </a:extLst>
                  </pic:spPr>
                </pic:pic>
              </a:graphicData>
            </a:graphic>
          </wp:inline>
        </w:drawing>
      </w:r>
    </w:p>
    <w:p w14:paraId="41C31A15" w14:textId="597DF6CA" w:rsidR="002B1425" w:rsidRDefault="002B1425" w:rsidP="002B1425">
      <w:pPr>
        <w:pStyle w:val="Caption"/>
      </w:pPr>
      <w:bookmarkStart w:id="315" w:name="_Toc164175118"/>
      <w:r>
        <w:t xml:space="preserve">Figure </w:t>
      </w:r>
      <w:r w:rsidR="004F13BA">
        <w:fldChar w:fldCharType="begin"/>
      </w:r>
      <w:r w:rsidR="004F13BA">
        <w:instrText xml:space="preserve"> STYLEREF 2 \s </w:instrText>
      </w:r>
      <w:r w:rsidR="004F13BA">
        <w:fldChar w:fldCharType="separate"/>
      </w:r>
      <w:r w:rsidR="00E429BB">
        <w:rPr>
          <w:noProof/>
        </w:rPr>
        <w:t>4.6</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4</w:t>
      </w:r>
      <w:r w:rsidR="004F13BA">
        <w:rPr>
          <w:noProof/>
        </w:rPr>
        <w:fldChar w:fldCharType="end"/>
      </w:r>
      <w:r>
        <w:t>.</w:t>
      </w:r>
      <w:r w:rsidR="008E7408" w:rsidRPr="008E7408">
        <w:rPr>
          <w:szCs w:val="24"/>
        </w:rPr>
        <w:t xml:space="preserve"> </w:t>
      </w:r>
      <w:r w:rsidR="008E7408" w:rsidRPr="00C74B39">
        <w:rPr>
          <w:szCs w:val="24"/>
        </w:rPr>
        <w:t>Attainment of the Open-Water designated use (dissolved oxygen criteria).</w:t>
      </w:r>
      <w:bookmarkEnd w:id="315"/>
    </w:p>
    <w:p w14:paraId="0B9D41B2" w14:textId="77777777" w:rsidR="00D33876" w:rsidRDefault="00D33876" w:rsidP="00D33876">
      <w:pPr>
        <w:pStyle w:val="Foote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C74B39">
        <w:rPr>
          <w:b/>
          <w:noProof/>
          <w:szCs w:val="24"/>
        </w:rPr>
        <w:lastRenderedPageBreak/>
        <w:drawing>
          <wp:inline distT="0" distB="0" distL="0" distR="0" wp14:anchorId="3F18B674" wp14:editId="49E3EA59">
            <wp:extent cx="5818903" cy="7750175"/>
            <wp:effectExtent l="0" t="0" r="0" b="3175"/>
            <wp:docPr id="455353885" name="Picture 455353885" descr="Attainment of the Open-Water designated use (chlorophyll criteria). The chlorophyll criteria assessed were those effective in the assessment window and only apply to the James River se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ttainment of the Open-Water designated use (chlorophyll criteria). The chlorophyll criteria assessed were those effective in the assessment window and only apply to the James River segments"/>
                    <pic:cNvPicPr/>
                  </pic:nvPicPr>
                  <pic:blipFill rotWithShape="1">
                    <a:blip r:embed="rId210" cstate="print">
                      <a:extLst>
                        <a:ext uri="{28A0092B-C50C-407E-A947-70E740481C1C}">
                          <a14:useLocalDpi xmlns:a14="http://schemas.microsoft.com/office/drawing/2010/main"/>
                        </a:ext>
                      </a:extLst>
                    </a:blip>
                    <a:srcRect/>
                    <a:stretch/>
                  </pic:blipFill>
                  <pic:spPr bwMode="auto">
                    <a:xfrm>
                      <a:off x="0" y="0"/>
                      <a:ext cx="5831639" cy="7767138"/>
                    </a:xfrm>
                    <a:prstGeom prst="rect">
                      <a:avLst/>
                    </a:prstGeom>
                    <a:ln>
                      <a:noFill/>
                    </a:ln>
                    <a:extLst>
                      <a:ext uri="{53640926-AAD7-44D8-BBD7-CCE9431645EC}">
                        <a14:shadowObscured xmlns:a14="http://schemas.microsoft.com/office/drawing/2010/main"/>
                      </a:ext>
                    </a:extLst>
                  </pic:spPr>
                </pic:pic>
              </a:graphicData>
            </a:graphic>
          </wp:inline>
        </w:drawing>
      </w:r>
    </w:p>
    <w:p w14:paraId="4BFFAE18" w14:textId="5BE9141D" w:rsidR="00BC3384" w:rsidRPr="0062574F" w:rsidRDefault="00D33876" w:rsidP="00BC3384">
      <w:pPr>
        <w:pStyle w:val="Caption"/>
        <w:jc w:val="both"/>
      </w:pPr>
      <w:bookmarkStart w:id="316" w:name="_Toc164175119"/>
      <w:r>
        <w:t xml:space="preserve">Figure </w:t>
      </w:r>
      <w:r w:rsidR="004F13BA">
        <w:fldChar w:fldCharType="begin"/>
      </w:r>
      <w:r w:rsidR="004F13BA">
        <w:instrText xml:space="preserve"> STYLEREF 2 \s </w:instrText>
      </w:r>
      <w:r w:rsidR="004F13BA">
        <w:fldChar w:fldCharType="separate"/>
      </w:r>
      <w:r w:rsidR="00E429BB">
        <w:rPr>
          <w:noProof/>
        </w:rPr>
        <w:t>4.6</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5</w:t>
      </w:r>
      <w:r w:rsidR="004F13BA">
        <w:rPr>
          <w:noProof/>
        </w:rPr>
        <w:fldChar w:fldCharType="end"/>
      </w:r>
      <w:r w:rsidR="00873CED">
        <w:t>.</w:t>
      </w:r>
      <w:r w:rsidR="00873CED" w:rsidRPr="00873CED">
        <w:rPr>
          <w:szCs w:val="24"/>
        </w:rPr>
        <w:t xml:space="preserve"> </w:t>
      </w:r>
      <w:r w:rsidR="00873CED" w:rsidRPr="0A5BE548">
        <w:t>Attainment of the Open-Water designated use (chlorophyll criteria)</w:t>
      </w:r>
      <w:bookmarkEnd w:id="316"/>
      <w:r w:rsidR="00873CED">
        <w:t>. The chlorophyll criteria assessed were those effective in the assessment window and only apply to the James River segments.</w:t>
      </w:r>
    </w:p>
    <w:p w14:paraId="20999A81" w14:textId="31FB58A1" w:rsidR="00000B89" w:rsidRPr="001774A8" w:rsidRDefault="00000B89" w:rsidP="001774A8">
      <w:pPr>
        <w:pStyle w:val="Heading4"/>
        <w:rPr>
          <w:b w:val="0"/>
        </w:rPr>
      </w:pPr>
      <w:r w:rsidRPr="00C74B39">
        <w:lastRenderedPageBreak/>
        <w:t>Deep-Water Aquatic Life Designated Use Assessment</w:t>
      </w:r>
    </w:p>
    <w:p w14:paraId="201580CB" w14:textId="25E80C2D" w:rsidR="00000B89" w:rsidRPr="00C14913" w:rsidRDefault="00235E48" w:rsidP="00000B8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Cs w:val="24"/>
        </w:rPr>
      </w:pPr>
      <w:r w:rsidRPr="00C14913">
        <w:rPr>
          <w:szCs w:val="24"/>
        </w:rPr>
        <w:t>Figure 4.6-</w:t>
      </w:r>
      <w:r w:rsidR="00C14913" w:rsidRPr="00C14913">
        <w:rPr>
          <w:szCs w:val="24"/>
        </w:rPr>
        <w:t>6</w:t>
      </w:r>
      <w:r w:rsidRPr="00C14913">
        <w:rPr>
          <w:szCs w:val="24"/>
        </w:rPr>
        <w:t xml:space="preserve"> </w:t>
      </w:r>
      <w:r w:rsidR="003D7F32" w:rsidRPr="003D7F32">
        <w:rPr>
          <w:szCs w:val="24"/>
        </w:rPr>
        <w:t xml:space="preserve">shows attainment of the 30-day mean criterion for dissolved oxygen in the Deep-Water aquatic life designated use. The Chesapeake Bay Mainstem waters all show attainment of the Deep-Water </w:t>
      </w:r>
      <w:r w:rsidR="000421FC" w:rsidRPr="00A414AC">
        <w:rPr>
          <w:szCs w:val="24"/>
        </w:rPr>
        <w:t>Chesapeake Bay specific designated use</w:t>
      </w:r>
      <w:r w:rsidR="000421FC" w:rsidRPr="003D7F32">
        <w:rPr>
          <w:szCs w:val="24"/>
        </w:rPr>
        <w:t xml:space="preserve"> </w:t>
      </w:r>
      <w:r w:rsidR="003D7F32" w:rsidRPr="003D7F32">
        <w:rPr>
          <w:szCs w:val="24"/>
        </w:rPr>
        <w:t>in the 2024 assessment cycle. Exceedance rates ranged from 2.58% in the Rappahannock River Mesohaline (RPPMHH) to 10.35% in the Southern Branch of the Elizabeth River (SBEMH).</w:t>
      </w:r>
    </w:p>
    <w:p w14:paraId="55140489" w14:textId="77777777" w:rsidR="00521206" w:rsidRPr="00C14913" w:rsidRDefault="00521206" w:rsidP="00000B8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Cs w:val="24"/>
        </w:rPr>
      </w:pPr>
    </w:p>
    <w:p w14:paraId="106B3D45" w14:textId="77777777" w:rsidR="00521206" w:rsidRPr="00C14913" w:rsidRDefault="00521206" w:rsidP="00521206">
      <w:pPr>
        <w:pStyle w:val="Heading4"/>
        <w:numPr>
          <w:ilvl w:val="0"/>
          <w:numId w:val="0"/>
        </w:numPr>
        <w:rPr>
          <w:b w:val="0"/>
        </w:rPr>
      </w:pPr>
      <w:r w:rsidRPr="00C14913">
        <w:t>Deep-Channel Designated Use Assessment</w:t>
      </w:r>
    </w:p>
    <w:p w14:paraId="206AC0D0" w14:textId="47F1E4EC" w:rsidR="00684C59" w:rsidRDefault="00521206" w:rsidP="00C14913">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Cs w:val="24"/>
        </w:rPr>
      </w:pPr>
      <w:r w:rsidRPr="00C14913">
        <w:rPr>
          <w:szCs w:val="24"/>
        </w:rPr>
        <w:t>Figure 4.6-</w:t>
      </w:r>
      <w:r w:rsidR="003D7F32">
        <w:rPr>
          <w:szCs w:val="24"/>
        </w:rPr>
        <w:t>6</w:t>
      </w:r>
      <w:r w:rsidRPr="00C14913">
        <w:rPr>
          <w:szCs w:val="24"/>
        </w:rPr>
        <w:t xml:space="preserve"> shows attainment status of the instantaneous criterion for dissolved oxygen (see inset box). This use exists only in relatively small areas of the Rappahannock mesohaline segment (RPPMH), mainstem Bay segment CB5MH</w:t>
      </w:r>
      <w:r w:rsidR="003D7F32">
        <w:rPr>
          <w:szCs w:val="24"/>
        </w:rPr>
        <w:t>,</w:t>
      </w:r>
      <w:r w:rsidRPr="00C14913">
        <w:rPr>
          <w:szCs w:val="24"/>
        </w:rPr>
        <w:t xml:space="preserve"> and Potomac mesohaline segment (POTMH). The Deep Channel </w:t>
      </w:r>
      <w:r w:rsidR="006838C7" w:rsidRPr="00A414AC">
        <w:rPr>
          <w:szCs w:val="24"/>
        </w:rPr>
        <w:t>Chesapeake Bay specific designated use</w:t>
      </w:r>
      <w:r w:rsidR="006838C7">
        <w:rPr>
          <w:szCs w:val="24"/>
        </w:rPr>
        <w:t xml:space="preserve"> </w:t>
      </w:r>
      <w:r w:rsidRPr="00C14913">
        <w:rPr>
          <w:szCs w:val="24"/>
        </w:rPr>
        <w:t xml:space="preserve">is </w:t>
      </w:r>
      <w:proofErr w:type="gramStart"/>
      <w:r w:rsidRPr="00C14913">
        <w:rPr>
          <w:szCs w:val="24"/>
        </w:rPr>
        <w:t>attaining</w:t>
      </w:r>
      <w:proofErr w:type="gramEnd"/>
      <w:r w:rsidRPr="00C14913">
        <w:rPr>
          <w:szCs w:val="24"/>
        </w:rPr>
        <w:t xml:space="preserve"> in all Virginia waters </w:t>
      </w:r>
      <w:proofErr w:type="gramStart"/>
      <w:r w:rsidRPr="00C14913">
        <w:rPr>
          <w:szCs w:val="24"/>
        </w:rPr>
        <w:t>where it is assessed this cycle</w:t>
      </w:r>
      <w:proofErr w:type="gramEnd"/>
      <w:r w:rsidRPr="00C14913">
        <w:rPr>
          <w:szCs w:val="24"/>
        </w:rPr>
        <w:t>.</w:t>
      </w:r>
    </w:p>
    <w:p w14:paraId="72BA7231" w14:textId="2FEF4A9A" w:rsidR="00426758" w:rsidRDefault="00D56B55" w:rsidP="00426758">
      <w:pPr>
        <w:keepNext/>
        <w:keepLines/>
        <w:jc w:val="both"/>
      </w:pPr>
      <w:r>
        <w:rPr>
          <w:noProof/>
        </w:rPr>
        <w:lastRenderedPageBreak/>
        <w:drawing>
          <wp:inline distT="0" distB="0" distL="0" distR="0" wp14:anchorId="6C38534D" wp14:editId="62073661">
            <wp:extent cx="6101267" cy="7996687"/>
            <wp:effectExtent l="0" t="0" r="0" b="4445"/>
            <wp:docPr id="366984928" name="Picture 6" descr="Figure 4.6 6. Attainment of the Deep-Water and Deep-Channel designated use (dissolved oxygen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84928" name="Picture 6" descr="Figure 4.6 6. Attainment of the Deep-Water and Deep-Channel designated use (dissolved oxygen criteria)."/>
                    <pic:cNvPicPr>
                      <a:picLocks noChangeAspect="1" noChangeArrowheads="1"/>
                    </pic:cNvPicPr>
                  </pic:nvPicPr>
                  <pic:blipFill rotWithShape="1">
                    <a:blip r:embed="rId211" cstate="print">
                      <a:extLst>
                        <a:ext uri="{28A0092B-C50C-407E-A947-70E740481C1C}">
                          <a14:useLocalDpi xmlns:a14="http://schemas.microsoft.com/office/drawing/2010/main"/>
                        </a:ext>
                      </a:extLst>
                    </a:blip>
                    <a:srcRect/>
                    <a:stretch/>
                  </pic:blipFill>
                  <pic:spPr bwMode="auto">
                    <a:xfrm>
                      <a:off x="0" y="0"/>
                      <a:ext cx="6108625" cy="8006331"/>
                    </a:xfrm>
                    <a:prstGeom prst="rect">
                      <a:avLst/>
                    </a:prstGeom>
                    <a:noFill/>
                    <a:ln>
                      <a:noFill/>
                    </a:ln>
                    <a:extLst>
                      <a:ext uri="{53640926-AAD7-44D8-BBD7-CCE9431645EC}">
                        <a14:shadowObscured xmlns:a14="http://schemas.microsoft.com/office/drawing/2010/main"/>
                      </a:ext>
                    </a:extLst>
                  </pic:spPr>
                </pic:pic>
              </a:graphicData>
            </a:graphic>
          </wp:inline>
        </w:drawing>
      </w:r>
    </w:p>
    <w:p w14:paraId="09CF8371" w14:textId="2E23F84F" w:rsidR="003539AC" w:rsidRPr="0062574F" w:rsidRDefault="00426758" w:rsidP="003539AC">
      <w:pPr>
        <w:pStyle w:val="Caption"/>
        <w:jc w:val="both"/>
      </w:pPr>
      <w:bookmarkStart w:id="317" w:name="_Toc164175120"/>
      <w:r>
        <w:t xml:space="preserve">Figure </w:t>
      </w:r>
      <w:r w:rsidR="004F13BA">
        <w:fldChar w:fldCharType="begin"/>
      </w:r>
      <w:r w:rsidR="004F13BA">
        <w:instrText xml:space="preserve"> STYLEREF 2 \s </w:instrText>
      </w:r>
      <w:r w:rsidR="004F13BA">
        <w:fldChar w:fldCharType="separate"/>
      </w:r>
      <w:r w:rsidR="00E429BB">
        <w:rPr>
          <w:noProof/>
        </w:rPr>
        <w:t>4.6</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6</w:t>
      </w:r>
      <w:r w:rsidR="004F13BA">
        <w:rPr>
          <w:noProof/>
        </w:rPr>
        <w:fldChar w:fldCharType="end"/>
      </w:r>
      <w:r>
        <w:t xml:space="preserve">. </w:t>
      </w:r>
      <w:r w:rsidR="00AA7601" w:rsidRPr="0A5BE548">
        <w:t>Attainment of the Deep-Water and Deep-Channel designated use</w:t>
      </w:r>
      <w:bookmarkEnd w:id="317"/>
      <w:r w:rsidR="00AA7601">
        <w:t xml:space="preserve"> (dissolved oxygen criteria).</w:t>
      </w:r>
    </w:p>
    <w:p w14:paraId="78F23FBE" w14:textId="77777777" w:rsidR="00000B89" w:rsidRPr="00426776" w:rsidRDefault="00000B89" w:rsidP="00000B89">
      <w:pPr>
        <w:pStyle w:val="Heading4"/>
        <w:rPr>
          <w:b w:val="0"/>
        </w:rPr>
      </w:pPr>
      <w:r w:rsidRPr="00426776">
        <w:lastRenderedPageBreak/>
        <w:t xml:space="preserve">Shallow-Water Designated Use Assessment </w:t>
      </w:r>
    </w:p>
    <w:p w14:paraId="20A60C00" w14:textId="31E2EB4B" w:rsidR="008B6391" w:rsidRPr="008B6391" w:rsidRDefault="008B6391" w:rsidP="008B6391">
      <w:pPr>
        <w:keepNext/>
        <w:rPr>
          <w:szCs w:val="24"/>
        </w:rPr>
      </w:pPr>
      <w:r w:rsidRPr="008B6391">
        <w:rPr>
          <w:szCs w:val="24"/>
        </w:rPr>
        <w:t xml:space="preserve">This designated use is attained if there are sufficient acres of submerged aquatic vegetation mapped by annual aerial surveys or if the water is sufficiently clear (i.e. has sufficient “water clarity” acres) so that SAV regrowth is possible. This is because lack of SAV growth may have non-pollutant causes such as insufficient propagation, feeding patterns of turtles and waterfowl, or habitat disruption by cow-nosed rays. </w:t>
      </w:r>
      <w:r w:rsidRPr="00A4679D">
        <w:rPr>
          <w:szCs w:val="24"/>
        </w:rPr>
        <w:t>Figure 4.6-</w:t>
      </w:r>
      <w:r w:rsidR="00A4679D" w:rsidRPr="00A4679D">
        <w:rPr>
          <w:szCs w:val="24"/>
        </w:rPr>
        <w:t>7</w:t>
      </w:r>
      <w:r w:rsidRPr="00A4679D">
        <w:rPr>
          <w:szCs w:val="24"/>
        </w:rPr>
        <w:t xml:space="preserve"> shows</w:t>
      </w:r>
      <w:r w:rsidRPr="008B6391">
        <w:rPr>
          <w:szCs w:val="24"/>
        </w:rPr>
        <w:t xml:space="preserve"> an evaluation of the SWSAV designated use as it relates to the SAV acre goals in each Chesapeake Bay segment. Water clarity criteria assessment results are discussed below.</w:t>
      </w:r>
    </w:p>
    <w:p w14:paraId="1D271420" w14:textId="77777777" w:rsidR="008B6391" w:rsidRPr="008B6391" w:rsidRDefault="008B6391" w:rsidP="008B6391">
      <w:pPr>
        <w:keepNext/>
        <w:rPr>
          <w:szCs w:val="24"/>
        </w:rPr>
      </w:pPr>
    </w:p>
    <w:p w14:paraId="7F3BC4F8" w14:textId="77777777" w:rsidR="008B6391" w:rsidRPr="008B6391" w:rsidRDefault="008B6391" w:rsidP="008B6391">
      <w:pPr>
        <w:keepNext/>
        <w:rPr>
          <w:szCs w:val="24"/>
        </w:rPr>
      </w:pPr>
      <w:r w:rsidRPr="008B6391">
        <w:rPr>
          <w:szCs w:val="24"/>
        </w:rPr>
        <w:t xml:space="preserve">Attainment of </w:t>
      </w:r>
      <w:proofErr w:type="gramStart"/>
      <w:r w:rsidRPr="008B6391">
        <w:rPr>
          <w:szCs w:val="24"/>
        </w:rPr>
        <w:t>the SWSAV</w:t>
      </w:r>
      <w:proofErr w:type="gramEnd"/>
      <w:r w:rsidRPr="008B6391">
        <w:rPr>
          <w:szCs w:val="24"/>
        </w:rPr>
        <w:t xml:space="preserve"> use is present in areas of each of the major estuaries (James, York, Rappahannock and Potomac), but </w:t>
      </w:r>
      <w:proofErr w:type="gramStart"/>
      <w:r w:rsidRPr="008B6391">
        <w:rPr>
          <w:szCs w:val="24"/>
        </w:rPr>
        <w:t>the majority of</w:t>
      </w:r>
      <w:proofErr w:type="gramEnd"/>
      <w:r w:rsidRPr="008B6391">
        <w:rPr>
          <w:szCs w:val="24"/>
        </w:rPr>
        <w:t xml:space="preserve"> segments continue to fail SAV acreage goals or lack data to assess the water clarity criteria. Eight segments met their respective SAV acreage goals: the Chickahominy (CHKOH), the oligohaline portion of the James (JMSOH), tidal fresh portions of the Mattaponi and Pamunkey (MPNTF and PMKTF), tidal fresh and oligohaline portions of the Potomac </w:t>
      </w:r>
      <w:proofErr w:type="spellStart"/>
      <w:r w:rsidRPr="008B6391">
        <w:rPr>
          <w:szCs w:val="24"/>
        </w:rPr>
        <w:t>embayments</w:t>
      </w:r>
      <w:proofErr w:type="spellEnd"/>
      <w:r w:rsidRPr="008B6391">
        <w:rPr>
          <w:szCs w:val="24"/>
        </w:rPr>
        <w:t xml:space="preserve"> (POTTF and POTOH) and tidal fresh and oligohaline portions of the Rappahannock River (RPPTF and RPPOH). The </w:t>
      </w:r>
      <w:proofErr w:type="spellStart"/>
      <w:r w:rsidRPr="008B6391">
        <w:rPr>
          <w:szCs w:val="24"/>
        </w:rPr>
        <w:t>Corrotoman</w:t>
      </w:r>
      <w:proofErr w:type="spellEnd"/>
      <w:r w:rsidRPr="008B6391">
        <w:rPr>
          <w:szCs w:val="24"/>
        </w:rPr>
        <w:t xml:space="preserve"> River (CRRMH) did not meet the water clarity goal this cycle, while the tidal fresh and oligohaline portions of the Rappahannock River (RPPTF and RPPOH) met their water clarity goals.</w:t>
      </w:r>
    </w:p>
    <w:p w14:paraId="33006AE3" w14:textId="77777777" w:rsidR="008B6391" w:rsidRPr="008B6391" w:rsidRDefault="008B6391" w:rsidP="008B6391">
      <w:pPr>
        <w:keepNext/>
        <w:rPr>
          <w:szCs w:val="24"/>
        </w:rPr>
      </w:pPr>
    </w:p>
    <w:p w14:paraId="321145A1" w14:textId="77777777" w:rsidR="008B6391" w:rsidRPr="008B6391" w:rsidRDefault="008B6391" w:rsidP="008B6391">
      <w:pPr>
        <w:keepNext/>
        <w:rPr>
          <w:szCs w:val="24"/>
        </w:rPr>
      </w:pPr>
      <w:r w:rsidRPr="008B6391">
        <w:rPr>
          <w:szCs w:val="24"/>
        </w:rPr>
        <w:t xml:space="preserve">The Mesohaline portions of the Bay tributaries historically have had relatively little SAV habitat in comparison to the upper Tidal Fresh tributary areas and the mainstem Bay, where the largest shortfall of vegetation occurs. The 2024 IR approximately 48% of the overall SAV acreage goal achieved. This means 42,260 acres of SAV still needs to be restored before the SWSAV designated use will be met throughout the Bay and tributaries. Alternatively, sufficient water clarity must be present to potentially support </w:t>
      </w:r>
      <w:proofErr w:type="gramStart"/>
      <w:r w:rsidRPr="008B6391">
        <w:rPr>
          <w:szCs w:val="24"/>
        </w:rPr>
        <w:t>this</w:t>
      </w:r>
      <w:proofErr w:type="gramEnd"/>
      <w:r w:rsidRPr="008B6391">
        <w:rPr>
          <w:szCs w:val="24"/>
        </w:rPr>
        <w:t xml:space="preserve"> many acres of submerged aquatic vegetation.</w:t>
      </w:r>
    </w:p>
    <w:p w14:paraId="5BA9100C" w14:textId="77777777" w:rsidR="008B6391" w:rsidRPr="008B6391" w:rsidRDefault="008B6391" w:rsidP="008B6391">
      <w:pPr>
        <w:keepNext/>
        <w:rPr>
          <w:szCs w:val="24"/>
        </w:rPr>
      </w:pPr>
    </w:p>
    <w:p w14:paraId="7B9C55B2" w14:textId="3D205D59" w:rsidR="008B6391" w:rsidRPr="00C74B39" w:rsidRDefault="008B6391" w:rsidP="008B6391">
      <w:pPr>
        <w:keepNext/>
        <w:rPr>
          <w:szCs w:val="24"/>
        </w:rPr>
      </w:pPr>
      <w:r w:rsidRPr="008B6391">
        <w:rPr>
          <w:szCs w:val="24"/>
        </w:rPr>
        <w:t xml:space="preserve">The Chesapeake Bay SAV workgroup reviewed the basis for the Bay jurisdictions adopted SAV restoration goals and compared them to the 1993 Chesapeake Bay Program restoration targets. This work was published in </w:t>
      </w:r>
      <w:r w:rsidRPr="009A050D">
        <w:rPr>
          <w:szCs w:val="24"/>
        </w:rPr>
        <w:t>2017 (EPA 903-R-17-002).</w:t>
      </w:r>
      <w:r w:rsidRPr="008B6391">
        <w:rPr>
          <w:szCs w:val="24"/>
        </w:rPr>
        <w:t xml:space="preserve"> The workgroup found that five Virginia segments—JMSMH, JMSPH, JMSTF1, JMSTF2, and RPPMH—have SAV restoration goals that are considerably less than the CBP restoration targets. The workgroup found that the adopted acreages for these segments are inconsistent with the methodology used in the other Bay segments. DEQ staff concurred with this conclusion and recommended to the Virginia State Water Control Board (VSWCB) that the SAV and water clarity goals for these segments be increased to their respective 1993 restoration targets. On August 25, 2022, the VSWCB authorized final adoption of these amendments to the water quality standards regulation. The amendments became effective on April 18</w:t>
      </w:r>
      <w:r w:rsidR="00377AAC">
        <w:rPr>
          <w:szCs w:val="24"/>
        </w:rPr>
        <w:t>,</w:t>
      </w:r>
      <w:r w:rsidRPr="008B6391">
        <w:rPr>
          <w:szCs w:val="24"/>
        </w:rPr>
        <w:t xml:space="preserve"> 2023</w:t>
      </w:r>
      <w:r w:rsidR="00377AAC">
        <w:rPr>
          <w:szCs w:val="24"/>
        </w:rPr>
        <w:t>.</w:t>
      </w:r>
    </w:p>
    <w:p w14:paraId="0F891F75" w14:textId="377E824C" w:rsidR="00000B89" w:rsidRPr="00CD35BD" w:rsidRDefault="00000B89" w:rsidP="00CD35BD">
      <w:pPr>
        <w:pStyle w:val="Caption"/>
        <w:rPr>
          <w:b/>
          <w:sz w:val="24"/>
          <w:szCs w:val="24"/>
        </w:rPr>
      </w:pPr>
      <w:r w:rsidRPr="00C74B39">
        <w:rPr>
          <w:szCs w:val="24"/>
        </w:rPr>
        <w:br w:type="page"/>
      </w:r>
    </w:p>
    <w:p w14:paraId="78D970F7" w14:textId="77777777" w:rsidR="00087353" w:rsidRDefault="00087353" w:rsidP="00C14913">
      <w:r w:rsidRPr="00C74B39">
        <w:rPr>
          <w:noProof/>
        </w:rPr>
        <w:lastRenderedPageBreak/>
        <w:drawing>
          <wp:inline distT="0" distB="0" distL="0" distR="0" wp14:anchorId="72B83865" wp14:editId="6470AFC0">
            <wp:extent cx="5943600" cy="7886219"/>
            <wp:effectExtent l="0" t="0" r="0" b="635"/>
            <wp:docPr id="662398813" name="Picture 662398813" descr="Attainment of the Shallow-Water SAV designated use (SAV acres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ttainment of the Shallow-Water SAV designated use (SAV acres criteria)"/>
                    <pic:cNvPicPr/>
                  </pic:nvPicPr>
                  <pic:blipFill rotWithShape="1">
                    <a:blip r:embed="rId212" cstate="print">
                      <a:extLst>
                        <a:ext uri="{28A0092B-C50C-407E-A947-70E740481C1C}">
                          <a14:useLocalDpi xmlns:a14="http://schemas.microsoft.com/office/drawing/2010/main"/>
                        </a:ext>
                      </a:extLst>
                    </a:blip>
                    <a:srcRect/>
                    <a:stretch/>
                  </pic:blipFill>
                  <pic:spPr bwMode="auto">
                    <a:xfrm>
                      <a:off x="0" y="0"/>
                      <a:ext cx="5943600" cy="7886219"/>
                    </a:xfrm>
                    <a:prstGeom prst="rect">
                      <a:avLst/>
                    </a:prstGeom>
                    <a:ln>
                      <a:noFill/>
                    </a:ln>
                    <a:extLst>
                      <a:ext uri="{53640926-AAD7-44D8-BBD7-CCE9431645EC}">
                        <a14:shadowObscured xmlns:a14="http://schemas.microsoft.com/office/drawing/2010/main"/>
                      </a:ext>
                    </a:extLst>
                  </pic:spPr>
                </pic:pic>
              </a:graphicData>
            </a:graphic>
          </wp:inline>
        </w:drawing>
      </w:r>
    </w:p>
    <w:p w14:paraId="48CFBB93" w14:textId="00B990C6" w:rsidR="003539AC" w:rsidRPr="0062574F" w:rsidRDefault="00087353" w:rsidP="003539AC">
      <w:pPr>
        <w:pStyle w:val="Caption"/>
        <w:jc w:val="both"/>
      </w:pPr>
      <w:bookmarkStart w:id="318" w:name="_Toc164175121"/>
      <w:r>
        <w:t xml:space="preserve">Figure </w:t>
      </w:r>
      <w:r w:rsidR="004F13BA">
        <w:fldChar w:fldCharType="begin"/>
      </w:r>
      <w:r w:rsidR="004F13BA">
        <w:instrText xml:space="preserve"> STYLEREF 2 \s </w:instrText>
      </w:r>
      <w:r w:rsidR="004F13BA">
        <w:fldChar w:fldCharType="separate"/>
      </w:r>
      <w:r w:rsidR="00E429BB">
        <w:rPr>
          <w:noProof/>
        </w:rPr>
        <w:t>4.6</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7</w:t>
      </w:r>
      <w:r w:rsidR="004F13BA">
        <w:rPr>
          <w:noProof/>
        </w:rPr>
        <w:fldChar w:fldCharType="end"/>
      </w:r>
      <w:r>
        <w:t>.</w:t>
      </w:r>
      <w:r w:rsidR="003B1A3D" w:rsidRPr="003B1A3D">
        <w:rPr>
          <w:szCs w:val="24"/>
        </w:rPr>
        <w:t xml:space="preserve"> </w:t>
      </w:r>
      <w:r w:rsidR="003B1A3D" w:rsidRPr="0A5BE548">
        <w:t>Attainment of the Shallow-Water SAV designated use</w:t>
      </w:r>
      <w:bookmarkEnd w:id="318"/>
      <w:r w:rsidR="003B1A3D">
        <w:t xml:space="preserve"> (SAV acres criteria).</w:t>
      </w:r>
    </w:p>
    <w:p w14:paraId="1A8892C3" w14:textId="738D4BC5" w:rsidR="00000B89" w:rsidRPr="00C74B39" w:rsidRDefault="00000B89" w:rsidP="004374C0">
      <w:pPr>
        <w:pStyle w:val="Heading4"/>
        <w:numPr>
          <w:ilvl w:val="0"/>
          <w:numId w:val="0"/>
        </w:numPr>
        <w:rPr>
          <w:b w:val="0"/>
        </w:rPr>
      </w:pPr>
      <w:r w:rsidRPr="00C74B39">
        <w:lastRenderedPageBreak/>
        <w:t>Estuarine Benthic Bioassessment</w:t>
      </w:r>
    </w:p>
    <w:p w14:paraId="56510E55" w14:textId="1EFEE6D1" w:rsidR="00380FC4" w:rsidRPr="00380FC4" w:rsidRDefault="00380FC4" w:rsidP="0A5BE548">
      <w:pPr>
        <w:rPr>
          <w:rFonts w:cstheme="minorBidi"/>
          <w:snapToGrid/>
        </w:rPr>
      </w:pPr>
      <w:r w:rsidRPr="0A5BE548">
        <w:rPr>
          <w:rFonts w:cstheme="minorBidi"/>
          <w:snapToGrid/>
        </w:rPr>
        <w:t xml:space="preserve">Support status of the general aquatic life use as indicated by benthic community health throughout Chesapeake Bay and its tidal tributaries </w:t>
      </w:r>
      <w:proofErr w:type="gramStart"/>
      <w:r w:rsidRPr="0A5BE548">
        <w:rPr>
          <w:rFonts w:cstheme="minorBidi"/>
          <w:snapToGrid/>
        </w:rPr>
        <w:t>was</w:t>
      </w:r>
      <w:proofErr w:type="gramEnd"/>
      <w:r w:rsidRPr="0A5BE548">
        <w:rPr>
          <w:rFonts w:cstheme="minorBidi"/>
          <w:snapToGrid/>
        </w:rPr>
        <w:t xml:space="preserve"> performed in cooperation with EPA Region III, EPA Chesapeake Bay Program, Maryland Department of the Environment, Maryland Department of Natural Resources, and the Virginia Department of Environmental Quality. Technical details of the assessment procedure were previously described in 2006 303(d) Assessment Methods </w:t>
      </w:r>
      <w:r w:rsidR="5B1D14D8" w:rsidRPr="0A5BE548">
        <w:rPr>
          <w:rFonts w:cstheme="minorBidi"/>
          <w:snapToGrid/>
        </w:rPr>
        <w:t>for</w:t>
      </w:r>
      <w:r w:rsidRPr="0A5BE548">
        <w:rPr>
          <w:rFonts w:cstheme="minorBidi"/>
          <w:snapToGrid/>
        </w:rPr>
        <w:t xml:space="preserve"> Chesapeake Bay Benthos, Final Report Submitted to Virginia Department of Environmental Quality, Roberto J. </w:t>
      </w:r>
      <w:proofErr w:type="spellStart"/>
      <w:r w:rsidRPr="0A5BE548">
        <w:rPr>
          <w:rFonts w:cstheme="minorBidi"/>
          <w:snapToGrid/>
        </w:rPr>
        <w:t>Llansó</w:t>
      </w:r>
      <w:proofErr w:type="spellEnd"/>
      <w:r w:rsidRPr="0A5BE548">
        <w:rPr>
          <w:rFonts w:cstheme="minorBidi"/>
          <w:snapToGrid/>
        </w:rPr>
        <w:t xml:space="preserve">, Jon H. </w:t>
      </w:r>
      <w:proofErr w:type="spellStart"/>
      <w:r w:rsidRPr="0A5BE548">
        <w:rPr>
          <w:rFonts w:cstheme="minorBidi"/>
          <w:snapToGrid/>
        </w:rPr>
        <w:t>Vølstad</w:t>
      </w:r>
      <w:proofErr w:type="spellEnd"/>
      <w:r w:rsidRPr="0A5BE548">
        <w:rPr>
          <w:rFonts w:cstheme="minorBidi"/>
          <w:snapToGrid/>
        </w:rPr>
        <w:t xml:space="preserve">, </w:t>
      </w:r>
      <w:proofErr w:type="spellStart"/>
      <w:r w:rsidRPr="0A5BE548">
        <w:rPr>
          <w:rFonts w:cstheme="minorBidi"/>
          <w:snapToGrid/>
        </w:rPr>
        <w:t>Versar</w:t>
      </w:r>
      <w:proofErr w:type="spellEnd"/>
      <w:r w:rsidRPr="0A5BE548">
        <w:rPr>
          <w:rFonts w:cstheme="minorBidi"/>
          <w:snapToGrid/>
        </w:rPr>
        <w:t xml:space="preserve"> Inc., Daniel M. Dauer, Michael F. Lane, Old Dominion University, September 2005.</w:t>
      </w:r>
    </w:p>
    <w:p w14:paraId="7E9FC55E" w14:textId="77777777" w:rsidR="00380FC4" w:rsidRPr="00380FC4" w:rsidRDefault="00380FC4" w:rsidP="00380FC4">
      <w:pPr>
        <w:rPr>
          <w:rFonts w:cstheme="minorHAnsi"/>
          <w:snapToGrid/>
          <w:szCs w:val="24"/>
        </w:rPr>
      </w:pPr>
    </w:p>
    <w:p w14:paraId="526395F7" w14:textId="77777777" w:rsidR="00380FC4" w:rsidRPr="00380FC4" w:rsidRDefault="00380FC4" w:rsidP="00380FC4">
      <w:pPr>
        <w:rPr>
          <w:rFonts w:cstheme="minorHAnsi"/>
          <w:snapToGrid/>
          <w:szCs w:val="24"/>
        </w:rPr>
      </w:pPr>
      <w:r w:rsidRPr="00380FC4">
        <w:rPr>
          <w:rFonts w:cstheme="minorHAnsi"/>
          <w:snapToGrid/>
          <w:szCs w:val="24"/>
        </w:rPr>
        <w:t xml:space="preserve">An updated bioassessment was performed for the 2024 Assessment Cycle by scientists at Old Dominion University (ODU). The following results are based on the 2024 reporting period (2017 – 2022) which combines samples collected by DEQ through the Estuarine Probabilistic Monitoring Program and ODU on behalf of the Chesapeake Bay Partnership. A minimum of ten samples within a Chesapeake Bay Benthic Indices of Biological Integrity (B-IBI) subsegment is required to make an assessment determination of impaired or fully supporting. </w:t>
      </w:r>
    </w:p>
    <w:p w14:paraId="4D030707" w14:textId="77777777" w:rsidR="00F90A43" w:rsidRDefault="00F90A43" w:rsidP="00380FC4">
      <w:pPr>
        <w:rPr>
          <w:szCs w:val="24"/>
        </w:rPr>
      </w:pPr>
    </w:p>
    <w:p w14:paraId="6C252AC7" w14:textId="508C4CA6" w:rsidR="00F90A43" w:rsidRPr="00C74B39" w:rsidRDefault="00F90A43" w:rsidP="00380FC4">
      <w:pPr>
        <w:rPr>
          <w:szCs w:val="24"/>
        </w:rPr>
      </w:pPr>
      <w:r w:rsidRPr="00F90A43">
        <w:rPr>
          <w:szCs w:val="24"/>
        </w:rPr>
        <w:t>Figure 4.6-</w:t>
      </w:r>
      <w:r>
        <w:rPr>
          <w:szCs w:val="24"/>
        </w:rPr>
        <w:t>8</w:t>
      </w:r>
      <w:r w:rsidRPr="00F90A43">
        <w:rPr>
          <w:szCs w:val="24"/>
        </w:rPr>
        <w:t xml:space="preserve"> shows a map of the benthic assessment results. The results show a fully supporting lower mainstem bay, as well as most tidal fresh and oligohaline segments in the tributaries for the 2024 IR cycle.</w:t>
      </w:r>
    </w:p>
    <w:p w14:paraId="0DDFDF27" w14:textId="77777777" w:rsidR="00CF314C" w:rsidRDefault="00000B89" w:rsidP="00190980">
      <w:pPr>
        <w:keepNext/>
        <w:rPr>
          <w:noProof/>
        </w:rPr>
      </w:pPr>
      <w:r w:rsidRPr="00C74B39">
        <w:rPr>
          <w:b/>
          <w:i/>
          <w:szCs w:val="24"/>
          <w:u w:val="single"/>
        </w:rPr>
        <w:br w:type="page"/>
      </w:r>
    </w:p>
    <w:p w14:paraId="00DDB65D" w14:textId="77777777" w:rsidR="00CF314C" w:rsidRDefault="00CF314C" w:rsidP="00190980">
      <w:pPr>
        <w:keepNext/>
        <w:rPr>
          <w:noProof/>
        </w:rPr>
      </w:pPr>
    </w:p>
    <w:p w14:paraId="102F0E57" w14:textId="7123AE2C" w:rsidR="00190980" w:rsidRDefault="00152DC0" w:rsidP="00190980">
      <w:pPr>
        <w:keepNext/>
      </w:pPr>
      <w:r>
        <w:rPr>
          <w:noProof/>
        </w:rPr>
        <w:drawing>
          <wp:inline distT="0" distB="0" distL="0" distR="0" wp14:anchorId="23A291FD" wp14:editId="655F7522">
            <wp:extent cx="5969479" cy="7872532"/>
            <wp:effectExtent l="0" t="0" r="0" b="0"/>
            <wp:docPr id="289561835" name="Picture 2" descr="Figure 4.6 8. Estuarine Benthic Biological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61835" name="Picture 2" descr="Figure 4.6 8. Estuarine Benthic Biological Assessment."/>
                    <pic:cNvPicPr>
                      <a:picLocks noChangeAspect="1" noChangeArrowheads="1"/>
                    </pic:cNvPicPr>
                  </pic:nvPicPr>
                  <pic:blipFill rotWithShape="1">
                    <a:blip r:embed="rId213" cstate="print">
                      <a:extLst>
                        <a:ext uri="{28A0092B-C50C-407E-A947-70E740481C1C}">
                          <a14:useLocalDpi xmlns:a14="http://schemas.microsoft.com/office/drawing/2010/main"/>
                        </a:ext>
                      </a:extLst>
                    </a:blip>
                    <a:srcRect/>
                    <a:stretch/>
                  </pic:blipFill>
                  <pic:spPr bwMode="auto">
                    <a:xfrm>
                      <a:off x="0" y="0"/>
                      <a:ext cx="5972732" cy="7876822"/>
                    </a:xfrm>
                    <a:prstGeom prst="rect">
                      <a:avLst/>
                    </a:prstGeom>
                    <a:noFill/>
                    <a:ln>
                      <a:noFill/>
                    </a:ln>
                    <a:extLst>
                      <a:ext uri="{53640926-AAD7-44D8-BBD7-CCE9431645EC}">
                        <a14:shadowObscured xmlns:a14="http://schemas.microsoft.com/office/drawing/2010/main"/>
                      </a:ext>
                    </a:extLst>
                  </pic:spPr>
                </pic:pic>
              </a:graphicData>
            </a:graphic>
          </wp:inline>
        </w:drawing>
      </w:r>
    </w:p>
    <w:p w14:paraId="4375DB26" w14:textId="114FC9C4" w:rsidR="00000B89" w:rsidRPr="00190980" w:rsidRDefault="00190980" w:rsidP="00190980">
      <w:pPr>
        <w:pStyle w:val="Caption"/>
      </w:pPr>
      <w:bookmarkStart w:id="319" w:name="_Toc152766297"/>
      <w:bookmarkStart w:id="320" w:name="_Toc164175122"/>
      <w:r>
        <w:t xml:space="preserve">Figure </w:t>
      </w:r>
      <w:r w:rsidR="004F13BA">
        <w:fldChar w:fldCharType="begin"/>
      </w:r>
      <w:r w:rsidR="004F13BA">
        <w:instrText xml:space="preserve"> STYLEREF 2 \s </w:instrText>
      </w:r>
      <w:r w:rsidR="004F13BA">
        <w:fldChar w:fldCharType="separate"/>
      </w:r>
      <w:r w:rsidR="00E429BB">
        <w:rPr>
          <w:noProof/>
        </w:rPr>
        <w:t>4.6</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8</w:t>
      </w:r>
      <w:r w:rsidR="004F13BA">
        <w:rPr>
          <w:noProof/>
        </w:rPr>
        <w:fldChar w:fldCharType="end"/>
      </w:r>
      <w:r>
        <w:t>.</w:t>
      </w:r>
      <w:r w:rsidRPr="00190980">
        <w:t xml:space="preserve"> </w:t>
      </w:r>
      <w:r w:rsidRPr="00C74B39">
        <w:t>Estuarine Benthic Biological Assessment.</w:t>
      </w:r>
      <w:bookmarkEnd w:id="319"/>
      <w:bookmarkEnd w:id="320"/>
    </w:p>
    <w:p w14:paraId="1B651926" w14:textId="62ADE6CF" w:rsidR="00000B89" w:rsidRPr="00C74B39" w:rsidRDefault="00000B89" w:rsidP="00000B89">
      <w:pPr>
        <w:pStyle w:val="Heading3"/>
      </w:pPr>
      <w:r w:rsidRPr="00C74B39">
        <w:lastRenderedPageBreak/>
        <w:t xml:space="preserve">Chesapeake Bay and Tributaries Aquatic Life Use and </w:t>
      </w:r>
      <w:r w:rsidR="008D790B" w:rsidRPr="00C74B39">
        <w:t xml:space="preserve">Chesapeake Bay </w:t>
      </w:r>
      <w:r w:rsidR="007A17B4">
        <w:t>S</w:t>
      </w:r>
      <w:r w:rsidR="008D790B">
        <w:t xml:space="preserve">pecific </w:t>
      </w:r>
      <w:r w:rsidR="007A17B4">
        <w:t>A</w:t>
      </w:r>
      <w:r w:rsidR="008D790B" w:rsidRPr="00C74B39">
        <w:t xml:space="preserve">quatic </w:t>
      </w:r>
      <w:r w:rsidR="007A17B4">
        <w:t>L</w:t>
      </w:r>
      <w:r w:rsidR="008D790B" w:rsidRPr="00C74B39">
        <w:t xml:space="preserve">ife </w:t>
      </w:r>
      <w:r w:rsidR="007A17B4">
        <w:t>U</w:t>
      </w:r>
      <w:r w:rsidR="008D790B" w:rsidRPr="00C74B39">
        <w:t xml:space="preserve">ses </w:t>
      </w:r>
      <w:r w:rsidRPr="00C74B39">
        <w:t>Impairment Listing</w:t>
      </w:r>
    </w:p>
    <w:p w14:paraId="7AE52A74" w14:textId="3441373A" w:rsidR="00660D2F" w:rsidRPr="005515A9" w:rsidRDefault="00660D2F" w:rsidP="00DA0ED7">
      <w:pPr>
        <w:pStyle w:val="BodyTextIndent"/>
        <w:widowControl/>
        <w:ind w:firstLine="0"/>
        <w:jc w:val="left"/>
        <w:rPr>
          <w:rFonts w:cstheme="minorHAnsi"/>
          <w:szCs w:val="24"/>
        </w:rPr>
      </w:pPr>
      <w:r w:rsidRPr="005515A9">
        <w:rPr>
          <w:rFonts w:cstheme="minorHAnsi"/>
          <w:szCs w:val="24"/>
        </w:rPr>
        <w:t xml:space="preserve">The Integrated Report listing methodology addresses the goals of maintaining continuity with previous methodologies, accurately reflecting </w:t>
      </w:r>
      <w:proofErr w:type="gramStart"/>
      <w:r w:rsidRPr="005515A9">
        <w:rPr>
          <w:rFonts w:cstheme="minorHAnsi"/>
          <w:szCs w:val="24"/>
        </w:rPr>
        <w:t>the assessment</w:t>
      </w:r>
      <w:proofErr w:type="gramEnd"/>
      <w:r w:rsidRPr="005515A9">
        <w:rPr>
          <w:rFonts w:cstheme="minorHAnsi"/>
          <w:szCs w:val="24"/>
        </w:rPr>
        <w:t xml:space="preserve"> results of new uses and criteria and—more importantly--protecting and restoring aquatic life. The listing methodology for the aquatic life use sub-categories was developed by a Water Quality Criteria Assessment Protocol Workgroup involving EPA Region III, EPA Chesapeake Bay Program, Maryland Department of the Environment, Maryland Department of Natural Resources, and the Virginia Department of Environmental Quality. The workgroup’s efforts will continue through future modifications as necessary to assure Bay-wide consistency. The main rules for designated use attainment categorization are:</w:t>
      </w:r>
      <w:r w:rsidR="008A61A5">
        <w:rPr>
          <w:rFonts w:cstheme="minorHAnsi"/>
          <w:szCs w:val="24"/>
        </w:rPr>
        <w:br/>
      </w:r>
    </w:p>
    <w:p w14:paraId="449AB055" w14:textId="5D01D7E1" w:rsidR="00660D2F" w:rsidRPr="005515A9" w:rsidRDefault="00660D2F">
      <w:pPr>
        <w:pStyle w:val="ListParagraph"/>
        <w:numPr>
          <w:ilvl w:val="0"/>
          <w:numId w:val="1"/>
        </w:numPr>
        <w:ind w:left="1080"/>
        <w:rPr>
          <w:rFonts w:cstheme="minorHAnsi"/>
        </w:rPr>
      </w:pPr>
      <w:r w:rsidRPr="005515A9">
        <w:rPr>
          <w:rFonts w:cstheme="minorHAnsi"/>
        </w:rPr>
        <w:t xml:space="preserve">Aquatic life use is listed as impaired and having a TMDL (i.e., category 4A) if any </w:t>
      </w:r>
      <w:r w:rsidR="00B41511" w:rsidRPr="00C74B39">
        <w:rPr>
          <w:szCs w:val="24"/>
        </w:rPr>
        <w:t xml:space="preserve">Chesapeake Bay </w:t>
      </w:r>
      <w:r w:rsidR="00B41511">
        <w:rPr>
          <w:szCs w:val="24"/>
        </w:rPr>
        <w:t xml:space="preserve">specific </w:t>
      </w:r>
      <w:r w:rsidR="00B41511" w:rsidRPr="00C74B39">
        <w:rPr>
          <w:szCs w:val="24"/>
        </w:rPr>
        <w:t xml:space="preserve">aquatic life uses </w:t>
      </w:r>
      <w:r w:rsidRPr="005515A9">
        <w:rPr>
          <w:rFonts w:cstheme="minorHAnsi"/>
        </w:rPr>
        <w:t>(i.e., SWSAV, M</w:t>
      </w:r>
      <w:r w:rsidR="00172AD4">
        <w:rPr>
          <w:rFonts w:cstheme="minorHAnsi"/>
        </w:rPr>
        <w:t>F</w:t>
      </w:r>
      <w:r w:rsidRPr="005515A9">
        <w:rPr>
          <w:rFonts w:cstheme="minorHAnsi"/>
        </w:rPr>
        <w:t xml:space="preserve">SN, OW, DW, DC) </w:t>
      </w:r>
      <w:r w:rsidR="00B41511">
        <w:rPr>
          <w:rFonts w:cstheme="minorHAnsi"/>
        </w:rPr>
        <w:t>are</w:t>
      </w:r>
      <w:r w:rsidRPr="005515A9">
        <w:rPr>
          <w:rFonts w:cstheme="minorHAnsi"/>
        </w:rPr>
        <w:t xml:space="preserve"> not supported.</w:t>
      </w:r>
    </w:p>
    <w:p w14:paraId="7D6B8105" w14:textId="77777777" w:rsidR="00660D2F" w:rsidRPr="005515A9" w:rsidRDefault="00660D2F" w:rsidP="00660D2F">
      <w:pPr>
        <w:pStyle w:val="ListParagraph"/>
        <w:ind w:left="1080"/>
        <w:rPr>
          <w:rFonts w:cstheme="minorHAnsi"/>
        </w:rPr>
      </w:pPr>
    </w:p>
    <w:p w14:paraId="20419C59" w14:textId="58B34842" w:rsidR="00660D2F" w:rsidRPr="005515A9" w:rsidRDefault="00660D2F">
      <w:pPr>
        <w:pStyle w:val="ListParagraph"/>
        <w:numPr>
          <w:ilvl w:val="0"/>
          <w:numId w:val="1"/>
        </w:numPr>
        <w:ind w:left="1080"/>
        <w:rPr>
          <w:rFonts w:cstheme="minorHAnsi"/>
        </w:rPr>
      </w:pPr>
      <w:r w:rsidRPr="005515A9">
        <w:rPr>
          <w:rFonts w:cstheme="minorHAnsi"/>
        </w:rPr>
        <w:t>Waters previously listed as impaired by EPA in 1999 for aquatic life use because of low dissolved oxygen but currently meeting assessed criteria will remain in category 4D</w:t>
      </w:r>
      <w:r w:rsidRPr="005515A9">
        <w:rPr>
          <w:rStyle w:val="FootnoteReference"/>
          <w:rFonts w:cstheme="minorHAnsi"/>
          <w:szCs w:val="24"/>
          <w:vertAlign w:val="superscript"/>
        </w:rPr>
        <w:footnoteReference w:id="15"/>
      </w:r>
      <w:r w:rsidRPr="005515A9">
        <w:rPr>
          <w:rFonts w:cstheme="minorHAnsi"/>
          <w:vertAlign w:val="superscript"/>
        </w:rPr>
        <w:t xml:space="preserve"> </w:t>
      </w:r>
      <w:r w:rsidRPr="005515A9">
        <w:rPr>
          <w:rFonts w:cstheme="minorHAnsi"/>
        </w:rPr>
        <w:t xml:space="preserve">until all applicable criteria are assessed. All applicable dissolved oxygen criteria must be assessed and attained </w:t>
      </w:r>
      <w:r w:rsidR="005515A9" w:rsidRPr="005515A9">
        <w:rPr>
          <w:rFonts w:cstheme="minorHAnsi"/>
        </w:rPr>
        <w:t>for</w:t>
      </w:r>
      <w:r w:rsidRPr="005515A9">
        <w:rPr>
          <w:rFonts w:cstheme="minorHAnsi"/>
        </w:rPr>
        <w:t xml:space="preserve"> a DO-related </w:t>
      </w:r>
      <w:r w:rsidR="00B41511" w:rsidRPr="00C74B39">
        <w:rPr>
          <w:szCs w:val="24"/>
        </w:rPr>
        <w:t xml:space="preserve">Chesapeake Bay </w:t>
      </w:r>
      <w:r w:rsidR="00B41511">
        <w:rPr>
          <w:szCs w:val="24"/>
        </w:rPr>
        <w:t xml:space="preserve">specific </w:t>
      </w:r>
      <w:r w:rsidR="00B41511" w:rsidRPr="00C74B39">
        <w:rPr>
          <w:szCs w:val="24"/>
        </w:rPr>
        <w:t>aquatic life use</w:t>
      </w:r>
      <w:r w:rsidR="00113261">
        <w:rPr>
          <w:szCs w:val="24"/>
        </w:rPr>
        <w:t xml:space="preserve"> </w:t>
      </w:r>
      <w:r w:rsidRPr="005515A9">
        <w:rPr>
          <w:rFonts w:cstheme="minorHAnsi"/>
        </w:rPr>
        <w:t>(i.e., M</w:t>
      </w:r>
      <w:r w:rsidR="00172AD4">
        <w:rPr>
          <w:rFonts w:cstheme="minorHAnsi"/>
        </w:rPr>
        <w:t>F</w:t>
      </w:r>
      <w:r w:rsidRPr="005515A9">
        <w:rPr>
          <w:rFonts w:cstheme="minorHAnsi"/>
        </w:rPr>
        <w:t xml:space="preserve">SN, OW, DW, DC) to be fully supported for these waters. For additional information on un-assessed criteria, see the section on Future Assessment Refinements (page 187). </w:t>
      </w:r>
    </w:p>
    <w:p w14:paraId="1017BBCE" w14:textId="77777777" w:rsidR="00660D2F" w:rsidRPr="005515A9" w:rsidRDefault="00660D2F" w:rsidP="00660D2F">
      <w:pPr>
        <w:pStyle w:val="ListParagraph"/>
        <w:ind w:left="1080"/>
        <w:rPr>
          <w:rFonts w:cstheme="minorHAnsi"/>
        </w:rPr>
      </w:pPr>
    </w:p>
    <w:p w14:paraId="798C8D86" w14:textId="74A76771" w:rsidR="00660D2F" w:rsidRPr="005515A9" w:rsidRDefault="00660D2F">
      <w:pPr>
        <w:pStyle w:val="ListParagraph"/>
        <w:numPr>
          <w:ilvl w:val="0"/>
          <w:numId w:val="1"/>
        </w:numPr>
        <w:ind w:left="1080"/>
        <w:rPr>
          <w:rFonts w:cstheme="minorHAnsi"/>
        </w:rPr>
      </w:pPr>
      <w:r w:rsidRPr="005515A9">
        <w:rPr>
          <w:rFonts w:cstheme="minorHAnsi"/>
        </w:rPr>
        <w:t>The SWSAV use is fully supporting if any of the criteria for this use is met. For example, if sufficient water clarity is present (i.e., “Water Clarity Acres” criterion is met), then the SWSAV designated use is supported regardless of the presence or absence of sufficient submerged aquatic vegetation (i.e., “SAV Acres” criterion is not met). This is because there can be many non-</w:t>
      </w:r>
      <w:proofErr w:type="gramStart"/>
      <w:r w:rsidRPr="005515A9">
        <w:rPr>
          <w:rFonts w:cstheme="minorHAnsi"/>
        </w:rPr>
        <w:t>pollutant</w:t>
      </w:r>
      <w:proofErr w:type="gramEnd"/>
      <w:r w:rsidRPr="005515A9">
        <w:rPr>
          <w:rFonts w:cstheme="minorHAnsi"/>
        </w:rPr>
        <w:t xml:space="preserve"> causes for the lack of SAV acres such as lack of propagule availability, herbivory by turtles, waterfowl, etc.</w:t>
      </w:r>
      <w:r w:rsidR="004A2545">
        <w:rPr>
          <w:rFonts w:cstheme="minorHAnsi"/>
        </w:rPr>
        <w:t>,</w:t>
      </w:r>
      <w:r w:rsidRPr="005515A9">
        <w:rPr>
          <w:rFonts w:cstheme="minorHAnsi"/>
        </w:rPr>
        <w:t xml:space="preserve"> or habitat disruption by cow-nosed rays.</w:t>
      </w:r>
    </w:p>
    <w:p w14:paraId="26F955BC" w14:textId="77777777" w:rsidR="00000B89" w:rsidRPr="00C74B39" w:rsidRDefault="00000B89" w:rsidP="00000B89">
      <w:pPr>
        <w:pStyle w:val="BodyTextIndent"/>
        <w:widowControl/>
        <w:ind w:firstLine="0"/>
        <w:rPr>
          <w:rFonts w:ascii="Times New Roman" w:hAnsi="Times New Roman"/>
          <w:szCs w:val="24"/>
          <w:u w:val="single"/>
        </w:rPr>
      </w:pPr>
    </w:p>
    <w:p w14:paraId="465AE364" w14:textId="77777777" w:rsidR="00000B89" w:rsidRPr="00C74B39" w:rsidRDefault="00000B89" w:rsidP="00000B89">
      <w:pPr>
        <w:pStyle w:val="BodyTextIndent"/>
        <w:widowControl/>
        <w:ind w:firstLine="0"/>
        <w:rPr>
          <w:rFonts w:ascii="Times New Roman" w:hAnsi="Times New Roman"/>
          <w:szCs w:val="24"/>
          <w:u w:val="single"/>
        </w:rPr>
      </w:pPr>
    </w:p>
    <w:p w14:paraId="27D241DB" w14:textId="77777777" w:rsidR="00000B89" w:rsidRPr="00C74B39" w:rsidRDefault="00000B89" w:rsidP="00000B89">
      <w:pPr>
        <w:pStyle w:val="Heading4"/>
        <w:rPr>
          <w:b w:val="0"/>
        </w:rPr>
      </w:pPr>
      <w:r w:rsidRPr="00C74B39">
        <w:lastRenderedPageBreak/>
        <w:t>Assessment and Total Maximum Daily Load Tracking and Implementation System (ATTAINS) Summary for Chesapeake Bay Waters</w:t>
      </w:r>
    </w:p>
    <w:p w14:paraId="459BDBD1" w14:textId="1F02054F" w:rsidR="00DA5D74" w:rsidRPr="00D348A2" w:rsidRDefault="0070394A" w:rsidP="00D348A2">
      <w:pPr>
        <w:pStyle w:val="BodyTextIndent"/>
        <w:keepNext/>
        <w:keepLines/>
        <w:widowControl/>
        <w:ind w:firstLine="0"/>
        <w:jc w:val="left"/>
        <w:rPr>
          <w:rFonts w:cstheme="minorHAnsi"/>
          <w:szCs w:val="24"/>
        </w:rPr>
      </w:pPr>
      <w:r w:rsidRPr="00C30F2C">
        <w:rPr>
          <w:rFonts w:cstheme="minorHAnsi"/>
          <w:szCs w:val="24"/>
        </w:rPr>
        <w:t>Figure 4.6-</w:t>
      </w:r>
      <w:r w:rsidR="00C43F3D">
        <w:rPr>
          <w:rFonts w:cstheme="minorHAnsi"/>
          <w:szCs w:val="24"/>
        </w:rPr>
        <w:t>9</w:t>
      </w:r>
      <w:r w:rsidRPr="00C30F2C">
        <w:rPr>
          <w:rFonts w:cstheme="minorHAnsi"/>
          <w:szCs w:val="24"/>
        </w:rPr>
        <w:t xml:space="preserve"> presents aquatic life designated use and </w:t>
      </w:r>
      <w:r w:rsidR="00113261" w:rsidRPr="00C74B39">
        <w:rPr>
          <w:szCs w:val="24"/>
        </w:rPr>
        <w:t xml:space="preserve">Chesapeake Bay </w:t>
      </w:r>
      <w:r w:rsidR="00113261">
        <w:rPr>
          <w:szCs w:val="24"/>
        </w:rPr>
        <w:t xml:space="preserve">specific </w:t>
      </w:r>
      <w:r w:rsidR="00113261" w:rsidRPr="00C74B39">
        <w:rPr>
          <w:szCs w:val="24"/>
        </w:rPr>
        <w:t xml:space="preserve">aquatic life use </w:t>
      </w:r>
      <w:r w:rsidRPr="00C30F2C">
        <w:rPr>
          <w:rFonts w:cstheme="minorHAnsi"/>
          <w:szCs w:val="24"/>
        </w:rPr>
        <w:t>support for the Chesapeake Bay and its tidal tributaries as summarized from ATTAINS. The DW, DC,</w:t>
      </w:r>
      <w:r w:rsidR="00EB5C30" w:rsidRPr="00C30F2C">
        <w:rPr>
          <w:rFonts w:cstheme="minorHAnsi"/>
          <w:szCs w:val="24"/>
        </w:rPr>
        <w:t xml:space="preserve"> </w:t>
      </w:r>
      <w:r w:rsidRPr="00C30F2C">
        <w:rPr>
          <w:rFonts w:cstheme="minorHAnsi"/>
          <w:szCs w:val="24"/>
        </w:rPr>
        <w:t xml:space="preserve">SWSAV, and Aquatic Life Use sizes in this </w:t>
      </w:r>
      <w:r w:rsidR="007E6F35">
        <w:rPr>
          <w:rFonts w:cstheme="minorHAnsi"/>
          <w:szCs w:val="24"/>
        </w:rPr>
        <w:t>section</w:t>
      </w:r>
      <w:r w:rsidRPr="00C30F2C">
        <w:rPr>
          <w:rFonts w:cstheme="minorHAnsi"/>
          <w:szCs w:val="24"/>
        </w:rPr>
        <w:t xml:space="preserve"> are different than what is presented elsewhere in this report. This is due to the complex spatial nature of the Bay uses and limitations of EPAs reporting database, ATTAINS. The Bay assessment model </w:t>
      </w:r>
      <w:r w:rsidR="000B427C" w:rsidRPr="00C30F2C">
        <w:rPr>
          <w:rFonts w:cstheme="minorHAnsi"/>
          <w:szCs w:val="24"/>
        </w:rPr>
        <w:t>can</w:t>
      </w:r>
      <w:r w:rsidRPr="00C30F2C">
        <w:rPr>
          <w:rFonts w:cstheme="minorHAnsi"/>
          <w:szCs w:val="24"/>
        </w:rPr>
        <w:t xml:space="preserve"> evaluate the Bay uses on a three-dimensional spatial scale, as presented previously, illustrated in Figure 4.6-2. Assessment units in ATTAINS represent a flat, geographical extent that may overlap boundaries of the different Bay uses. </w:t>
      </w:r>
      <w:r w:rsidR="00E74D88">
        <w:rPr>
          <w:rFonts w:cstheme="minorHAnsi"/>
          <w:szCs w:val="24"/>
        </w:rPr>
        <w:t>C</w:t>
      </w:r>
      <w:r w:rsidRPr="00C30F2C">
        <w:rPr>
          <w:rFonts w:cstheme="minorHAnsi"/>
          <w:szCs w:val="24"/>
        </w:rPr>
        <w:t xml:space="preserve">onfounding issues and differences between results in this </w:t>
      </w:r>
      <w:r w:rsidR="006D44C2">
        <w:rPr>
          <w:rFonts w:cstheme="minorHAnsi"/>
          <w:szCs w:val="24"/>
        </w:rPr>
        <w:t>section</w:t>
      </w:r>
      <w:r w:rsidRPr="00C30F2C">
        <w:rPr>
          <w:rFonts w:cstheme="minorHAnsi"/>
          <w:szCs w:val="24"/>
        </w:rPr>
        <w:t xml:space="preserve"> and area summarizations in other </w:t>
      </w:r>
      <w:r w:rsidR="006D44C2">
        <w:rPr>
          <w:rFonts w:cstheme="minorHAnsi"/>
          <w:szCs w:val="24"/>
        </w:rPr>
        <w:t>sections</w:t>
      </w:r>
      <w:r w:rsidRPr="00C30F2C">
        <w:rPr>
          <w:rFonts w:cstheme="minorHAnsi"/>
          <w:szCs w:val="24"/>
        </w:rPr>
        <w:t xml:space="preserve"> created </w:t>
      </w:r>
      <w:proofErr w:type="gramStart"/>
      <w:r w:rsidRPr="00C30F2C">
        <w:rPr>
          <w:rFonts w:cstheme="minorHAnsi"/>
          <w:szCs w:val="24"/>
        </w:rPr>
        <w:t>from</w:t>
      </w:r>
      <w:proofErr w:type="gramEnd"/>
      <w:r w:rsidRPr="00C30F2C">
        <w:rPr>
          <w:rFonts w:cstheme="minorHAnsi"/>
          <w:szCs w:val="24"/>
        </w:rPr>
        <w:t xml:space="preserve"> ATTAINS are listed below.</w:t>
      </w:r>
      <w:r w:rsidR="00DA5D74">
        <w:br/>
      </w:r>
    </w:p>
    <w:p w14:paraId="085F65CD" w14:textId="5E181691" w:rsidR="0070394A" w:rsidRPr="00C30F2C" w:rsidRDefault="0070394A">
      <w:pPr>
        <w:pStyle w:val="ListParagraph"/>
        <w:numPr>
          <w:ilvl w:val="0"/>
          <w:numId w:val="37"/>
        </w:numPr>
        <w:ind w:left="1080"/>
      </w:pPr>
      <w:r w:rsidRPr="00C30F2C">
        <w:t>The area of SWSAV use is inaccurate as reported in ATTAINS. The SWSAV designated use exists only within the area defined by the SAV acres criteria. For example, CBP Segment CB5PH has an SAV acres criterion of 7,633 acres (see Table 4.6-2) therefore the area of SWSAV designated use for this segment is 7,633 acres (</w:t>
      </w:r>
      <w:r w:rsidR="000B427C" w:rsidRPr="00C30F2C">
        <w:t>i.e.,</w:t>
      </w:r>
      <w:r w:rsidRPr="00C30F2C">
        <w:t xml:space="preserve"> 11.9 square miles). However, within ATTAINS the size of SWSAV </w:t>
      </w:r>
      <w:proofErr w:type="gramStart"/>
      <w:r w:rsidRPr="00C30F2C">
        <w:t>use</w:t>
      </w:r>
      <w:proofErr w:type="gramEnd"/>
      <w:r w:rsidRPr="00C30F2C">
        <w:t xml:space="preserve"> within this segment can only be reported as the complete area of the assessment unit (</w:t>
      </w:r>
      <w:r w:rsidR="000B427C" w:rsidRPr="00C30F2C">
        <w:t>i.e.,</w:t>
      </w:r>
      <w:r w:rsidRPr="00C30F2C">
        <w:t xml:space="preserve"> 185 square miles). The figures reported in this </w:t>
      </w:r>
      <w:r w:rsidR="006D44C2">
        <w:t>section</w:t>
      </w:r>
      <w:r w:rsidRPr="00C30F2C">
        <w:t xml:space="preserve"> are therefore more accurate than what appears in ATTAINS.</w:t>
      </w:r>
      <w:r w:rsidR="006249DD">
        <w:br/>
      </w:r>
    </w:p>
    <w:p w14:paraId="45F1B7BA" w14:textId="41AF932A" w:rsidR="0070394A" w:rsidRPr="00C30F2C" w:rsidRDefault="0070394A">
      <w:pPr>
        <w:pStyle w:val="ListParagraph"/>
        <w:numPr>
          <w:ilvl w:val="0"/>
          <w:numId w:val="37"/>
        </w:numPr>
        <w:ind w:left="1080"/>
      </w:pPr>
      <w:r w:rsidRPr="00C30F2C">
        <w:t xml:space="preserve">Related to the above, the area of impairment for aquatic life use within ATTAINS is often incorrect. For example, segment CB8PH failed the SWSAV use, so the segment also fails the aquatic life use. The area of SWSAV use within this segment is only 11 acres (0.02 square miles), making the accurate area of aquatic life use impairment only 0.02 square miles. However, within ATTAINS the area of aquatic life use can only be reported as the complete area of the assessment unit (142 square miles). The figures for impairment area reported in this </w:t>
      </w:r>
      <w:r w:rsidR="006D44C2">
        <w:t>section</w:t>
      </w:r>
      <w:r w:rsidRPr="00C30F2C">
        <w:t xml:space="preserve"> are more accurate than what appears in ATTAINS.</w:t>
      </w:r>
      <w:r w:rsidR="00DA5D74">
        <w:br/>
      </w:r>
    </w:p>
    <w:p w14:paraId="65223801" w14:textId="41F489E7" w:rsidR="0070394A" w:rsidRPr="00C30F2C" w:rsidRDefault="0070394A">
      <w:pPr>
        <w:pStyle w:val="ListParagraph"/>
        <w:numPr>
          <w:ilvl w:val="0"/>
          <w:numId w:val="37"/>
        </w:numPr>
        <w:ind w:left="1080"/>
      </w:pPr>
      <w:r w:rsidRPr="00C30F2C">
        <w:t xml:space="preserve">This </w:t>
      </w:r>
      <w:r w:rsidR="006D44C2">
        <w:t>section</w:t>
      </w:r>
      <w:r w:rsidRPr="00C30F2C">
        <w:t xml:space="preserve"> reports only the aquatic life use and </w:t>
      </w:r>
      <w:r w:rsidR="00113261" w:rsidRPr="00C74B39">
        <w:rPr>
          <w:szCs w:val="24"/>
        </w:rPr>
        <w:t xml:space="preserve">Chesapeake Bay </w:t>
      </w:r>
      <w:r w:rsidR="00113261">
        <w:rPr>
          <w:szCs w:val="24"/>
        </w:rPr>
        <w:t xml:space="preserve">specific </w:t>
      </w:r>
      <w:r w:rsidR="00113261" w:rsidRPr="00C74B39">
        <w:rPr>
          <w:szCs w:val="24"/>
        </w:rPr>
        <w:t>aquatic life use</w:t>
      </w:r>
      <w:r w:rsidR="00113261">
        <w:rPr>
          <w:szCs w:val="24"/>
        </w:rPr>
        <w:t xml:space="preserve"> </w:t>
      </w:r>
      <w:r w:rsidRPr="00C30F2C">
        <w:t xml:space="preserve">impairments due to dissolved oxygen, water clarity, chlorophyll, and benthic community assessments. Some waters have met all the assessed criteria for these </w:t>
      </w:r>
      <w:r w:rsidR="006D44C2" w:rsidRPr="00C30F2C">
        <w:t>parameters but</w:t>
      </w:r>
      <w:r w:rsidRPr="00C30F2C">
        <w:t xml:space="preserve"> may be impaired in ATTAINS for aquatic life due to other parameters (</w:t>
      </w:r>
      <w:r w:rsidR="006D44C2" w:rsidRPr="00C30F2C">
        <w:t>e.g.,</w:t>
      </w:r>
      <w:r w:rsidRPr="00C30F2C">
        <w:t xml:space="preserve"> pH, chloride, bacteria, toxics, etc.). Aquatic life use impairments due to these other parameters are not reported in this </w:t>
      </w:r>
      <w:r w:rsidR="006D44C2">
        <w:t>section</w:t>
      </w:r>
      <w:r w:rsidRPr="00C30F2C">
        <w:t>.</w:t>
      </w:r>
    </w:p>
    <w:p w14:paraId="6CCB6B9B" w14:textId="77777777" w:rsidR="0070394A" w:rsidRPr="00C74B39" w:rsidRDefault="0070394A" w:rsidP="0070394A">
      <w:pPr>
        <w:pStyle w:val="ListParagraph"/>
        <w:rPr>
          <w:szCs w:val="24"/>
        </w:rPr>
      </w:pPr>
    </w:p>
    <w:p w14:paraId="0297F582" w14:textId="6DDCFD6A" w:rsidR="005D4A9A" w:rsidRDefault="00997161" w:rsidP="005D4A9A">
      <w:pPr>
        <w:pStyle w:val="BodyTextIndent"/>
        <w:keepNext/>
        <w:widowControl/>
        <w:tabs>
          <w:tab w:val="left" w:pos="450"/>
        </w:tabs>
        <w:ind w:left="90" w:firstLine="0"/>
      </w:pPr>
      <w:r>
        <w:rPr>
          <w:noProof/>
          <w:snapToGrid/>
          <w14:ligatures w14:val="standardContextual"/>
        </w:rPr>
        <w:lastRenderedPageBreak/>
        <w:drawing>
          <wp:inline distT="0" distB="0" distL="0" distR="0" wp14:anchorId="0BDC37C3" wp14:editId="53FB7E35">
            <wp:extent cx="5772150" cy="4543425"/>
            <wp:effectExtent l="0" t="0" r="0" b="9525"/>
            <wp:docPr id="1790683564" name="Chart 1" descr="Figure 4.6 9. Assessment categories for Bay aquatic life sub-uses, as real percentages as categorized in ATTAINS.&#10;* Category 4D applies to waters that meet assessed DO criteria, but which are required to meet all applicable DO criteria before they can be assessed as fully supporting (Category 2). &#10;** 48% of the total SAV acreage goal (115 mi) was attained. However, only segments that have fully met their respective SAV acreage goals are assessed as fully supporting (Category 2). The sum of their goals represents 6% of the total SAV acreage goal. Other segments have partially met their SAV goals and contribute to the total SAV acreage goal but are still assessed as not supporting.&#1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4C229901" w14:textId="246CD69C" w:rsidR="00985D49" w:rsidRPr="00D237D4" w:rsidRDefault="005D4A9A" w:rsidP="00985D49">
      <w:pPr>
        <w:pStyle w:val="Caption"/>
        <w:keepNext/>
      </w:pPr>
      <w:bookmarkStart w:id="321" w:name="_Toc164175123"/>
      <w:bookmarkStart w:id="322" w:name="_Toc152766298"/>
      <w:r>
        <w:t xml:space="preserve">Figure </w:t>
      </w:r>
      <w:r w:rsidR="004F13BA">
        <w:fldChar w:fldCharType="begin"/>
      </w:r>
      <w:r w:rsidR="004F13BA">
        <w:instrText xml:space="preserve"> STYLEREF 2 \s </w:instrText>
      </w:r>
      <w:r w:rsidR="004F13BA">
        <w:fldChar w:fldCharType="separate"/>
      </w:r>
      <w:r w:rsidR="00E429BB">
        <w:rPr>
          <w:noProof/>
        </w:rPr>
        <w:t>4.6</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9</w:t>
      </w:r>
      <w:r w:rsidR="004F13BA">
        <w:rPr>
          <w:noProof/>
        </w:rPr>
        <w:fldChar w:fldCharType="end"/>
      </w:r>
      <w:r>
        <w:t xml:space="preserve">. </w:t>
      </w:r>
      <w:r w:rsidRPr="0A5BE548">
        <w:t xml:space="preserve">Assessment categories for </w:t>
      </w:r>
      <w:bookmarkEnd w:id="321"/>
      <w:r w:rsidR="00113261" w:rsidRPr="00C74B39">
        <w:rPr>
          <w:szCs w:val="24"/>
        </w:rPr>
        <w:t xml:space="preserve">Chesapeake Bay </w:t>
      </w:r>
      <w:r w:rsidR="00113261">
        <w:rPr>
          <w:szCs w:val="24"/>
        </w:rPr>
        <w:t xml:space="preserve">specific </w:t>
      </w:r>
      <w:r w:rsidR="00113261" w:rsidRPr="00C74B39">
        <w:rPr>
          <w:szCs w:val="24"/>
        </w:rPr>
        <w:t>aquatic life uses</w:t>
      </w:r>
      <w:r>
        <w:t xml:space="preserve"> as real percentages as categorized in ATTAINS.</w:t>
      </w:r>
      <w:bookmarkEnd w:id="322"/>
    </w:p>
    <w:p w14:paraId="547CCE1E" w14:textId="465E64C6" w:rsidR="0070394A" w:rsidRPr="005D4A9A" w:rsidRDefault="0070394A" w:rsidP="00DA0ED7">
      <w:pPr>
        <w:rPr>
          <w:sz w:val="20"/>
        </w:rPr>
      </w:pPr>
      <w:r w:rsidRPr="005D4A9A">
        <w:rPr>
          <w:sz w:val="20"/>
        </w:rPr>
        <w:t xml:space="preserve">* Category 4D applies to waters that meet </w:t>
      </w:r>
      <w:proofErr w:type="gramStart"/>
      <w:r w:rsidRPr="005D4A9A">
        <w:rPr>
          <w:sz w:val="20"/>
        </w:rPr>
        <w:t>assessed</w:t>
      </w:r>
      <w:proofErr w:type="gramEnd"/>
      <w:r w:rsidRPr="005D4A9A">
        <w:rPr>
          <w:sz w:val="20"/>
        </w:rPr>
        <w:t xml:space="preserve"> DO criteria, but which are required to meet all applicable DO criteria before they can be assessed as fully supporting (</w:t>
      </w:r>
      <w:r w:rsidR="008E2E7B">
        <w:rPr>
          <w:sz w:val="20"/>
        </w:rPr>
        <w:t>C</w:t>
      </w:r>
      <w:r w:rsidRPr="005D4A9A">
        <w:rPr>
          <w:sz w:val="20"/>
        </w:rPr>
        <w:t xml:space="preserve">ategory 2). </w:t>
      </w:r>
    </w:p>
    <w:p w14:paraId="52FC24B2" w14:textId="56A41CB8" w:rsidR="0070394A" w:rsidRPr="005D4A9A" w:rsidRDefault="0070394A" w:rsidP="00DA0ED7">
      <w:pPr>
        <w:rPr>
          <w:sz w:val="20"/>
        </w:rPr>
      </w:pPr>
      <w:r w:rsidRPr="005D4A9A">
        <w:rPr>
          <w:sz w:val="20"/>
        </w:rPr>
        <w:t>** 48% of the total SAV acreage goal (115 mi) was attained. However, only segments that have fully met their respective SAV acreage goals are assessed as fully supporting (</w:t>
      </w:r>
      <w:r w:rsidR="008E2E7B">
        <w:rPr>
          <w:sz w:val="20"/>
        </w:rPr>
        <w:t>C</w:t>
      </w:r>
      <w:r w:rsidRPr="005D4A9A">
        <w:rPr>
          <w:sz w:val="20"/>
        </w:rPr>
        <w:t xml:space="preserve">ategory 2). The sum of their goals represents 6% of the total SAV acreage goal. Other segments have partially met their SAV goals and </w:t>
      </w:r>
      <w:proofErr w:type="gramStart"/>
      <w:r w:rsidRPr="005D4A9A">
        <w:rPr>
          <w:sz w:val="20"/>
        </w:rPr>
        <w:t>contribute</w:t>
      </w:r>
      <w:proofErr w:type="gramEnd"/>
      <w:r w:rsidRPr="005D4A9A">
        <w:rPr>
          <w:sz w:val="20"/>
        </w:rPr>
        <w:t xml:space="preserve"> to the total SAV acreage goal but are still assessed as not supporting.</w:t>
      </w:r>
    </w:p>
    <w:p w14:paraId="6EC1DB64" w14:textId="77777777" w:rsidR="00000B89" w:rsidRPr="002A2BD0" w:rsidRDefault="00000B89" w:rsidP="00775341">
      <w:pPr>
        <w:rPr>
          <w:bCs/>
          <w:iCs/>
          <w:szCs w:val="24"/>
        </w:rPr>
      </w:pPr>
      <w:r w:rsidRPr="00C74B39">
        <w:rPr>
          <w:b/>
          <w:i/>
          <w:szCs w:val="24"/>
        </w:rPr>
        <w:t xml:space="preserve"> </w:t>
      </w:r>
    </w:p>
    <w:p w14:paraId="1E0A823E" w14:textId="77777777" w:rsidR="00000B89" w:rsidRPr="00C74B39" w:rsidRDefault="00000B89" w:rsidP="00000B89">
      <w:pPr>
        <w:pStyle w:val="Heading3"/>
      </w:pPr>
      <w:r w:rsidRPr="00C74B39">
        <w:t>Trend Analysis</w:t>
      </w:r>
    </w:p>
    <w:p w14:paraId="3FABFB18" w14:textId="6C46C1EA" w:rsidR="00E23A3A" w:rsidRPr="003E097A" w:rsidRDefault="008468B3" w:rsidP="008468B3">
      <w:pPr>
        <w:rPr>
          <w:szCs w:val="24"/>
        </w:rPr>
      </w:pPr>
      <w:r w:rsidRPr="00C74B39">
        <w:rPr>
          <w:szCs w:val="24"/>
        </w:rPr>
        <w:t xml:space="preserve">DEQ and ODU staff participate </w:t>
      </w:r>
      <w:proofErr w:type="gramStart"/>
      <w:r w:rsidRPr="00C74B39">
        <w:rPr>
          <w:szCs w:val="24"/>
        </w:rPr>
        <w:t>on</w:t>
      </w:r>
      <w:proofErr w:type="gramEnd"/>
      <w:r w:rsidRPr="00C74B39">
        <w:rPr>
          <w:szCs w:val="24"/>
        </w:rPr>
        <w:t xml:space="preserve"> the </w:t>
      </w:r>
      <w:r w:rsidRPr="0037588E">
        <w:rPr>
          <w:szCs w:val="24"/>
        </w:rPr>
        <w:t>Chesapeake Bay Program Integrated Trends Analysis Team</w:t>
      </w:r>
      <w:r w:rsidRPr="00C74B39">
        <w:rPr>
          <w:szCs w:val="24"/>
        </w:rPr>
        <w:t xml:space="preserve">. The Team aims to combine the efforts of the Chesapeake Bay Program analysts with those of investigators in governmental, academic, and non-profit organizations to identify potential research synergies and collaborations that will enhance our understanding of spatial and temporal patterns in water quality. Over the last several years, the team has been working to develop </w:t>
      </w:r>
      <w:r w:rsidRPr="001E339D">
        <w:rPr>
          <w:szCs w:val="24"/>
        </w:rPr>
        <w:t>Tributary Summaries</w:t>
      </w:r>
      <w:r w:rsidRPr="00C74B39">
        <w:rPr>
          <w:szCs w:val="24"/>
        </w:rPr>
        <w:t xml:space="preserve"> for the major tributary basins to </w:t>
      </w:r>
      <w:proofErr w:type="gramStart"/>
      <w:r w:rsidRPr="00C74B39">
        <w:rPr>
          <w:szCs w:val="24"/>
        </w:rPr>
        <w:t>the Chesapeake</w:t>
      </w:r>
      <w:proofErr w:type="gramEnd"/>
      <w:r w:rsidRPr="00C74B39">
        <w:rPr>
          <w:szCs w:val="24"/>
        </w:rPr>
        <w:t xml:space="preserve"> Bay. These documents summarize the following in one place: 1) How tidal water quality changes over time</w:t>
      </w:r>
      <w:r w:rsidR="000A53D9">
        <w:rPr>
          <w:szCs w:val="24"/>
        </w:rPr>
        <w:t>,</w:t>
      </w:r>
      <w:r w:rsidRPr="00C74B39">
        <w:rPr>
          <w:szCs w:val="24"/>
        </w:rPr>
        <w:t xml:space="preserve"> 2) How factors that drive those changes change over time</w:t>
      </w:r>
      <w:r w:rsidR="000A53D9">
        <w:rPr>
          <w:szCs w:val="24"/>
        </w:rPr>
        <w:t>,</w:t>
      </w:r>
      <w:r w:rsidRPr="00C74B39">
        <w:rPr>
          <w:szCs w:val="24"/>
        </w:rPr>
        <w:t xml:space="preserve"> </w:t>
      </w:r>
      <w:r w:rsidR="000A53D9" w:rsidRPr="00C74B39">
        <w:rPr>
          <w:szCs w:val="24"/>
        </w:rPr>
        <w:t>and</w:t>
      </w:r>
      <w:r w:rsidRPr="00C74B39">
        <w:rPr>
          <w:szCs w:val="24"/>
        </w:rPr>
        <w:t xml:space="preserve"> 3) Current state of the science on connecting change in aquatic conditions to its drivers.</w:t>
      </w:r>
      <w:r>
        <w:rPr>
          <w:szCs w:val="24"/>
        </w:rPr>
        <w:t xml:space="preserve"> The analyses presented in these summaries include data from 1985-20</w:t>
      </w:r>
      <w:r w:rsidR="00352A69">
        <w:rPr>
          <w:szCs w:val="24"/>
        </w:rPr>
        <w:t>21</w:t>
      </w:r>
      <w:r>
        <w:rPr>
          <w:szCs w:val="24"/>
        </w:rPr>
        <w:t xml:space="preserve"> and are updated as new data becomes available. They </w:t>
      </w:r>
      <w:r>
        <w:rPr>
          <w:szCs w:val="24"/>
        </w:rPr>
        <w:lastRenderedPageBreak/>
        <w:t>provide the most comprehensive overview of water quality trends in each Chesapeake Bay major tributary basin.</w:t>
      </w:r>
      <w:r w:rsidR="0037588E">
        <w:rPr>
          <w:szCs w:val="24"/>
        </w:rPr>
        <w:t xml:space="preserve"> See the CBP Integrated Trends Analysis Team webpage </w:t>
      </w:r>
      <w:r w:rsidR="001E339D">
        <w:rPr>
          <w:szCs w:val="24"/>
        </w:rPr>
        <w:t xml:space="preserve">and the </w:t>
      </w:r>
      <w:r w:rsidR="0064073C">
        <w:rPr>
          <w:szCs w:val="24"/>
        </w:rPr>
        <w:t xml:space="preserve">Chesapeake Assessment Scenario Tool Tributary Summaries </w:t>
      </w:r>
      <w:r w:rsidR="0037588E">
        <w:rPr>
          <w:szCs w:val="24"/>
        </w:rPr>
        <w:t xml:space="preserve">for more information. </w:t>
      </w:r>
      <w:r w:rsidR="00F5726C">
        <w:rPr>
          <w:szCs w:val="24"/>
        </w:rPr>
        <w:br/>
      </w:r>
    </w:p>
    <w:p w14:paraId="38059BBA" w14:textId="4461196C" w:rsidR="00A11D2E" w:rsidRDefault="00FE6D2A" w:rsidP="004F756C">
      <w:pPr>
        <w:pStyle w:val="Heading2"/>
        <w:jc w:val="left"/>
      </w:pPr>
      <w:bookmarkStart w:id="323" w:name="_Toc152763316"/>
      <w:bookmarkStart w:id="324" w:name="_Toc155771962"/>
      <w:bookmarkStart w:id="325" w:name="_Toc191900441"/>
      <w:r>
        <w:t xml:space="preserve">Statewide </w:t>
      </w:r>
      <w:r w:rsidR="00681785">
        <w:t>Trends</w:t>
      </w:r>
      <w:bookmarkEnd w:id="323"/>
      <w:r>
        <w:t xml:space="preserve"> Analysis</w:t>
      </w:r>
      <w:bookmarkEnd w:id="324"/>
      <w:bookmarkEnd w:id="325"/>
    </w:p>
    <w:p w14:paraId="2EFD532F" w14:textId="77777777" w:rsidR="00A11D2E" w:rsidRDefault="00A11D2E" w:rsidP="00AD3B35">
      <w:pPr>
        <w:pStyle w:val="Heading3"/>
        <w:rPr>
          <w:i/>
        </w:rPr>
      </w:pPr>
      <w:r>
        <w:t>Introduction</w:t>
      </w:r>
    </w:p>
    <w:p w14:paraId="476CF2D0" w14:textId="13AFAD97" w:rsidR="00A11D2E" w:rsidRDefault="00A11D2E" w:rsidP="00522E8E">
      <w:pPr>
        <w:pStyle w:val="BodyTextIndent"/>
        <w:ind w:firstLine="0"/>
        <w:jc w:val="left"/>
        <w:rPr>
          <w:rFonts w:cstheme="minorHAnsi"/>
        </w:rPr>
      </w:pPr>
      <w:r w:rsidRPr="00AD3B35">
        <w:rPr>
          <w:rFonts w:cstheme="minorHAnsi"/>
        </w:rPr>
        <w:t>The Code of Virginia (§ 62.1-44.19:5.</w:t>
      </w:r>
      <w:r w:rsidR="0092207D">
        <w:rPr>
          <w:rFonts w:cstheme="minorHAnsi"/>
        </w:rPr>
        <w:t>, WQMIRA</w:t>
      </w:r>
      <w:r w:rsidRPr="00AD3B35">
        <w:rPr>
          <w:rFonts w:cstheme="minorHAnsi"/>
        </w:rPr>
        <w:t xml:space="preserve">) directs DEQ to “determine water quality trends within specific and easily identifiable geographically defined water segments…and provide summaries of the trends as well as available data and evaluations so that citizens of the </w:t>
      </w:r>
      <w:r w:rsidR="00020140">
        <w:rPr>
          <w:rFonts w:cstheme="minorHAnsi"/>
        </w:rPr>
        <w:t>C</w:t>
      </w:r>
      <w:r w:rsidRPr="00AD3B35">
        <w:rPr>
          <w:rFonts w:cstheme="minorHAnsi"/>
        </w:rPr>
        <w:t>ommonwealth can easily interpret and understand the conditions of the geographically defined water segments</w:t>
      </w:r>
      <w:r w:rsidR="008D5673">
        <w:rPr>
          <w:rFonts w:cstheme="minorHAnsi"/>
        </w:rPr>
        <w:t>.</w:t>
      </w:r>
      <w:r w:rsidRPr="00AD3B35">
        <w:rPr>
          <w:rFonts w:cstheme="minorHAnsi"/>
        </w:rPr>
        <w:t>”</w:t>
      </w:r>
      <w:bookmarkStart w:id="326" w:name="_Ref531087908"/>
      <w:r w:rsidRPr="00AD3B35">
        <w:rPr>
          <w:rStyle w:val="FootnoteReference"/>
          <w:rFonts w:cstheme="minorHAnsi"/>
          <w:vertAlign w:val="superscript"/>
        </w:rPr>
        <w:footnoteReference w:id="16"/>
      </w:r>
      <w:bookmarkEnd w:id="326"/>
      <w:r w:rsidRPr="00AD3B35">
        <w:rPr>
          <w:rFonts w:cstheme="minorHAnsi"/>
          <w:vertAlign w:val="superscript"/>
        </w:rPr>
        <w:t>,</w:t>
      </w:r>
      <w:r w:rsidRPr="00AD3B35">
        <w:rPr>
          <w:rStyle w:val="FootnoteReference"/>
          <w:rFonts w:cstheme="minorHAnsi"/>
          <w:vertAlign w:val="superscript"/>
        </w:rPr>
        <w:footnoteReference w:id="17"/>
      </w:r>
      <w:r w:rsidRPr="00AD3B35">
        <w:rPr>
          <w:rFonts w:cstheme="minorHAnsi"/>
        </w:rPr>
        <w:t xml:space="preserve"> To satisfy this regulatory requirement, the objective of this chapter is to quantify changes in water quality (that is, trends) that have occurred</w:t>
      </w:r>
      <w:r w:rsidR="000B14E1">
        <w:rPr>
          <w:rFonts w:cstheme="minorHAnsi"/>
        </w:rPr>
        <w:t xml:space="preserve"> over the 20-year period</w:t>
      </w:r>
      <w:r w:rsidRPr="00AD3B35">
        <w:rPr>
          <w:rFonts w:cstheme="minorHAnsi"/>
        </w:rPr>
        <w:t xml:space="preserve"> from 2003-2022. In most cases, the 15 chemical and physical water quality characteristics evaluated for this investigation provide a relatively complete description of overall water quality. These characteristics, referred to hereafter as parameters, are presented in</w:t>
      </w:r>
      <w:r w:rsidR="005E54CA">
        <w:rPr>
          <w:rFonts w:cstheme="minorHAnsi"/>
        </w:rPr>
        <w:t xml:space="preserve"> </w:t>
      </w:r>
      <w:r w:rsidR="005E54CA" w:rsidRPr="005E54CA">
        <w:rPr>
          <w:rFonts w:cstheme="minorHAnsi"/>
        </w:rPr>
        <w:t>Table 4.7-1</w:t>
      </w:r>
      <w:r w:rsidRPr="00AD3B35">
        <w:rPr>
          <w:rFonts w:cstheme="minorHAnsi"/>
        </w:rPr>
        <w:t>.</w:t>
      </w:r>
    </w:p>
    <w:p w14:paraId="71DA7C69" w14:textId="77777777" w:rsidR="00522E8E" w:rsidRDefault="00522E8E" w:rsidP="00522E8E">
      <w:pPr>
        <w:pStyle w:val="BodyTextIndent"/>
        <w:ind w:firstLine="0"/>
        <w:jc w:val="left"/>
        <w:rPr>
          <w:rFonts w:cstheme="minorHAnsi"/>
        </w:rPr>
      </w:pPr>
    </w:p>
    <w:p w14:paraId="6C144C53" w14:textId="37198441" w:rsidR="00522E8E" w:rsidRDefault="00A11D2E" w:rsidP="00522E8E">
      <w:pPr>
        <w:pStyle w:val="BodyTextIndent"/>
        <w:ind w:firstLine="0"/>
        <w:jc w:val="left"/>
        <w:rPr>
          <w:rFonts w:cstheme="minorHAnsi"/>
        </w:rPr>
      </w:pPr>
      <w:r w:rsidRPr="00AD3B35">
        <w:rPr>
          <w:rFonts w:cstheme="minorHAnsi"/>
        </w:rPr>
        <w:t>DEQ operates a network of 413 permanent trend stations where monthly or bimonthly data are collected for a variety of key water quality parameters. These fixed stations are in areas of special interest including those near the mouths of major rivers, along the fall line, near flow gaging stations, or at designated non-tidal stations monitored to evaluate how rivers affect Chesapeake Bay. These stations have rich histories of monitoring with some dating back to the late 1960s; pre-dating the Federal Clean Water Act of 1972 (</w:t>
      </w:r>
      <w:r w:rsidR="005E54CA" w:rsidRPr="005E54CA">
        <w:rPr>
          <w:rFonts w:cstheme="minorHAnsi"/>
        </w:rPr>
        <w:t>Figure 4.7-1, Table 4.7-2</w:t>
      </w:r>
      <w:r w:rsidRPr="00AD3B35">
        <w:rPr>
          <w:rFonts w:cstheme="minorHAnsi"/>
        </w:rPr>
        <w:t>). Water quality trends are central to determining whether efforts of reducing and controlling pollution entering our waters are effective. Water quality trend monitoring may also act as a sentinel to identify new potential risks. The DEQ Statewide Water Quality Monitoring Strategy provides a standardized method for site selection, frequency, and methodology of sample collection. This standardization across the trend network provides data that can be statistically analyzed for the detection of water quality trends.</w:t>
      </w:r>
    </w:p>
    <w:p w14:paraId="39ABED01" w14:textId="65E3B7F0" w:rsidR="00A11D2E" w:rsidRPr="00AD3B35" w:rsidRDefault="00A11D2E" w:rsidP="00522E8E">
      <w:pPr>
        <w:pStyle w:val="BodyTextIndent"/>
        <w:ind w:firstLine="0"/>
        <w:jc w:val="left"/>
        <w:rPr>
          <w:rFonts w:cstheme="minorHAnsi"/>
        </w:rPr>
      </w:pPr>
      <w:r w:rsidRPr="00AD3B35">
        <w:rPr>
          <w:rFonts w:cstheme="minorHAnsi"/>
        </w:rPr>
        <w:t xml:space="preserve"> </w:t>
      </w:r>
    </w:p>
    <w:p w14:paraId="13B0183B" w14:textId="0519B8C5" w:rsidR="00A11D2E" w:rsidRPr="00AD3B35" w:rsidRDefault="00A11D2E" w:rsidP="00522E8E">
      <w:pPr>
        <w:pStyle w:val="BodyTextIndent"/>
        <w:ind w:firstLine="0"/>
        <w:jc w:val="left"/>
        <w:rPr>
          <w:rFonts w:cstheme="minorHAnsi"/>
        </w:rPr>
        <w:sectPr w:rsidR="00A11D2E" w:rsidRPr="00AD3B35" w:rsidSect="009079C4">
          <w:pgSz w:w="12240" w:h="15840" w:code="1"/>
          <w:pgMar w:top="1440" w:right="1440" w:bottom="1440" w:left="1440" w:header="720" w:footer="720" w:gutter="0"/>
          <w:cols w:space="720"/>
          <w:docGrid w:linePitch="360"/>
        </w:sectPr>
      </w:pPr>
      <w:r w:rsidRPr="00AD3B35">
        <w:rPr>
          <w:rFonts w:cstheme="minorHAnsi"/>
        </w:rPr>
        <w:t>It should be noted that the goal of trend analysis is to detect changes in concentrations or values of key water quality parameters and not to determine whether the measured values are particularly high or low. For example, an increasing trend in suspended solids generally indicates degrading water quality, but even after such an increase, solids may remain relatively low and the overall water quality relatively good. Detecting trends requires datasets encompassing longer periods than are traditionally used in the 305(b) assessment.</w:t>
      </w:r>
      <w:r w:rsidR="00D139FA">
        <w:rPr>
          <w:rFonts w:cstheme="minorHAnsi"/>
        </w:rPr>
        <w:t xml:space="preserve"> </w:t>
      </w:r>
      <w:r w:rsidRPr="00AD3B35">
        <w:rPr>
          <w:rFonts w:cstheme="minorHAnsi"/>
        </w:rPr>
        <w:t>Furthermore, because of the seasonal variability of water quality parameters, trend datasets must also contain measurements among the various seasons of the year.</w:t>
      </w:r>
    </w:p>
    <w:p w14:paraId="659E533E" w14:textId="7A125607" w:rsidR="00A11D2E" w:rsidRPr="00AD3B35" w:rsidRDefault="00A11D2E" w:rsidP="00A11D2E">
      <w:pPr>
        <w:pStyle w:val="Caption"/>
        <w:rPr>
          <w:rFonts w:cstheme="minorHAnsi"/>
        </w:rPr>
      </w:pPr>
      <w:bookmarkStart w:id="327" w:name="_Ref145928558"/>
      <w:bookmarkStart w:id="328" w:name="_Toc164175222"/>
      <w:bookmarkStart w:id="329" w:name="_Ref531007028"/>
      <w:bookmarkStart w:id="330" w:name="_Ref531070840"/>
      <w:r w:rsidRPr="00AD3B35">
        <w:rPr>
          <w:rFonts w:cstheme="minorHAnsi"/>
        </w:rPr>
        <w:lastRenderedPageBreak/>
        <w:t xml:space="preserve">Table </w:t>
      </w:r>
      <w:r w:rsidR="00CD06AE">
        <w:rPr>
          <w:rFonts w:cstheme="minorHAnsi"/>
        </w:rPr>
        <w:fldChar w:fldCharType="begin"/>
      </w:r>
      <w:r w:rsidR="00CD06AE">
        <w:rPr>
          <w:rFonts w:cstheme="minorHAnsi"/>
        </w:rPr>
        <w:instrText xml:space="preserve"> STYLEREF 2 \s </w:instrText>
      </w:r>
      <w:r w:rsidR="00CD06AE">
        <w:rPr>
          <w:rFonts w:cstheme="minorHAnsi"/>
        </w:rPr>
        <w:fldChar w:fldCharType="separate"/>
      </w:r>
      <w:r w:rsidR="00CD06AE">
        <w:rPr>
          <w:rFonts w:cstheme="minorHAnsi"/>
          <w:noProof/>
        </w:rPr>
        <w:t>4.7</w:t>
      </w:r>
      <w:r w:rsidR="00CD06AE">
        <w:rPr>
          <w:rFonts w:cstheme="minorHAnsi"/>
        </w:rPr>
        <w:fldChar w:fldCharType="end"/>
      </w:r>
      <w:r w:rsidR="00CD06AE">
        <w:rPr>
          <w:rFonts w:cstheme="minorHAnsi"/>
        </w:rPr>
        <w:noBreakHyphen/>
      </w:r>
      <w:r w:rsidR="00CD06AE">
        <w:rPr>
          <w:rFonts w:cstheme="minorHAnsi"/>
        </w:rPr>
        <w:fldChar w:fldCharType="begin"/>
      </w:r>
      <w:r w:rsidR="00CD06AE">
        <w:rPr>
          <w:rFonts w:cstheme="minorHAnsi"/>
        </w:rPr>
        <w:instrText xml:space="preserve"> SEQ Table \* ARABIC \s 2 </w:instrText>
      </w:r>
      <w:r w:rsidR="00CD06AE">
        <w:rPr>
          <w:rFonts w:cstheme="minorHAnsi"/>
        </w:rPr>
        <w:fldChar w:fldCharType="separate"/>
      </w:r>
      <w:r w:rsidR="00CD06AE">
        <w:rPr>
          <w:rFonts w:cstheme="minorHAnsi"/>
          <w:noProof/>
        </w:rPr>
        <w:t>1</w:t>
      </w:r>
      <w:r w:rsidR="00CD06AE">
        <w:rPr>
          <w:rFonts w:cstheme="minorHAnsi"/>
        </w:rPr>
        <w:fldChar w:fldCharType="end"/>
      </w:r>
      <w:bookmarkEnd w:id="327"/>
      <w:r w:rsidR="00F94012">
        <w:rPr>
          <w:rFonts w:cstheme="minorHAnsi"/>
          <w:noProof/>
        </w:rPr>
        <w:t>.</w:t>
      </w:r>
      <w:r w:rsidRPr="00AD3B35">
        <w:rPr>
          <w:rFonts w:cstheme="minorHAnsi"/>
        </w:rPr>
        <w:t xml:space="preserve"> Water quality parameters evaluated in the 2024 trend analysis.</w:t>
      </w:r>
      <w:bookmarkEnd w:id="328"/>
    </w:p>
    <w:tbl>
      <w:tblPr>
        <w:tblW w:w="5069" w:type="pct"/>
        <w:tblLook w:val="04A0" w:firstRow="1" w:lastRow="0" w:firstColumn="1" w:lastColumn="0" w:noHBand="0" w:noVBand="1"/>
        <w:tblCaption w:val="Table of Water quality parameters evaluated in the 2024 trend analysis."/>
        <w:tblDescription w:val="Water quality parameters evaluated in the 2024 trend analysis."/>
      </w:tblPr>
      <w:tblGrid>
        <w:gridCol w:w="3003"/>
        <w:gridCol w:w="1408"/>
        <w:gridCol w:w="1592"/>
        <w:gridCol w:w="7136"/>
      </w:tblGrid>
      <w:tr w:rsidR="00A11D2E" w:rsidRPr="00AD3B35" w14:paraId="7475FC50" w14:textId="77777777" w:rsidTr="00F5643A">
        <w:trPr>
          <w:trHeight w:val="360"/>
        </w:trPr>
        <w:tc>
          <w:tcPr>
            <w:tcW w:w="1121" w:type="pct"/>
            <w:tcBorders>
              <w:top w:val="single" w:sz="12" w:space="0" w:color="auto"/>
              <w:left w:val="nil"/>
              <w:bottom w:val="single" w:sz="4" w:space="0" w:color="auto"/>
              <w:right w:val="nil"/>
            </w:tcBorders>
            <w:shd w:val="clear" w:color="auto" w:fill="auto"/>
            <w:noWrap/>
            <w:vAlign w:val="center"/>
            <w:hideMark/>
          </w:tcPr>
          <w:bookmarkEnd w:id="329"/>
          <w:bookmarkEnd w:id="330"/>
          <w:p w14:paraId="05EC5A21" w14:textId="77777777" w:rsidR="00A11D2E" w:rsidRPr="00AF74E5" w:rsidRDefault="00A11D2E">
            <w:pPr>
              <w:widowControl/>
              <w:jc w:val="center"/>
              <w:rPr>
                <w:rFonts w:cstheme="minorHAnsi"/>
                <w:b/>
                <w:bCs/>
                <w:snapToGrid/>
                <w:color w:val="000000"/>
                <w:sz w:val="22"/>
                <w:szCs w:val="22"/>
              </w:rPr>
            </w:pPr>
            <w:r w:rsidRPr="00AF74E5">
              <w:rPr>
                <w:rFonts w:cstheme="minorHAnsi"/>
                <w:b/>
                <w:bCs/>
                <w:snapToGrid/>
                <w:color w:val="000000"/>
                <w:sz w:val="22"/>
                <w:szCs w:val="22"/>
              </w:rPr>
              <w:t>Parameter</w:t>
            </w:r>
          </w:p>
        </w:tc>
        <w:tc>
          <w:tcPr>
            <w:tcW w:w="522" w:type="pct"/>
            <w:tcBorders>
              <w:top w:val="single" w:sz="12" w:space="0" w:color="auto"/>
              <w:left w:val="nil"/>
              <w:bottom w:val="single" w:sz="4" w:space="0" w:color="auto"/>
              <w:right w:val="nil"/>
            </w:tcBorders>
            <w:shd w:val="clear" w:color="auto" w:fill="auto"/>
            <w:noWrap/>
            <w:vAlign w:val="center"/>
            <w:hideMark/>
          </w:tcPr>
          <w:p w14:paraId="574A46FB" w14:textId="77777777" w:rsidR="00A11D2E" w:rsidRPr="00AF74E5" w:rsidRDefault="00A11D2E">
            <w:pPr>
              <w:widowControl/>
              <w:jc w:val="center"/>
              <w:rPr>
                <w:rFonts w:cstheme="minorHAnsi"/>
                <w:b/>
                <w:bCs/>
                <w:snapToGrid/>
                <w:color w:val="000000"/>
                <w:sz w:val="22"/>
                <w:szCs w:val="22"/>
              </w:rPr>
            </w:pPr>
            <w:r w:rsidRPr="00AF74E5">
              <w:rPr>
                <w:rFonts w:cstheme="minorHAnsi"/>
                <w:b/>
                <w:bCs/>
                <w:snapToGrid/>
                <w:color w:val="000000"/>
                <w:sz w:val="22"/>
                <w:szCs w:val="22"/>
              </w:rPr>
              <w:t>Abbreviation</w:t>
            </w:r>
          </w:p>
        </w:tc>
        <w:tc>
          <w:tcPr>
            <w:tcW w:w="606" w:type="pct"/>
            <w:tcBorders>
              <w:top w:val="single" w:sz="12" w:space="0" w:color="auto"/>
              <w:left w:val="nil"/>
              <w:bottom w:val="single" w:sz="4" w:space="0" w:color="auto"/>
              <w:right w:val="nil"/>
            </w:tcBorders>
            <w:shd w:val="clear" w:color="auto" w:fill="auto"/>
            <w:noWrap/>
            <w:vAlign w:val="center"/>
            <w:hideMark/>
          </w:tcPr>
          <w:p w14:paraId="5791DE5A" w14:textId="77777777" w:rsidR="00A11D2E" w:rsidRPr="00AF74E5" w:rsidRDefault="00A11D2E">
            <w:pPr>
              <w:widowControl/>
              <w:jc w:val="center"/>
              <w:rPr>
                <w:rFonts w:cstheme="minorHAnsi"/>
                <w:b/>
                <w:bCs/>
                <w:snapToGrid/>
                <w:color w:val="000000"/>
                <w:sz w:val="22"/>
                <w:szCs w:val="22"/>
              </w:rPr>
            </w:pPr>
            <w:r w:rsidRPr="00AF74E5">
              <w:rPr>
                <w:rFonts w:cstheme="minorHAnsi"/>
                <w:b/>
                <w:bCs/>
                <w:snapToGrid/>
                <w:color w:val="000000"/>
                <w:sz w:val="22"/>
                <w:szCs w:val="22"/>
              </w:rPr>
              <w:t>Units</w:t>
            </w:r>
          </w:p>
        </w:tc>
        <w:tc>
          <w:tcPr>
            <w:tcW w:w="2751" w:type="pct"/>
            <w:tcBorders>
              <w:top w:val="single" w:sz="12" w:space="0" w:color="auto"/>
              <w:left w:val="nil"/>
              <w:bottom w:val="single" w:sz="4" w:space="0" w:color="auto"/>
              <w:right w:val="nil"/>
            </w:tcBorders>
            <w:shd w:val="clear" w:color="auto" w:fill="auto"/>
            <w:vAlign w:val="center"/>
            <w:hideMark/>
          </w:tcPr>
          <w:p w14:paraId="120C145D" w14:textId="77777777" w:rsidR="00A11D2E" w:rsidRPr="00AF74E5" w:rsidRDefault="00A11D2E">
            <w:pPr>
              <w:widowControl/>
              <w:jc w:val="center"/>
              <w:rPr>
                <w:rFonts w:cstheme="minorHAnsi"/>
                <w:b/>
                <w:bCs/>
                <w:snapToGrid/>
                <w:color w:val="000000"/>
                <w:sz w:val="22"/>
                <w:szCs w:val="22"/>
              </w:rPr>
            </w:pPr>
            <w:r w:rsidRPr="00AF74E5">
              <w:rPr>
                <w:rFonts w:cstheme="minorHAnsi"/>
                <w:b/>
                <w:bCs/>
                <w:snapToGrid/>
                <w:color w:val="000000"/>
                <w:sz w:val="22"/>
                <w:szCs w:val="22"/>
              </w:rPr>
              <w:t>Explanation of Units</w:t>
            </w:r>
          </w:p>
        </w:tc>
      </w:tr>
      <w:tr w:rsidR="00A11D2E" w:rsidRPr="00AD3B35" w14:paraId="60B46CD5" w14:textId="77777777" w:rsidTr="00AF74E5">
        <w:trPr>
          <w:trHeight w:val="360"/>
        </w:trPr>
        <w:tc>
          <w:tcPr>
            <w:tcW w:w="1121" w:type="pct"/>
            <w:tcBorders>
              <w:top w:val="nil"/>
              <w:left w:val="nil"/>
              <w:bottom w:val="nil"/>
              <w:right w:val="nil"/>
            </w:tcBorders>
            <w:shd w:val="clear" w:color="auto" w:fill="auto"/>
            <w:noWrap/>
            <w:vAlign w:val="center"/>
            <w:hideMark/>
          </w:tcPr>
          <w:p w14:paraId="6D5D82AB" w14:textId="24B84584"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Chlorophyll</w:t>
            </w:r>
            <w:r w:rsidR="00105F37">
              <w:rPr>
                <w:rFonts w:cstheme="minorHAnsi"/>
                <w:snapToGrid/>
                <w:color w:val="000000"/>
                <w:sz w:val="22"/>
                <w:szCs w:val="22"/>
              </w:rPr>
              <w:t xml:space="preserve"> </w:t>
            </w:r>
            <w:r w:rsidR="00105F37">
              <w:rPr>
                <w:rFonts w:cstheme="minorHAnsi"/>
                <w:i/>
                <w:iCs/>
                <w:snapToGrid/>
                <w:color w:val="000000"/>
                <w:sz w:val="22"/>
                <w:szCs w:val="22"/>
              </w:rPr>
              <w:t>a</w:t>
            </w:r>
            <w:r w:rsidRPr="00020499">
              <w:rPr>
                <w:rFonts w:cstheme="minorHAnsi"/>
                <w:snapToGrid/>
                <w:color w:val="000000"/>
                <w:sz w:val="22"/>
                <w:szCs w:val="22"/>
              </w:rPr>
              <w:t xml:space="preserve"> </w:t>
            </w:r>
          </w:p>
        </w:tc>
        <w:tc>
          <w:tcPr>
            <w:tcW w:w="522" w:type="pct"/>
            <w:tcBorders>
              <w:top w:val="nil"/>
              <w:left w:val="nil"/>
              <w:bottom w:val="nil"/>
              <w:right w:val="nil"/>
            </w:tcBorders>
            <w:shd w:val="clear" w:color="auto" w:fill="auto"/>
            <w:noWrap/>
            <w:vAlign w:val="center"/>
            <w:hideMark/>
          </w:tcPr>
          <w:p w14:paraId="376AD2D5"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CHLOROA</w:t>
            </w:r>
          </w:p>
        </w:tc>
        <w:tc>
          <w:tcPr>
            <w:tcW w:w="606" w:type="pct"/>
            <w:tcBorders>
              <w:top w:val="nil"/>
              <w:left w:val="nil"/>
              <w:bottom w:val="nil"/>
              <w:right w:val="nil"/>
            </w:tcBorders>
            <w:shd w:val="clear" w:color="auto" w:fill="auto"/>
            <w:noWrap/>
            <w:vAlign w:val="center"/>
            <w:hideMark/>
          </w:tcPr>
          <w:p w14:paraId="182700D6"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 mg/L</w:t>
            </w:r>
          </w:p>
        </w:tc>
        <w:tc>
          <w:tcPr>
            <w:tcW w:w="2751" w:type="pct"/>
            <w:tcBorders>
              <w:top w:val="nil"/>
              <w:left w:val="nil"/>
              <w:bottom w:val="nil"/>
              <w:right w:val="nil"/>
            </w:tcBorders>
            <w:shd w:val="clear" w:color="auto" w:fill="auto"/>
            <w:vAlign w:val="center"/>
            <w:hideMark/>
          </w:tcPr>
          <w:p w14:paraId="2B57C1D9" w14:textId="0A1FD309"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 xml:space="preserve">Milligrams of Chlorophyll </w:t>
            </w:r>
            <w:r w:rsidR="00105F37">
              <w:rPr>
                <w:rFonts w:cstheme="minorHAnsi"/>
                <w:i/>
                <w:iCs/>
                <w:snapToGrid/>
                <w:color w:val="000000"/>
                <w:sz w:val="22"/>
                <w:szCs w:val="22"/>
              </w:rPr>
              <w:t>a</w:t>
            </w:r>
            <w:r w:rsidRPr="00020499">
              <w:rPr>
                <w:rFonts w:cstheme="minorHAnsi"/>
                <w:snapToGrid/>
                <w:color w:val="000000"/>
                <w:sz w:val="22"/>
                <w:szCs w:val="22"/>
              </w:rPr>
              <w:t xml:space="preserve"> per. liter of water.</w:t>
            </w:r>
          </w:p>
        </w:tc>
      </w:tr>
      <w:tr w:rsidR="00A11D2E" w:rsidRPr="00AD3B35" w14:paraId="2B1503C4" w14:textId="77777777" w:rsidTr="00AF74E5">
        <w:trPr>
          <w:trHeight w:val="360"/>
        </w:trPr>
        <w:tc>
          <w:tcPr>
            <w:tcW w:w="1121" w:type="pct"/>
            <w:tcBorders>
              <w:top w:val="nil"/>
              <w:left w:val="nil"/>
              <w:bottom w:val="nil"/>
              <w:right w:val="nil"/>
            </w:tcBorders>
            <w:shd w:val="clear" w:color="auto" w:fill="auto"/>
            <w:noWrap/>
            <w:vAlign w:val="center"/>
            <w:hideMark/>
          </w:tcPr>
          <w:p w14:paraId="04C020C4"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Dissolved Oxygen</w:t>
            </w:r>
          </w:p>
        </w:tc>
        <w:tc>
          <w:tcPr>
            <w:tcW w:w="522" w:type="pct"/>
            <w:tcBorders>
              <w:top w:val="nil"/>
              <w:left w:val="nil"/>
              <w:bottom w:val="nil"/>
              <w:right w:val="nil"/>
            </w:tcBorders>
            <w:shd w:val="clear" w:color="auto" w:fill="auto"/>
            <w:noWrap/>
            <w:vAlign w:val="center"/>
            <w:hideMark/>
          </w:tcPr>
          <w:p w14:paraId="59B5BC91"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DOSAT</w:t>
            </w:r>
          </w:p>
        </w:tc>
        <w:tc>
          <w:tcPr>
            <w:tcW w:w="606" w:type="pct"/>
            <w:tcBorders>
              <w:top w:val="nil"/>
              <w:left w:val="nil"/>
              <w:bottom w:val="nil"/>
              <w:right w:val="nil"/>
            </w:tcBorders>
            <w:shd w:val="clear" w:color="auto" w:fill="auto"/>
            <w:noWrap/>
            <w:vAlign w:val="center"/>
            <w:hideMark/>
          </w:tcPr>
          <w:p w14:paraId="2C0FFDD0"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 %Saturation</w:t>
            </w:r>
          </w:p>
        </w:tc>
        <w:tc>
          <w:tcPr>
            <w:tcW w:w="2751" w:type="pct"/>
            <w:tcBorders>
              <w:top w:val="nil"/>
              <w:left w:val="nil"/>
              <w:bottom w:val="nil"/>
              <w:right w:val="nil"/>
            </w:tcBorders>
            <w:shd w:val="clear" w:color="auto" w:fill="auto"/>
            <w:vAlign w:val="center"/>
            <w:hideMark/>
          </w:tcPr>
          <w:p w14:paraId="7C88E70E" w14:textId="37226253"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 xml:space="preserve">Percentage of the saturation concentration of D.O. at the measured water temperature, chlorinity, and barometric pressure. </w:t>
            </w:r>
          </w:p>
        </w:tc>
      </w:tr>
      <w:tr w:rsidR="00A11D2E" w:rsidRPr="00AD3B35" w14:paraId="6877712B" w14:textId="77777777" w:rsidTr="00AF74E5">
        <w:trPr>
          <w:trHeight w:val="360"/>
        </w:trPr>
        <w:tc>
          <w:tcPr>
            <w:tcW w:w="1121" w:type="pct"/>
            <w:tcBorders>
              <w:top w:val="nil"/>
              <w:left w:val="nil"/>
              <w:bottom w:val="nil"/>
              <w:right w:val="nil"/>
            </w:tcBorders>
            <w:shd w:val="clear" w:color="auto" w:fill="auto"/>
            <w:noWrap/>
            <w:vAlign w:val="center"/>
            <w:hideMark/>
          </w:tcPr>
          <w:p w14:paraId="603E3D75"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Escherichia coli</w:t>
            </w:r>
          </w:p>
        </w:tc>
        <w:tc>
          <w:tcPr>
            <w:tcW w:w="522" w:type="pct"/>
            <w:tcBorders>
              <w:top w:val="nil"/>
              <w:left w:val="nil"/>
              <w:bottom w:val="nil"/>
              <w:right w:val="nil"/>
            </w:tcBorders>
            <w:shd w:val="clear" w:color="auto" w:fill="auto"/>
            <w:noWrap/>
            <w:vAlign w:val="center"/>
            <w:hideMark/>
          </w:tcPr>
          <w:p w14:paraId="4EC8A7BD"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EC</w:t>
            </w:r>
          </w:p>
        </w:tc>
        <w:tc>
          <w:tcPr>
            <w:tcW w:w="606" w:type="pct"/>
            <w:tcBorders>
              <w:top w:val="nil"/>
              <w:left w:val="nil"/>
              <w:bottom w:val="nil"/>
              <w:right w:val="nil"/>
            </w:tcBorders>
            <w:shd w:val="clear" w:color="auto" w:fill="auto"/>
            <w:noWrap/>
            <w:vAlign w:val="center"/>
            <w:hideMark/>
          </w:tcPr>
          <w:p w14:paraId="02D7EFA1"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MPN/100mL</w:t>
            </w:r>
          </w:p>
        </w:tc>
        <w:tc>
          <w:tcPr>
            <w:tcW w:w="2751" w:type="pct"/>
            <w:tcBorders>
              <w:top w:val="nil"/>
              <w:left w:val="nil"/>
              <w:bottom w:val="nil"/>
              <w:right w:val="nil"/>
            </w:tcBorders>
            <w:shd w:val="clear" w:color="auto" w:fill="auto"/>
            <w:vAlign w:val="center"/>
            <w:hideMark/>
          </w:tcPr>
          <w:p w14:paraId="3110B188" w14:textId="77777777"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 xml:space="preserve">Most Probable Number of </w:t>
            </w:r>
            <w:r w:rsidRPr="00181D22">
              <w:rPr>
                <w:rFonts w:cstheme="minorHAnsi"/>
                <w:i/>
                <w:iCs/>
                <w:snapToGrid/>
                <w:color w:val="000000"/>
                <w:sz w:val="22"/>
                <w:szCs w:val="22"/>
              </w:rPr>
              <w:t>Escherichia coli</w:t>
            </w:r>
            <w:r w:rsidRPr="00020499">
              <w:rPr>
                <w:rFonts w:cstheme="minorHAnsi"/>
                <w:snapToGrid/>
                <w:color w:val="000000"/>
                <w:sz w:val="22"/>
                <w:szCs w:val="22"/>
              </w:rPr>
              <w:t xml:space="preserve"> bacteria in 100ml. of water.</w:t>
            </w:r>
          </w:p>
        </w:tc>
      </w:tr>
      <w:tr w:rsidR="00A11D2E" w:rsidRPr="00AD3B35" w14:paraId="4DBF226D" w14:textId="77777777" w:rsidTr="00AF74E5">
        <w:trPr>
          <w:trHeight w:val="360"/>
        </w:trPr>
        <w:tc>
          <w:tcPr>
            <w:tcW w:w="1121" w:type="pct"/>
            <w:tcBorders>
              <w:top w:val="nil"/>
              <w:left w:val="nil"/>
              <w:bottom w:val="nil"/>
              <w:right w:val="nil"/>
            </w:tcBorders>
            <w:shd w:val="clear" w:color="auto" w:fill="auto"/>
            <w:noWrap/>
            <w:vAlign w:val="center"/>
            <w:hideMark/>
          </w:tcPr>
          <w:p w14:paraId="493D6965"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Enterococci</w:t>
            </w:r>
          </w:p>
        </w:tc>
        <w:tc>
          <w:tcPr>
            <w:tcW w:w="522" w:type="pct"/>
            <w:tcBorders>
              <w:top w:val="nil"/>
              <w:left w:val="nil"/>
              <w:bottom w:val="nil"/>
              <w:right w:val="nil"/>
            </w:tcBorders>
            <w:shd w:val="clear" w:color="auto" w:fill="auto"/>
            <w:noWrap/>
            <w:vAlign w:val="center"/>
            <w:hideMark/>
          </w:tcPr>
          <w:p w14:paraId="54011B4F"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ENT</w:t>
            </w:r>
          </w:p>
        </w:tc>
        <w:tc>
          <w:tcPr>
            <w:tcW w:w="606" w:type="pct"/>
            <w:tcBorders>
              <w:top w:val="nil"/>
              <w:left w:val="nil"/>
              <w:bottom w:val="nil"/>
              <w:right w:val="nil"/>
            </w:tcBorders>
            <w:shd w:val="clear" w:color="auto" w:fill="auto"/>
            <w:noWrap/>
            <w:vAlign w:val="center"/>
            <w:hideMark/>
          </w:tcPr>
          <w:p w14:paraId="49819AD0"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CFU/100mL</w:t>
            </w:r>
          </w:p>
        </w:tc>
        <w:tc>
          <w:tcPr>
            <w:tcW w:w="2751" w:type="pct"/>
            <w:tcBorders>
              <w:top w:val="nil"/>
              <w:left w:val="nil"/>
              <w:bottom w:val="nil"/>
              <w:right w:val="nil"/>
            </w:tcBorders>
            <w:shd w:val="clear" w:color="auto" w:fill="auto"/>
            <w:vAlign w:val="center"/>
            <w:hideMark/>
          </w:tcPr>
          <w:p w14:paraId="0C1CF3BC" w14:textId="77777777"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 xml:space="preserve">Number of </w:t>
            </w:r>
            <w:proofErr w:type="gramStart"/>
            <w:r w:rsidRPr="00020499">
              <w:rPr>
                <w:rFonts w:cstheme="minorHAnsi"/>
                <w:snapToGrid/>
                <w:color w:val="000000"/>
                <w:sz w:val="22"/>
                <w:szCs w:val="22"/>
              </w:rPr>
              <w:t>colony</w:t>
            </w:r>
            <w:proofErr w:type="gramEnd"/>
            <w:r w:rsidRPr="00020499">
              <w:rPr>
                <w:rFonts w:cstheme="minorHAnsi"/>
                <w:snapToGrid/>
                <w:color w:val="000000"/>
                <w:sz w:val="22"/>
                <w:szCs w:val="22"/>
              </w:rPr>
              <w:t xml:space="preserve"> forming Enterococcus bacteria units in 100ml of water.</w:t>
            </w:r>
          </w:p>
        </w:tc>
      </w:tr>
      <w:tr w:rsidR="00A11D2E" w:rsidRPr="00AD3B35" w14:paraId="713519BC" w14:textId="77777777" w:rsidTr="00AF74E5">
        <w:trPr>
          <w:trHeight w:val="360"/>
        </w:trPr>
        <w:tc>
          <w:tcPr>
            <w:tcW w:w="1121" w:type="pct"/>
            <w:tcBorders>
              <w:top w:val="nil"/>
              <w:left w:val="nil"/>
              <w:bottom w:val="nil"/>
              <w:right w:val="nil"/>
            </w:tcBorders>
            <w:shd w:val="clear" w:color="auto" w:fill="auto"/>
            <w:noWrap/>
            <w:vAlign w:val="center"/>
            <w:hideMark/>
          </w:tcPr>
          <w:p w14:paraId="3898931A"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Fecal coliforms</w:t>
            </w:r>
          </w:p>
        </w:tc>
        <w:tc>
          <w:tcPr>
            <w:tcW w:w="522" w:type="pct"/>
            <w:tcBorders>
              <w:top w:val="nil"/>
              <w:left w:val="nil"/>
              <w:bottom w:val="nil"/>
              <w:right w:val="nil"/>
            </w:tcBorders>
            <w:shd w:val="clear" w:color="auto" w:fill="auto"/>
            <w:noWrap/>
            <w:vAlign w:val="center"/>
            <w:hideMark/>
          </w:tcPr>
          <w:p w14:paraId="50502EAD"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FC</w:t>
            </w:r>
          </w:p>
        </w:tc>
        <w:tc>
          <w:tcPr>
            <w:tcW w:w="606" w:type="pct"/>
            <w:tcBorders>
              <w:top w:val="nil"/>
              <w:left w:val="nil"/>
              <w:bottom w:val="nil"/>
              <w:right w:val="nil"/>
            </w:tcBorders>
            <w:shd w:val="clear" w:color="auto" w:fill="auto"/>
            <w:noWrap/>
            <w:vAlign w:val="center"/>
            <w:hideMark/>
          </w:tcPr>
          <w:p w14:paraId="2F1B81B5"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CFU/100mL</w:t>
            </w:r>
          </w:p>
        </w:tc>
        <w:tc>
          <w:tcPr>
            <w:tcW w:w="2751" w:type="pct"/>
            <w:tcBorders>
              <w:top w:val="nil"/>
              <w:left w:val="nil"/>
              <w:bottom w:val="nil"/>
              <w:right w:val="nil"/>
            </w:tcBorders>
            <w:shd w:val="clear" w:color="auto" w:fill="auto"/>
            <w:vAlign w:val="center"/>
            <w:hideMark/>
          </w:tcPr>
          <w:p w14:paraId="4D4BD4F2" w14:textId="77777777"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 xml:space="preserve">Number of </w:t>
            </w:r>
            <w:proofErr w:type="gramStart"/>
            <w:r w:rsidRPr="00020499">
              <w:rPr>
                <w:rFonts w:cstheme="minorHAnsi"/>
                <w:snapToGrid/>
                <w:color w:val="000000"/>
                <w:sz w:val="22"/>
                <w:szCs w:val="22"/>
              </w:rPr>
              <w:t>colony</w:t>
            </w:r>
            <w:proofErr w:type="gramEnd"/>
            <w:r w:rsidRPr="00020499">
              <w:rPr>
                <w:rFonts w:cstheme="minorHAnsi"/>
                <w:snapToGrid/>
                <w:color w:val="000000"/>
                <w:sz w:val="22"/>
                <w:szCs w:val="22"/>
              </w:rPr>
              <w:t xml:space="preserve"> forming fecal coliform bacteria units in 100ml of water.</w:t>
            </w:r>
          </w:p>
        </w:tc>
      </w:tr>
      <w:tr w:rsidR="00A11D2E" w:rsidRPr="00AD3B35" w14:paraId="631249E4" w14:textId="77777777" w:rsidTr="00AF74E5">
        <w:trPr>
          <w:trHeight w:val="360"/>
        </w:trPr>
        <w:tc>
          <w:tcPr>
            <w:tcW w:w="1121" w:type="pct"/>
            <w:tcBorders>
              <w:top w:val="nil"/>
              <w:left w:val="nil"/>
              <w:bottom w:val="nil"/>
              <w:right w:val="nil"/>
            </w:tcBorders>
            <w:shd w:val="clear" w:color="auto" w:fill="auto"/>
            <w:noWrap/>
            <w:vAlign w:val="center"/>
            <w:hideMark/>
          </w:tcPr>
          <w:p w14:paraId="1D2928A0" w14:textId="7D5C8B56"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Total </w:t>
            </w:r>
            <w:r w:rsidR="00914CA7">
              <w:rPr>
                <w:rFonts w:cstheme="minorHAnsi"/>
                <w:snapToGrid/>
                <w:color w:val="000000"/>
                <w:sz w:val="22"/>
                <w:szCs w:val="22"/>
              </w:rPr>
              <w:t>N</w:t>
            </w:r>
            <w:r w:rsidRPr="00020499">
              <w:rPr>
                <w:rFonts w:cstheme="minorHAnsi"/>
                <w:snapToGrid/>
                <w:color w:val="000000"/>
                <w:sz w:val="22"/>
                <w:szCs w:val="22"/>
              </w:rPr>
              <w:t>itrogen</w:t>
            </w:r>
          </w:p>
        </w:tc>
        <w:tc>
          <w:tcPr>
            <w:tcW w:w="522" w:type="pct"/>
            <w:tcBorders>
              <w:top w:val="nil"/>
              <w:left w:val="nil"/>
              <w:bottom w:val="nil"/>
              <w:right w:val="nil"/>
            </w:tcBorders>
            <w:shd w:val="clear" w:color="auto" w:fill="auto"/>
            <w:noWrap/>
            <w:vAlign w:val="center"/>
            <w:hideMark/>
          </w:tcPr>
          <w:p w14:paraId="4F08482F"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N</w:t>
            </w:r>
          </w:p>
        </w:tc>
        <w:tc>
          <w:tcPr>
            <w:tcW w:w="606" w:type="pct"/>
            <w:tcBorders>
              <w:top w:val="nil"/>
              <w:left w:val="nil"/>
              <w:bottom w:val="nil"/>
              <w:right w:val="nil"/>
            </w:tcBorders>
            <w:shd w:val="clear" w:color="auto" w:fill="auto"/>
            <w:noWrap/>
            <w:vAlign w:val="center"/>
            <w:hideMark/>
          </w:tcPr>
          <w:p w14:paraId="0BC6068C"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 mg/L</w:t>
            </w:r>
          </w:p>
        </w:tc>
        <w:tc>
          <w:tcPr>
            <w:tcW w:w="2751" w:type="pct"/>
            <w:tcBorders>
              <w:top w:val="nil"/>
              <w:left w:val="nil"/>
              <w:bottom w:val="nil"/>
              <w:right w:val="nil"/>
            </w:tcBorders>
            <w:shd w:val="clear" w:color="auto" w:fill="auto"/>
            <w:vAlign w:val="center"/>
            <w:hideMark/>
          </w:tcPr>
          <w:p w14:paraId="46F5E9AC" w14:textId="77777777" w:rsidR="00A11D2E" w:rsidRPr="00020499" w:rsidRDefault="00A11D2E">
            <w:pPr>
              <w:widowControl/>
              <w:rPr>
                <w:rFonts w:cstheme="minorHAnsi"/>
                <w:bCs/>
                <w:snapToGrid/>
                <w:color w:val="000000"/>
                <w:sz w:val="22"/>
                <w:szCs w:val="22"/>
              </w:rPr>
            </w:pPr>
            <w:proofErr w:type="gramStart"/>
            <w:r w:rsidRPr="00020499">
              <w:rPr>
                <w:rFonts w:cstheme="minorHAnsi"/>
                <w:snapToGrid/>
                <w:color w:val="000000"/>
                <w:sz w:val="22"/>
                <w:szCs w:val="22"/>
              </w:rPr>
              <w:t>Milligrams</w:t>
            </w:r>
            <w:proofErr w:type="gramEnd"/>
            <w:r w:rsidRPr="00020499">
              <w:rPr>
                <w:rFonts w:cstheme="minorHAnsi"/>
                <w:snapToGrid/>
                <w:color w:val="000000"/>
                <w:sz w:val="22"/>
                <w:szCs w:val="22"/>
              </w:rPr>
              <w:t xml:space="preserve"> nitrogen (total) per. liter of water.</w:t>
            </w:r>
          </w:p>
        </w:tc>
      </w:tr>
      <w:tr w:rsidR="00A11D2E" w:rsidRPr="00AD3B35" w14:paraId="71F70822" w14:textId="77777777" w:rsidTr="00AF74E5">
        <w:trPr>
          <w:trHeight w:val="360"/>
        </w:trPr>
        <w:tc>
          <w:tcPr>
            <w:tcW w:w="1121" w:type="pct"/>
            <w:tcBorders>
              <w:top w:val="nil"/>
              <w:left w:val="nil"/>
              <w:bottom w:val="nil"/>
              <w:right w:val="nil"/>
            </w:tcBorders>
            <w:shd w:val="clear" w:color="auto" w:fill="auto"/>
            <w:noWrap/>
            <w:vAlign w:val="center"/>
            <w:hideMark/>
          </w:tcPr>
          <w:p w14:paraId="4FA9AAEF" w14:textId="1728EF6F"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Total </w:t>
            </w:r>
            <w:r w:rsidR="00914CA7">
              <w:rPr>
                <w:rFonts w:cstheme="minorHAnsi"/>
                <w:snapToGrid/>
                <w:color w:val="000000"/>
                <w:sz w:val="22"/>
                <w:szCs w:val="22"/>
              </w:rPr>
              <w:t>P</w:t>
            </w:r>
            <w:r w:rsidRPr="00020499">
              <w:rPr>
                <w:rFonts w:cstheme="minorHAnsi"/>
                <w:snapToGrid/>
                <w:color w:val="000000"/>
                <w:sz w:val="22"/>
                <w:szCs w:val="22"/>
              </w:rPr>
              <w:t>hosphorus</w:t>
            </w:r>
          </w:p>
        </w:tc>
        <w:tc>
          <w:tcPr>
            <w:tcW w:w="522" w:type="pct"/>
            <w:tcBorders>
              <w:top w:val="nil"/>
              <w:left w:val="nil"/>
              <w:bottom w:val="nil"/>
              <w:right w:val="nil"/>
            </w:tcBorders>
            <w:shd w:val="clear" w:color="auto" w:fill="auto"/>
            <w:noWrap/>
            <w:vAlign w:val="center"/>
            <w:hideMark/>
          </w:tcPr>
          <w:p w14:paraId="3B0F7D5F" w14:textId="5F7CA7B4"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P</w:t>
            </w:r>
          </w:p>
        </w:tc>
        <w:tc>
          <w:tcPr>
            <w:tcW w:w="606" w:type="pct"/>
            <w:tcBorders>
              <w:top w:val="nil"/>
              <w:left w:val="nil"/>
              <w:bottom w:val="nil"/>
              <w:right w:val="nil"/>
            </w:tcBorders>
            <w:shd w:val="clear" w:color="auto" w:fill="auto"/>
            <w:noWrap/>
            <w:vAlign w:val="center"/>
            <w:hideMark/>
          </w:tcPr>
          <w:p w14:paraId="5C498A97"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 mg/L</w:t>
            </w:r>
          </w:p>
        </w:tc>
        <w:tc>
          <w:tcPr>
            <w:tcW w:w="2751" w:type="pct"/>
            <w:tcBorders>
              <w:top w:val="nil"/>
              <w:left w:val="nil"/>
              <w:bottom w:val="nil"/>
              <w:right w:val="nil"/>
            </w:tcBorders>
            <w:shd w:val="clear" w:color="auto" w:fill="auto"/>
            <w:vAlign w:val="center"/>
            <w:hideMark/>
          </w:tcPr>
          <w:p w14:paraId="0C569DF9" w14:textId="77777777"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Milligrams phosphorus (total) per. liter of water.</w:t>
            </w:r>
          </w:p>
        </w:tc>
      </w:tr>
      <w:tr w:rsidR="00A11D2E" w:rsidRPr="00AD3B35" w14:paraId="33121867" w14:textId="77777777" w:rsidTr="00AF74E5">
        <w:trPr>
          <w:trHeight w:val="360"/>
        </w:trPr>
        <w:tc>
          <w:tcPr>
            <w:tcW w:w="1121" w:type="pct"/>
            <w:tcBorders>
              <w:top w:val="nil"/>
              <w:left w:val="nil"/>
              <w:bottom w:val="nil"/>
              <w:right w:val="nil"/>
            </w:tcBorders>
            <w:shd w:val="clear" w:color="auto" w:fill="auto"/>
            <w:noWrap/>
            <w:vAlign w:val="center"/>
            <w:hideMark/>
          </w:tcPr>
          <w:p w14:paraId="2D0006C6"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pH</w:t>
            </w:r>
          </w:p>
        </w:tc>
        <w:tc>
          <w:tcPr>
            <w:tcW w:w="522" w:type="pct"/>
            <w:tcBorders>
              <w:top w:val="nil"/>
              <w:left w:val="nil"/>
              <w:bottom w:val="nil"/>
              <w:right w:val="nil"/>
            </w:tcBorders>
            <w:shd w:val="clear" w:color="auto" w:fill="auto"/>
            <w:noWrap/>
            <w:vAlign w:val="center"/>
            <w:hideMark/>
          </w:tcPr>
          <w:p w14:paraId="7510AEAC"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PH</w:t>
            </w:r>
          </w:p>
        </w:tc>
        <w:tc>
          <w:tcPr>
            <w:tcW w:w="606" w:type="pct"/>
            <w:tcBorders>
              <w:top w:val="nil"/>
              <w:left w:val="nil"/>
              <w:bottom w:val="nil"/>
              <w:right w:val="nil"/>
            </w:tcBorders>
            <w:shd w:val="clear" w:color="auto" w:fill="auto"/>
            <w:noWrap/>
            <w:vAlign w:val="center"/>
            <w:hideMark/>
          </w:tcPr>
          <w:p w14:paraId="1C09E709"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 Standard Units</w:t>
            </w:r>
          </w:p>
        </w:tc>
        <w:tc>
          <w:tcPr>
            <w:tcW w:w="2751" w:type="pct"/>
            <w:tcBorders>
              <w:top w:val="nil"/>
              <w:left w:val="nil"/>
              <w:bottom w:val="nil"/>
              <w:right w:val="nil"/>
            </w:tcBorders>
            <w:shd w:val="clear" w:color="auto" w:fill="auto"/>
            <w:vAlign w:val="center"/>
            <w:hideMark/>
          </w:tcPr>
          <w:p w14:paraId="42F10322" w14:textId="77777777"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 xml:space="preserve">Standard pH units: calculated from hydrogen ion concentration in water. </w:t>
            </w:r>
          </w:p>
        </w:tc>
      </w:tr>
      <w:tr w:rsidR="00A11D2E" w:rsidRPr="00AD3B35" w14:paraId="7D339860" w14:textId="77777777" w:rsidTr="00AF74E5">
        <w:trPr>
          <w:trHeight w:val="360"/>
        </w:trPr>
        <w:tc>
          <w:tcPr>
            <w:tcW w:w="1121" w:type="pct"/>
            <w:tcBorders>
              <w:top w:val="nil"/>
              <w:left w:val="nil"/>
              <w:bottom w:val="nil"/>
              <w:right w:val="nil"/>
            </w:tcBorders>
            <w:shd w:val="clear" w:color="auto" w:fill="auto"/>
            <w:noWrap/>
            <w:vAlign w:val="center"/>
            <w:hideMark/>
          </w:tcPr>
          <w:p w14:paraId="583EF438"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Secchi Depth</w:t>
            </w:r>
          </w:p>
        </w:tc>
        <w:tc>
          <w:tcPr>
            <w:tcW w:w="522" w:type="pct"/>
            <w:tcBorders>
              <w:top w:val="nil"/>
              <w:left w:val="nil"/>
              <w:bottom w:val="nil"/>
              <w:right w:val="nil"/>
            </w:tcBorders>
            <w:shd w:val="clear" w:color="auto" w:fill="auto"/>
            <w:noWrap/>
            <w:vAlign w:val="center"/>
            <w:hideMark/>
          </w:tcPr>
          <w:p w14:paraId="022BE928"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SECCHI</w:t>
            </w:r>
          </w:p>
        </w:tc>
        <w:tc>
          <w:tcPr>
            <w:tcW w:w="606" w:type="pct"/>
            <w:tcBorders>
              <w:top w:val="nil"/>
              <w:left w:val="nil"/>
              <w:bottom w:val="nil"/>
              <w:right w:val="nil"/>
            </w:tcBorders>
            <w:shd w:val="clear" w:color="auto" w:fill="auto"/>
            <w:noWrap/>
            <w:vAlign w:val="center"/>
            <w:hideMark/>
          </w:tcPr>
          <w:p w14:paraId="699C4AB7"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m</w:t>
            </w:r>
          </w:p>
        </w:tc>
        <w:tc>
          <w:tcPr>
            <w:tcW w:w="2751" w:type="pct"/>
            <w:tcBorders>
              <w:top w:val="nil"/>
              <w:left w:val="nil"/>
              <w:bottom w:val="nil"/>
              <w:right w:val="nil"/>
            </w:tcBorders>
            <w:shd w:val="clear" w:color="auto" w:fill="auto"/>
            <w:vAlign w:val="center"/>
            <w:hideMark/>
          </w:tcPr>
          <w:p w14:paraId="2BEB4E9D" w14:textId="77777777"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Meters of water depth over which a Secchi disk is visible.</w:t>
            </w:r>
          </w:p>
        </w:tc>
      </w:tr>
      <w:tr w:rsidR="00A11D2E" w:rsidRPr="00AD3B35" w14:paraId="5580B3A9" w14:textId="77777777" w:rsidTr="00AF74E5">
        <w:trPr>
          <w:trHeight w:val="360"/>
        </w:trPr>
        <w:tc>
          <w:tcPr>
            <w:tcW w:w="1121" w:type="pct"/>
            <w:tcBorders>
              <w:top w:val="nil"/>
              <w:left w:val="nil"/>
              <w:bottom w:val="nil"/>
              <w:right w:val="nil"/>
            </w:tcBorders>
            <w:shd w:val="clear" w:color="auto" w:fill="auto"/>
            <w:noWrap/>
            <w:vAlign w:val="center"/>
            <w:hideMark/>
          </w:tcPr>
          <w:p w14:paraId="3F6995AF" w14:textId="0A60D71E"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Specific </w:t>
            </w:r>
            <w:r w:rsidR="00914CA7">
              <w:rPr>
                <w:rFonts w:cstheme="minorHAnsi"/>
                <w:snapToGrid/>
                <w:color w:val="000000"/>
                <w:sz w:val="22"/>
                <w:szCs w:val="22"/>
              </w:rPr>
              <w:t>C</w:t>
            </w:r>
            <w:r w:rsidRPr="00020499">
              <w:rPr>
                <w:rFonts w:cstheme="minorHAnsi"/>
                <w:snapToGrid/>
                <w:color w:val="000000"/>
                <w:sz w:val="22"/>
                <w:szCs w:val="22"/>
              </w:rPr>
              <w:t xml:space="preserve">onductance </w:t>
            </w:r>
          </w:p>
        </w:tc>
        <w:tc>
          <w:tcPr>
            <w:tcW w:w="522" w:type="pct"/>
            <w:tcBorders>
              <w:top w:val="nil"/>
              <w:left w:val="nil"/>
              <w:bottom w:val="nil"/>
              <w:right w:val="nil"/>
            </w:tcBorders>
            <w:shd w:val="clear" w:color="auto" w:fill="auto"/>
            <w:noWrap/>
            <w:vAlign w:val="center"/>
            <w:hideMark/>
          </w:tcPr>
          <w:p w14:paraId="50A02953"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SC</w:t>
            </w:r>
          </w:p>
        </w:tc>
        <w:tc>
          <w:tcPr>
            <w:tcW w:w="606" w:type="pct"/>
            <w:tcBorders>
              <w:top w:val="nil"/>
              <w:left w:val="nil"/>
              <w:bottom w:val="nil"/>
              <w:right w:val="nil"/>
            </w:tcBorders>
            <w:shd w:val="clear" w:color="auto" w:fill="auto"/>
            <w:noWrap/>
            <w:vAlign w:val="center"/>
            <w:hideMark/>
          </w:tcPr>
          <w:p w14:paraId="2B5E2B52"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µS/cm</w:t>
            </w:r>
          </w:p>
        </w:tc>
        <w:tc>
          <w:tcPr>
            <w:tcW w:w="2751" w:type="pct"/>
            <w:tcBorders>
              <w:top w:val="nil"/>
              <w:left w:val="nil"/>
              <w:bottom w:val="nil"/>
              <w:right w:val="nil"/>
            </w:tcBorders>
            <w:shd w:val="clear" w:color="auto" w:fill="auto"/>
            <w:vAlign w:val="center"/>
            <w:hideMark/>
          </w:tcPr>
          <w:p w14:paraId="56B0BE48" w14:textId="77777777" w:rsidR="00A11D2E" w:rsidRPr="00020499" w:rsidRDefault="00A11D2E">
            <w:pPr>
              <w:widowControl/>
              <w:rPr>
                <w:rFonts w:cstheme="minorHAnsi"/>
                <w:bCs/>
                <w:snapToGrid/>
                <w:color w:val="000000"/>
                <w:sz w:val="22"/>
                <w:szCs w:val="22"/>
              </w:rPr>
            </w:pPr>
            <w:proofErr w:type="gramStart"/>
            <w:r w:rsidRPr="00020499">
              <w:rPr>
                <w:rFonts w:cstheme="minorHAnsi"/>
                <w:snapToGrid/>
                <w:color w:val="000000"/>
                <w:sz w:val="22"/>
                <w:szCs w:val="22"/>
              </w:rPr>
              <w:t>Amount</w:t>
            </w:r>
            <w:proofErr w:type="gramEnd"/>
            <w:r w:rsidRPr="00020499">
              <w:rPr>
                <w:rFonts w:cstheme="minorHAnsi"/>
                <w:snapToGrid/>
                <w:color w:val="000000"/>
                <w:sz w:val="22"/>
                <w:szCs w:val="22"/>
              </w:rPr>
              <w:t xml:space="preserve"> of electrical conductivity (</w:t>
            </w:r>
            <w:proofErr w:type="gramStart"/>
            <w:r w:rsidRPr="00020499">
              <w:rPr>
                <w:rFonts w:cstheme="minorHAnsi"/>
                <w:snapToGrid/>
                <w:color w:val="000000"/>
                <w:sz w:val="22"/>
                <w:szCs w:val="22"/>
              </w:rPr>
              <w:t>micro Siemens</w:t>
            </w:r>
            <w:proofErr w:type="gramEnd"/>
            <w:r w:rsidRPr="00020499">
              <w:rPr>
                <w:rFonts w:cstheme="minorHAnsi"/>
                <w:snapToGrid/>
                <w:color w:val="000000"/>
                <w:sz w:val="22"/>
                <w:szCs w:val="22"/>
              </w:rPr>
              <w:t xml:space="preserve">) </w:t>
            </w:r>
            <w:proofErr w:type="gramStart"/>
            <w:r w:rsidRPr="00020499">
              <w:rPr>
                <w:rFonts w:cstheme="minorHAnsi"/>
                <w:snapToGrid/>
                <w:color w:val="000000"/>
                <w:sz w:val="22"/>
                <w:szCs w:val="22"/>
              </w:rPr>
              <w:t>over</w:t>
            </w:r>
            <w:proofErr w:type="gramEnd"/>
            <w:r w:rsidRPr="00020499">
              <w:rPr>
                <w:rFonts w:cstheme="minorHAnsi"/>
                <w:snapToGrid/>
                <w:color w:val="000000"/>
                <w:sz w:val="22"/>
                <w:szCs w:val="22"/>
              </w:rPr>
              <w:t xml:space="preserve"> 1cm of water at 25°C.</w:t>
            </w:r>
          </w:p>
        </w:tc>
      </w:tr>
      <w:tr w:rsidR="00A11D2E" w:rsidRPr="00AD3B35" w14:paraId="482A5102" w14:textId="77777777" w:rsidTr="00AF74E5">
        <w:trPr>
          <w:trHeight w:val="360"/>
        </w:trPr>
        <w:tc>
          <w:tcPr>
            <w:tcW w:w="1121" w:type="pct"/>
            <w:tcBorders>
              <w:top w:val="nil"/>
              <w:left w:val="nil"/>
              <w:bottom w:val="nil"/>
              <w:right w:val="nil"/>
            </w:tcBorders>
            <w:shd w:val="clear" w:color="auto" w:fill="auto"/>
            <w:noWrap/>
            <w:vAlign w:val="center"/>
            <w:hideMark/>
          </w:tcPr>
          <w:p w14:paraId="45793CA0" w14:textId="5584F626"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Total </w:t>
            </w:r>
            <w:r w:rsidR="00914CA7">
              <w:rPr>
                <w:rFonts w:cstheme="minorHAnsi"/>
                <w:snapToGrid/>
                <w:color w:val="000000"/>
                <w:sz w:val="22"/>
                <w:szCs w:val="22"/>
              </w:rPr>
              <w:t>F</w:t>
            </w:r>
            <w:r w:rsidRPr="00020499">
              <w:rPr>
                <w:rFonts w:cstheme="minorHAnsi"/>
                <w:snapToGrid/>
                <w:color w:val="000000"/>
                <w:sz w:val="22"/>
                <w:szCs w:val="22"/>
              </w:rPr>
              <w:t xml:space="preserve">ixed </w:t>
            </w:r>
            <w:r w:rsidR="00914CA7">
              <w:rPr>
                <w:rFonts w:cstheme="minorHAnsi"/>
                <w:snapToGrid/>
                <w:color w:val="000000"/>
                <w:sz w:val="22"/>
                <w:szCs w:val="22"/>
              </w:rPr>
              <w:t>S</w:t>
            </w:r>
            <w:r w:rsidRPr="00020499">
              <w:rPr>
                <w:rFonts w:cstheme="minorHAnsi"/>
                <w:snapToGrid/>
                <w:color w:val="000000"/>
                <w:sz w:val="22"/>
                <w:szCs w:val="22"/>
              </w:rPr>
              <w:t xml:space="preserve">uspended </w:t>
            </w:r>
            <w:r w:rsidR="00914CA7">
              <w:rPr>
                <w:rFonts w:cstheme="minorHAnsi"/>
                <w:snapToGrid/>
                <w:color w:val="000000"/>
                <w:sz w:val="22"/>
                <w:szCs w:val="22"/>
              </w:rPr>
              <w:t>S</w:t>
            </w:r>
            <w:r w:rsidRPr="00020499">
              <w:rPr>
                <w:rFonts w:cstheme="minorHAnsi"/>
                <w:snapToGrid/>
                <w:color w:val="000000"/>
                <w:sz w:val="22"/>
                <w:szCs w:val="22"/>
              </w:rPr>
              <w:t>olids</w:t>
            </w:r>
          </w:p>
        </w:tc>
        <w:tc>
          <w:tcPr>
            <w:tcW w:w="522" w:type="pct"/>
            <w:tcBorders>
              <w:top w:val="nil"/>
              <w:left w:val="nil"/>
              <w:bottom w:val="nil"/>
              <w:right w:val="nil"/>
            </w:tcBorders>
            <w:shd w:val="clear" w:color="auto" w:fill="auto"/>
            <w:noWrap/>
            <w:vAlign w:val="center"/>
            <w:hideMark/>
          </w:tcPr>
          <w:p w14:paraId="5717A4FC"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TFS</w:t>
            </w:r>
          </w:p>
        </w:tc>
        <w:tc>
          <w:tcPr>
            <w:tcW w:w="606" w:type="pct"/>
            <w:tcBorders>
              <w:top w:val="nil"/>
              <w:left w:val="nil"/>
              <w:bottom w:val="nil"/>
              <w:right w:val="nil"/>
            </w:tcBorders>
            <w:shd w:val="clear" w:color="auto" w:fill="auto"/>
            <w:noWrap/>
            <w:vAlign w:val="center"/>
            <w:hideMark/>
          </w:tcPr>
          <w:p w14:paraId="41212FBD"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mg/L</w:t>
            </w:r>
          </w:p>
        </w:tc>
        <w:tc>
          <w:tcPr>
            <w:tcW w:w="2751" w:type="pct"/>
            <w:tcBorders>
              <w:top w:val="nil"/>
              <w:left w:val="nil"/>
              <w:bottom w:val="nil"/>
              <w:right w:val="nil"/>
            </w:tcBorders>
            <w:shd w:val="clear" w:color="auto" w:fill="auto"/>
            <w:vAlign w:val="center"/>
            <w:hideMark/>
          </w:tcPr>
          <w:p w14:paraId="3131377C" w14:textId="77777777"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Milligrams of fixed suspended solids per. liter of water.</w:t>
            </w:r>
          </w:p>
        </w:tc>
      </w:tr>
      <w:tr w:rsidR="00A11D2E" w:rsidRPr="00AD3B35" w14:paraId="090DEB39" w14:textId="77777777" w:rsidTr="00AF74E5">
        <w:trPr>
          <w:trHeight w:val="360"/>
        </w:trPr>
        <w:tc>
          <w:tcPr>
            <w:tcW w:w="1121" w:type="pct"/>
            <w:tcBorders>
              <w:top w:val="nil"/>
              <w:left w:val="nil"/>
              <w:bottom w:val="nil"/>
              <w:right w:val="nil"/>
            </w:tcBorders>
            <w:shd w:val="clear" w:color="auto" w:fill="auto"/>
            <w:noWrap/>
            <w:vAlign w:val="center"/>
            <w:hideMark/>
          </w:tcPr>
          <w:p w14:paraId="1A72A613" w14:textId="4876C34A"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Total </w:t>
            </w:r>
            <w:r w:rsidR="00914CA7">
              <w:rPr>
                <w:rFonts w:cstheme="minorHAnsi"/>
                <w:snapToGrid/>
                <w:color w:val="000000"/>
                <w:sz w:val="22"/>
                <w:szCs w:val="22"/>
              </w:rPr>
              <w:t>S</w:t>
            </w:r>
            <w:r w:rsidRPr="00020499">
              <w:rPr>
                <w:rFonts w:cstheme="minorHAnsi"/>
                <w:snapToGrid/>
                <w:color w:val="000000"/>
                <w:sz w:val="22"/>
                <w:szCs w:val="22"/>
              </w:rPr>
              <w:t xml:space="preserve">uspended </w:t>
            </w:r>
            <w:r w:rsidR="00914CA7">
              <w:rPr>
                <w:rFonts w:cstheme="minorHAnsi"/>
                <w:snapToGrid/>
                <w:color w:val="000000"/>
                <w:sz w:val="22"/>
                <w:szCs w:val="22"/>
              </w:rPr>
              <w:t>S</w:t>
            </w:r>
            <w:r w:rsidRPr="00020499">
              <w:rPr>
                <w:rFonts w:cstheme="minorHAnsi"/>
                <w:snapToGrid/>
                <w:color w:val="000000"/>
                <w:sz w:val="22"/>
                <w:szCs w:val="22"/>
              </w:rPr>
              <w:t>olids</w:t>
            </w:r>
          </w:p>
        </w:tc>
        <w:tc>
          <w:tcPr>
            <w:tcW w:w="522" w:type="pct"/>
            <w:tcBorders>
              <w:top w:val="nil"/>
              <w:left w:val="nil"/>
              <w:bottom w:val="nil"/>
              <w:right w:val="nil"/>
            </w:tcBorders>
            <w:shd w:val="clear" w:color="auto" w:fill="auto"/>
            <w:noWrap/>
            <w:vAlign w:val="center"/>
            <w:hideMark/>
          </w:tcPr>
          <w:p w14:paraId="3B59F368"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TSS</w:t>
            </w:r>
          </w:p>
        </w:tc>
        <w:tc>
          <w:tcPr>
            <w:tcW w:w="606" w:type="pct"/>
            <w:tcBorders>
              <w:top w:val="nil"/>
              <w:left w:val="nil"/>
              <w:bottom w:val="nil"/>
              <w:right w:val="nil"/>
            </w:tcBorders>
            <w:shd w:val="clear" w:color="auto" w:fill="auto"/>
            <w:noWrap/>
            <w:vAlign w:val="center"/>
            <w:hideMark/>
          </w:tcPr>
          <w:p w14:paraId="04DBA1B8"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mg/L</w:t>
            </w:r>
          </w:p>
        </w:tc>
        <w:tc>
          <w:tcPr>
            <w:tcW w:w="2751" w:type="pct"/>
            <w:tcBorders>
              <w:top w:val="nil"/>
              <w:left w:val="nil"/>
              <w:bottom w:val="nil"/>
              <w:right w:val="nil"/>
            </w:tcBorders>
            <w:shd w:val="clear" w:color="auto" w:fill="auto"/>
            <w:vAlign w:val="center"/>
            <w:hideMark/>
          </w:tcPr>
          <w:p w14:paraId="78D7C783" w14:textId="77777777"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Milligrams of suspended solids per. liter of water.</w:t>
            </w:r>
          </w:p>
        </w:tc>
      </w:tr>
      <w:tr w:rsidR="00A11D2E" w:rsidRPr="00AD3B35" w14:paraId="6F8A466B" w14:textId="77777777" w:rsidTr="00AF74E5">
        <w:trPr>
          <w:trHeight w:val="360"/>
        </w:trPr>
        <w:tc>
          <w:tcPr>
            <w:tcW w:w="1121" w:type="pct"/>
            <w:tcBorders>
              <w:top w:val="nil"/>
              <w:left w:val="nil"/>
              <w:bottom w:val="nil"/>
              <w:right w:val="nil"/>
            </w:tcBorders>
            <w:shd w:val="clear" w:color="auto" w:fill="auto"/>
            <w:noWrap/>
            <w:vAlign w:val="center"/>
            <w:hideMark/>
          </w:tcPr>
          <w:p w14:paraId="76059C48" w14:textId="12B842EB"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Total </w:t>
            </w:r>
            <w:r w:rsidR="00914CA7">
              <w:rPr>
                <w:rFonts w:cstheme="minorHAnsi"/>
                <w:snapToGrid/>
                <w:color w:val="000000"/>
                <w:sz w:val="22"/>
                <w:szCs w:val="22"/>
              </w:rPr>
              <w:t>V</w:t>
            </w:r>
            <w:r w:rsidRPr="00020499">
              <w:rPr>
                <w:rFonts w:cstheme="minorHAnsi"/>
                <w:snapToGrid/>
                <w:color w:val="000000"/>
                <w:sz w:val="22"/>
                <w:szCs w:val="22"/>
              </w:rPr>
              <w:t xml:space="preserve">olatile </w:t>
            </w:r>
            <w:r w:rsidR="00914CA7">
              <w:rPr>
                <w:rFonts w:cstheme="minorHAnsi"/>
                <w:snapToGrid/>
                <w:color w:val="000000"/>
                <w:sz w:val="22"/>
                <w:szCs w:val="22"/>
              </w:rPr>
              <w:t>S</w:t>
            </w:r>
            <w:r w:rsidRPr="00020499">
              <w:rPr>
                <w:rFonts w:cstheme="minorHAnsi"/>
                <w:snapToGrid/>
                <w:color w:val="000000"/>
                <w:sz w:val="22"/>
                <w:szCs w:val="22"/>
              </w:rPr>
              <w:t xml:space="preserve">uspended </w:t>
            </w:r>
            <w:r w:rsidR="00914CA7">
              <w:rPr>
                <w:rFonts w:cstheme="minorHAnsi"/>
                <w:snapToGrid/>
                <w:color w:val="000000"/>
                <w:sz w:val="22"/>
                <w:szCs w:val="22"/>
              </w:rPr>
              <w:t>S</w:t>
            </w:r>
            <w:r w:rsidRPr="00020499">
              <w:rPr>
                <w:rFonts w:cstheme="minorHAnsi"/>
                <w:snapToGrid/>
                <w:color w:val="000000"/>
                <w:sz w:val="22"/>
                <w:szCs w:val="22"/>
              </w:rPr>
              <w:t>olids</w:t>
            </w:r>
          </w:p>
        </w:tc>
        <w:tc>
          <w:tcPr>
            <w:tcW w:w="522" w:type="pct"/>
            <w:tcBorders>
              <w:top w:val="nil"/>
              <w:left w:val="nil"/>
              <w:bottom w:val="nil"/>
              <w:right w:val="nil"/>
            </w:tcBorders>
            <w:shd w:val="clear" w:color="auto" w:fill="auto"/>
            <w:noWrap/>
            <w:vAlign w:val="center"/>
            <w:hideMark/>
          </w:tcPr>
          <w:p w14:paraId="5049674C"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TVS</w:t>
            </w:r>
          </w:p>
        </w:tc>
        <w:tc>
          <w:tcPr>
            <w:tcW w:w="606" w:type="pct"/>
            <w:tcBorders>
              <w:top w:val="nil"/>
              <w:left w:val="nil"/>
              <w:bottom w:val="nil"/>
              <w:right w:val="nil"/>
            </w:tcBorders>
            <w:shd w:val="clear" w:color="auto" w:fill="auto"/>
            <w:noWrap/>
            <w:vAlign w:val="center"/>
            <w:hideMark/>
          </w:tcPr>
          <w:p w14:paraId="2B0CB33D"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mg/L</w:t>
            </w:r>
          </w:p>
        </w:tc>
        <w:tc>
          <w:tcPr>
            <w:tcW w:w="2751" w:type="pct"/>
            <w:tcBorders>
              <w:top w:val="nil"/>
              <w:left w:val="nil"/>
              <w:bottom w:val="nil"/>
              <w:right w:val="nil"/>
            </w:tcBorders>
            <w:shd w:val="clear" w:color="auto" w:fill="auto"/>
            <w:vAlign w:val="center"/>
            <w:hideMark/>
          </w:tcPr>
          <w:p w14:paraId="214502D4" w14:textId="77777777"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Milligrams of volatile suspended solids per. liter of water.</w:t>
            </w:r>
          </w:p>
        </w:tc>
      </w:tr>
      <w:tr w:rsidR="00A11D2E" w:rsidRPr="00AD3B35" w14:paraId="2746C0D8" w14:textId="77777777" w:rsidTr="00F5643A">
        <w:trPr>
          <w:trHeight w:val="360"/>
        </w:trPr>
        <w:tc>
          <w:tcPr>
            <w:tcW w:w="1121" w:type="pct"/>
            <w:tcBorders>
              <w:top w:val="nil"/>
              <w:left w:val="nil"/>
              <w:right w:val="nil"/>
            </w:tcBorders>
            <w:shd w:val="clear" w:color="auto" w:fill="auto"/>
            <w:noWrap/>
            <w:vAlign w:val="center"/>
            <w:hideMark/>
          </w:tcPr>
          <w:p w14:paraId="26BC7B0C" w14:textId="77340B0F" w:rsidR="00A11D2E" w:rsidRPr="00020499" w:rsidRDefault="00F37C3E">
            <w:pPr>
              <w:widowControl/>
              <w:jc w:val="center"/>
              <w:rPr>
                <w:rFonts w:cstheme="minorHAnsi"/>
                <w:bCs/>
                <w:snapToGrid/>
                <w:color w:val="000000"/>
                <w:sz w:val="22"/>
                <w:szCs w:val="22"/>
              </w:rPr>
            </w:pPr>
            <w:r>
              <w:rPr>
                <w:rFonts w:cstheme="minorHAnsi"/>
                <w:snapToGrid/>
                <w:color w:val="000000"/>
                <w:sz w:val="22"/>
                <w:szCs w:val="22"/>
              </w:rPr>
              <w:t xml:space="preserve">Surface </w:t>
            </w:r>
            <w:r w:rsidR="00A11D2E" w:rsidRPr="00020499">
              <w:rPr>
                <w:rFonts w:cstheme="minorHAnsi"/>
                <w:snapToGrid/>
                <w:color w:val="000000"/>
                <w:sz w:val="22"/>
                <w:szCs w:val="22"/>
              </w:rPr>
              <w:t xml:space="preserve">Water </w:t>
            </w:r>
            <w:r w:rsidR="00914CA7">
              <w:rPr>
                <w:rFonts w:cstheme="minorHAnsi"/>
                <w:snapToGrid/>
                <w:color w:val="000000"/>
                <w:sz w:val="22"/>
                <w:szCs w:val="22"/>
              </w:rPr>
              <w:t>T</w:t>
            </w:r>
            <w:r w:rsidR="00A11D2E" w:rsidRPr="00020499">
              <w:rPr>
                <w:rFonts w:cstheme="minorHAnsi"/>
                <w:snapToGrid/>
                <w:color w:val="000000"/>
                <w:sz w:val="22"/>
                <w:szCs w:val="22"/>
              </w:rPr>
              <w:t>emperature</w:t>
            </w:r>
          </w:p>
        </w:tc>
        <w:tc>
          <w:tcPr>
            <w:tcW w:w="522" w:type="pct"/>
            <w:tcBorders>
              <w:top w:val="nil"/>
              <w:left w:val="nil"/>
              <w:right w:val="nil"/>
            </w:tcBorders>
            <w:shd w:val="clear" w:color="auto" w:fill="auto"/>
            <w:noWrap/>
            <w:vAlign w:val="center"/>
            <w:hideMark/>
          </w:tcPr>
          <w:p w14:paraId="27C93EB9"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CTEMP</w:t>
            </w:r>
          </w:p>
        </w:tc>
        <w:tc>
          <w:tcPr>
            <w:tcW w:w="606" w:type="pct"/>
            <w:tcBorders>
              <w:top w:val="nil"/>
              <w:left w:val="nil"/>
              <w:right w:val="nil"/>
            </w:tcBorders>
            <w:shd w:val="clear" w:color="auto" w:fill="auto"/>
            <w:noWrap/>
            <w:vAlign w:val="center"/>
            <w:hideMark/>
          </w:tcPr>
          <w:p w14:paraId="6E77FDFF"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 xml:space="preserve"> °C </w:t>
            </w:r>
          </w:p>
        </w:tc>
        <w:tc>
          <w:tcPr>
            <w:tcW w:w="2751" w:type="pct"/>
            <w:tcBorders>
              <w:top w:val="nil"/>
              <w:left w:val="nil"/>
              <w:right w:val="nil"/>
            </w:tcBorders>
            <w:shd w:val="clear" w:color="auto" w:fill="auto"/>
            <w:vAlign w:val="center"/>
            <w:hideMark/>
          </w:tcPr>
          <w:p w14:paraId="0C5801B9" w14:textId="77777777"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Degrees Celsius at the surface, between 0.0 and 1.0 meters.</w:t>
            </w:r>
          </w:p>
        </w:tc>
      </w:tr>
      <w:tr w:rsidR="00A11D2E" w:rsidRPr="00AD3B35" w14:paraId="5AD618CC" w14:textId="77777777" w:rsidTr="00F5643A">
        <w:trPr>
          <w:trHeight w:val="360"/>
        </w:trPr>
        <w:tc>
          <w:tcPr>
            <w:tcW w:w="1121" w:type="pct"/>
            <w:tcBorders>
              <w:top w:val="nil"/>
              <w:left w:val="nil"/>
              <w:bottom w:val="single" w:sz="12" w:space="0" w:color="auto"/>
              <w:right w:val="nil"/>
            </w:tcBorders>
            <w:shd w:val="clear" w:color="auto" w:fill="auto"/>
            <w:noWrap/>
            <w:vAlign w:val="center"/>
            <w:hideMark/>
          </w:tcPr>
          <w:p w14:paraId="6060DF81"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Turbidity</w:t>
            </w:r>
          </w:p>
        </w:tc>
        <w:tc>
          <w:tcPr>
            <w:tcW w:w="522" w:type="pct"/>
            <w:tcBorders>
              <w:top w:val="nil"/>
              <w:left w:val="nil"/>
              <w:bottom w:val="single" w:sz="12" w:space="0" w:color="auto"/>
              <w:right w:val="nil"/>
            </w:tcBorders>
            <w:shd w:val="clear" w:color="auto" w:fill="auto"/>
            <w:noWrap/>
            <w:vAlign w:val="center"/>
            <w:hideMark/>
          </w:tcPr>
          <w:p w14:paraId="7F6B4B2D"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TURB</w:t>
            </w:r>
          </w:p>
        </w:tc>
        <w:tc>
          <w:tcPr>
            <w:tcW w:w="606" w:type="pct"/>
            <w:tcBorders>
              <w:top w:val="nil"/>
              <w:left w:val="nil"/>
              <w:bottom w:val="single" w:sz="12" w:space="0" w:color="auto"/>
              <w:right w:val="nil"/>
            </w:tcBorders>
            <w:shd w:val="clear" w:color="auto" w:fill="auto"/>
            <w:noWrap/>
            <w:vAlign w:val="center"/>
            <w:hideMark/>
          </w:tcPr>
          <w:p w14:paraId="522FEC17" w14:textId="77777777" w:rsidR="00A11D2E" w:rsidRPr="00020499" w:rsidRDefault="00A11D2E">
            <w:pPr>
              <w:widowControl/>
              <w:jc w:val="center"/>
              <w:rPr>
                <w:rFonts w:cstheme="minorHAnsi"/>
                <w:bCs/>
                <w:snapToGrid/>
                <w:color w:val="000000"/>
                <w:sz w:val="22"/>
                <w:szCs w:val="22"/>
              </w:rPr>
            </w:pPr>
            <w:r w:rsidRPr="00020499">
              <w:rPr>
                <w:rFonts w:cstheme="minorHAnsi"/>
                <w:snapToGrid/>
                <w:color w:val="000000"/>
                <w:sz w:val="22"/>
                <w:szCs w:val="22"/>
              </w:rPr>
              <w:t>NTU</w:t>
            </w:r>
          </w:p>
        </w:tc>
        <w:tc>
          <w:tcPr>
            <w:tcW w:w="2751" w:type="pct"/>
            <w:tcBorders>
              <w:top w:val="nil"/>
              <w:left w:val="nil"/>
              <w:bottom w:val="single" w:sz="12" w:space="0" w:color="auto"/>
              <w:right w:val="nil"/>
            </w:tcBorders>
            <w:shd w:val="clear" w:color="auto" w:fill="auto"/>
            <w:vAlign w:val="center"/>
            <w:hideMark/>
          </w:tcPr>
          <w:p w14:paraId="13811A2E" w14:textId="77777777" w:rsidR="00A11D2E" w:rsidRPr="00020499" w:rsidRDefault="00A11D2E">
            <w:pPr>
              <w:widowControl/>
              <w:rPr>
                <w:rFonts w:cstheme="minorHAnsi"/>
                <w:bCs/>
                <w:snapToGrid/>
                <w:color w:val="000000"/>
                <w:sz w:val="22"/>
                <w:szCs w:val="22"/>
              </w:rPr>
            </w:pPr>
            <w:r w:rsidRPr="00020499">
              <w:rPr>
                <w:rFonts w:cstheme="minorHAnsi"/>
                <w:snapToGrid/>
                <w:color w:val="000000"/>
                <w:sz w:val="22"/>
                <w:szCs w:val="22"/>
              </w:rPr>
              <w:t>Nephelometric Turbidity Units; a measure of light scattering.</w:t>
            </w:r>
          </w:p>
        </w:tc>
      </w:tr>
    </w:tbl>
    <w:p w14:paraId="62822BE4" w14:textId="77777777" w:rsidR="00A11D2E" w:rsidRPr="00AD3B35" w:rsidRDefault="00A11D2E" w:rsidP="00A11D2E">
      <w:pPr>
        <w:rPr>
          <w:rFonts w:cstheme="minorHAnsi"/>
        </w:rPr>
      </w:pPr>
    </w:p>
    <w:p w14:paraId="7D020613" w14:textId="1DAA034A" w:rsidR="000C1306" w:rsidRDefault="000C1306">
      <w:pPr>
        <w:widowControl/>
        <w:spacing w:after="160" w:line="259" w:lineRule="auto"/>
        <w:rPr>
          <w:rFonts w:cstheme="minorHAnsi"/>
        </w:rPr>
      </w:pPr>
      <w:r>
        <w:rPr>
          <w:rFonts w:cstheme="minorHAnsi"/>
        </w:rPr>
        <w:br w:type="page"/>
      </w:r>
    </w:p>
    <w:p w14:paraId="1E268B2F" w14:textId="06AF4C56" w:rsidR="00415916" w:rsidRDefault="00724F63" w:rsidP="00330EBC">
      <w:pPr>
        <w:pStyle w:val="BodyTextIndent"/>
        <w:keepNext/>
        <w:ind w:left="720" w:firstLine="0"/>
        <w:jc w:val="left"/>
      </w:pPr>
      <w:r w:rsidRPr="00620497">
        <w:rPr>
          <w:rFonts w:cstheme="minorHAnsi"/>
          <w:i/>
          <w:noProof/>
          <w:sz w:val="22"/>
        </w:rPr>
        <w:lastRenderedPageBreak/>
        <mc:AlternateContent>
          <mc:Choice Requires="wps">
            <w:drawing>
              <wp:anchor distT="45720" distB="45720" distL="114300" distR="114300" simplePos="0" relativeHeight="251658243" behindDoc="0" locked="0" layoutInCell="1" allowOverlap="1" wp14:anchorId="286DEC2F" wp14:editId="63A7EE32">
                <wp:simplePos x="0" y="0"/>
                <wp:positionH relativeFrom="margin">
                  <wp:posOffset>724619</wp:posOffset>
                </wp:positionH>
                <wp:positionV relativeFrom="paragraph">
                  <wp:posOffset>601333</wp:posOffset>
                </wp:positionV>
                <wp:extent cx="2360930" cy="1404620"/>
                <wp:effectExtent l="0" t="0" r="3810" b="0"/>
                <wp:wrapNone/>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AC51790" w14:textId="77777777" w:rsidR="005345C6" w:rsidRPr="005345C6" w:rsidRDefault="005345C6" w:rsidP="005345C6">
                            <w:r w:rsidRPr="005345C6">
                              <w:t>River Basin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6DEC2F" id="Text Box 217" o:spid="_x0000_s1031" type="#_x0000_t202" alt="&quot;&quot;" style="position:absolute;left:0;text-align:left;margin-left:57.05pt;margin-top:47.35pt;width:185.9pt;height:110.6pt;z-index:251658243;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xPA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" stroked="f">
                <v:textbox style="mso-fit-shape-to-text:t">
                  <w:txbxContent>
                    <w:p w14:paraId="7AC51790" w14:textId="77777777" w:rsidR="005345C6" w:rsidRPr="005345C6" w:rsidRDefault="005345C6" w:rsidP="005345C6">
                      <w:r w:rsidRPr="005345C6">
                        <w:t>River Basin</w:t>
                      </w:r>
                    </w:p>
                  </w:txbxContent>
                </v:textbox>
                <w10:wrap anchorx="margin"/>
              </v:shape>
            </w:pict>
          </mc:Fallback>
        </mc:AlternateContent>
      </w:r>
      <w:r w:rsidR="00330EBC">
        <w:rPr>
          <w:noProof/>
          <w:snapToGrid/>
          <w14:ligatures w14:val="standardContextual"/>
        </w:rPr>
        <w:drawing>
          <wp:inline distT="0" distB="0" distL="0" distR="0" wp14:anchorId="45814EF5" wp14:editId="3DFE9C79">
            <wp:extent cx="7905606" cy="5115464"/>
            <wp:effectExtent l="0" t="0" r="635" b="9525"/>
            <wp:docPr id="229577313" name="Picture 1" descr="Map&#10;&#10;Figure 4.7 1. Water quality monitoring stations presented by major river basin included in the 2024 trends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77313" name="Picture 1" descr="Map&#10;&#10;Figure 4.7 1. Water quality monitoring stations presented by major river basin included in the 2024 trends analysis."/>
                    <pic:cNvPicPr/>
                  </pic:nvPicPr>
                  <pic:blipFill>
                    <a:blip r:embed="rId215" cstate="print">
                      <a:extLst>
                        <a:ext uri="{28A0092B-C50C-407E-A947-70E740481C1C}">
                          <a14:useLocalDpi xmlns:a14="http://schemas.microsoft.com/office/drawing/2010/main"/>
                        </a:ext>
                      </a:extLst>
                    </a:blip>
                    <a:stretch>
                      <a:fillRect/>
                    </a:stretch>
                  </pic:blipFill>
                  <pic:spPr>
                    <a:xfrm>
                      <a:off x="0" y="0"/>
                      <a:ext cx="7964451" cy="5153541"/>
                    </a:xfrm>
                    <a:prstGeom prst="rect">
                      <a:avLst/>
                    </a:prstGeom>
                  </pic:spPr>
                </pic:pic>
              </a:graphicData>
            </a:graphic>
          </wp:inline>
        </w:drawing>
      </w:r>
    </w:p>
    <w:p w14:paraId="0AD80D78" w14:textId="1B340463" w:rsidR="006D5E78" w:rsidRPr="0062574F" w:rsidRDefault="00415916" w:rsidP="0A5BE548">
      <w:pPr>
        <w:pStyle w:val="Caption"/>
        <w:jc w:val="both"/>
        <w:rPr>
          <w:rFonts w:cstheme="minorBidi"/>
          <w:i/>
        </w:rPr>
      </w:pPr>
      <w:bookmarkStart w:id="331" w:name="_Toc164175124"/>
      <w:bookmarkStart w:id="332" w:name="_Toc152766299"/>
      <w:r w:rsidRPr="0A5BE548">
        <w:t xml:space="preserve">Figure </w:t>
      </w:r>
      <w:r w:rsidR="00E429BB">
        <w:rPr>
          <w:szCs w:val="20"/>
        </w:rPr>
        <w:fldChar w:fldCharType="begin"/>
      </w:r>
      <w:r w:rsidR="00E429BB">
        <w:rPr>
          <w:szCs w:val="20"/>
        </w:rPr>
        <w:instrText xml:space="preserve"> STYLEREF 2 \s </w:instrText>
      </w:r>
      <w:r w:rsidR="00E429BB">
        <w:rPr>
          <w:szCs w:val="20"/>
        </w:rPr>
        <w:fldChar w:fldCharType="separate"/>
      </w:r>
      <w:r w:rsidR="00E429BB" w:rsidRPr="0A5BE548">
        <w:rPr>
          <w:noProof/>
        </w:rPr>
        <w:t>4.7</w:t>
      </w:r>
      <w:r w:rsidR="00E429BB">
        <w:rPr>
          <w:szCs w:val="20"/>
        </w:rPr>
        <w:fldChar w:fldCharType="end"/>
      </w:r>
      <w:r w:rsidR="00E429BB">
        <w:rPr>
          <w:szCs w:val="20"/>
        </w:rPr>
        <w:noBreakHyphen/>
      </w:r>
      <w:r w:rsidR="00E429BB">
        <w:rPr>
          <w:szCs w:val="20"/>
        </w:rPr>
        <w:fldChar w:fldCharType="begin"/>
      </w:r>
      <w:r w:rsidR="00E429BB">
        <w:rPr>
          <w:szCs w:val="20"/>
        </w:rPr>
        <w:instrText xml:space="preserve"> SEQ Figure \* ARABIC \s 2 </w:instrText>
      </w:r>
      <w:r w:rsidR="00E429BB">
        <w:rPr>
          <w:szCs w:val="20"/>
        </w:rPr>
        <w:fldChar w:fldCharType="separate"/>
      </w:r>
      <w:r w:rsidR="00E429BB" w:rsidRPr="0A5BE548">
        <w:rPr>
          <w:noProof/>
        </w:rPr>
        <w:t>1</w:t>
      </w:r>
      <w:r w:rsidR="00E429BB">
        <w:rPr>
          <w:szCs w:val="20"/>
        </w:rPr>
        <w:fldChar w:fldCharType="end"/>
      </w:r>
      <w:r w:rsidRPr="00F432F6">
        <w:rPr>
          <w:szCs w:val="20"/>
        </w:rPr>
        <w:t xml:space="preserve">. </w:t>
      </w:r>
      <w:r w:rsidRPr="0A5BE548">
        <w:rPr>
          <w:rFonts w:cstheme="minorBidi"/>
        </w:rPr>
        <w:t xml:space="preserve">Water quality monitoring stations </w:t>
      </w:r>
      <w:r w:rsidR="00522549" w:rsidRPr="0A5BE548">
        <w:rPr>
          <w:rFonts w:cstheme="minorBidi"/>
        </w:rPr>
        <w:t>presented by major river basin</w:t>
      </w:r>
      <w:r w:rsidR="09602D0F" w:rsidRPr="0A5BE548">
        <w:rPr>
          <w:rFonts w:cstheme="minorBidi"/>
        </w:rPr>
        <w:t xml:space="preserve"> </w:t>
      </w:r>
      <w:bookmarkEnd w:id="331"/>
      <w:proofErr w:type="gramStart"/>
      <w:r w:rsidRPr="0A5BE548">
        <w:rPr>
          <w:rFonts w:cstheme="minorBidi"/>
        </w:rPr>
        <w:t>included</w:t>
      </w:r>
      <w:proofErr w:type="gramEnd"/>
      <w:r w:rsidRPr="0A5BE548">
        <w:rPr>
          <w:rFonts w:cstheme="minorBidi"/>
        </w:rPr>
        <w:t xml:space="preserve"> in the 2024 trends </w:t>
      </w:r>
      <w:r w:rsidR="00F432F6" w:rsidRPr="0A5BE548">
        <w:rPr>
          <w:rFonts w:cstheme="minorBidi"/>
        </w:rPr>
        <w:t>analysis.</w:t>
      </w:r>
      <w:bookmarkEnd w:id="332"/>
    </w:p>
    <w:p w14:paraId="1D8963F3" w14:textId="6675F3C1" w:rsidR="00A11D2E" w:rsidRPr="00AD3B35" w:rsidRDefault="00A11D2E" w:rsidP="00F432F6">
      <w:pPr>
        <w:pStyle w:val="BodyTextIndent"/>
        <w:jc w:val="left"/>
        <w:rPr>
          <w:rFonts w:cstheme="minorHAnsi"/>
          <w:b/>
          <w:bCs/>
          <w:iCs/>
          <w:sz w:val="22"/>
        </w:rPr>
        <w:sectPr w:rsidR="00A11D2E" w:rsidRPr="00AD3B35" w:rsidSect="009079C4">
          <w:pgSz w:w="15840" w:h="12240" w:orient="landscape" w:code="1"/>
          <w:pgMar w:top="1440" w:right="1440" w:bottom="1440" w:left="1440" w:header="720" w:footer="720" w:gutter="0"/>
          <w:cols w:space="720"/>
          <w:docGrid w:linePitch="360"/>
        </w:sectPr>
      </w:pPr>
    </w:p>
    <w:p w14:paraId="44FF1D23" w14:textId="5D0AE7BD" w:rsidR="005E3636" w:rsidRPr="005E3636" w:rsidRDefault="00F432F6" w:rsidP="0A5BE548">
      <w:pPr>
        <w:pStyle w:val="Caption"/>
        <w:keepNext/>
        <w:rPr>
          <w:rFonts w:cstheme="minorBidi"/>
          <w:specVanish/>
        </w:rPr>
      </w:pPr>
      <w:bookmarkStart w:id="333" w:name="_Ref532288604"/>
      <w:bookmarkStart w:id="334" w:name="_Ref531243116"/>
      <w:bookmarkStart w:id="335" w:name="_Toc164175223"/>
      <w:bookmarkEnd w:id="333"/>
      <w:bookmarkEnd w:id="334"/>
      <w:r>
        <w:lastRenderedPageBreak/>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w:t>
      </w:r>
      <w:r w:rsidR="004F13BA">
        <w:rPr>
          <w:noProof/>
        </w:rPr>
        <w:fldChar w:fldCharType="end"/>
      </w:r>
      <w:r>
        <w:t xml:space="preserve">. </w:t>
      </w:r>
      <w:r w:rsidRPr="0A5BE548">
        <w:rPr>
          <w:rFonts w:cstheme="minorBidi"/>
        </w:rPr>
        <w:t>Long-term trend monitoring stations</w:t>
      </w:r>
      <w:bookmarkEnd w:id="335"/>
      <w:r w:rsidRPr="0A5BE548">
        <w:rPr>
          <w:rFonts w:cstheme="minorBidi"/>
        </w:rPr>
        <w:t xml:space="preserve"> (413 total stations) </w:t>
      </w:r>
      <w:proofErr w:type="gramStart"/>
      <w:r w:rsidRPr="0A5BE548">
        <w:rPr>
          <w:rFonts w:cstheme="minorBidi"/>
        </w:rPr>
        <w:t>summarized</w:t>
      </w:r>
      <w:proofErr w:type="gramEnd"/>
      <w:r w:rsidRPr="0A5BE548">
        <w:rPr>
          <w:rFonts w:cstheme="minorBidi"/>
        </w:rPr>
        <w:t xml:space="preserve"> by water body type and basin, 130 estuary, 26 reservoir, 257 stream</w:t>
      </w:r>
      <w:r w:rsidR="00166B77" w:rsidRPr="0A5BE548">
        <w:rPr>
          <w:rFonts w:cstheme="minorBidi"/>
        </w:rPr>
        <w:t>, 2003 through 2022.</w:t>
      </w:r>
    </w:p>
    <w:tbl>
      <w:tblPr>
        <w:tblStyle w:val="TableGrid"/>
        <w:tblW w:w="0" w:type="auto"/>
        <w:tblLook w:val="04A0" w:firstRow="1" w:lastRow="0" w:firstColumn="1" w:lastColumn="0" w:noHBand="0" w:noVBand="1"/>
        <w:tblCaption w:val="Table of Long-term trend monitoring stations (413 total stations) summarized by water body type and basin, 130 estuary, 26 reservoir, 257 stream."/>
        <w:tblDescription w:val="Long-term trend monitoring stations (413 total stations) summarized by water body type and basin, 130 estuary, 26 reservoir, 257 stream."/>
      </w:tblPr>
      <w:tblGrid>
        <w:gridCol w:w="3116"/>
        <w:gridCol w:w="3117"/>
        <w:gridCol w:w="3117"/>
      </w:tblGrid>
      <w:tr w:rsidR="00A64B85" w14:paraId="6A117D1D" w14:textId="77777777" w:rsidTr="00114E96">
        <w:trPr>
          <w:trHeight w:val="360"/>
        </w:trPr>
        <w:tc>
          <w:tcPr>
            <w:tcW w:w="3116" w:type="dxa"/>
            <w:tcBorders>
              <w:top w:val="single" w:sz="12" w:space="0" w:color="auto"/>
              <w:left w:val="nil"/>
              <w:bottom w:val="single" w:sz="2" w:space="0" w:color="auto"/>
              <w:right w:val="nil"/>
            </w:tcBorders>
            <w:vAlign w:val="center"/>
          </w:tcPr>
          <w:p w14:paraId="469944EF" w14:textId="77777777" w:rsidR="00A64B85" w:rsidRPr="00114E96" w:rsidRDefault="00A64B85" w:rsidP="00114E96">
            <w:pPr>
              <w:jc w:val="center"/>
              <w:rPr>
                <w:rFonts w:cstheme="minorHAnsi"/>
                <w:b/>
                <w:bCs/>
                <w:sz w:val="22"/>
                <w:szCs w:val="22"/>
              </w:rPr>
            </w:pPr>
            <w:r w:rsidRPr="00114E96">
              <w:rPr>
                <w:rFonts w:cstheme="minorHAnsi"/>
                <w:b/>
                <w:bCs/>
                <w:sz w:val="22"/>
                <w:szCs w:val="22"/>
              </w:rPr>
              <w:t>Basin</w:t>
            </w:r>
          </w:p>
        </w:tc>
        <w:tc>
          <w:tcPr>
            <w:tcW w:w="3117" w:type="dxa"/>
            <w:tcBorders>
              <w:top w:val="single" w:sz="12" w:space="0" w:color="auto"/>
              <w:left w:val="nil"/>
              <w:bottom w:val="single" w:sz="2" w:space="0" w:color="auto"/>
              <w:right w:val="nil"/>
            </w:tcBorders>
            <w:vAlign w:val="center"/>
          </w:tcPr>
          <w:p w14:paraId="00F65E25" w14:textId="77777777" w:rsidR="00A64B85" w:rsidRPr="00114E96" w:rsidRDefault="00A64B85" w:rsidP="00114E96">
            <w:pPr>
              <w:jc w:val="center"/>
              <w:rPr>
                <w:rFonts w:cstheme="minorHAnsi"/>
                <w:b/>
                <w:bCs/>
                <w:sz w:val="22"/>
                <w:szCs w:val="22"/>
              </w:rPr>
            </w:pPr>
            <w:r w:rsidRPr="00114E96">
              <w:rPr>
                <w:rFonts w:cstheme="minorHAnsi"/>
                <w:b/>
                <w:bCs/>
                <w:sz w:val="22"/>
                <w:szCs w:val="22"/>
              </w:rPr>
              <w:t>Water Body Type</w:t>
            </w:r>
          </w:p>
        </w:tc>
        <w:tc>
          <w:tcPr>
            <w:tcW w:w="3117" w:type="dxa"/>
            <w:tcBorders>
              <w:top w:val="single" w:sz="12" w:space="0" w:color="auto"/>
              <w:left w:val="nil"/>
              <w:bottom w:val="single" w:sz="2" w:space="0" w:color="auto"/>
              <w:right w:val="nil"/>
            </w:tcBorders>
            <w:vAlign w:val="center"/>
          </w:tcPr>
          <w:p w14:paraId="06865257" w14:textId="77777777" w:rsidR="00A64B85" w:rsidRPr="00114E96" w:rsidRDefault="00A64B85" w:rsidP="00114E96">
            <w:pPr>
              <w:jc w:val="center"/>
              <w:rPr>
                <w:rFonts w:cstheme="minorHAnsi"/>
                <w:b/>
                <w:bCs/>
                <w:sz w:val="22"/>
                <w:szCs w:val="22"/>
              </w:rPr>
            </w:pPr>
            <w:r w:rsidRPr="00114E96">
              <w:rPr>
                <w:rFonts w:cstheme="minorHAnsi"/>
                <w:b/>
                <w:bCs/>
                <w:sz w:val="22"/>
                <w:szCs w:val="22"/>
              </w:rPr>
              <w:t>Number of Stations</w:t>
            </w:r>
          </w:p>
        </w:tc>
      </w:tr>
      <w:tr w:rsidR="00A64B85" w14:paraId="2E10790C" w14:textId="77777777" w:rsidTr="00E75984">
        <w:tc>
          <w:tcPr>
            <w:tcW w:w="3116" w:type="dxa"/>
            <w:vMerge w:val="restart"/>
            <w:tcBorders>
              <w:top w:val="single" w:sz="2" w:space="0" w:color="auto"/>
              <w:left w:val="nil"/>
              <w:bottom w:val="nil"/>
              <w:right w:val="nil"/>
            </w:tcBorders>
            <w:vAlign w:val="center"/>
          </w:tcPr>
          <w:p w14:paraId="3BF9BF00" w14:textId="77777777" w:rsidR="00A64B85" w:rsidRPr="00114E96" w:rsidRDefault="00A64B85">
            <w:pPr>
              <w:jc w:val="center"/>
              <w:rPr>
                <w:rFonts w:cstheme="minorHAnsi"/>
                <w:sz w:val="22"/>
                <w:szCs w:val="22"/>
              </w:rPr>
            </w:pPr>
            <w:r w:rsidRPr="00114E96">
              <w:rPr>
                <w:rFonts w:cstheme="minorHAnsi"/>
                <w:sz w:val="22"/>
                <w:szCs w:val="22"/>
              </w:rPr>
              <w:t>Chesapeake</w:t>
            </w:r>
          </w:p>
        </w:tc>
        <w:tc>
          <w:tcPr>
            <w:tcW w:w="3117" w:type="dxa"/>
            <w:tcBorders>
              <w:top w:val="single" w:sz="2" w:space="0" w:color="auto"/>
              <w:left w:val="nil"/>
              <w:bottom w:val="nil"/>
              <w:right w:val="nil"/>
            </w:tcBorders>
            <w:vAlign w:val="center"/>
          </w:tcPr>
          <w:p w14:paraId="77212815" w14:textId="77777777" w:rsidR="00A64B85" w:rsidRPr="00114E96" w:rsidRDefault="00A64B85" w:rsidP="00E75984">
            <w:pPr>
              <w:jc w:val="center"/>
              <w:rPr>
                <w:rFonts w:cstheme="minorHAnsi"/>
                <w:sz w:val="22"/>
                <w:szCs w:val="22"/>
              </w:rPr>
            </w:pPr>
            <w:r w:rsidRPr="00114E96">
              <w:rPr>
                <w:rFonts w:cstheme="minorHAnsi"/>
                <w:sz w:val="22"/>
                <w:szCs w:val="22"/>
              </w:rPr>
              <w:t>Estuary</w:t>
            </w:r>
          </w:p>
        </w:tc>
        <w:tc>
          <w:tcPr>
            <w:tcW w:w="3117" w:type="dxa"/>
            <w:tcBorders>
              <w:top w:val="single" w:sz="2" w:space="0" w:color="auto"/>
              <w:left w:val="nil"/>
              <w:bottom w:val="nil"/>
              <w:right w:val="nil"/>
            </w:tcBorders>
            <w:vAlign w:val="center"/>
          </w:tcPr>
          <w:p w14:paraId="4E0B999A" w14:textId="77777777" w:rsidR="00A64B85" w:rsidRPr="00114E96" w:rsidRDefault="00A64B85" w:rsidP="00E75984">
            <w:pPr>
              <w:jc w:val="center"/>
              <w:rPr>
                <w:rFonts w:cstheme="minorHAnsi"/>
                <w:sz w:val="22"/>
                <w:szCs w:val="22"/>
              </w:rPr>
            </w:pPr>
            <w:r w:rsidRPr="00114E96">
              <w:rPr>
                <w:rFonts w:cstheme="minorHAnsi"/>
                <w:sz w:val="22"/>
                <w:szCs w:val="22"/>
              </w:rPr>
              <w:t>29</w:t>
            </w:r>
          </w:p>
        </w:tc>
      </w:tr>
      <w:tr w:rsidR="00A64B85" w14:paraId="186095D4" w14:textId="77777777" w:rsidTr="00E75984">
        <w:tc>
          <w:tcPr>
            <w:tcW w:w="3116" w:type="dxa"/>
            <w:vMerge/>
            <w:tcBorders>
              <w:top w:val="nil"/>
              <w:left w:val="nil"/>
              <w:bottom w:val="single" w:sz="2" w:space="0" w:color="auto"/>
              <w:right w:val="nil"/>
            </w:tcBorders>
            <w:vAlign w:val="center"/>
          </w:tcPr>
          <w:p w14:paraId="49007B81" w14:textId="77777777" w:rsidR="00A64B85" w:rsidRPr="00114E96" w:rsidRDefault="00A64B85">
            <w:pPr>
              <w:jc w:val="center"/>
              <w:rPr>
                <w:rFonts w:cstheme="minorHAnsi"/>
                <w:sz w:val="22"/>
                <w:szCs w:val="22"/>
              </w:rPr>
            </w:pPr>
          </w:p>
        </w:tc>
        <w:tc>
          <w:tcPr>
            <w:tcW w:w="3117" w:type="dxa"/>
            <w:tcBorders>
              <w:top w:val="nil"/>
              <w:left w:val="nil"/>
              <w:bottom w:val="single" w:sz="2" w:space="0" w:color="auto"/>
              <w:right w:val="nil"/>
            </w:tcBorders>
            <w:vAlign w:val="center"/>
          </w:tcPr>
          <w:p w14:paraId="328EDBE8" w14:textId="77777777" w:rsidR="00A64B85" w:rsidRPr="00114E96" w:rsidRDefault="00A64B85" w:rsidP="00E75984">
            <w:pPr>
              <w:jc w:val="center"/>
              <w:rPr>
                <w:rFonts w:cstheme="minorHAnsi"/>
                <w:sz w:val="22"/>
                <w:szCs w:val="22"/>
              </w:rPr>
            </w:pPr>
            <w:r w:rsidRPr="00114E96">
              <w:rPr>
                <w:rFonts w:cstheme="minorHAnsi"/>
                <w:sz w:val="22"/>
                <w:szCs w:val="22"/>
              </w:rPr>
              <w:t>Stream</w:t>
            </w:r>
          </w:p>
        </w:tc>
        <w:tc>
          <w:tcPr>
            <w:tcW w:w="3117" w:type="dxa"/>
            <w:tcBorders>
              <w:top w:val="nil"/>
              <w:left w:val="nil"/>
              <w:bottom w:val="single" w:sz="2" w:space="0" w:color="auto"/>
              <w:right w:val="nil"/>
            </w:tcBorders>
            <w:vAlign w:val="center"/>
          </w:tcPr>
          <w:p w14:paraId="2D97172B" w14:textId="77777777" w:rsidR="00A64B85" w:rsidRPr="00114E96" w:rsidRDefault="00A64B85" w:rsidP="00E75984">
            <w:pPr>
              <w:jc w:val="center"/>
              <w:rPr>
                <w:rFonts w:cstheme="minorHAnsi"/>
                <w:sz w:val="22"/>
                <w:szCs w:val="22"/>
              </w:rPr>
            </w:pPr>
            <w:r w:rsidRPr="00114E96">
              <w:rPr>
                <w:rFonts w:cstheme="minorHAnsi"/>
                <w:sz w:val="22"/>
                <w:szCs w:val="22"/>
              </w:rPr>
              <w:t>5</w:t>
            </w:r>
          </w:p>
        </w:tc>
      </w:tr>
      <w:tr w:rsidR="00A64B85" w14:paraId="447AEB1E" w14:textId="77777777" w:rsidTr="00E75984">
        <w:tc>
          <w:tcPr>
            <w:tcW w:w="3116" w:type="dxa"/>
            <w:vMerge w:val="restart"/>
            <w:tcBorders>
              <w:top w:val="single" w:sz="2" w:space="0" w:color="auto"/>
              <w:left w:val="nil"/>
              <w:bottom w:val="nil"/>
              <w:right w:val="nil"/>
            </w:tcBorders>
            <w:vAlign w:val="center"/>
          </w:tcPr>
          <w:p w14:paraId="4C60AB40" w14:textId="277FC767" w:rsidR="00A64B85" w:rsidRPr="00114E96" w:rsidRDefault="00A64B85">
            <w:pPr>
              <w:jc w:val="center"/>
              <w:rPr>
                <w:rFonts w:cstheme="minorHAnsi"/>
                <w:sz w:val="22"/>
                <w:szCs w:val="22"/>
              </w:rPr>
            </w:pPr>
            <w:r w:rsidRPr="00114E96">
              <w:rPr>
                <w:rFonts w:cstheme="minorHAnsi"/>
                <w:sz w:val="22"/>
                <w:szCs w:val="22"/>
              </w:rPr>
              <w:t>Chowan</w:t>
            </w:r>
            <w:r w:rsidR="003F1F74">
              <w:rPr>
                <w:rFonts w:cstheme="minorHAnsi"/>
                <w:sz w:val="22"/>
                <w:szCs w:val="22"/>
              </w:rPr>
              <w:t xml:space="preserve"> and Dismal Swamp</w:t>
            </w:r>
          </w:p>
        </w:tc>
        <w:tc>
          <w:tcPr>
            <w:tcW w:w="3117" w:type="dxa"/>
            <w:tcBorders>
              <w:top w:val="single" w:sz="2" w:space="0" w:color="auto"/>
              <w:left w:val="nil"/>
              <w:bottom w:val="nil"/>
              <w:right w:val="nil"/>
            </w:tcBorders>
            <w:vAlign w:val="center"/>
          </w:tcPr>
          <w:p w14:paraId="339689CC" w14:textId="77777777" w:rsidR="00A64B85" w:rsidRPr="00114E96" w:rsidRDefault="00A64B85" w:rsidP="00E75984">
            <w:pPr>
              <w:jc w:val="center"/>
              <w:rPr>
                <w:rFonts w:cstheme="minorHAnsi"/>
                <w:sz w:val="22"/>
                <w:szCs w:val="22"/>
              </w:rPr>
            </w:pPr>
            <w:r w:rsidRPr="00114E96">
              <w:rPr>
                <w:rFonts w:cstheme="minorHAnsi"/>
                <w:sz w:val="22"/>
                <w:szCs w:val="22"/>
              </w:rPr>
              <w:t>Estuary</w:t>
            </w:r>
          </w:p>
        </w:tc>
        <w:tc>
          <w:tcPr>
            <w:tcW w:w="3117" w:type="dxa"/>
            <w:tcBorders>
              <w:top w:val="single" w:sz="2" w:space="0" w:color="auto"/>
              <w:left w:val="nil"/>
              <w:bottom w:val="nil"/>
              <w:right w:val="nil"/>
            </w:tcBorders>
            <w:vAlign w:val="center"/>
          </w:tcPr>
          <w:p w14:paraId="31311EE4" w14:textId="77777777" w:rsidR="00A64B85" w:rsidRPr="00114E96" w:rsidRDefault="00A64B85" w:rsidP="00E75984">
            <w:pPr>
              <w:jc w:val="center"/>
              <w:rPr>
                <w:rFonts w:cstheme="minorHAnsi"/>
                <w:sz w:val="22"/>
                <w:szCs w:val="22"/>
              </w:rPr>
            </w:pPr>
            <w:r w:rsidRPr="00114E96">
              <w:rPr>
                <w:rFonts w:cstheme="minorHAnsi"/>
                <w:sz w:val="22"/>
                <w:szCs w:val="22"/>
              </w:rPr>
              <w:t>8</w:t>
            </w:r>
          </w:p>
        </w:tc>
      </w:tr>
      <w:tr w:rsidR="00A64B85" w14:paraId="57BDBD84" w14:textId="77777777" w:rsidTr="00E75984">
        <w:tc>
          <w:tcPr>
            <w:tcW w:w="3116" w:type="dxa"/>
            <w:vMerge/>
            <w:tcBorders>
              <w:top w:val="nil"/>
              <w:left w:val="nil"/>
              <w:bottom w:val="single" w:sz="2" w:space="0" w:color="auto"/>
              <w:right w:val="nil"/>
            </w:tcBorders>
            <w:vAlign w:val="center"/>
          </w:tcPr>
          <w:p w14:paraId="3A9AB305" w14:textId="77777777" w:rsidR="00A64B85" w:rsidRPr="00114E96" w:rsidRDefault="00A64B85">
            <w:pPr>
              <w:jc w:val="center"/>
              <w:rPr>
                <w:rFonts w:cstheme="minorHAnsi"/>
                <w:sz w:val="22"/>
                <w:szCs w:val="22"/>
              </w:rPr>
            </w:pPr>
          </w:p>
        </w:tc>
        <w:tc>
          <w:tcPr>
            <w:tcW w:w="3117" w:type="dxa"/>
            <w:tcBorders>
              <w:top w:val="nil"/>
              <w:left w:val="nil"/>
              <w:bottom w:val="single" w:sz="2" w:space="0" w:color="auto"/>
              <w:right w:val="nil"/>
            </w:tcBorders>
            <w:vAlign w:val="center"/>
          </w:tcPr>
          <w:p w14:paraId="5BD2877A" w14:textId="77777777" w:rsidR="00A64B85" w:rsidRPr="00114E96" w:rsidRDefault="00A64B85" w:rsidP="00E75984">
            <w:pPr>
              <w:jc w:val="center"/>
              <w:rPr>
                <w:rFonts w:cstheme="minorHAnsi"/>
                <w:sz w:val="22"/>
                <w:szCs w:val="22"/>
              </w:rPr>
            </w:pPr>
            <w:r w:rsidRPr="00114E96">
              <w:rPr>
                <w:rFonts w:cstheme="minorHAnsi"/>
                <w:sz w:val="22"/>
                <w:szCs w:val="22"/>
              </w:rPr>
              <w:t>Stream</w:t>
            </w:r>
          </w:p>
        </w:tc>
        <w:tc>
          <w:tcPr>
            <w:tcW w:w="3117" w:type="dxa"/>
            <w:tcBorders>
              <w:top w:val="nil"/>
              <w:left w:val="nil"/>
              <w:bottom w:val="single" w:sz="2" w:space="0" w:color="auto"/>
              <w:right w:val="nil"/>
            </w:tcBorders>
            <w:vAlign w:val="center"/>
          </w:tcPr>
          <w:p w14:paraId="36A44A28" w14:textId="77777777" w:rsidR="00A64B85" w:rsidRPr="00114E96" w:rsidRDefault="00A64B85" w:rsidP="00E75984">
            <w:pPr>
              <w:jc w:val="center"/>
              <w:rPr>
                <w:rFonts w:cstheme="minorHAnsi"/>
                <w:sz w:val="22"/>
                <w:szCs w:val="22"/>
              </w:rPr>
            </w:pPr>
            <w:r w:rsidRPr="00114E96">
              <w:rPr>
                <w:rFonts w:cstheme="minorHAnsi"/>
                <w:sz w:val="22"/>
                <w:szCs w:val="22"/>
              </w:rPr>
              <w:t>44</w:t>
            </w:r>
          </w:p>
        </w:tc>
      </w:tr>
      <w:tr w:rsidR="00A64B85" w14:paraId="11F904C2" w14:textId="77777777" w:rsidTr="00E75984">
        <w:tc>
          <w:tcPr>
            <w:tcW w:w="3116" w:type="dxa"/>
            <w:vMerge w:val="restart"/>
            <w:tcBorders>
              <w:top w:val="single" w:sz="2" w:space="0" w:color="auto"/>
              <w:left w:val="nil"/>
              <w:bottom w:val="nil"/>
              <w:right w:val="nil"/>
            </w:tcBorders>
            <w:vAlign w:val="center"/>
          </w:tcPr>
          <w:p w14:paraId="251C5AC1" w14:textId="77777777" w:rsidR="00A64B85" w:rsidRPr="00114E96" w:rsidRDefault="00A64B85">
            <w:pPr>
              <w:jc w:val="center"/>
              <w:rPr>
                <w:rFonts w:cstheme="minorHAnsi"/>
                <w:sz w:val="22"/>
                <w:szCs w:val="22"/>
              </w:rPr>
            </w:pPr>
            <w:r w:rsidRPr="00114E96">
              <w:rPr>
                <w:rFonts w:cstheme="minorHAnsi"/>
                <w:sz w:val="22"/>
                <w:szCs w:val="22"/>
              </w:rPr>
              <w:t>James</w:t>
            </w:r>
          </w:p>
        </w:tc>
        <w:tc>
          <w:tcPr>
            <w:tcW w:w="3117" w:type="dxa"/>
            <w:tcBorders>
              <w:top w:val="single" w:sz="2" w:space="0" w:color="auto"/>
              <w:left w:val="nil"/>
              <w:bottom w:val="nil"/>
              <w:right w:val="nil"/>
            </w:tcBorders>
            <w:vAlign w:val="center"/>
          </w:tcPr>
          <w:p w14:paraId="4BD263DF" w14:textId="77777777" w:rsidR="00A64B85" w:rsidRPr="00114E96" w:rsidRDefault="00A64B85" w:rsidP="00E75984">
            <w:pPr>
              <w:jc w:val="center"/>
              <w:rPr>
                <w:rFonts w:cstheme="minorHAnsi"/>
                <w:sz w:val="22"/>
                <w:szCs w:val="22"/>
              </w:rPr>
            </w:pPr>
            <w:r w:rsidRPr="00114E96">
              <w:rPr>
                <w:rFonts w:cstheme="minorHAnsi"/>
                <w:sz w:val="22"/>
                <w:szCs w:val="22"/>
              </w:rPr>
              <w:t>Estuary</w:t>
            </w:r>
          </w:p>
        </w:tc>
        <w:tc>
          <w:tcPr>
            <w:tcW w:w="3117" w:type="dxa"/>
            <w:tcBorders>
              <w:top w:val="single" w:sz="2" w:space="0" w:color="auto"/>
              <w:left w:val="nil"/>
              <w:bottom w:val="nil"/>
              <w:right w:val="nil"/>
            </w:tcBorders>
            <w:vAlign w:val="center"/>
          </w:tcPr>
          <w:p w14:paraId="614E3FF8" w14:textId="77777777" w:rsidR="00A64B85" w:rsidRPr="00114E96" w:rsidRDefault="00A64B85" w:rsidP="00E75984">
            <w:pPr>
              <w:jc w:val="center"/>
              <w:rPr>
                <w:rFonts w:cstheme="minorHAnsi"/>
                <w:sz w:val="22"/>
                <w:szCs w:val="22"/>
              </w:rPr>
            </w:pPr>
            <w:r w:rsidRPr="00114E96">
              <w:rPr>
                <w:rFonts w:cstheme="minorHAnsi"/>
                <w:sz w:val="22"/>
                <w:szCs w:val="22"/>
              </w:rPr>
              <w:t>44</w:t>
            </w:r>
          </w:p>
        </w:tc>
      </w:tr>
      <w:tr w:rsidR="00A64B85" w14:paraId="7CE1D5AD" w14:textId="77777777" w:rsidTr="00E75984">
        <w:tc>
          <w:tcPr>
            <w:tcW w:w="3116" w:type="dxa"/>
            <w:vMerge/>
            <w:tcBorders>
              <w:top w:val="nil"/>
              <w:left w:val="nil"/>
              <w:bottom w:val="single" w:sz="2" w:space="0" w:color="auto"/>
              <w:right w:val="nil"/>
            </w:tcBorders>
            <w:vAlign w:val="center"/>
          </w:tcPr>
          <w:p w14:paraId="19383D07" w14:textId="77777777" w:rsidR="00A64B85" w:rsidRPr="00114E96" w:rsidRDefault="00A64B85">
            <w:pPr>
              <w:jc w:val="center"/>
              <w:rPr>
                <w:rFonts w:cstheme="minorHAnsi"/>
                <w:sz w:val="22"/>
                <w:szCs w:val="22"/>
              </w:rPr>
            </w:pPr>
          </w:p>
        </w:tc>
        <w:tc>
          <w:tcPr>
            <w:tcW w:w="3117" w:type="dxa"/>
            <w:tcBorders>
              <w:top w:val="nil"/>
              <w:left w:val="nil"/>
              <w:bottom w:val="single" w:sz="2" w:space="0" w:color="auto"/>
              <w:right w:val="nil"/>
            </w:tcBorders>
            <w:vAlign w:val="center"/>
          </w:tcPr>
          <w:p w14:paraId="1D89F203" w14:textId="77777777" w:rsidR="00A64B85" w:rsidRPr="00114E96" w:rsidRDefault="00A64B85" w:rsidP="00E75984">
            <w:pPr>
              <w:jc w:val="center"/>
              <w:rPr>
                <w:rFonts w:cstheme="minorHAnsi"/>
                <w:sz w:val="22"/>
                <w:szCs w:val="22"/>
              </w:rPr>
            </w:pPr>
            <w:r w:rsidRPr="00114E96">
              <w:rPr>
                <w:rFonts w:cstheme="minorHAnsi"/>
                <w:sz w:val="22"/>
                <w:szCs w:val="22"/>
              </w:rPr>
              <w:t>Stream</w:t>
            </w:r>
          </w:p>
        </w:tc>
        <w:tc>
          <w:tcPr>
            <w:tcW w:w="3117" w:type="dxa"/>
            <w:tcBorders>
              <w:top w:val="nil"/>
              <w:left w:val="nil"/>
              <w:bottom w:val="single" w:sz="2" w:space="0" w:color="auto"/>
              <w:right w:val="nil"/>
            </w:tcBorders>
            <w:vAlign w:val="center"/>
          </w:tcPr>
          <w:p w14:paraId="501626F8" w14:textId="77777777" w:rsidR="00A64B85" w:rsidRPr="00114E96" w:rsidRDefault="00A64B85" w:rsidP="00E75984">
            <w:pPr>
              <w:jc w:val="center"/>
              <w:rPr>
                <w:rFonts w:cstheme="minorHAnsi"/>
                <w:sz w:val="22"/>
                <w:szCs w:val="22"/>
              </w:rPr>
            </w:pPr>
            <w:r w:rsidRPr="00114E96">
              <w:rPr>
                <w:rFonts w:cstheme="minorHAnsi"/>
                <w:sz w:val="22"/>
                <w:szCs w:val="22"/>
              </w:rPr>
              <w:t>48</w:t>
            </w:r>
          </w:p>
        </w:tc>
      </w:tr>
      <w:tr w:rsidR="00A64B85" w14:paraId="58F4CC37" w14:textId="77777777" w:rsidTr="00E75984">
        <w:tc>
          <w:tcPr>
            <w:tcW w:w="3116" w:type="dxa"/>
            <w:vMerge w:val="restart"/>
            <w:tcBorders>
              <w:top w:val="single" w:sz="2" w:space="0" w:color="auto"/>
              <w:left w:val="nil"/>
              <w:bottom w:val="nil"/>
              <w:right w:val="nil"/>
            </w:tcBorders>
            <w:vAlign w:val="center"/>
          </w:tcPr>
          <w:p w14:paraId="7ECF4907" w14:textId="77777777" w:rsidR="00A64B85" w:rsidRPr="00114E96" w:rsidRDefault="00A64B85">
            <w:pPr>
              <w:jc w:val="center"/>
              <w:rPr>
                <w:rFonts w:cstheme="minorHAnsi"/>
                <w:sz w:val="22"/>
                <w:szCs w:val="22"/>
              </w:rPr>
            </w:pPr>
            <w:r w:rsidRPr="00114E96">
              <w:rPr>
                <w:rFonts w:cstheme="minorHAnsi"/>
                <w:sz w:val="22"/>
                <w:szCs w:val="22"/>
              </w:rPr>
              <w:t>Potomac</w:t>
            </w:r>
          </w:p>
        </w:tc>
        <w:tc>
          <w:tcPr>
            <w:tcW w:w="3117" w:type="dxa"/>
            <w:tcBorders>
              <w:top w:val="single" w:sz="2" w:space="0" w:color="auto"/>
              <w:left w:val="nil"/>
              <w:bottom w:val="nil"/>
              <w:right w:val="nil"/>
            </w:tcBorders>
            <w:vAlign w:val="center"/>
          </w:tcPr>
          <w:p w14:paraId="7131830F" w14:textId="77777777" w:rsidR="00A64B85" w:rsidRPr="00114E96" w:rsidRDefault="00A64B85" w:rsidP="00E75984">
            <w:pPr>
              <w:jc w:val="center"/>
              <w:rPr>
                <w:rFonts w:cstheme="minorHAnsi"/>
                <w:sz w:val="22"/>
                <w:szCs w:val="22"/>
              </w:rPr>
            </w:pPr>
            <w:r w:rsidRPr="00114E96">
              <w:rPr>
                <w:rFonts w:cstheme="minorHAnsi"/>
                <w:sz w:val="22"/>
                <w:szCs w:val="22"/>
              </w:rPr>
              <w:t>Estuary</w:t>
            </w:r>
          </w:p>
        </w:tc>
        <w:tc>
          <w:tcPr>
            <w:tcW w:w="3117" w:type="dxa"/>
            <w:tcBorders>
              <w:top w:val="single" w:sz="2" w:space="0" w:color="auto"/>
              <w:left w:val="nil"/>
              <w:bottom w:val="nil"/>
              <w:right w:val="nil"/>
            </w:tcBorders>
            <w:vAlign w:val="center"/>
          </w:tcPr>
          <w:p w14:paraId="137DB77C" w14:textId="77777777" w:rsidR="00A64B85" w:rsidRPr="00114E96" w:rsidRDefault="00A64B85" w:rsidP="00E75984">
            <w:pPr>
              <w:jc w:val="center"/>
              <w:rPr>
                <w:rFonts w:cstheme="minorHAnsi"/>
                <w:sz w:val="22"/>
                <w:szCs w:val="22"/>
              </w:rPr>
            </w:pPr>
            <w:r w:rsidRPr="00114E96">
              <w:rPr>
                <w:rFonts w:cstheme="minorHAnsi"/>
                <w:sz w:val="22"/>
                <w:szCs w:val="22"/>
              </w:rPr>
              <w:t>18</w:t>
            </w:r>
          </w:p>
        </w:tc>
      </w:tr>
      <w:tr w:rsidR="00A64B85" w14:paraId="7F746FE5" w14:textId="77777777" w:rsidTr="00E75984">
        <w:tc>
          <w:tcPr>
            <w:tcW w:w="3116" w:type="dxa"/>
            <w:vMerge/>
            <w:tcBorders>
              <w:top w:val="nil"/>
              <w:left w:val="nil"/>
              <w:bottom w:val="single" w:sz="2" w:space="0" w:color="auto"/>
              <w:right w:val="nil"/>
            </w:tcBorders>
            <w:vAlign w:val="center"/>
          </w:tcPr>
          <w:p w14:paraId="424B2E5A" w14:textId="77777777" w:rsidR="00A64B85" w:rsidRPr="00114E96" w:rsidRDefault="00A64B85">
            <w:pPr>
              <w:jc w:val="center"/>
              <w:rPr>
                <w:rFonts w:cstheme="minorHAnsi"/>
                <w:sz w:val="22"/>
                <w:szCs w:val="22"/>
              </w:rPr>
            </w:pPr>
          </w:p>
        </w:tc>
        <w:tc>
          <w:tcPr>
            <w:tcW w:w="3117" w:type="dxa"/>
            <w:tcBorders>
              <w:top w:val="nil"/>
              <w:left w:val="nil"/>
              <w:bottom w:val="single" w:sz="2" w:space="0" w:color="auto"/>
              <w:right w:val="nil"/>
            </w:tcBorders>
            <w:vAlign w:val="center"/>
          </w:tcPr>
          <w:p w14:paraId="593DFA67" w14:textId="77777777" w:rsidR="00A64B85" w:rsidRPr="00114E96" w:rsidRDefault="00A64B85" w:rsidP="00E75984">
            <w:pPr>
              <w:jc w:val="center"/>
              <w:rPr>
                <w:rFonts w:cstheme="minorHAnsi"/>
                <w:sz w:val="22"/>
                <w:szCs w:val="22"/>
              </w:rPr>
            </w:pPr>
            <w:r w:rsidRPr="00114E96">
              <w:rPr>
                <w:rFonts w:cstheme="minorHAnsi"/>
                <w:sz w:val="22"/>
                <w:szCs w:val="22"/>
              </w:rPr>
              <w:t>Stream</w:t>
            </w:r>
          </w:p>
        </w:tc>
        <w:tc>
          <w:tcPr>
            <w:tcW w:w="3117" w:type="dxa"/>
            <w:tcBorders>
              <w:top w:val="nil"/>
              <w:left w:val="nil"/>
              <w:bottom w:val="single" w:sz="2" w:space="0" w:color="auto"/>
              <w:right w:val="nil"/>
            </w:tcBorders>
            <w:vAlign w:val="center"/>
          </w:tcPr>
          <w:p w14:paraId="39BC14BD" w14:textId="77777777" w:rsidR="00A64B85" w:rsidRPr="00114E96" w:rsidRDefault="00A64B85" w:rsidP="00E75984">
            <w:pPr>
              <w:jc w:val="center"/>
              <w:rPr>
                <w:rFonts w:cstheme="minorHAnsi"/>
                <w:sz w:val="22"/>
                <w:szCs w:val="22"/>
              </w:rPr>
            </w:pPr>
            <w:r w:rsidRPr="00114E96">
              <w:rPr>
                <w:rFonts w:cstheme="minorHAnsi"/>
                <w:sz w:val="22"/>
                <w:szCs w:val="22"/>
              </w:rPr>
              <w:t>27</w:t>
            </w:r>
          </w:p>
        </w:tc>
      </w:tr>
      <w:tr w:rsidR="00A64B85" w14:paraId="7F2DC006" w14:textId="77777777" w:rsidTr="00E75984">
        <w:tc>
          <w:tcPr>
            <w:tcW w:w="3116" w:type="dxa"/>
            <w:vMerge w:val="restart"/>
            <w:tcBorders>
              <w:top w:val="single" w:sz="2" w:space="0" w:color="auto"/>
              <w:left w:val="nil"/>
              <w:bottom w:val="nil"/>
              <w:right w:val="nil"/>
            </w:tcBorders>
            <w:vAlign w:val="center"/>
          </w:tcPr>
          <w:p w14:paraId="30F5B135" w14:textId="77777777" w:rsidR="00A64B85" w:rsidRPr="00114E96" w:rsidRDefault="00A64B85">
            <w:pPr>
              <w:jc w:val="center"/>
              <w:rPr>
                <w:rFonts w:cstheme="minorHAnsi"/>
                <w:sz w:val="22"/>
                <w:szCs w:val="22"/>
              </w:rPr>
            </w:pPr>
            <w:r w:rsidRPr="00114E96">
              <w:rPr>
                <w:rFonts w:cstheme="minorHAnsi"/>
                <w:sz w:val="22"/>
                <w:szCs w:val="22"/>
              </w:rPr>
              <w:t>Rappahannock</w:t>
            </w:r>
          </w:p>
        </w:tc>
        <w:tc>
          <w:tcPr>
            <w:tcW w:w="3117" w:type="dxa"/>
            <w:tcBorders>
              <w:top w:val="single" w:sz="2" w:space="0" w:color="auto"/>
              <w:left w:val="nil"/>
              <w:bottom w:val="nil"/>
              <w:right w:val="nil"/>
            </w:tcBorders>
            <w:vAlign w:val="center"/>
          </w:tcPr>
          <w:p w14:paraId="5C9C1266" w14:textId="77777777" w:rsidR="00A64B85" w:rsidRPr="00114E96" w:rsidRDefault="00A64B85" w:rsidP="00E75984">
            <w:pPr>
              <w:jc w:val="center"/>
              <w:rPr>
                <w:rFonts w:cstheme="minorHAnsi"/>
                <w:sz w:val="22"/>
                <w:szCs w:val="22"/>
              </w:rPr>
            </w:pPr>
            <w:r w:rsidRPr="00114E96">
              <w:rPr>
                <w:rFonts w:cstheme="minorHAnsi"/>
                <w:sz w:val="22"/>
                <w:szCs w:val="22"/>
              </w:rPr>
              <w:t>Estuary</w:t>
            </w:r>
          </w:p>
        </w:tc>
        <w:tc>
          <w:tcPr>
            <w:tcW w:w="3117" w:type="dxa"/>
            <w:tcBorders>
              <w:top w:val="single" w:sz="2" w:space="0" w:color="auto"/>
              <w:left w:val="nil"/>
              <w:bottom w:val="nil"/>
              <w:right w:val="nil"/>
            </w:tcBorders>
            <w:vAlign w:val="center"/>
          </w:tcPr>
          <w:p w14:paraId="6A7AAC38" w14:textId="77777777" w:rsidR="00A64B85" w:rsidRPr="00114E96" w:rsidRDefault="00A64B85" w:rsidP="00E75984">
            <w:pPr>
              <w:jc w:val="center"/>
              <w:rPr>
                <w:rFonts w:cstheme="minorHAnsi"/>
                <w:sz w:val="22"/>
                <w:szCs w:val="22"/>
              </w:rPr>
            </w:pPr>
            <w:r w:rsidRPr="00114E96">
              <w:rPr>
                <w:rFonts w:cstheme="minorHAnsi"/>
                <w:sz w:val="22"/>
                <w:szCs w:val="22"/>
              </w:rPr>
              <w:t>16</w:t>
            </w:r>
          </w:p>
        </w:tc>
      </w:tr>
      <w:tr w:rsidR="00A64B85" w14:paraId="24F3D6DA" w14:textId="77777777" w:rsidTr="00E75984">
        <w:tc>
          <w:tcPr>
            <w:tcW w:w="3116" w:type="dxa"/>
            <w:vMerge/>
            <w:tcBorders>
              <w:top w:val="nil"/>
              <w:left w:val="nil"/>
              <w:bottom w:val="single" w:sz="2" w:space="0" w:color="auto"/>
              <w:right w:val="nil"/>
            </w:tcBorders>
            <w:vAlign w:val="center"/>
          </w:tcPr>
          <w:p w14:paraId="192CA4A9" w14:textId="77777777" w:rsidR="00A64B85" w:rsidRPr="00114E96" w:rsidRDefault="00A64B85">
            <w:pPr>
              <w:jc w:val="center"/>
              <w:rPr>
                <w:rFonts w:cstheme="minorHAnsi"/>
                <w:sz w:val="22"/>
                <w:szCs w:val="22"/>
              </w:rPr>
            </w:pPr>
          </w:p>
        </w:tc>
        <w:tc>
          <w:tcPr>
            <w:tcW w:w="3117" w:type="dxa"/>
            <w:tcBorders>
              <w:top w:val="nil"/>
              <w:left w:val="nil"/>
              <w:bottom w:val="single" w:sz="2" w:space="0" w:color="auto"/>
              <w:right w:val="nil"/>
            </w:tcBorders>
            <w:vAlign w:val="center"/>
          </w:tcPr>
          <w:p w14:paraId="60B5B23F" w14:textId="77777777" w:rsidR="00A64B85" w:rsidRPr="00114E96" w:rsidRDefault="00A64B85" w:rsidP="00E75984">
            <w:pPr>
              <w:jc w:val="center"/>
              <w:rPr>
                <w:rFonts w:cstheme="minorHAnsi"/>
                <w:sz w:val="22"/>
                <w:szCs w:val="22"/>
              </w:rPr>
            </w:pPr>
            <w:r w:rsidRPr="00114E96">
              <w:rPr>
                <w:rFonts w:cstheme="minorHAnsi"/>
                <w:sz w:val="22"/>
                <w:szCs w:val="22"/>
              </w:rPr>
              <w:t>Stream</w:t>
            </w:r>
          </w:p>
        </w:tc>
        <w:tc>
          <w:tcPr>
            <w:tcW w:w="3117" w:type="dxa"/>
            <w:tcBorders>
              <w:top w:val="nil"/>
              <w:left w:val="nil"/>
              <w:bottom w:val="single" w:sz="2" w:space="0" w:color="auto"/>
              <w:right w:val="nil"/>
            </w:tcBorders>
            <w:vAlign w:val="center"/>
          </w:tcPr>
          <w:p w14:paraId="35840656" w14:textId="77777777" w:rsidR="00A64B85" w:rsidRPr="00114E96" w:rsidRDefault="00A64B85" w:rsidP="00E75984">
            <w:pPr>
              <w:jc w:val="center"/>
              <w:rPr>
                <w:rFonts w:cstheme="minorHAnsi"/>
                <w:sz w:val="22"/>
                <w:szCs w:val="22"/>
              </w:rPr>
            </w:pPr>
            <w:r w:rsidRPr="00114E96">
              <w:rPr>
                <w:rFonts w:cstheme="minorHAnsi"/>
                <w:sz w:val="22"/>
                <w:szCs w:val="22"/>
              </w:rPr>
              <w:t>23</w:t>
            </w:r>
          </w:p>
        </w:tc>
      </w:tr>
      <w:tr w:rsidR="00A64B85" w14:paraId="5689885D" w14:textId="77777777" w:rsidTr="00E75984">
        <w:tc>
          <w:tcPr>
            <w:tcW w:w="3116" w:type="dxa"/>
            <w:vMerge w:val="restart"/>
            <w:tcBorders>
              <w:top w:val="single" w:sz="2" w:space="0" w:color="auto"/>
              <w:left w:val="nil"/>
              <w:bottom w:val="nil"/>
              <w:right w:val="nil"/>
            </w:tcBorders>
            <w:vAlign w:val="center"/>
          </w:tcPr>
          <w:p w14:paraId="39863938" w14:textId="77777777" w:rsidR="00A64B85" w:rsidRPr="00114E96" w:rsidRDefault="00A64B85">
            <w:pPr>
              <w:jc w:val="center"/>
              <w:rPr>
                <w:rFonts w:cstheme="minorHAnsi"/>
                <w:sz w:val="22"/>
                <w:szCs w:val="22"/>
              </w:rPr>
            </w:pPr>
            <w:r w:rsidRPr="00114E96">
              <w:rPr>
                <w:rFonts w:cstheme="minorHAnsi"/>
                <w:sz w:val="22"/>
                <w:szCs w:val="22"/>
              </w:rPr>
              <w:t>New</w:t>
            </w:r>
          </w:p>
        </w:tc>
        <w:tc>
          <w:tcPr>
            <w:tcW w:w="3117" w:type="dxa"/>
            <w:tcBorders>
              <w:top w:val="single" w:sz="2" w:space="0" w:color="auto"/>
              <w:left w:val="nil"/>
              <w:bottom w:val="nil"/>
              <w:right w:val="nil"/>
            </w:tcBorders>
            <w:vAlign w:val="center"/>
          </w:tcPr>
          <w:p w14:paraId="6D4DF2E1" w14:textId="77777777" w:rsidR="00A64B85" w:rsidRPr="00114E96" w:rsidRDefault="00A64B85" w:rsidP="00E75984">
            <w:pPr>
              <w:jc w:val="center"/>
              <w:rPr>
                <w:rFonts w:cstheme="minorHAnsi"/>
                <w:sz w:val="22"/>
                <w:szCs w:val="22"/>
              </w:rPr>
            </w:pPr>
            <w:r w:rsidRPr="00114E96">
              <w:rPr>
                <w:rFonts w:cstheme="minorHAnsi"/>
                <w:sz w:val="22"/>
                <w:szCs w:val="22"/>
              </w:rPr>
              <w:t>Reservoir</w:t>
            </w:r>
          </w:p>
        </w:tc>
        <w:tc>
          <w:tcPr>
            <w:tcW w:w="3117" w:type="dxa"/>
            <w:tcBorders>
              <w:top w:val="single" w:sz="2" w:space="0" w:color="auto"/>
              <w:left w:val="nil"/>
              <w:bottom w:val="nil"/>
              <w:right w:val="nil"/>
            </w:tcBorders>
            <w:vAlign w:val="center"/>
          </w:tcPr>
          <w:p w14:paraId="626BA443" w14:textId="77777777" w:rsidR="00A64B85" w:rsidRPr="00114E96" w:rsidRDefault="00A64B85" w:rsidP="00E75984">
            <w:pPr>
              <w:jc w:val="center"/>
              <w:rPr>
                <w:rFonts w:cstheme="minorHAnsi"/>
                <w:sz w:val="22"/>
                <w:szCs w:val="22"/>
              </w:rPr>
            </w:pPr>
            <w:r w:rsidRPr="00114E96">
              <w:rPr>
                <w:rFonts w:cstheme="minorHAnsi"/>
                <w:sz w:val="22"/>
                <w:szCs w:val="22"/>
              </w:rPr>
              <w:t>6</w:t>
            </w:r>
          </w:p>
        </w:tc>
      </w:tr>
      <w:tr w:rsidR="00A64B85" w14:paraId="1A6285D4" w14:textId="77777777" w:rsidTr="00E75984">
        <w:tc>
          <w:tcPr>
            <w:tcW w:w="3116" w:type="dxa"/>
            <w:vMerge/>
            <w:tcBorders>
              <w:top w:val="nil"/>
              <w:left w:val="nil"/>
              <w:bottom w:val="single" w:sz="2" w:space="0" w:color="auto"/>
              <w:right w:val="nil"/>
            </w:tcBorders>
            <w:vAlign w:val="center"/>
          </w:tcPr>
          <w:p w14:paraId="75413272" w14:textId="77777777" w:rsidR="00A64B85" w:rsidRPr="00114E96" w:rsidRDefault="00A64B85">
            <w:pPr>
              <w:jc w:val="center"/>
              <w:rPr>
                <w:rFonts w:cstheme="minorHAnsi"/>
                <w:sz w:val="22"/>
                <w:szCs w:val="22"/>
              </w:rPr>
            </w:pPr>
          </w:p>
        </w:tc>
        <w:tc>
          <w:tcPr>
            <w:tcW w:w="3117" w:type="dxa"/>
            <w:tcBorders>
              <w:top w:val="nil"/>
              <w:left w:val="nil"/>
              <w:bottom w:val="single" w:sz="2" w:space="0" w:color="auto"/>
              <w:right w:val="nil"/>
            </w:tcBorders>
            <w:vAlign w:val="center"/>
          </w:tcPr>
          <w:p w14:paraId="6139375F" w14:textId="77777777" w:rsidR="00A64B85" w:rsidRPr="00114E96" w:rsidRDefault="00A64B85" w:rsidP="00E75984">
            <w:pPr>
              <w:jc w:val="center"/>
              <w:rPr>
                <w:rFonts w:cstheme="minorHAnsi"/>
                <w:sz w:val="22"/>
                <w:szCs w:val="22"/>
              </w:rPr>
            </w:pPr>
            <w:r w:rsidRPr="00114E96">
              <w:rPr>
                <w:rFonts w:cstheme="minorHAnsi"/>
                <w:sz w:val="22"/>
                <w:szCs w:val="22"/>
              </w:rPr>
              <w:t>Stream</w:t>
            </w:r>
          </w:p>
        </w:tc>
        <w:tc>
          <w:tcPr>
            <w:tcW w:w="3117" w:type="dxa"/>
            <w:tcBorders>
              <w:top w:val="nil"/>
              <w:left w:val="nil"/>
              <w:bottom w:val="single" w:sz="2" w:space="0" w:color="auto"/>
              <w:right w:val="nil"/>
            </w:tcBorders>
            <w:vAlign w:val="center"/>
          </w:tcPr>
          <w:p w14:paraId="6B0E305E" w14:textId="77777777" w:rsidR="00A64B85" w:rsidRPr="00114E96" w:rsidRDefault="00A64B85" w:rsidP="00E75984">
            <w:pPr>
              <w:jc w:val="center"/>
              <w:rPr>
                <w:rFonts w:cstheme="minorHAnsi"/>
                <w:sz w:val="22"/>
                <w:szCs w:val="22"/>
              </w:rPr>
            </w:pPr>
            <w:r w:rsidRPr="00114E96">
              <w:rPr>
                <w:rFonts w:cstheme="minorHAnsi"/>
                <w:sz w:val="22"/>
                <w:szCs w:val="22"/>
              </w:rPr>
              <w:t>11</w:t>
            </w:r>
          </w:p>
        </w:tc>
      </w:tr>
      <w:tr w:rsidR="00A64B85" w14:paraId="08AC5098" w14:textId="77777777" w:rsidTr="00E75984">
        <w:tc>
          <w:tcPr>
            <w:tcW w:w="3116" w:type="dxa"/>
            <w:vMerge w:val="restart"/>
            <w:tcBorders>
              <w:top w:val="single" w:sz="2" w:space="0" w:color="auto"/>
              <w:left w:val="nil"/>
              <w:bottom w:val="nil"/>
              <w:right w:val="nil"/>
            </w:tcBorders>
            <w:vAlign w:val="center"/>
          </w:tcPr>
          <w:p w14:paraId="50B4DD46" w14:textId="77777777" w:rsidR="00A64B85" w:rsidRPr="00114E96" w:rsidRDefault="00A64B85">
            <w:pPr>
              <w:jc w:val="center"/>
              <w:rPr>
                <w:rFonts w:cstheme="minorHAnsi"/>
                <w:sz w:val="22"/>
                <w:szCs w:val="22"/>
              </w:rPr>
            </w:pPr>
            <w:r w:rsidRPr="00114E96">
              <w:rPr>
                <w:rFonts w:cstheme="minorHAnsi"/>
                <w:sz w:val="22"/>
                <w:szCs w:val="22"/>
              </w:rPr>
              <w:t>Roanoke</w:t>
            </w:r>
          </w:p>
        </w:tc>
        <w:tc>
          <w:tcPr>
            <w:tcW w:w="3117" w:type="dxa"/>
            <w:tcBorders>
              <w:top w:val="single" w:sz="2" w:space="0" w:color="auto"/>
              <w:left w:val="nil"/>
              <w:bottom w:val="nil"/>
              <w:right w:val="nil"/>
            </w:tcBorders>
            <w:vAlign w:val="center"/>
          </w:tcPr>
          <w:p w14:paraId="4599964E" w14:textId="77777777" w:rsidR="00A64B85" w:rsidRPr="00114E96" w:rsidRDefault="00A64B85" w:rsidP="00E75984">
            <w:pPr>
              <w:jc w:val="center"/>
              <w:rPr>
                <w:rFonts w:cstheme="minorHAnsi"/>
                <w:sz w:val="22"/>
                <w:szCs w:val="22"/>
              </w:rPr>
            </w:pPr>
            <w:r w:rsidRPr="00114E96">
              <w:rPr>
                <w:rFonts w:cstheme="minorHAnsi"/>
                <w:sz w:val="22"/>
                <w:szCs w:val="22"/>
              </w:rPr>
              <w:t>Reservoir</w:t>
            </w:r>
          </w:p>
        </w:tc>
        <w:tc>
          <w:tcPr>
            <w:tcW w:w="3117" w:type="dxa"/>
            <w:tcBorders>
              <w:top w:val="single" w:sz="2" w:space="0" w:color="auto"/>
              <w:left w:val="nil"/>
              <w:bottom w:val="nil"/>
              <w:right w:val="nil"/>
            </w:tcBorders>
            <w:vAlign w:val="center"/>
          </w:tcPr>
          <w:p w14:paraId="3027F9F1" w14:textId="77777777" w:rsidR="00A64B85" w:rsidRPr="00114E96" w:rsidRDefault="00A64B85" w:rsidP="00E75984">
            <w:pPr>
              <w:jc w:val="center"/>
              <w:rPr>
                <w:rFonts w:cstheme="minorHAnsi"/>
                <w:sz w:val="22"/>
                <w:szCs w:val="22"/>
              </w:rPr>
            </w:pPr>
            <w:r w:rsidRPr="00114E96">
              <w:rPr>
                <w:rFonts w:cstheme="minorHAnsi"/>
                <w:sz w:val="22"/>
                <w:szCs w:val="22"/>
              </w:rPr>
              <w:t>12</w:t>
            </w:r>
          </w:p>
        </w:tc>
      </w:tr>
      <w:tr w:rsidR="00A64B85" w14:paraId="181CEA85" w14:textId="77777777" w:rsidTr="00E75984">
        <w:tc>
          <w:tcPr>
            <w:tcW w:w="3116" w:type="dxa"/>
            <w:vMerge/>
            <w:tcBorders>
              <w:top w:val="nil"/>
              <w:left w:val="nil"/>
              <w:bottom w:val="single" w:sz="2" w:space="0" w:color="auto"/>
              <w:right w:val="nil"/>
            </w:tcBorders>
            <w:vAlign w:val="center"/>
          </w:tcPr>
          <w:p w14:paraId="559C99FB" w14:textId="77777777" w:rsidR="00A64B85" w:rsidRPr="00114E96" w:rsidRDefault="00A64B85">
            <w:pPr>
              <w:jc w:val="center"/>
              <w:rPr>
                <w:rFonts w:cstheme="minorHAnsi"/>
                <w:sz w:val="22"/>
                <w:szCs w:val="22"/>
              </w:rPr>
            </w:pPr>
          </w:p>
        </w:tc>
        <w:tc>
          <w:tcPr>
            <w:tcW w:w="3117" w:type="dxa"/>
            <w:tcBorders>
              <w:top w:val="nil"/>
              <w:left w:val="nil"/>
              <w:bottom w:val="single" w:sz="2" w:space="0" w:color="auto"/>
              <w:right w:val="nil"/>
            </w:tcBorders>
            <w:vAlign w:val="center"/>
          </w:tcPr>
          <w:p w14:paraId="73CC05F3" w14:textId="77777777" w:rsidR="00A64B85" w:rsidRPr="00114E96" w:rsidRDefault="00A64B85" w:rsidP="00E75984">
            <w:pPr>
              <w:jc w:val="center"/>
              <w:rPr>
                <w:rFonts w:cstheme="minorHAnsi"/>
                <w:sz w:val="22"/>
                <w:szCs w:val="22"/>
              </w:rPr>
            </w:pPr>
            <w:r w:rsidRPr="00114E96">
              <w:rPr>
                <w:rFonts w:cstheme="minorHAnsi"/>
                <w:sz w:val="22"/>
                <w:szCs w:val="22"/>
              </w:rPr>
              <w:t>Stream</w:t>
            </w:r>
          </w:p>
        </w:tc>
        <w:tc>
          <w:tcPr>
            <w:tcW w:w="3117" w:type="dxa"/>
            <w:tcBorders>
              <w:top w:val="nil"/>
              <w:left w:val="nil"/>
              <w:bottom w:val="single" w:sz="2" w:space="0" w:color="auto"/>
              <w:right w:val="nil"/>
            </w:tcBorders>
            <w:vAlign w:val="center"/>
          </w:tcPr>
          <w:p w14:paraId="750D3E53" w14:textId="77777777" w:rsidR="00A64B85" w:rsidRPr="00114E96" w:rsidRDefault="00A64B85" w:rsidP="00E75984">
            <w:pPr>
              <w:jc w:val="center"/>
              <w:rPr>
                <w:rFonts w:cstheme="minorHAnsi"/>
                <w:sz w:val="22"/>
                <w:szCs w:val="22"/>
              </w:rPr>
            </w:pPr>
            <w:r w:rsidRPr="00114E96">
              <w:rPr>
                <w:rFonts w:cstheme="minorHAnsi"/>
                <w:sz w:val="22"/>
                <w:szCs w:val="22"/>
              </w:rPr>
              <w:t>43</w:t>
            </w:r>
          </w:p>
        </w:tc>
      </w:tr>
      <w:tr w:rsidR="00A64B85" w14:paraId="63FF6FE4" w14:textId="77777777" w:rsidTr="00E75984">
        <w:trPr>
          <w:trHeight w:val="360"/>
        </w:trPr>
        <w:tc>
          <w:tcPr>
            <w:tcW w:w="3116" w:type="dxa"/>
            <w:tcBorders>
              <w:top w:val="single" w:sz="2" w:space="0" w:color="auto"/>
              <w:left w:val="nil"/>
              <w:bottom w:val="single" w:sz="2" w:space="0" w:color="auto"/>
              <w:right w:val="nil"/>
            </w:tcBorders>
            <w:vAlign w:val="center"/>
          </w:tcPr>
          <w:p w14:paraId="285DA73E" w14:textId="77777777" w:rsidR="00A64B85" w:rsidRPr="00114E96" w:rsidRDefault="00A64B85">
            <w:pPr>
              <w:jc w:val="center"/>
              <w:rPr>
                <w:rFonts w:cstheme="minorHAnsi"/>
                <w:sz w:val="22"/>
                <w:szCs w:val="22"/>
              </w:rPr>
            </w:pPr>
            <w:r w:rsidRPr="00114E96">
              <w:rPr>
                <w:rFonts w:cstheme="minorHAnsi"/>
                <w:sz w:val="22"/>
                <w:szCs w:val="22"/>
              </w:rPr>
              <w:t>Shenandoah</w:t>
            </w:r>
          </w:p>
        </w:tc>
        <w:tc>
          <w:tcPr>
            <w:tcW w:w="3117" w:type="dxa"/>
            <w:tcBorders>
              <w:top w:val="single" w:sz="2" w:space="0" w:color="auto"/>
              <w:left w:val="nil"/>
              <w:bottom w:val="single" w:sz="2" w:space="0" w:color="auto"/>
              <w:right w:val="nil"/>
            </w:tcBorders>
            <w:vAlign w:val="center"/>
          </w:tcPr>
          <w:p w14:paraId="2BE5AE78" w14:textId="77777777" w:rsidR="00A64B85" w:rsidRPr="00114E96" w:rsidRDefault="00A64B85" w:rsidP="00E75984">
            <w:pPr>
              <w:jc w:val="center"/>
              <w:rPr>
                <w:rFonts w:cstheme="minorHAnsi"/>
                <w:sz w:val="22"/>
                <w:szCs w:val="22"/>
              </w:rPr>
            </w:pPr>
            <w:r w:rsidRPr="00114E96">
              <w:rPr>
                <w:rFonts w:cstheme="minorHAnsi"/>
                <w:sz w:val="22"/>
                <w:szCs w:val="22"/>
              </w:rPr>
              <w:t>Stream</w:t>
            </w:r>
          </w:p>
        </w:tc>
        <w:tc>
          <w:tcPr>
            <w:tcW w:w="3117" w:type="dxa"/>
            <w:tcBorders>
              <w:top w:val="single" w:sz="2" w:space="0" w:color="auto"/>
              <w:left w:val="nil"/>
              <w:bottom w:val="single" w:sz="2" w:space="0" w:color="auto"/>
              <w:right w:val="nil"/>
            </w:tcBorders>
            <w:vAlign w:val="center"/>
          </w:tcPr>
          <w:p w14:paraId="25630D3C" w14:textId="77777777" w:rsidR="00A64B85" w:rsidRPr="00114E96" w:rsidRDefault="00A64B85" w:rsidP="00E75984">
            <w:pPr>
              <w:jc w:val="center"/>
              <w:rPr>
                <w:rFonts w:cstheme="minorHAnsi"/>
                <w:sz w:val="22"/>
                <w:szCs w:val="22"/>
              </w:rPr>
            </w:pPr>
            <w:r w:rsidRPr="00114E96">
              <w:rPr>
                <w:rFonts w:cstheme="minorHAnsi"/>
                <w:sz w:val="22"/>
                <w:szCs w:val="22"/>
              </w:rPr>
              <w:t>17</w:t>
            </w:r>
          </w:p>
        </w:tc>
      </w:tr>
      <w:tr w:rsidR="00A64B85" w14:paraId="747B5485" w14:textId="77777777" w:rsidTr="00E75984">
        <w:trPr>
          <w:trHeight w:val="360"/>
        </w:trPr>
        <w:tc>
          <w:tcPr>
            <w:tcW w:w="3116" w:type="dxa"/>
            <w:tcBorders>
              <w:top w:val="single" w:sz="2" w:space="0" w:color="auto"/>
              <w:left w:val="nil"/>
              <w:bottom w:val="single" w:sz="2" w:space="0" w:color="auto"/>
              <w:right w:val="nil"/>
            </w:tcBorders>
            <w:vAlign w:val="center"/>
          </w:tcPr>
          <w:p w14:paraId="59746767" w14:textId="77777777" w:rsidR="00A64B85" w:rsidRPr="00114E96" w:rsidRDefault="00A64B85">
            <w:pPr>
              <w:jc w:val="center"/>
              <w:rPr>
                <w:rFonts w:cstheme="minorHAnsi"/>
                <w:sz w:val="22"/>
                <w:szCs w:val="22"/>
              </w:rPr>
            </w:pPr>
            <w:r w:rsidRPr="00114E96">
              <w:rPr>
                <w:rFonts w:cstheme="minorHAnsi"/>
                <w:sz w:val="22"/>
                <w:szCs w:val="22"/>
              </w:rPr>
              <w:t>Tennessee/Big Sandy</w:t>
            </w:r>
          </w:p>
        </w:tc>
        <w:tc>
          <w:tcPr>
            <w:tcW w:w="3117" w:type="dxa"/>
            <w:tcBorders>
              <w:top w:val="single" w:sz="2" w:space="0" w:color="auto"/>
              <w:left w:val="nil"/>
              <w:bottom w:val="single" w:sz="2" w:space="0" w:color="auto"/>
              <w:right w:val="nil"/>
            </w:tcBorders>
            <w:vAlign w:val="center"/>
          </w:tcPr>
          <w:p w14:paraId="61AFB1A2" w14:textId="77777777" w:rsidR="00A64B85" w:rsidRPr="00114E96" w:rsidRDefault="00A64B85" w:rsidP="00E75984">
            <w:pPr>
              <w:jc w:val="center"/>
              <w:rPr>
                <w:rFonts w:cstheme="minorHAnsi"/>
                <w:sz w:val="22"/>
                <w:szCs w:val="22"/>
              </w:rPr>
            </w:pPr>
            <w:r w:rsidRPr="00114E96">
              <w:rPr>
                <w:rFonts w:cstheme="minorHAnsi"/>
                <w:sz w:val="22"/>
                <w:szCs w:val="22"/>
              </w:rPr>
              <w:t>Stream</w:t>
            </w:r>
          </w:p>
        </w:tc>
        <w:tc>
          <w:tcPr>
            <w:tcW w:w="3117" w:type="dxa"/>
            <w:tcBorders>
              <w:top w:val="single" w:sz="2" w:space="0" w:color="auto"/>
              <w:left w:val="nil"/>
              <w:bottom w:val="single" w:sz="2" w:space="0" w:color="auto"/>
              <w:right w:val="nil"/>
            </w:tcBorders>
            <w:vAlign w:val="center"/>
          </w:tcPr>
          <w:p w14:paraId="2C3E7E2D" w14:textId="77777777" w:rsidR="00A64B85" w:rsidRPr="00114E96" w:rsidRDefault="00A64B85" w:rsidP="00E75984">
            <w:pPr>
              <w:jc w:val="center"/>
              <w:rPr>
                <w:rFonts w:cstheme="minorHAnsi"/>
                <w:sz w:val="22"/>
                <w:szCs w:val="22"/>
              </w:rPr>
            </w:pPr>
            <w:r w:rsidRPr="00114E96">
              <w:rPr>
                <w:rFonts w:cstheme="minorHAnsi"/>
                <w:sz w:val="22"/>
                <w:szCs w:val="22"/>
              </w:rPr>
              <w:t>20</w:t>
            </w:r>
          </w:p>
        </w:tc>
      </w:tr>
      <w:tr w:rsidR="00A64B85" w14:paraId="512B672D" w14:textId="77777777" w:rsidTr="00E75984">
        <w:tc>
          <w:tcPr>
            <w:tcW w:w="3116" w:type="dxa"/>
            <w:vMerge w:val="restart"/>
            <w:tcBorders>
              <w:top w:val="single" w:sz="2" w:space="0" w:color="auto"/>
              <w:left w:val="nil"/>
              <w:bottom w:val="nil"/>
              <w:right w:val="nil"/>
            </w:tcBorders>
            <w:vAlign w:val="center"/>
          </w:tcPr>
          <w:p w14:paraId="3A6659CB" w14:textId="77777777" w:rsidR="00A64B85" w:rsidRPr="00114E96" w:rsidRDefault="00A64B85">
            <w:pPr>
              <w:jc w:val="center"/>
              <w:rPr>
                <w:rFonts w:cstheme="minorHAnsi"/>
                <w:sz w:val="22"/>
                <w:szCs w:val="22"/>
              </w:rPr>
            </w:pPr>
            <w:r w:rsidRPr="00114E96">
              <w:rPr>
                <w:rFonts w:cstheme="minorHAnsi"/>
                <w:sz w:val="22"/>
                <w:szCs w:val="22"/>
              </w:rPr>
              <w:t>York</w:t>
            </w:r>
          </w:p>
        </w:tc>
        <w:tc>
          <w:tcPr>
            <w:tcW w:w="3117" w:type="dxa"/>
            <w:tcBorders>
              <w:top w:val="single" w:sz="2" w:space="0" w:color="auto"/>
              <w:left w:val="nil"/>
              <w:bottom w:val="nil"/>
              <w:right w:val="nil"/>
            </w:tcBorders>
            <w:vAlign w:val="center"/>
          </w:tcPr>
          <w:p w14:paraId="038F94BF" w14:textId="77777777" w:rsidR="00A64B85" w:rsidRPr="00114E96" w:rsidRDefault="00A64B85" w:rsidP="00E75984">
            <w:pPr>
              <w:jc w:val="center"/>
              <w:rPr>
                <w:rFonts w:cstheme="minorHAnsi"/>
                <w:sz w:val="22"/>
                <w:szCs w:val="22"/>
              </w:rPr>
            </w:pPr>
            <w:r w:rsidRPr="00114E96">
              <w:rPr>
                <w:rFonts w:cstheme="minorHAnsi"/>
                <w:sz w:val="22"/>
                <w:szCs w:val="22"/>
              </w:rPr>
              <w:t>Estuary</w:t>
            </w:r>
          </w:p>
        </w:tc>
        <w:tc>
          <w:tcPr>
            <w:tcW w:w="3117" w:type="dxa"/>
            <w:tcBorders>
              <w:top w:val="single" w:sz="2" w:space="0" w:color="auto"/>
              <w:left w:val="nil"/>
              <w:bottom w:val="nil"/>
              <w:right w:val="nil"/>
            </w:tcBorders>
            <w:vAlign w:val="center"/>
          </w:tcPr>
          <w:p w14:paraId="364A0841" w14:textId="77777777" w:rsidR="00A64B85" w:rsidRPr="00114E96" w:rsidRDefault="00A64B85" w:rsidP="00E75984">
            <w:pPr>
              <w:jc w:val="center"/>
              <w:rPr>
                <w:rFonts w:cstheme="minorHAnsi"/>
                <w:sz w:val="22"/>
                <w:szCs w:val="22"/>
              </w:rPr>
            </w:pPr>
            <w:r w:rsidRPr="00114E96">
              <w:rPr>
                <w:rFonts w:cstheme="minorHAnsi"/>
                <w:sz w:val="22"/>
                <w:szCs w:val="22"/>
              </w:rPr>
              <w:t>15</w:t>
            </w:r>
          </w:p>
        </w:tc>
      </w:tr>
      <w:tr w:rsidR="00A64B85" w14:paraId="0A0E74DA" w14:textId="77777777" w:rsidTr="00E75984">
        <w:tc>
          <w:tcPr>
            <w:tcW w:w="3116" w:type="dxa"/>
            <w:vMerge/>
            <w:tcBorders>
              <w:top w:val="nil"/>
              <w:left w:val="nil"/>
              <w:bottom w:val="nil"/>
              <w:right w:val="nil"/>
            </w:tcBorders>
          </w:tcPr>
          <w:p w14:paraId="092200B8" w14:textId="77777777" w:rsidR="00A64B85" w:rsidRPr="00114E96" w:rsidRDefault="00A64B85">
            <w:pPr>
              <w:rPr>
                <w:rFonts w:cstheme="minorHAnsi"/>
                <w:sz w:val="22"/>
                <w:szCs w:val="22"/>
              </w:rPr>
            </w:pPr>
          </w:p>
        </w:tc>
        <w:tc>
          <w:tcPr>
            <w:tcW w:w="3117" w:type="dxa"/>
            <w:tcBorders>
              <w:top w:val="nil"/>
              <w:left w:val="nil"/>
              <w:bottom w:val="nil"/>
              <w:right w:val="nil"/>
            </w:tcBorders>
            <w:vAlign w:val="center"/>
          </w:tcPr>
          <w:p w14:paraId="78823E60" w14:textId="77777777" w:rsidR="00A64B85" w:rsidRPr="00114E96" w:rsidRDefault="00A64B85" w:rsidP="00E75984">
            <w:pPr>
              <w:jc w:val="center"/>
              <w:rPr>
                <w:rFonts w:cstheme="minorHAnsi"/>
                <w:sz w:val="22"/>
                <w:szCs w:val="22"/>
              </w:rPr>
            </w:pPr>
            <w:r w:rsidRPr="00114E96">
              <w:rPr>
                <w:rFonts w:cstheme="minorHAnsi"/>
                <w:sz w:val="22"/>
                <w:szCs w:val="22"/>
              </w:rPr>
              <w:t>Reservoir</w:t>
            </w:r>
          </w:p>
        </w:tc>
        <w:tc>
          <w:tcPr>
            <w:tcW w:w="3117" w:type="dxa"/>
            <w:tcBorders>
              <w:top w:val="nil"/>
              <w:left w:val="nil"/>
              <w:bottom w:val="nil"/>
              <w:right w:val="nil"/>
            </w:tcBorders>
            <w:vAlign w:val="center"/>
          </w:tcPr>
          <w:p w14:paraId="379FD72C" w14:textId="77777777" w:rsidR="00A64B85" w:rsidRPr="00114E96" w:rsidRDefault="00A64B85" w:rsidP="00E75984">
            <w:pPr>
              <w:jc w:val="center"/>
              <w:rPr>
                <w:rFonts w:cstheme="minorHAnsi"/>
                <w:sz w:val="22"/>
                <w:szCs w:val="22"/>
              </w:rPr>
            </w:pPr>
            <w:r w:rsidRPr="00114E96">
              <w:rPr>
                <w:rFonts w:cstheme="minorHAnsi"/>
                <w:sz w:val="22"/>
                <w:szCs w:val="22"/>
              </w:rPr>
              <w:t>8</w:t>
            </w:r>
          </w:p>
        </w:tc>
      </w:tr>
      <w:tr w:rsidR="00A64B85" w14:paraId="33B0F5E2" w14:textId="77777777" w:rsidTr="00E75984">
        <w:tc>
          <w:tcPr>
            <w:tcW w:w="3116" w:type="dxa"/>
            <w:vMerge/>
            <w:tcBorders>
              <w:top w:val="nil"/>
              <w:left w:val="nil"/>
              <w:bottom w:val="single" w:sz="12" w:space="0" w:color="auto"/>
              <w:right w:val="nil"/>
            </w:tcBorders>
          </w:tcPr>
          <w:p w14:paraId="67A575B5" w14:textId="77777777" w:rsidR="00A64B85" w:rsidRPr="00114E96" w:rsidRDefault="00A64B85">
            <w:pPr>
              <w:rPr>
                <w:rFonts w:cstheme="minorHAnsi"/>
                <w:sz w:val="22"/>
                <w:szCs w:val="22"/>
              </w:rPr>
            </w:pPr>
          </w:p>
        </w:tc>
        <w:tc>
          <w:tcPr>
            <w:tcW w:w="3117" w:type="dxa"/>
            <w:tcBorders>
              <w:top w:val="nil"/>
              <w:left w:val="nil"/>
              <w:bottom w:val="single" w:sz="12" w:space="0" w:color="auto"/>
              <w:right w:val="nil"/>
            </w:tcBorders>
            <w:vAlign w:val="center"/>
          </w:tcPr>
          <w:p w14:paraId="51A18887" w14:textId="77777777" w:rsidR="00A64B85" w:rsidRPr="00114E96" w:rsidRDefault="00A64B85" w:rsidP="00E75984">
            <w:pPr>
              <w:jc w:val="center"/>
              <w:rPr>
                <w:rFonts w:cstheme="minorHAnsi"/>
                <w:sz w:val="22"/>
                <w:szCs w:val="22"/>
              </w:rPr>
            </w:pPr>
            <w:r w:rsidRPr="00114E96">
              <w:rPr>
                <w:rFonts w:cstheme="minorHAnsi"/>
                <w:sz w:val="22"/>
                <w:szCs w:val="22"/>
              </w:rPr>
              <w:t>Stream</w:t>
            </w:r>
          </w:p>
        </w:tc>
        <w:tc>
          <w:tcPr>
            <w:tcW w:w="3117" w:type="dxa"/>
            <w:tcBorders>
              <w:top w:val="nil"/>
              <w:left w:val="nil"/>
              <w:bottom w:val="single" w:sz="12" w:space="0" w:color="auto"/>
              <w:right w:val="nil"/>
            </w:tcBorders>
            <w:vAlign w:val="center"/>
          </w:tcPr>
          <w:p w14:paraId="3CFF92D6" w14:textId="77777777" w:rsidR="00A64B85" w:rsidRPr="00114E96" w:rsidRDefault="00A64B85" w:rsidP="00E75984">
            <w:pPr>
              <w:jc w:val="center"/>
              <w:rPr>
                <w:rFonts w:cstheme="minorHAnsi"/>
                <w:sz w:val="22"/>
                <w:szCs w:val="22"/>
              </w:rPr>
            </w:pPr>
            <w:r w:rsidRPr="00114E96">
              <w:rPr>
                <w:rFonts w:cstheme="minorHAnsi"/>
                <w:sz w:val="22"/>
                <w:szCs w:val="22"/>
              </w:rPr>
              <w:t>19</w:t>
            </w:r>
          </w:p>
        </w:tc>
      </w:tr>
    </w:tbl>
    <w:p w14:paraId="4D678700" w14:textId="77777777" w:rsidR="00AD3B35" w:rsidRPr="006B4174" w:rsidRDefault="00AD3B35" w:rsidP="00A11D2E">
      <w:pPr>
        <w:rPr>
          <w:rFonts w:cstheme="minorHAnsi"/>
          <w:szCs w:val="24"/>
        </w:rPr>
      </w:pPr>
    </w:p>
    <w:p w14:paraId="2C9B18CD" w14:textId="77777777" w:rsidR="00A11D2E" w:rsidRPr="00AD3B35" w:rsidRDefault="00A11D2E" w:rsidP="00AD3B35">
      <w:pPr>
        <w:pStyle w:val="Heading3"/>
        <w:rPr>
          <w:i/>
        </w:rPr>
      </w:pPr>
      <w:r w:rsidRPr="00AD3B35">
        <w:t>Methods</w:t>
      </w:r>
    </w:p>
    <w:p w14:paraId="55133E19" w14:textId="47E4FD5D" w:rsidR="00A11D2E" w:rsidRDefault="007A5B83" w:rsidP="003A5866">
      <w:pPr>
        <w:rPr>
          <w:rFonts w:cstheme="minorHAnsi"/>
        </w:rPr>
      </w:pPr>
      <w:r>
        <w:rPr>
          <w:rFonts w:cstheme="minorHAnsi"/>
        </w:rPr>
        <w:t xml:space="preserve">DEQ </w:t>
      </w:r>
      <w:r w:rsidR="00EE4C4A">
        <w:rPr>
          <w:rFonts w:cstheme="minorHAnsi"/>
        </w:rPr>
        <w:t xml:space="preserve">performs a trend analysis once every six years, the 2024 IR represents the fourth trend publication. </w:t>
      </w:r>
      <w:r w:rsidR="00A11D2E" w:rsidRPr="00AD3B35">
        <w:rPr>
          <w:rFonts w:cstheme="minorHAnsi"/>
        </w:rPr>
        <w:t xml:space="preserve">Past trend analyses focused on four parameters: fecal coliform bacteria, total nitrogen, total phosphorus, and total suspended solids. These variables were selected because together they represent the most common causes of water quality degradation (bacteria, nutrient enrichment, and sedimentation). In addition, the interpretation of changes in the concentrations of these four parameters is generally unambiguous; increasing concentrations are generally interpreted as degradation in water quality. Sufficient data are now available to allow for trend analysis on 11 additional parameters including </w:t>
      </w:r>
      <w:r w:rsidR="00105F37" w:rsidRPr="000234AF">
        <w:rPr>
          <w:rFonts w:cstheme="minorHAnsi"/>
          <w:snapToGrid/>
          <w:color w:val="000000"/>
          <w:szCs w:val="24"/>
        </w:rPr>
        <w:t>chlorophyll</w:t>
      </w:r>
      <w:r w:rsidR="00105F37">
        <w:rPr>
          <w:rFonts w:cstheme="minorHAnsi"/>
          <w:snapToGrid/>
          <w:color w:val="000000"/>
          <w:szCs w:val="24"/>
        </w:rPr>
        <w:t xml:space="preserve"> </w:t>
      </w:r>
      <w:r w:rsidR="00105F37" w:rsidRPr="000234AF">
        <w:rPr>
          <w:rFonts w:cstheme="minorHAnsi"/>
          <w:i/>
          <w:snapToGrid/>
          <w:color w:val="000000"/>
          <w:szCs w:val="24"/>
        </w:rPr>
        <w:t>a</w:t>
      </w:r>
      <w:r w:rsidR="00A11D2E" w:rsidRPr="00AD3B35">
        <w:rPr>
          <w:rFonts w:cstheme="minorHAnsi"/>
        </w:rPr>
        <w:t xml:space="preserve">, dissolved oxygen, </w:t>
      </w:r>
      <w:r w:rsidR="003A5866" w:rsidRPr="00AD3B35">
        <w:rPr>
          <w:rFonts w:cstheme="minorHAnsi"/>
          <w:i/>
        </w:rPr>
        <w:t>E. coli</w:t>
      </w:r>
      <w:r w:rsidR="00A11D2E" w:rsidRPr="00AD3B35">
        <w:rPr>
          <w:rFonts w:cstheme="minorHAnsi"/>
        </w:rPr>
        <w:t xml:space="preserve">, </w:t>
      </w:r>
      <w:r w:rsidR="009D1D45">
        <w:rPr>
          <w:rFonts w:cstheme="minorHAnsi"/>
        </w:rPr>
        <w:t>E</w:t>
      </w:r>
      <w:r w:rsidR="00A11D2E" w:rsidRPr="00C93196">
        <w:rPr>
          <w:rFonts w:cstheme="minorHAnsi"/>
        </w:rPr>
        <w:t>nterococci</w:t>
      </w:r>
      <w:r w:rsidR="00A11D2E" w:rsidRPr="00AD3B35">
        <w:rPr>
          <w:rFonts w:cstheme="minorHAnsi"/>
        </w:rPr>
        <w:t xml:space="preserve"> bacteria, fecal coliform bacteria, pH, Secchi Depth, specific conductance, total fixed solids, total volatile solids, water temperature, and turbidity. These new results add valuable information for the interpretation of improvement or degradation of water quality. </w:t>
      </w:r>
    </w:p>
    <w:p w14:paraId="5286365D" w14:textId="77777777" w:rsidR="008E3605" w:rsidRPr="00AD3B35" w:rsidRDefault="008E3605" w:rsidP="003A5866">
      <w:pPr>
        <w:rPr>
          <w:rFonts w:cstheme="minorHAnsi"/>
        </w:rPr>
      </w:pPr>
    </w:p>
    <w:p w14:paraId="5E4225D0" w14:textId="16FFF3D7" w:rsidR="00A11D2E" w:rsidRDefault="00A11D2E" w:rsidP="00184023">
      <w:r w:rsidRPr="00AD3B35">
        <w:t xml:space="preserve">The detection of trends is accomplished by applying a formal statistical analysis to the data. A modified seasonal Kendall analysis developed at the Department of Statistics at Virginia Tech, is used to test the null hypothesis that there is no trend (Zipper et al. 1998). When the test procedure rejects this hypothesis, a measurable trend of increase or decrease has occurred over the period of record. The associated probability, </w:t>
      </w:r>
      <w:r w:rsidRPr="00AD3B35">
        <w:rPr>
          <w:i/>
        </w:rPr>
        <w:t>p</w:t>
      </w:r>
      <w:r w:rsidRPr="00AD3B35">
        <w:t xml:space="preserve">, indicates the chance of getting the observed results by chance, when no actual trend exists. Therefore, the likelihood that the data </w:t>
      </w:r>
      <w:proofErr w:type="gramStart"/>
      <w:r w:rsidRPr="00AD3B35">
        <w:t>indicate</w:t>
      </w:r>
      <w:proofErr w:type="gramEnd"/>
      <w:r w:rsidRPr="00AD3B35">
        <w:t xml:space="preserve"> an actual trend increases as p decreases. Trends were generally considered significant at a 90% confidence or greater (</w:t>
      </w:r>
      <w:r w:rsidRPr="00AD3B35">
        <w:rPr>
          <w:i/>
        </w:rPr>
        <w:t>p</w:t>
      </w:r>
      <w:r w:rsidR="003A5866">
        <w:rPr>
          <w:i/>
        </w:rPr>
        <w:t xml:space="preserve"> </w:t>
      </w:r>
      <w:r w:rsidRPr="00AD3B35">
        <w:t>≤</w:t>
      </w:r>
      <w:r w:rsidR="003A5866">
        <w:t xml:space="preserve"> </w:t>
      </w:r>
      <w:r w:rsidRPr="00AD3B35">
        <w:t xml:space="preserve">0.10), that is, when the chance of getting the observed </w:t>
      </w:r>
      <w:r w:rsidRPr="00AD3B35">
        <w:lastRenderedPageBreak/>
        <w:t>sampling results when no actual change has occurred is estimated to be less than 10%. The exception to this is that trends that were statistically significant (</w:t>
      </w:r>
      <w:r w:rsidRPr="00AD3B35">
        <w:rPr>
          <w:i/>
        </w:rPr>
        <w:t>p</w:t>
      </w:r>
      <w:r w:rsidR="003A5866">
        <w:rPr>
          <w:i/>
        </w:rPr>
        <w:t xml:space="preserve"> </w:t>
      </w:r>
      <w:r w:rsidRPr="00AD3B35">
        <w:t>≤</w:t>
      </w:r>
      <w:r w:rsidR="003A5866">
        <w:t xml:space="preserve"> </w:t>
      </w:r>
      <w:r w:rsidRPr="00AD3B35">
        <w:t>0.10)</w:t>
      </w:r>
      <w:r w:rsidR="003A5866">
        <w:t>,</w:t>
      </w:r>
      <w:r w:rsidRPr="00AD3B35">
        <w:t xml:space="preserve"> but which had low rates of change (less than 0.001 units per year), were considered as not being ecologically significant and thus identified as no trend.</w:t>
      </w:r>
    </w:p>
    <w:p w14:paraId="0548061F" w14:textId="77777777" w:rsidR="009E4DB9" w:rsidRDefault="009E4DB9" w:rsidP="008E3605">
      <w:pPr>
        <w:pStyle w:val="BodyTextIndent"/>
        <w:ind w:firstLine="0"/>
        <w:jc w:val="left"/>
        <w:rPr>
          <w:rFonts w:cstheme="minorHAnsi"/>
        </w:rPr>
      </w:pPr>
    </w:p>
    <w:p w14:paraId="4D4BFBBE" w14:textId="3B3DA395" w:rsidR="009E4DB9" w:rsidRDefault="009E4DB9" w:rsidP="008E3605">
      <w:pPr>
        <w:pStyle w:val="BodyTextIndent"/>
        <w:ind w:firstLine="0"/>
        <w:jc w:val="left"/>
        <w:rPr>
          <w:rFonts w:cstheme="minorHAnsi"/>
        </w:rPr>
      </w:pPr>
      <w:r w:rsidRPr="00B10F44">
        <w:rPr>
          <w:rFonts w:ascii="Calibri" w:hAnsi="Calibri" w:cs="Calibri"/>
          <w:color w:val="000000"/>
          <w:shd w:val="clear" w:color="auto" w:fill="FFFFFF"/>
        </w:rPr>
        <w:t xml:space="preserve">Note that sample collection was not conducted in a randomized manner. Stations were selected to represent key locations within each river </w:t>
      </w:r>
      <w:r w:rsidR="0088778D" w:rsidRPr="00B10F44">
        <w:rPr>
          <w:rFonts w:ascii="Calibri" w:hAnsi="Calibri" w:cs="Calibri"/>
          <w:color w:val="000000"/>
          <w:shd w:val="clear" w:color="auto" w:fill="FFFFFF"/>
        </w:rPr>
        <w:t>basin and</w:t>
      </w:r>
      <w:r w:rsidRPr="00B10F44">
        <w:rPr>
          <w:rFonts w:ascii="Calibri" w:hAnsi="Calibri" w:cs="Calibri"/>
          <w:color w:val="000000"/>
          <w:shd w:val="clear" w:color="auto" w:fill="FFFFFF"/>
        </w:rPr>
        <w:t xml:space="preserve"> may not be representative of each </w:t>
      </w:r>
      <w:proofErr w:type="gramStart"/>
      <w:r w:rsidRPr="00B10F44">
        <w:rPr>
          <w:rFonts w:ascii="Calibri" w:hAnsi="Calibri" w:cs="Calibri"/>
          <w:color w:val="000000"/>
          <w:shd w:val="clear" w:color="auto" w:fill="FFFFFF"/>
        </w:rPr>
        <w:t>basin as a whole</w:t>
      </w:r>
      <w:proofErr w:type="gramEnd"/>
      <w:r w:rsidRPr="00B10F44">
        <w:rPr>
          <w:rFonts w:ascii="Calibri" w:hAnsi="Calibri" w:cs="Calibri"/>
          <w:color w:val="000000"/>
          <w:shd w:val="clear" w:color="auto" w:fill="FFFFFF"/>
        </w:rPr>
        <w:t xml:space="preserve">. </w:t>
      </w:r>
      <w:r w:rsidR="008133E8" w:rsidRPr="00B10F44">
        <w:rPr>
          <w:rFonts w:ascii="Calibri" w:hAnsi="Calibri" w:cs="Calibri"/>
          <w:color w:val="000000"/>
          <w:shd w:val="clear" w:color="auto" w:fill="FFFFFF"/>
        </w:rPr>
        <w:t xml:space="preserve">For the parameters </w:t>
      </w:r>
      <w:proofErr w:type="spellStart"/>
      <w:r w:rsidR="0088778D" w:rsidRPr="00B10F44">
        <w:rPr>
          <w:rFonts w:ascii="Calibri" w:hAnsi="Calibri" w:cs="Calibri"/>
          <w:color w:val="000000"/>
          <w:shd w:val="clear" w:color="auto" w:fill="FFFFFF"/>
        </w:rPr>
        <w:t>secchi</w:t>
      </w:r>
      <w:proofErr w:type="spellEnd"/>
      <w:r w:rsidR="0088778D" w:rsidRPr="00B10F44">
        <w:rPr>
          <w:rFonts w:ascii="Calibri" w:hAnsi="Calibri" w:cs="Calibri"/>
          <w:color w:val="000000"/>
          <w:shd w:val="clear" w:color="auto" w:fill="FFFFFF"/>
        </w:rPr>
        <w:t xml:space="preserve"> depth, T</w:t>
      </w:r>
      <w:r w:rsidR="00E57F21">
        <w:rPr>
          <w:rFonts w:ascii="Calibri" w:hAnsi="Calibri" w:cs="Calibri"/>
          <w:color w:val="000000"/>
          <w:shd w:val="clear" w:color="auto" w:fill="FFFFFF"/>
        </w:rPr>
        <w:t>VS</w:t>
      </w:r>
      <w:r w:rsidR="0088778D" w:rsidRPr="00B10F44">
        <w:rPr>
          <w:rFonts w:ascii="Calibri" w:hAnsi="Calibri" w:cs="Calibri"/>
          <w:color w:val="000000"/>
          <w:shd w:val="clear" w:color="auto" w:fill="FFFFFF"/>
        </w:rPr>
        <w:t>, T</w:t>
      </w:r>
      <w:r w:rsidR="00E57F21">
        <w:rPr>
          <w:rFonts w:ascii="Calibri" w:hAnsi="Calibri" w:cs="Calibri"/>
          <w:color w:val="000000"/>
          <w:shd w:val="clear" w:color="auto" w:fill="FFFFFF"/>
        </w:rPr>
        <w:t>FS</w:t>
      </w:r>
      <w:r w:rsidR="0088778D" w:rsidRPr="00B10F44">
        <w:rPr>
          <w:rFonts w:ascii="Calibri" w:hAnsi="Calibri" w:cs="Calibri"/>
          <w:color w:val="000000"/>
          <w:shd w:val="clear" w:color="auto" w:fill="FFFFFF"/>
        </w:rPr>
        <w:t xml:space="preserve">, and chlorophyll </w:t>
      </w:r>
      <w:r w:rsidR="0088778D" w:rsidRPr="00B10F44">
        <w:rPr>
          <w:rFonts w:ascii="Calibri" w:hAnsi="Calibri" w:cs="Calibri"/>
          <w:i/>
          <w:iCs/>
          <w:color w:val="000000"/>
          <w:shd w:val="clear" w:color="auto" w:fill="FFFFFF"/>
        </w:rPr>
        <w:t>a</w:t>
      </w:r>
      <w:r w:rsidR="008133E8" w:rsidRPr="00B10F44">
        <w:rPr>
          <w:rFonts w:ascii="Calibri" w:hAnsi="Calibri" w:cs="Calibri"/>
          <w:color w:val="000000"/>
          <w:shd w:val="clear" w:color="auto" w:fill="FFFFFF"/>
        </w:rPr>
        <w:t>, the number of sampling stations within each watershed is relatively low, and their locations are focused on specific waterbodies of interest. Therefore, the dataset may not be appropriate for comparisons of trends among river basins.</w:t>
      </w:r>
    </w:p>
    <w:p w14:paraId="02069AB8" w14:textId="77777777" w:rsidR="008E3605" w:rsidRPr="00AD3B35" w:rsidRDefault="008E3605" w:rsidP="008E3605">
      <w:pPr>
        <w:pStyle w:val="BodyTextIndent"/>
        <w:ind w:firstLine="0"/>
        <w:jc w:val="left"/>
        <w:rPr>
          <w:rFonts w:cstheme="minorHAnsi"/>
        </w:rPr>
      </w:pPr>
    </w:p>
    <w:p w14:paraId="2AB18983" w14:textId="0BC8BEED" w:rsidR="00A11D2E" w:rsidRPr="00AD3B35" w:rsidRDefault="00A11D2E" w:rsidP="00184023">
      <w:r w:rsidRPr="00AD3B35">
        <w:t xml:space="preserve">The seasonal Kendall test is, as the name implies, a seasonal comparison from year to year. The abundant individual station data that are available </w:t>
      </w:r>
      <w:proofErr w:type="gramStart"/>
      <w:r w:rsidRPr="00AD3B35">
        <w:t>allow</w:t>
      </w:r>
      <w:proofErr w:type="gramEnd"/>
      <w:r w:rsidRPr="00AD3B35">
        <w:t xml:space="preserve"> for grouping of the data into seasons, thus accounting for seasonal variations in water quality, that may prevent the detection of long-term trends. Eight seasonal periods were selected for the analyses (Table </w:t>
      </w:r>
      <w:r w:rsidR="00D47D43">
        <w:t>4.7-</w:t>
      </w:r>
      <w:r w:rsidRPr="00AD3B35">
        <w:t>3).</w:t>
      </w:r>
    </w:p>
    <w:p w14:paraId="77F51E1C" w14:textId="77777777" w:rsidR="00A11D2E" w:rsidRPr="00AD3B35" w:rsidRDefault="00A11D2E" w:rsidP="00184023"/>
    <w:p w14:paraId="4BA137FC" w14:textId="24438C47" w:rsidR="00F432F6" w:rsidRDefault="00F432F6" w:rsidP="00F432F6">
      <w:pPr>
        <w:pStyle w:val="Caption"/>
        <w:keepNext/>
      </w:pPr>
      <w:bookmarkStart w:id="336" w:name="_Toc164175224"/>
      <w:r>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3</w:t>
      </w:r>
      <w:r w:rsidR="004F13BA">
        <w:rPr>
          <w:noProof/>
        </w:rPr>
        <w:fldChar w:fldCharType="end"/>
      </w:r>
      <w:r>
        <w:t xml:space="preserve">. </w:t>
      </w:r>
      <w:r w:rsidRPr="00AD3B35">
        <w:rPr>
          <w:rFonts w:cstheme="minorHAnsi"/>
        </w:rPr>
        <w:t>Astronomical seasonal time periods used in the 2024 trends analysis.</w:t>
      </w:r>
      <w:bookmarkEnd w:id="3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Astronomical seasonal time periods used in the 2024 trends analysis."/>
        <w:tblDescription w:val="Astronomical seasonal time periods used in the 2024 trends analysis."/>
      </w:tblPr>
      <w:tblGrid>
        <w:gridCol w:w="4675"/>
        <w:gridCol w:w="4675"/>
      </w:tblGrid>
      <w:tr w:rsidR="008E3605" w:rsidRPr="00A50DB8" w14:paraId="03DE5B77" w14:textId="77777777">
        <w:trPr>
          <w:trHeight w:val="360"/>
        </w:trPr>
        <w:tc>
          <w:tcPr>
            <w:tcW w:w="4675" w:type="dxa"/>
            <w:tcBorders>
              <w:top w:val="single" w:sz="12" w:space="0" w:color="auto"/>
              <w:bottom w:val="single" w:sz="2" w:space="0" w:color="auto"/>
            </w:tcBorders>
            <w:vAlign w:val="center"/>
          </w:tcPr>
          <w:p w14:paraId="09A539A1" w14:textId="77777777" w:rsidR="008E3605" w:rsidRPr="008E3605" w:rsidRDefault="008E3605">
            <w:pPr>
              <w:jc w:val="center"/>
              <w:rPr>
                <w:b/>
                <w:bCs/>
                <w:sz w:val="22"/>
                <w:szCs w:val="22"/>
              </w:rPr>
            </w:pPr>
            <w:r w:rsidRPr="008E3605">
              <w:rPr>
                <w:b/>
                <w:bCs/>
                <w:sz w:val="22"/>
                <w:szCs w:val="22"/>
              </w:rPr>
              <w:t>Season</w:t>
            </w:r>
          </w:p>
        </w:tc>
        <w:tc>
          <w:tcPr>
            <w:tcW w:w="4675" w:type="dxa"/>
            <w:tcBorders>
              <w:top w:val="single" w:sz="12" w:space="0" w:color="auto"/>
              <w:bottom w:val="single" w:sz="2" w:space="0" w:color="auto"/>
            </w:tcBorders>
            <w:vAlign w:val="center"/>
          </w:tcPr>
          <w:p w14:paraId="22A08A17" w14:textId="77777777" w:rsidR="008E3605" w:rsidRPr="008E3605" w:rsidRDefault="008E3605">
            <w:pPr>
              <w:jc w:val="center"/>
              <w:rPr>
                <w:b/>
                <w:bCs/>
                <w:sz w:val="22"/>
                <w:szCs w:val="22"/>
              </w:rPr>
            </w:pPr>
            <w:r w:rsidRPr="008E3605">
              <w:rPr>
                <w:b/>
                <w:bCs/>
                <w:sz w:val="22"/>
                <w:szCs w:val="22"/>
              </w:rPr>
              <w:t>Dates (Start – End)</w:t>
            </w:r>
          </w:p>
        </w:tc>
      </w:tr>
      <w:tr w:rsidR="008E3605" w14:paraId="224C1FE3" w14:textId="77777777">
        <w:trPr>
          <w:trHeight w:val="360"/>
        </w:trPr>
        <w:tc>
          <w:tcPr>
            <w:tcW w:w="4675" w:type="dxa"/>
            <w:tcBorders>
              <w:top w:val="single" w:sz="2" w:space="0" w:color="auto"/>
            </w:tcBorders>
            <w:vAlign w:val="center"/>
          </w:tcPr>
          <w:p w14:paraId="0467A62C" w14:textId="77777777" w:rsidR="008E3605" w:rsidRPr="008E3605" w:rsidRDefault="008E3605">
            <w:pPr>
              <w:jc w:val="center"/>
              <w:rPr>
                <w:sz w:val="22"/>
                <w:szCs w:val="22"/>
              </w:rPr>
            </w:pPr>
            <w:r w:rsidRPr="008E3605">
              <w:rPr>
                <w:sz w:val="22"/>
                <w:szCs w:val="22"/>
              </w:rPr>
              <w:t>Early Winter</w:t>
            </w:r>
          </w:p>
        </w:tc>
        <w:tc>
          <w:tcPr>
            <w:tcW w:w="4675" w:type="dxa"/>
            <w:tcBorders>
              <w:top w:val="single" w:sz="2" w:space="0" w:color="auto"/>
            </w:tcBorders>
            <w:vAlign w:val="center"/>
          </w:tcPr>
          <w:p w14:paraId="175E9378" w14:textId="77777777" w:rsidR="008E3605" w:rsidRPr="008E3605" w:rsidRDefault="008E3605">
            <w:pPr>
              <w:jc w:val="center"/>
              <w:rPr>
                <w:sz w:val="22"/>
                <w:szCs w:val="22"/>
              </w:rPr>
            </w:pPr>
            <w:r w:rsidRPr="008E3605">
              <w:rPr>
                <w:sz w:val="22"/>
                <w:szCs w:val="22"/>
              </w:rPr>
              <w:t>12/22 – 02/04</w:t>
            </w:r>
          </w:p>
        </w:tc>
      </w:tr>
      <w:tr w:rsidR="008E3605" w14:paraId="2BCAC484" w14:textId="77777777">
        <w:trPr>
          <w:trHeight w:val="360"/>
        </w:trPr>
        <w:tc>
          <w:tcPr>
            <w:tcW w:w="4675" w:type="dxa"/>
            <w:vAlign w:val="center"/>
          </w:tcPr>
          <w:p w14:paraId="5D701145" w14:textId="77777777" w:rsidR="008E3605" w:rsidRPr="008E3605" w:rsidRDefault="008E3605">
            <w:pPr>
              <w:jc w:val="center"/>
              <w:rPr>
                <w:sz w:val="22"/>
                <w:szCs w:val="22"/>
              </w:rPr>
            </w:pPr>
            <w:r w:rsidRPr="008E3605">
              <w:rPr>
                <w:sz w:val="22"/>
                <w:szCs w:val="22"/>
              </w:rPr>
              <w:t>Late Winter</w:t>
            </w:r>
          </w:p>
        </w:tc>
        <w:tc>
          <w:tcPr>
            <w:tcW w:w="4675" w:type="dxa"/>
            <w:vAlign w:val="center"/>
          </w:tcPr>
          <w:p w14:paraId="2F535AAF" w14:textId="77777777" w:rsidR="008E3605" w:rsidRPr="008E3605" w:rsidRDefault="008E3605">
            <w:pPr>
              <w:jc w:val="center"/>
              <w:rPr>
                <w:sz w:val="22"/>
                <w:szCs w:val="22"/>
              </w:rPr>
            </w:pPr>
            <w:r w:rsidRPr="008E3605">
              <w:rPr>
                <w:sz w:val="22"/>
                <w:szCs w:val="22"/>
              </w:rPr>
              <w:t>02/05 – 03/22</w:t>
            </w:r>
          </w:p>
        </w:tc>
      </w:tr>
      <w:tr w:rsidR="008E3605" w14:paraId="2228243D" w14:textId="77777777">
        <w:trPr>
          <w:trHeight w:val="360"/>
        </w:trPr>
        <w:tc>
          <w:tcPr>
            <w:tcW w:w="4675" w:type="dxa"/>
            <w:vAlign w:val="center"/>
          </w:tcPr>
          <w:p w14:paraId="1CE1C6BC" w14:textId="77777777" w:rsidR="008E3605" w:rsidRPr="008E3605" w:rsidRDefault="008E3605">
            <w:pPr>
              <w:jc w:val="center"/>
              <w:rPr>
                <w:sz w:val="22"/>
                <w:szCs w:val="22"/>
              </w:rPr>
            </w:pPr>
            <w:r w:rsidRPr="008E3605">
              <w:rPr>
                <w:sz w:val="22"/>
                <w:szCs w:val="22"/>
              </w:rPr>
              <w:t>Early Spring</w:t>
            </w:r>
          </w:p>
        </w:tc>
        <w:tc>
          <w:tcPr>
            <w:tcW w:w="4675" w:type="dxa"/>
            <w:vAlign w:val="center"/>
          </w:tcPr>
          <w:p w14:paraId="1C91D86A" w14:textId="77777777" w:rsidR="008E3605" w:rsidRPr="008E3605" w:rsidRDefault="008E3605">
            <w:pPr>
              <w:jc w:val="center"/>
              <w:rPr>
                <w:sz w:val="22"/>
                <w:szCs w:val="22"/>
              </w:rPr>
            </w:pPr>
            <w:r w:rsidRPr="008E3605">
              <w:rPr>
                <w:sz w:val="22"/>
                <w:szCs w:val="22"/>
              </w:rPr>
              <w:t>03/23 – 05/07</w:t>
            </w:r>
          </w:p>
        </w:tc>
      </w:tr>
      <w:tr w:rsidR="008E3605" w14:paraId="761F6DE4" w14:textId="77777777">
        <w:trPr>
          <w:trHeight w:val="360"/>
        </w:trPr>
        <w:tc>
          <w:tcPr>
            <w:tcW w:w="4675" w:type="dxa"/>
            <w:vAlign w:val="center"/>
          </w:tcPr>
          <w:p w14:paraId="790307CE" w14:textId="77777777" w:rsidR="008E3605" w:rsidRPr="008E3605" w:rsidRDefault="008E3605">
            <w:pPr>
              <w:jc w:val="center"/>
              <w:rPr>
                <w:sz w:val="22"/>
                <w:szCs w:val="22"/>
              </w:rPr>
            </w:pPr>
            <w:r w:rsidRPr="008E3605">
              <w:rPr>
                <w:sz w:val="22"/>
                <w:szCs w:val="22"/>
              </w:rPr>
              <w:t>Late Spring</w:t>
            </w:r>
          </w:p>
        </w:tc>
        <w:tc>
          <w:tcPr>
            <w:tcW w:w="4675" w:type="dxa"/>
            <w:vAlign w:val="center"/>
          </w:tcPr>
          <w:p w14:paraId="044F6D44" w14:textId="77777777" w:rsidR="008E3605" w:rsidRPr="008E3605" w:rsidRDefault="008E3605">
            <w:pPr>
              <w:jc w:val="center"/>
              <w:rPr>
                <w:sz w:val="22"/>
                <w:szCs w:val="22"/>
              </w:rPr>
            </w:pPr>
            <w:r w:rsidRPr="008E3605">
              <w:rPr>
                <w:sz w:val="22"/>
                <w:szCs w:val="22"/>
              </w:rPr>
              <w:t>05/08 – 06/22</w:t>
            </w:r>
          </w:p>
        </w:tc>
      </w:tr>
      <w:tr w:rsidR="008E3605" w14:paraId="72B673DF" w14:textId="77777777">
        <w:trPr>
          <w:trHeight w:val="360"/>
        </w:trPr>
        <w:tc>
          <w:tcPr>
            <w:tcW w:w="4675" w:type="dxa"/>
            <w:vAlign w:val="center"/>
          </w:tcPr>
          <w:p w14:paraId="2EC7B9C4" w14:textId="77777777" w:rsidR="008E3605" w:rsidRPr="008E3605" w:rsidRDefault="008E3605">
            <w:pPr>
              <w:jc w:val="center"/>
              <w:rPr>
                <w:sz w:val="22"/>
                <w:szCs w:val="22"/>
              </w:rPr>
            </w:pPr>
            <w:r w:rsidRPr="008E3605">
              <w:rPr>
                <w:sz w:val="22"/>
                <w:szCs w:val="22"/>
              </w:rPr>
              <w:t>Early Summer</w:t>
            </w:r>
          </w:p>
        </w:tc>
        <w:tc>
          <w:tcPr>
            <w:tcW w:w="4675" w:type="dxa"/>
            <w:vAlign w:val="center"/>
          </w:tcPr>
          <w:p w14:paraId="3F2E6A72" w14:textId="77777777" w:rsidR="008E3605" w:rsidRPr="008E3605" w:rsidRDefault="008E3605">
            <w:pPr>
              <w:jc w:val="center"/>
              <w:rPr>
                <w:sz w:val="22"/>
                <w:szCs w:val="22"/>
              </w:rPr>
            </w:pPr>
            <w:r w:rsidRPr="008E3605">
              <w:rPr>
                <w:sz w:val="22"/>
                <w:szCs w:val="22"/>
              </w:rPr>
              <w:t>06/23 – 08/07</w:t>
            </w:r>
          </w:p>
        </w:tc>
      </w:tr>
      <w:tr w:rsidR="008E3605" w14:paraId="743D10D6" w14:textId="77777777">
        <w:trPr>
          <w:trHeight w:val="360"/>
        </w:trPr>
        <w:tc>
          <w:tcPr>
            <w:tcW w:w="4675" w:type="dxa"/>
            <w:vAlign w:val="center"/>
          </w:tcPr>
          <w:p w14:paraId="5C8837C2" w14:textId="77777777" w:rsidR="008E3605" w:rsidRPr="008E3605" w:rsidRDefault="008E3605">
            <w:pPr>
              <w:jc w:val="center"/>
              <w:rPr>
                <w:sz w:val="22"/>
                <w:szCs w:val="22"/>
              </w:rPr>
            </w:pPr>
            <w:r w:rsidRPr="008E3605">
              <w:rPr>
                <w:sz w:val="22"/>
                <w:szCs w:val="22"/>
              </w:rPr>
              <w:t>Late Summer</w:t>
            </w:r>
          </w:p>
        </w:tc>
        <w:tc>
          <w:tcPr>
            <w:tcW w:w="4675" w:type="dxa"/>
            <w:vAlign w:val="center"/>
          </w:tcPr>
          <w:p w14:paraId="70CFF028" w14:textId="77777777" w:rsidR="008E3605" w:rsidRPr="008E3605" w:rsidRDefault="008E3605">
            <w:pPr>
              <w:jc w:val="center"/>
              <w:rPr>
                <w:sz w:val="22"/>
                <w:szCs w:val="22"/>
              </w:rPr>
            </w:pPr>
            <w:r w:rsidRPr="008E3605">
              <w:rPr>
                <w:sz w:val="22"/>
                <w:szCs w:val="22"/>
              </w:rPr>
              <w:t>08/08 – 09/22</w:t>
            </w:r>
          </w:p>
        </w:tc>
      </w:tr>
      <w:tr w:rsidR="008E3605" w14:paraId="18E7E43E" w14:textId="77777777">
        <w:trPr>
          <w:trHeight w:val="360"/>
        </w:trPr>
        <w:tc>
          <w:tcPr>
            <w:tcW w:w="4675" w:type="dxa"/>
            <w:vAlign w:val="center"/>
          </w:tcPr>
          <w:p w14:paraId="65BBC791" w14:textId="77777777" w:rsidR="008E3605" w:rsidRPr="008E3605" w:rsidRDefault="008E3605">
            <w:pPr>
              <w:jc w:val="center"/>
              <w:rPr>
                <w:sz w:val="22"/>
                <w:szCs w:val="22"/>
              </w:rPr>
            </w:pPr>
            <w:r w:rsidRPr="008E3605">
              <w:rPr>
                <w:sz w:val="22"/>
                <w:szCs w:val="22"/>
              </w:rPr>
              <w:t>Early Fall</w:t>
            </w:r>
          </w:p>
        </w:tc>
        <w:tc>
          <w:tcPr>
            <w:tcW w:w="4675" w:type="dxa"/>
            <w:vAlign w:val="center"/>
          </w:tcPr>
          <w:p w14:paraId="6FE4002E" w14:textId="77777777" w:rsidR="008E3605" w:rsidRPr="008E3605" w:rsidRDefault="008E3605">
            <w:pPr>
              <w:jc w:val="center"/>
              <w:rPr>
                <w:sz w:val="22"/>
                <w:szCs w:val="22"/>
              </w:rPr>
            </w:pPr>
            <w:r w:rsidRPr="008E3605">
              <w:rPr>
                <w:sz w:val="22"/>
                <w:szCs w:val="22"/>
              </w:rPr>
              <w:t>09/23 – 11/07</w:t>
            </w:r>
          </w:p>
        </w:tc>
      </w:tr>
      <w:tr w:rsidR="008E3605" w14:paraId="61478620" w14:textId="77777777">
        <w:trPr>
          <w:trHeight w:val="360"/>
        </w:trPr>
        <w:tc>
          <w:tcPr>
            <w:tcW w:w="4675" w:type="dxa"/>
            <w:tcBorders>
              <w:bottom w:val="single" w:sz="12" w:space="0" w:color="auto"/>
            </w:tcBorders>
            <w:vAlign w:val="center"/>
          </w:tcPr>
          <w:p w14:paraId="132BD7FF" w14:textId="77777777" w:rsidR="008E3605" w:rsidRPr="008E3605" w:rsidRDefault="008E3605">
            <w:pPr>
              <w:jc w:val="center"/>
              <w:rPr>
                <w:sz w:val="22"/>
                <w:szCs w:val="22"/>
              </w:rPr>
            </w:pPr>
            <w:r w:rsidRPr="008E3605">
              <w:rPr>
                <w:sz w:val="22"/>
                <w:szCs w:val="22"/>
              </w:rPr>
              <w:t>Late Fall</w:t>
            </w:r>
          </w:p>
        </w:tc>
        <w:tc>
          <w:tcPr>
            <w:tcW w:w="4675" w:type="dxa"/>
            <w:tcBorders>
              <w:bottom w:val="single" w:sz="12" w:space="0" w:color="auto"/>
            </w:tcBorders>
            <w:vAlign w:val="center"/>
          </w:tcPr>
          <w:p w14:paraId="140A1154" w14:textId="77777777" w:rsidR="008E3605" w:rsidRPr="008E3605" w:rsidRDefault="008E3605">
            <w:pPr>
              <w:jc w:val="center"/>
              <w:rPr>
                <w:sz w:val="22"/>
                <w:szCs w:val="22"/>
              </w:rPr>
            </w:pPr>
            <w:r w:rsidRPr="008E3605">
              <w:rPr>
                <w:sz w:val="22"/>
                <w:szCs w:val="22"/>
              </w:rPr>
              <w:t>11/08 – 12/21</w:t>
            </w:r>
          </w:p>
        </w:tc>
      </w:tr>
    </w:tbl>
    <w:p w14:paraId="71AF561D" w14:textId="77777777" w:rsidR="00A11D2E" w:rsidRDefault="00A11D2E" w:rsidP="00A11D2E">
      <w:pPr>
        <w:pStyle w:val="BodyTextIndent"/>
        <w:ind w:firstLine="0"/>
        <w:rPr>
          <w:rFonts w:cstheme="minorHAnsi"/>
        </w:rPr>
      </w:pPr>
    </w:p>
    <w:p w14:paraId="5F6D07E9" w14:textId="77777777" w:rsidR="002C3FA3" w:rsidRDefault="002C3FA3" w:rsidP="00A11D2E">
      <w:pPr>
        <w:pStyle w:val="BodyTextIndent"/>
        <w:ind w:firstLine="0"/>
        <w:rPr>
          <w:rFonts w:cstheme="minorHAnsi"/>
        </w:rPr>
      </w:pPr>
    </w:p>
    <w:p w14:paraId="32603E02" w14:textId="77777777" w:rsidR="002C3FA3" w:rsidRPr="00AD3B35" w:rsidRDefault="002C3FA3" w:rsidP="00A11D2E">
      <w:pPr>
        <w:pStyle w:val="BodyTextIndent"/>
        <w:ind w:firstLine="0"/>
        <w:rPr>
          <w:rFonts w:cstheme="minorHAnsi"/>
        </w:rPr>
        <w:sectPr w:rsidR="002C3FA3" w:rsidRPr="00AD3B35" w:rsidSect="009079C4">
          <w:pgSz w:w="12240" w:h="15840" w:code="1"/>
          <w:pgMar w:top="1440" w:right="1440" w:bottom="1440" w:left="1440" w:header="720" w:footer="720" w:gutter="0"/>
          <w:cols w:space="720"/>
          <w:docGrid w:linePitch="360"/>
        </w:sectPr>
      </w:pPr>
    </w:p>
    <w:p w14:paraId="313792F1" w14:textId="77777777" w:rsidR="00A11D2E" w:rsidRPr="00AD3B35" w:rsidRDefault="00A11D2E" w:rsidP="00A11D2E">
      <w:pPr>
        <w:framePr w:hSpace="180" w:wrap="around" w:vAnchor="page" w:hAnchor="page" w:x="721" w:y="3226"/>
        <w:rPr>
          <w:rFonts w:cstheme="minorHAnsi"/>
        </w:rPr>
      </w:pPr>
    </w:p>
    <w:p w14:paraId="3C0CF494" w14:textId="4912BEF0" w:rsidR="00A11D2E" w:rsidRPr="00AD3B35" w:rsidRDefault="00133C7C" w:rsidP="00BF5417">
      <w:pPr>
        <w:pStyle w:val="Heading3"/>
        <w:rPr>
          <w:i/>
        </w:rPr>
      </w:pPr>
      <w:r>
        <w:t>Results</w:t>
      </w:r>
    </w:p>
    <w:p w14:paraId="6AA4BD15" w14:textId="21100EF6" w:rsidR="00A11D2E" w:rsidRPr="00AD3B35" w:rsidRDefault="007F50ED" w:rsidP="00A11D2E">
      <w:pPr>
        <w:rPr>
          <w:rFonts w:cstheme="minorHAnsi"/>
        </w:rPr>
      </w:pPr>
      <w:r>
        <w:rPr>
          <w:rFonts w:cstheme="minorHAnsi"/>
        </w:rPr>
        <w:t>The r</w:t>
      </w:r>
      <w:r w:rsidR="00F506C1">
        <w:rPr>
          <w:rFonts w:cstheme="minorHAnsi"/>
        </w:rPr>
        <w:t xml:space="preserve">esults of the trends analysis are summarized by basin. The Chesapeake basin corresponds to areas that drain directly into the </w:t>
      </w:r>
      <w:r w:rsidR="006D6541">
        <w:rPr>
          <w:rFonts w:cstheme="minorHAnsi"/>
        </w:rPr>
        <w:t>Chesapeake Bay or the Atlantic Ocean. For the remaining basins, the James, Potomac, Rap</w:t>
      </w:r>
      <w:r w:rsidR="00FE21AD">
        <w:rPr>
          <w:rFonts w:cstheme="minorHAnsi"/>
        </w:rPr>
        <w:t>p</w:t>
      </w:r>
      <w:r w:rsidR="006D6541">
        <w:rPr>
          <w:rFonts w:cstheme="minorHAnsi"/>
        </w:rPr>
        <w:t xml:space="preserve">ahannock, </w:t>
      </w:r>
      <w:r w:rsidR="00FE21AD">
        <w:rPr>
          <w:rFonts w:cstheme="minorHAnsi"/>
        </w:rPr>
        <w:t>York, and</w:t>
      </w:r>
      <w:r w:rsidR="006D6541">
        <w:rPr>
          <w:rFonts w:cstheme="minorHAnsi"/>
        </w:rPr>
        <w:t xml:space="preserve"> </w:t>
      </w:r>
      <w:r w:rsidR="00FE21AD">
        <w:rPr>
          <w:rFonts w:cstheme="minorHAnsi"/>
        </w:rPr>
        <w:t xml:space="preserve">Shenandoah are within the </w:t>
      </w:r>
      <w:r w:rsidR="00457BEA">
        <w:rPr>
          <w:rFonts w:cstheme="minorHAnsi"/>
        </w:rPr>
        <w:t xml:space="preserve">Chesapeake Bay watershed. </w:t>
      </w:r>
      <w:r w:rsidR="00A11D2E" w:rsidRPr="00AD3B35">
        <w:rPr>
          <w:rFonts w:cstheme="minorHAnsi"/>
        </w:rPr>
        <w:t xml:space="preserve">Of the 413 monitoring stations included in this study 130 </w:t>
      </w:r>
      <w:proofErr w:type="gramStart"/>
      <w:r w:rsidR="00A11D2E" w:rsidRPr="00AD3B35">
        <w:rPr>
          <w:rFonts w:cstheme="minorHAnsi"/>
        </w:rPr>
        <w:t>are located in</w:t>
      </w:r>
      <w:proofErr w:type="gramEnd"/>
      <w:r w:rsidR="00A11D2E" w:rsidRPr="00AD3B35">
        <w:rPr>
          <w:rFonts w:cstheme="minorHAnsi"/>
        </w:rPr>
        <w:t xml:space="preserve"> estuaries (that is, water bodies with measurable tidal cycles), 26 are in reservoirs (dammed streams that form artificial lakes), and 257 are in streams (free-flowing fresh waters, from small </w:t>
      </w:r>
      <w:proofErr w:type="spellStart"/>
      <w:r w:rsidR="00D97E3B">
        <w:rPr>
          <w:rFonts w:cstheme="minorHAnsi"/>
        </w:rPr>
        <w:t>wadeable</w:t>
      </w:r>
      <w:proofErr w:type="spellEnd"/>
      <w:r w:rsidR="00A11D2E" w:rsidRPr="00AD3B35">
        <w:rPr>
          <w:rFonts w:cstheme="minorHAnsi"/>
        </w:rPr>
        <w:t xml:space="preserve"> streams to large non-tidal rivers; Figure </w:t>
      </w:r>
      <w:r w:rsidR="00C70528">
        <w:rPr>
          <w:rFonts w:cstheme="minorHAnsi"/>
        </w:rPr>
        <w:t>4.7</w:t>
      </w:r>
      <w:proofErr w:type="gramStart"/>
      <w:r w:rsidR="00C70528">
        <w:rPr>
          <w:rFonts w:cstheme="minorHAnsi"/>
        </w:rPr>
        <w:t>-</w:t>
      </w:r>
      <w:r w:rsidR="00A11D2E" w:rsidRPr="00AD3B35">
        <w:rPr>
          <w:rFonts w:cstheme="minorHAnsi"/>
        </w:rPr>
        <w:t>1</w:t>
      </w:r>
      <w:proofErr w:type="gramEnd"/>
      <w:r w:rsidR="00A11D2E" w:rsidRPr="00AD3B35">
        <w:rPr>
          <w:rFonts w:cstheme="minorHAnsi"/>
        </w:rPr>
        <w:t xml:space="preserve">; Table </w:t>
      </w:r>
      <w:r w:rsidR="00C70528">
        <w:rPr>
          <w:rFonts w:cstheme="minorHAnsi"/>
        </w:rPr>
        <w:t>4.7-</w:t>
      </w:r>
      <w:r w:rsidR="00A11D2E" w:rsidRPr="00AD3B35">
        <w:rPr>
          <w:rFonts w:cstheme="minorHAnsi"/>
        </w:rPr>
        <w:t xml:space="preserve">2). Estuary stations are limited to the six easternmost basins that are adjacent to the Atlantic </w:t>
      </w:r>
      <w:r w:rsidR="009228DD" w:rsidRPr="00AD3B35">
        <w:rPr>
          <w:rFonts w:cstheme="minorHAnsi"/>
        </w:rPr>
        <w:t>Ocean:</w:t>
      </w:r>
      <w:r w:rsidR="00A11D2E" w:rsidRPr="00AD3B35">
        <w:rPr>
          <w:rFonts w:cstheme="minorHAnsi"/>
        </w:rPr>
        <w:t xml:space="preserve"> the Chesapeake Bay, and the James, Potomac, Rappahannock, </w:t>
      </w:r>
      <w:r w:rsidR="009228DD" w:rsidRPr="00AD3B35">
        <w:rPr>
          <w:rFonts w:cstheme="minorHAnsi"/>
        </w:rPr>
        <w:t>York,</w:t>
      </w:r>
      <w:r w:rsidR="00A11D2E" w:rsidRPr="00AD3B35">
        <w:rPr>
          <w:rFonts w:cstheme="minorHAnsi"/>
        </w:rPr>
        <w:t xml:space="preserve"> and Chowan </w:t>
      </w:r>
      <w:r w:rsidR="00595571">
        <w:rPr>
          <w:rFonts w:cstheme="minorHAnsi"/>
        </w:rPr>
        <w:t>and Dismal Swamp</w:t>
      </w:r>
      <w:r w:rsidR="00A11D2E" w:rsidRPr="00AD3B35">
        <w:rPr>
          <w:rFonts w:cstheme="minorHAnsi"/>
        </w:rPr>
        <w:t xml:space="preserve"> Basins. </w:t>
      </w:r>
      <w:proofErr w:type="gramStart"/>
      <w:r w:rsidR="00A11D2E" w:rsidRPr="00AD3B35">
        <w:rPr>
          <w:rFonts w:cstheme="minorHAnsi"/>
        </w:rPr>
        <w:t>Reservoir</w:t>
      </w:r>
      <w:proofErr w:type="gramEnd"/>
      <w:r w:rsidR="00A11D2E" w:rsidRPr="00AD3B35">
        <w:rPr>
          <w:rFonts w:cstheme="minorHAnsi"/>
        </w:rPr>
        <w:t xml:space="preserve"> stations included here occur in the New River Basin (Claytor Lake), Roanoke River Basin (Smith Mountain Lake), and York River Basin (Lake Anna, Waller Mill reservoir, and Queens Creek Reservoir). Streams are the predominant water body type in Virginia in terms of land area covered; therefore, stream stations dominate the dataset, occurring in all 10 major river basins. No trend stations </w:t>
      </w:r>
      <w:r w:rsidR="009228DD" w:rsidRPr="00AD3B35">
        <w:rPr>
          <w:rFonts w:cstheme="minorHAnsi"/>
        </w:rPr>
        <w:t>are in</w:t>
      </w:r>
      <w:r w:rsidR="00A11D2E" w:rsidRPr="00AD3B35">
        <w:rPr>
          <w:rFonts w:cstheme="minorHAnsi"/>
        </w:rPr>
        <w:t xml:space="preserve"> the Yadkin River Basin, which occupies only a small portion of the state and consists mostly of small first-order streams.</w:t>
      </w:r>
      <w:r w:rsidR="00BD42EE">
        <w:rPr>
          <w:rFonts w:cstheme="minorHAnsi"/>
        </w:rPr>
        <w:t xml:space="preserve"> </w:t>
      </w:r>
    </w:p>
    <w:p w14:paraId="4CF6CFE1" w14:textId="77777777" w:rsidR="00A11D2E" w:rsidRPr="00AD3B35" w:rsidRDefault="00A11D2E" w:rsidP="00A11D2E">
      <w:pPr>
        <w:rPr>
          <w:rFonts w:cstheme="minorHAnsi"/>
        </w:rPr>
      </w:pPr>
    </w:p>
    <w:p w14:paraId="55CE2013" w14:textId="4ACFBC53" w:rsidR="00A11D2E" w:rsidRDefault="00A11D2E" w:rsidP="00BF5417">
      <w:pPr>
        <w:rPr>
          <w:rFonts w:cstheme="minorHAnsi"/>
        </w:rPr>
      </w:pPr>
      <w:r w:rsidRPr="00AD3B35">
        <w:rPr>
          <w:rFonts w:cstheme="minorHAnsi"/>
        </w:rPr>
        <w:t xml:space="preserve">Notable results </w:t>
      </w:r>
      <w:r w:rsidR="008028D5">
        <w:rPr>
          <w:rFonts w:cstheme="minorHAnsi"/>
        </w:rPr>
        <w:t xml:space="preserve">(Table </w:t>
      </w:r>
      <w:r w:rsidR="000C1EFA">
        <w:rPr>
          <w:rFonts w:cstheme="minorHAnsi"/>
        </w:rPr>
        <w:t xml:space="preserve">4.7-4) </w:t>
      </w:r>
      <w:r w:rsidRPr="00AD3B35">
        <w:rPr>
          <w:rFonts w:cstheme="minorHAnsi"/>
        </w:rPr>
        <w:t xml:space="preserve">included improving water quality detected more frequently than degrading for: total nitrogen (41% of stations improving vs 3% degrading), Secchi depth (25% vs 5%), fixed suspended solids (29% vs 1%), total suspended solids (18% vs 3%), and turbidity (37% vs 2%), and degrading water quality conditions detected more frequently than improving for: specific conductance (2% improving vs 26% degrading), total volatile suspended solids (3% vs 16%) and surface water temperature (2% vs 19%). Overall comparisons of degrading versus improving conditions could not be clearly interpreted for dissolved oxygen and </w:t>
      </w:r>
      <w:proofErr w:type="spellStart"/>
      <w:r w:rsidRPr="00AD3B35">
        <w:rPr>
          <w:rFonts w:cstheme="minorHAnsi"/>
        </w:rPr>
        <w:t>pH.</w:t>
      </w:r>
      <w:proofErr w:type="spellEnd"/>
      <w:r w:rsidRPr="00AD3B35">
        <w:rPr>
          <w:rFonts w:cstheme="minorHAnsi"/>
        </w:rPr>
        <w:t xml:space="preserve"> Similar </w:t>
      </w:r>
      <w:r w:rsidR="00B6688F">
        <w:rPr>
          <w:rFonts w:cstheme="minorHAnsi"/>
        </w:rPr>
        <w:t xml:space="preserve">numbers of stations exhibiting </w:t>
      </w:r>
      <w:proofErr w:type="gramStart"/>
      <w:r w:rsidRPr="00AD3B35">
        <w:rPr>
          <w:rFonts w:cstheme="minorHAnsi"/>
        </w:rPr>
        <w:t>improving</w:t>
      </w:r>
      <w:proofErr w:type="gramEnd"/>
      <w:r w:rsidRPr="00AD3B35">
        <w:rPr>
          <w:rFonts w:cstheme="minorHAnsi"/>
        </w:rPr>
        <w:t xml:space="preserve"> versus degrading conditions were detected for total phosphorus, </w:t>
      </w:r>
      <w:r w:rsidR="00105F37" w:rsidRPr="000234AF">
        <w:rPr>
          <w:rFonts w:cstheme="minorHAnsi"/>
          <w:snapToGrid/>
          <w:color w:val="000000"/>
          <w:szCs w:val="24"/>
        </w:rPr>
        <w:t>chlorophyll</w:t>
      </w:r>
      <w:r w:rsidR="00105F37">
        <w:rPr>
          <w:rFonts w:cstheme="minorHAnsi"/>
          <w:snapToGrid/>
          <w:color w:val="000000"/>
          <w:szCs w:val="24"/>
        </w:rPr>
        <w:t xml:space="preserve"> </w:t>
      </w:r>
      <w:r w:rsidR="00105F37" w:rsidRPr="000234AF">
        <w:rPr>
          <w:rFonts w:cstheme="minorHAnsi"/>
          <w:i/>
          <w:snapToGrid/>
          <w:color w:val="000000"/>
          <w:szCs w:val="24"/>
        </w:rPr>
        <w:t>a</w:t>
      </w:r>
      <w:r w:rsidRPr="00AD3B35">
        <w:rPr>
          <w:rFonts w:cstheme="minorHAnsi"/>
        </w:rPr>
        <w:t>, and the three bacteria parameters (i.e., the difference in the number of sites was 7% or less</w:t>
      </w:r>
      <w:r w:rsidR="00BD42EE">
        <w:rPr>
          <w:rFonts w:cstheme="minorHAnsi"/>
        </w:rPr>
        <w:t>).</w:t>
      </w:r>
    </w:p>
    <w:p w14:paraId="3391D13E" w14:textId="642B7A36" w:rsidR="00AB4D63" w:rsidRPr="00AD3B35" w:rsidRDefault="00AB4D63" w:rsidP="00BF5417">
      <w:pPr>
        <w:rPr>
          <w:rFonts w:cstheme="minorHAnsi"/>
          <w:i/>
          <w:noProof/>
        </w:rPr>
        <w:sectPr w:rsidR="00AB4D63" w:rsidRPr="00AD3B35" w:rsidSect="009079C4">
          <w:pgSz w:w="12240" w:h="15840" w:code="1"/>
          <w:pgMar w:top="1440" w:right="1440" w:bottom="1440" w:left="1440" w:header="720" w:footer="720" w:gutter="0"/>
          <w:cols w:space="720"/>
          <w:docGrid w:linePitch="360"/>
        </w:sectPr>
      </w:pPr>
    </w:p>
    <w:p w14:paraId="53372D80" w14:textId="5DB5FD8C" w:rsidR="003814B2" w:rsidRPr="00D237D4" w:rsidRDefault="00F432F6" w:rsidP="003814B2">
      <w:pPr>
        <w:pStyle w:val="Caption"/>
        <w:keepNext/>
      </w:pPr>
      <w:bookmarkStart w:id="337" w:name="_Toc164175225"/>
      <w:bookmarkStart w:id="338" w:name="_Toc152844644"/>
      <w:r>
        <w:lastRenderedPageBreak/>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4</w:t>
      </w:r>
      <w:r w:rsidR="004F13BA">
        <w:rPr>
          <w:noProof/>
        </w:rPr>
        <w:fldChar w:fldCharType="end"/>
      </w:r>
      <w:r>
        <w:t xml:space="preserve">. </w:t>
      </w:r>
      <w:r w:rsidR="003814B2">
        <w:t>Summary of station trends</w:t>
      </w:r>
      <w:bookmarkEnd w:id="337"/>
      <w:r w:rsidR="003814B2">
        <w:t xml:space="preserve">. </w:t>
      </w:r>
      <w:r w:rsidRPr="0A5BE548">
        <w:rPr>
          <w:rFonts w:cstheme="minorBidi"/>
        </w:rPr>
        <w:t>Percent of stations with no trend, improving trend or degrading trend, total number of stations and number of samples analyzed by parameter</w:t>
      </w:r>
      <w:bookmarkEnd w:id="338"/>
      <w:r w:rsidR="00CA3E99" w:rsidRPr="0A5BE548">
        <w:rPr>
          <w:rFonts w:cstheme="minorBidi"/>
        </w:rPr>
        <w:t xml:space="preserve">, 2003 through 2022. </w:t>
      </w:r>
    </w:p>
    <w:tbl>
      <w:tblPr>
        <w:tblStyle w:val="TableGrid"/>
        <w:tblW w:w="9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Percent of stations with no trend, improving trend or degrading trend, total number of stations and number of samples analyzed by parameter.  "/>
        <w:tblDescription w:val="Percent of stations with no trend, improving trend or degrading trend, total number of stations and number of samples analyzed by parameter.  "/>
      </w:tblPr>
      <w:tblGrid>
        <w:gridCol w:w="3055"/>
        <w:gridCol w:w="1440"/>
        <w:gridCol w:w="1532"/>
        <w:gridCol w:w="1528"/>
        <w:gridCol w:w="1080"/>
        <w:gridCol w:w="1080"/>
      </w:tblGrid>
      <w:tr w:rsidR="000A3697" w14:paraId="340267E0" w14:textId="77777777">
        <w:trPr>
          <w:trHeight w:val="360"/>
        </w:trPr>
        <w:tc>
          <w:tcPr>
            <w:tcW w:w="3055" w:type="dxa"/>
            <w:tcBorders>
              <w:top w:val="single" w:sz="12" w:space="0" w:color="auto"/>
              <w:bottom w:val="single" w:sz="2" w:space="0" w:color="auto"/>
            </w:tcBorders>
            <w:vAlign w:val="center"/>
          </w:tcPr>
          <w:p w14:paraId="51D6AC89" w14:textId="77777777" w:rsidR="000A3697" w:rsidRPr="00870A29" w:rsidRDefault="000A3697">
            <w:pPr>
              <w:jc w:val="right"/>
              <w:rPr>
                <w:rFonts w:cstheme="minorHAnsi"/>
                <w:b/>
                <w:bCs/>
                <w:sz w:val="22"/>
                <w:szCs w:val="22"/>
              </w:rPr>
            </w:pPr>
            <w:r w:rsidRPr="00870A29">
              <w:rPr>
                <w:rFonts w:cstheme="minorHAnsi"/>
                <w:b/>
                <w:bCs/>
                <w:sz w:val="22"/>
                <w:szCs w:val="22"/>
              </w:rPr>
              <w:t>Parameter</w:t>
            </w:r>
          </w:p>
        </w:tc>
        <w:tc>
          <w:tcPr>
            <w:tcW w:w="1440" w:type="dxa"/>
            <w:tcBorders>
              <w:top w:val="single" w:sz="12" w:space="0" w:color="auto"/>
              <w:bottom w:val="single" w:sz="2" w:space="0" w:color="auto"/>
            </w:tcBorders>
            <w:vAlign w:val="center"/>
          </w:tcPr>
          <w:p w14:paraId="33A5E1E1" w14:textId="77777777" w:rsidR="000A3697" w:rsidRPr="00870A29" w:rsidRDefault="000A3697">
            <w:pPr>
              <w:jc w:val="center"/>
              <w:rPr>
                <w:rFonts w:cstheme="minorHAnsi"/>
                <w:b/>
                <w:bCs/>
                <w:sz w:val="22"/>
                <w:szCs w:val="22"/>
              </w:rPr>
            </w:pPr>
            <w:r w:rsidRPr="00870A29">
              <w:rPr>
                <w:rFonts w:cstheme="minorHAnsi"/>
                <w:b/>
                <w:bCs/>
                <w:sz w:val="22"/>
                <w:szCs w:val="22"/>
              </w:rPr>
              <w:t>No Trend (%)</w:t>
            </w:r>
          </w:p>
        </w:tc>
        <w:tc>
          <w:tcPr>
            <w:tcW w:w="1532" w:type="dxa"/>
            <w:tcBorders>
              <w:top w:val="single" w:sz="12" w:space="0" w:color="auto"/>
              <w:bottom w:val="single" w:sz="2" w:space="0" w:color="auto"/>
            </w:tcBorders>
            <w:vAlign w:val="center"/>
          </w:tcPr>
          <w:p w14:paraId="7DD753F8" w14:textId="77777777" w:rsidR="000A3697" w:rsidRPr="00870A29" w:rsidRDefault="000A3697">
            <w:pPr>
              <w:jc w:val="center"/>
              <w:rPr>
                <w:rFonts w:cstheme="minorHAnsi"/>
                <w:b/>
                <w:bCs/>
                <w:sz w:val="22"/>
                <w:szCs w:val="22"/>
              </w:rPr>
            </w:pPr>
            <w:r w:rsidRPr="00870A29">
              <w:rPr>
                <w:rFonts w:cstheme="minorHAnsi"/>
                <w:b/>
                <w:bCs/>
                <w:sz w:val="22"/>
                <w:szCs w:val="22"/>
              </w:rPr>
              <w:t>Improving (%)</w:t>
            </w:r>
          </w:p>
        </w:tc>
        <w:tc>
          <w:tcPr>
            <w:tcW w:w="1528" w:type="dxa"/>
            <w:tcBorders>
              <w:top w:val="single" w:sz="12" w:space="0" w:color="auto"/>
              <w:bottom w:val="single" w:sz="2" w:space="0" w:color="auto"/>
            </w:tcBorders>
            <w:vAlign w:val="center"/>
          </w:tcPr>
          <w:p w14:paraId="48BD4C20" w14:textId="77777777" w:rsidR="000A3697" w:rsidRPr="00870A29" w:rsidRDefault="000A3697">
            <w:pPr>
              <w:jc w:val="center"/>
              <w:rPr>
                <w:rFonts w:cstheme="minorHAnsi"/>
                <w:b/>
                <w:bCs/>
                <w:sz w:val="22"/>
                <w:szCs w:val="22"/>
              </w:rPr>
            </w:pPr>
            <w:r w:rsidRPr="00870A29">
              <w:rPr>
                <w:rFonts w:cstheme="minorHAnsi"/>
                <w:b/>
                <w:bCs/>
                <w:sz w:val="22"/>
                <w:szCs w:val="22"/>
              </w:rPr>
              <w:t>Degrading (%)</w:t>
            </w:r>
          </w:p>
        </w:tc>
        <w:tc>
          <w:tcPr>
            <w:tcW w:w="1080" w:type="dxa"/>
            <w:tcBorders>
              <w:top w:val="single" w:sz="12" w:space="0" w:color="auto"/>
              <w:bottom w:val="single" w:sz="2" w:space="0" w:color="auto"/>
            </w:tcBorders>
            <w:vAlign w:val="center"/>
          </w:tcPr>
          <w:p w14:paraId="211E4B5B" w14:textId="77777777" w:rsidR="000A3697" w:rsidRPr="00870A29" w:rsidRDefault="000A3697">
            <w:pPr>
              <w:jc w:val="center"/>
              <w:rPr>
                <w:rFonts w:cstheme="minorHAnsi"/>
                <w:b/>
                <w:bCs/>
                <w:sz w:val="22"/>
                <w:szCs w:val="22"/>
              </w:rPr>
            </w:pPr>
            <w:r w:rsidRPr="00870A29">
              <w:rPr>
                <w:rFonts w:cstheme="minorHAnsi"/>
                <w:b/>
                <w:bCs/>
                <w:sz w:val="22"/>
                <w:szCs w:val="22"/>
              </w:rPr>
              <w:t>Stations</w:t>
            </w:r>
          </w:p>
        </w:tc>
        <w:tc>
          <w:tcPr>
            <w:tcW w:w="1080" w:type="dxa"/>
            <w:tcBorders>
              <w:top w:val="single" w:sz="12" w:space="0" w:color="auto"/>
              <w:bottom w:val="single" w:sz="2" w:space="0" w:color="auto"/>
            </w:tcBorders>
            <w:vAlign w:val="center"/>
          </w:tcPr>
          <w:p w14:paraId="223DB2D5" w14:textId="77777777" w:rsidR="000A3697" w:rsidRPr="00870A29" w:rsidRDefault="000A3697">
            <w:pPr>
              <w:jc w:val="center"/>
              <w:rPr>
                <w:rFonts w:cstheme="minorHAnsi"/>
                <w:b/>
                <w:bCs/>
                <w:sz w:val="22"/>
                <w:szCs w:val="22"/>
              </w:rPr>
            </w:pPr>
            <w:r w:rsidRPr="00870A29">
              <w:rPr>
                <w:rFonts w:cstheme="minorHAnsi"/>
                <w:b/>
                <w:bCs/>
                <w:sz w:val="22"/>
                <w:szCs w:val="22"/>
              </w:rPr>
              <w:t>Samples</w:t>
            </w:r>
          </w:p>
        </w:tc>
      </w:tr>
      <w:tr w:rsidR="000A3697" w14:paraId="36756289" w14:textId="77777777">
        <w:trPr>
          <w:trHeight w:val="360"/>
        </w:trPr>
        <w:tc>
          <w:tcPr>
            <w:tcW w:w="3055" w:type="dxa"/>
            <w:tcBorders>
              <w:top w:val="single" w:sz="2" w:space="0" w:color="auto"/>
            </w:tcBorders>
            <w:vAlign w:val="center"/>
          </w:tcPr>
          <w:p w14:paraId="5B57D5B0" w14:textId="5D48389D" w:rsidR="000A3697" w:rsidRPr="00105F37" w:rsidRDefault="000A3697">
            <w:pPr>
              <w:jc w:val="right"/>
              <w:rPr>
                <w:rFonts w:cstheme="minorHAnsi"/>
                <w:i/>
                <w:iCs/>
                <w:sz w:val="22"/>
                <w:szCs w:val="22"/>
              </w:rPr>
            </w:pPr>
            <w:r w:rsidRPr="00870A29">
              <w:rPr>
                <w:rFonts w:cstheme="minorHAnsi"/>
                <w:sz w:val="22"/>
                <w:szCs w:val="22"/>
              </w:rPr>
              <w:t>Chlorophyll</w:t>
            </w:r>
            <w:r w:rsidR="00105F37">
              <w:rPr>
                <w:rFonts w:cstheme="minorHAnsi"/>
                <w:sz w:val="22"/>
                <w:szCs w:val="22"/>
              </w:rPr>
              <w:t xml:space="preserve"> </w:t>
            </w:r>
            <w:r w:rsidR="00105F37">
              <w:rPr>
                <w:rFonts w:cstheme="minorHAnsi"/>
                <w:i/>
                <w:iCs/>
                <w:sz w:val="22"/>
                <w:szCs w:val="22"/>
              </w:rPr>
              <w:t>a</w:t>
            </w:r>
          </w:p>
        </w:tc>
        <w:tc>
          <w:tcPr>
            <w:tcW w:w="1440" w:type="dxa"/>
            <w:tcBorders>
              <w:top w:val="single" w:sz="2" w:space="0" w:color="auto"/>
            </w:tcBorders>
            <w:vAlign w:val="center"/>
          </w:tcPr>
          <w:p w14:paraId="53ADAE8F" w14:textId="77777777" w:rsidR="000A3697" w:rsidRPr="00870A29" w:rsidRDefault="000A3697">
            <w:pPr>
              <w:jc w:val="center"/>
              <w:rPr>
                <w:rFonts w:cstheme="minorHAnsi"/>
                <w:sz w:val="22"/>
                <w:szCs w:val="22"/>
              </w:rPr>
            </w:pPr>
            <w:r w:rsidRPr="00870A29">
              <w:rPr>
                <w:rFonts w:cstheme="minorHAnsi"/>
                <w:sz w:val="22"/>
                <w:szCs w:val="22"/>
              </w:rPr>
              <w:t>61</w:t>
            </w:r>
          </w:p>
        </w:tc>
        <w:tc>
          <w:tcPr>
            <w:tcW w:w="1532" w:type="dxa"/>
            <w:tcBorders>
              <w:top w:val="single" w:sz="2" w:space="0" w:color="auto"/>
            </w:tcBorders>
            <w:vAlign w:val="center"/>
          </w:tcPr>
          <w:p w14:paraId="490E73D3" w14:textId="77777777" w:rsidR="000A3697" w:rsidRPr="00870A29" w:rsidRDefault="000A3697">
            <w:pPr>
              <w:jc w:val="center"/>
              <w:rPr>
                <w:rFonts w:cstheme="minorHAnsi"/>
                <w:sz w:val="22"/>
                <w:szCs w:val="22"/>
              </w:rPr>
            </w:pPr>
            <w:r w:rsidRPr="00870A29">
              <w:rPr>
                <w:rFonts w:cstheme="minorHAnsi"/>
                <w:sz w:val="22"/>
                <w:szCs w:val="22"/>
              </w:rPr>
              <w:t>22</w:t>
            </w:r>
          </w:p>
        </w:tc>
        <w:tc>
          <w:tcPr>
            <w:tcW w:w="1528" w:type="dxa"/>
            <w:tcBorders>
              <w:top w:val="single" w:sz="2" w:space="0" w:color="auto"/>
            </w:tcBorders>
            <w:vAlign w:val="center"/>
          </w:tcPr>
          <w:p w14:paraId="4A7E3141" w14:textId="77777777" w:rsidR="000A3697" w:rsidRPr="00870A29" w:rsidRDefault="000A3697">
            <w:pPr>
              <w:jc w:val="center"/>
              <w:rPr>
                <w:rFonts w:cstheme="minorHAnsi"/>
                <w:sz w:val="22"/>
                <w:szCs w:val="22"/>
              </w:rPr>
            </w:pPr>
            <w:r w:rsidRPr="00870A29">
              <w:rPr>
                <w:rFonts w:cstheme="minorHAnsi"/>
                <w:sz w:val="22"/>
                <w:szCs w:val="22"/>
              </w:rPr>
              <w:t>17</w:t>
            </w:r>
          </w:p>
        </w:tc>
        <w:tc>
          <w:tcPr>
            <w:tcW w:w="1080" w:type="dxa"/>
            <w:tcBorders>
              <w:top w:val="single" w:sz="2" w:space="0" w:color="auto"/>
            </w:tcBorders>
            <w:vAlign w:val="center"/>
          </w:tcPr>
          <w:p w14:paraId="66346F04" w14:textId="77777777" w:rsidR="000A3697" w:rsidRPr="00870A29" w:rsidRDefault="000A3697">
            <w:pPr>
              <w:jc w:val="center"/>
              <w:rPr>
                <w:rFonts w:cstheme="minorHAnsi"/>
                <w:sz w:val="22"/>
                <w:szCs w:val="22"/>
              </w:rPr>
            </w:pPr>
            <w:r w:rsidRPr="00870A29">
              <w:rPr>
                <w:rFonts w:cstheme="minorHAnsi"/>
                <w:sz w:val="22"/>
                <w:szCs w:val="22"/>
              </w:rPr>
              <w:t>166</w:t>
            </w:r>
          </w:p>
        </w:tc>
        <w:tc>
          <w:tcPr>
            <w:tcW w:w="1080" w:type="dxa"/>
            <w:tcBorders>
              <w:top w:val="single" w:sz="2" w:space="0" w:color="auto"/>
            </w:tcBorders>
            <w:vAlign w:val="center"/>
          </w:tcPr>
          <w:p w14:paraId="0493D595" w14:textId="77777777" w:rsidR="000A3697" w:rsidRPr="00870A29" w:rsidRDefault="000A3697">
            <w:pPr>
              <w:jc w:val="center"/>
              <w:rPr>
                <w:rFonts w:cstheme="minorHAnsi"/>
                <w:sz w:val="22"/>
                <w:szCs w:val="22"/>
              </w:rPr>
            </w:pPr>
            <w:r w:rsidRPr="00870A29">
              <w:rPr>
                <w:rFonts w:cstheme="minorHAnsi"/>
                <w:sz w:val="22"/>
                <w:szCs w:val="22"/>
              </w:rPr>
              <w:t>23,035</w:t>
            </w:r>
          </w:p>
        </w:tc>
      </w:tr>
      <w:tr w:rsidR="000A3697" w14:paraId="70B0308D" w14:textId="77777777">
        <w:trPr>
          <w:trHeight w:val="360"/>
        </w:trPr>
        <w:tc>
          <w:tcPr>
            <w:tcW w:w="3055" w:type="dxa"/>
            <w:vAlign w:val="center"/>
          </w:tcPr>
          <w:p w14:paraId="5051FE75" w14:textId="77777777" w:rsidR="000A3697" w:rsidRPr="00870A29" w:rsidRDefault="000A3697">
            <w:pPr>
              <w:jc w:val="right"/>
              <w:rPr>
                <w:rFonts w:cstheme="minorHAnsi"/>
                <w:sz w:val="22"/>
                <w:szCs w:val="22"/>
              </w:rPr>
            </w:pPr>
            <w:r w:rsidRPr="00870A29">
              <w:rPr>
                <w:rFonts w:cstheme="minorHAnsi"/>
                <w:sz w:val="22"/>
                <w:szCs w:val="22"/>
              </w:rPr>
              <w:t>Dissolved Oxygen*</w:t>
            </w:r>
          </w:p>
        </w:tc>
        <w:tc>
          <w:tcPr>
            <w:tcW w:w="1440" w:type="dxa"/>
            <w:vAlign w:val="center"/>
          </w:tcPr>
          <w:p w14:paraId="749B9C6D" w14:textId="77777777" w:rsidR="000A3697" w:rsidRPr="00870A29" w:rsidRDefault="000A3697">
            <w:pPr>
              <w:jc w:val="center"/>
              <w:rPr>
                <w:rFonts w:cstheme="minorHAnsi"/>
                <w:sz w:val="22"/>
                <w:szCs w:val="22"/>
              </w:rPr>
            </w:pPr>
            <w:r w:rsidRPr="00870A29">
              <w:rPr>
                <w:rFonts w:cstheme="minorHAnsi"/>
                <w:sz w:val="22"/>
                <w:szCs w:val="22"/>
              </w:rPr>
              <w:t>77</w:t>
            </w:r>
          </w:p>
        </w:tc>
        <w:tc>
          <w:tcPr>
            <w:tcW w:w="1532" w:type="dxa"/>
            <w:vAlign w:val="center"/>
          </w:tcPr>
          <w:p w14:paraId="10CCFE35" w14:textId="77777777" w:rsidR="000A3697" w:rsidRPr="00870A29" w:rsidRDefault="000A3697">
            <w:pPr>
              <w:jc w:val="center"/>
              <w:rPr>
                <w:rFonts w:cstheme="minorHAnsi"/>
                <w:sz w:val="22"/>
                <w:szCs w:val="22"/>
              </w:rPr>
            </w:pPr>
            <w:r w:rsidRPr="00870A29">
              <w:rPr>
                <w:rFonts w:cstheme="minorHAnsi"/>
                <w:sz w:val="22"/>
                <w:szCs w:val="22"/>
              </w:rPr>
              <w:t>14</w:t>
            </w:r>
          </w:p>
        </w:tc>
        <w:tc>
          <w:tcPr>
            <w:tcW w:w="1528" w:type="dxa"/>
            <w:vAlign w:val="center"/>
          </w:tcPr>
          <w:p w14:paraId="2340ED6E" w14:textId="77777777" w:rsidR="000A3697" w:rsidRPr="00870A29" w:rsidRDefault="000A3697">
            <w:pPr>
              <w:jc w:val="center"/>
              <w:rPr>
                <w:rFonts w:cstheme="minorHAnsi"/>
                <w:sz w:val="22"/>
                <w:szCs w:val="22"/>
              </w:rPr>
            </w:pPr>
            <w:r w:rsidRPr="00870A29">
              <w:rPr>
                <w:rFonts w:cstheme="minorHAnsi"/>
                <w:sz w:val="22"/>
                <w:szCs w:val="22"/>
              </w:rPr>
              <w:t>9</w:t>
            </w:r>
          </w:p>
        </w:tc>
        <w:tc>
          <w:tcPr>
            <w:tcW w:w="1080" w:type="dxa"/>
            <w:vAlign w:val="center"/>
          </w:tcPr>
          <w:p w14:paraId="0CE154F4" w14:textId="77777777" w:rsidR="000A3697" w:rsidRPr="00870A29" w:rsidRDefault="000A3697">
            <w:pPr>
              <w:jc w:val="center"/>
              <w:rPr>
                <w:rFonts w:cstheme="minorHAnsi"/>
                <w:sz w:val="22"/>
                <w:szCs w:val="22"/>
              </w:rPr>
            </w:pPr>
            <w:r w:rsidRPr="00870A29">
              <w:rPr>
                <w:rFonts w:cstheme="minorHAnsi"/>
                <w:sz w:val="22"/>
                <w:szCs w:val="22"/>
              </w:rPr>
              <w:t>413</w:t>
            </w:r>
          </w:p>
        </w:tc>
        <w:tc>
          <w:tcPr>
            <w:tcW w:w="1080" w:type="dxa"/>
            <w:vAlign w:val="center"/>
          </w:tcPr>
          <w:p w14:paraId="3B84CCC3" w14:textId="77777777" w:rsidR="000A3697" w:rsidRPr="00870A29" w:rsidRDefault="000A3697">
            <w:pPr>
              <w:jc w:val="center"/>
              <w:rPr>
                <w:rFonts w:cstheme="minorHAnsi"/>
                <w:sz w:val="22"/>
                <w:szCs w:val="22"/>
              </w:rPr>
            </w:pPr>
            <w:r w:rsidRPr="00870A29">
              <w:rPr>
                <w:rFonts w:cstheme="minorHAnsi"/>
                <w:sz w:val="22"/>
                <w:szCs w:val="22"/>
              </w:rPr>
              <w:t>58,134</w:t>
            </w:r>
          </w:p>
        </w:tc>
      </w:tr>
      <w:tr w:rsidR="000A3697" w14:paraId="48B9D9AA" w14:textId="77777777">
        <w:trPr>
          <w:trHeight w:val="360"/>
        </w:trPr>
        <w:tc>
          <w:tcPr>
            <w:tcW w:w="3055" w:type="dxa"/>
            <w:vAlign w:val="center"/>
          </w:tcPr>
          <w:p w14:paraId="324377A7" w14:textId="77777777" w:rsidR="000A3697" w:rsidRPr="00870A29" w:rsidRDefault="000A3697">
            <w:pPr>
              <w:jc w:val="right"/>
              <w:rPr>
                <w:rFonts w:cstheme="minorHAnsi"/>
                <w:i/>
                <w:iCs/>
                <w:sz w:val="22"/>
                <w:szCs w:val="22"/>
              </w:rPr>
            </w:pPr>
            <w:r w:rsidRPr="00870A29">
              <w:rPr>
                <w:rFonts w:cstheme="minorHAnsi"/>
                <w:i/>
                <w:iCs/>
                <w:sz w:val="22"/>
                <w:szCs w:val="22"/>
              </w:rPr>
              <w:t>Escherichia coli</w:t>
            </w:r>
          </w:p>
        </w:tc>
        <w:tc>
          <w:tcPr>
            <w:tcW w:w="1440" w:type="dxa"/>
            <w:vAlign w:val="center"/>
          </w:tcPr>
          <w:p w14:paraId="615200D5" w14:textId="77777777" w:rsidR="000A3697" w:rsidRPr="00870A29" w:rsidRDefault="000A3697">
            <w:pPr>
              <w:jc w:val="center"/>
              <w:rPr>
                <w:rFonts w:cstheme="minorHAnsi"/>
                <w:sz w:val="22"/>
                <w:szCs w:val="22"/>
              </w:rPr>
            </w:pPr>
            <w:r w:rsidRPr="00870A29">
              <w:rPr>
                <w:rFonts w:cstheme="minorHAnsi"/>
                <w:sz w:val="22"/>
                <w:szCs w:val="22"/>
              </w:rPr>
              <w:t>92</w:t>
            </w:r>
          </w:p>
        </w:tc>
        <w:tc>
          <w:tcPr>
            <w:tcW w:w="1532" w:type="dxa"/>
            <w:vAlign w:val="center"/>
          </w:tcPr>
          <w:p w14:paraId="21F6C9F1" w14:textId="77777777" w:rsidR="000A3697" w:rsidRPr="00870A29" w:rsidRDefault="000A3697">
            <w:pPr>
              <w:jc w:val="center"/>
              <w:rPr>
                <w:rFonts w:cstheme="minorHAnsi"/>
                <w:sz w:val="22"/>
                <w:szCs w:val="22"/>
              </w:rPr>
            </w:pPr>
            <w:r w:rsidRPr="00870A29">
              <w:rPr>
                <w:rFonts w:cstheme="minorHAnsi"/>
                <w:sz w:val="22"/>
                <w:szCs w:val="22"/>
              </w:rPr>
              <w:t>2</w:t>
            </w:r>
          </w:p>
        </w:tc>
        <w:tc>
          <w:tcPr>
            <w:tcW w:w="1528" w:type="dxa"/>
            <w:vAlign w:val="center"/>
          </w:tcPr>
          <w:p w14:paraId="13ADDEDF" w14:textId="77777777" w:rsidR="000A3697" w:rsidRPr="00870A29" w:rsidRDefault="000A3697">
            <w:pPr>
              <w:jc w:val="center"/>
              <w:rPr>
                <w:rFonts w:cstheme="minorHAnsi"/>
                <w:sz w:val="22"/>
                <w:szCs w:val="22"/>
              </w:rPr>
            </w:pPr>
            <w:r w:rsidRPr="00870A29">
              <w:rPr>
                <w:rFonts w:cstheme="minorHAnsi"/>
                <w:sz w:val="22"/>
                <w:szCs w:val="22"/>
              </w:rPr>
              <w:t>6</w:t>
            </w:r>
          </w:p>
        </w:tc>
        <w:tc>
          <w:tcPr>
            <w:tcW w:w="1080" w:type="dxa"/>
            <w:vAlign w:val="center"/>
          </w:tcPr>
          <w:p w14:paraId="104BCCF5" w14:textId="77777777" w:rsidR="000A3697" w:rsidRPr="00870A29" w:rsidRDefault="000A3697">
            <w:pPr>
              <w:jc w:val="center"/>
              <w:rPr>
                <w:rFonts w:cstheme="minorHAnsi"/>
                <w:sz w:val="22"/>
                <w:szCs w:val="22"/>
              </w:rPr>
            </w:pPr>
            <w:r w:rsidRPr="00870A29">
              <w:rPr>
                <w:rFonts w:cstheme="minorHAnsi"/>
                <w:sz w:val="22"/>
                <w:szCs w:val="22"/>
              </w:rPr>
              <w:t>405</w:t>
            </w:r>
          </w:p>
        </w:tc>
        <w:tc>
          <w:tcPr>
            <w:tcW w:w="1080" w:type="dxa"/>
            <w:vAlign w:val="center"/>
          </w:tcPr>
          <w:p w14:paraId="47029278" w14:textId="77777777" w:rsidR="000A3697" w:rsidRPr="00870A29" w:rsidRDefault="000A3697">
            <w:pPr>
              <w:jc w:val="center"/>
              <w:rPr>
                <w:rFonts w:cstheme="minorHAnsi"/>
                <w:sz w:val="22"/>
                <w:szCs w:val="22"/>
              </w:rPr>
            </w:pPr>
            <w:r w:rsidRPr="00870A29">
              <w:rPr>
                <w:rFonts w:cstheme="minorHAnsi"/>
                <w:sz w:val="22"/>
                <w:szCs w:val="22"/>
              </w:rPr>
              <w:t>46,281</w:t>
            </w:r>
          </w:p>
        </w:tc>
      </w:tr>
      <w:tr w:rsidR="000A3697" w14:paraId="17EBBF6F" w14:textId="77777777">
        <w:trPr>
          <w:trHeight w:val="360"/>
        </w:trPr>
        <w:tc>
          <w:tcPr>
            <w:tcW w:w="3055" w:type="dxa"/>
            <w:vAlign w:val="center"/>
          </w:tcPr>
          <w:p w14:paraId="1CE020F5" w14:textId="77777777" w:rsidR="000A3697" w:rsidRPr="00870A29" w:rsidRDefault="000A3697">
            <w:pPr>
              <w:jc w:val="right"/>
              <w:rPr>
                <w:rFonts w:cstheme="minorHAnsi"/>
                <w:sz w:val="22"/>
                <w:szCs w:val="22"/>
              </w:rPr>
            </w:pPr>
            <w:r w:rsidRPr="00870A29">
              <w:rPr>
                <w:rFonts w:cstheme="minorHAnsi"/>
                <w:sz w:val="22"/>
                <w:szCs w:val="22"/>
              </w:rPr>
              <w:t>Enterococci</w:t>
            </w:r>
          </w:p>
        </w:tc>
        <w:tc>
          <w:tcPr>
            <w:tcW w:w="1440" w:type="dxa"/>
            <w:vAlign w:val="center"/>
          </w:tcPr>
          <w:p w14:paraId="5D5D1472" w14:textId="77777777" w:rsidR="000A3697" w:rsidRPr="00870A29" w:rsidRDefault="000A3697">
            <w:pPr>
              <w:jc w:val="center"/>
              <w:rPr>
                <w:rFonts w:cstheme="minorHAnsi"/>
                <w:sz w:val="22"/>
                <w:szCs w:val="22"/>
              </w:rPr>
            </w:pPr>
            <w:r w:rsidRPr="00870A29">
              <w:rPr>
                <w:rFonts w:cstheme="minorHAnsi"/>
                <w:sz w:val="22"/>
                <w:szCs w:val="22"/>
              </w:rPr>
              <w:t>89</w:t>
            </w:r>
          </w:p>
        </w:tc>
        <w:tc>
          <w:tcPr>
            <w:tcW w:w="1532" w:type="dxa"/>
            <w:vAlign w:val="center"/>
          </w:tcPr>
          <w:p w14:paraId="56E63127" w14:textId="77777777" w:rsidR="000A3697" w:rsidRPr="00870A29" w:rsidRDefault="000A3697">
            <w:pPr>
              <w:jc w:val="center"/>
              <w:rPr>
                <w:rFonts w:cstheme="minorHAnsi"/>
                <w:sz w:val="22"/>
                <w:szCs w:val="22"/>
              </w:rPr>
            </w:pPr>
            <w:r w:rsidRPr="00870A29">
              <w:rPr>
                <w:rFonts w:cstheme="minorHAnsi"/>
                <w:sz w:val="22"/>
                <w:szCs w:val="22"/>
              </w:rPr>
              <w:t>9</w:t>
            </w:r>
          </w:p>
        </w:tc>
        <w:tc>
          <w:tcPr>
            <w:tcW w:w="1528" w:type="dxa"/>
            <w:vAlign w:val="center"/>
          </w:tcPr>
          <w:p w14:paraId="57F899E8" w14:textId="77777777" w:rsidR="000A3697" w:rsidRPr="00870A29" w:rsidRDefault="000A3697">
            <w:pPr>
              <w:jc w:val="center"/>
              <w:rPr>
                <w:rFonts w:cstheme="minorHAnsi"/>
                <w:sz w:val="22"/>
                <w:szCs w:val="22"/>
              </w:rPr>
            </w:pPr>
            <w:r w:rsidRPr="00870A29">
              <w:rPr>
                <w:rFonts w:cstheme="minorHAnsi"/>
                <w:sz w:val="22"/>
                <w:szCs w:val="22"/>
              </w:rPr>
              <w:t>2</w:t>
            </w:r>
          </w:p>
        </w:tc>
        <w:tc>
          <w:tcPr>
            <w:tcW w:w="1080" w:type="dxa"/>
            <w:vAlign w:val="center"/>
          </w:tcPr>
          <w:p w14:paraId="773532F8" w14:textId="77777777" w:rsidR="000A3697" w:rsidRPr="00870A29" w:rsidRDefault="000A3697">
            <w:pPr>
              <w:jc w:val="center"/>
              <w:rPr>
                <w:rFonts w:cstheme="minorHAnsi"/>
                <w:sz w:val="22"/>
                <w:szCs w:val="22"/>
              </w:rPr>
            </w:pPr>
            <w:r w:rsidRPr="00870A29">
              <w:rPr>
                <w:rFonts w:cstheme="minorHAnsi"/>
                <w:sz w:val="22"/>
                <w:szCs w:val="22"/>
              </w:rPr>
              <w:t>369</w:t>
            </w:r>
          </w:p>
        </w:tc>
        <w:tc>
          <w:tcPr>
            <w:tcW w:w="1080" w:type="dxa"/>
            <w:vAlign w:val="center"/>
          </w:tcPr>
          <w:p w14:paraId="4EF13E31" w14:textId="77777777" w:rsidR="000A3697" w:rsidRPr="00870A29" w:rsidRDefault="000A3697">
            <w:pPr>
              <w:jc w:val="center"/>
              <w:rPr>
                <w:rFonts w:cstheme="minorHAnsi"/>
                <w:sz w:val="22"/>
                <w:szCs w:val="22"/>
              </w:rPr>
            </w:pPr>
            <w:r w:rsidRPr="00870A29">
              <w:rPr>
                <w:rFonts w:cstheme="minorHAnsi"/>
                <w:sz w:val="22"/>
                <w:szCs w:val="22"/>
              </w:rPr>
              <w:t>29,780</w:t>
            </w:r>
          </w:p>
        </w:tc>
      </w:tr>
      <w:tr w:rsidR="000A3697" w14:paraId="225019F0" w14:textId="77777777">
        <w:trPr>
          <w:trHeight w:val="360"/>
        </w:trPr>
        <w:tc>
          <w:tcPr>
            <w:tcW w:w="3055" w:type="dxa"/>
            <w:vAlign w:val="center"/>
          </w:tcPr>
          <w:p w14:paraId="4A1BD2CD" w14:textId="77777777" w:rsidR="000A3697" w:rsidRPr="00870A29" w:rsidRDefault="000A3697">
            <w:pPr>
              <w:jc w:val="right"/>
              <w:rPr>
                <w:rFonts w:cstheme="minorHAnsi"/>
                <w:sz w:val="22"/>
                <w:szCs w:val="22"/>
              </w:rPr>
            </w:pPr>
            <w:r w:rsidRPr="00870A29">
              <w:rPr>
                <w:rFonts w:cstheme="minorHAnsi"/>
                <w:sz w:val="22"/>
                <w:szCs w:val="22"/>
              </w:rPr>
              <w:t>Fecal Coliforms</w:t>
            </w:r>
          </w:p>
        </w:tc>
        <w:tc>
          <w:tcPr>
            <w:tcW w:w="1440" w:type="dxa"/>
            <w:vAlign w:val="center"/>
          </w:tcPr>
          <w:p w14:paraId="2872D545" w14:textId="77777777" w:rsidR="000A3697" w:rsidRPr="00870A29" w:rsidRDefault="000A3697">
            <w:pPr>
              <w:jc w:val="center"/>
              <w:rPr>
                <w:rFonts w:cstheme="minorHAnsi"/>
                <w:sz w:val="22"/>
                <w:szCs w:val="22"/>
              </w:rPr>
            </w:pPr>
            <w:r w:rsidRPr="00870A29">
              <w:rPr>
                <w:rFonts w:cstheme="minorHAnsi"/>
                <w:sz w:val="22"/>
                <w:szCs w:val="22"/>
              </w:rPr>
              <w:t>89</w:t>
            </w:r>
          </w:p>
        </w:tc>
        <w:tc>
          <w:tcPr>
            <w:tcW w:w="1532" w:type="dxa"/>
            <w:vAlign w:val="center"/>
          </w:tcPr>
          <w:p w14:paraId="586C86E4" w14:textId="77777777" w:rsidR="000A3697" w:rsidRPr="00870A29" w:rsidRDefault="000A3697">
            <w:pPr>
              <w:jc w:val="center"/>
              <w:rPr>
                <w:rFonts w:cstheme="minorHAnsi"/>
                <w:sz w:val="22"/>
                <w:szCs w:val="22"/>
              </w:rPr>
            </w:pPr>
            <w:r w:rsidRPr="00870A29">
              <w:rPr>
                <w:rFonts w:cstheme="minorHAnsi"/>
                <w:sz w:val="22"/>
                <w:szCs w:val="22"/>
              </w:rPr>
              <w:t>5</w:t>
            </w:r>
          </w:p>
        </w:tc>
        <w:tc>
          <w:tcPr>
            <w:tcW w:w="1528" w:type="dxa"/>
            <w:vAlign w:val="center"/>
          </w:tcPr>
          <w:p w14:paraId="567FB5F7" w14:textId="77777777" w:rsidR="000A3697" w:rsidRPr="00870A29" w:rsidRDefault="000A3697">
            <w:pPr>
              <w:jc w:val="center"/>
              <w:rPr>
                <w:rFonts w:cstheme="minorHAnsi"/>
                <w:sz w:val="22"/>
                <w:szCs w:val="22"/>
              </w:rPr>
            </w:pPr>
            <w:r w:rsidRPr="00870A29">
              <w:rPr>
                <w:rFonts w:cstheme="minorHAnsi"/>
                <w:sz w:val="22"/>
                <w:szCs w:val="22"/>
              </w:rPr>
              <w:t>6</w:t>
            </w:r>
          </w:p>
        </w:tc>
        <w:tc>
          <w:tcPr>
            <w:tcW w:w="1080" w:type="dxa"/>
            <w:vAlign w:val="center"/>
          </w:tcPr>
          <w:p w14:paraId="7C749619" w14:textId="77777777" w:rsidR="000A3697" w:rsidRPr="00870A29" w:rsidRDefault="000A3697">
            <w:pPr>
              <w:jc w:val="center"/>
              <w:rPr>
                <w:rFonts w:cstheme="minorHAnsi"/>
                <w:sz w:val="22"/>
                <w:szCs w:val="22"/>
              </w:rPr>
            </w:pPr>
            <w:r w:rsidRPr="00870A29">
              <w:rPr>
                <w:rFonts w:cstheme="minorHAnsi"/>
                <w:sz w:val="22"/>
                <w:szCs w:val="22"/>
              </w:rPr>
              <w:t>385</w:t>
            </w:r>
          </w:p>
        </w:tc>
        <w:tc>
          <w:tcPr>
            <w:tcW w:w="1080" w:type="dxa"/>
            <w:vAlign w:val="center"/>
          </w:tcPr>
          <w:p w14:paraId="1FAF4754" w14:textId="77777777" w:rsidR="000A3697" w:rsidRPr="00870A29" w:rsidRDefault="000A3697">
            <w:pPr>
              <w:jc w:val="center"/>
              <w:rPr>
                <w:rFonts w:cstheme="minorHAnsi"/>
                <w:sz w:val="22"/>
                <w:szCs w:val="22"/>
              </w:rPr>
            </w:pPr>
            <w:r w:rsidRPr="00870A29">
              <w:rPr>
                <w:rFonts w:cstheme="minorHAnsi"/>
                <w:sz w:val="22"/>
                <w:szCs w:val="22"/>
              </w:rPr>
              <w:t>47,321</w:t>
            </w:r>
          </w:p>
        </w:tc>
      </w:tr>
      <w:tr w:rsidR="000A3697" w14:paraId="71F4131F" w14:textId="77777777">
        <w:trPr>
          <w:trHeight w:val="360"/>
        </w:trPr>
        <w:tc>
          <w:tcPr>
            <w:tcW w:w="3055" w:type="dxa"/>
            <w:vAlign w:val="center"/>
          </w:tcPr>
          <w:p w14:paraId="75FFDD68" w14:textId="77777777" w:rsidR="000A3697" w:rsidRPr="00870A29" w:rsidRDefault="000A3697">
            <w:pPr>
              <w:jc w:val="right"/>
              <w:rPr>
                <w:rFonts w:cstheme="minorHAnsi"/>
                <w:sz w:val="22"/>
                <w:szCs w:val="22"/>
              </w:rPr>
            </w:pPr>
            <w:r w:rsidRPr="00870A29">
              <w:rPr>
                <w:rFonts w:cstheme="minorHAnsi"/>
                <w:sz w:val="22"/>
                <w:szCs w:val="22"/>
              </w:rPr>
              <w:t>Total Nitrogen</w:t>
            </w:r>
          </w:p>
        </w:tc>
        <w:tc>
          <w:tcPr>
            <w:tcW w:w="1440" w:type="dxa"/>
            <w:vAlign w:val="center"/>
          </w:tcPr>
          <w:p w14:paraId="73DDDB16" w14:textId="77777777" w:rsidR="000A3697" w:rsidRPr="00870A29" w:rsidRDefault="000A3697">
            <w:pPr>
              <w:jc w:val="center"/>
              <w:rPr>
                <w:rFonts w:cstheme="minorHAnsi"/>
                <w:sz w:val="22"/>
                <w:szCs w:val="22"/>
              </w:rPr>
            </w:pPr>
            <w:r w:rsidRPr="00870A29">
              <w:rPr>
                <w:rFonts w:cstheme="minorHAnsi"/>
                <w:sz w:val="22"/>
                <w:szCs w:val="22"/>
              </w:rPr>
              <w:t>55</w:t>
            </w:r>
          </w:p>
        </w:tc>
        <w:tc>
          <w:tcPr>
            <w:tcW w:w="1532" w:type="dxa"/>
            <w:vAlign w:val="center"/>
          </w:tcPr>
          <w:p w14:paraId="212AC205" w14:textId="77777777" w:rsidR="000A3697" w:rsidRPr="00870A29" w:rsidRDefault="000A3697">
            <w:pPr>
              <w:jc w:val="center"/>
              <w:rPr>
                <w:rFonts w:cstheme="minorHAnsi"/>
                <w:sz w:val="22"/>
                <w:szCs w:val="22"/>
              </w:rPr>
            </w:pPr>
            <w:r w:rsidRPr="00870A29">
              <w:rPr>
                <w:rFonts w:cstheme="minorHAnsi"/>
                <w:sz w:val="22"/>
                <w:szCs w:val="22"/>
              </w:rPr>
              <w:t>42</w:t>
            </w:r>
          </w:p>
        </w:tc>
        <w:tc>
          <w:tcPr>
            <w:tcW w:w="1528" w:type="dxa"/>
            <w:vAlign w:val="center"/>
          </w:tcPr>
          <w:p w14:paraId="00620A5E" w14:textId="77777777" w:rsidR="000A3697" w:rsidRPr="00870A29" w:rsidRDefault="000A3697">
            <w:pPr>
              <w:jc w:val="center"/>
              <w:rPr>
                <w:rFonts w:cstheme="minorHAnsi"/>
                <w:sz w:val="22"/>
                <w:szCs w:val="22"/>
              </w:rPr>
            </w:pPr>
            <w:r w:rsidRPr="00870A29">
              <w:rPr>
                <w:rFonts w:cstheme="minorHAnsi"/>
                <w:sz w:val="22"/>
                <w:szCs w:val="22"/>
              </w:rPr>
              <w:t>3</w:t>
            </w:r>
          </w:p>
        </w:tc>
        <w:tc>
          <w:tcPr>
            <w:tcW w:w="1080" w:type="dxa"/>
            <w:vAlign w:val="center"/>
          </w:tcPr>
          <w:p w14:paraId="4C3475BD" w14:textId="77777777" w:rsidR="000A3697" w:rsidRPr="00870A29" w:rsidRDefault="000A3697">
            <w:pPr>
              <w:jc w:val="center"/>
              <w:rPr>
                <w:rFonts w:cstheme="minorHAnsi"/>
                <w:sz w:val="22"/>
                <w:szCs w:val="22"/>
              </w:rPr>
            </w:pPr>
            <w:r w:rsidRPr="00870A29">
              <w:rPr>
                <w:rFonts w:cstheme="minorHAnsi"/>
                <w:sz w:val="22"/>
                <w:szCs w:val="22"/>
              </w:rPr>
              <w:t>413</w:t>
            </w:r>
          </w:p>
        </w:tc>
        <w:tc>
          <w:tcPr>
            <w:tcW w:w="1080" w:type="dxa"/>
            <w:vAlign w:val="center"/>
          </w:tcPr>
          <w:p w14:paraId="1395B958" w14:textId="77777777" w:rsidR="000A3697" w:rsidRPr="00870A29" w:rsidRDefault="000A3697">
            <w:pPr>
              <w:jc w:val="center"/>
              <w:rPr>
                <w:rFonts w:cstheme="minorHAnsi"/>
                <w:sz w:val="22"/>
                <w:szCs w:val="22"/>
              </w:rPr>
            </w:pPr>
            <w:r w:rsidRPr="00870A29">
              <w:rPr>
                <w:rFonts w:cstheme="minorHAnsi"/>
                <w:sz w:val="22"/>
                <w:szCs w:val="22"/>
              </w:rPr>
              <w:t>55,677</w:t>
            </w:r>
          </w:p>
        </w:tc>
      </w:tr>
      <w:tr w:rsidR="000A3697" w14:paraId="788EAA1F" w14:textId="77777777">
        <w:trPr>
          <w:trHeight w:val="360"/>
        </w:trPr>
        <w:tc>
          <w:tcPr>
            <w:tcW w:w="3055" w:type="dxa"/>
            <w:vAlign w:val="center"/>
          </w:tcPr>
          <w:p w14:paraId="3B8E8845" w14:textId="77777777" w:rsidR="000A3697" w:rsidRPr="00870A29" w:rsidRDefault="000A3697">
            <w:pPr>
              <w:jc w:val="right"/>
              <w:rPr>
                <w:rFonts w:cstheme="minorHAnsi"/>
                <w:sz w:val="22"/>
                <w:szCs w:val="22"/>
              </w:rPr>
            </w:pPr>
            <w:r w:rsidRPr="00870A29">
              <w:rPr>
                <w:rFonts w:cstheme="minorHAnsi"/>
                <w:sz w:val="22"/>
                <w:szCs w:val="22"/>
              </w:rPr>
              <w:t>Total Phosphorus</w:t>
            </w:r>
          </w:p>
        </w:tc>
        <w:tc>
          <w:tcPr>
            <w:tcW w:w="1440" w:type="dxa"/>
            <w:vAlign w:val="center"/>
          </w:tcPr>
          <w:p w14:paraId="660E8A38" w14:textId="77777777" w:rsidR="000A3697" w:rsidRPr="00870A29" w:rsidRDefault="000A3697">
            <w:pPr>
              <w:jc w:val="center"/>
              <w:rPr>
                <w:rFonts w:cstheme="minorHAnsi"/>
                <w:sz w:val="22"/>
                <w:szCs w:val="22"/>
              </w:rPr>
            </w:pPr>
            <w:r w:rsidRPr="00870A29">
              <w:rPr>
                <w:rFonts w:cstheme="minorHAnsi"/>
                <w:sz w:val="22"/>
                <w:szCs w:val="22"/>
              </w:rPr>
              <w:t>81</w:t>
            </w:r>
          </w:p>
        </w:tc>
        <w:tc>
          <w:tcPr>
            <w:tcW w:w="1532" w:type="dxa"/>
            <w:vAlign w:val="center"/>
          </w:tcPr>
          <w:p w14:paraId="56D9674D" w14:textId="77777777" w:rsidR="000A3697" w:rsidRPr="00870A29" w:rsidRDefault="000A3697">
            <w:pPr>
              <w:jc w:val="center"/>
              <w:rPr>
                <w:rFonts w:cstheme="minorHAnsi"/>
                <w:sz w:val="22"/>
                <w:szCs w:val="22"/>
              </w:rPr>
            </w:pPr>
            <w:r w:rsidRPr="00870A29">
              <w:rPr>
                <w:rFonts w:cstheme="minorHAnsi"/>
                <w:sz w:val="22"/>
                <w:szCs w:val="22"/>
              </w:rPr>
              <w:t>13</w:t>
            </w:r>
          </w:p>
        </w:tc>
        <w:tc>
          <w:tcPr>
            <w:tcW w:w="1528" w:type="dxa"/>
            <w:vAlign w:val="center"/>
          </w:tcPr>
          <w:p w14:paraId="6D5CD075" w14:textId="77777777" w:rsidR="000A3697" w:rsidRPr="00870A29" w:rsidRDefault="000A3697">
            <w:pPr>
              <w:jc w:val="center"/>
              <w:rPr>
                <w:rFonts w:cstheme="minorHAnsi"/>
                <w:sz w:val="22"/>
                <w:szCs w:val="22"/>
              </w:rPr>
            </w:pPr>
            <w:r w:rsidRPr="00870A29">
              <w:rPr>
                <w:rFonts w:cstheme="minorHAnsi"/>
                <w:sz w:val="22"/>
                <w:szCs w:val="22"/>
              </w:rPr>
              <w:t>6</w:t>
            </w:r>
          </w:p>
        </w:tc>
        <w:tc>
          <w:tcPr>
            <w:tcW w:w="1080" w:type="dxa"/>
            <w:vAlign w:val="center"/>
          </w:tcPr>
          <w:p w14:paraId="1CB61064" w14:textId="77777777" w:rsidR="000A3697" w:rsidRPr="00870A29" w:rsidRDefault="000A3697">
            <w:pPr>
              <w:jc w:val="center"/>
              <w:rPr>
                <w:rFonts w:cstheme="minorHAnsi"/>
                <w:sz w:val="22"/>
                <w:szCs w:val="22"/>
              </w:rPr>
            </w:pPr>
            <w:r w:rsidRPr="00870A29">
              <w:rPr>
                <w:rFonts w:cstheme="minorHAnsi"/>
                <w:sz w:val="22"/>
                <w:szCs w:val="22"/>
              </w:rPr>
              <w:t>413</w:t>
            </w:r>
          </w:p>
        </w:tc>
        <w:tc>
          <w:tcPr>
            <w:tcW w:w="1080" w:type="dxa"/>
            <w:vAlign w:val="center"/>
          </w:tcPr>
          <w:p w14:paraId="0F9F97C9" w14:textId="77777777" w:rsidR="000A3697" w:rsidRPr="00870A29" w:rsidRDefault="000A3697">
            <w:pPr>
              <w:jc w:val="center"/>
              <w:rPr>
                <w:rFonts w:cstheme="minorHAnsi"/>
                <w:sz w:val="22"/>
                <w:szCs w:val="22"/>
              </w:rPr>
            </w:pPr>
            <w:r w:rsidRPr="00870A29">
              <w:rPr>
                <w:rFonts w:cstheme="minorHAnsi"/>
                <w:sz w:val="22"/>
                <w:szCs w:val="22"/>
              </w:rPr>
              <w:t>56,536</w:t>
            </w:r>
          </w:p>
        </w:tc>
      </w:tr>
      <w:tr w:rsidR="000A3697" w14:paraId="72537730" w14:textId="77777777">
        <w:trPr>
          <w:trHeight w:val="360"/>
        </w:trPr>
        <w:tc>
          <w:tcPr>
            <w:tcW w:w="3055" w:type="dxa"/>
            <w:vAlign w:val="center"/>
          </w:tcPr>
          <w:p w14:paraId="142158A2" w14:textId="77777777" w:rsidR="000A3697" w:rsidRPr="00870A29" w:rsidRDefault="000A3697">
            <w:pPr>
              <w:jc w:val="right"/>
              <w:rPr>
                <w:rFonts w:cstheme="minorHAnsi"/>
                <w:sz w:val="22"/>
                <w:szCs w:val="22"/>
              </w:rPr>
            </w:pPr>
            <w:r w:rsidRPr="00870A29">
              <w:rPr>
                <w:rFonts w:cstheme="minorHAnsi"/>
                <w:sz w:val="22"/>
                <w:szCs w:val="22"/>
              </w:rPr>
              <w:t>pH*</w:t>
            </w:r>
          </w:p>
        </w:tc>
        <w:tc>
          <w:tcPr>
            <w:tcW w:w="1440" w:type="dxa"/>
            <w:vAlign w:val="center"/>
          </w:tcPr>
          <w:p w14:paraId="5E51EB95" w14:textId="77777777" w:rsidR="000A3697" w:rsidRPr="00870A29" w:rsidRDefault="000A3697">
            <w:pPr>
              <w:jc w:val="center"/>
              <w:rPr>
                <w:rFonts w:cstheme="minorHAnsi"/>
                <w:sz w:val="22"/>
                <w:szCs w:val="22"/>
              </w:rPr>
            </w:pPr>
            <w:r w:rsidRPr="00870A29">
              <w:rPr>
                <w:rFonts w:cstheme="minorHAnsi"/>
                <w:sz w:val="22"/>
                <w:szCs w:val="22"/>
              </w:rPr>
              <w:t>73</w:t>
            </w:r>
          </w:p>
        </w:tc>
        <w:tc>
          <w:tcPr>
            <w:tcW w:w="1532" w:type="dxa"/>
            <w:vAlign w:val="center"/>
          </w:tcPr>
          <w:p w14:paraId="07C79DD5" w14:textId="77777777" w:rsidR="000A3697" w:rsidRPr="00870A29" w:rsidRDefault="000A3697">
            <w:pPr>
              <w:jc w:val="center"/>
              <w:rPr>
                <w:rFonts w:cstheme="minorHAnsi"/>
                <w:sz w:val="22"/>
                <w:szCs w:val="22"/>
              </w:rPr>
            </w:pPr>
            <w:r w:rsidRPr="00870A29">
              <w:rPr>
                <w:rFonts w:cstheme="minorHAnsi"/>
                <w:sz w:val="22"/>
                <w:szCs w:val="22"/>
              </w:rPr>
              <w:t>21</w:t>
            </w:r>
          </w:p>
        </w:tc>
        <w:tc>
          <w:tcPr>
            <w:tcW w:w="1528" w:type="dxa"/>
            <w:vAlign w:val="center"/>
          </w:tcPr>
          <w:p w14:paraId="0FFE9AAC" w14:textId="77777777" w:rsidR="000A3697" w:rsidRPr="00870A29" w:rsidRDefault="000A3697">
            <w:pPr>
              <w:jc w:val="center"/>
              <w:rPr>
                <w:rFonts w:cstheme="minorHAnsi"/>
                <w:sz w:val="22"/>
                <w:szCs w:val="22"/>
              </w:rPr>
            </w:pPr>
            <w:r w:rsidRPr="00870A29">
              <w:rPr>
                <w:rFonts w:cstheme="minorHAnsi"/>
                <w:sz w:val="22"/>
                <w:szCs w:val="22"/>
              </w:rPr>
              <w:t>6</w:t>
            </w:r>
          </w:p>
        </w:tc>
        <w:tc>
          <w:tcPr>
            <w:tcW w:w="1080" w:type="dxa"/>
            <w:vAlign w:val="center"/>
          </w:tcPr>
          <w:p w14:paraId="358064FE" w14:textId="77777777" w:rsidR="000A3697" w:rsidRPr="00870A29" w:rsidRDefault="000A3697">
            <w:pPr>
              <w:jc w:val="center"/>
              <w:rPr>
                <w:rFonts w:cstheme="minorHAnsi"/>
                <w:sz w:val="22"/>
                <w:szCs w:val="22"/>
              </w:rPr>
            </w:pPr>
            <w:r w:rsidRPr="00870A29">
              <w:rPr>
                <w:rFonts w:cstheme="minorHAnsi"/>
                <w:sz w:val="22"/>
                <w:szCs w:val="22"/>
              </w:rPr>
              <w:t>413</w:t>
            </w:r>
          </w:p>
        </w:tc>
        <w:tc>
          <w:tcPr>
            <w:tcW w:w="1080" w:type="dxa"/>
            <w:vAlign w:val="center"/>
          </w:tcPr>
          <w:p w14:paraId="19AF3A12" w14:textId="77777777" w:rsidR="000A3697" w:rsidRPr="00870A29" w:rsidRDefault="000A3697">
            <w:pPr>
              <w:jc w:val="center"/>
              <w:rPr>
                <w:rFonts w:cstheme="minorHAnsi"/>
                <w:sz w:val="22"/>
                <w:szCs w:val="22"/>
              </w:rPr>
            </w:pPr>
            <w:r w:rsidRPr="00870A29">
              <w:rPr>
                <w:rFonts w:cstheme="minorHAnsi"/>
                <w:sz w:val="22"/>
                <w:szCs w:val="22"/>
              </w:rPr>
              <w:t>58,431</w:t>
            </w:r>
          </w:p>
        </w:tc>
      </w:tr>
      <w:tr w:rsidR="000A3697" w14:paraId="318C1690" w14:textId="77777777">
        <w:trPr>
          <w:trHeight w:val="360"/>
        </w:trPr>
        <w:tc>
          <w:tcPr>
            <w:tcW w:w="3055" w:type="dxa"/>
            <w:vAlign w:val="center"/>
          </w:tcPr>
          <w:p w14:paraId="0710648D" w14:textId="77777777" w:rsidR="000A3697" w:rsidRPr="00870A29" w:rsidRDefault="000A3697">
            <w:pPr>
              <w:jc w:val="right"/>
              <w:rPr>
                <w:rFonts w:cstheme="minorHAnsi"/>
                <w:sz w:val="22"/>
                <w:szCs w:val="22"/>
              </w:rPr>
            </w:pPr>
            <w:r w:rsidRPr="00870A29">
              <w:rPr>
                <w:rFonts w:cstheme="minorHAnsi"/>
                <w:sz w:val="22"/>
                <w:szCs w:val="22"/>
              </w:rPr>
              <w:t>Secchi Depth</w:t>
            </w:r>
          </w:p>
        </w:tc>
        <w:tc>
          <w:tcPr>
            <w:tcW w:w="1440" w:type="dxa"/>
            <w:vAlign w:val="center"/>
          </w:tcPr>
          <w:p w14:paraId="1AEE2F4B" w14:textId="77777777" w:rsidR="000A3697" w:rsidRPr="00870A29" w:rsidRDefault="000A3697">
            <w:pPr>
              <w:jc w:val="center"/>
              <w:rPr>
                <w:rFonts w:cstheme="minorHAnsi"/>
                <w:sz w:val="22"/>
                <w:szCs w:val="22"/>
              </w:rPr>
            </w:pPr>
            <w:r w:rsidRPr="00870A29">
              <w:rPr>
                <w:rFonts w:cstheme="minorHAnsi"/>
                <w:sz w:val="22"/>
                <w:szCs w:val="22"/>
              </w:rPr>
              <w:t>69</w:t>
            </w:r>
          </w:p>
        </w:tc>
        <w:tc>
          <w:tcPr>
            <w:tcW w:w="1532" w:type="dxa"/>
            <w:vAlign w:val="center"/>
          </w:tcPr>
          <w:p w14:paraId="3E992152" w14:textId="77777777" w:rsidR="000A3697" w:rsidRPr="00870A29" w:rsidRDefault="000A3697">
            <w:pPr>
              <w:jc w:val="center"/>
              <w:rPr>
                <w:rFonts w:cstheme="minorHAnsi"/>
                <w:sz w:val="22"/>
                <w:szCs w:val="22"/>
              </w:rPr>
            </w:pPr>
            <w:r w:rsidRPr="00870A29">
              <w:rPr>
                <w:rFonts w:cstheme="minorHAnsi"/>
                <w:sz w:val="22"/>
                <w:szCs w:val="22"/>
              </w:rPr>
              <w:t>26</w:t>
            </w:r>
          </w:p>
        </w:tc>
        <w:tc>
          <w:tcPr>
            <w:tcW w:w="1528" w:type="dxa"/>
            <w:vAlign w:val="center"/>
          </w:tcPr>
          <w:p w14:paraId="13A00ECC" w14:textId="77777777" w:rsidR="000A3697" w:rsidRPr="00870A29" w:rsidRDefault="000A3697">
            <w:pPr>
              <w:jc w:val="center"/>
              <w:rPr>
                <w:rFonts w:cstheme="minorHAnsi"/>
                <w:sz w:val="22"/>
                <w:szCs w:val="22"/>
              </w:rPr>
            </w:pPr>
            <w:r w:rsidRPr="00870A29">
              <w:rPr>
                <w:rFonts w:cstheme="minorHAnsi"/>
                <w:sz w:val="22"/>
                <w:szCs w:val="22"/>
              </w:rPr>
              <w:t>5</w:t>
            </w:r>
          </w:p>
        </w:tc>
        <w:tc>
          <w:tcPr>
            <w:tcW w:w="1080" w:type="dxa"/>
            <w:vAlign w:val="center"/>
          </w:tcPr>
          <w:p w14:paraId="7E6470F0" w14:textId="77777777" w:rsidR="000A3697" w:rsidRPr="00870A29" w:rsidRDefault="000A3697">
            <w:pPr>
              <w:jc w:val="center"/>
              <w:rPr>
                <w:rFonts w:cstheme="minorHAnsi"/>
                <w:sz w:val="22"/>
                <w:szCs w:val="22"/>
              </w:rPr>
            </w:pPr>
            <w:r w:rsidRPr="00870A29">
              <w:rPr>
                <w:rFonts w:cstheme="minorHAnsi"/>
                <w:sz w:val="22"/>
                <w:szCs w:val="22"/>
              </w:rPr>
              <w:t>84</w:t>
            </w:r>
          </w:p>
        </w:tc>
        <w:tc>
          <w:tcPr>
            <w:tcW w:w="1080" w:type="dxa"/>
            <w:vAlign w:val="center"/>
          </w:tcPr>
          <w:p w14:paraId="6E4D964E" w14:textId="77777777" w:rsidR="000A3697" w:rsidRPr="00870A29" w:rsidRDefault="000A3697">
            <w:pPr>
              <w:jc w:val="center"/>
              <w:rPr>
                <w:rFonts w:cstheme="minorHAnsi"/>
                <w:sz w:val="22"/>
                <w:szCs w:val="22"/>
              </w:rPr>
            </w:pPr>
            <w:r w:rsidRPr="00870A29">
              <w:rPr>
                <w:rFonts w:cstheme="minorHAnsi"/>
                <w:sz w:val="22"/>
                <w:szCs w:val="22"/>
              </w:rPr>
              <w:t>12,942</w:t>
            </w:r>
          </w:p>
        </w:tc>
      </w:tr>
      <w:tr w:rsidR="000A3697" w14:paraId="33492D7D" w14:textId="77777777">
        <w:trPr>
          <w:trHeight w:val="360"/>
        </w:trPr>
        <w:tc>
          <w:tcPr>
            <w:tcW w:w="3055" w:type="dxa"/>
            <w:vAlign w:val="center"/>
          </w:tcPr>
          <w:p w14:paraId="664A5F43" w14:textId="77777777" w:rsidR="000A3697" w:rsidRPr="00870A29" w:rsidRDefault="000A3697">
            <w:pPr>
              <w:jc w:val="right"/>
              <w:rPr>
                <w:rFonts w:cstheme="minorHAnsi"/>
                <w:sz w:val="22"/>
                <w:szCs w:val="22"/>
              </w:rPr>
            </w:pPr>
            <w:r w:rsidRPr="00870A29">
              <w:rPr>
                <w:rFonts w:cstheme="minorHAnsi"/>
                <w:sz w:val="22"/>
                <w:szCs w:val="22"/>
              </w:rPr>
              <w:t>Specific Conductance</w:t>
            </w:r>
          </w:p>
        </w:tc>
        <w:tc>
          <w:tcPr>
            <w:tcW w:w="1440" w:type="dxa"/>
            <w:vAlign w:val="center"/>
          </w:tcPr>
          <w:p w14:paraId="4E357C15" w14:textId="77777777" w:rsidR="000A3697" w:rsidRPr="00870A29" w:rsidRDefault="000A3697">
            <w:pPr>
              <w:jc w:val="center"/>
              <w:rPr>
                <w:rFonts w:cstheme="minorHAnsi"/>
                <w:sz w:val="22"/>
                <w:szCs w:val="22"/>
              </w:rPr>
            </w:pPr>
            <w:r w:rsidRPr="00870A29">
              <w:rPr>
                <w:rFonts w:cstheme="minorHAnsi"/>
                <w:sz w:val="22"/>
                <w:szCs w:val="22"/>
              </w:rPr>
              <w:t>72</w:t>
            </w:r>
          </w:p>
        </w:tc>
        <w:tc>
          <w:tcPr>
            <w:tcW w:w="1532" w:type="dxa"/>
            <w:vAlign w:val="center"/>
          </w:tcPr>
          <w:p w14:paraId="74E61D4C" w14:textId="77777777" w:rsidR="000A3697" w:rsidRPr="00870A29" w:rsidRDefault="000A3697">
            <w:pPr>
              <w:jc w:val="center"/>
              <w:rPr>
                <w:rFonts w:cstheme="minorHAnsi"/>
                <w:sz w:val="22"/>
                <w:szCs w:val="22"/>
              </w:rPr>
            </w:pPr>
            <w:r w:rsidRPr="00870A29">
              <w:rPr>
                <w:rFonts w:cstheme="minorHAnsi"/>
                <w:sz w:val="22"/>
                <w:szCs w:val="22"/>
              </w:rPr>
              <w:t>3</w:t>
            </w:r>
          </w:p>
        </w:tc>
        <w:tc>
          <w:tcPr>
            <w:tcW w:w="1528" w:type="dxa"/>
            <w:vAlign w:val="center"/>
          </w:tcPr>
          <w:p w14:paraId="3AFEED7D" w14:textId="77777777" w:rsidR="000A3697" w:rsidRPr="00870A29" w:rsidRDefault="000A3697">
            <w:pPr>
              <w:jc w:val="center"/>
              <w:rPr>
                <w:rFonts w:cstheme="minorHAnsi"/>
                <w:sz w:val="22"/>
                <w:szCs w:val="22"/>
              </w:rPr>
            </w:pPr>
            <w:r w:rsidRPr="00870A29">
              <w:rPr>
                <w:rFonts w:cstheme="minorHAnsi"/>
                <w:sz w:val="22"/>
                <w:szCs w:val="22"/>
              </w:rPr>
              <w:t>26</w:t>
            </w:r>
          </w:p>
        </w:tc>
        <w:tc>
          <w:tcPr>
            <w:tcW w:w="1080" w:type="dxa"/>
            <w:vAlign w:val="center"/>
          </w:tcPr>
          <w:p w14:paraId="60E99812" w14:textId="77777777" w:rsidR="000A3697" w:rsidRPr="00870A29" w:rsidRDefault="000A3697">
            <w:pPr>
              <w:jc w:val="center"/>
              <w:rPr>
                <w:rFonts w:cstheme="minorHAnsi"/>
                <w:sz w:val="22"/>
                <w:szCs w:val="22"/>
              </w:rPr>
            </w:pPr>
            <w:r w:rsidRPr="00870A29">
              <w:rPr>
                <w:rFonts w:cstheme="minorHAnsi"/>
                <w:sz w:val="22"/>
                <w:szCs w:val="22"/>
              </w:rPr>
              <w:t>395</w:t>
            </w:r>
          </w:p>
        </w:tc>
        <w:tc>
          <w:tcPr>
            <w:tcW w:w="1080" w:type="dxa"/>
            <w:vAlign w:val="center"/>
          </w:tcPr>
          <w:p w14:paraId="7C7BC533" w14:textId="77777777" w:rsidR="000A3697" w:rsidRPr="00870A29" w:rsidRDefault="000A3697">
            <w:pPr>
              <w:jc w:val="center"/>
              <w:rPr>
                <w:rFonts w:cstheme="minorHAnsi"/>
                <w:sz w:val="22"/>
                <w:szCs w:val="22"/>
              </w:rPr>
            </w:pPr>
            <w:r w:rsidRPr="00870A29">
              <w:rPr>
                <w:rFonts w:cstheme="minorHAnsi"/>
                <w:sz w:val="22"/>
                <w:szCs w:val="22"/>
              </w:rPr>
              <w:t>58,779</w:t>
            </w:r>
          </w:p>
        </w:tc>
      </w:tr>
      <w:tr w:rsidR="000A3697" w14:paraId="6FCFB9CA" w14:textId="77777777">
        <w:trPr>
          <w:trHeight w:val="360"/>
        </w:trPr>
        <w:tc>
          <w:tcPr>
            <w:tcW w:w="3055" w:type="dxa"/>
            <w:vAlign w:val="center"/>
          </w:tcPr>
          <w:p w14:paraId="1962E6E9" w14:textId="77777777" w:rsidR="000A3697" w:rsidRPr="00870A29" w:rsidRDefault="000A3697">
            <w:pPr>
              <w:jc w:val="right"/>
              <w:rPr>
                <w:rFonts w:cstheme="minorHAnsi"/>
                <w:sz w:val="22"/>
                <w:szCs w:val="22"/>
              </w:rPr>
            </w:pPr>
            <w:r w:rsidRPr="00870A29">
              <w:rPr>
                <w:rFonts w:cstheme="minorHAnsi"/>
                <w:sz w:val="22"/>
                <w:szCs w:val="22"/>
              </w:rPr>
              <w:t>Total Fixed Suspended Solids</w:t>
            </w:r>
          </w:p>
        </w:tc>
        <w:tc>
          <w:tcPr>
            <w:tcW w:w="1440" w:type="dxa"/>
            <w:vAlign w:val="center"/>
          </w:tcPr>
          <w:p w14:paraId="02412B9A" w14:textId="77777777" w:rsidR="000A3697" w:rsidRPr="00870A29" w:rsidRDefault="000A3697">
            <w:pPr>
              <w:jc w:val="center"/>
              <w:rPr>
                <w:rFonts w:cstheme="minorHAnsi"/>
                <w:sz w:val="22"/>
                <w:szCs w:val="22"/>
              </w:rPr>
            </w:pPr>
            <w:r w:rsidRPr="00870A29">
              <w:rPr>
                <w:rFonts w:cstheme="minorHAnsi"/>
                <w:sz w:val="22"/>
                <w:szCs w:val="22"/>
              </w:rPr>
              <w:t>70</w:t>
            </w:r>
          </w:p>
        </w:tc>
        <w:tc>
          <w:tcPr>
            <w:tcW w:w="1532" w:type="dxa"/>
            <w:vAlign w:val="center"/>
          </w:tcPr>
          <w:p w14:paraId="193253D7" w14:textId="77777777" w:rsidR="000A3697" w:rsidRPr="00870A29" w:rsidRDefault="000A3697">
            <w:pPr>
              <w:jc w:val="center"/>
              <w:rPr>
                <w:rFonts w:cstheme="minorHAnsi"/>
                <w:sz w:val="22"/>
                <w:szCs w:val="22"/>
              </w:rPr>
            </w:pPr>
            <w:r w:rsidRPr="00870A29">
              <w:rPr>
                <w:rFonts w:cstheme="minorHAnsi"/>
                <w:sz w:val="22"/>
                <w:szCs w:val="22"/>
              </w:rPr>
              <w:t>29</w:t>
            </w:r>
          </w:p>
        </w:tc>
        <w:tc>
          <w:tcPr>
            <w:tcW w:w="1528" w:type="dxa"/>
            <w:vAlign w:val="center"/>
          </w:tcPr>
          <w:p w14:paraId="3AC72EFB" w14:textId="77777777" w:rsidR="000A3697" w:rsidRPr="00870A29" w:rsidRDefault="000A3697">
            <w:pPr>
              <w:jc w:val="center"/>
              <w:rPr>
                <w:rFonts w:cstheme="minorHAnsi"/>
                <w:sz w:val="22"/>
                <w:szCs w:val="22"/>
              </w:rPr>
            </w:pPr>
            <w:r w:rsidRPr="00870A29">
              <w:rPr>
                <w:rFonts w:cstheme="minorHAnsi"/>
                <w:sz w:val="22"/>
                <w:szCs w:val="22"/>
              </w:rPr>
              <w:t>1</w:t>
            </w:r>
          </w:p>
        </w:tc>
        <w:tc>
          <w:tcPr>
            <w:tcW w:w="1080" w:type="dxa"/>
            <w:vAlign w:val="center"/>
          </w:tcPr>
          <w:p w14:paraId="066235CB" w14:textId="77777777" w:rsidR="000A3697" w:rsidRPr="00870A29" w:rsidRDefault="000A3697">
            <w:pPr>
              <w:jc w:val="center"/>
              <w:rPr>
                <w:rFonts w:cstheme="minorHAnsi"/>
                <w:sz w:val="22"/>
                <w:szCs w:val="22"/>
              </w:rPr>
            </w:pPr>
            <w:r w:rsidRPr="00870A29">
              <w:rPr>
                <w:rFonts w:cstheme="minorHAnsi"/>
                <w:sz w:val="22"/>
                <w:szCs w:val="22"/>
              </w:rPr>
              <w:t>160</w:t>
            </w:r>
          </w:p>
        </w:tc>
        <w:tc>
          <w:tcPr>
            <w:tcW w:w="1080" w:type="dxa"/>
            <w:vAlign w:val="center"/>
          </w:tcPr>
          <w:p w14:paraId="00B661B9" w14:textId="77777777" w:rsidR="000A3697" w:rsidRPr="00870A29" w:rsidRDefault="000A3697">
            <w:pPr>
              <w:jc w:val="center"/>
              <w:rPr>
                <w:rFonts w:cstheme="minorHAnsi"/>
                <w:sz w:val="22"/>
                <w:szCs w:val="22"/>
              </w:rPr>
            </w:pPr>
            <w:r w:rsidRPr="00870A29">
              <w:rPr>
                <w:rFonts w:cstheme="minorHAnsi"/>
                <w:sz w:val="22"/>
                <w:szCs w:val="22"/>
              </w:rPr>
              <w:t>20,689</w:t>
            </w:r>
          </w:p>
        </w:tc>
      </w:tr>
      <w:tr w:rsidR="000A3697" w14:paraId="59EAD6CD" w14:textId="77777777">
        <w:trPr>
          <w:trHeight w:val="360"/>
        </w:trPr>
        <w:tc>
          <w:tcPr>
            <w:tcW w:w="3055" w:type="dxa"/>
            <w:vAlign w:val="center"/>
          </w:tcPr>
          <w:p w14:paraId="0F177472" w14:textId="77777777" w:rsidR="000A3697" w:rsidRPr="00870A29" w:rsidRDefault="000A3697">
            <w:pPr>
              <w:jc w:val="right"/>
              <w:rPr>
                <w:rFonts w:cstheme="minorHAnsi"/>
                <w:sz w:val="22"/>
                <w:szCs w:val="22"/>
              </w:rPr>
            </w:pPr>
            <w:r w:rsidRPr="00870A29">
              <w:rPr>
                <w:rFonts w:cstheme="minorHAnsi"/>
                <w:sz w:val="22"/>
                <w:szCs w:val="22"/>
              </w:rPr>
              <w:t>Total Suspended Solids</w:t>
            </w:r>
          </w:p>
        </w:tc>
        <w:tc>
          <w:tcPr>
            <w:tcW w:w="1440" w:type="dxa"/>
            <w:vAlign w:val="center"/>
          </w:tcPr>
          <w:p w14:paraId="11DAF463" w14:textId="77777777" w:rsidR="000A3697" w:rsidRPr="00870A29" w:rsidRDefault="000A3697">
            <w:pPr>
              <w:jc w:val="center"/>
              <w:rPr>
                <w:rFonts w:cstheme="minorHAnsi"/>
                <w:sz w:val="22"/>
                <w:szCs w:val="22"/>
              </w:rPr>
            </w:pPr>
            <w:r w:rsidRPr="00870A29">
              <w:rPr>
                <w:rFonts w:cstheme="minorHAnsi"/>
                <w:sz w:val="22"/>
                <w:szCs w:val="22"/>
              </w:rPr>
              <w:t>80</w:t>
            </w:r>
          </w:p>
        </w:tc>
        <w:tc>
          <w:tcPr>
            <w:tcW w:w="1532" w:type="dxa"/>
            <w:vAlign w:val="center"/>
          </w:tcPr>
          <w:p w14:paraId="17DE2B92" w14:textId="77777777" w:rsidR="000A3697" w:rsidRPr="00870A29" w:rsidRDefault="000A3697">
            <w:pPr>
              <w:jc w:val="center"/>
              <w:rPr>
                <w:rFonts w:cstheme="minorHAnsi"/>
                <w:sz w:val="22"/>
                <w:szCs w:val="22"/>
              </w:rPr>
            </w:pPr>
            <w:r w:rsidRPr="00870A29">
              <w:rPr>
                <w:rFonts w:cstheme="minorHAnsi"/>
                <w:sz w:val="22"/>
                <w:szCs w:val="22"/>
              </w:rPr>
              <w:t>17</w:t>
            </w:r>
          </w:p>
        </w:tc>
        <w:tc>
          <w:tcPr>
            <w:tcW w:w="1528" w:type="dxa"/>
            <w:vAlign w:val="center"/>
          </w:tcPr>
          <w:p w14:paraId="413A3CF5" w14:textId="77777777" w:rsidR="000A3697" w:rsidRPr="00870A29" w:rsidRDefault="000A3697">
            <w:pPr>
              <w:jc w:val="center"/>
              <w:rPr>
                <w:rFonts w:cstheme="minorHAnsi"/>
                <w:sz w:val="22"/>
                <w:szCs w:val="22"/>
              </w:rPr>
            </w:pPr>
            <w:r w:rsidRPr="00870A29">
              <w:rPr>
                <w:rFonts w:cstheme="minorHAnsi"/>
                <w:sz w:val="22"/>
                <w:szCs w:val="22"/>
              </w:rPr>
              <w:t>3</w:t>
            </w:r>
          </w:p>
        </w:tc>
        <w:tc>
          <w:tcPr>
            <w:tcW w:w="1080" w:type="dxa"/>
            <w:vAlign w:val="center"/>
          </w:tcPr>
          <w:p w14:paraId="72415054" w14:textId="77777777" w:rsidR="000A3697" w:rsidRPr="00870A29" w:rsidRDefault="000A3697">
            <w:pPr>
              <w:jc w:val="center"/>
              <w:rPr>
                <w:rFonts w:cstheme="minorHAnsi"/>
                <w:sz w:val="22"/>
                <w:szCs w:val="22"/>
              </w:rPr>
            </w:pPr>
            <w:r w:rsidRPr="00870A29">
              <w:rPr>
                <w:rFonts w:cstheme="minorHAnsi"/>
                <w:sz w:val="22"/>
                <w:szCs w:val="22"/>
              </w:rPr>
              <w:t>386</w:t>
            </w:r>
          </w:p>
        </w:tc>
        <w:tc>
          <w:tcPr>
            <w:tcW w:w="1080" w:type="dxa"/>
            <w:vAlign w:val="center"/>
          </w:tcPr>
          <w:p w14:paraId="4EB391BD" w14:textId="77777777" w:rsidR="000A3697" w:rsidRPr="00870A29" w:rsidRDefault="000A3697">
            <w:pPr>
              <w:jc w:val="center"/>
              <w:rPr>
                <w:rFonts w:cstheme="minorHAnsi"/>
                <w:sz w:val="22"/>
                <w:szCs w:val="22"/>
              </w:rPr>
            </w:pPr>
            <w:r w:rsidRPr="00870A29">
              <w:rPr>
                <w:rFonts w:cstheme="minorHAnsi"/>
                <w:sz w:val="22"/>
                <w:szCs w:val="22"/>
              </w:rPr>
              <w:t>52,906</w:t>
            </w:r>
          </w:p>
        </w:tc>
      </w:tr>
      <w:tr w:rsidR="000A3697" w14:paraId="651E33AC" w14:textId="77777777">
        <w:trPr>
          <w:trHeight w:val="360"/>
        </w:trPr>
        <w:tc>
          <w:tcPr>
            <w:tcW w:w="3055" w:type="dxa"/>
            <w:vAlign w:val="center"/>
          </w:tcPr>
          <w:p w14:paraId="213F59D4" w14:textId="77777777" w:rsidR="000A3697" w:rsidRPr="00870A29" w:rsidRDefault="000A3697">
            <w:pPr>
              <w:jc w:val="right"/>
              <w:rPr>
                <w:rFonts w:cstheme="minorHAnsi"/>
                <w:sz w:val="22"/>
                <w:szCs w:val="22"/>
              </w:rPr>
            </w:pPr>
            <w:r w:rsidRPr="00870A29">
              <w:rPr>
                <w:rFonts w:cstheme="minorHAnsi"/>
                <w:sz w:val="22"/>
                <w:szCs w:val="22"/>
              </w:rPr>
              <w:t>Total Volatile Suspended Solids</w:t>
            </w:r>
          </w:p>
        </w:tc>
        <w:tc>
          <w:tcPr>
            <w:tcW w:w="1440" w:type="dxa"/>
            <w:vAlign w:val="center"/>
          </w:tcPr>
          <w:p w14:paraId="1665EE50" w14:textId="77777777" w:rsidR="000A3697" w:rsidRPr="00870A29" w:rsidRDefault="000A3697">
            <w:pPr>
              <w:jc w:val="center"/>
              <w:rPr>
                <w:rFonts w:cstheme="minorHAnsi"/>
                <w:sz w:val="22"/>
                <w:szCs w:val="22"/>
              </w:rPr>
            </w:pPr>
            <w:r w:rsidRPr="00870A29">
              <w:rPr>
                <w:rFonts w:cstheme="minorHAnsi"/>
                <w:sz w:val="22"/>
                <w:szCs w:val="22"/>
              </w:rPr>
              <w:t>81</w:t>
            </w:r>
          </w:p>
        </w:tc>
        <w:tc>
          <w:tcPr>
            <w:tcW w:w="1532" w:type="dxa"/>
            <w:vAlign w:val="center"/>
          </w:tcPr>
          <w:p w14:paraId="5F7433CD" w14:textId="77777777" w:rsidR="000A3697" w:rsidRPr="00870A29" w:rsidRDefault="000A3697">
            <w:pPr>
              <w:jc w:val="center"/>
              <w:rPr>
                <w:rFonts w:cstheme="minorHAnsi"/>
                <w:sz w:val="22"/>
                <w:szCs w:val="22"/>
              </w:rPr>
            </w:pPr>
            <w:r w:rsidRPr="00870A29">
              <w:rPr>
                <w:rFonts w:cstheme="minorHAnsi"/>
                <w:sz w:val="22"/>
                <w:szCs w:val="22"/>
              </w:rPr>
              <w:t>3</w:t>
            </w:r>
          </w:p>
        </w:tc>
        <w:tc>
          <w:tcPr>
            <w:tcW w:w="1528" w:type="dxa"/>
            <w:vAlign w:val="center"/>
          </w:tcPr>
          <w:p w14:paraId="07F416EB" w14:textId="77777777" w:rsidR="000A3697" w:rsidRPr="00870A29" w:rsidRDefault="000A3697">
            <w:pPr>
              <w:jc w:val="center"/>
              <w:rPr>
                <w:rFonts w:cstheme="minorHAnsi"/>
                <w:sz w:val="22"/>
                <w:szCs w:val="22"/>
              </w:rPr>
            </w:pPr>
            <w:r w:rsidRPr="00870A29">
              <w:rPr>
                <w:rFonts w:cstheme="minorHAnsi"/>
                <w:sz w:val="22"/>
                <w:szCs w:val="22"/>
              </w:rPr>
              <w:t>16</w:t>
            </w:r>
          </w:p>
        </w:tc>
        <w:tc>
          <w:tcPr>
            <w:tcW w:w="1080" w:type="dxa"/>
            <w:vAlign w:val="center"/>
          </w:tcPr>
          <w:p w14:paraId="3A1FE7E0" w14:textId="77777777" w:rsidR="000A3697" w:rsidRPr="00870A29" w:rsidRDefault="000A3697">
            <w:pPr>
              <w:jc w:val="center"/>
              <w:rPr>
                <w:rFonts w:cstheme="minorHAnsi"/>
                <w:sz w:val="22"/>
                <w:szCs w:val="22"/>
              </w:rPr>
            </w:pPr>
            <w:r w:rsidRPr="00870A29">
              <w:rPr>
                <w:rFonts w:cstheme="minorHAnsi"/>
                <w:sz w:val="22"/>
                <w:szCs w:val="22"/>
              </w:rPr>
              <w:t>160</w:t>
            </w:r>
          </w:p>
        </w:tc>
        <w:tc>
          <w:tcPr>
            <w:tcW w:w="1080" w:type="dxa"/>
            <w:vAlign w:val="center"/>
          </w:tcPr>
          <w:p w14:paraId="750F402F" w14:textId="77777777" w:rsidR="000A3697" w:rsidRPr="00870A29" w:rsidRDefault="000A3697">
            <w:pPr>
              <w:jc w:val="center"/>
              <w:rPr>
                <w:rFonts w:cstheme="minorHAnsi"/>
                <w:sz w:val="22"/>
                <w:szCs w:val="22"/>
              </w:rPr>
            </w:pPr>
            <w:r w:rsidRPr="00870A29">
              <w:rPr>
                <w:rFonts w:cstheme="minorHAnsi"/>
                <w:sz w:val="22"/>
                <w:szCs w:val="22"/>
              </w:rPr>
              <w:t>20,686</w:t>
            </w:r>
          </w:p>
        </w:tc>
      </w:tr>
      <w:tr w:rsidR="000A3697" w14:paraId="2829CCA8" w14:textId="77777777">
        <w:trPr>
          <w:trHeight w:val="360"/>
        </w:trPr>
        <w:tc>
          <w:tcPr>
            <w:tcW w:w="3055" w:type="dxa"/>
            <w:vAlign w:val="center"/>
          </w:tcPr>
          <w:p w14:paraId="52B13D34" w14:textId="77777777" w:rsidR="000A3697" w:rsidRPr="00870A29" w:rsidRDefault="000A3697">
            <w:pPr>
              <w:jc w:val="right"/>
              <w:rPr>
                <w:rFonts w:cstheme="minorHAnsi"/>
                <w:sz w:val="22"/>
                <w:szCs w:val="22"/>
              </w:rPr>
            </w:pPr>
            <w:r w:rsidRPr="00870A29">
              <w:rPr>
                <w:rFonts w:cstheme="minorHAnsi"/>
                <w:sz w:val="22"/>
                <w:szCs w:val="22"/>
              </w:rPr>
              <w:t>Surface Water Temperature</w:t>
            </w:r>
          </w:p>
        </w:tc>
        <w:tc>
          <w:tcPr>
            <w:tcW w:w="1440" w:type="dxa"/>
            <w:vAlign w:val="center"/>
          </w:tcPr>
          <w:p w14:paraId="7485C70F" w14:textId="77777777" w:rsidR="000A3697" w:rsidRPr="00870A29" w:rsidRDefault="000A3697">
            <w:pPr>
              <w:jc w:val="center"/>
              <w:rPr>
                <w:rFonts w:cstheme="minorHAnsi"/>
                <w:sz w:val="22"/>
                <w:szCs w:val="22"/>
              </w:rPr>
            </w:pPr>
            <w:r w:rsidRPr="00870A29">
              <w:rPr>
                <w:rFonts w:cstheme="minorHAnsi"/>
                <w:sz w:val="22"/>
                <w:szCs w:val="22"/>
              </w:rPr>
              <w:t>80</w:t>
            </w:r>
          </w:p>
        </w:tc>
        <w:tc>
          <w:tcPr>
            <w:tcW w:w="1532" w:type="dxa"/>
            <w:vAlign w:val="center"/>
          </w:tcPr>
          <w:p w14:paraId="4B327C1D" w14:textId="77777777" w:rsidR="000A3697" w:rsidRPr="00870A29" w:rsidRDefault="000A3697">
            <w:pPr>
              <w:jc w:val="center"/>
              <w:rPr>
                <w:rFonts w:cstheme="minorHAnsi"/>
                <w:sz w:val="22"/>
                <w:szCs w:val="22"/>
              </w:rPr>
            </w:pPr>
            <w:r w:rsidRPr="00870A29">
              <w:rPr>
                <w:rFonts w:cstheme="minorHAnsi"/>
                <w:sz w:val="22"/>
                <w:szCs w:val="22"/>
              </w:rPr>
              <w:t>2</w:t>
            </w:r>
          </w:p>
        </w:tc>
        <w:tc>
          <w:tcPr>
            <w:tcW w:w="1528" w:type="dxa"/>
            <w:vAlign w:val="center"/>
          </w:tcPr>
          <w:p w14:paraId="6AD05380" w14:textId="77777777" w:rsidR="000A3697" w:rsidRPr="00870A29" w:rsidRDefault="000A3697">
            <w:pPr>
              <w:jc w:val="center"/>
              <w:rPr>
                <w:rFonts w:cstheme="minorHAnsi"/>
                <w:sz w:val="22"/>
                <w:szCs w:val="22"/>
              </w:rPr>
            </w:pPr>
            <w:r w:rsidRPr="00870A29">
              <w:rPr>
                <w:rFonts w:cstheme="minorHAnsi"/>
                <w:sz w:val="22"/>
                <w:szCs w:val="22"/>
              </w:rPr>
              <w:t>19</w:t>
            </w:r>
          </w:p>
        </w:tc>
        <w:tc>
          <w:tcPr>
            <w:tcW w:w="1080" w:type="dxa"/>
            <w:vAlign w:val="center"/>
          </w:tcPr>
          <w:p w14:paraId="55205613" w14:textId="77777777" w:rsidR="000A3697" w:rsidRPr="00870A29" w:rsidRDefault="000A3697">
            <w:pPr>
              <w:jc w:val="center"/>
              <w:rPr>
                <w:rFonts w:cstheme="minorHAnsi"/>
                <w:sz w:val="22"/>
                <w:szCs w:val="22"/>
              </w:rPr>
            </w:pPr>
            <w:r w:rsidRPr="00870A29">
              <w:rPr>
                <w:rFonts w:cstheme="minorHAnsi"/>
                <w:sz w:val="22"/>
                <w:szCs w:val="22"/>
              </w:rPr>
              <w:t>413</w:t>
            </w:r>
          </w:p>
        </w:tc>
        <w:tc>
          <w:tcPr>
            <w:tcW w:w="1080" w:type="dxa"/>
            <w:vAlign w:val="center"/>
          </w:tcPr>
          <w:p w14:paraId="54930B6A" w14:textId="77777777" w:rsidR="000A3697" w:rsidRPr="00870A29" w:rsidRDefault="000A3697">
            <w:pPr>
              <w:jc w:val="center"/>
              <w:rPr>
                <w:rFonts w:cstheme="minorHAnsi"/>
                <w:sz w:val="22"/>
                <w:szCs w:val="22"/>
              </w:rPr>
            </w:pPr>
            <w:r w:rsidRPr="00870A29">
              <w:rPr>
                <w:rFonts w:cstheme="minorHAnsi"/>
                <w:sz w:val="22"/>
                <w:szCs w:val="22"/>
              </w:rPr>
              <w:t>58,783</w:t>
            </w:r>
          </w:p>
        </w:tc>
      </w:tr>
      <w:tr w:rsidR="000A3697" w14:paraId="2ED20BF2" w14:textId="77777777">
        <w:trPr>
          <w:trHeight w:val="360"/>
        </w:trPr>
        <w:tc>
          <w:tcPr>
            <w:tcW w:w="3055" w:type="dxa"/>
            <w:tcBorders>
              <w:bottom w:val="single" w:sz="12" w:space="0" w:color="auto"/>
            </w:tcBorders>
            <w:vAlign w:val="center"/>
          </w:tcPr>
          <w:p w14:paraId="669D1921" w14:textId="77777777" w:rsidR="000A3697" w:rsidRPr="00870A29" w:rsidRDefault="000A3697">
            <w:pPr>
              <w:jc w:val="right"/>
              <w:rPr>
                <w:rFonts w:cstheme="minorHAnsi"/>
                <w:sz w:val="22"/>
                <w:szCs w:val="22"/>
              </w:rPr>
            </w:pPr>
            <w:r w:rsidRPr="00870A29">
              <w:rPr>
                <w:rFonts w:cstheme="minorHAnsi"/>
                <w:sz w:val="22"/>
                <w:szCs w:val="22"/>
              </w:rPr>
              <w:t>Turbidity</w:t>
            </w:r>
          </w:p>
        </w:tc>
        <w:tc>
          <w:tcPr>
            <w:tcW w:w="1440" w:type="dxa"/>
            <w:tcBorders>
              <w:bottom w:val="single" w:sz="12" w:space="0" w:color="auto"/>
            </w:tcBorders>
            <w:vAlign w:val="center"/>
          </w:tcPr>
          <w:p w14:paraId="33D9E77F" w14:textId="77777777" w:rsidR="000A3697" w:rsidRPr="00870A29" w:rsidRDefault="000A3697">
            <w:pPr>
              <w:jc w:val="center"/>
              <w:rPr>
                <w:rFonts w:cstheme="minorHAnsi"/>
                <w:sz w:val="22"/>
                <w:szCs w:val="22"/>
              </w:rPr>
            </w:pPr>
            <w:r w:rsidRPr="00870A29">
              <w:rPr>
                <w:rFonts w:cstheme="minorHAnsi"/>
                <w:sz w:val="22"/>
                <w:szCs w:val="22"/>
              </w:rPr>
              <w:t>61</w:t>
            </w:r>
          </w:p>
        </w:tc>
        <w:tc>
          <w:tcPr>
            <w:tcW w:w="1532" w:type="dxa"/>
            <w:tcBorders>
              <w:bottom w:val="single" w:sz="12" w:space="0" w:color="auto"/>
            </w:tcBorders>
            <w:vAlign w:val="center"/>
          </w:tcPr>
          <w:p w14:paraId="4992CB2D" w14:textId="77777777" w:rsidR="000A3697" w:rsidRPr="00870A29" w:rsidRDefault="000A3697">
            <w:pPr>
              <w:jc w:val="center"/>
              <w:rPr>
                <w:rFonts w:cstheme="minorHAnsi"/>
                <w:sz w:val="22"/>
                <w:szCs w:val="22"/>
              </w:rPr>
            </w:pPr>
            <w:r w:rsidRPr="00870A29">
              <w:rPr>
                <w:rFonts w:cstheme="minorHAnsi"/>
                <w:sz w:val="22"/>
                <w:szCs w:val="22"/>
              </w:rPr>
              <w:t>37</w:t>
            </w:r>
          </w:p>
        </w:tc>
        <w:tc>
          <w:tcPr>
            <w:tcW w:w="1528" w:type="dxa"/>
            <w:tcBorders>
              <w:bottom w:val="single" w:sz="12" w:space="0" w:color="auto"/>
            </w:tcBorders>
            <w:vAlign w:val="center"/>
          </w:tcPr>
          <w:p w14:paraId="1F896799" w14:textId="77777777" w:rsidR="000A3697" w:rsidRPr="00870A29" w:rsidRDefault="000A3697">
            <w:pPr>
              <w:jc w:val="center"/>
              <w:rPr>
                <w:rFonts w:cstheme="minorHAnsi"/>
                <w:sz w:val="22"/>
                <w:szCs w:val="22"/>
              </w:rPr>
            </w:pPr>
            <w:r w:rsidRPr="00870A29">
              <w:rPr>
                <w:rFonts w:cstheme="minorHAnsi"/>
                <w:sz w:val="22"/>
                <w:szCs w:val="22"/>
              </w:rPr>
              <w:t>2</w:t>
            </w:r>
          </w:p>
        </w:tc>
        <w:tc>
          <w:tcPr>
            <w:tcW w:w="1080" w:type="dxa"/>
            <w:tcBorders>
              <w:bottom w:val="single" w:sz="12" w:space="0" w:color="auto"/>
            </w:tcBorders>
            <w:vAlign w:val="center"/>
          </w:tcPr>
          <w:p w14:paraId="755821C9" w14:textId="77777777" w:rsidR="000A3697" w:rsidRPr="00870A29" w:rsidRDefault="000A3697">
            <w:pPr>
              <w:jc w:val="center"/>
              <w:rPr>
                <w:rFonts w:cstheme="minorHAnsi"/>
                <w:sz w:val="22"/>
                <w:szCs w:val="22"/>
              </w:rPr>
            </w:pPr>
            <w:r w:rsidRPr="00870A29">
              <w:rPr>
                <w:rFonts w:cstheme="minorHAnsi"/>
                <w:sz w:val="22"/>
                <w:szCs w:val="22"/>
              </w:rPr>
              <w:t>387</w:t>
            </w:r>
          </w:p>
        </w:tc>
        <w:tc>
          <w:tcPr>
            <w:tcW w:w="1080" w:type="dxa"/>
            <w:tcBorders>
              <w:bottom w:val="single" w:sz="12" w:space="0" w:color="auto"/>
            </w:tcBorders>
            <w:vAlign w:val="center"/>
          </w:tcPr>
          <w:p w14:paraId="5115079E" w14:textId="77777777" w:rsidR="000A3697" w:rsidRPr="00870A29" w:rsidRDefault="000A3697">
            <w:pPr>
              <w:jc w:val="center"/>
              <w:rPr>
                <w:rFonts w:cstheme="minorHAnsi"/>
                <w:sz w:val="22"/>
                <w:szCs w:val="22"/>
              </w:rPr>
            </w:pPr>
            <w:r w:rsidRPr="00870A29">
              <w:rPr>
                <w:rFonts w:cstheme="minorHAnsi"/>
                <w:sz w:val="22"/>
                <w:szCs w:val="22"/>
              </w:rPr>
              <w:t>47,681</w:t>
            </w:r>
          </w:p>
        </w:tc>
      </w:tr>
    </w:tbl>
    <w:p w14:paraId="5963757E" w14:textId="77EA46AF" w:rsidR="00A11D2E" w:rsidRPr="00E73540" w:rsidRDefault="00A11D2E" w:rsidP="00A11D2E">
      <w:pPr>
        <w:rPr>
          <w:rFonts w:cstheme="minorHAnsi"/>
          <w:sz w:val="20"/>
        </w:rPr>
      </w:pPr>
      <w:r w:rsidRPr="00E73540">
        <w:rPr>
          <w:rFonts w:cstheme="minorHAnsi"/>
          <w:sz w:val="20"/>
        </w:rPr>
        <w:t>*Increases in pH and dissolved oxygen may be interpretated as improving or degrading trends, depending on baseline conditions and the ecology of each waterbody.</w:t>
      </w:r>
    </w:p>
    <w:p w14:paraId="579F3CE9" w14:textId="77777777" w:rsidR="00A11D2E" w:rsidRPr="00AD3B35" w:rsidRDefault="00A11D2E" w:rsidP="00A11D2E">
      <w:pPr>
        <w:rPr>
          <w:rFonts w:cstheme="minorHAnsi"/>
          <w:i/>
          <w:noProof/>
        </w:rPr>
        <w:sectPr w:rsidR="00A11D2E" w:rsidRPr="00AD3B35" w:rsidSect="009079C4">
          <w:pgSz w:w="12240" w:h="15840" w:code="1"/>
          <w:pgMar w:top="1440" w:right="1440" w:bottom="1440" w:left="1440" w:header="720" w:footer="720" w:gutter="0"/>
          <w:cols w:space="720"/>
          <w:docGrid w:linePitch="360"/>
        </w:sectPr>
      </w:pPr>
    </w:p>
    <w:p w14:paraId="12F0A431" w14:textId="77777777" w:rsidR="00A11D2E" w:rsidRPr="00AD3B35" w:rsidRDefault="00A11D2E" w:rsidP="00645EF4">
      <w:pPr>
        <w:pStyle w:val="Heading4"/>
      </w:pPr>
      <w:r w:rsidRPr="00AD3B35">
        <w:lastRenderedPageBreak/>
        <w:t>Total Nitrogen</w:t>
      </w:r>
    </w:p>
    <w:p w14:paraId="200D1811" w14:textId="1876B972" w:rsidR="00044008" w:rsidRDefault="00044008" w:rsidP="00184023">
      <w:r w:rsidRPr="00044008">
        <w:t>Nitrogen is an essential element to all life forms including aquatic plants and algae.</w:t>
      </w:r>
      <w:r w:rsidR="005651FD">
        <w:t xml:space="preserve"> </w:t>
      </w:r>
      <w:r w:rsidRPr="00044008">
        <w:t>Although some nitrogen is required to support plant and animal life in healthy lakes, streams and estuaries, an excess of nitrogen is an indication of nutrient enrichment, an undesirable water quality characteristic. Nutrient enrichment often accelerates algae and plant growth (a process called eutrophication). The algae</w:t>
      </w:r>
      <w:proofErr w:type="gramStart"/>
      <w:r w:rsidRPr="00044008">
        <w:t>, in particular, may</w:t>
      </w:r>
      <w:proofErr w:type="gramEnd"/>
      <w:r w:rsidRPr="00044008">
        <w:t xml:space="preserve"> decompose rapidly, consuming more dissolved oxygen than can be replaced in the water and suffocating aquatic life. In addition, algal blooms may produce toxins which harm aquatic life and endanger human health. Nitrogen entering the aquatic system from the surrounding watershed primarily from: 1) atmospheric deposition mainly from oxides of nitrogen produced during combustion of fossil fuels, 2) wastewater treatment plants, 3) urban and suburban storm water runoff, 4) concentrated animal feeding operations (CAFO), and 5) runoff of agricultural fertilizer.</w:t>
      </w:r>
      <w:r>
        <w:br/>
      </w:r>
    </w:p>
    <w:p w14:paraId="34D7B4B5" w14:textId="4E0BE256" w:rsidR="00A11D2E" w:rsidRPr="00645EF4" w:rsidRDefault="00A11D2E" w:rsidP="00184023">
      <w:pPr>
        <w:rPr>
          <w:b/>
        </w:rPr>
      </w:pPr>
      <w:r w:rsidRPr="00645EF4">
        <w:t xml:space="preserve">Total nitrogen is measured statewide at all trend stations. Over the 20-year period total nitrogen concentrations have decreased (an indicator of improving water quality) </w:t>
      </w:r>
      <w:proofErr w:type="gramStart"/>
      <w:r w:rsidRPr="00645EF4">
        <w:t>at</w:t>
      </w:r>
      <w:proofErr w:type="gramEnd"/>
      <w:r w:rsidRPr="00645EF4">
        <w:t xml:space="preserve"> 172 of 413 stations (41%), increased </w:t>
      </w:r>
      <w:proofErr w:type="gramStart"/>
      <w:r w:rsidRPr="00645EF4">
        <w:t>at</w:t>
      </w:r>
      <w:proofErr w:type="gramEnd"/>
      <w:r w:rsidRPr="00645EF4">
        <w:t xml:space="preserve"> 12 stations (3%), and showed no trends at 229 stations (56%). Improvements occurred at many sites in the Chesapeake Bay watershed, where 13</w:t>
      </w:r>
      <w:r w:rsidR="00E20AD9">
        <w:t>5</w:t>
      </w:r>
      <w:r w:rsidRPr="00645EF4">
        <w:t xml:space="preserve"> of the 172 stations (78%) with improving nitrogen concentrations occurred (</w:t>
      </w:r>
      <w:r w:rsidR="001544FC">
        <w:t>Table</w:t>
      </w:r>
      <w:r w:rsidR="000112F7">
        <w:t xml:space="preserve"> </w:t>
      </w:r>
      <w:r w:rsidR="000C1EFA" w:rsidRPr="000C1EFA">
        <w:t>4.7-</w:t>
      </w:r>
      <w:r w:rsidRPr="000C1EFA">
        <w:t>5, F</w:t>
      </w:r>
      <w:r w:rsidRPr="00645EF4">
        <w:t xml:space="preserve">igure </w:t>
      </w:r>
      <w:r w:rsidR="00F84839">
        <w:t>4.7-</w:t>
      </w:r>
      <w:r w:rsidRPr="00645EF4">
        <w:t>2)</w:t>
      </w:r>
      <w:r w:rsidR="00EA1D58">
        <w:t>, with only four of the trend stations in the Chesapeake Bay watershed indicating degrading nitrogen trends.</w:t>
      </w:r>
      <w:r w:rsidRPr="00645EF4">
        <w:t xml:space="preserve"> </w:t>
      </w:r>
      <w:r w:rsidR="00645EF4">
        <w:br/>
      </w:r>
    </w:p>
    <w:p w14:paraId="63CFE727" w14:textId="5DB9AB7B" w:rsidR="00F432F6" w:rsidRDefault="00F432F6" w:rsidP="00F432F6">
      <w:pPr>
        <w:pStyle w:val="Caption"/>
        <w:keepNext/>
      </w:pPr>
      <w:bookmarkStart w:id="339" w:name="_Toc164175226"/>
      <w:r>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5</w:t>
      </w:r>
      <w:r w:rsidR="004F13BA">
        <w:rPr>
          <w:noProof/>
        </w:rPr>
        <w:fldChar w:fldCharType="end"/>
      </w:r>
      <w:r>
        <w:t xml:space="preserve">. </w:t>
      </w:r>
      <w:r w:rsidRPr="00AD3B35">
        <w:rPr>
          <w:rFonts w:cstheme="minorHAnsi"/>
        </w:rPr>
        <w:t>Total Nitrogen trends by basin</w:t>
      </w:r>
      <w:r w:rsidR="004D4BF2">
        <w:rPr>
          <w:rFonts w:cstheme="minorHAnsi"/>
        </w:rPr>
        <w:t>, 2003 through 2022.</w:t>
      </w:r>
      <w:bookmarkEnd w:id="339"/>
    </w:p>
    <w:tbl>
      <w:tblPr>
        <w:tblW w:w="5000" w:type="pct"/>
        <w:tblLook w:val="04A0" w:firstRow="1" w:lastRow="0" w:firstColumn="1" w:lastColumn="0" w:noHBand="0" w:noVBand="1"/>
        <w:tblCaption w:val="Table of Total Nitrogen trends by basin."/>
        <w:tblDescription w:val="Total Nitrogen trends by basin."/>
      </w:tblPr>
      <w:tblGrid>
        <w:gridCol w:w="1539"/>
        <w:gridCol w:w="964"/>
        <w:gridCol w:w="1196"/>
        <w:gridCol w:w="1509"/>
        <w:gridCol w:w="1101"/>
        <w:gridCol w:w="1149"/>
        <w:gridCol w:w="1151"/>
        <w:gridCol w:w="751"/>
      </w:tblGrid>
      <w:tr w:rsidR="00A11D2E" w:rsidRPr="00AD3B35" w14:paraId="49F2F406" w14:textId="77777777" w:rsidTr="00F432F6">
        <w:trPr>
          <w:trHeight w:val="690"/>
        </w:trPr>
        <w:tc>
          <w:tcPr>
            <w:tcW w:w="822" w:type="pct"/>
            <w:tcBorders>
              <w:top w:val="single" w:sz="12" w:space="0" w:color="auto"/>
              <w:left w:val="nil"/>
              <w:bottom w:val="single" w:sz="8" w:space="0" w:color="auto"/>
              <w:right w:val="nil"/>
            </w:tcBorders>
            <w:shd w:val="clear" w:color="auto" w:fill="auto"/>
            <w:vAlign w:val="center"/>
            <w:hideMark/>
          </w:tcPr>
          <w:p w14:paraId="6F5B5359" w14:textId="77777777" w:rsidR="00A11D2E" w:rsidRPr="00315AF5" w:rsidRDefault="00A11D2E">
            <w:pPr>
              <w:widowControl/>
              <w:jc w:val="center"/>
              <w:rPr>
                <w:rFonts w:cstheme="minorHAnsi"/>
                <w:b/>
                <w:bCs/>
                <w:snapToGrid/>
                <w:sz w:val="22"/>
                <w:szCs w:val="22"/>
              </w:rPr>
            </w:pPr>
            <w:r w:rsidRPr="00315AF5">
              <w:rPr>
                <w:rFonts w:cstheme="minorHAnsi"/>
                <w:b/>
                <w:bCs/>
                <w:sz w:val="22"/>
                <w:szCs w:val="22"/>
              </w:rPr>
              <w:t>River Basin</w:t>
            </w:r>
          </w:p>
        </w:tc>
        <w:tc>
          <w:tcPr>
            <w:tcW w:w="515" w:type="pct"/>
            <w:tcBorders>
              <w:top w:val="single" w:sz="12" w:space="0" w:color="auto"/>
              <w:left w:val="nil"/>
              <w:bottom w:val="single" w:sz="8" w:space="0" w:color="auto"/>
              <w:right w:val="nil"/>
            </w:tcBorders>
            <w:shd w:val="clear" w:color="auto" w:fill="auto"/>
            <w:vAlign w:val="center"/>
            <w:hideMark/>
          </w:tcPr>
          <w:p w14:paraId="1D9969FB" w14:textId="77777777" w:rsidR="00A11D2E" w:rsidRPr="00315AF5" w:rsidRDefault="00A11D2E">
            <w:pPr>
              <w:jc w:val="center"/>
              <w:rPr>
                <w:rFonts w:cstheme="minorHAnsi"/>
                <w:b/>
                <w:bCs/>
                <w:sz w:val="22"/>
                <w:szCs w:val="22"/>
              </w:rPr>
            </w:pPr>
            <w:r w:rsidRPr="00315AF5">
              <w:rPr>
                <w:rFonts w:cstheme="minorHAnsi"/>
                <w:b/>
                <w:bCs/>
                <w:sz w:val="22"/>
                <w:szCs w:val="22"/>
              </w:rPr>
              <w:t>Total Stations</w:t>
            </w:r>
          </w:p>
        </w:tc>
        <w:tc>
          <w:tcPr>
            <w:tcW w:w="639" w:type="pct"/>
            <w:tcBorders>
              <w:top w:val="single" w:sz="12" w:space="0" w:color="auto"/>
              <w:left w:val="nil"/>
              <w:bottom w:val="single" w:sz="8" w:space="0" w:color="auto"/>
              <w:right w:val="nil"/>
            </w:tcBorders>
            <w:shd w:val="clear" w:color="auto" w:fill="auto"/>
            <w:vAlign w:val="center"/>
            <w:hideMark/>
          </w:tcPr>
          <w:p w14:paraId="21838459" w14:textId="77777777" w:rsidR="00A11D2E" w:rsidRPr="00315AF5" w:rsidRDefault="00A11D2E">
            <w:pPr>
              <w:jc w:val="center"/>
              <w:rPr>
                <w:rFonts w:cstheme="minorHAnsi"/>
                <w:b/>
                <w:bCs/>
                <w:sz w:val="22"/>
                <w:szCs w:val="22"/>
              </w:rPr>
            </w:pPr>
            <w:r w:rsidRPr="00315AF5">
              <w:rPr>
                <w:rFonts w:cstheme="minorHAnsi"/>
                <w:b/>
                <w:bCs/>
                <w:sz w:val="22"/>
                <w:szCs w:val="22"/>
              </w:rPr>
              <w:t>Improving Trend (stations)</w:t>
            </w:r>
          </w:p>
        </w:tc>
        <w:tc>
          <w:tcPr>
            <w:tcW w:w="806" w:type="pct"/>
            <w:tcBorders>
              <w:top w:val="single" w:sz="12" w:space="0" w:color="auto"/>
              <w:left w:val="nil"/>
              <w:bottom w:val="single" w:sz="8" w:space="0" w:color="auto"/>
              <w:right w:val="nil"/>
            </w:tcBorders>
            <w:shd w:val="clear" w:color="auto" w:fill="auto"/>
            <w:vAlign w:val="center"/>
            <w:hideMark/>
          </w:tcPr>
          <w:p w14:paraId="4D790CB8" w14:textId="77777777" w:rsidR="00A11D2E" w:rsidRPr="00315AF5" w:rsidRDefault="00A11D2E">
            <w:pPr>
              <w:jc w:val="center"/>
              <w:rPr>
                <w:rFonts w:cstheme="minorHAnsi"/>
                <w:b/>
                <w:bCs/>
                <w:sz w:val="22"/>
                <w:szCs w:val="22"/>
              </w:rPr>
            </w:pPr>
            <w:r w:rsidRPr="00315AF5">
              <w:rPr>
                <w:rFonts w:cstheme="minorHAnsi"/>
                <w:b/>
                <w:bCs/>
                <w:sz w:val="22"/>
                <w:szCs w:val="22"/>
              </w:rPr>
              <w:t>Degrading Trend (stations)</w:t>
            </w:r>
          </w:p>
        </w:tc>
        <w:tc>
          <w:tcPr>
            <w:tcW w:w="588" w:type="pct"/>
            <w:tcBorders>
              <w:top w:val="single" w:sz="12" w:space="0" w:color="auto"/>
              <w:left w:val="nil"/>
              <w:bottom w:val="single" w:sz="8" w:space="0" w:color="auto"/>
              <w:right w:val="nil"/>
            </w:tcBorders>
            <w:shd w:val="clear" w:color="auto" w:fill="auto"/>
            <w:vAlign w:val="center"/>
            <w:hideMark/>
          </w:tcPr>
          <w:p w14:paraId="37E9C623" w14:textId="77777777" w:rsidR="00A11D2E" w:rsidRPr="00315AF5" w:rsidRDefault="00A11D2E">
            <w:pPr>
              <w:jc w:val="center"/>
              <w:rPr>
                <w:rFonts w:cstheme="minorHAnsi"/>
                <w:b/>
                <w:bCs/>
                <w:sz w:val="22"/>
                <w:szCs w:val="22"/>
              </w:rPr>
            </w:pPr>
            <w:r w:rsidRPr="00315AF5">
              <w:rPr>
                <w:rFonts w:cstheme="minorHAnsi"/>
                <w:b/>
                <w:bCs/>
                <w:sz w:val="22"/>
                <w:szCs w:val="22"/>
              </w:rPr>
              <w:t>No Trend (stations)</w:t>
            </w:r>
          </w:p>
        </w:tc>
        <w:tc>
          <w:tcPr>
            <w:tcW w:w="614" w:type="pct"/>
            <w:tcBorders>
              <w:top w:val="single" w:sz="12" w:space="0" w:color="auto"/>
              <w:left w:val="nil"/>
              <w:bottom w:val="single" w:sz="8" w:space="0" w:color="auto"/>
              <w:right w:val="nil"/>
            </w:tcBorders>
            <w:shd w:val="clear" w:color="auto" w:fill="auto"/>
            <w:vAlign w:val="center"/>
            <w:hideMark/>
          </w:tcPr>
          <w:p w14:paraId="1E62F7A5" w14:textId="77777777" w:rsidR="00A11D2E" w:rsidRPr="00315AF5" w:rsidRDefault="00A11D2E">
            <w:pPr>
              <w:jc w:val="center"/>
              <w:rPr>
                <w:rFonts w:cstheme="minorHAnsi"/>
                <w:b/>
                <w:bCs/>
                <w:sz w:val="22"/>
                <w:szCs w:val="22"/>
              </w:rPr>
            </w:pPr>
            <w:r w:rsidRPr="00315AF5">
              <w:rPr>
                <w:rFonts w:cstheme="minorHAnsi"/>
                <w:b/>
                <w:bCs/>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55C340FE" w14:textId="77777777" w:rsidR="00A11D2E" w:rsidRPr="00315AF5" w:rsidRDefault="00A11D2E">
            <w:pPr>
              <w:jc w:val="center"/>
              <w:rPr>
                <w:rFonts w:cstheme="minorHAnsi"/>
                <w:b/>
                <w:bCs/>
                <w:sz w:val="22"/>
                <w:szCs w:val="22"/>
              </w:rPr>
            </w:pPr>
            <w:r w:rsidRPr="00315AF5">
              <w:rPr>
                <w:rFonts w:cstheme="minorHAnsi"/>
                <w:b/>
                <w:bCs/>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3EA13820" w14:textId="77777777" w:rsidR="00A11D2E" w:rsidRPr="00315AF5" w:rsidRDefault="00A11D2E">
            <w:pPr>
              <w:jc w:val="center"/>
              <w:rPr>
                <w:rFonts w:cstheme="minorHAnsi"/>
                <w:b/>
                <w:bCs/>
                <w:sz w:val="22"/>
                <w:szCs w:val="22"/>
              </w:rPr>
            </w:pPr>
            <w:r w:rsidRPr="00315AF5">
              <w:rPr>
                <w:rFonts w:cstheme="minorHAnsi"/>
                <w:b/>
                <w:bCs/>
                <w:sz w:val="22"/>
                <w:szCs w:val="22"/>
              </w:rPr>
              <w:t>No Trend (%)</w:t>
            </w:r>
          </w:p>
        </w:tc>
      </w:tr>
      <w:tr w:rsidR="00A11D2E" w:rsidRPr="00AD3B35" w14:paraId="7DDE790F" w14:textId="77777777" w:rsidTr="00F432F6">
        <w:trPr>
          <w:trHeight w:val="360"/>
        </w:trPr>
        <w:tc>
          <w:tcPr>
            <w:tcW w:w="822" w:type="pct"/>
            <w:tcBorders>
              <w:top w:val="nil"/>
              <w:left w:val="nil"/>
              <w:bottom w:val="nil"/>
              <w:right w:val="nil"/>
            </w:tcBorders>
            <w:shd w:val="clear" w:color="auto" w:fill="auto"/>
            <w:noWrap/>
            <w:vAlign w:val="center"/>
          </w:tcPr>
          <w:p w14:paraId="08886033" w14:textId="091D8506" w:rsidR="00A11D2E" w:rsidRPr="008F2C95" w:rsidRDefault="00A11D2E">
            <w:pPr>
              <w:widowControl/>
              <w:jc w:val="center"/>
              <w:rPr>
                <w:rFonts w:cstheme="minorHAnsi"/>
                <w:bCs/>
                <w:snapToGrid/>
                <w:sz w:val="22"/>
                <w:szCs w:val="22"/>
              </w:rPr>
            </w:pPr>
            <w:r w:rsidRPr="008F2C95">
              <w:rPr>
                <w:rFonts w:cstheme="minorHAnsi"/>
                <w:snapToGrid/>
                <w:sz w:val="22"/>
                <w:szCs w:val="22"/>
              </w:rPr>
              <w:t>Chesapeake</w:t>
            </w:r>
          </w:p>
        </w:tc>
        <w:tc>
          <w:tcPr>
            <w:tcW w:w="515" w:type="pct"/>
            <w:tcBorders>
              <w:top w:val="nil"/>
              <w:left w:val="nil"/>
              <w:bottom w:val="nil"/>
              <w:right w:val="nil"/>
            </w:tcBorders>
            <w:shd w:val="clear" w:color="auto" w:fill="auto"/>
            <w:noWrap/>
            <w:vAlign w:val="center"/>
          </w:tcPr>
          <w:p w14:paraId="72DF4C15"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34</w:t>
            </w:r>
          </w:p>
        </w:tc>
        <w:tc>
          <w:tcPr>
            <w:tcW w:w="639" w:type="pct"/>
            <w:tcBorders>
              <w:top w:val="nil"/>
              <w:left w:val="nil"/>
              <w:bottom w:val="nil"/>
              <w:right w:val="nil"/>
            </w:tcBorders>
            <w:shd w:val="clear" w:color="auto" w:fill="auto"/>
            <w:noWrap/>
            <w:vAlign w:val="center"/>
          </w:tcPr>
          <w:p w14:paraId="7B76AD5F"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31</w:t>
            </w:r>
          </w:p>
        </w:tc>
        <w:tc>
          <w:tcPr>
            <w:tcW w:w="806" w:type="pct"/>
            <w:tcBorders>
              <w:top w:val="nil"/>
              <w:left w:val="nil"/>
              <w:bottom w:val="nil"/>
              <w:right w:val="nil"/>
            </w:tcBorders>
            <w:shd w:val="clear" w:color="auto" w:fill="auto"/>
            <w:noWrap/>
            <w:vAlign w:val="center"/>
          </w:tcPr>
          <w:p w14:paraId="12E61D82"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0</w:t>
            </w:r>
          </w:p>
        </w:tc>
        <w:tc>
          <w:tcPr>
            <w:tcW w:w="588" w:type="pct"/>
            <w:tcBorders>
              <w:top w:val="nil"/>
              <w:left w:val="nil"/>
              <w:bottom w:val="nil"/>
              <w:right w:val="nil"/>
            </w:tcBorders>
            <w:shd w:val="clear" w:color="auto" w:fill="auto"/>
            <w:noWrap/>
            <w:vAlign w:val="center"/>
          </w:tcPr>
          <w:p w14:paraId="2106D1C8"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3</w:t>
            </w:r>
          </w:p>
        </w:tc>
        <w:tc>
          <w:tcPr>
            <w:tcW w:w="614" w:type="pct"/>
            <w:tcBorders>
              <w:top w:val="nil"/>
              <w:left w:val="nil"/>
              <w:bottom w:val="nil"/>
              <w:right w:val="nil"/>
            </w:tcBorders>
            <w:shd w:val="clear" w:color="auto" w:fill="auto"/>
            <w:noWrap/>
            <w:vAlign w:val="center"/>
          </w:tcPr>
          <w:p w14:paraId="1DAA990F"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91</w:t>
            </w:r>
          </w:p>
        </w:tc>
        <w:tc>
          <w:tcPr>
            <w:tcW w:w="615" w:type="pct"/>
            <w:tcBorders>
              <w:top w:val="nil"/>
              <w:left w:val="nil"/>
              <w:bottom w:val="nil"/>
              <w:right w:val="nil"/>
            </w:tcBorders>
            <w:shd w:val="clear" w:color="auto" w:fill="auto"/>
            <w:noWrap/>
            <w:vAlign w:val="center"/>
          </w:tcPr>
          <w:p w14:paraId="34BE9F27"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0</w:t>
            </w:r>
          </w:p>
        </w:tc>
        <w:tc>
          <w:tcPr>
            <w:tcW w:w="401" w:type="pct"/>
            <w:tcBorders>
              <w:top w:val="nil"/>
              <w:left w:val="nil"/>
              <w:bottom w:val="nil"/>
              <w:right w:val="nil"/>
            </w:tcBorders>
            <w:shd w:val="clear" w:color="auto" w:fill="auto"/>
            <w:noWrap/>
            <w:vAlign w:val="center"/>
          </w:tcPr>
          <w:p w14:paraId="0FEC78AF"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9</w:t>
            </w:r>
          </w:p>
        </w:tc>
      </w:tr>
      <w:tr w:rsidR="00A11D2E" w:rsidRPr="00AD3B35" w14:paraId="14448E3E" w14:textId="77777777" w:rsidTr="00F432F6">
        <w:trPr>
          <w:trHeight w:val="360"/>
        </w:trPr>
        <w:tc>
          <w:tcPr>
            <w:tcW w:w="822" w:type="pct"/>
            <w:tcBorders>
              <w:top w:val="nil"/>
              <w:left w:val="nil"/>
              <w:bottom w:val="nil"/>
              <w:right w:val="nil"/>
            </w:tcBorders>
            <w:shd w:val="clear" w:color="auto" w:fill="auto"/>
            <w:noWrap/>
            <w:vAlign w:val="center"/>
            <w:hideMark/>
          </w:tcPr>
          <w:p w14:paraId="5AD72A16"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Chowan</w:t>
            </w:r>
          </w:p>
        </w:tc>
        <w:tc>
          <w:tcPr>
            <w:tcW w:w="515" w:type="pct"/>
            <w:tcBorders>
              <w:top w:val="nil"/>
              <w:left w:val="nil"/>
              <w:bottom w:val="nil"/>
              <w:right w:val="nil"/>
            </w:tcBorders>
            <w:shd w:val="clear" w:color="auto" w:fill="auto"/>
            <w:noWrap/>
            <w:vAlign w:val="center"/>
            <w:hideMark/>
          </w:tcPr>
          <w:p w14:paraId="0B766EBA"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52</w:t>
            </w:r>
          </w:p>
        </w:tc>
        <w:tc>
          <w:tcPr>
            <w:tcW w:w="639" w:type="pct"/>
            <w:tcBorders>
              <w:top w:val="nil"/>
              <w:left w:val="nil"/>
              <w:bottom w:val="nil"/>
              <w:right w:val="nil"/>
            </w:tcBorders>
            <w:shd w:val="clear" w:color="auto" w:fill="auto"/>
            <w:noWrap/>
            <w:vAlign w:val="center"/>
            <w:hideMark/>
          </w:tcPr>
          <w:p w14:paraId="59829C27"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16</w:t>
            </w:r>
          </w:p>
        </w:tc>
        <w:tc>
          <w:tcPr>
            <w:tcW w:w="806" w:type="pct"/>
            <w:tcBorders>
              <w:top w:val="nil"/>
              <w:left w:val="nil"/>
              <w:bottom w:val="nil"/>
              <w:right w:val="nil"/>
            </w:tcBorders>
            <w:shd w:val="clear" w:color="auto" w:fill="auto"/>
            <w:noWrap/>
            <w:vAlign w:val="center"/>
            <w:hideMark/>
          </w:tcPr>
          <w:p w14:paraId="02AD620F"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0</w:t>
            </w:r>
          </w:p>
        </w:tc>
        <w:tc>
          <w:tcPr>
            <w:tcW w:w="588" w:type="pct"/>
            <w:tcBorders>
              <w:top w:val="nil"/>
              <w:left w:val="nil"/>
              <w:bottom w:val="nil"/>
              <w:right w:val="nil"/>
            </w:tcBorders>
            <w:shd w:val="clear" w:color="auto" w:fill="auto"/>
            <w:noWrap/>
            <w:vAlign w:val="center"/>
            <w:hideMark/>
          </w:tcPr>
          <w:p w14:paraId="50977D6A"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36</w:t>
            </w:r>
          </w:p>
        </w:tc>
        <w:tc>
          <w:tcPr>
            <w:tcW w:w="614" w:type="pct"/>
            <w:tcBorders>
              <w:top w:val="nil"/>
              <w:left w:val="nil"/>
              <w:bottom w:val="nil"/>
              <w:right w:val="nil"/>
            </w:tcBorders>
            <w:shd w:val="clear" w:color="auto" w:fill="auto"/>
            <w:noWrap/>
            <w:vAlign w:val="center"/>
            <w:hideMark/>
          </w:tcPr>
          <w:p w14:paraId="5EB32C8A"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31</w:t>
            </w:r>
          </w:p>
        </w:tc>
        <w:tc>
          <w:tcPr>
            <w:tcW w:w="615" w:type="pct"/>
            <w:tcBorders>
              <w:top w:val="nil"/>
              <w:left w:val="nil"/>
              <w:bottom w:val="nil"/>
              <w:right w:val="nil"/>
            </w:tcBorders>
            <w:shd w:val="clear" w:color="auto" w:fill="auto"/>
            <w:noWrap/>
            <w:vAlign w:val="center"/>
            <w:hideMark/>
          </w:tcPr>
          <w:p w14:paraId="1AC0A398"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6B50C28D"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69</w:t>
            </w:r>
          </w:p>
        </w:tc>
      </w:tr>
      <w:tr w:rsidR="00A11D2E" w:rsidRPr="00AD3B35" w14:paraId="45964306" w14:textId="77777777" w:rsidTr="00F432F6">
        <w:trPr>
          <w:trHeight w:val="360"/>
        </w:trPr>
        <w:tc>
          <w:tcPr>
            <w:tcW w:w="822" w:type="pct"/>
            <w:tcBorders>
              <w:top w:val="nil"/>
              <w:left w:val="nil"/>
              <w:bottom w:val="nil"/>
              <w:right w:val="nil"/>
            </w:tcBorders>
            <w:shd w:val="clear" w:color="auto" w:fill="auto"/>
            <w:noWrap/>
            <w:vAlign w:val="center"/>
            <w:hideMark/>
          </w:tcPr>
          <w:p w14:paraId="25118D1C"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James</w:t>
            </w:r>
          </w:p>
        </w:tc>
        <w:tc>
          <w:tcPr>
            <w:tcW w:w="515" w:type="pct"/>
            <w:tcBorders>
              <w:top w:val="nil"/>
              <w:left w:val="nil"/>
              <w:bottom w:val="nil"/>
              <w:right w:val="nil"/>
            </w:tcBorders>
            <w:shd w:val="clear" w:color="auto" w:fill="auto"/>
            <w:noWrap/>
            <w:vAlign w:val="center"/>
            <w:hideMark/>
          </w:tcPr>
          <w:p w14:paraId="2D5F2192"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92</w:t>
            </w:r>
          </w:p>
        </w:tc>
        <w:tc>
          <w:tcPr>
            <w:tcW w:w="639" w:type="pct"/>
            <w:tcBorders>
              <w:top w:val="nil"/>
              <w:left w:val="nil"/>
              <w:bottom w:val="nil"/>
              <w:right w:val="nil"/>
            </w:tcBorders>
            <w:shd w:val="clear" w:color="auto" w:fill="auto"/>
            <w:noWrap/>
            <w:vAlign w:val="center"/>
            <w:hideMark/>
          </w:tcPr>
          <w:p w14:paraId="3597B2EF"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50</w:t>
            </w:r>
          </w:p>
        </w:tc>
        <w:tc>
          <w:tcPr>
            <w:tcW w:w="806" w:type="pct"/>
            <w:tcBorders>
              <w:top w:val="nil"/>
              <w:left w:val="nil"/>
              <w:bottom w:val="nil"/>
              <w:right w:val="nil"/>
            </w:tcBorders>
            <w:shd w:val="clear" w:color="auto" w:fill="auto"/>
            <w:noWrap/>
            <w:vAlign w:val="center"/>
            <w:hideMark/>
          </w:tcPr>
          <w:p w14:paraId="17B84CF3"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w:t>
            </w:r>
          </w:p>
        </w:tc>
        <w:tc>
          <w:tcPr>
            <w:tcW w:w="588" w:type="pct"/>
            <w:tcBorders>
              <w:top w:val="nil"/>
              <w:left w:val="nil"/>
              <w:bottom w:val="nil"/>
              <w:right w:val="nil"/>
            </w:tcBorders>
            <w:shd w:val="clear" w:color="auto" w:fill="auto"/>
            <w:noWrap/>
            <w:vAlign w:val="center"/>
            <w:hideMark/>
          </w:tcPr>
          <w:p w14:paraId="146CBCC1"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41</w:t>
            </w:r>
          </w:p>
        </w:tc>
        <w:tc>
          <w:tcPr>
            <w:tcW w:w="614" w:type="pct"/>
            <w:tcBorders>
              <w:top w:val="nil"/>
              <w:left w:val="nil"/>
              <w:bottom w:val="nil"/>
              <w:right w:val="nil"/>
            </w:tcBorders>
            <w:shd w:val="clear" w:color="auto" w:fill="auto"/>
            <w:noWrap/>
            <w:vAlign w:val="center"/>
            <w:hideMark/>
          </w:tcPr>
          <w:p w14:paraId="2A91ED9D"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54</w:t>
            </w:r>
          </w:p>
        </w:tc>
        <w:tc>
          <w:tcPr>
            <w:tcW w:w="615" w:type="pct"/>
            <w:tcBorders>
              <w:top w:val="nil"/>
              <w:left w:val="nil"/>
              <w:bottom w:val="nil"/>
              <w:right w:val="nil"/>
            </w:tcBorders>
            <w:shd w:val="clear" w:color="auto" w:fill="auto"/>
            <w:noWrap/>
            <w:vAlign w:val="center"/>
            <w:hideMark/>
          </w:tcPr>
          <w:p w14:paraId="3B556E09"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w:t>
            </w:r>
          </w:p>
        </w:tc>
        <w:tc>
          <w:tcPr>
            <w:tcW w:w="401" w:type="pct"/>
            <w:tcBorders>
              <w:top w:val="nil"/>
              <w:left w:val="nil"/>
              <w:bottom w:val="nil"/>
              <w:right w:val="nil"/>
            </w:tcBorders>
            <w:shd w:val="clear" w:color="auto" w:fill="auto"/>
            <w:noWrap/>
            <w:vAlign w:val="center"/>
            <w:hideMark/>
          </w:tcPr>
          <w:p w14:paraId="576B2C7B"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45</w:t>
            </w:r>
          </w:p>
        </w:tc>
      </w:tr>
      <w:tr w:rsidR="00A11D2E" w:rsidRPr="00AD3B35" w14:paraId="40436099" w14:textId="77777777" w:rsidTr="00F432F6">
        <w:trPr>
          <w:trHeight w:val="360"/>
        </w:trPr>
        <w:tc>
          <w:tcPr>
            <w:tcW w:w="822" w:type="pct"/>
            <w:tcBorders>
              <w:top w:val="nil"/>
              <w:left w:val="nil"/>
              <w:bottom w:val="nil"/>
              <w:right w:val="nil"/>
            </w:tcBorders>
            <w:shd w:val="clear" w:color="auto" w:fill="auto"/>
            <w:noWrap/>
            <w:vAlign w:val="center"/>
            <w:hideMark/>
          </w:tcPr>
          <w:p w14:paraId="30961CF0"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New</w:t>
            </w:r>
          </w:p>
        </w:tc>
        <w:tc>
          <w:tcPr>
            <w:tcW w:w="515" w:type="pct"/>
            <w:tcBorders>
              <w:top w:val="nil"/>
              <w:left w:val="nil"/>
              <w:bottom w:val="nil"/>
              <w:right w:val="nil"/>
            </w:tcBorders>
            <w:shd w:val="clear" w:color="auto" w:fill="auto"/>
            <w:noWrap/>
            <w:vAlign w:val="center"/>
            <w:hideMark/>
          </w:tcPr>
          <w:p w14:paraId="09E10246"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17</w:t>
            </w:r>
          </w:p>
        </w:tc>
        <w:tc>
          <w:tcPr>
            <w:tcW w:w="639" w:type="pct"/>
            <w:tcBorders>
              <w:top w:val="nil"/>
              <w:left w:val="nil"/>
              <w:bottom w:val="nil"/>
              <w:right w:val="nil"/>
            </w:tcBorders>
            <w:shd w:val="clear" w:color="auto" w:fill="auto"/>
            <w:noWrap/>
            <w:vAlign w:val="center"/>
            <w:hideMark/>
          </w:tcPr>
          <w:p w14:paraId="1820FE2A"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2</w:t>
            </w:r>
          </w:p>
        </w:tc>
        <w:tc>
          <w:tcPr>
            <w:tcW w:w="806" w:type="pct"/>
            <w:tcBorders>
              <w:top w:val="nil"/>
              <w:left w:val="nil"/>
              <w:bottom w:val="nil"/>
              <w:right w:val="nil"/>
            </w:tcBorders>
            <w:shd w:val="clear" w:color="auto" w:fill="auto"/>
            <w:noWrap/>
            <w:vAlign w:val="center"/>
            <w:hideMark/>
          </w:tcPr>
          <w:p w14:paraId="44C356B7"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0</w:t>
            </w:r>
          </w:p>
        </w:tc>
        <w:tc>
          <w:tcPr>
            <w:tcW w:w="588" w:type="pct"/>
            <w:tcBorders>
              <w:top w:val="nil"/>
              <w:left w:val="nil"/>
              <w:bottom w:val="nil"/>
              <w:right w:val="nil"/>
            </w:tcBorders>
            <w:shd w:val="clear" w:color="auto" w:fill="auto"/>
            <w:noWrap/>
            <w:vAlign w:val="center"/>
            <w:hideMark/>
          </w:tcPr>
          <w:p w14:paraId="14E292EF"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15</w:t>
            </w:r>
          </w:p>
        </w:tc>
        <w:tc>
          <w:tcPr>
            <w:tcW w:w="614" w:type="pct"/>
            <w:tcBorders>
              <w:top w:val="nil"/>
              <w:left w:val="nil"/>
              <w:bottom w:val="nil"/>
              <w:right w:val="nil"/>
            </w:tcBorders>
            <w:shd w:val="clear" w:color="auto" w:fill="auto"/>
            <w:noWrap/>
            <w:vAlign w:val="center"/>
            <w:hideMark/>
          </w:tcPr>
          <w:p w14:paraId="532B963E"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12</w:t>
            </w:r>
          </w:p>
        </w:tc>
        <w:tc>
          <w:tcPr>
            <w:tcW w:w="615" w:type="pct"/>
            <w:tcBorders>
              <w:top w:val="nil"/>
              <w:left w:val="nil"/>
              <w:bottom w:val="nil"/>
              <w:right w:val="nil"/>
            </w:tcBorders>
            <w:shd w:val="clear" w:color="auto" w:fill="auto"/>
            <w:noWrap/>
            <w:vAlign w:val="center"/>
            <w:hideMark/>
          </w:tcPr>
          <w:p w14:paraId="4A2FA3F0"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20B0F8BE"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88</w:t>
            </w:r>
          </w:p>
        </w:tc>
      </w:tr>
      <w:tr w:rsidR="00A11D2E" w:rsidRPr="00AD3B35" w14:paraId="655FDC23" w14:textId="77777777" w:rsidTr="00F432F6">
        <w:trPr>
          <w:trHeight w:val="360"/>
        </w:trPr>
        <w:tc>
          <w:tcPr>
            <w:tcW w:w="822" w:type="pct"/>
            <w:tcBorders>
              <w:top w:val="nil"/>
              <w:left w:val="nil"/>
              <w:bottom w:val="nil"/>
              <w:right w:val="nil"/>
            </w:tcBorders>
            <w:shd w:val="clear" w:color="auto" w:fill="auto"/>
            <w:noWrap/>
            <w:vAlign w:val="center"/>
            <w:hideMark/>
          </w:tcPr>
          <w:p w14:paraId="73DDA3AC"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Potomac</w:t>
            </w:r>
          </w:p>
        </w:tc>
        <w:tc>
          <w:tcPr>
            <w:tcW w:w="515" w:type="pct"/>
            <w:tcBorders>
              <w:top w:val="nil"/>
              <w:left w:val="nil"/>
              <w:bottom w:val="nil"/>
              <w:right w:val="nil"/>
            </w:tcBorders>
            <w:shd w:val="clear" w:color="auto" w:fill="auto"/>
            <w:noWrap/>
            <w:vAlign w:val="center"/>
            <w:hideMark/>
          </w:tcPr>
          <w:p w14:paraId="18DCF260"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45</w:t>
            </w:r>
          </w:p>
        </w:tc>
        <w:tc>
          <w:tcPr>
            <w:tcW w:w="639" w:type="pct"/>
            <w:tcBorders>
              <w:top w:val="nil"/>
              <w:left w:val="nil"/>
              <w:bottom w:val="nil"/>
              <w:right w:val="nil"/>
            </w:tcBorders>
            <w:shd w:val="clear" w:color="auto" w:fill="auto"/>
            <w:noWrap/>
            <w:vAlign w:val="center"/>
            <w:hideMark/>
          </w:tcPr>
          <w:p w14:paraId="6F4B0E23"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25</w:t>
            </w:r>
          </w:p>
        </w:tc>
        <w:tc>
          <w:tcPr>
            <w:tcW w:w="806" w:type="pct"/>
            <w:tcBorders>
              <w:top w:val="nil"/>
              <w:left w:val="nil"/>
              <w:bottom w:val="nil"/>
              <w:right w:val="nil"/>
            </w:tcBorders>
            <w:shd w:val="clear" w:color="auto" w:fill="auto"/>
            <w:noWrap/>
            <w:vAlign w:val="center"/>
            <w:hideMark/>
          </w:tcPr>
          <w:p w14:paraId="2D6A3693"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2</w:t>
            </w:r>
          </w:p>
        </w:tc>
        <w:tc>
          <w:tcPr>
            <w:tcW w:w="588" w:type="pct"/>
            <w:tcBorders>
              <w:top w:val="nil"/>
              <w:left w:val="nil"/>
              <w:bottom w:val="nil"/>
              <w:right w:val="nil"/>
            </w:tcBorders>
            <w:shd w:val="clear" w:color="auto" w:fill="auto"/>
            <w:noWrap/>
            <w:vAlign w:val="center"/>
            <w:hideMark/>
          </w:tcPr>
          <w:p w14:paraId="5EBC6191"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18</w:t>
            </w:r>
          </w:p>
        </w:tc>
        <w:tc>
          <w:tcPr>
            <w:tcW w:w="614" w:type="pct"/>
            <w:tcBorders>
              <w:top w:val="nil"/>
              <w:left w:val="nil"/>
              <w:bottom w:val="nil"/>
              <w:right w:val="nil"/>
            </w:tcBorders>
            <w:shd w:val="clear" w:color="auto" w:fill="auto"/>
            <w:noWrap/>
            <w:vAlign w:val="center"/>
            <w:hideMark/>
          </w:tcPr>
          <w:p w14:paraId="7BF7F268"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56</w:t>
            </w:r>
          </w:p>
        </w:tc>
        <w:tc>
          <w:tcPr>
            <w:tcW w:w="615" w:type="pct"/>
            <w:tcBorders>
              <w:top w:val="nil"/>
              <w:left w:val="nil"/>
              <w:bottom w:val="nil"/>
              <w:right w:val="nil"/>
            </w:tcBorders>
            <w:shd w:val="clear" w:color="auto" w:fill="auto"/>
            <w:noWrap/>
            <w:vAlign w:val="center"/>
            <w:hideMark/>
          </w:tcPr>
          <w:p w14:paraId="721B6DD9"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4</w:t>
            </w:r>
          </w:p>
        </w:tc>
        <w:tc>
          <w:tcPr>
            <w:tcW w:w="401" w:type="pct"/>
            <w:tcBorders>
              <w:top w:val="nil"/>
              <w:left w:val="nil"/>
              <w:bottom w:val="nil"/>
              <w:right w:val="nil"/>
            </w:tcBorders>
            <w:shd w:val="clear" w:color="auto" w:fill="auto"/>
            <w:noWrap/>
            <w:vAlign w:val="center"/>
            <w:hideMark/>
          </w:tcPr>
          <w:p w14:paraId="21521798"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40</w:t>
            </w:r>
          </w:p>
        </w:tc>
      </w:tr>
      <w:tr w:rsidR="00A11D2E" w:rsidRPr="00AD3B35" w14:paraId="36C80D7A" w14:textId="77777777" w:rsidTr="00F432F6">
        <w:trPr>
          <w:trHeight w:val="360"/>
        </w:trPr>
        <w:tc>
          <w:tcPr>
            <w:tcW w:w="822" w:type="pct"/>
            <w:tcBorders>
              <w:top w:val="nil"/>
              <w:left w:val="nil"/>
              <w:bottom w:val="nil"/>
              <w:right w:val="nil"/>
            </w:tcBorders>
            <w:shd w:val="clear" w:color="auto" w:fill="auto"/>
            <w:noWrap/>
            <w:vAlign w:val="center"/>
            <w:hideMark/>
          </w:tcPr>
          <w:p w14:paraId="298D1437"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Rappahannock</w:t>
            </w:r>
          </w:p>
        </w:tc>
        <w:tc>
          <w:tcPr>
            <w:tcW w:w="515" w:type="pct"/>
            <w:tcBorders>
              <w:top w:val="nil"/>
              <w:left w:val="nil"/>
              <w:bottom w:val="nil"/>
              <w:right w:val="nil"/>
            </w:tcBorders>
            <w:shd w:val="clear" w:color="auto" w:fill="auto"/>
            <w:noWrap/>
            <w:vAlign w:val="center"/>
            <w:hideMark/>
          </w:tcPr>
          <w:p w14:paraId="244D523B"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39</w:t>
            </w:r>
          </w:p>
        </w:tc>
        <w:tc>
          <w:tcPr>
            <w:tcW w:w="639" w:type="pct"/>
            <w:tcBorders>
              <w:top w:val="nil"/>
              <w:left w:val="nil"/>
              <w:bottom w:val="nil"/>
              <w:right w:val="nil"/>
            </w:tcBorders>
            <w:shd w:val="clear" w:color="auto" w:fill="auto"/>
            <w:noWrap/>
            <w:vAlign w:val="center"/>
            <w:hideMark/>
          </w:tcPr>
          <w:p w14:paraId="45586984"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14</w:t>
            </w:r>
          </w:p>
        </w:tc>
        <w:tc>
          <w:tcPr>
            <w:tcW w:w="806" w:type="pct"/>
            <w:tcBorders>
              <w:top w:val="nil"/>
              <w:left w:val="nil"/>
              <w:bottom w:val="nil"/>
              <w:right w:val="nil"/>
            </w:tcBorders>
            <w:shd w:val="clear" w:color="auto" w:fill="auto"/>
            <w:noWrap/>
            <w:vAlign w:val="center"/>
            <w:hideMark/>
          </w:tcPr>
          <w:p w14:paraId="6BD4BCC0"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w:t>
            </w:r>
          </w:p>
        </w:tc>
        <w:tc>
          <w:tcPr>
            <w:tcW w:w="588" w:type="pct"/>
            <w:tcBorders>
              <w:top w:val="nil"/>
              <w:left w:val="nil"/>
              <w:bottom w:val="nil"/>
              <w:right w:val="nil"/>
            </w:tcBorders>
            <w:shd w:val="clear" w:color="auto" w:fill="auto"/>
            <w:noWrap/>
            <w:vAlign w:val="center"/>
            <w:hideMark/>
          </w:tcPr>
          <w:p w14:paraId="5B59FCBF"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24</w:t>
            </w:r>
          </w:p>
        </w:tc>
        <w:tc>
          <w:tcPr>
            <w:tcW w:w="614" w:type="pct"/>
            <w:tcBorders>
              <w:top w:val="nil"/>
              <w:left w:val="nil"/>
              <w:bottom w:val="nil"/>
              <w:right w:val="nil"/>
            </w:tcBorders>
            <w:shd w:val="clear" w:color="auto" w:fill="auto"/>
            <w:noWrap/>
            <w:vAlign w:val="center"/>
            <w:hideMark/>
          </w:tcPr>
          <w:p w14:paraId="264213EA"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36</w:t>
            </w:r>
          </w:p>
        </w:tc>
        <w:tc>
          <w:tcPr>
            <w:tcW w:w="615" w:type="pct"/>
            <w:tcBorders>
              <w:top w:val="nil"/>
              <w:left w:val="nil"/>
              <w:bottom w:val="nil"/>
              <w:right w:val="nil"/>
            </w:tcBorders>
            <w:shd w:val="clear" w:color="auto" w:fill="auto"/>
            <w:noWrap/>
            <w:vAlign w:val="center"/>
            <w:hideMark/>
          </w:tcPr>
          <w:p w14:paraId="5002BA65"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3</w:t>
            </w:r>
          </w:p>
        </w:tc>
        <w:tc>
          <w:tcPr>
            <w:tcW w:w="401" w:type="pct"/>
            <w:tcBorders>
              <w:top w:val="nil"/>
              <w:left w:val="nil"/>
              <w:bottom w:val="nil"/>
              <w:right w:val="nil"/>
            </w:tcBorders>
            <w:shd w:val="clear" w:color="auto" w:fill="auto"/>
            <w:noWrap/>
            <w:vAlign w:val="center"/>
            <w:hideMark/>
          </w:tcPr>
          <w:p w14:paraId="13B58BFC"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62</w:t>
            </w:r>
          </w:p>
        </w:tc>
      </w:tr>
      <w:tr w:rsidR="00A11D2E" w:rsidRPr="00AD3B35" w14:paraId="34BA54C8" w14:textId="77777777" w:rsidTr="00F432F6">
        <w:trPr>
          <w:trHeight w:val="360"/>
        </w:trPr>
        <w:tc>
          <w:tcPr>
            <w:tcW w:w="822" w:type="pct"/>
            <w:tcBorders>
              <w:top w:val="nil"/>
              <w:left w:val="nil"/>
              <w:bottom w:val="nil"/>
              <w:right w:val="nil"/>
            </w:tcBorders>
            <w:shd w:val="clear" w:color="auto" w:fill="auto"/>
            <w:noWrap/>
            <w:vAlign w:val="center"/>
            <w:hideMark/>
          </w:tcPr>
          <w:p w14:paraId="33B9CD60"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Roanoke</w:t>
            </w:r>
          </w:p>
        </w:tc>
        <w:tc>
          <w:tcPr>
            <w:tcW w:w="515" w:type="pct"/>
            <w:tcBorders>
              <w:top w:val="nil"/>
              <w:left w:val="nil"/>
              <w:bottom w:val="nil"/>
              <w:right w:val="nil"/>
            </w:tcBorders>
            <w:shd w:val="clear" w:color="auto" w:fill="auto"/>
            <w:noWrap/>
            <w:vAlign w:val="center"/>
            <w:hideMark/>
          </w:tcPr>
          <w:p w14:paraId="7A089D5C"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55</w:t>
            </w:r>
          </w:p>
        </w:tc>
        <w:tc>
          <w:tcPr>
            <w:tcW w:w="639" w:type="pct"/>
            <w:tcBorders>
              <w:top w:val="nil"/>
              <w:left w:val="nil"/>
              <w:bottom w:val="nil"/>
              <w:right w:val="nil"/>
            </w:tcBorders>
            <w:shd w:val="clear" w:color="auto" w:fill="auto"/>
            <w:noWrap/>
            <w:vAlign w:val="center"/>
            <w:hideMark/>
          </w:tcPr>
          <w:p w14:paraId="3789C92F"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14</w:t>
            </w:r>
          </w:p>
        </w:tc>
        <w:tc>
          <w:tcPr>
            <w:tcW w:w="806" w:type="pct"/>
            <w:tcBorders>
              <w:top w:val="nil"/>
              <w:left w:val="nil"/>
              <w:bottom w:val="nil"/>
              <w:right w:val="nil"/>
            </w:tcBorders>
            <w:shd w:val="clear" w:color="auto" w:fill="auto"/>
            <w:noWrap/>
            <w:vAlign w:val="center"/>
            <w:hideMark/>
          </w:tcPr>
          <w:p w14:paraId="3BF7E62B"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6</w:t>
            </w:r>
          </w:p>
        </w:tc>
        <w:tc>
          <w:tcPr>
            <w:tcW w:w="588" w:type="pct"/>
            <w:tcBorders>
              <w:top w:val="nil"/>
              <w:left w:val="nil"/>
              <w:bottom w:val="nil"/>
              <w:right w:val="nil"/>
            </w:tcBorders>
            <w:shd w:val="clear" w:color="auto" w:fill="auto"/>
            <w:noWrap/>
            <w:vAlign w:val="center"/>
            <w:hideMark/>
          </w:tcPr>
          <w:p w14:paraId="3045CE26"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35</w:t>
            </w:r>
          </w:p>
        </w:tc>
        <w:tc>
          <w:tcPr>
            <w:tcW w:w="614" w:type="pct"/>
            <w:tcBorders>
              <w:top w:val="nil"/>
              <w:left w:val="nil"/>
              <w:bottom w:val="nil"/>
              <w:right w:val="nil"/>
            </w:tcBorders>
            <w:shd w:val="clear" w:color="auto" w:fill="auto"/>
            <w:noWrap/>
            <w:vAlign w:val="center"/>
            <w:hideMark/>
          </w:tcPr>
          <w:p w14:paraId="01024912"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25</w:t>
            </w:r>
          </w:p>
        </w:tc>
        <w:tc>
          <w:tcPr>
            <w:tcW w:w="615" w:type="pct"/>
            <w:tcBorders>
              <w:top w:val="nil"/>
              <w:left w:val="nil"/>
              <w:bottom w:val="nil"/>
              <w:right w:val="nil"/>
            </w:tcBorders>
            <w:shd w:val="clear" w:color="auto" w:fill="auto"/>
            <w:noWrap/>
            <w:vAlign w:val="center"/>
            <w:hideMark/>
          </w:tcPr>
          <w:p w14:paraId="4FB9F308"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11</w:t>
            </w:r>
          </w:p>
        </w:tc>
        <w:tc>
          <w:tcPr>
            <w:tcW w:w="401" w:type="pct"/>
            <w:tcBorders>
              <w:top w:val="nil"/>
              <w:left w:val="nil"/>
              <w:bottom w:val="nil"/>
              <w:right w:val="nil"/>
            </w:tcBorders>
            <w:shd w:val="clear" w:color="auto" w:fill="auto"/>
            <w:noWrap/>
            <w:vAlign w:val="center"/>
            <w:hideMark/>
          </w:tcPr>
          <w:p w14:paraId="2BAD5C4A"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64</w:t>
            </w:r>
          </w:p>
        </w:tc>
      </w:tr>
      <w:tr w:rsidR="00A11D2E" w:rsidRPr="00AD3B35" w14:paraId="249D3591" w14:textId="77777777" w:rsidTr="00F432F6">
        <w:trPr>
          <w:trHeight w:val="360"/>
        </w:trPr>
        <w:tc>
          <w:tcPr>
            <w:tcW w:w="822" w:type="pct"/>
            <w:tcBorders>
              <w:top w:val="nil"/>
              <w:left w:val="nil"/>
              <w:bottom w:val="nil"/>
              <w:right w:val="nil"/>
            </w:tcBorders>
            <w:shd w:val="clear" w:color="auto" w:fill="auto"/>
            <w:noWrap/>
            <w:vAlign w:val="center"/>
            <w:hideMark/>
          </w:tcPr>
          <w:p w14:paraId="6B534496"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Shenandoah</w:t>
            </w:r>
          </w:p>
        </w:tc>
        <w:tc>
          <w:tcPr>
            <w:tcW w:w="515" w:type="pct"/>
            <w:tcBorders>
              <w:top w:val="nil"/>
              <w:left w:val="nil"/>
              <w:bottom w:val="nil"/>
              <w:right w:val="nil"/>
            </w:tcBorders>
            <w:shd w:val="clear" w:color="auto" w:fill="auto"/>
            <w:noWrap/>
            <w:vAlign w:val="center"/>
            <w:hideMark/>
          </w:tcPr>
          <w:p w14:paraId="747B16B7"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17</w:t>
            </w:r>
          </w:p>
        </w:tc>
        <w:tc>
          <w:tcPr>
            <w:tcW w:w="639" w:type="pct"/>
            <w:tcBorders>
              <w:top w:val="nil"/>
              <w:left w:val="nil"/>
              <w:bottom w:val="nil"/>
              <w:right w:val="nil"/>
            </w:tcBorders>
            <w:shd w:val="clear" w:color="auto" w:fill="auto"/>
            <w:noWrap/>
            <w:vAlign w:val="center"/>
            <w:hideMark/>
          </w:tcPr>
          <w:p w14:paraId="31235DCC"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3</w:t>
            </w:r>
          </w:p>
        </w:tc>
        <w:tc>
          <w:tcPr>
            <w:tcW w:w="806" w:type="pct"/>
            <w:tcBorders>
              <w:top w:val="nil"/>
              <w:left w:val="nil"/>
              <w:bottom w:val="nil"/>
              <w:right w:val="nil"/>
            </w:tcBorders>
            <w:shd w:val="clear" w:color="auto" w:fill="auto"/>
            <w:noWrap/>
            <w:vAlign w:val="center"/>
            <w:hideMark/>
          </w:tcPr>
          <w:p w14:paraId="34D22391"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0</w:t>
            </w:r>
          </w:p>
        </w:tc>
        <w:tc>
          <w:tcPr>
            <w:tcW w:w="588" w:type="pct"/>
            <w:tcBorders>
              <w:top w:val="nil"/>
              <w:left w:val="nil"/>
              <w:bottom w:val="nil"/>
              <w:right w:val="nil"/>
            </w:tcBorders>
            <w:shd w:val="clear" w:color="auto" w:fill="auto"/>
            <w:noWrap/>
            <w:vAlign w:val="center"/>
            <w:hideMark/>
          </w:tcPr>
          <w:p w14:paraId="7CAB3DF3"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14</w:t>
            </w:r>
          </w:p>
        </w:tc>
        <w:tc>
          <w:tcPr>
            <w:tcW w:w="614" w:type="pct"/>
            <w:tcBorders>
              <w:top w:val="nil"/>
              <w:left w:val="nil"/>
              <w:bottom w:val="nil"/>
              <w:right w:val="nil"/>
            </w:tcBorders>
            <w:shd w:val="clear" w:color="auto" w:fill="auto"/>
            <w:noWrap/>
            <w:vAlign w:val="center"/>
            <w:hideMark/>
          </w:tcPr>
          <w:p w14:paraId="50749008"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18</w:t>
            </w:r>
          </w:p>
        </w:tc>
        <w:tc>
          <w:tcPr>
            <w:tcW w:w="615" w:type="pct"/>
            <w:tcBorders>
              <w:top w:val="nil"/>
              <w:left w:val="nil"/>
              <w:bottom w:val="nil"/>
              <w:right w:val="nil"/>
            </w:tcBorders>
            <w:shd w:val="clear" w:color="auto" w:fill="auto"/>
            <w:noWrap/>
            <w:vAlign w:val="center"/>
            <w:hideMark/>
          </w:tcPr>
          <w:p w14:paraId="22C66D62"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315F0059"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82</w:t>
            </w:r>
          </w:p>
        </w:tc>
      </w:tr>
      <w:tr w:rsidR="00A11D2E" w:rsidRPr="00AD3B35" w14:paraId="6674E647" w14:textId="77777777" w:rsidTr="00F432F6">
        <w:trPr>
          <w:trHeight w:val="360"/>
        </w:trPr>
        <w:tc>
          <w:tcPr>
            <w:tcW w:w="822" w:type="pct"/>
            <w:tcBorders>
              <w:top w:val="nil"/>
              <w:left w:val="nil"/>
              <w:right w:val="nil"/>
            </w:tcBorders>
            <w:shd w:val="clear" w:color="auto" w:fill="auto"/>
            <w:noWrap/>
            <w:vAlign w:val="center"/>
            <w:hideMark/>
          </w:tcPr>
          <w:p w14:paraId="3E1CD058"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Tennessee</w:t>
            </w:r>
          </w:p>
        </w:tc>
        <w:tc>
          <w:tcPr>
            <w:tcW w:w="515" w:type="pct"/>
            <w:tcBorders>
              <w:top w:val="nil"/>
              <w:left w:val="nil"/>
              <w:right w:val="nil"/>
            </w:tcBorders>
            <w:shd w:val="clear" w:color="auto" w:fill="auto"/>
            <w:noWrap/>
            <w:vAlign w:val="center"/>
            <w:hideMark/>
          </w:tcPr>
          <w:p w14:paraId="7271A38C"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20</w:t>
            </w:r>
          </w:p>
        </w:tc>
        <w:tc>
          <w:tcPr>
            <w:tcW w:w="639" w:type="pct"/>
            <w:tcBorders>
              <w:top w:val="nil"/>
              <w:left w:val="nil"/>
              <w:right w:val="nil"/>
            </w:tcBorders>
            <w:shd w:val="clear" w:color="auto" w:fill="auto"/>
            <w:noWrap/>
            <w:vAlign w:val="center"/>
            <w:hideMark/>
          </w:tcPr>
          <w:p w14:paraId="0C9C1B10"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5</w:t>
            </w:r>
          </w:p>
        </w:tc>
        <w:tc>
          <w:tcPr>
            <w:tcW w:w="806" w:type="pct"/>
            <w:tcBorders>
              <w:top w:val="nil"/>
              <w:left w:val="nil"/>
              <w:right w:val="nil"/>
            </w:tcBorders>
            <w:shd w:val="clear" w:color="auto" w:fill="auto"/>
            <w:noWrap/>
            <w:vAlign w:val="center"/>
            <w:hideMark/>
          </w:tcPr>
          <w:p w14:paraId="5BC6E930"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2</w:t>
            </w:r>
          </w:p>
        </w:tc>
        <w:tc>
          <w:tcPr>
            <w:tcW w:w="588" w:type="pct"/>
            <w:tcBorders>
              <w:top w:val="nil"/>
              <w:left w:val="nil"/>
              <w:right w:val="nil"/>
            </w:tcBorders>
            <w:shd w:val="clear" w:color="auto" w:fill="auto"/>
            <w:noWrap/>
            <w:vAlign w:val="center"/>
            <w:hideMark/>
          </w:tcPr>
          <w:p w14:paraId="78ECAF00"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13</w:t>
            </w:r>
          </w:p>
        </w:tc>
        <w:tc>
          <w:tcPr>
            <w:tcW w:w="614" w:type="pct"/>
            <w:tcBorders>
              <w:top w:val="nil"/>
              <w:left w:val="nil"/>
              <w:right w:val="nil"/>
            </w:tcBorders>
            <w:shd w:val="clear" w:color="auto" w:fill="auto"/>
            <w:noWrap/>
            <w:vAlign w:val="center"/>
            <w:hideMark/>
          </w:tcPr>
          <w:p w14:paraId="2B0287AA"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25</w:t>
            </w:r>
          </w:p>
        </w:tc>
        <w:tc>
          <w:tcPr>
            <w:tcW w:w="615" w:type="pct"/>
            <w:tcBorders>
              <w:top w:val="nil"/>
              <w:left w:val="nil"/>
              <w:right w:val="nil"/>
            </w:tcBorders>
            <w:shd w:val="clear" w:color="auto" w:fill="auto"/>
            <w:noWrap/>
            <w:vAlign w:val="center"/>
            <w:hideMark/>
          </w:tcPr>
          <w:p w14:paraId="1B1B578E"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10</w:t>
            </w:r>
          </w:p>
        </w:tc>
        <w:tc>
          <w:tcPr>
            <w:tcW w:w="401" w:type="pct"/>
            <w:tcBorders>
              <w:top w:val="nil"/>
              <w:left w:val="nil"/>
              <w:right w:val="nil"/>
            </w:tcBorders>
            <w:shd w:val="clear" w:color="auto" w:fill="auto"/>
            <w:noWrap/>
            <w:vAlign w:val="center"/>
            <w:hideMark/>
          </w:tcPr>
          <w:p w14:paraId="02FAB16A"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65</w:t>
            </w:r>
          </w:p>
        </w:tc>
      </w:tr>
      <w:tr w:rsidR="00A11D2E" w:rsidRPr="00AD3B35" w14:paraId="63612DE7" w14:textId="77777777" w:rsidTr="00F432F6">
        <w:trPr>
          <w:trHeight w:val="360"/>
        </w:trPr>
        <w:tc>
          <w:tcPr>
            <w:tcW w:w="822" w:type="pct"/>
            <w:tcBorders>
              <w:top w:val="nil"/>
              <w:left w:val="nil"/>
              <w:bottom w:val="single" w:sz="12" w:space="0" w:color="auto"/>
              <w:right w:val="nil"/>
            </w:tcBorders>
            <w:shd w:val="clear" w:color="auto" w:fill="auto"/>
            <w:noWrap/>
            <w:vAlign w:val="center"/>
            <w:hideMark/>
          </w:tcPr>
          <w:p w14:paraId="2DB32988"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York</w:t>
            </w:r>
          </w:p>
        </w:tc>
        <w:tc>
          <w:tcPr>
            <w:tcW w:w="515" w:type="pct"/>
            <w:tcBorders>
              <w:top w:val="nil"/>
              <w:left w:val="nil"/>
              <w:bottom w:val="single" w:sz="12" w:space="0" w:color="auto"/>
              <w:right w:val="nil"/>
            </w:tcBorders>
            <w:shd w:val="clear" w:color="auto" w:fill="auto"/>
            <w:noWrap/>
            <w:vAlign w:val="center"/>
            <w:hideMark/>
          </w:tcPr>
          <w:p w14:paraId="4D4D1AED"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42</w:t>
            </w:r>
          </w:p>
        </w:tc>
        <w:tc>
          <w:tcPr>
            <w:tcW w:w="639" w:type="pct"/>
            <w:tcBorders>
              <w:top w:val="nil"/>
              <w:left w:val="nil"/>
              <w:bottom w:val="single" w:sz="12" w:space="0" w:color="auto"/>
              <w:right w:val="nil"/>
            </w:tcBorders>
            <w:shd w:val="clear" w:color="auto" w:fill="auto"/>
            <w:noWrap/>
            <w:vAlign w:val="center"/>
            <w:hideMark/>
          </w:tcPr>
          <w:p w14:paraId="220ECBBE"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12</w:t>
            </w:r>
          </w:p>
        </w:tc>
        <w:tc>
          <w:tcPr>
            <w:tcW w:w="806" w:type="pct"/>
            <w:tcBorders>
              <w:top w:val="nil"/>
              <w:left w:val="nil"/>
              <w:bottom w:val="single" w:sz="12" w:space="0" w:color="auto"/>
              <w:right w:val="nil"/>
            </w:tcBorders>
            <w:shd w:val="clear" w:color="auto" w:fill="auto"/>
            <w:noWrap/>
            <w:vAlign w:val="center"/>
            <w:hideMark/>
          </w:tcPr>
          <w:p w14:paraId="2CAB031A"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0</w:t>
            </w:r>
          </w:p>
        </w:tc>
        <w:tc>
          <w:tcPr>
            <w:tcW w:w="588" w:type="pct"/>
            <w:tcBorders>
              <w:top w:val="nil"/>
              <w:left w:val="nil"/>
              <w:bottom w:val="single" w:sz="12" w:space="0" w:color="auto"/>
              <w:right w:val="nil"/>
            </w:tcBorders>
            <w:shd w:val="clear" w:color="auto" w:fill="auto"/>
            <w:noWrap/>
            <w:vAlign w:val="center"/>
            <w:hideMark/>
          </w:tcPr>
          <w:p w14:paraId="37A2D66F"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30</w:t>
            </w:r>
          </w:p>
        </w:tc>
        <w:tc>
          <w:tcPr>
            <w:tcW w:w="614" w:type="pct"/>
            <w:tcBorders>
              <w:top w:val="nil"/>
              <w:left w:val="nil"/>
              <w:bottom w:val="single" w:sz="12" w:space="0" w:color="auto"/>
              <w:right w:val="nil"/>
            </w:tcBorders>
            <w:shd w:val="clear" w:color="auto" w:fill="auto"/>
            <w:noWrap/>
            <w:vAlign w:val="center"/>
            <w:hideMark/>
          </w:tcPr>
          <w:p w14:paraId="7D093FEE"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29</w:t>
            </w:r>
          </w:p>
        </w:tc>
        <w:tc>
          <w:tcPr>
            <w:tcW w:w="615" w:type="pct"/>
            <w:tcBorders>
              <w:top w:val="nil"/>
              <w:left w:val="nil"/>
              <w:bottom w:val="single" w:sz="12" w:space="0" w:color="auto"/>
              <w:right w:val="nil"/>
            </w:tcBorders>
            <w:shd w:val="clear" w:color="auto" w:fill="auto"/>
            <w:noWrap/>
            <w:vAlign w:val="center"/>
            <w:hideMark/>
          </w:tcPr>
          <w:p w14:paraId="66E684F8"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0</w:t>
            </w:r>
          </w:p>
        </w:tc>
        <w:tc>
          <w:tcPr>
            <w:tcW w:w="401" w:type="pct"/>
            <w:tcBorders>
              <w:top w:val="nil"/>
              <w:left w:val="nil"/>
              <w:bottom w:val="single" w:sz="12" w:space="0" w:color="auto"/>
              <w:right w:val="nil"/>
            </w:tcBorders>
            <w:shd w:val="clear" w:color="auto" w:fill="auto"/>
            <w:noWrap/>
            <w:vAlign w:val="center"/>
            <w:hideMark/>
          </w:tcPr>
          <w:p w14:paraId="34881382" w14:textId="77777777" w:rsidR="00A11D2E" w:rsidRPr="008F2C95" w:rsidRDefault="00A11D2E">
            <w:pPr>
              <w:widowControl/>
              <w:jc w:val="center"/>
              <w:rPr>
                <w:rFonts w:cstheme="minorHAnsi"/>
                <w:bCs/>
                <w:snapToGrid/>
                <w:sz w:val="22"/>
                <w:szCs w:val="22"/>
              </w:rPr>
            </w:pPr>
            <w:r w:rsidRPr="008F2C95">
              <w:rPr>
                <w:rFonts w:cstheme="minorHAnsi"/>
                <w:snapToGrid/>
                <w:sz w:val="22"/>
                <w:szCs w:val="22"/>
              </w:rPr>
              <w:t>71</w:t>
            </w:r>
          </w:p>
        </w:tc>
      </w:tr>
    </w:tbl>
    <w:p w14:paraId="623815E2" w14:textId="77777777" w:rsidR="00A11D2E" w:rsidRPr="00AD3B35" w:rsidRDefault="00A11D2E" w:rsidP="00A11D2E">
      <w:pPr>
        <w:ind w:firstLine="720"/>
        <w:rPr>
          <w:rFonts w:cstheme="minorHAnsi"/>
        </w:rPr>
      </w:pPr>
    </w:p>
    <w:p w14:paraId="1CAC799D" w14:textId="77777777" w:rsidR="00A11D2E" w:rsidRPr="00AD3B35" w:rsidRDefault="00A11D2E" w:rsidP="00A11D2E">
      <w:pPr>
        <w:rPr>
          <w:rFonts w:cstheme="minorHAnsi"/>
        </w:rPr>
      </w:pPr>
    </w:p>
    <w:p w14:paraId="1FC22ED7" w14:textId="77777777" w:rsidR="00A11D2E" w:rsidRPr="00AD3B35" w:rsidRDefault="00A11D2E" w:rsidP="00A11D2E">
      <w:pPr>
        <w:rPr>
          <w:rFonts w:cstheme="minorHAnsi"/>
        </w:rPr>
        <w:sectPr w:rsidR="00A11D2E" w:rsidRPr="00AD3B35" w:rsidSect="009079C4">
          <w:pgSz w:w="12240" w:h="15840" w:code="1"/>
          <w:pgMar w:top="1440" w:right="1440" w:bottom="1440" w:left="1440" w:header="720" w:footer="720" w:gutter="0"/>
          <w:cols w:space="720"/>
          <w:docGrid w:linePitch="360"/>
        </w:sectPr>
      </w:pPr>
    </w:p>
    <w:p w14:paraId="6BE1BD5C" w14:textId="1559FF9A" w:rsidR="0000104C" w:rsidRDefault="001822EF" w:rsidP="0000104C">
      <w:pPr>
        <w:pStyle w:val="Caption"/>
        <w:keepNext/>
      </w:pPr>
      <w:bookmarkStart w:id="340" w:name="_Ref150157920"/>
      <w:r>
        <w:rPr>
          <w:rFonts w:cstheme="minorHAnsi"/>
          <w:noProof/>
        </w:rPr>
        <w:lastRenderedPageBreak/>
        <w:drawing>
          <wp:inline distT="0" distB="0" distL="0" distR="0" wp14:anchorId="38AF6A59" wp14:editId="1284D610">
            <wp:extent cx="8220075" cy="5324475"/>
            <wp:effectExtent l="0" t="0" r="9525" b="9525"/>
            <wp:docPr id="781178890" name="Picture 781178890" descr="Map of Virginia Statewide total nitrogen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178890" name="Picture 2" descr="Map of Virginia Statewide total nitrogen trends."/>
                    <pic:cNvPicPr>
                      <a:picLocks noChangeAspect="1" noChangeArrowheads="1"/>
                    </pic:cNvPicPr>
                  </pic:nvPicPr>
                  <pic:blipFill>
                    <a:blip r:embed="rId216" cstate="print">
                      <a:extLst>
                        <a:ext uri="{28A0092B-C50C-407E-A947-70E740481C1C}">
                          <a14:useLocalDpi xmlns:a14="http://schemas.microsoft.com/office/drawing/2010/main"/>
                        </a:ext>
                      </a:extLst>
                    </a:blip>
                    <a:srcRect/>
                    <a:stretch>
                      <a:fillRect/>
                    </a:stretch>
                  </pic:blipFill>
                  <pic:spPr bwMode="auto">
                    <a:xfrm>
                      <a:off x="0" y="0"/>
                      <a:ext cx="8220075" cy="5324475"/>
                    </a:xfrm>
                    <a:prstGeom prst="rect">
                      <a:avLst/>
                    </a:prstGeom>
                    <a:noFill/>
                    <a:ln>
                      <a:noFill/>
                    </a:ln>
                  </pic:spPr>
                </pic:pic>
              </a:graphicData>
            </a:graphic>
          </wp:inline>
        </w:drawing>
      </w:r>
      <w:r w:rsidR="00D5213D" w:rsidRPr="00620497">
        <w:rPr>
          <w:rFonts w:cstheme="minorHAnsi"/>
          <w:i/>
          <w:noProof/>
          <w:sz w:val="22"/>
        </w:rPr>
        <mc:AlternateContent>
          <mc:Choice Requires="wps">
            <w:drawing>
              <wp:anchor distT="45720" distB="45720" distL="114300" distR="114300" simplePos="0" relativeHeight="251658244" behindDoc="0" locked="0" layoutInCell="1" allowOverlap="1" wp14:anchorId="2C847DC8" wp14:editId="7A45B793">
                <wp:simplePos x="0" y="0"/>
                <wp:positionH relativeFrom="column">
                  <wp:posOffset>457200</wp:posOffset>
                </wp:positionH>
                <wp:positionV relativeFrom="paragraph">
                  <wp:posOffset>520995</wp:posOffset>
                </wp:positionV>
                <wp:extent cx="2790825" cy="1404620"/>
                <wp:effectExtent l="0" t="0" r="9525" b="0"/>
                <wp:wrapNone/>
                <wp:docPr id="552032961" name="Text Box 5520329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404620"/>
                        </a:xfrm>
                        <a:prstGeom prst="rect">
                          <a:avLst/>
                        </a:prstGeom>
                        <a:solidFill>
                          <a:srgbClr val="FFFFFF"/>
                        </a:solidFill>
                        <a:ln w="9525">
                          <a:noFill/>
                          <a:miter lim="800000"/>
                          <a:headEnd/>
                          <a:tailEnd/>
                        </a:ln>
                      </wps:spPr>
                      <wps:txbx>
                        <w:txbxContent>
                          <w:p w14:paraId="5C1DCBEE" w14:textId="77777777" w:rsidR="00D5213D" w:rsidRPr="00D5213D" w:rsidRDefault="00D5213D" w:rsidP="00D5213D">
                            <w:r w:rsidRPr="00D5213D">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847DC8" id="Text Box 552032961" o:spid="_x0000_s1032" type="#_x0000_t202" alt="&quot;&quot;" style="position:absolute;margin-left:36pt;margin-top:41pt;width:219.75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" stroked="f">
                <v:textbox style="mso-fit-shape-to-text:t">
                  <w:txbxContent>
                    <w:p w14:paraId="5C1DCBEE" w14:textId="77777777" w:rsidR="00D5213D" w:rsidRPr="00D5213D" w:rsidRDefault="00D5213D" w:rsidP="00D5213D">
                      <w:r w:rsidRPr="00D5213D">
                        <w:t>River Basin</w:t>
                      </w:r>
                    </w:p>
                  </w:txbxContent>
                </v:textbox>
              </v:shape>
            </w:pict>
          </mc:Fallback>
        </mc:AlternateContent>
      </w:r>
    </w:p>
    <w:p w14:paraId="5960AF55" w14:textId="3882CB64" w:rsidR="00A11D2E" w:rsidRPr="00AD3B35" w:rsidRDefault="0000104C" w:rsidP="0000104C">
      <w:pPr>
        <w:pStyle w:val="Caption"/>
        <w:rPr>
          <w:rFonts w:cstheme="minorHAnsi"/>
        </w:rPr>
      </w:pPr>
      <w:bookmarkStart w:id="341" w:name="_Toc152766300"/>
      <w:bookmarkStart w:id="342" w:name="_Toc164175125"/>
      <w:r>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w:t>
      </w:r>
      <w:r w:rsidR="004F13BA">
        <w:rPr>
          <w:noProof/>
        </w:rPr>
        <w:fldChar w:fldCharType="end"/>
      </w:r>
      <w:r>
        <w:t xml:space="preserve">. </w:t>
      </w:r>
      <w:r w:rsidRPr="00AD3B35">
        <w:rPr>
          <w:rFonts w:cstheme="minorHAnsi"/>
          <w:noProof/>
        </w:rPr>
        <w:t>Statewide total</w:t>
      </w:r>
      <w:r w:rsidRPr="00AD3B35">
        <w:rPr>
          <w:rFonts w:cstheme="minorHAnsi"/>
        </w:rPr>
        <w:t xml:space="preserve"> nitrogen trends.</w:t>
      </w:r>
      <w:bookmarkEnd w:id="341"/>
      <w:bookmarkEnd w:id="342"/>
    </w:p>
    <w:bookmarkEnd w:id="340"/>
    <w:p w14:paraId="6177CB1F" w14:textId="77777777" w:rsidR="00A11D2E" w:rsidRPr="00AD3B35" w:rsidRDefault="00A11D2E" w:rsidP="00A11D2E">
      <w:pPr>
        <w:widowControl/>
        <w:rPr>
          <w:rFonts w:cstheme="minorHAnsi"/>
        </w:rPr>
      </w:pPr>
    </w:p>
    <w:p w14:paraId="4BB85AB9" w14:textId="77777777" w:rsidR="00A11D2E" w:rsidRPr="00AD3B35" w:rsidRDefault="00A11D2E" w:rsidP="00A11D2E">
      <w:pPr>
        <w:widowControl/>
        <w:rPr>
          <w:rFonts w:cstheme="minorHAnsi"/>
        </w:rPr>
        <w:sectPr w:rsidR="00A11D2E" w:rsidRPr="00AD3B35" w:rsidSect="009079C4">
          <w:pgSz w:w="15840" w:h="12240" w:orient="landscape" w:code="1"/>
          <w:pgMar w:top="1440" w:right="1440" w:bottom="1440" w:left="1440" w:header="720" w:footer="720" w:gutter="0"/>
          <w:cols w:space="720"/>
          <w:docGrid w:linePitch="360"/>
        </w:sectPr>
      </w:pPr>
    </w:p>
    <w:p w14:paraId="7A7D4BB6" w14:textId="4B535E80" w:rsidR="00A11D2E" w:rsidRPr="00AD3B35" w:rsidRDefault="00A11D2E" w:rsidP="004C384C">
      <w:pPr>
        <w:pStyle w:val="Heading4"/>
      </w:pPr>
      <w:r w:rsidRPr="00AD3B35">
        <w:lastRenderedPageBreak/>
        <w:t>Total Volatile Suspended Solids and Chlorophyll</w:t>
      </w:r>
      <w:r w:rsidR="00105F37">
        <w:t xml:space="preserve"> a</w:t>
      </w:r>
    </w:p>
    <w:p w14:paraId="14986FA5" w14:textId="59F17BC3" w:rsidR="00A11D2E" w:rsidRPr="00AD3B35" w:rsidRDefault="00A11D2E" w:rsidP="004C384C">
      <w:pPr>
        <w:rPr>
          <w:rFonts w:cstheme="minorHAnsi"/>
        </w:rPr>
      </w:pPr>
      <w:r w:rsidRPr="00AD3B35">
        <w:rPr>
          <w:rFonts w:cstheme="minorHAnsi"/>
        </w:rPr>
        <w:t>Total volatile suspended solids are measured most often in estuaries where they are an indicator of suspended organic matter (e.g., phytoplankton). Chlorophyll</w:t>
      </w:r>
      <w:r w:rsidR="00105F37">
        <w:rPr>
          <w:rFonts w:cstheme="minorHAnsi"/>
        </w:rPr>
        <w:t xml:space="preserve"> </w:t>
      </w:r>
      <w:r w:rsidR="00105F37">
        <w:rPr>
          <w:rFonts w:cstheme="minorHAnsi"/>
          <w:i/>
          <w:iCs/>
        </w:rPr>
        <w:t>a</w:t>
      </w:r>
      <w:r w:rsidRPr="00AD3B35">
        <w:rPr>
          <w:rFonts w:cstheme="minorHAnsi"/>
        </w:rPr>
        <w:t xml:space="preserve"> is a pigment used by phytoplankton (and other primary producers) for photosynthesis and is an indicator of the biomass of phytoplankton in the system. In excess, phytoplankton and other suspended organic matter can increase biological oxygen demand, reduce dissolved oxygen concentrations, and, thus, create adverse conditions for aquatic life. Of the 160 stations analyzed for total suspended volatile solids, 5 (3%) showed improving conditions (i.e., decreasing concentrations) and 25 (16%) showed degrading conditions. In contrast, the number of sites at which degrading conditions (increasing </w:t>
      </w:r>
      <w:r w:rsidR="003A5866" w:rsidRPr="00AD3B35">
        <w:rPr>
          <w:rFonts w:cstheme="minorHAnsi"/>
        </w:rPr>
        <w:t>concentrations) were</w:t>
      </w:r>
      <w:r w:rsidRPr="00AD3B35">
        <w:rPr>
          <w:rFonts w:cstheme="minorHAnsi"/>
        </w:rPr>
        <w:t xml:space="preserve"> observed in </w:t>
      </w:r>
      <w:r w:rsidR="00105F37" w:rsidRPr="000234AF">
        <w:rPr>
          <w:rFonts w:cstheme="minorHAnsi"/>
          <w:snapToGrid/>
          <w:color w:val="000000"/>
          <w:szCs w:val="24"/>
        </w:rPr>
        <w:t>chlorophyll</w:t>
      </w:r>
      <w:r w:rsidR="00105F37">
        <w:rPr>
          <w:rFonts w:cstheme="minorHAnsi"/>
          <w:snapToGrid/>
          <w:color w:val="000000"/>
          <w:szCs w:val="24"/>
        </w:rPr>
        <w:t xml:space="preserve"> </w:t>
      </w:r>
      <w:r w:rsidR="00105F37" w:rsidRPr="000234AF">
        <w:rPr>
          <w:rFonts w:cstheme="minorHAnsi"/>
          <w:i/>
          <w:snapToGrid/>
          <w:color w:val="000000"/>
          <w:szCs w:val="24"/>
        </w:rPr>
        <w:t>a</w:t>
      </w:r>
      <w:r w:rsidR="00105F37" w:rsidRPr="00AD3B35">
        <w:rPr>
          <w:rFonts w:cstheme="minorHAnsi"/>
        </w:rPr>
        <w:t xml:space="preserve"> </w:t>
      </w:r>
      <w:r w:rsidRPr="00AD3B35">
        <w:rPr>
          <w:rFonts w:cstheme="minorHAnsi"/>
        </w:rPr>
        <w:t xml:space="preserve">(28 of 166 stations; 17%) was exceeded by the number at which improving conditions were observed (37 stations; 22%; Table </w:t>
      </w:r>
      <w:r w:rsidR="00582846">
        <w:rPr>
          <w:rFonts w:cstheme="minorHAnsi"/>
        </w:rPr>
        <w:t>4</w:t>
      </w:r>
      <w:r w:rsidR="00BF4354">
        <w:rPr>
          <w:rFonts w:cstheme="minorHAnsi"/>
        </w:rPr>
        <w:t>.7-6</w:t>
      </w:r>
      <w:r w:rsidRPr="00AD3B35">
        <w:rPr>
          <w:rFonts w:cstheme="minorHAnsi"/>
        </w:rPr>
        <w:t xml:space="preserve">; </w:t>
      </w:r>
      <w:r w:rsidR="00BF4354">
        <w:rPr>
          <w:rFonts w:cstheme="minorHAnsi"/>
        </w:rPr>
        <w:t>Table 4.6-7</w:t>
      </w:r>
      <w:r w:rsidRPr="00AD3B35">
        <w:rPr>
          <w:rFonts w:cstheme="minorHAnsi"/>
        </w:rPr>
        <w:t xml:space="preserve">). This difference is an indication that </w:t>
      </w:r>
      <w:r w:rsidR="00105F37" w:rsidRPr="000234AF">
        <w:rPr>
          <w:rFonts w:cstheme="minorHAnsi"/>
          <w:snapToGrid/>
          <w:color w:val="000000"/>
          <w:szCs w:val="24"/>
        </w:rPr>
        <w:t>chlorophyll</w:t>
      </w:r>
      <w:r w:rsidR="00105F37">
        <w:rPr>
          <w:rFonts w:cstheme="minorHAnsi"/>
          <w:snapToGrid/>
          <w:color w:val="000000"/>
          <w:szCs w:val="24"/>
        </w:rPr>
        <w:t xml:space="preserve"> </w:t>
      </w:r>
      <w:proofErr w:type="gramStart"/>
      <w:r w:rsidR="00105F37" w:rsidRPr="000234AF">
        <w:rPr>
          <w:rFonts w:cstheme="minorHAnsi"/>
          <w:i/>
          <w:snapToGrid/>
          <w:color w:val="000000"/>
          <w:szCs w:val="24"/>
        </w:rPr>
        <w:t>a</w:t>
      </w:r>
      <w:r w:rsidR="00105F37" w:rsidRPr="00AD3B35">
        <w:rPr>
          <w:rFonts w:cstheme="minorHAnsi"/>
        </w:rPr>
        <w:t xml:space="preserve"> </w:t>
      </w:r>
      <w:r w:rsidRPr="00AD3B35">
        <w:rPr>
          <w:rFonts w:cstheme="minorHAnsi"/>
        </w:rPr>
        <w:t>and</w:t>
      </w:r>
      <w:proofErr w:type="gramEnd"/>
      <w:r w:rsidRPr="00AD3B35">
        <w:rPr>
          <w:rFonts w:cstheme="minorHAnsi"/>
        </w:rPr>
        <w:t xml:space="preserve"> total volatile suspended solids are not always corresponding measures of water quality. At 12 of 25 stations at which degrading conditions in total volatile suspended solids occurred, they were accompanied by degrading trends in </w:t>
      </w:r>
      <w:r w:rsidR="00105F37" w:rsidRPr="000234AF">
        <w:rPr>
          <w:rFonts w:cstheme="minorHAnsi"/>
          <w:snapToGrid/>
          <w:color w:val="000000"/>
          <w:szCs w:val="24"/>
        </w:rPr>
        <w:t>chlorophyll</w:t>
      </w:r>
      <w:r w:rsidR="00105F37">
        <w:rPr>
          <w:rFonts w:cstheme="minorHAnsi"/>
          <w:snapToGrid/>
          <w:color w:val="000000"/>
          <w:szCs w:val="24"/>
        </w:rPr>
        <w:t xml:space="preserve"> </w:t>
      </w:r>
      <w:r w:rsidR="00105F37" w:rsidRPr="000234AF">
        <w:rPr>
          <w:rFonts w:cstheme="minorHAnsi"/>
          <w:i/>
          <w:snapToGrid/>
          <w:color w:val="000000"/>
          <w:szCs w:val="24"/>
        </w:rPr>
        <w:t>a</w:t>
      </w:r>
      <w:r w:rsidRPr="00AD3B35">
        <w:rPr>
          <w:rFonts w:cstheme="minorHAnsi"/>
        </w:rPr>
        <w:t xml:space="preserve">, whereas only one station exhibited degrading conditions in total suspended volatile solids and improving conditions in </w:t>
      </w:r>
      <w:r w:rsidR="00105F37" w:rsidRPr="000234AF">
        <w:rPr>
          <w:rFonts w:cstheme="minorHAnsi"/>
          <w:snapToGrid/>
          <w:color w:val="000000"/>
          <w:szCs w:val="24"/>
        </w:rPr>
        <w:t>chlorophyll</w:t>
      </w:r>
      <w:r w:rsidR="00105F37">
        <w:rPr>
          <w:rFonts w:cstheme="minorHAnsi"/>
          <w:snapToGrid/>
          <w:color w:val="000000"/>
          <w:szCs w:val="24"/>
        </w:rPr>
        <w:t xml:space="preserve"> </w:t>
      </w:r>
      <w:r w:rsidR="00105F37" w:rsidRPr="000234AF">
        <w:rPr>
          <w:rFonts w:cstheme="minorHAnsi"/>
          <w:i/>
          <w:snapToGrid/>
          <w:color w:val="000000"/>
          <w:szCs w:val="24"/>
        </w:rPr>
        <w:t>a</w:t>
      </w:r>
      <w:r w:rsidRPr="00AD3B35">
        <w:rPr>
          <w:rFonts w:cstheme="minorHAnsi"/>
        </w:rPr>
        <w:t xml:space="preserve">. </w:t>
      </w:r>
      <w:bookmarkStart w:id="343" w:name="_Hlk150781199"/>
      <w:r w:rsidRPr="00AD3B35">
        <w:rPr>
          <w:rFonts w:cstheme="minorHAnsi"/>
        </w:rPr>
        <w:t xml:space="preserve">Degrading trends in </w:t>
      </w:r>
      <w:r w:rsidR="00105F37" w:rsidRPr="000234AF">
        <w:rPr>
          <w:rFonts w:cstheme="minorHAnsi"/>
          <w:snapToGrid/>
          <w:color w:val="000000"/>
          <w:szCs w:val="24"/>
        </w:rPr>
        <w:t>chlorophyll</w:t>
      </w:r>
      <w:r w:rsidR="00105F37">
        <w:rPr>
          <w:rFonts w:cstheme="minorHAnsi"/>
          <w:snapToGrid/>
          <w:color w:val="000000"/>
          <w:szCs w:val="24"/>
        </w:rPr>
        <w:t xml:space="preserve"> </w:t>
      </w:r>
      <w:r w:rsidR="00105F37" w:rsidRPr="000234AF">
        <w:rPr>
          <w:rFonts w:cstheme="minorHAnsi"/>
          <w:i/>
          <w:snapToGrid/>
          <w:color w:val="000000"/>
          <w:szCs w:val="24"/>
        </w:rPr>
        <w:t>a</w:t>
      </w:r>
      <w:r w:rsidR="00105F37" w:rsidRPr="00AD3B35">
        <w:rPr>
          <w:rFonts w:cstheme="minorHAnsi"/>
        </w:rPr>
        <w:t xml:space="preserve"> </w:t>
      </w:r>
      <w:r w:rsidRPr="00AD3B35">
        <w:rPr>
          <w:rFonts w:cstheme="minorHAnsi"/>
        </w:rPr>
        <w:t xml:space="preserve">were observed at 16 stations where no corresponding degrading trends in total volatile suspended solids were observed. </w:t>
      </w:r>
      <w:bookmarkEnd w:id="343"/>
      <w:r w:rsidRPr="00AD3B35">
        <w:rPr>
          <w:rFonts w:cstheme="minorHAnsi"/>
        </w:rPr>
        <w:t xml:space="preserve">Collectively, these results indicate that increases in suspended organic solids are often associated with increases in </w:t>
      </w:r>
      <w:r w:rsidR="00105F37" w:rsidRPr="000234AF">
        <w:rPr>
          <w:rFonts w:cstheme="minorHAnsi"/>
          <w:snapToGrid/>
          <w:color w:val="000000"/>
          <w:szCs w:val="24"/>
        </w:rPr>
        <w:t>chlorophyll</w:t>
      </w:r>
      <w:r w:rsidR="00105F37">
        <w:rPr>
          <w:rFonts w:cstheme="minorHAnsi"/>
          <w:snapToGrid/>
          <w:color w:val="000000"/>
          <w:szCs w:val="24"/>
        </w:rPr>
        <w:t xml:space="preserve"> </w:t>
      </w:r>
      <w:r w:rsidR="00105F37" w:rsidRPr="000234AF">
        <w:rPr>
          <w:rFonts w:cstheme="minorHAnsi"/>
          <w:i/>
          <w:snapToGrid/>
          <w:color w:val="000000"/>
          <w:szCs w:val="24"/>
        </w:rPr>
        <w:t>a</w:t>
      </w:r>
      <w:r w:rsidRPr="00AD3B35">
        <w:rPr>
          <w:rFonts w:cstheme="minorHAnsi"/>
        </w:rPr>
        <w:t xml:space="preserve">, whereas increases in </w:t>
      </w:r>
      <w:r w:rsidR="00105F37" w:rsidRPr="000234AF">
        <w:rPr>
          <w:rFonts w:cstheme="minorHAnsi"/>
          <w:snapToGrid/>
          <w:color w:val="000000"/>
          <w:szCs w:val="24"/>
        </w:rPr>
        <w:t>chlorophyll</w:t>
      </w:r>
      <w:r w:rsidR="00105F37">
        <w:rPr>
          <w:rFonts w:cstheme="minorHAnsi"/>
          <w:snapToGrid/>
          <w:color w:val="000000"/>
          <w:szCs w:val="24"/>
        </w:rPr>
        <w:t xml:space="preserve"> </w:t>
      </w:r>
      <w:r w:rsidR="00105F37" w:rsidRPr="000234AF">
        <w:rPr>
          <w:rFonts w:cstheme="minorHAnsi"/>
          <w:i/>
          <w:snapToGrid/>
          <w:color w:val="000000"/>
          <w:szCs w:val="24"/>
        </w:rPr>
        <w:t>a</w:t>
      </w:r>
      <w:r w:rsidR="00105F37" w:rsidRPr="00AD3B35">
        <w:rPr>
          <w:rFonts w:cstheme="minorHAnsi"/>
        </w:rPr>
        <w:t xml:space="preserve"> </w:t>
      </w:r>
      <w:r w:rsidRPr="00AD3B35">
        <w:rPr>
          <w:rFonts w:cstheme="minorHAnsi"/>
        </w:rPr>
        <w:t xml:space="preserve">may also occur without these corresponding increases in suspend organic solids (Figure </w:t>
      </w:r>
      <w:r w:rsidR="00AF6621">
        <w:rPr>
          <w:rFonts w:cstheme="minorHAnsi"/>
        </w:rPr>
        <w:t>4.7-</w:t>
      </w:r>
      <w:r w:rsidRPr="00AD3B35">
        <w:rPr>
          <w:rFonts w:cstheme="minorHAnsi"/>
        </w:rPr>
        <w:t xml:space="preserve">3; Figure </w:t>
      </w:r>
      <w:r w:rsidR="00AF6621">
        <w:rPr>
          <w:rFonts w:cstheme="minorHAnsi"/>
        </w:rPr>
        <w:t>4.7-</w:t>
      </w:r>
      <w:r w:rsidRPr="00AD3B35">
        <w:rPr>
          <w:rFonts w:cstheme="minorHAnsi"/>
        </w:rPr>
        <w:t xml:space="preserve">4). Trends in total volatile suspended solids and </w:t>
      </w:r>
      <w:r w:rsidR="00105F37" w:rsidRPr="000234AF">
        <w:rPr>
          <w:rFonts w:cstheme="minorHAnsi"/>
          <w:snapToGrid/>
          <w:color w:val="000000"/>
          <w:szCs w:val="24"/>
        </w:rPr>
        <w:t>chlorophyll</w:t>
      </w:r>
      <w:r w:rsidR="00105F37">
        <w:rPr>
          <w:rFonts w:cstheme="minorHAnsi"/>
          <w:snapToGrid/>
          <w:color w:val="000000"/>
          <w:szCs w:val="24"/>
        </w:rPr>
        <w:t xml:space="preserve"> </w:t>
      </w:r>
      <w:r w:rsidR="00105F37" w:rsidRPr="000234AF">
        <w:rPr>
          <w:rFonts w:cstheme="minorHAnsi"/>
          <w:i/>
          <w:snapToGrid/>
          <w:color w:val="000000"/>
          <w:szCs w:val="24"/>
        </w:rPr>
        <w:t>a</w:t>
      </w:r>
      <w:r w:rsidR="00105F37" w:rsidRPr="00AD3B35">
        <w:rPr>
          <w:rFonts w:cstheme="minorHAnsi"/>
        </w:rPr>
        <w:t xml:space="preserve"> </w:t>
      </w:r>
      <w:r w:rsidRPr="00AD3B35">
        <w:rPr>
          <w:rFonts w:cstheme="minorHAnsi"/>
        </w:rPr>
        <w:t xml:space="preserve">by basin are shown in Tables 6 and 7, respectively. </w:t>
      </w:r>
      <w:r w:rsidR="004C384C">
        <w:rPr>
          <w:rFonts w:cstheme="minorHAnsi"/>
        </w:rPr>
        <w:br/>
      </w:r>
    </w:p>
    <w:p w14:paraId="437372E6" w14:textId="321A6754" w:rsidR="00544437" w:rsidRDefault="00544437" w:rsidP="00544437">
      <w:pPr>
        <w:pStyle w:val="Caption"/>
        <w:keepNext/>
      </w:pPr>
      <w:bookmarkStart w:id="344" w:name="_Toc164175227"/>
      <w:r>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6</w:t>
      </w:r>
      <w:r w:rsidR="004F13BA">
        <w:rPr>
          <w:noProof/>
        </w:rPr>
        <w:fldChar w:fldCharType="end"/>
      </w:r>
      <w:r>
        <w:t xml:space="preserve">. </w:t>
      </w:r>
      <w:r w:rsidRPr="00031059">
        <w:rPr>
          <w:rFonts w:cstheme="minorHAnsi"/>
          <w:bCs/>
        </w:rPr>
        <w:t>Chlorophyll</w:t>
      </w:r>
      <w:r w:rsidR="00105F37">
        <w:rPr>
          <w:rFonts w:cstheme="minorHAnsi"/>
          <w:bCs/>
        </w:rPr>
        <w:t xml:space="preserve"> </w:t>
      </w:r>
      <w:r w:rsidR="00105F37">
        <w:rPr>
          <w:rFonts w:cstheme="minorHAnsi"/>
          <w:bCs/>
          <w:i/>
          <w:iCs w:val="0"/>
        </w:rPr>
        <w:t>a</w:t>
      </w:r>
      <w:r w:rsidRPr="00031059">
        <w:rPr>
          <w:rFonts w:cstheme="minorHAnsi"/>
          <w:bCs/>
        </w:rPr>
        <w:t xml:space="preserve"> </w:t>
      </w:r>
      <w:proofErr w:type="gramStart"/>
      <w:r w:rsidRPr="00031059">
        <w:rPr>
          <w:rFonts w:cstheme="minorHAnsi"/>
          <w:bCs/>
        </w:rPr>
        <w:t>trends</w:t>
      </w:r>
      <w:proofErr w:type="gramEnd"/>
      <w:r w:rsidRPr="00031059">
        <w:rPr>
          <w:rFonts w:cstheme="minorHAnsi"/>
          <w:bCs/>
        </w:rPr>
        <w:t xml:space="preserve"> by basin</w:t>
      </w:r>
      <w:r w:rsidR="009B71A4">
        <w:rPr>
          <w:rFonts w:cstheme="minorHAnsi"/>
          <w:bCs/>
        </w:rPr>
        <w:t>, 2003 through 2022.</w:t>
      </w:r>
      <w:bookmarkEnd w:id="344"/>
    </w:p>
    <w:tbl>
      <w:tblPr>
        <w:tblW w:w="5000" w:type="pct"/>
        <w:tblLook w:val="04A0" w:firstRow="1" w:lastRow="0" w:firstColumn="1" w:lastColumn="0" w:noHBand="0" w:noVBand="1"/>
        <w:tblCaption w:val="Table of Chlorophyll a trends by basin."/>
        <w:tblDescription w:val="Chlorophyll a trends by basin."/>
      </w:tblPr>
      <w:tblGrid>
        <w:gridCol w:w="1540"/>
        <w:gridCol w:w="960"/>
        <w:gridCol w:w="1189"/>
        <w:gridCol w:w="1514"/>
        <w:gridCol w:w="1106"/>
        <w:gridCol w:w="1149"/>
        <w:gridCol w:w="1151"/>
        <w:gridCol w:w="751"/>
      </w:tblGrid>
      <w:tr w:rsidR="00A11D2E" w:rsidRPr="00AD3B35" w14:paraId="01BC0A81" w14:textId="77777777" w:rsidTr="00544437">
        <w:trPr>
          <w:trHeight w:val="690"/>
        </w:trPr>
        <w:tc>
          <w:tcPr>
            <w:tcW w:w="822" w:type="pct"/>
            <w:tcBorders>
              <w:top w:val="single" w:sz="12" w:space="0" w:color="auto"/>
              <w:left w:val="nil"/>
              <w:bottom w:val="single" w:sz="8" w:space="0" w:color="auto"/>
              <w:right w:val="nil"/>
            </w:tcBorders>
            <w:shd w:val="clear" w:color="auto" w:fill="auto"/>
            <w:vAlign w:val="center"/>
            <w:hideMark/>
          </w:tcPr>
          <w:p w14:paraId="0B12CB3B" w14:textId="77777777" w:rsidR="00A11D2E" w:rsidRPr="00031059" w:rsidRDefault="00A11D2E">
            <w:pPr>
              <w:widowControl/>
              <w:jc w:val="center"/>
              <w:rPr>
                <w:rFonts w:cstheme="minorHAnsi"/>
                <w:b/>
                <w:bCs/>
                <w:snapToGrid/>
                <w:sz w:val="22"/>
                <w:szCs w:val="22"/>
              </w:rPr>
            </w:pPr>
            <w:r w:rsidRPr="00031059">
              <w:rPr>
                <w:rFonts w:cstheme="minorHAnsi"/>
                <w:b/>
                <w:bCs/>
                <w:snapToGrid/>
                <w:sz w:val="22"/>
                <w:szCs w:val="22"/>
              </w:rPr>
              <w:t>Basin</w:t>
            </w:r>
          </w:p>
        </w:tc>
        <w:tc>
          <w:tcPr>
            <w:tcW w:w="513" w:type="pct"/>
            <w:tcBorders>
              <w:top w:val="single" w:sz="12" w:space="0" w:color="auto"/>
              <w:left w:val="nil"/>
              <w:bottom w:val="single" w:sz="8" w:space="0" w:color="auto"/>
              <w:right w:val="nil"/>
            </w:tcBorders>
            <w:shd w:val="clear" w:color="auto" w:fill="auto"/>
            <w:vAlign w:val="center"/>
            <w:hideMark/>
          </w:tcPr>
          <w:p w14:paraId="6B0B43FD" w14:textId="77777777" w:rsidR="00A11D2E" w:rsidRPr="00031059" w:rsidRDefault="00A11D2E">
            <w:pPr>
              <w:widowControl/>
              <w:jc w:val="center"/>
              <w:rPr>
                <w:rFonts w:cstheme="minorHAnsi"/>
                <w:b/>
                <w:bCs/>
                <w:snapToGrid/>
                <w:sz w:val="22"/>
                <w:szCs w:val="22"/>
              </w:rPr>
            </w:pPr>
            <w:r w:rsidRPr="00031059">
              <w:rPr>
                <w:rFonts w:cstheme="minorHAnsi"/>
                <w:b/>
                <w:bCs/>
                <w:snapToGrid/>
                <w:sz w:val="22"/>
                <w:szCs w:val="22"/>
              </w:rPr>
              <w:t>Total Stations</w:t>
            </w:r>
          </w:p>
        </w:tc>
        <w:tc>
          <w:tcPr>
            <w:tcW w:w="635" w:type="pct"/>
            <w:tcBorders>
              <w:top w:val="single" w:sz="12" w:space="0" w:color="auto"/>
              <w:left w:val="nil"/>
              <w:bottom w:val="single" w:sz="8" w:space="0" w:color="auto"/>
              <w:right w:val="nil"/>
            </w:tcBorders>
            <w:shd w:val="clear" w:color="auto" w:fill="auto"/>
            <w:vAlign w:val="center"/>
            <w:hideMark/>
          </w:tcPr>
          <w:p w14:paraId="2A3C2B89" w14:textId="77777777" w:rsidR="00A11D2E" w:rsidRPr="00031059" w:rsidRDefault="00A11D2E">
            <w:pPr>
              <w:widowControl/>
              <w:jc w:val="center"/>
              <w:rPr>
                <w:rFonts w:cstheme="minorHAnsi"/>
                <w:b/>
                <w:bCs/>
                <w:snapToGrid/>
                <w:sz w:val="22"/>
                <w:szCs w:val="22"/>
              </w:rPr>
            </w:pPr>
            <w:r w:rsidRPr="00031059">
              <w:rPr>
                <w:rFonts w:cstheme="minorHAnsi"/>
                <w:b/>
                <w:bCs/>
                <w:snapToGrid/>
                <w:sz w:val="22"/>
                <w:szCs w:val="22"/>
              </w:rPr>
              <w:t>Improving Trend (stations)</w:t>
            </w:r>
          </w:p>
        </w:tc>
        <w:tc>
          <w:tcPr>
            <w:tcW w:w="809" w:type="pct"/>
            <w:tcBorders>
              <w:top w:val="single" w:sz="12" w:space="0" w:color="auto"/>
              <w:left w:val="nil"/>
              <w:bottom w:val="single" w:sz="8" w:space="0" w:color="auto"/>
              <w:right w:val="nil"/>
            </w:tcBorders>
            <w:shd w:val="clear" w:color="auto" w:fill="auto"/>
            <w:vAlign w:val="center"/>
            <w:hideMark/>
          </w:tcPr>
          <w:p w14:paraId="615EEC87" w14:textId="77777777" w:rsidR="00A11D2E" w:rsidRPr="00031059" w:rsidRDefault="00A11D2E">
            <w:pPr>
              <w:widowControl/>
              <w:jc w:val="center"/>
              <w:rPr>
                <w:rFonts w:cstheme="minorHAnsi"/>
                <w:b/>
                <w:bCs/>
                <w:snapToGrid/>
                <w:sz w:val="22"/>
                <w:szCs w:val="22"/>
              </w:rPr>
            </w:pPr>
            <w:r w:rsidRPr="00031059">
              <w:rPr>
                <w:rFonts w:cstheme="minorHAnsi"/>
                <w:b/>
                <w:bCs/>
                <w:snapToGrid/>
                <w:sz w:val="22"/>
                <w:szCs w:val="22"/>
              </w:rPr>
              <w:t>Degrading Trend (stations)</w:t>
            </w:r>
          </w:p>
        </w:tc>
        <w:tc>
          <w:tcPr>
            <w:tcW w:w="591" w:type="pct"/>
            <w:tcBorders>
              <w:top w:val="single" w:sz="12" w:space="0" w:color="auto"/>
              <w:left w:val="nil"/>
              <w:bottom w:val="single" w:sz="8" w:space="0" w:color="auto"/>
              <w:right w:val="nil"/>
            </w:tcBorders>
            <w:shd w:val="clear" w:color="auto" w:fill="auto"/>
            <w:vAlign w:val="center"/>
            <w:hideMark/>
          </w:tcPr>
          <w:p w14:paraId="11A4D502" w14:textId="77777777" w:rsidR="00A11D2E" w:rsidRPr="00031059" w:rsidRDefault="00A11D2E">
            <w:pPr>
              <w:widowControl/>
              <w:jc w:val="center"/>
              <w:rPr>
                <w:rFonts w:cstheme="minorHAnsi"/>
                <w:b/>
                <w:bCs/>
                <w:snapToGrid/>
                <w:sz w:val="22"/>
                <w:szCs w:val="22"/>
              </w:rPr>
            </w:pPr>
            <w:r w:rsidRPr="00031059">
              <w:rPr>
                <w:rFonts w:cstheme="minorHAnsi"/>
                <w:b/>
                <w:bCs/>
                <w:snapToGrid/>
                <w:sz w:val="22"/>
                <w:szCs w:val="22"/>
              </w:rPr>
              <w:t>No Trend (stations)</w:t>
            </w:r>
          </w:p>
        </w:tc>
        <w:tc>
          <w:tcPr>
            <w:tcW w:w="614" w:type="pct"/>
            <w:tcBorders>
              <w:top w:val="single" w:sz="12" w:space="0" w:color="auto"/>
              <w:left w:val="nil"/>
              <w:bottom w:val="single" w:sz="8" w:space="0" w:color="auto"/>
              <w:right w:val="nil"/>
            </w:tcBorders>
            <w:shd w:val="clear" w:color="auto" w:fill="auto"/>
            <w:vAlign w:val="center"/>
            <w:hideMark/>
          </w:tcPr>
          <w:p w14:paraId="7B8C58A8" w14:textId="77777777" w:rsidR="00A11D2E" w:rsidRPr="00031059" w:rsidRDefault="00A11D2E">
            <w:pPr>
              <w:widowControl/>
              <w:jc w:val="center"/>
              <w:rPr>
                <w:rFonts w:cstheme="minorHAnsi"/>
                <w:b/>
                <w:bCs/>
                <w:snapToGrid/>
                <w:sz w:val="22"/>
                <w:szCs w:val="22"/>
              </w:rPr>
            </w:pPr>
            <w:r w:rsidRPr="00031059">
              <w:rPr>
                <w:rFonts w:cstheme="minorHAnsi"/>
                <w:b/>
                <w:bCs/>
                <w:snapToGrid/>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5232284E" w14:textId="77777777" w:rsidR="00A11D2E" w:rsidRPr="00031059" w:rsidRDefault="00A11D2E">
            <w:pPr>
              <w:widowControl/>
              <w:jc w:val="center"/>
              <w:rPr>
                <w:rFonts w:cstheme="minorHAnsi"/>
                <w:b/>
                <w:bCs/>
                <w:snapToGrid/>
                <w:sz w:val="22"/>
                <w:szCs w:val="22"/>
              </w:rPr>
            </w:pPr>
            <w:r w:rsidRPr="00031059">
              <w:rPr>
                <w:rFonts w:cstheme="minorHAnsi"/>
                <w:b/>
                <w:bCs/>
                <w:snapToGrid/>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69411B2A" w14:textId="77777777" w:rsidR="00A11D2E" w:rsidRPr="00031059" w:rsidRDefault="00A11D2E">
            <w:pPr>
              <w:widowControl/>
              <w:jc w:val="center"/>
              <w:rPr>
                <w:rFonts w:cstheme="minorHAnsi"/>
                <w:b/>
                <w:bCs/>
                <w:snapToGrid/>
                <w:sz w:val="22"/>
                <w:szCs w:val="22"/>
              </w:rPr>
            </w:pPr>
            <w:r w:rsidRPr="00031059">
              <w:rPr>
                <w:rFonts w:cstheme="minorHAnsi"/>
                <w:b/>
                <w:bCs/>
                <w:snapToGrid/>
                <w:sz w:val="22"/>
                <w:szCs w:val="22"/>
              </w:rPr>
              <w:t>No Trend (%)</w:t>
            </w:r>
          </w:p>
        </w:tc>
      </w:tr>
      <w:tr w:rsidR="00A11D2E" w:rsidRPr="00AD3B35" w14:paraId="42E1842F" w14:textId="77777777" w:rsidTr="00544437">
        <w:trPr>
          <w:trHeight w:val="360"/>
        </w:trPr>
        <w:tc>
          <w:tcPr>
            <w:tcW w:w="822" w:type="pct"/>
            <w:tcBorders>
              <w:top w:val="nil"/>
              <w:left w:val="nil"/>
              <w:bottom w:val="nil"/>
              <w:right w:val="nil"/>
            </w:tcBorders>
            <w:shd w:val="clear" w:color="auto" w:fill="auto"/>
            <w:noWrap/>
            <w:vAlign w:val="center"/>
            <w:hideMark/>
          </w:tcPr>
          <w:p w14:paraId="25EBAE16" w14:textId="6CFD1BE4" w:rsidR="00A11D2E" w:rsidRPr="00031059" w:rsidRDefault="00A11D2E">
            <w:pPr>
              <w:widowControl/>
              <w:jc w:val="center"/>
              <w:rPr>
                <w:rFonts w:cstheme="minorHAnsi"/>
                <w:bCs/>
                <w:snapToGrid/>
                <w:sz w:val="22"/>
                <w:szCs w:val="22"/>
              </w:rPr>
            </w:pPr>
            <w:r w:rsidRPr="00031059">
              <w:rPr>
                <w:rFonts w:cstheme="minorHAnsi"/>
                <w:snapToGrid/>
                <w:sz w:val="22"/>
                <w:szCs w:val="22"/>
              </w:rPr>
              <w:t>Chesapeake</w:t>
            </w:r>
          </w:p>
        </w:tc>
        <w:tc>
          <w:tcPr>
            <w:tcW w:w="513" w:type="pct"/>
            <w:tcBorders>
              <w:top w:val="nil"/>
              <w:left w:val="nil"/>
              <w:bottom w:val="nil"/>
              <w:right w:val="nil"/>
            </w:tcBorders>
            <w:shd w:val="clear" w:color="auto" w:fill="auto"/>
            <w:noWrap/>
            <w:vAlign w:val="center"/>
            <w:hideMark/>
          </w:tcPr>
          <w:p w14:paraId="5D8256D0"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29</w:t>
            </w:r>
          </w:p>
        </w:tc>
        <w:tc>
          <w:tcPr>
            <w:tcW w:w="635" w:type="pct"/>
            <w:tcBorders>
              <w:top w:val="nil"/>
              <w:left w:val="nil"/>
              <w:bottom w:val="nil"/>
              <w:right w:val="nil"/>
            </w:tcBorders>
            <w:shd w:val="clear" w:color="auto" w:fill="auto"/>
            <w:noWrap/>
            <w:vAlign w:val="center"/>
            <w:hideMark/>
          </w:tcPr>
          <w:p w14:paraId="6C494BB7"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10</w:t>
            </w:r>
          </w:p>
        </w:tc>
        <w:tc>
          <w:tcPr>
            <w:tcW w:w="809" w:type="pct"/>
            <w:tcBorders>
              <w:top w:val="nil"/>
              <w:left w:val="nil"/>
              <w:bottom w:val="nil"/>
              <w:right w:val="nil"/>
            </w:tcBorders>
            <w:shd w:val="clear" w:color="auto" w:fill="auto"/>
            <w:noWrap/>
            <w:vAlign w:val="center"/>
            <w:hideMark/>
          </w:tcPr>
          <w:p w14:paraId="52EAA9BC"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591" w:type="pct"/>
            <w:tcBorders>
              <w:top w:val="nil"/>
              <w:left w:val="nil"/>
              <w:bottom w:val="nil"/>
              <w:right w:val="nil"/>
            </w:tcBorders>
            <w:shd w:val="clear" w:color="auto" w:fill="auto"/>
            <w:noWrap/>
            <w:vAlign w:val="center"/>
            <w:hideMark/>
          </w:tcPr>
          <w:p w14:paraId="0F7E6DB0"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19</w:t>
            </w:r>
          </w:p>
        </w:tc>
        <w:tc>
          <w:tcPr>
            <w:tcW w:w="614" w:type="pct"/>
            <w:tcBorders>
              <w:top w:val="nil"/>
              <w:left w:val="nil"/>
              <w:bottom w:val="nil"/>
              <w:right w:val="nil"/>
            </w:tcBorders>
            <w:shd w:val="clear" w:color="auto" w:fill="auto"/>
            <w:noWrap/>
            <w:vAlign w:val="center"/>
            <w:hideMark/>
          </w:tcPr>
          <w:p w14:paraId="0042AAF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34</w:t>
            </w:r>
          </w:p>
        </w:tc>
        <w:tc>
          <w:tcPr>
            <w:tcW w:w="615" w:type="pct"/>
            <w:tcBorders>
              <w:top w:val="nil"/>
              <w:left w:val="nil"/>
              <w:bottom w:val="nil"/>
              <w:right w:val="nil"/>
            </w:tcBorders>
            <w:shd w:val="clear" w:color="auto" w:fill="auto"/>
            <w:noWrap/>
            <w:vAlign w:val="center"/>
            <w:hideMark/>
          </w:tcPr>
          <w:p w14:paraId="18A692A4"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4954522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66</w:t>
            </w:r>
          </w:p>
        </w:tc>
      </w:tr>
      <w:tr w:rsidR="00A11D2E" w:rsidRPr="00AD3B35" w14:paraId="2974AC6F" w14:textId="77777777" w:rsidTr="00544437">
        <w:trPr>
          <w:trHeight w:val="360"/>
        </w:trPr>
        <w:tc>
          <w:tcPr>
            <w:tcW w:w="822" w:type="pct"/>
            <w:tcBorders>
              <w:top w:val="nil"/>
              <w:left w:val="nil"/>
              <w:bottom w:val="nil"/>
              <w:right w:val="nil"/>
            </w:tcBorders>
            <w:shd w:val="clear" w:color="auto" w:fill="auto"/>
            <w:noWrap/>
            <w:vAlign w:val="center"/>
            <w:hideMark/>
          </w:tcPr>
          <w:p w14:paraId="6098EA72"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Chowan</w:t>
            </w:r>
          </w:p>
        </w:tc>
        <w:tc>
          <w:tcPr>
            <w:tcW w:w="513" w:type="pct"/>
            <w:tcBorders>
              <w:top w:val="nil"/>
              <w:left w:val="nil"/>
              <w:bottom w:val="nil"/>
              <w:right w:val="nil"/>
            </w:tcBorders>
            <w:shd w:val="clear" w:color="auto" w:fill="auto"/>
            <w:noWrap/>
            <w:vAlign w:val="center"/>
            <w:hideMark/>
          </w:tcPr>
          <w:p w14:paraId="6566FC6A"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7</w:t>
            </w:r>
          </w:p>
        </w:tc>
        <w:tc>
          <w:tcPr>
            <w:tcW w:w="635" w:type="pct"/>
            <w:tcBorders>
              <w:top w:val="nil"/>
              <w:left w:val="nil"/>
              <w:bottom w:val="nil"/>
              <w:right w:val="nil"/>
            </w:tcBorders>
            <w:shd w:val="clear" w:color="auto" w:fill="auto"/>
            <w:noWrap/>
            <w:vAlign w:val="center"/>
            <w:hideMark/>
          </w:tcPr>
          <w:p w14:paraId="3AEE6904"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809" w:type="pct"/>
            <w:tcBorders>
              <w:top w:val="nil"/>
              <w:left w:val="nil"/>
              <w:bottom w:val="nil"/>
              <w:right w:val="nil"/>
            </w:tcBorders>
            <w:shd w:val="clear" w:color="auto" w:fill="auto"/>
            <w:noWrap/>
            <w:vAlign w:val="center"/>
            <w:hideMark/>
          </w:tcPr>
          <w:p w14:paraId="673F979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w:t>
            </w:r>
          </w:p>
        </w:tc>
        <w:tc>
          <w:tcPr>
            <w:tcW w:w="591" w:type="pct"/>
            <w:tcBorders>
              <w:top w:val="nil"/>
              <w:left w:val="nil"/>
              <w:bottom w:val="nil"/>
              <w:right w:val="nil"/>
            </w:tcBorders>
            <w:shd w:val="clear" w:color="auto" w:fill="auto"/>
            <w:noWrap/>
            <w:vAlign w:val="center"/>
            <w:hideMark/>
          </w:tcPr>
          <w:p w14:paraId="0DA86816"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5</w:t>
            </w:r>
          </w:p>
        </w:tc>
        <w:tc>
          <w:tcPr>
            <w:tcW w:w="614" w:type="pct"/>
            <w:tcBorders>
              <w:top w:val="nil"/>
              <w:left w:val="nil"/>
              <w:bottom w:val="nil"/>
              <w:right w:val="nil"/>
            </w:tcBorders>
            <w:shd w:val="clear" w:color="auto" w:fill="auto"/>
            <w:noWrap/>
            <w:vAlign w:val="center"/>
            <w:hideMark/>
          </w:tcPr>
          <w:p w14:paraId="10ADC5BF"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7587FB3D"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29</w:t>
            </w:r>
          </w:p>
        </w:tc>
        <w:tc>
          <w:tcPr>
            <w:tcW w:w="401" w:type="pct"/>
            <w:tcBorders>
              <w:top w:val="nil"/>
              <w:left w:val="nil"/>
              <w:bottom w:val="nil"/>
              <w:right w:val="nil"/>
            </w:tcBorders>
            <w:shd w:val="clear" w:color="auto" w:fill="auto"/>
            <w:noWrap/>
            <w:vAlign w:val="center"/>
            <w:hideMark/>
          </w:tcPr>
          <w:p w14:paraId="7CBE3E9B"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71</w:t>
            </w:r>
          </w:p>
        </w:tc>
      </w:tr>
      <w:tr w:rsidR="00A11D2E" w:rsidRPr="00AD3B35" w14:paraId="15BE5349" w14:textId="77777777" w:rsidTr="00544437">
        <w:trPr>
          <w:trHeight w:val="360"/>
        </w:trPr>
        <w:tc>
          <w:tcPr>
            <w:tcW w:w="822" w:type="pct"/>
            <w:tcBorders>
              <w:top w:val="nil"/>
              <w:left w:val="nil"/>
              <w:bottom w:val="nil"/>
              <w:right w:val="nil"/>
            </w:tcBorders>
            <w:shd w:val="clear" w:color="auto" w:fill="auto"/>
            <w:noWrap/>
            <w:vAlign w:val="center"/>
            <w:hideMark/>
          </w:tcPr>
          <w:p w14:paraId="7C07D5FE" w14:textId="4523DF6E" w:rsidR="00A11D2E" w:rsidRPr="00031059" w:rsidRDefault="00A11D2E">
            <w:pPr>
              <w:widowControl/>
              <w:jc w:val="center"/>
              <w:rPr>
                <w:rFonts w:cstheme="minorHAnsi"/>
                <w:bCs/>
                <w:snapToGrid/>
                <w:sz w:val="22"/>
                <w:szCs w:val="22"/>
              </w:rPr>
            </w:pPr>
            <w:r w:rsidRPr="00031059">
              <w:rPr>
                <w:rFonts w:cstheme="minorHAnsi"/>
                <w:snapToGrid/>
                <w:sz w:val="22"/>
                <w:szCs w:val="22"/>
              </w:rPr>
              <w:t>James</w:t>
            </w:r>
          </w:p>
        </w:tc>
        <w:tc>
          <w:tcPr>
            <w:tcW w:w="513" w:type="pct"/>
            <w:tcBorders>
              <w:top w:val="nil"/>
              <w:left w:val="nil"/>
              <w:bottom w:val="nil"/>
              <w:right w:val="nil"/>
            </w:tcBorders>
            <w:shd w:val="clear" w:color="auto" w:fill="auto"/>
            <w:noWrap/>
            <w:vAlign w:val="center"/>
            <w:hideMark/>
          </w:tcPr>
          <w:p w14:paraId="53A96FE7"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50</w:t>
            </w:r>
          </w:p>
        </w:tc>
        <w:tc>
          <w:tcPr>
            <w:tcW w:w="635" w:type="pct"/>
            <w:tcBorders>
              <w:top w:val="nil"/>
              <w:left w:val="nil"/>
              <w:bottom w:val="nil"/>
              <w:right w:val="nil"/>
            </w:tcBorders>
            <w:shd w:val="clear" w:color="auto" w:fill="auto"/>
            <w:noWrap/>
            <w:vAlign w:val="center"/>
            <w:hideMark/>
          </w:tcPr>
          <w:p w14:paraId="2636C9DC"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15</w:t>
            </w:r>
          </w:p>
        </w:tc>
        <w:tc>
          <w:tcPr>
            <w:tcW w:w="809" w:type="pct"/>
            <w:tcBorders>
              <w:top w:val="nil"/>
              <w:left w:val="nil"/>
              <w:bottom w:val="nil"/>
              <w:right w:val="nil"/>
            </w:tcBorders>
            <w:shd w:val="clear" w:color="auto" w:fill="auto"/>
            <w:noWrap/>
            <w:vAlign w:val="center"/>
            <w:hideMark/>
          </w:tcPr>
          <w:p w14:paraId="1EEAC7B4"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7</w:t>
            </w:r>
          </w:p>
        </w:tc>
        <w:tc>
          <w:tcPr>
            <w:tcW w:w="591" w:type="pct"/>
            <w:tcBorders>
              <w:top w:val="nil"/>
              <w:left w:val="nil"/>
              <w:bottom w:val="nil"/>
              <w:right w:val="nil"/>
            </w:tcBorders>
            <w:shd w:val="clear" w:color="auto" w:fill="auto"/>
            <w:noWrap/>
            <w:vAlign w:val="center"/>
            <w:hideMark/>
          </w:tcPr>
          <w:p w14:paraId="2FFC0282"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28</w:t>
            </w:r>
          </w:p>
        </w:tc>
        <w:tc>
          <w:tcPr>
            <w:tcW w:w="614" w:type="pct"/>
            <w:tcBorders>
              <w:top w:val="nil"/>
              <w:left w:val="nil"/>
              <w:bottom w:val="nil"/>
              <w:right w:val="nil"/>
            </w:tcBorders>
            <w:shd w:val="clear" w:color="auto" w:fill="auto"/>
            <w:noWrap/>
            <w:vAlign w:val="center"/>
            <w:hideMark/>
          </w:tcPr>
          <w:p w14:paraId="71F8FEF4"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30</w:t>
            </w:r>
          </w:p>
        </w:tc>
        <w:tc>
          <w:tcPr>
            <w:tcW w:w="615" w:type="pct"/>
            <w:tcBorders>
              <w:top w:val="nil"/>
              <w:left w:val="nil"/>
              <w:bottom w:val="nil"/>
              <w:right w:val="nil"/>
            </w:tcBorders>
            <w:shd w:val="clear" w:color="auto" w:fill="auto"/>
            <w:noWrap/>
            <w:vAlign w:val="center"/>
            <w:hideMark/>
          </w:tcPr>
          <w:p w14:paraId="7859CCA6"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14</w:t>
            </w:r>
          </w:p>
        </w:tc>
        <w:tc>
          <w:tcPr>
            <w:tcW w:w="401" w:type="pct"/>
            <w:tcBorders>
              <w:top w:val="nil"/>
              <w:left w:val="nil"/>
              <w:bottom w:val="nil"/>
              <w:right w:val="nil"/>
            </w:tcBorders>
            <w:shd w:val="clear" w:color="auto" w:fill="auto"/>
            <w:noWrap/>
            <w:vAlign w:val="center"/>
            <w:hideMark/>
          </w:tcPr>
          <w:p w14:paraId="280CFFC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56</w:t>
            </w:r>
          </w:p>
        </w:tc>
      </w:tr>
      <w:tr w:rsidR="00A11D2E" w:rsidRPr="00AD3B35" w14:paraId="59855AE7" w14:textId="77777777" w:rsidTr="00544437">
        <w:trPr>
          <w:trHeight w:val="360"/>
        </w:trPr>
        <w:tc>
          <w:tcPr>
            <w:tcW w:w="822" w:type="pct"/>
            <w:tcBorders>
              <w:top w:val="nil"/>
              <w:left w:val="nil"/>
              <w:bottom w:val="nil"/>
              <w:right w:val="nil"/>
            </w:tcBorders>
            <w:shd w:val="clear" w:color="auto" w:fill="auto"/>
            <w:noWrap/>
            <w:vAlign w:val="center"/>
            <w:hideMark/>
          </w:tcPr>
          <w:p w14:paraId="418DDC01"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New</w:t>
            </w:r>
          </w:p>
        </w:tc>
        <w:tc>
          <w:tcPr>
            <w:tcW w:w="513" w:type="pct"/>
            <w:tcBorders>
              <w:top w:val="nil"/>
              <w:left w:val="nil"/>
              <w:bottom w:val="nil"/>
              <w:right w:val="nil"/>
            </w:tcBorders>
            <w:shd w:val="clear" w:color="auto" w:fill="auto"/>
            <w:noWrap/>
            <w:vAlign w:val="center"/>
            <w:hideMark/>
          </w:tcPr>
          <w:p w14:paraId="7A3DECF3"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6</w:t>
            </w:r>
          </w:p>
        </w:tc>
        <w:tc>
          <w:tcPr>
            <w:tcW w:w="635" w:type="pct"/>
            <w:tcBorders>
              <w:top w:val="nil"/>
              <w:left w:val="nil"/>
              <w:bottom w:val="nil"/>
              <w:right w:val="nil"/>
            </w:tcBorders>
            <w:shd w:val="clear" w:color="auto" w:fill="auto"/>
            <w:noWrap/>
            <w:vAlign w:val="center"/>
            <w:hideMark/>
          </w:tcPr>
          <w:p w14:paraId="34B8174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4</w:t>
            </w:r>
          </w:p>
        </w:tc>
        <w:tc>
          <w:tcPr>
            <w:tcW w:w="809" w:type="pct"/>
            <w:tcBorders>
              <w:top w:val="nil"/>
              <w:left w:val="nil"/>
              <w:bottom w:val="nil"/>
              <w:right w:val="nil"/>
            </w:tcBorders>
            <w:shd w:val="clear" w:color="auto" w:fill="auto"/>
            <w:noWrap/>
            <w:vAlign w:val="center"/>
            <w:hideMark/>
          </w:tcPr>
          <w:p w14:paraId="1561889D"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591" w:type="pct"/>
            <w:tcBorders>
              <w:top w:val="nil"/>
              <w:left w:val="nil"/>
              <w:bottom w:val="nil"/>
              <w:right w:val="nil"/>
            </w:tcBorders>
            <w:shd w:val="clear" w:color="auto" w:fill="auto"/>
            <w:noWrap/>
            <w:vAlign w:val="center"/>
            <w:hideMark/>
          </w:tcPr>
          <w:p w14:paraId="59C29AA4"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w:t>
            </w:r>
          </w:p>
        </w:tc>
        <w:tc>
          <w:tcPr>
            <w:tcW w:w="614" w:type="pct"/>
            <w:tcBorders>
              <w:top w:val="nil"/>
              <w:left w:val="nil"/>
              <w:bottom w:val="nil"/>
              <w:right w:val="nil"/>
            </w:tcBorders>
            <w:shd w:val="clear" w:color="auto" w:fill="auto"/>
            <w:noWrap/>
            <w:vAlign w:val="center"/>
            <w:hideMark/>
          </w:tcPr>
          <w:p w14:paraId="19B37AD8"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67</w:t>
            </w:r>
          </w:p>
        </w:tc>
        <w:tc>
          <w:tcPr>
            <w:tcW w:w="615" w:type="pct"/>
            <w:tcBorders>
              <w:top w:val="nil"/>
              <w:left w:val="nil"/>
              <w:bottom w:val="nil"/>
              <w:right w:val="nil"/>
            </w:tcBorders>
            <w:shd w:val="clear" w:color="auto" w:fill="auto"/>
            <w:noWrap/>
            <w:vAlign w:val="center"/>
            <w:hideMark/>
          </w:tcPr>
          <w:p w14:paraId="157C6E36"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619CDAD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33</w:t>
            </w:r>
          </w:p>
        </w:tc>
      </w:tr>
      <w:tr w:rsidR="00A11D2E" w:rsidRPr="00AD3B35" w14:paraId="2FC42FFF" w14:textId="77777777" w:rsidTr="00544437">
        <w:trPr>
          <w:trHeight w:val="360"/>
        </w:trPr>
        <w:tc>
          <w:tcPr>
            <w:tcW w:w="822" w:type="pct"/>
            <w:tcBorders>
              <w:top w:val="nil"/>
              <w:left w:val="nil"/>
              <w:bottom w:val="nil"/>
              <w:right w:val="nil"/>
            </w:tcBorders>
            <w:shd w:val="clear" w:color="auto" w:fill="auto"/>
            <w:noWrap/>
            <w:vAlign w:val="center"/>
            <w:hideMark/>
          </w:tcPr>
          <w:p w14:paraId="6BFD2B1A" w14:textId="0C3F647E" w:rsidR="00A11D2E" w:rsidRPr="00031059" w:rsidRDefault="00A11D2E">
            <w:pPr>
              <w:widowControl/>
              <w:jc w:val="center"/>
              <w:rPr>
                <w:rFonts w:cstheme="minorHAnsi"/>
                <w:bCs/>
                <w:snapToGrid/>
                <w:sz w:val="22"/>
                <w:szCs w:val="22"/>
              </w:rPr>
            </w:pPr>
            <w:r w:rsidRPr="00031059">
              <w:rPr>
                <w:rFonts w:cstheme="minorHAnsi"/>
                <w:snapToGrid/>
                <w:sz w:val="22"/>
                <w:szCs w:val="22"/>
              </w:rPr>
              <w:t>Potomac</w:t>
            </w:r>
          </w:p>
        </w:tc>
        <w:tc>
          <w:tcPr>
            <w:tcW w:w="513" w:type="pct"/>
            <w:tcBorders>
              <w:top w:val="nil"/>
              <w:left w:val="nil"/>
              <w:bottom w:val="nil"/>
              <w:right w:val="nil"/>
            </w:tcBorders>
            <w:shd w:val="clear" w:color="auto" w:fill="auto"/>
            <w:noWrap/>
            <w:vAlign w:val="center"/>
            <w:hideMark/>
          </w:tcPr>
          <w:p w14:paraId="6A6B86D1"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20</w:t>
            </w:r>
          </w:p>
        </w:tc>
        <w:tc>
          <w:tcPr>
            <w:tcW w:w="635" w:type="pct"/>
            <w:tcBorders>
              <w:top w:val="nil"/>
              <w:left w:val="nil"/>
              <w:bottom w:val="nil"/>
              <w:right w:val="nil"/>
            </w:tcBorders>
            <w:shd w:val="clear" w:color="auto" w:fill="auto"/>
            <w:noWrap/>
            <w:vAlign w:val="center"/>
            <w:hideMark/>
          </w:tcPr>
          <w:p w14:paraId="3A20023A"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4</w:t>
            </w:r>
          </w:p>
        </w:tc>
        <w:tc>
          <w:tcPr>
            <w:tcW w:w="809" w:type="pct"/>
            <w:tcBorders>
              <w:top w:val="nil"/>
              <w:left w:val="nil"/>
              <w:bottom w:val="nil"/>
              <w:right w:val="nil"/>
            </w:tcBorders>
            <w:shd w:val="clear" w:color="auto" w:fill="auto"/>
            <w:noWrap/>
            <w:vAlign w:val="center"/>
            <w:hideMark/>
          </w:tcPr>
          <w:p w14:paraId="79024009"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4</w:t>
            </w:r>
          </w:p>
        </w:tc>
        <w:tc>
          <w:tcPr>
            <w:tcW w:w="591" w:type="pct"/>
            <w:tcBorders>
              <w:top w:val="nil"/>
              <w:left w:val="nil"/>
              <w:bottom w:val="nil"/>
              <w:right w:val="nil"/>
            </w:tcBorders>
            <w:shd w:val="clear" w:color="auto" w:fill="auto"/>
            <w:noWrap/>
            <w:vAlign w:val="center"/>
            <w:hideMark/>
          </w:tcPr>
          <w:p w14:paraId="665F98B8"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12</w:t>
            </w:r>
          </w:p>
        </w:tc>
        <w:tc>
          <w:tcPr>
            <w:tcW w:w="614" w:type="pct"/>
            <w:tcBorders>
              <w:top w:val="nil"/>
              <w:left w:val="nil"/>
              <w:bottom w:val="nil"/>
              <w:right w:val="nil"/>
            </w:tcBorders>
            <w:shd w:val="clear" w:color="auto" w:fill="auto"/>
            <w:noWrap/>
            <w:vAlign w:val="center"/>
            <w:hideMark/>
          </w:tcPr>
          <w:p w14:paraId="7C72C9F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20</w:t>
            </w:r>
          </w:p>
        </w:tc>
        <w:tc>
          <w:tcPr>
            <w:tcW w:w="615" w:type="pct"/>
            <w:tcBorders>
              <w:top w:val="nil"/>
              <w:left w:val="nil"/>
              <w:bottom w:val="nil"/>
              <w:right w:val="nil"/>
            </w:tcBorders>
            <w:shd w:val="clear" w:color="auto" w:fill="auto"/>
            <w:noWrap/>
            <w:vAlign w:val="center"/>
            <w:hideMark/>
          </w:tcPr>
          <w:p w14:paraId="5ABC1ED7"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20</w:t>
            </w:r>
          </w:p>
        </w:tc>
        <w:tc>
          <w:tcPr>
            <w:tcW w:w="401" w:type="pct"/>
            <w:tcBorders>
              <w:top w:val="nil"/>
              <w:left w:val="nil"/>
              <w:bottom w:val="nil"/>
              <w:right w:val="nil"/>
            </w:tcBorders>
            <w:shd w:val="clear" w:color="auto" w:fill="auto"/>
            <w:noWrap/>
            <w:vAlign w:val="center"/>
            <w:hideMark/>
          </w:tcPr>
          <w:p w14:paraId="7DF80AD3"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60</w:t>
            </w:r>
          </w:p>
        </w:tc>
      </w:tr>
      <w:tr w:rsidR="00A11D2E" w:rsidRPr="00AD3B35" w14:paraId="2D0E5F25" w14:textId="77777777" w:rsidTr="00544437">
        <w:trPr>
          <w:trHeight w:val="360"/>
        </w:trPr>
        <w:tc>
          <w:tcPr>
            <w:tcW w:w="822" w:type="pct"/>
            <w:tcBorders>
              <w:top w:val="nil"/>
              <w:left w:val="nil"/>
              <w:bottom w:val="nil"/>
              <w:right w:val="nil"/>
            </w:tcBorders>
            <w:shd w:val="clear" w:color="auto" w:fill="auto"/>
            <w:noWrap/>
            <w:vAlign w:val="center"/>
            <w:hideMark/>
          </w:tcPr>
          <w:p w14:paraId="1472207B" w14:textId="76FEEDF7" w:rsidR="00A11D2E" w:rsidRPr="00031059" w:rsidRDefault="00A11D2E">
            <w:pPr>
              <w:widowControl/>
              <w:jc w:val="center"/>
              <w:rPr>
                <w:rFonts w:cstheme="minorHAnsi"/>
                <w:bCs/>
                <w:snapToGrid/>
                <w:sz w:val="22"/>
                <w:szCs w:val="22"/>
              </w:rPr>
            </w:pPr>
            <w:r w:rsidRPr="00031059">
              <w:rPr>
                <w:rFonts w:cstheme="minorHAnsi"/>
                <w:snapToGrid/>
                <w:sz w:val="22"/>
                <w:szCs w:val="22"/>
              </w:rPr>
              <w:t>Rappahannock</w:t>
            </w:r>
          </w:p>
        </w:tc>
        <w:tc>
          <w:tcPr>
            <w:tcW w:w="513" w:type="pct"/>
            <w:tcBorders>
              <w:top w:val="nil"/>
              <w:left w:val="nil"/>
              <w:bottom w:val="nil"/>
              <w:right w:val="nil"/>
            </w:tcBorders>
            <w:shd w:val="clear" w:color="auto" w:fill="auto"/>
            <w:noWrap/>
            <w:vAlign w:val="center"/>
            <w:hideMark/>
          </w:tcPr>
          <w:p w14:paraId="7954D629"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17</w:t>
            </w:r>
          </w:p>
        </w:tc>
        <w:tc>
          <w:tcPr>
            <w:tcW w:w="635" w:type="pct"/>
            <w:tcBorders>
              <w:top w:val="nil"/>
              <w:left w:val="nil"/>
              <w:bottom w:val="nil"/>
              <w:right w:val="nil"/>
            </w:tcBorders>
            <w:shd w:val="clear" w:color="auto" w:fill="auto"/>
            <w:noWrap/>
            <w:vAlign w:val="center"/>
            <w:hideMark/>
          </w:tcPr>
          <w:p w14:paraId="46A8EE09"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w:t>
            </w:r>
          </w:p>
        </w:tc>
        <w:tc>
          <w:tcPr>
            <w:tcW w:w="809" w:type="pct"/>
            <w:tcBorders>
              <w:top w:val="nil"/>
              <w:left w:val="nil"/>
              <w:bottom w:val="nil"/>
              <w:right w:val="nil"/>
            </w:tcBorders>
            <w:shd w:val="clear" w:color="auto" w:fill="auto"/>
            <w:noWrap/>
            <w:vAlign w:val="center"/>
            <w:hideMark/>
          </w:tcPr>
          <w:p w14:paraId="59C0B4F2"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3</w:t>
            </w:r>
          </w:p>
        </w:tc>
        <w:tc>
          <w:tcPr>
            <w:tcW w:w="591" w:type="pct"/>
            <w:tcBorders>
              <w:top w:val="nil"/>
              <w:left w:val="nil"/>
              <w:bottom w:val="nil"/>
              <w:right w:val="nil"/>
            </w:tcBorders>
            <w:shd w:val="clear" w:color="auto" w:fill="auto"/>
            <w:noWrap/>
            <w:vAlign w:val="center"/>
            <w:hideMark/>
          </w:tcPr>
          <w:p w14:paraId="50EA9469"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13</w:t>
            </w:r>
          </w:p>
        </w:tc>
        <w:tc>
          <w:tcPr>
            <w:tcW w:w="614" w:type="pct"/>
            <w:tcBorders>
              <w:top w:val="nil"/>
              <w:left w:val="nil"/>
              <w:bottom w:val="nil"/>
              <w:right w:val="nil"/>
            </w:tcBorders>
            <w:shd w:val="clear" w:color="auto" w:fill="auto"/>
            <w:noWrap/>
            <w:vAlign w:val="center"/>
            <w:hideMark/>
          </w:tcPr>
          <w:p w14:paraId="524C5A9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6</w:t>
            </w:r>
          </w:p>
        </w:tc>
        <w:tc>
          <w:tcPr>
            <w:tcW w:w="615" w:type="pct"/>
            <w:tcBorders>
              <w:top w:val="nil"/>
              <w:left w:val="nil"/>
              <w:bottom w:val="nil"/>
              <w:right w:val="nil"/>
            </w:tcBorders>
            <w:shd w:val="clear" w:color="auto" w:fill="auto"/>
            <w:noWrap/>
            <w:vAlign w:val="center"/>
            <w:hideMark/>
          </w:tcPr>
          <w:p w14:paraId="563BE92F"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18</w:t>
            </w:r>
          </w:p>
        </w:tc>
        <w:tc>
          <w:tcPr>
            <w:tcW w:w="401" w:type="pct"/>
            <w:tcBorders>
              <w:top w:val="nil"/>
              <w:left w:val="nil"/>
              <w:bottom w:val="nil"/>
              <w:right w:val="nil"/>
            </w:tcBorders>
            <w:shd w:val="clear" w:color="auto" w:fill="auto"/>
            <w:noWrap/>
            <w:vAlign w:val="center"/>
            <w:hideMark/>
          </w:tcPr>
          <w:p w14:paraId="536D8EDC"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76</w:t>
            </w:r>
          </w:p>
        </w:tc>
      </w:tr>
      <w:tr w:rsidR="00A11D2E" w:rsidRPr="00AD3B35" w14:paraId="52A6EC38" w14:textId="77777777" w:rsidTr="00544437">
        <w:trPr>
          <w:trHeight w:val="360"/>
        </w:trPr>
        <w:tc>
          <w:tcPr>
            <w:tcW w:w="822" w:type="pct"/>
            <w:tcBorders>
              <w:top w:val="nil"/>
              <w:left w:val="nil"/>
              <w:right w:val="nil"/>
            </w:tcBorders>
            <w:shd w:val="clear" w:color="auto" w:fill="auto"/>
            <w:noWrap/>
            <w:vAlign w:val="center"/>
            <w:hideMark/>
          </w:tcPr>
          <w:p w14:paraId="1B64E463"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Roanoke</w:t>
            </w:r>
          </w:p>
        </w:tc>
        <w:tc>
          <w:tcPr>
            <w:tcW w:w="513" w:type="pct"/>
            <w:tcBorders>
              <w:top w:val="nil"/>
              <w:left w:val="nil"/>
              <w:right w:val="nil"/>
            </w:tcBorders>
            <w:shd w:val="clear" w:color="auto" w:fill="auto"/>
            <w:noWrap/>
            <w:vAlign w:val="center"/>
            <w:hideMark/>
          </w:tcPr>
          <w:p w14:paraId="089A6A8F"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12</w:t>
            </w:r>
          </w:p>
        </w:tc>
        <w:tc>
          <w:tcPr>
            <w:tcW w:w="635" w:type="pct"/>
            <w:tcBorders>
              <w:top w:val="nil"/>
              <w:left w:val="nil"/>
              <w:right w:val="nil"/>
            </w:tcBorders>
            <w:shd w:val="clear" w:color="auto" w:fill="auto"/>
            <w:noWrap/>
            <w:vAlign w:val="center"/>
            <w:hideMark/>
          </w:tcPr>
          <w:p w14:paraId="26F69318"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w:t>
            </w:r>
          </w:p>
        </w:tc>
        <w:tc>
          <w:tcPr>
            <w:tcW w:w="809" w:type="pct"/>
            <w:tcBorders>
              <w:top w:val="nil"/>
              <w:left w:val="nil"/>
              <w:right w:val="nil"/>
            </w:tcBorders>
            <w:shd w:val="clear" w:color="auto" w:fill="auto"/>
            <w:noWrap/>
            <w:vAlign w:val="center"/>
            <w:hideMark/>
          </w:tcPr>
          <w:p w14:paraId="5C75BA76"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w:t>
            </w:r>
          </w:p>
        </w:tc>
        <w:tc>
          <w:tcPr>
            <w:tcW w:w="591" w:type="pct"/>
            <w:tcBorders>
              <w:top w:val="nil"/>
              <w:left w:val="nil"/>
              <w:right w:val="nil"/>
            </w:tcBorders>
            <w:shd w:val="clear" w:color="auto" w:fill="auto"/>
            <w:noWrap/>
            <w:vAlign w:val="center"/>
            <w:hideMark/>
          </w:tcPr>
          <w:p w14:paraId="2B7F2A4B"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9</w:t>
            </w:r>
          </w:p>
        </w:tc>
        <w:tc>
          <w:tcPr>
            <w:tcW w:w="614" w:type="pct"/>
            <w:tcBorders>
              <w:top w:val="nil"/>
              <w:left w:val="nil"/>
              <w:right w:val="nil"/>
            </w:tcBorders>
            <w:shd w:val="clear" w:color="auto" w:fill="auto"/>
            <w:noWrap/>
            <w:vAlign w:val="center"/>
            <w:hideMark/>
          </w:tcPr>
          <w:p w14:paraId="48864887"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8</w:t>
            </w:r>
          </w:p>
        </w:tc>
        <w:tc>
          <w:tcPr>
            <w:tcW w:w="615" w:type="pct"/>
            <w:tcBorders>
              <w:top w:val="nil"/>
              <w:left w:val="nil"/>
              <w:right w:val="nil"/>
            </w:tcBorders>
            <w:shd w:val="clear" w:color="auto" w:fill="auto"/>
            <w:noWrap/>
            <w:vAlign w:val="center"/>
            <w:hideMark/>
          </w:tcPr>
          <w:p w14:paraId="62992F3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17</w:t>
            </w:r>
          </w:p>
        </w:tc>
        <w:tc>
          <w:tcPr>
            <w:tcW w:w="401" w:type="pct"/>
            <w:tcBorders>
              <w:top w:val="nil"/>
              <w:left w:val="nil"/>
              <w:right w:val="nil"/>
            </w:tcBorders>
            <w:shd w:val="clear" w:color="auto" w:fill="auto"/>
            <w:noWrap/>
            <w:vAlign w:val="center"/>
            <w:hideMark/>
          </w:tcPr>
          <w:p w14:paraId="29B65350"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75</w:t>
            </w:r>
          </w:p>
        </w:tc>
      </w:tr>
      <w:tr w:rsidR="00A11D2E" w:rsidRPr="00AD3B35" w14:paraId="6FC194AE" w14:textId="77777777" w:rsidTr="00544437">
        <w:trPr>
          <w:trHeight w:val="360"/>
        </w:trPr>
        <w:tc>
          <w:tcPr>
            <w:tcW w:w="822" w:type="pct"/>
            <w:tcBorders>
              <w:top w:val="nil"/>
              <w:left w:val="nil"/>
              <w:bottom w:val="single" w:sz="12" w:space="0" w:color="auto"/>
              <w:right w:val="nil"/>
            </w:tcBorders>
            <w:shd w:val="clear" w:color="auto" w:fill="auto"/>
            <w:noWrap/>
            <w:vAlign w:val="center"/>
            <w:hideMark/>
          </w:tcPr>
          <w:p w14:paraId="68C0F71C" w14:textId="2CFC25C7" w:rsidR="00A11D2E" w:rsidRPr="00031059" w:rsidRDefault="00A11D2E">
            <w:pPr>
              <w:widowControl/>
              <w:jc w:val="center"/>
              <w:rPr>
                <w:rFonts w:cstheme="minorHAnsi"/>
                <w:bCs/>
                <w:snapToGrid/>
                <w:sz w:val="22"/>
                <w:szCs w:val="22"/>
              </w:rPr>
            </w:pPr>
            <w:r w:rsidRPr="00031059">
              <w:rPr>
                <w:rFonts w:cstheme="minorHAnsi"/>
                <w:snapToGrid/>
                <w:sz w:val="22"/>
                <w:szCs w:val="22"/>
              </w:rPr>
              <w:t>York</w:t>
            </w:r>
          </w:p>
        </w:tc>
        <w:tc>
          <w:tcPr>
            <w:tcW w:w="513" w:type="pct"/>
            <w:tcBorders>
              <w:top w:val="nil"/>
              <w:left w:val="nil"/>
              <w:bottom w:val="single" w:sz="12" w:space="0" w:color="auto"/>
              <w:right w:val="nil"/>
            </w:tcBorders>
            <w:shd w:val="clear" w:color="auto" w:fill="auto"/>
            <w:noWrap/>
            <w:vAlign w:val="center"/>
            <w:hideMark/>
          </w:tcPr>
          <w:p w14:paraId="4DD4D40C"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25</w:t>
            </w:r>
          </w:p>
        </w:tc>
        <w:tc>
          <w:tcPr>
            <w:tcW w:w="635" w:type="pct"/>
            <w:tcBorders>
              <w:top w:val="nil"/>
              <w:left w:val="nil"/>
              <w:bottom w:val="single" w:sz="12" w:space="0" w:color="auto"/>
              <w:right w:val="nil"/>
            </w:tcBorders>
            <w:shd w:val="clear" w:color="auto" w:fill="auto"/>
            <w:noWrap/>
            <w:vAlign w:val="center"/>
            <w:hideMark/>
          </w:tcPr>
          <w:p w14:paraId="78D7B941"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w:t>
            </w:r>
          </w:p>
        </w:tc>
        <w:tc>
          <w:tcPr>
            <w:tcW w:w="809" w:type="pct"/>
            <w:tcBorders>
              <w:top w:val="nil"/>
              <w:left w:val="nil"/>
              <w:bottom w:val="single" w:sz="12" w:space="0" w:color="auto"/>
              <w:right w:val="nil"/>
            </w:tcBorders>
            <w:shd w:val="clear" w:color="auto" w:fill="auto"/>
            <w:noWrap/>
            <w:vAlign w:val="center"/>
            <w:hideMark/>
          </w:tcPr>
          <w:p w14:paraId="06EAFE3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11</w:t>
            </w:r>
          </w:p>
        </w:tc>
        <w:tc>
          <w:tcPr>
            <w:tcW w:w="591" w:type="pct"/>
            <w:tcBorders>
              <w:top w:val="nil"/>
              <w:left w:val="nil"/>
              <w:bottom w:val="single" w:sz="12" w:space="0" w:color="auto"/>
              <w:right w:val="nil"/>
            </w:tcBorders>
            <w:shd w:val="clear" w:color="auto" w:fill="auto"/>
            <w:noWrap/>
            <w:vAlign w:val="center"/>
            <w:hideMark/>
          </w:tcPr>
          <w:p w14:paraId="0026FA0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13</w:t>
            </w:r>
          </w:p>
        </w:tc>
        <w:tc>
          <w:tcPr>
            <w:tcW w:w="614" w:type="pct"/>
            <w:tcBorders>
              <w:top w:val="nil"/>
              <w:left w:val="nil"/>
              <w:bottom w:val="single" w:sz="12" w:space="0" w:color="auto"/>
              <w:right w:val="nil"/>
            </w:tcBorders>
            <w:shd w:val="clear" w:color="auto" w:fill="auto"/>
            <w:noWrap/>
            <w:vAlign w:val="center"/>
            <w:hideMark/>
          </w:tcPr>
          <w:p w14:paraId="72523F38"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4</w:t>
            </w:r>
          </w:p>
        </w:tc>
        <w:tc>
          <w:tcPr>
            <w:tcW w:w="615" w:type="pct"/>
            <w:tcBorders>
              <w:top w:val="nil"/>
              <w:left w:val="nil"/>
              <w:bottom w:val="single" w:sz="12" w:space="0" w:color="auto"/>
              <w:right w:val="nil"/>
            </w:tcBorders>
            <w:shd w:val="clear" w:color="auto" w:fill="auto"/>
            <w:noWrap/>
            <w:vAlign w:val="center"/>
            <w:hideMark/>
          </w:tcPr>
          <w:p w14:paraId="58504A6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44</w:t>
            </w:r>
          </w:p>
        </w:tc>
        <w:tc>
          <w:tcPr>
            <w:tcW w:w="401" w:type="pct"/>
            <w:tcBorders>
              <w:top w:val="nil"/>
              <w:left w:val="nil"/>
              <w:bottom w:val="single" w:sz="12" w:space="0" w:color="auto"/>
              <w:right w:val="nil"/>
            </w:tcBorders>
            <w:shd w:val="clear" w:color="auto" w:fill="auto"/>
            <w:noWrap/>
            <w:vAlign w:val="center"/>
            <w:hideMark/>
          </w:tcPr>
          <w:p w14:paraId="1B42E11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52</w:t>
            </w:r>
          </w:p>
        </w:tc>
      </w:tr>
    </w:tbl>
    <w:p w14:paraId="56907B39" w14:textId="77777777" w:rsidR="00A11D2E" w:rsidRPr="00AD3B35" w:rsidRDefault="00A11D2E" w:rsidP="00A11D2E">
      <w:pPr>
        <w:rPr>
          <w:rFonts w:cstheme="minorHAnsi"/>
        </w:rPr>
      </w:pPr>
    </w:p>
    <w:p w14:paraId="7FD42E38" w14:textId="083483AA" w:rsidR="000C1306" w:rsidRDefault="000C1306">
      <w:pPr>
        <w:widowControl/>
        <w:spacing w:after="160" w:line="259" w:lineRule="auto"/>
        <w:rPr>
          <w:rFonts w:cstheme="minorHAnsi"/>
        </w:rPr>
      </w:pPr>
      <w:r>
        <w:rPr>
          <w:rFonts w:cstheme="minorHAnsi"/>
        </w:rPr>
        <w:br w:type="page"/>
      </w:r>
    </w:p>
    <w:p w14:paraId="00076748" w14:textId="05C206ED" w:rsidR="00544437" w:rsidRPr="00544437" w:rsidRDefault="00544437" w:rsidP="00544437">
      <w:pPr>
        <w:pStyle w:val="Caption"/>
      </w:pPr>
      <w:bookmarkStart w:id="345" w:name="_Toc164175228"/>
      <w:r w:rsidRPr="00544437">
        <w:lastRenderedPageBreak/>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7</w:t>
      </w:r>
      <w:r w:rsidR="004F13BA">
        <w:rPr>
          <w:noProof/>
        </w:rPr>
        <w:fldChar w:fldCharType="end"/>
      </w:r>
      <w:r w:rsidRPr="00544437">
        <w:t>. Total volatile suspended solids trends by basin</w:t>
      </w:r>
      <w:r w:rsidR="00BE0E56">
        <w:t>, 2003 through 2022.</w:t>
      </w:r>
      <w:bookmarkEnd w:id="345"/>
    </w:p>
    <w:tbl>
      <w:tblPr>
        <w:tblW w:w="5000" w:type="pct"/>
        <w:tblLook w:val="04A0" w:firstRow="1" w:lastRow="0" w:firstColumn="1" w:lastColumn="0" w:noHBand="0" w:noVBand="1"/>
        <w:tblCaption w:val="Table of Total volatile suspended solids trends by basin."/>
        <w:tblDescription w:val="Total volatile suspended solids trends by basin."/>
      </w:tblPr>
      <w:tblGrid>
        <w:gridCol w:w="1539"/>
        <w:gridCol w:w="960"/>
        <w:gridCol w:w="1191"/>
        <w:gridCol w:w="1262"/>
        <w:gridCol w:w="1320"/>
        <w:gridCol w:w="1187"/>
        <w:gridCol w:w="1151"/>
        <w:gridCol w:w="750"/>
      </w:tblGrid>
      <w:tr w:rsidR="00A11D2E" w:rsidRPr="00AD3B35" w14:paraId="5EC520BC" w14:textId="77777777" w:rsidTr="00544437">
        <w:trPr>
          <w:trHeight w:val="1035"/>
        </w:trPr>
        <w:tc>
          <w:tcPr>
            <w:tcW w:w="822" w:type="pct"/>
            <w:tcBorders>
              <w:top w:val="single" w:sz="12" w:space="0" w:color="auto"/>
              <w:left w:val="nil"/>
              <w:bottom w:val="single" w:sz="8" w:space="0" w:color="auto"/>
              <w:right w:val="nil"/>
            </w:tcBorders>
            <w:shd w:val="clear" w:color="auto" w:fill="auto"/>
            <w:vAlign w:val="center"/>
            <w:hideMark/>
          </w:tcPr>
          <w:p w14:paraId="738F9ACE" w14:textId="77777777" w:rsidR="00A11D2E" w:rsidRPr="00031059" w:rsidRDefault="00A11D2E">
            <w:pPr>
              <w:widowControl/>
              <w:jc w:val="center"/>
              <w:rPr>
                <w:rFonts w:cstheme="minorHAnsi"/>
                <w:b/>
                <w:bCs/>
                <w:snapToGrid/>
                <w:sz w:val="22"/>
                <w:szCs w:val="22"/>
              </w:rPr>
            </w:pPr>
            <w:r w:rsidRPr="00031059">
              <w:rPr>
                <w:rFonts w:cstheme="minorHAnsi"/>
                <w:b/>
                <w:bCs/>
                <w:sz w:val="22"/>
                <w:szCs w:val="22"/>
              </w:rPr>
              <w:t>Basin</w:t>
            </w:r>
          </w:p>
        </w:tc>
        <w:tc>
          <w:tcPr>
            <w:tcW w:w="513" w:type="pct"/>
            <w:tcBorders>
              <w:top w:val="single" w:sz="12" w:space="0" w:color="auto"/>
              <w:left w:val="nil"/>
              <w:bottom w:val="single" w:sz="8" w:space="0" w:color="auto"/>
              <w:right w:val="nil"/>
            </w:tcBorders>
            <w:shd w:val="clear" w:color="auto" w:fill="auto"/>
            <w:vAlign w:val="center"/>
            <w:hideMark/>
          </w:tcPr>
          <w:p w14:paraId="6732CE6A" w14:textId="77777777" w:rsidR="00A11D2E" w:rsidRPr="00031059" w:rsidRDefault="00A11D2E">
            <w:pPr>
              <w:jc w:val="center"/>
              <w:rPr>
                <w:rFonts w:cstheme="minorHAnsi"/>
                <w:b/>
                <w:bCs/>
                <w:sz w:val="22"/>
                <w:szCs w:val="22"/>
              </w:rPr>
            </w:pPr>
            <w:r w:rsidRPr="00031059">
              <w:rPr>
                <w:rFonts w:cstheme="minorHAnsi"/>
                <w:b/>
                <w:bCs/>
                <w:sz w:val="22"/>
                <w:szCs w:val="22"/>
              </w:rPr>
              <w:t>Total Stations</w:t>
            </w:r>
          </w:p>
        </w:tc>
        <w:tc>
          <w:tcPr>
            <w:tcW w:w="637" w:type="pct"/>
            <w:tcBorders>
              <w:top w:val="single" w:sz="12" w:space="0" w:color="auto"/>
              <w:left w:val="nil"/>
              <w:bottom w:val="single" w:sz="8" w:space="0" w:color="auto"/>
              <w:right w:val="nil"/>
            </w:tcBorders>
            <w:shd w:val="clear" w:color="auto" w:fill="auto"/>
            <w:vAlign w:val="center"/>
            <w:hideMark/>
          </w:tcPr>
          <w:p w14:paraId="2325A2D5" w14:textId="77777777" w:rsidR="00A11D2E" w:rsidRPr="00031059" w:rsidRDefault="00A11D2E">
            <w:pPr>
              <w:jc w:val="center"/>
              <w:rPr>
                <w:rFonts w:cstheme="minorHAnsi"/>
                <w:b/>
                <w:bCs/>
                <w:sz w:val="22"/>
                <w:szCs w:val="22"/>
              </w:rPr>
            </w:pPr>
            <w:r w:rsidRPr="00031059">
              <w:rPr>
                <w:rFonts w:cstheme="minorHAnsi"/>
                <w:b/>
                <w:bCs/>
                <w:sz w:val="22"/>
                <w:szCs w:val="22"/>
              </w:rPr>
              <w:t>Improving Trend (stations)</w:t>
            </w:r>
          </w:p>
        </w:tc>
        <w:tc>
          <w:tcPr>
            <w:tcW w:w="674" w:type="pct"/>
            <w:tcBorders>
              <w:top w:val="single" w:sz="12" w:space="0" w:color="auto"/>
              <w:left w:val="nil"/>
              <w:bottom w:val="single" w:sz="8" w:space="0" w:color="auto"/>
              <w:right w:val="nil"/>
            </w:tcBorders>
            <w:shd w:val="clear" w:color="auto" w:fill="auto"/>
            <w:vAlign w:val="center"/>
            <w:hideMark/>
          </w:tcPr>
          <w:p w14:paraId="75E4958D" w14:textId="77777777" w:rsidR="00A11D2E" w:rsidRPr="00031059" w:rsidRDefault="00A11D2E">
            <w:pPr>
              <w:jc w:val="center"/>
              <w:rPr>
                <w:rFonts w:cstheme="minorHAnsi"/>
                <w:b/>
                <w:bCs/>
                <w:sz w:val="22"/>
                <w:szCs w:val="22"/>
              </w:rPr>
            </w:pPr>
            <w:r w:rsidRPr="00031059">
              <w:rPr>
                <w:rFonts w:cstheme="minorHAnsi"/>
                <w:b/>
                <w:bCs/>
                <w:sz w:val="22"/>
                <w:szCs w:val="22"/>
              </w:rPr>
              <w:t>Degrading Trend (stations)</w:t>
            </w:r>
          </w:p>
        </w:tc>
        <w:tc>
          <w:tcPr>
            <w:tcW w:w="705" w:type="pct"/>
            <w:tcBorders>
              <w:top w:val="single" w:sz="12" w:space="0" w:color="auto"/>
              <w:left w:val="nil"/>
              <w:bottom w:val="single" w:sz="8" w:space="0" w:color="auto"/>
              <w:right w:val="nil"/>
            </w:tcBorders>
            <w:shd w:val="clear" w:color="auto" w:fill="auto"/>
            <w:vAlign w:val="center"/>
            <w:hideMark/>
          </w:tcPr>
          <w:p w14:paraId="5D4A29B2" w14:textId="77777777" w:rsidR="00A11D2E" w:rsidRPr="00031059" w:rsidRDefault="00A11D2E">
            <w:pPr>
              <w:jc w:val="center"/>
              <w:rPr>
                <w:rFonts w:cstheme="minorHAnsi"/>
                <w:b/>
                <w:bCs/>
                <w:sz w:val="22"/>
                <w:szCs w:val="22"/>
              </w:rPr>
            </w:pPr>
            <w:r w:rsidRPr="00031059">
              <w:rPr>
                <w:rFonts w:cstheme="minorHAnsi"/>
                <w:b/>
                <w:bCs/>
                <w:sz w:val="22"/>
                <w:szCs w:val="22"/>
              </w:rPr>
              <w:t>No Trend (stations)</w:t>
            </w:r>
          </w:p>
        </w:tc>
        <w:tc>
          <w:tcPr>
            <w:tcW w:w="634" w:type="pct"/>
            <w:tcBorders>
              <w:top w:val="single" w:sz="12" w:space="0" w:color="auto"/>
              <w:left w:val="nil"/>
              <w:bottom w:val="single" w:sz="8" w:space="0" w:color="auto"/>
              <w:right w:val="nil"/>
            </w:tcBorders>
            <w:shd w:val="clear" w:color="auto" w:fill="auto"/>
            <w:vAlign w:val="center"/>
            <w:hideMark/>
          </w:tcPr>
          <w:p w14:paraId="012E8C07" w14:textId="77777777" w:rsidR="00A11D2E" w:rsidRPr="00031059" w:rsidRDefault="00A11D2E">
            <w:pPr>
              <w:jc w:val="center"/>
              <w:rPr>
                <w:rFonts w:cstheme="minorHAnsi"/>
                <w:b/>
                <w:bCs/>
                <w:sz w:val="22"/>
                <w:szCs w:val="22"/>
              </w:rPr>
            </w:pPr>
            <w:r w:rsidRPr="00031059">
              <w:rPr>
                <w:rFonts w:cstheme="minorHAnsi"/>
                <w:b/>
                <w:bCs/>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71BE8D68" w14:textId="77777777" w:rsidR="00A11D2E" w:rsidRPr="00031059" w:rsidRDefault="00A11D2E">
            <w:pPr>
              <w:jc w:val="center"/>
              <w:rPr>
                <w:rFonts w:cstheme="minorHAnsi"/>
                <w:b/>
                <w:bCs/>
                <w:sz w:val="22"/>
                <w:szCs w:val="22"/>
              </w:rPr>
            </w:pPr>
            <w:r w:rsidRPr="00031059">
              <w:rPr>
                <w:rFonts w:cstheme="minorHAnsi"/>
                <w:b/>
                <w:bCs/>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3643B6B5" w14:textId="77777777" w:rsidR="00A11D2E" w:rsidRPr="00031059" w:rsidRDefault="00A11D2E">
            <w:pPr>
              <w:jc w:val="center"/>
              <w:rPr>
                <w:rFonts w:cstheme="minorHAnsi"/>
                <w:b/>
                <w:bCs/>
                <w:sz w:val="22"/>
                <w:szCs w:val="22"/>
              </w:rPr>
            </w:pPr>
            <w:r w:rsidRPr="00031059">
              <w:rPr>
                <w:rFonts w:cstheme="minorHAnsi"/>
                <w:b/>
                <w:bCs/>
                <w:sz w:val="22"/>
                <w:szCs w:val="22"/>
              </w:rPr>
              <w:t>No Trend (%)</w:t>
            </w:r>
          </w:p>
        </w:tc>
      </w:tr>
      <w:tr w:rsidR="00A11D2E" w:rsidRPr="00AD3B35" w14:paraId="0CEAF5CA" w14:textId="77777777" w:rsidTr="00544437">
        <w:trPr>
          <w:trHeight w:val="360"/>
        </w:trPr>
        <w:tc>
          <w:tcPr>
            <w:tcW w:w="822" w:type="pct"/>
            <w:tcBorders>
              <w:top w:val="nil"/>
              <w:left w:val="nil"/>
              <w:bottom w:val="nil"/>
              <w:right w:val="nil"/>
            </w:tcBorders>
            <w:shd w:val="clear" w:color="auto" w:fill="auto"/>
            <w:noWrap/>
            <w:vAlign w:val="center"/>
            <w:hideMark/>
          </w:tcPr>
          <w:p w14:paraId="4B85A41D" w14:textId="6254D0DF" w:rsidR="00A11D2E" w:rsidRPr="00031059" w:rsidRDefault="00A11D2E">
            <w:pPr>
              <w:widowControl/>
              <w:jc w:val="center"/>
              <w:rPr>
                <w:rFonts w:cstheme="minorHAnsi"/>
                <w:bCs/>
                <w:snapToGrid/>
                <w:sz w:val="22"/>
                <w:szCs w:val="22"/>
              </w:rPr>
            </w:pPr>
            <w:r w:rsidRPr="00031059">
              <w:rPr>
                <w:rFonts w:cstheme="minorHAnsi"/>
                <w:snapToGrid/>
                <w:sz w:val="22"/>
                <w:szCs w:val="22"/>
              </w:rPr>
              <w:t>Chesapeake</w:t>
            </w:r>
          </w:p>
        </w:tc>
        <w:tc>
          <w:tcPr>
            <w:tcW w:w="513" w:type="pct"/>
            <w:tcBorders>
              <w:top w:val="nil"/>
              <w:left w:val="nil"/>
              <w:bottom w:val="nil"/>
              <w:right w:val="nil"/>
            </w:tcBorders>
            <w:shd w:val="clear" w:color="auto" w:fill="auto"/>
            <w:noWrap/>
            <w:vAlign w:val="center"/>
            <w:hideMark/>
          </w:tcPr>
          <w:p w14:paraId="60F5C1E0"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17</w:t>
            </w:r>
          </w:p>
        </w:tc>
        <w:tc>
          <w:tcPr>
            <w:tcW w:w="637" w:type="pct"/>
            <w:tcBorders>
              <w:top w:val="nil"/>
              <w:left w:val="nil"/>
              <w:bottom w:val="nil"/>
              <w:right w:val="nil"/>
            </w:tcBorders>
            <w:shd w:val="clear" w:color="auto" w:fill="auto"/>
            <w:noWrap/>
            <w:vAlign w:val="center"/>
            <w:hideMark/>
          </w:tcPr>
          <w:p w14:paraId="4F1BAA4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674" w:type="pct"/>
            <w:tcBorders>
              <w:top w:val="nil"/>
              <w:left w:val="nil"/>
              <w:bottom w:val="nil"/>
              <w:right w:val="nil"/>
            </w:tcBorders>
            <w:shd w:val="clear" w:color="auto" w:fill="auto"/>
            <w:noWrap/>
            <w:vAlign w:val="center"/>
            <w:hideMark/>
          </w:tcPr>
          <w:p w14:paraId="73615CC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w:t>
            </w:r>
          </w:p>
        </w:tc>
        <w:tc>
          <w:tcPr>
            <w:tcW w:w="705" w:type="pct"/>
            <w:tcBorders>
              <w:top w:val="nil"/>
              <w:left w:val="nil"/>
              <w:bottom w:val="nil"/>
              <w:right w:val="nil"/>
            </w:tcBorders>
            <w:shd w:val="clear" w:color="auto" w:fill="auto"/>
            <w:noWrap/>
            <w:vAlign w:val="center"/>
            <w:hideMark/>
          </w:tcPr>
          <w:p w14:paraId="79324F4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15</w:t>
            </w:r>
          </w:p>
        </w:tc>
        <w:tc>
          <w:tcPr>
            <w:tcW w:w="634" w:type="pct"/>
            <w:tcBorders>
              <w:top w:val="nil"/>
              <w:left w:val="nil"/>
              <w:bottom w:val="nil"/>
              <w:right w:val="nil"/>
            </w:tcBorders>
            <w:shd w:val="clear" w:color="auto" w:fill="auto"/>
            <w:noWrap/>
            <w:vAlign w:val="center"/>
            <w:hideMark/>
          </w:tcPr>
          <w:p w14:paraId="1A1968F0"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5BDB6D91"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12</w:t>
            </w:r>
          </w:p>
        </w:tc>
        <w:tc>
          <w:tcPr>
            <w:tcW w:w="401" w:type="pct"/>
            <w:tcBorders>
              <w:top w:val="nil"/>
              <w:left w:val="nil"/>
              <w:bottom w:val="nil"/>
              <w:right w:val="nil"/>
            </w:tcBorders>
            <w:shd w:val="clear" w:color="auto" w:fill="auto"/>
            <w:noWrap/>
            <w:vAlign w:val="center"/>
            <w:hideMark/>
          </w:tcPr>
          <w:p w14:paraId="0C073E3A"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88</w:t>
            </w:r>
          </w:p>
        </w:tc>
      </w:tr>
      <w:tr w:rsidR="00A11D2E" w:rsidRPr="00AD3B35" w14:paraId="2A84A1B8" w14:textId="77777777" w:rsidTr="00544437">
        <w:trPr>
          <w:trHeight w:val="360"/>
        </w:trPr>
        <w:tc>
          <w:tcPr>
            <w:tcW w:w="822" w:type="pct"/>
            <w:tcBorders>
              <w:top w:val="nil"/>
              <w:left w:val="nil"/>
              <w:bottom w:val="nil"/>
              <w:right w:val="nil"/>
            </w:tcBorders>
            <w:shd w:val="clear" w:color="auto" w:fill="auto"/>
            <w:noWrap/>
            <w:vAlign w:val="center"/>
            <w:hideMark/>
          </w:tcPr>
          <w:p w14:paraId="2CE3FB22"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Chowan</w:t>
            </w:r>
          </w:p>
        </w:tc>
        <w:tc>
          <w:tcPr>
            <w:tcW w:w="513" w:type="pct"/>
            <w:tcBorders>
              <w:top w:val="nil"/>
              <w:left w:val="nil"/>
              <w:bottom w:val="nil"/>
              <w:right w:val="nil"/>
            </w:tcBorders>
            <w:shd w:val="clear" w:color="auto" w:fill="auto"/>
            <w:noWrap/>
            <w:vAlign w:val="center"/>
            <w:hideMark/>
          </w:tcPr>
          <w:p w14:paraId="41261C6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w:t>
            </w:r>
          </w:p>
        </w:tc>
        <w:tc>
          <w:tcPr>
            <w:tcW w:w="637" w:type="pct"/>
            <w:tcBorders>
              <w:top w:val="nil"/>
              <w:left w:val="nil"/>
              <w:bottom w:val="nil"/>
              <w:right w:val="nil"/>
            </w:tcBorders>
            <w:shd w:val="clear" w:color="auto" w:fill="auto"/>
            <w:noWrap/>
            <w:vAlign w:val="center"/>
            <w:hideMark/>
          </w:tcPr>
          <w:p w14:paraId="6E1C2EBF"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674" w:type="pct"/>
            <w:tcBorders>
              <w:top w:val="nil"/>
              <w:left w:val="nil"/>
              <w:bottom w:val="nil"/>
              <w:right w:val="nil"/>
            </w:tcBorders>
            <w:shd w:val="clear" w:color="auto" w:fill="auto"/>
            <w:noWrap/>
            <w:vAlign w:val="center"/>
            <w:hideMark/>
          </w:tcPr>
          <w:p w14:paraId="4A3A5058"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705" w:type="pct"/>
            <w:tcBorders>
              <w:top w:val="nil"/>
              <w:left w:val="nil"/>
              <w:bottom w:val="nil"/>
              <w:right w:val="nil"/>
            </w:tcBorders>
            <w:shd w:val="clear" w:color="auto" w:fill="auto"/>
            <w:noWrap/>
            <w:vAlign w:val="center"/>
            <w:hideMark/>
          </w:tcPr>
          <w:p w14:paraId="3A291CA8"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w:t>
            </w:r>
          </w:p>
        </w:tc>
        <w:tc>
          <w:tcPr>
            <w:tcW w:w="634" w:type="pct"/>
            <w:tcBorders>
              <w:top w:val="nil"/>
              <w:left w:val="nil"/>
              <w:bottom w:val="nil"/>
              <w:right w:val="nil"/>
            </w:tcBorders>
            <w:shd w:val="clear" w:color="auto" w:fill="auto"/>
            <w:noWrap/>
            <w:vAlign w:val="center"/>
            <w:hideMark/>
          </w:tcPr>
          <w:p w14:paraId="563D26F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030C5B40"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0C155C5A"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100</w:t>
            </w:r>
          </w:p>
        </w:tc>
      </w:tr>
      <w:tr w:rsidR="00A11D2E" w:rsidRPr="00AD3B35" w14:paraId="67948821" w14:textId="77777777" w:rsidTr="00544437">
        <w:trPr>
          <w:trHeight w:val="360"/>
        </w:trPr>
        <w:tc>
          <w:tcPr>
            <w:tcW w:w="822" w:type="pct"/>
            <w:tcBorders>
              <w:top w:val="nil"/>
              <w:left w:val="nil"/>
              <w:bottom w:val="nil"/>
              <w:right w:val="nil"/>
            </w:tcBorders>
            <w:shd w:val="clear" w:color="auto" w:fill="auto"/>
            <w:noWrap/>
            <w:vAlign w:val="center"/>
            <w:hideMark/>
          </w:tcPr>
          <w:p w14:paraId="3D3CE31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James</w:t>
            </w:r>
          </w:p>
        </w:tc>
        <w:tc>
          <w:tcPr>
            <w:tcW w:w="513" w:type="pct"/>
            <w:tcBorders>
              <w:top w:val="nil"/>
              <w:left w:val="nil"/>
              <w:bottom w:val="nil"/>
              <w:right w:val="nil"/>
            </w:tcBorders>
            <w:shd w:val="clear" w:color="auto" w:fill="auto"/>
            <w:noWrap/>
            <w:vAlign w:val="center"/>
            <w:hideMark/>
          </w:tcPr>
          <w:p w14:paraId="63E05FA7"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50</w:t>
            </w:r>
          </w:p>
        </w:tc>
        <w:tc>
          <w:tcPr>
            <w:tcW w:w="637" w:type="pct"/>
            <w:tcBorders>
              <w:top w:val="nil"/>
              <w:left w:val="nil"/>
              <w:bottom w:val="nil"/>
              <w:right w:val="nil"/>
            </w:tcBorders>
            <w:shd w:val="clear" w:color="auto" w:fill="auto"/>
            <w:noWrap/>
            <w:vAlign w:val="center"/>
            <w:hideMark/>
          </w:tcPr>
          <w:p w14:paraId="31C262AF"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w:t>
            </w:r>
          </w:p>
        </w:tc>
        <w:tc>
          <w:tcPr>
            <w:tcW w:w="674" w:type="pct"/>
            <w:tcBorders>
              <w:top w:val="nil"/>
              <w:left w:val="nil"/>
              <w:bottom w:val="nil"/>
              <w:right w:val="nil"/>
            </w:tcBorders>
            <w:shd w:val="clear" w:color="auto" w:fill="auto"/>
            <w:noWrap/>
            <w:vAlign w:val="center"/>
            <w:hideMark/>
          </w:tcPr>
          <w:p w14:paraId="0950A553"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8</w:t>
            </w:r>
          </w:p>
        </w:tc>
        <w:tc>
          <w:tcPr>
            <w:tcW w:w="705" w:type="pct"/>
            <w:tcBorders>
              <w:top w:val="nil"/>
              <w:left w:val="nil"/>
              <w:bottom w:val="nil"/>
              <w:right w:val="nil"/>
            </w:tcBorders>
            <w:shd w:val="clear" w:color="auto" w:fill="auto"/>
            <w:noWrap/>
            <w:vAlign w:val="center"/>
            <w:hideMark/>
          </w:tcPr>
          <w:p w14:paraId="75E31B2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40</w:t>
            </w:r>
          </w:p>
        </w:tc>
        <w:tc>
          <w:tcPr>
            <w:tcW w:w="634" w:type="pct"/>
            <w:tcBorders>
              <w:top w:val="nil"/>
              <w:left w:val="nil"/>
              <w:bottom w:val="nil"/>
              <w:right w:val="nil"/>
            </w:tcBorders>
            <w:shd w:val="clear" w:color="auto" w:fill="auto"/>
            <w:noWrap/>
            <w:vAlign w:val="center"/>
            <w:hideMark/>
          </w:tcPr>
          <w:p w14:paraId="24954AE9"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4</w:t>
            </w:r>
          </w:p>
        </w:tc>
        <w:tc>
          <w:tcPr>
            <w:tcW w:w="615" w:type="pct"/>
            <w:tcBorders>
              <w:top w:val="nil"/>
              <w:left w:val="nil"/>
              <w:bottom w:val="nil"/>
              <w:right w:val="nil"/>
            </w:tcBorders>
            <w:shd w:val="clear" w:color="auto" w:fill="auto"/>
            <w:noWrap/>
            <w:vAlign w:val="center"/>
            <w:hideMark/>
          </w:tcPr>
          <w:p w14:paraId="0E6798DA"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16</w:t>
            </w:r>
          </w:p>
        </w:tc>
        <w:tc>
          <w:tcPr>
            <w:tcW w:w="401" w:type="pct"/>
            <w:tcBorders>
              <w:top w:val="nil"/>
              <w:left w:val="nil"/>
              <w:bottom w:val="nil"/>
              <w:right w:val="nil"/>
            </w:tcBorders>
            <w:shd w:val="clear" w:color="auto" w:fill="auto"/>
            <w:noWrap/>
            <w:vAlign w:val="center"/>
            <w:hideMark/>
          </w:tcPr>
          <w:p w14:paraId="375F8C42"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80</w:t>
            </w:r>
          </w:p>
        </w:tc>
      </w:tr>
      <w:tr w:rsidR="00A11D2E" w:rsidRPr="00AD3B35" w14:paraId="76BCDEE5" w14:textId="77777777" w:rsidTr="00544437">
        <w:trPr>
          <w:trHeight w:val="360"/>
        </w:trPr>
        <w:tc>
          <w:tcPr>
            <w:tcW w:w="822" w:type="pct"/>
            <w:tcBorders>
              <w:top w:val="nil"/>
              <w:left w:val="nil"/>
              <w:bottom w:val="nil"/>
              <w:right w:val="nil"/>
            </w:tcBorders>
            <w:shd w:val="clear" w:color="auto" w:fill="auto"/>
            <w:noWrap/>
            <w:vAlign w:val="center"/>
            <w:hideMark/>
          </w:tcPr>
          <w:p w14:paraId="4837571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Potomac</w:t>
            </w:r>
          </w:p>
        </w:tc>
        <w:tc>
          <w:tcPr>
            <w:tcW w:w="513" w:type="pct"/>
            <w:tcBorders>
              <w:top w:val="nil"/>
              <w:left w:val="nil"/>
              <w:bottom w:val="nil"/>
              <w:right w:val="nil"/>
            </w:tcBorders>
            <w:shd w:val="clear" w:color="auto" w:fill="auto"/>
            <w:noWrap/>
            <w:vAlign w:val="center"/>
            <w:hideMark/>
          </w:tcPr>
          <w:p w14:paraId="0E1600C7"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35</w:t>
            </w:r>
          </w:p>
        </w:tc>
        <w:tc>
          <w:tcPr>
            <w:tcW w:w="637" w:type="pct"/>
            <w:tcBorders>
              <w:top w:val="nil"/>
              <w:left w:val="nil"/>
              <w:bottom w:val="nil"/>
              <w:right w:val="nil"/>
            </w:tcBorders>
            <w:shd w:val="clear" w:color="auto" w:fill="auto"/>
            <w:noWrap/>
            <w:vAlign w:val="center"/>
            <w:hideMark/>
          </w:tcPr>
          <w:p w14:paraId="7D2894D3"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w:t>
            </w:r>
          </w:p>
        </w:tc>
        <w:tc>
          <w:tcPr>
            <w:tcW w:w="674" w:type="pct"/>
            <w:tcBorders>
              <w:top w:val="nil"/>
              <w:left w:val="nil"/>
              <w:bottom w:val="nil"/>
              <w:right w:val="nil"/>
            </w:tcBorders>
            <w:shd w:val="clear" w:color="auto" w:fill="auto"/>
            <w:noWrap/>
            <w:vAlign w:val="center"/>
            <w:hideMark/>
          </w:tcPr>
          <w:p w14:paraId="18E26E3F"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w:t>
            </w:r>
          </w:p>
        </w:tc>
        <w:tc>
          <w:tcPr>
            <w:tcW w:w="705" w:type="pct"/>
            <w:tcBorders>
              <w:top w:val="nil"/>
              <w:left w:val="nil"/>
              <w:bottom w:val="nil"/>
              <w:right w:val="nil"/>
            </w:tcBorders>
            <w:shd w:val="clear" w:color="auto" w:fill="auto"/>
            <w:noWrap/>
            <w:vAlign w:val="center"/>
            <w:hideMark/>
          </w:tcPr>
          <w:p w14:paraId="41AC29A6"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33</w:t>
            </w:r>
          </w:p>
        </w:tc>
        <w:tc>
          <w:tcPr>
            <w:tcW w:w="634" w:type="pct"/>
            <w:tcBorders>
              <w:top w:val="nil"/>
              <w:left w:val="nil"/>
              <w:bottom w:val="nil"/>
              <w:right w:val="nil"/>
            </w:tcBorders>
            <w:shd w:val="clear" w:color="auto" w:fill="auto"/>
            <w:noWrap/>
            <w:vAlign w:val="center"/>
            <w:hideMark/>
          </w:tcPr>
          <w:p w14:paraId="04C69914"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3</w:t>
            </w:r>
          </w:p>
        </w:tc>
        <w:tc>
          <w:tcPr>
            <w:tcW w:w="615" w:type="pct"/>
            <w:tcBorders>
              <w:top w:val="nil"/>
              <w:left w:val="nil"/>
              <w:bottom w:val="nil"/>
              <w:right w:val="nil"/>
            </w:tcBorders>
            <w:shd w:val="clear" w:color="auto" w:fill="auto"/>
            <w:noWrap/>
            <w:vAlign w:val="center"/>
            <w:hideMark/>
          </w:tcPr>
          <w:p w14:paraId="51EB4A96"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3</w:t>
            </w:r>
          </w:p>
        </w:tc>
        <w:tc>
          <w:tcPr>
            <w:tcW w:w="401" w:type="pct"/>
            <w:tcBorders>
              <w:top w:val="nil"/>
              <w:left w:val="nil"/>
              <w:bottom w:val="nil"/>
              <w:right w:val="nil"/>
            </w:tcBorders>
            <w:shd w:val="clear" w:color="auto" w:fill="auto"/>
            <w:noWrap/>
            <w:vAlign w:val="center"/>
            <w:hideMark/>
          </w:tcPr>
          <w:p w14:paraId="4A9950C8"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94</w:t>
            </w:r>
          </w:p>
        </w:tc>
      </w:tr>
      <w:tr w:rsidR="00A11D2E" w:rsidRPr="00AD3B35" w14:paraId="0D7257CB" w14:textId="77777777" w:rsidTr="00544437">
        <w:trPr>
          <w:trHeight w:val="360"/>
        </w:trPr>
        <w:tc>
          <w:tcPr>
            <w:tcW w:w="822" w:type="pct"/>
            <w:tcBorders>
              <w:top w:val="nil"/>
              <w:left w:val="nil"/>
              <w:bottom w:val="nil"/>
              <w:right w:val="nil"/>
            </w:tcBorders>
            <w:shd w:val="clear" w:color="auto" w:fill="auto"/>
            <w:noWrap/>
            <w:vAlign w:val="center"/>
            <w:hideMark/>
          </w:tcPr>
          <w:p w14:paraId="46BFFA04"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Rappahannock</w:t>
            </w:r>
          </w:p>
        </w:tc>
        <w:tc>
          <w:tcPr>
            <w:tcW w:w="513" w:type="pct"/>
            <w:tcBorders>
              <w:top w:val="nil"/>
              <w:left w:val="nil"/>
              <w:bottom w:val="nil"/>
              <w:right w:val="nil"/>
            </w:tcBorders>
            <w:shd w:val="clear" w:color="auto" w:fill="auto"/>
            <w:noWrap/>
            <w:vAlign w:val="center"/>
            <w:hideMark/>
          </w:tcPr>
          <w:p w14:paraId="4DE74AFC"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20</w:t>
            </w:r>
          </w:p>
        </w:tc>
        <w:tc>
          <w:tcPr>
            <w:tcW w:w="637" w:type="pct"/>
            <w:tcBorders>
              <w:top w:val="nil"/>
              <w:left w:val="nil"/>
              <w:bottom w:val="nil"/>
              <w:right w:val="nil"/>
            </w:tcBorders>
            <w:shd w:val="clear" w:color="auto" w:fill="auto"/>
            <w:noWrap/>
            <w:vAlign w:val="center"/>
            <w:hideMark/>
          </w:tcPr>
          <w:p w14:paraId="3D349617"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w:t>
            </w:r>
          </w:p>
        </w:tc>
        <w:tc>
          <w:tcPr>
            <w:tcW w:w="674" w:type="pct"/>
            <w:tcBorders>
              <w:top w:val="nil"/>
              <w:left w:val="nil"/>
              <w:bottom w:val="nil"/>
              <w:right w:val="nil"/>
            </w:tcBorders>
            <w:shd w:val="clear" w:color="auto" w:fill="auto"/>
            <w:noWrap/>
            <w:vAlign w:val="center"/>
            <w:hideMark/>
          </w:tcPr>
          <w:p w14:paraId="256EC374"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6</w:t>
            </w:r>
          </w:p>
        </w:tc>
        <w:tc>
          <w:tcPr>
            <w:tcW w:w="705" w:type="pct"/>
            <w:tcBorders>
              <w:top w:val="nil"/>
              <w:left w:val="nil"/>
              <w:bottom w:val="nil"/>
              <w:right w:val="nil"/>
            </w:tcBorders>
            <w:shd w:val="clear" w:color="auto" w:fill="auto"/>
            <w:noWrap/>
            <w:vAlign w:val="center"/>
            <w:hideMark/>
          </w:tcPr>
          <w:p w14:paraId="254CFD7A"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13</w:t>
            </w:r>
          </w:p>
        </w:tc>
        <w:tc>
          <w:tcPr>
            <w:tcW w:w="634" w:type="pct"/>
            <w:tcBorders>
              <w:top w:val="nil"/>
              <w:left w:val="nil"/>
              <w:bottom w:val="nil"/>
              <w:right w:val="nil"/>
            </w:tcBorders>
            <w:shd w:val="clear" w:color="auto" w:fill="auto"/>
            <w:noWrap/>
            <w:vAlign w:val="center"/>
            <w:hideMark/>
          </w:tcPr>
          <w:p w14:paraId="15A4FDFA"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5</w:t>
            </w:r>
          </w:p>
        </w:tc>
        <w:tc>
          <w:tcPr>
            <w:tcW w:w="615" w:type="pct"/>
            <w:tcBorders>
              <w:top w:val="nil"/>
              <w:left w:val="nil"/>
              <w:bottom w:val="nil"/>
              <w:right w:val="nil"/>
            </w:tcBorders>
            <w:shd w:val="clear" w:color="auto" w:fill="auto"/>
            <w:noWrap/>
            <w:vAlign w:val="center"/>
            <w:hideMark/>
          </w:tcPr>
          <w:p w14:paraId="75B00C53"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30</w:t>
            </w:r>
          </w:p>
        </w:tc>
        <w:tc>
          <w:tcPr>
            <w:tcW w:w="401" w:type="pct"/>
            <w:tcBorders>
              <w:top w:val="nil"/>
              <w:left w:val="nil"/>
              <w:bottom w:val="nil"/>
              <w:right w:val="nil"/>
            </w:tcBorders>
            <w:shd w:val="clear" w:color="auto" w:fill="auto"/>
            <w:noWrap/>
            <w:vAlign w:val="center"/>
            <w:hideMark/>
          </w:tcPr>
          <w:p w14:paraId="7DD5C84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65</w:t>
            </w:r>
          </w:p>
        </w:tc>
      </w:tr>
      <w:tr w:rsidR="00A11D2E" w:rsidRPr="00AD3B35" w14:paraId="44BA691A" w14:textId="77777777" w:rsidTr="00544437">
        <w:trPr>
          <w:trHeight w:val="360"/>
        </w:trPr>
        <w:tc>
          <w:tcPr>
            <w:tcW w:w="822" w:type="pct"/>
            <w:tcBorders>
              <w:top w:val="nil"/>
              <w:left w:val="nil"/>
              <w:bottom w:val="nil"/>
              <w:right w:val="nil"/>
            </w:tcBorders>
            <w:shd w:val="clear" w:color="auto" w:fill="auto"/>
            <w:noWrap/>
            <w:vAlign w:val="center"/>
            <w:hideMark/>
          </w:tcPr>
          <w:p w14:paraId="769EB92B"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Roanoke</w:t>
            </w:r>
          </w:p>
        </w:tc>
        <w:tc>
          <w:tcPr>
            <w:tcW w:w="513" w:type="pct"/>
            <w:tcBorders>
              <w:top w:val="nil"/>
              <w:left w:val="nil"/>
              <w:bottom w:val="nil"/>
              <w:right w:val="nil"/>
            </w:tcBorders>
            <w:shd w:val="clear" w:color="auto" w:fill="auto"/>
            <w:noWrap/>
            <w:vAlign w:val="center"/>
            <w:hideMark/>
          </w:tcPr>
          <w:p w14:paraId="4232B031"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3</w:t>
            </w:r>
          </w:p>
        </w:tc>
        <w:tc>
          <w:tcPr>
            <w:tcW w:w="637" w:type="pct"/>
            <w:tcBorders>
              <w:top w:val="nil"/>
              <w:left w:val="nil"/>
              <w:bottom w:val="nil"/>
              <w:right w:val="nil"/>
            </w:tcBorders>
            <w:shd w:val="clear" w:color="auto" w:fill="auto"/>
            <w:noWrap/>
            <w:vAlign w:val="center"/>
            <w:hideMark/>
          </w:tcPr>
          <w:p w14:paraId="2D9E0E29"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w:t>
            </w:r>
          </w:p>
        </w:tc>
        <w:tc>
          <w:tcPr>
            <w:tcW w:w="674" w:type="pct"/>
            <w:tcBorders>
              <w:top w:val="nil"/>
              <w:left w:val="nil"/>
              <w:bottom w:val="nil"/>
              <w:right w:val="nil"/>
            </w:tcBorders>
            <w:shd w:val="clear" w:color="auto" w:fill="auto"/>
            <w:noWrap/>
            <w:vAlign w:val="center"/>
            <w:hideMark/>
          </w:tcPr>
          <w:p w14:paraId="239203E0"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705" w:type="pct"/>
            <w:tcBorders>
              <w:top w:val="nil"/>
              <w:left w:val="nil"/>
              <w:bottom w:val="nil"/>
              <w:right w:val="nil"/>
            </w:tcBorders>
            <w:shd w:val="clear" w:color="auto" w:fill="auto"/>
            <w:noWrap/>
            <w:vAlign w:val="center"/>
            <w:hideMark/>
          </w:tcPr>
          <w:p w14:paraId="33AB7F11"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2</w:t>
            </w:r>
          </w:p>
        </w:tc>
        <w:tc>
          <w:tcPr>
            <w:tcW w:w="634" w:type="pct"/>
            <w:tcBorders>
              <w:top w:val="nil"/>
              <w:left w:val="nil"/>
              <w:bottom w:val="nil"/>
              <w:right w:val="nil"/>
            </w:tcBorders>
            <w:shd w:val="clear" w:color="auto" w:fill="auto"/>
            <w:noWrap/>
            <w:vAlign w:val="center"/>
            <w:hideMark/>
          </w:tcPr>
          <w:p w14:paraId="55368F1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33</w:t>
            </w:r>
          </w:p>
        </w:tc>
        <w:tc>
          <w:tcPr>
            <w:tcW w:w="615" w:type="pct"/>
            <w:tcBorders>
              <w:top w:val="nil"/>
              <w:left w:val="nil"/>
              <w:bottom w:val="nil"/>
              <w:right w:val="nil"/>
            </w:tcBorders>
            <w:shd w:val="clear" w:color="auto" w:fill="auto"/>
            <w:noWrap/>
            <w:vAlign w:val="center"/>
            <w:hideMark/>
          </w:tcPr>
          <w:p w14:paraId="291C05A7"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33119629"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67</w:t>
            </w:r>
          </w:p>
        </w:tc>
      </w:tr>
      <w:tr w:rsidR="00A11D2E" w:rsidRPr="00AD3B35" w14:paraId="095D97EB" w14:textId="77777777" w:rsidTr="00544437">
        <w:trPr>
          <w:trHeight w:val="360"/>
        </w:trPr>
        <w:tc>
          <w:tcPr>
            <w:tcW w:w="822" w:type="pct"/>
            <w:tcBorders>
              <w:top w:val="nil"/>
              <w:left w:val="nil"/>
              <w:bottom w:val="nil"/>
              <w:right w:val="nil"/>
            </w:tcBorders>
            <w:shd w:val="clear" w:color="auto" w:fill="auto"/>
            <w:noWrap/>
            <w:vAlign w:val="center"/>
            <w:hideMark/>
          </w:tcPr>
          <w:p w14:paraId="3E5EEBDA"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Shenandoah</w:t>
            </w:r>
          </w:p>
        </w:tc>
        <w:tc>
          <w:tcPr>
            <w:tcW w:w="513" w:type="pct"/>
            <w:tcBorders>
              <w:top w:val="nil"/>
              <w:left w:val="nil"/>
              <w:bottom w:val="nil"/>
              <w:right w:val="nil"/>
            </w:tcBorders>
            <w:shd w:val="clear" w:color="auto" w:fill="auto"/>
            <w:noWrap/>
            <w:vAlign w:val="center"/>
            <w:hideMark/>
          </w:tcPr>
          <w:p w14:paraId="5A8AE921"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10</w:t>
            </w:r>
          </w:p>
        </w:tc>
        <w:tc>
          <w:tcPr>
            <w:tcW w:w="637" w:type="pct"/>
            <w:tcBorders>
              <w:top w:val="nil"/>
              <w:left w:val="nil"/>
              <w:bottom w:val="nil"/>
              <w:right w:val="nil"/>
            </w:tcBorders>
            <w:shd w:val="clear" w:color="auto" w:fill="auto"/>
            <w:noWrap/>
            <w:vAlign w:val="center"/>
            <w:hideMark/>
          </w:tcPr>
          <w:p w14:paraId="1E1E7626"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674" w:type="pct"/>
            <w:tcBorders>
              <w:top w:val="nil"/>
              <w:left w:val="nil"/>
              <w:bottom w:val="nil"/>
              <w:right w:val="nil"/>
            </w:tcBorders>
            <w:shd w:val="clear" w:color="auto" w:fill="auto"/>
            <w:noWrap/>
            <w:vAlign w:val="center"/>
            <w:hideMark/>
          </w:tcPr>
          <w:p w14:paraId="11A75D82"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705" w:type="pct"/>
            <w:tcBorders>
              <w:top w:val="nil"/>
              <w:left w:val="nil"/>
              <w:bottom w:val="nil"/>
              <w:right w:val="nil"/>
            </w:tcBorders>
            <w:shd w:val="clear" w:color="auto" w:fill="auto"/>
            <w:noWrap/>
            <w:vAlign w:val="center"/>
            <w:hideMark/>
          </w:tcPr>
          <w:p w14:paraId="5CBB0590"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10</w:t>
            </w:r>
          </w:p>
        </w:tc>
        <w:tc>
          <w:tcPr>
            <w:tcW w:w="634" w:type="pct"/>
            <w:tcBorders>
              <w:top w:val="nil"/>
              <w:left w:val="nil"/>
              <w:bottom w:val="nil"/>
              <w:right w:val="nil"/>
            </w:tcBorders>
            <w:shd w:val="clear" w:color="auto" w:fill="auto"/>
            <w:noWrap/>
            <w:vAlign w:val="center"/>
            <w:hideMark/>
          </w:tcPr>
          <w:p w14:paraId="0DD14E24"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31AF72FA"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32DAA7A1"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100</w:t>
            </w:r>
          </w:p>
        </w:tc>
      </w:tr>
      <w:tr w:rsidR="00A11D2E" w:rsidRPr="00AD3B35" w14:paraId="15F0D577" w14:textId="77777777" w:rsidTr="00544437">
        <w:trPr>
          <w:trHeight w:val="360"/>
        </w:trPr>
        <w:tc>
          <w:tcPr>
            <w:tcW w:w="822" w:type="pct"/>
            <w:tcBorders>
              <w:top w:val="nil"/>
              <w:left w:val="nil"/>
              <w:right w:val="nil"/>
            </w:tcBorders>
            <w:shd w:val="clear" w:color="auto" w:fill="auto"/>
            <w:noWrap/>
            <w:vAlign w:val="center"/>
            <w:hideMark/>
          </w:tcPr>
          <w:p w14:paraId="6699D056"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Tennessee</w:t>
            </w:r>
          </w:p>
        </w:tc>
        <w:tc>
          <w:tcPr>
            <w:tcW w:w="513" w:type="pct"/>
            <w:tcBorders>
              <w:top w:val="nil"/>
              <w:left w:val="nil"/>
              <w:right w:val="nil"/>
            </w:tcBorders>
            <w:shd w:val="clear" w:color="auto" w:fill="auto"/>
            <w:noWrap/>
            <w:vAlign w:val="center"/>
            <w:hideMark/>
          </w:tcPr>
          <w:p w14:paraId="35DA5566"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6</w:t>
            </w:r>
          </w:p>
        </w:tc>
        <w:tc>
          <w:tcPr>
            <w:tcW w:w="637" w:type="pct"/>
            <w:tcBorders>
              <w:top w:val="nil"/>
              <w:left w:val="nil"/>
              <w:right w:val="nil"/>
            </w:tcBorders>
            <w:shd w:val="clear" w:color="auto" w:fill="auto"/>
            <w:noWrap/>
            <w:vAlign w:val="center"/>
            <w:hideMark/>
          </w:tcPr>
          <w:p w14:paraId="140B01F3"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674" w:type="pct"/>
            <w:tcBorders>
              <w:top w:val="nil"/>
              <w:left w:val="nil"/>
              <w:right w:val="nil"/>
            </w:tcBorders>
            <w:shd w:val="clear" w:color="auto" w:fill="auto"/>
            <w:noWrap/>
            <w:vAlign w:val="center"/>
            <w:hideMark/>
          </w:tcPr>
          <w:p w14:paraId="05567D3B"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705" w:type="pct"/>
            <w:tcBorders>
              <w:top w:val="nil"/>
              <w:left w:val="nil"/>
              <w:right w:val="nil"/>
            </w:tcBorders>
            <w:shd w:val="clear" w:color="auto" w:fill="auto"/>
            <w:noWrap/>
            <w:vAlign w:val="center"/>
            <w:hideMark/>
          </w:tcPr>
          <w:p w14:paraId="620EEB84"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6</w:t>
            </w:r>
          </w:p>
        </w:tc>
        <w:tc>
          <w:tcPr>
            <w:tcW w:w="634" w:type="pct"/>
            <w:tcBorders>
              <w:top w:val="nil"/>
              <w:left w:val="nil"/>
              <w:right w:val="nil"/>
            </w:tcBorders>
            <w:shd w:val="clear" w:color="auto" w:fill="auto"/>
            <w:noWrap/>
            <w:vAlign w:val="center"/>
            <w:hideMark/>
          </w:tcPr>
          <w:p w14:paraId="716E11CC"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615" w:type="pct"/>
            <w:tcBorders>
              <w:top w:val="nil"/>
              <w:left w:val="nil"/>
              <w:right w:val="nil"/>
            </w:tcBorders>
            <w:shd w:val="clear" w:color="auto" w:fill="auto"/>
            <w:noWrap/>
            <w:vAlign w:val="center"/>
            <w:hideMark/>
          </w:tcPr>
          <w:p w14:paraId="26ADC010"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401" w:type="pct"/>
            <w:tcBorders>
              <w:top w:val="nil"/>
              <w:left w:val="nil"/>
              <w:right w:val="nil"/>
            </w:tcBorders>
            <w:shd w:val="clear" w:color="auto" w:fill="auto"/>
            <w:noWrap/>
            <w:vAlign w:val="center"/>
            <w:hideMark/>
          </w:tcPr>
          <w:p w14:paraId="72ADF083"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100</w:t>
            </w:r>
          </w:p>
        </w:tc>
      </w:tr>
      <w:tr w:rsidR="00A11D2E" w:rsidRPr="00AD3B35" w14:paraId="1C578A5F" w14:textId="77777777" w:rsidTr="00544437">
        <w:trPr>
          <w:trHeight w:val="360"/>
        </w:trPr>
        <w:tc>
          <w:tcPr>
            <w:tcW w:w="822" w:type="pct"/>
            <w:tcBorders>
              <w:top w:val="nil"/>
              <w:left w:val="nil"/>
              <w:bottom w:val="single" w:sz="12" w:space="0" w:color="auto"/>
              <w:right w:val="nil"/>
            </w:tcBorders>
            <w:shd w:val="clear" w:color="auto" w:fill="auto"/>
            <w:noWrap/>
            <w:vAlign w:val="center"/>
            <w:hideMark/>
          </w:tcPr>
          <w:p w14:paraId="533A041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York</w:t>
            </w:r>
          </w:p>
        </w:tc>
        <w:tc>
          <w:tcPr>
            <w:tcW w:w="513" w:type="pct"/>
            <w:tcBorders>
              <w:top w:val="nil"/>
              <w:left w:val="nil"/>
              <w:bottom w:val="single" w:sz="12" w:space="0" w:color="auto"/>
              <w:right w:val="nil"/>
            </w:tcBorders>
            <w:shd w:val="clear" w:color="auto" w:fill="auto"/>
            <w:noWrap/>
            <w:vAlign w:val="center"/>
            <w:hideMark/>
          </w:tcPr>
          <w:p w14:paraId="73BB68E6"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18</w:t>
            </w:r>
          </w:p>
        </w:tc>
        <w:tc>
          <w:tcPr>
            <w:tcW w:w="637" w:type="pct"/>
            <w:tcBorders>
              <w:top w:val="nil"/>
              <w:left w:val="nil"/>
              <w:bottom w:val="single" w:sz="12" w:space="0" w:color="auto"/>
              <w:right w:val="nil"/>
            </w:tcBorders>
            <w:shd w:val="clear" w:color="auto" w:fill="auto"/>
            <w:noWrap/>
            <w:vAlign w:val="center"/>
            <w:hideMark/>
          </w:tcPr>
          <w:p w14:paraId="77B4467F"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674" w:type="pct"/>
            <w:tcBorders>
              <w:top w:val="nil"/>
              <w:left w:val="nil"/>
              <w:bottom w:val="single" w:sz="12" w:space="0" w:color="auto"/>
              <w:right w:val="nil"/>
            </w:tcBorders>
            <w:shd w:val="clear" w:color="auto" w:fill="auto"/>
            <w:noWrap/>
            <w:vAlign w:val="center"/>
            <w:hideMark/>
          </w:tcPr>
          <w:p w14:paraId="5A017B95"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8</w:t>
            </w:r>
          </w:p>
        </w:tc>
        <w:tc>
          <w:tcPr>
            <w:tcW w:w="705" w:type="pct"/>
            <w:tcBorders>
              <w:top w:val="nil"/>
              <w:left w:val="nil"/>
              <w:bottom w:val="single" w:sz="12" w:space="0" w:color="auto"/>
              <w:right w:val="nil"/>
            </w:tcBorders>
            <w:shd w:val="clear" w:color="auto" w:fill="auto"/>
            <w:noWrap/>
            <w:vAlign w:val="center"/>
            <w:hideMark/>
          </w:tcPr>
          <w:p w14:paraId="05EEF04E"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10</w:t>
            </w:r>
          </w:p>
        </w:tc>
        <w:tc>
          <w:tcPr>
            <w:tcW w:w="634" w:type="pct"/>
            <w:tcBorders>
              <w:top w:val="nil"/>
              <w:left w:val="nil"/>
              <w:bottom w:val="single" w:sz="12" w:space="0" w:color="auto"/>
              <w:right w:val="nil"/>
            </w:tcBorders>
            <w:shd w:val="clear" w:color="auto" w:fill="auto"/>
            <w:noWrap/>
            <w:vAlign w:val="center"/>
            <w:hideMark/>
          </w:tcPr>
          <w:p w14:paraId="3A858666"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0</w:t>
            </w:r>
          </w:p>
        </w:tc>
        <w:tc>
          <w:tcPr>
            <w:tcW w:w="615" w:type="pct"/>
            <w:tcBorders>
              <w:top w:val="nil"/>
              <w:left w:val="nil"/>
              <w:bottom w:val="single" w:sz="12" w:space="0" w:color="auto"/>
              <w:right w:val="nil"/>
            </w:tcBorders>
            <w:shd w:val="clear" w:color="auto" w:fill="auto"/>
            <w:noWrap/>
            <w:vAlign w:val="center"/>
            <w:hideMark/>
          </w:tcPr>
          <w:p w14:paraId="2F81DB63"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44</w:t>
            </w:r>
          </w:p>
        </w:tc>
        <w:tc>
          <w:tcPr>
            <w:tcW w:w="401" w:type="pct"/>
            <w:tcBorders>
              <w:top w:val="nil"/>
              <w:left w:val="nil"/>
              <w:bottom w:val="single" w:sz="12" w:space="0" w:color="auto"/>
              <w:right w:val="nil"/>
            </w:tcBorders>
            <w:shd w:val="clear" w:color="auto" w:fill="auto"/>
            <w:noWrap/>
            <w:vAlign w:val="center"/>
            <w:hideMark/>
          </w:tcPr>
          <w:p w14:paraId="23CA20C2" w14:textId="77777777" w:rsidR="00A11D2E" w:rsidRPr="00031059" w:rsidRDefault="00A11D2E">
            <w:pPr>
              <w:widowControl/>
              <w:jc w:val="center"/>
              <w:rPr>
                <w:rFonts w:cstheme="minorHAnsi"/>
                <w:bCs/>
                <w:snapToGrid/>
                <w:sz w:val="22"/>
                <w:szCs w:val="22"/>
              </w:rPr>
            </w:pPr>
            <w:r w:rsidRPr="00031059">
              <w:rPr>
                <w:rFonts w:cstheme="minorHAnsi"/>
                <w:snapToGrid/>
                <w:sz w:val="22"/>
                <w:szCs w:val="22"/>
              </w:rPr>
              <w:t>56</w:t>
            </w:r>
          </w:p>
        </w:tc>
      </w:tr>
    </w:tbl>
    <w:p w14:paraId="73E69D32" w14:textId="77777777" w:rsidR="00031059" w:rsidRDefault="00031059" w:rsidP="00A11D2E">
      <w:pPr>
        <w:rPr>
          <w:rFonts w:cstheme="minorHAnsi"/>
          <w:sz w:val="20"/>
        </w:rPr>
      </w:pPr>
    </w:p>
    <w:p w14:paraId="65641475" w14:textId="3C8FCE35" w:rsidR="00A11D2E" w:rsidRPr="004526EE" w:rsidRDefault="00A11D2E" w:rsidP="00A11D2E">
      <w:pPr>
        <w:rPr>
          <w:rFonts w:cstheme="minorHAnsi"/>
          <w:sz w:val="20"/>
        </w:rPr>
        <w:sectPr w:rsidR="00A11D2E" w:rsidRPr="004526EE" w:rsidSect="009079C4">
          <w:pgSz w:w="12240" w:h="15840" w:code="1"/>
          <w:pgMar w:top="1440" w:right="1440" w:bottom="1440" w:left="1440" w:header="720" w:footer="720" w:gutter="0"/>
          <w:cols w:space="720"/>
          <w:docGrid w:linePitch="360"/>
        </w:sectPr>
      </w:pPr>
      <w:r w:rsidRPr="004526EE">
        <w:rPr>
          <w:rFonts w:cstheme="minorHAnsi"/>
          <w:sz w:val="20"/>
        </w:rPr>
        <w:t>.</w:t>
      </w:r>
    </w:p>
    <w:p w14:paraId="187FCE41" w14:textId="5A9FEFE6" w:rsidR="00264553" w:rsidRDefault="001822EF" w:rsidP="00264553">
      <w:pPr>
        <w:pStyle w:val="Caption"/>
        <w:keepNext/>
      </w:pPr>
      <w:r>
        <w:rPr>
          <w:rFonts w:cstheme="minorHAnsi"/>
          <w:noProof/>
        </w:rPr>
        <w:lastRenderedPageBreak/>
        <w:drawing>
          <wp:inline distT="0" distB="0" distL="0" distR="0" wp14:anchorId="44C33A93" wp14:editId="36EBE389">
            <wp:extent cx="8220075" cy="5324475"/>
            <wp:effectExtent l="0" t="0" r="9525" b="9525"/>
            <wp:docPr id="937785882" name="Picture 937785882" descr="Map of Virginia Statewide Chlorophyll a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85882" name="Picture 3" descr="Map of Virginia Statewide Chlorophyll a trends."/>
                    <pic:cNvPicPr>
                      <a:picLocks noChangeAspect="1" noChangeArrowheads="1"/>
                    </pic:cNvPicPr>
                  </pic:nvPicPr>
                  <pic:blipFill>
                    <a:blip r:embed="rId217" cstate="print">
                      <a:extLst>
                        <a:ext uri="{28A0092B-C50C-407E-A947-70E740481C1C}">
                          <a14:useLocalDpi xmlns:a14="http://schemas.microsoft.com/office/drawing/2010/main"/>
                        </a:ext>
                      </a:extLst>
                    </a:blip>
                    <a:srcRect/>
                    <a:stretch>
                      <a:fillRect/>
                    </a:stretch>
                  </pic:blipFill>
                  <pic:spPr bwMode="auto">
                    <a:xfrm>
                      <a:off x="0" y="0"/>
                      <a:ext cx="8220075" cy="5324475"/>
                    </a:xfrm>
                    <a:prstGeom prst="rect">
                      <a:avLst/>
                    </a:prstGeom>
                    <a:noFill/>
                    <a:ln>
                      <a:noFill/>
                    </a:ln>
                  </pic:spPr>
                </pic:pic>
              </a:graphicData>
            </a:graphic>
          </wp:inline>
        </w:drawing>
      </w:r>
      <w:r w:rsidR="00BE0E56" w:rsidRPr="00620497">
        <w:rPr>
          <w:rFonts w:cstheme="minorHAnsi"/>
          <w:i/>
          <w:noProof/>
          <w:sz w:val="22"/>
        </w:rPr>
        <mc:AlternateContent>
          <mc:Choice Requires="wps">
            <w:drawing>
              <wp:anchor distT="45720" distB="45720" distL="114300" distR="114300" simplePos="0" relativeHeight="251658245" behindDoc="0" locked="0" layoutInCell="1" allowOverlap="1" wp14:anchorId="04A8D624" wp14:editId="6A42850A">
                <wp:simplePos x="0" y="0"/>
                <wp:positionH relativeFrom="column">
                  <wp:posOffset>435935</wp:posOffset>
                </wp:positionH>
                <wp:positionV relativeFrom="paragraph">
                  <wp:posOffset>520995</wp:posOffset>
                </wp:positionV>
                <wp:extent cx="2790825" cy="1404620"/>
                <wp:effectExtent l="0" t="0" r="9525" b="0"/>
                <wp:wrapNone/>
                <wp:docPr id="869515664" name="Text Box 8695156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404620"/>
                        </a:xfrm>
                        <a:prstGeom prst="rect">
                          <a:avLst/>
                        </a:prstGeom>
                        <a:solidFill>
                          <a:srgbClr val="FFFFFF"/>
                        </a:solidFill>
                        <a:ln w="9525">
                          <a:noFill/>
                          <a:miter lim="800000"/>
                          <a:headEnd/>
                          <a:tailEnd/>
                        </a:ln>
                      </wps:spPr>
                      <wps:txbx>
                        <w:txbxContent>
                          <w:p w14:paraId="6CB6980F" w14:textId="77777777" w:rsidR="00BE0E56" w:rsidRPr="00BE0E56" w:rsidRDefault="00BE0E56" w:rsidP="00BE0E56">
                            <w:r w:rsidRPr="00BE0E56">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A8D624" id="Text Box 869515664" o:spid="_x0000_s1033" type="#_x0000_t202" alt="&quot;&quot;" style="position:absolute;margin-left:34.35pt;margin-top:41pt;width:219.75pt;height:110.6pt;z-index:25165824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" stroked="f">
                <v:textbox style="mso-fit-shape-to-text:t">
                  <w:txbxContent>
                    <w:p w14:paraId="6CB6980F" w14:textId="77777777" w:rsidR="00BE0E56" w:rsidRPr="00BE0E56" w:rsidRDefault="00BE0E56" w:rsidP="00BE0E56">
                      <w:r w:rsidRPr="00BE0E56">
                        <w:t>River Basin</w:t>
                      </w:r>
                    </w:p>
                  </w:txbxContent>
                </v:textbox>
              </v:shape>
            </w:pict>
          </mc:Fallback>
        </mc:AlternateContent>
      </w:r>
    </w:p>
    <w:p w14:paraId="7A185639" w14:textId="685834AF" w:rsidR="00264553" w:rsidRDefault="00264553" w:rsidP="00264553">
      <w:pPr>
        <w:pStyle w:val="Caption"/>
      </w:pPr>
      <w:bookmarkStart w:id="346" w:name="_Toc152766301"/>
      <w:bookmarkStart w:id="347" w:name="_Toc164175126"/>
      <w:r>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3</w:t>
      </w:r>
      <w:r w:rsidR="004F13BA">
        <w:rPr>
          <w:noProof/>
        </w:rPr>
        <w:fldChar w:fldCharType="end"/>
      </w:r>
      <w:r>
        <w:t xml:space="preserve">. </w:t>
      </w:r>
      <w:r w:rsidRPr="00AD3B35">
        <w:rPr>
          <w:rFonts w:cstheme="minorHAnsi"/>
          <w:noProof/>
        </w:rPr>
        <w:t>Statewide Chlorophyll</w:t>
      </w:r>
      <w:r>
        <w:rPr>
          <w:rFonts w:cstheme="minorHAnsi"/>
          <w:noProof/>
        </w:rPr>
        <w:t xml:space="preserve"> </w:t>
      </w:r>
      <w:r>
        <w:rPr>
          <w:rFonts w:cstheme="minorHAnsi"/>
          <w:i/>
          <w:iCs w:val="0"/>
          <w:noProof/>
        </w:rPr>
        <w:t>a</w:t>
      </w:r>
      <w:r w:rsidRPr="00AD3B35">
        <w:rPr>
          <w:rFonts w:cstheme="minorHAnsi"/>
          <w:noProof/>
        </w:rPr>
        <w:t xml:space="preserve"> trends.</w:t>
      </w:r>
      <w:bookmarkEnd w:id="346"/>
      <w:bookmarkEnd w:id="347"/>
    </w:p>
    <w:p w14:paraId="3A8A9531" w14:textId="17AD7266" w:rsidR="00A11D2E" w:rsidRPr="00AD3B35" w:rsidRDefault="00A11D2E" w:rsidP="00A11D2E">
      <w:pPr>
        <w:pStyle w:val="Caption"/>
        <w:rPr>
          <w:rFonts w:cstheme="minorHAnsi"/>
        </w:rPr>
      </w:pPr>
    </w:p>
    <w:p w14:paraId="718A54A9" w14:textId="77777777" w:rsidR="00A11D2E" w:rsidRPr="00AD3B35" w:rsidRDefault="00A11D2E" w:rsidP="00A11D2E">
      <w:pPr>
        <w:pStyle w:val="Caption"/>
        <w:rPr>
          <w:rFonts w:cstheme="minorHAnsi"/>
        </w:rPr>
        <w:sectPr w:rsidR="00A11D2E" w:rsidRPr="00AD3B35" w:rsidSect="009079C4">
          <w:pgSz w:w="15840" w:h="12240" w:orient="landscape" w:code="1"/>
          <w:pgMar w:top="1440" w:right="1440" w:bottom="1440" w:left="1440" w:header="720" w:footer="720" w:gutter="0"/>
          <w:cols w:space="720"/>
          <w:docGrid w:linePitch="360"/>
        </w:sectPr>
      </w:pPr>
    </w:p>
    <w:p w14:paraId="136556E4" w14:textId="7A1EBB12" w:rsidR="00264553" w:rsidRDefault="005A07BA" w:rsidP="00264553">
      <w:pPr>
        <w:pStyle w:val="Caption"/>
        <w:keepNext/>
      </w:pPr>
      <w:r w:rsidRPr="00620497">
        <w:rPr>
          <w:rFonts w:cstheme="minorHAnsi"/>
          <w:i/>
          <w:noProof/>
          <w:sz w:val="22"/>
        </w:rPr>
        <w:lastRenderedPageBreak/>
        <mc:AlternateContent>
          <mc:Choice Requires="wps">
            <w:drawing>
              <wp:anchor distT="45720" distB="45720" distL="114300" distR="114300" simplePos="0" relativeHeight="251658246" behindDoc="0" locked="0" layoutInCell="1" allowOverlap="1" wp14:anchorId="27E71333" wp14:editId="14F6B869">
                <wp:simplePos x="0" y="0"/>
                <wp:positionH relativeFrom="column">
                  <wp:posOffset>466725</wp:posOffset>
                </wp:positionH>
                <wp:positionV relativeFrom="paragraph">
                  <wp:posOffset>474345</wp:posOffset>
                </wp:positionV>
                <wp:extent cx="2790825" cy="1404620"/>
                <wp:effectExtent l="0" t="0" r="9525" b="0"/>
                <wp:wrapNone/>
                <wp:docPr id="651042104" name="Text Box 651042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404620"/>
                        </a:xfrm>
                        <a:prstGeom prst="rect">
                          <a:avLst/>
                        </a:prstGeom>
                        <a:solidFill>
                          <a:srgbClr val="FFFFFF"/>
                        </a:solidFill>
                        <a:ln w="9525">
                          <a:noFill/>
                          <a:miter lim="800000"/>
                          <a:headEnd/>
                          <a:tailEnd/>
                        </a:ln>
                      </wps:spPr>
                      <wps:txbx>
                        <w:txbxContent>
                          <w:p w14:paraId="636B1627" w14:textId="77777777" w:rsidR="00BE0E56" w:rsidRPr="00BE0E56" w:rsidRDefault="00BE0E56" w:rsidP="00BE0E56">
                            <w:r w:rsidRPr="00BE0E56">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E71333" id="Text Box 651042104" o:spid="_x0000_s1034" type="#_x0000_t202" alt="&quot;&quot;" style="position:absolute;margin-left:36.75pt;margin-top:37.35pt;width:219.75pt;height:110.6pt;z-index:25165824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" stroked="f">
                <v:textbox style="mso-fit-shape-to-text:t">
                  <w:txbxContent>
                    <w:p w14:paraId="636B1627" w14:textId="77777777" w:rsidR="00BE0E56" w:rsidRPr="00BE0E56" w:rsidRDefault="00BE0E56" w:rsidP="00BE0E56">
                      <w:r w:rsidRPr="00BE0E56">
                        <w:t>River Basin</w:t>
                      </w:r>
                    </w:p>
                  </w:txbxContent>
                </v:textbox>
              </v:shape>
            </w:pict>
          </mc:Fallback>
        </mc:AlternateContent>
      </w:r>
      <w:r w:rsidR="00443CD5">
        <w:rPr>
          <w:noProof/>
          <w:snapToGrid/>
          <w14:ligatures w14:val="standardContextual"/>
        </w:rPr>
        <w:drawing>
          <wp:inline distT="0" distB="0" distL="0" distR="0" wp14:anchorId="07FB9263" wp14:editId="425E629F">
            <wp:extent cx="8229600" cy="5325110"/>
            <wp:effectExtent l="0" t="0" r="0" b="8890"/>
            <wp:docPr id="857957651" name="Picture 2" descr="Map&#10;&#10;Figure 4.7 4. Statewide total volatile suspended solids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57651" name="Picture 2" descr="Map&#10;&#10;Figure 4.7 4. Statewide total volatile suspended solids trends."/>
                    <pic:cNvPicPr/>
                  </pic:nvPicPr>
                  <pic:blipFill>
                    <a:blip r:embed="rId218" cstate="print">
                      <a:extLst>
                        <a:ext uri="{28A0092B-C50C-407E-A947-70E740481C1C}">
                          <a14:useLocalDpi xmlns:a14="http://schemas.microsoft.com/office/drawing/2010/main"/>
                        </a:ext>
                      </a:extLst>
                    </a:blip>
                    <a:stretch>
                      <a:fillRect/>
                    </a:stretch>
                  </pic:blipFill>
                  <pic:spPr>
                    <a:xfrm>
                      <a:off x="0" y="0"/>
                      <a:ext cx="8229600" cy="5325110"/>
                    </a:xfrm>
                    <a:prstGeom prst="rect">
                      <a:avLst/>
                    </a:prstGeom>
                  </pic:spPr>
                </pic:pic>
              </a:graphicData>
            </a:graphic>
          </wp:inline>
        </w:drawing>
      </w:r>
    </w:p>
    <w:p w14:paraId="62DECBC2" w14:textId="6C4BE85C" w:rsidR="00A11D2E" w:rsidRPr="00AD3B35" w:rsidRDefault="00264553" w:rsidP="00264553">
      <w:pPr>
        <w:pStyle w:val="Caption"/>
        <w:rPr>
          <w:rFonts w:cstheme="minorHAnsi"/>
        </w:rPr>
      </w:pPr>
      <w:bookmarkStart w:id="348" w:name="_Toc152766302"/>
      <w:bookmarkStart w:id="349" w:name="_Toc164175127"/>
      <w:r>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4</w:t>
      </w:r>
      <w:r w:rsidR="004F13BA">
        <w:rPr>
          <w:noProof/>
        </w:rPr>
        <w:fldChar w:fldCharType="end"/>
      </w:r>
      <w:r>
        <w:t xml:space="preserve">. </w:t>
      </w:r>
      <w:r w:rsidRPr="00AD3B35">
        <w:rPr>
          <w:rFonts w:cstheme="minorHAnsi"/>
          <w:noProof/>
        </w:rPr>
        <w:t>Statewide total volatile suspended solids trends.</w:t>
      </w:r>
      <w:bookmarkEnd w:id="348"/>
      <w:bookmarkEnd w:id="349"/>
    </w:p>
    <w:p w14:paraId="183BAEC4" w14:textId="15AB0270" w:rsidR="00A11D2E" w:rsidRPr="00AD3B35" w:rsidRDefault="00A11D2E" w:rsidP="00A11D2E">
      <w:pPr>
        <w:pStyle w:val="Caption"/>
        <w:rPr>
          <w:rFonts w:cstheme="minorHAnsi"/>
        </w:rPr>
      </w:pPr>
    </w:p>
    <w:p w14:paraId="44AC4E26" w14:textId="77777777" w:rsidR="00A11D2E" w:rsidRPr="00AD3B35" w:rsidRDefault="00A11D2E" w:rsidP="00A11D2E">
      <w:pPr>
        <w:rPr>
          <w:rFonts w:cstheme="minorHAnsi"/>
          <w:b/>
          <w:bCs/>
        </w:rPr>
        <w:sectPr w:rsidR="00A11D2E" w:rsidRPr="00AD3B35" w:rsidSect="009079C4">
          <w:pgSz w:w="15840" w:h="12240" w:orient="landscape" w:code="1"/>
          <w:pgMar w:top="1440" w:right="1440" w:bottom="1440" w:left="1440" w:header="720" w:footer="720" w:gutter="0"/>
          <w:cols w:space="720"/>
          <w:docGrid w:linePitch="360"/>
        </w:sectPr>
      </w:pPr>
    </w:p>
    <w:p w14:paraId="332BB755" w14:textId="57732F29" w:rsidR="00F1014E" w:rsidRPr="00F1014E" w:rsidRDefault="00A11D2E" w:rsidP="00F1014E">
      <w:pPr>
        <w:pStyle w:val="Heading4"/>
      </w:pPr>
      <w:r w:rsidRPr="00AD3B35">
        <w:lastRenderedPageBreak/>
        <w:t>Total Suspended Solids and Total Fixed Suspended Solids</w:t>
      </w:r>
    </w:p>
    <w:p w14:paraId="2F25013C" w14:textId="06F5A9CD" w:rsidR="00F1014E" w:rsidRPr="00A170F7" w:rsidRDefault="00F1014E" w:rsidP="00184023">
      <w:pPr>
        <w:rPr>
          <w:snapToGrid/>
          <w:sz w:val="20"/>
        </w:rPr>
      </w:pPr>
      <w:r w:rsidRPr="00A170F7">
        <w:t xml:space="preserve">Total suspended solids (TSS) </w:t>
      </w:r>
      <w:r>
        <w:t>are</w:t>
      </w:r>
      <w:r w:rsidRPr="00A170F7">
        <w:t xml:space="preserve"> a measure of the concentration of solids suspended</w:t>
      </w:r>
      <w:r>
        <w:t xml:space="preserve"> (as opposed to dissolved)</w:t>
      </w:r>
      <w:r w:rsidRPr="00A170F7">
        <w:t xml:space="preserve"> in the water column.</w:t>
      </w:r>
      <w:r>
        <w:t xml:space="preserve"> </w:t>
      </w:r>
      <w:r w:rsidRPr="00A170F7">
        <w:t>TSS can serve as an indicator of excessive water column sediment, which can cause habitat destruction, which harms aquatic animals, plants and algae. Excessive sedimentation can also transport</w:t>
      </w:r>
      <w:r>
        <w:t xml:space="preserve"> potential pollutants, such as</w:t>
      </w:r>
      <w:r w:rsidRPr="00A170F7">
        <w:t xml:space="preserve"> toxic organics, metals, and phosphorus.</w:t>
      </w:r>
      <w:r>
        <w:t xml:space="preserve"> </w:t>
      </w:r>
      <w:r w:rsidRPr="00A170F7">
        <w:t xml:space="preserve">Excess TSS in the water column blocks sunlight, which is necessary for the </w:t>
      </w:r>
      <w:r>
        <w:t>growth</w:t>
      </w:r>
      <w:r w:rsidRPr="00A170F7">
        <w:t xml:space="preserve"> of submerged aquatic vegetation.</w:t>
      </w:r>
    </w:p>
    <w:p w14:paraId="537D434D" w14:textId="77777777" w:rsidR="006D1C5B" w:rsidRDefault="006D1C5B" w:rsidP="00A11D2E">
      <w:pPr>
        <w:rPr>
          <w:rFonts w:cstheme="minorHAnsi"/>
        </w:rPr>
      </w:pPr>
    </w:p>
    <w:p w14:paraId="22D710B1" w14:textId="7345697B" w:rsidR="00A11D2E" w:rsidRPr="00960BB8" w:rsidRDefault="00F1014E" w:rsidP="00A11D2E">
      <w:pPr>
        <w:rPr>
          <w:rFonts w:cstheme="minorHAnsi"/>
        </w:rPr>
      </w:pPr>
      <w:r>
        <w:rPr>
          <w:rFonts w:cstheme="minorHAnsi"/>
        </w:rPr>
        <w:t xml:space="preserve">TSS </w:t>
      </w:r>
      <w:r w:rsidR="00A11D2E" w:rsidRPr="00AD3B35">
        <w:rPr>
          <w:rFonts w:cstheme="minorHAnsi"/>
        </w:rPr>
        <w:t xml:space="preserve">are measured at all trend sites and represent the sum of total volatile suspended solids and total fixed suspended solids (TFS). Whereas total suspended volatile solids primarily represent organic material, total suspended fixed solids are mostly composed of mineral sand, silt, and clay, and </w:t>
      </w:r>
      <w:r w:rsidR="00C80E62">
        <w:rPr>
          <w:rFonts w:cstheme="minorHAnsi"/>
        </w:rPr>
        <w:t>may be</w:t>
      </w:r>
      <w:r w:rsidR="00A11D2E" w:rsidRPr="00AD3B35">
        <w:rPr>
          <w:rFonts w:cstheme="minorHAnsi"/>
        </w:rPr>
        <w:t xml:space="preserve"> related to land disturbance. </w:t>
      </w:r>
      <w:r w:rsidR="006F61EB" w:rsidRPr="00AD3B35">
        <w:rPr>
          <w:rFonts w:cstheme="minorHAnsi"/>
        </w:rPr>
        <w:t>Total suspended solids showed improvement at 66 of 386 sites (18%) and degradation at 13 sites (3%; Table 4</w:t>
      </w:r>
      <w:r w:rsidR="006F61EB">
        <w:rPr>
          <w:rFonts w:cstheme="minorHAnsi"/>
        </w:rPr>
        <w:t>.7-</w:t>
      </w:r>
      <w:r w:rsidR="00D3542E">
        <w:rPr>
          <w:rFonts w:cstheme="minorHAnsi"/>
        </w:rPr>
        <w:t>4</w:t>
      </w:r>
      <w:r w:rsidR="006F61EB" w:rsidRPr="00AD3B35">
        <w:rPr>
          <w:rFonts w:cstheme="minorHAnsi"/>
        </w:rPr>
        <w:t xml:space="preserve">). </w:t>
      </w:r>
      <w:r w:rsidR="00A11D2E" w:rsidRPr="00AD3B35">
        <w:rPr>
          <w:rFonts w:cstheme="minorHAnsi"/>
        </w:rPr>
        <w:t>From 2003-2022, improvements in water quality, as indicated by decreasing concentrations of total fixed suspended solids, were detected at 29% out of 160 stations whereas degrading conditions occurred and only one station (Table 4</w:t>
      </w:r>
      <w:r w:rsidR="00FB77E6">
        <w:rPr>
          <w:rFonts w:cstheme="minorHAnsi"/>
        </w:rPr>
        <w:t>.7-</w:t>
      </w:r>
      <w:r w:rsidR="00F57179">
        <w:rPr>
          <w:rFonts w:cstheme="minorHAnsi"/>
        </w:rPr>
        <w:t>4</w:t>
      </w:r>
      <w:r w:rsidR="00A11D2E" w:rsidRPr="00AD3B35">
        <w:rPr>
          <w:rFonts w:cstheme="minorHAnsi"/>
        </w:rPr>
        <w:t>).</w:t>
      </w:r>
      <w:r w:rsidR="00D274C8" w:rsidRPr="00D274C8">
        <w:t xml:space="preserve"> </w:t>
      </w:r>
      <w:r w:rsidR="00D274C8">
        <w:t xml:space="preserve">Trends in </w:t>
      </w:r>
      <w:r w:rsidR="00CA64DF">
        <w:t>TSS</w:t>
      </w:r>
      <w:r w:rsidR="00D274C8">
        <w:t xml:space="preserve"> and </w:t>
      </w:r>
      <w:r w:rsidR="00CA64DF">
        <w:t>TFS</w:t>
      </w:r>
      <w:r w:rsidR="00D274C8">
        <w:t xml:space="preserve"> by basin are shown in Tables </w:t>
      </w:r>
      <w:r w:rsidR="00C06391">
        <w:t>4.7-</w:t>
      </w:r>
      <w:r w:rsidR="00D274C8">
        <w:t xml:space="preserve">8 and </w:t>
      </w:r>
      <w:r w:rsidR="00C06391">
        <w:t>4.7-</w:t>
      </w:r>
      <w:r w:rsidR="00D274C8">
        <w:t>9</w:t>
      </w:r>
      <w:r w:rsidR="00C06391">
        <w:t>.</w:t>
      </w:r>
      <w:r w:rsidR="00A11D2E" w:rsidRPr="00AD3B35">
        <w:rPr>
          <w:rFonts w:cstheme="minorHAnsi"/>
        </w:rPr>
        <w:t xml:space="preserve"> Maps of TSS and TFS are included as Figures </w:t>
      </w:r>
      <w:r w:rsidR="00BC1F49">
        <w:rPr>
          <w:rFonts w:cstheme="minorHAnsi"/>
        </w:rPr>
        <w:t>4.7-</w:t>
      </w:r>
      <w:r w:rsidR="00A11D2E" w:rsidRPr="00AD3B35">
        <w:rPr>
          <w:rFonts w:cstheme="minorHAnsi"/>
        </w:rPr>
        <w:t xml:space="preserve">5 and </w:t>
      </w:r>
      <w:r w:rsidR="00BC1F49">
        <w:rPr>
          <w:rFonts w:cstheme="minorHAnsi"/>
        </w:rPr>
        <w:t>4.7-</w:t>
      </w:r>
      <w:r w:rsidR="00A11D2E" w:rsidRPr="00AD3B35">
        <w:rPr>
          <w:rFonts w:cstheme="minorHAnsi"/>
        </w:rPr>
        <w:t xml:space="preserve">6. </w:t>
      </w:r>
      <w:r w:rsidR="00FB3B01">
        <w:rPr>
          <w:rFonts w:cstheme="minorHAnsi"/>
        </w:rPr>
        <w:br/>
      </w:r>
    </w:p>
    <w:p w14:paraId="6E88782B" w14:textId="6AE8B241" w:rsidR="00960BB8" w:rsidRPr="00960BB8" w:rsidRDefault="00960BB8" w:rsidP="00960BB8">
      <w:pPr>
        <w:pStyle w:val="Caption"/>
        <w:keepNext/>
      </w:pPr>
      <w:bookmarkStart w:id="350" w:name="_Toc164175229"/>
      <w:r w:rsidRPr="00960BB8">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8</w:t>
      </w:r>
      <w:r w:rsidR="004F13BA">
        <w:rPr>
          <w:noProof/>
        </w:rPr>
        <w:fldChar w:fldCharType="end"/>
      </w:r>
      <w:r w:rsidRPr="00960BB8">
        <w:t xml:space="preserve">. </w:t>
      </w:r>
      <w:r w:rsidRPr="00960BB8">
        <w:rPr>
          <w:rFonts w:cstheme="minorHAnsi"/>
        </w:rPr>
        <w:t>Total suspended solids trends by basin</w:t>
      </w:r>
      <w:r w:rsidR="00ED1C17">
        <w:rPr>
          <w:rFonts w:cstheme="minorHAnsi"/>
        </w:rPr>
        <w:t>, 2003 through 2022.</w:t>
      </w:r>
      <w:bookmarkEnd w:id="350"/>
    </w:p>
    <w:tbl>
      <w:tblPr>
        <w:tblW w:w="5000" w:type="pct"/>
        <w:tblLook w:val="04A0" w:firstRow="1" w:lastRow="0" w:firstColumn="1" w:lastColumn="0" w:noHBand="0" w:noVBand="1"/>
        <w:tblCaption w:val="Table of Total suspended solids trends by basin."/>
        <w:tblDescription w:val="Total suspended solids trends by basin."/>
      </w:tblPr>
      <w:tblGrid>
        <w:gridCol w:w="1539"/>
        <w:gridCol w:w="960"/>
        <w:gridCol w:w="1191"/>
        <w:gridCol w:w="1262"/>
        <w:gridCol w:w="1320"/>
        <w:gridCol w:w="1187"/>
        <w:gridCol w:w="1151"/>
        <w:gridCol w:w="750"/>
      </w:tblGrid>
      <w:tr w:rsidR="00A11D2E" w:rsidRPr="00AD3B35" w14:paraId="1DFD4E1A" w14:textId="77777777" w:rsidTr="00960BB8">
        <w:trPr>
          <w:trHeight w:val="1035"/>
        </w:trPr>
        <w:tc>
          <w:tcPr>
            <w:tcW w:w="822" w:type="pct"/>
            <w:tcBorders>
              <w:top w:val="single" w:sz="12" w:space="0" w:color="auto"/>
              <w:left w:val="nil"/>
              <w:bottom w:val="single" w:sz="8" w:space="0" w:color="auto"/>
              <w:right w:val="nil"/>
            </w:tcBorders>
            <w:shd w:val="clear" w:color="auto" w:fill="auto"/>
            <w:vAlign w:val="center"/>
            <w:hideMark/>
          </w:tcPr>
          <w:p w14:paraId="2FA81A43" w14:textId="77777777" w:rsidR="00A11D2E" w:rsidRPr="00975A99" w:rsidRDefault="00A11D2E">
            <w:pPr>
              <w:widowControl/>
              <w:jc w:val="center"/>
              <w:rPr>
                <w:rFonts w:cstheme="minorHAnsi"/>
                <w:b/>
                <w:bCs/>
                <w:snapToGrid/>
                <w:sz w:val="22"/>
                <w:szCs w:val="22"/>
              </w:rPr>
            </w:pPr>
            <w:r w:rsidRPr="00975A99">
              <w:rPr>
                <w:rFonts w:cstheme="minorHAnsi"/>
                <w:b/>
                <w:bCs/>
                <w:sz w:val="22"/>
                <w:szCs w:val="22"/>
              </w:rPr>
              <w:t>Basin</w:t>
            </w:r>
          </w:p>
        </w:tc>
        <w:tc>
          <w:tcPr>
            <w:tcW w:w="513" w:type="pct"/>
            <w:tcBorders>
              <w:top w:val="single" w:sz="12" w:space="0" w:color="auto"/>
              <w:left w:val="nil"/>
              <w:bottom w:val="single" w:sz="8" w:space="0" w:color="auto"/>
              <w:right w:val="nil"/>
            </w:tcBorders>
            <w:shd w:val="clear" w:color="auto" w:fill="auto"/>
            <w:vAlign w:val="center"/>
            <w:hideMark/>
          </w:tcPr>
          <w:p w14:paraId="5F044C83" w14:textId="77777777" w:rsidR="00A11D2E" w:rsidRPr="00975A99" w:rsidRDefault="00A11D2E">
            <w:pPr>
              <w:jc w:val="center"/>
              <w:rPr>
                <w:rFonts w:cstheme="minorHAnsi"/>
                <w:b/>
                <w:bCs/>
                <w:sz w:val="22"/>
                <w:szCs w:val="22"/>
              </w:rPr>
            </w:pPr>
            <w:r w:rsidRPr="00975A99">
              <w:rPr>
                <w:rFonts w:cstheme="minorHAnsi"/>
                <w:b/>
                <w:bCs/>
                <w:sz w:val="22"/>
                <w:szCs w:val="22"/>
              </w:rPr>
              <w:t>Total Stations</w:t>
            </w:r>
          </w:p>
        </w:tc>
        <w:tc>
          <w:tcPr>
            <w:tcW w:w="637" w:type="pct"/>
            <w:tcBorders>
              <w:top w:val="single" w:sz="12" w:space="0" w:color="auto"/>
              <w:left w:val="nil"/>
              <w:bottom w:val="single" w:sz="8" w:space="0" w:color="auto"/>
              <w:right w:val="nil"/>
            </w:tcBorders>
            <w:shd w:val="clear" w:color="auto" w:fill="auto"/>
            <w:vAlign w:val="center"/>
            <w:hideMark/>
          </w:tcPr>
          <w:p w14:paraId="42F82511" w14:textId="77777777" w:rsidR="00A11D2E" w:rsidRPr="00975A99" w:rsidRDefault="00A11D2E">
            <w:pPr>
              <w:jc w:val="center"/>
              <w:rPr>
                <w:rFonts w:cstheme="minorHAnsi"/>
                <w:b/>
                <w:bCs/>
                <w:sz w:val="22"/>
                <w:szCs w:val="22"/>
              </w:rPr>
            </w:pPr>
            <w:r w:rsidRPr="00975A99">
              <w:rPr>
                <w:rFonts w:cstheme="minorHAnsi"/>
                <w:b/>
                <w:bCs/>
                <w:sz w:val="22"/>
                <w:szCs w:val="22"/>
              </w:rPr>
              <w:t>Improving Trend (stations)</w:t>
            </w:r>
          </w:p>
        </w:tc>
        <w:tc>
          <w:tcPr>
            <w:tcW w:w="674" w:type="pct"/>
            <w:tcBorders>
              <w:top w:val="single" w:sz="12" w:space="0" w:color="auto"/>
              <w:left w:val="nil"/>
              <w:bottom w:val="single" w:sz="8" w:space="0" w:color="auto"/>
              <w:right w:val="nil"/>
            </w:tcBorders>
            <w:shd w:val="clear" w:color="auto" w:fill="auto"/>
            <w:vAlign w:val="center"/>
            <w:hideMark/>
          </w:tcPr>
          <w:p w14:paraId="44B2D118" w14:textId="77777777" w:rsidR="00A11D2E" w:rsidRPr="00975A99" w:rsidRDefault="00A11D2E">
            <w:pPr>
              <w:jc w:val="center"/>
              <w:rPr>
                <w:rFonts w:cstheme="minorHAnsi"/>
                <w:b/>
                <w:bCs/>
                <w:sz w:val="22"/>
                <w:szCs w:val="22"/>
              </w:rPr>
            </w:pPr>
            <w:r w:rsidRPr="00975A99">
              <w:rPr>
                <w:rFonts w:cstheme="minorHAnsi"/>
                <w:b/>
                <w:bCs/>
                <w:sz w:val="22"/>
                <w:szCs w:val="22"/>
              </w:rPr>
              <w:t>Degrading Trend (stations)</w:t>
            </w:r>
          </w:p>
        </w:tc>
        <w:tc>
          <w:tcPr>
            <w:tcW w:w="705" w:type="pct"/>
            <w:tcBorders>
              <w:top w:val="single" w:sz="12" w:space="0" w:color="auto"/>
              <w:left w:val="nil"/>
              <w:bottom w:val="single" w:sz="8" w:space="0" w:color="auto"/>
              <w:right w:val="nil"/>
            </w:tcBorders>
            <w:shd w:val="clear" w:color="auto" w:fill="auto"/>
            <w:vAlign w:val="center"/>
            <w:hideMark/>
          </w:tcPr>
          <w:p w14:paraId="1B0C7058" w14:textId="77777777" w:rsidR="00A11D2E" w:rsidRPr="00975A99" w:rsidRDefault="00A11D2E">
            <w:pPr>
              <w:jc w:val="center"/>
              <w:rPr>
                <w:rFonts w:cstheme="minorHAnsi"/>
                <w:b/>
                <w:bCs/>
                <w:sz w:val="22"/>
                <w:szCs w:val="22"/>
              </w:rPr>
            </w:pPr>
            <w:r w:rsidRPr="00975A99">
              <w:rPr>
                <w:rFonts w:cstheme="minorHAnsi"/>
                <w:b/>
                <w:bCs/>
                <w:sz w:val="22"/>
                <w:szCs w:val="22"/>
              </w:rPr>
              <w:t>No Trend (stations)</w:t>
            </w:r>
          </w:p>
        </w:tc>
        <w:tc>
          <w:tcPr>
            <w:tcW w:w="634" w:type="pct"/>
            <w:tcBorders>
              <w:top w:val="single" w:sz="12" w:space="0" w:color="auto"/>
              <w:left w:val="nil"/>
              <w:bottom w:val="single" w:sz="8" w:space="0" w:color="auto"/>
              <w:right w:val="nil"/>
            </w:tcBorders>
            <w:shd w:val="clear" w:color="auto" w:fill="auto"/>
            <w:vAlign w:val="center"/>
            <w:hideMark/>
          </w:tcPr>
          <w:p w14:paraId="473EA5A7" w14:textId="77777777" w:rsidR="00A11D2E" w:rsidRPr="00975A99" w:rsidRDefault="00A11D2E">
            <w:pPr>
              <w:jc w:val="center"/>
              <w:rPr>
                <w:rFonts w:cstheme="minorHAnsi"/>
                <w:b/>
                <w:bCs/>
                <w:sz w:val="22"/>
                <w:szCs w:val="22"/>
              </w:rPr>
            </w:pPr>
            <w:r w:rsidRPr="00975A99">
              <w:rPr>
                <w:rFonts w:cstheme="minorHAnsi"/>
                <w:b/>
                <w:bCs/>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4965CEA9" w14:textId="77777777" w:rsidR="00A11D2E" w:rsidRPr="00975A99" w:rsidRDefault="00A11D2E">
            <w:pPr>
              <w:jc w:val="center"/>
              <w:rPr>
                <w:rFonts w:cstheme="minorHAnsi"/>
                <w:b/>
                <w:bCs/>
                <w:sz w:val="22"/>
                <w:szCs w:val="22"/>
              </w:rPr>
            </w:pPr>
            <w:r w:rsidRPr="00975A99">
              <w:rPr>
                <w:rFonts w:cstheme="minorHAnsi"/>
                <w:b/>
                <w:bCs/>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61B5FED0" w14:textId="77777777" w:rsidR="00A11D2E" w:rsidRPr="00975A99" w:rsidRDefault="00A11D2E">
            <w:pPr>
              <w:jc w:val="center"/>
              <w:rPr>
                <w:rFonts w:cstheme="minorHAnsi"/>
                <w:b/>
                <w:bCs/>
                <w:sz w:val="22"/>
                <w:szCs w:val="22"/>
              </w:rPr>
            </w:pPr>
            <w:r w:rsidRPr="00975A99">
              <w:rPr>
                <w:rFonts w:cstheme="minorHAnsi"/>
                <w:b/>
                <w:bCs/>
                <w:sz w:val="22"/>
                <w:szCs w:val="22"/>
              </w:rPr>
              <w:t>No Trend (%)</w:t>
            </w:r>
          </w:p>
        </w:tc>
      </w:tr>
      <w:tr w:rsidR="00A11D2E" w:rsidRPr="00AD3B35" w14:paraId="7C270F15" w14:textId="77777777" w:rsidTr="00960BB8">
        <w:trPr>
          <w:trHeight w:val="360"/>
        </w:trPr>
        <w:tc>
          <w:tcPr>
            <w:tcW w:w="822" w:type="pct"/>
            <w:tcBorders>
              <w:top w:val="nil"/>
              <w:left w:val="nil"/>
              <w:bottom w:val="nil"/>
              <w:right w:val="nil"/>
            </w:tcBorders>
            <w:shd w:val="clear" w:color="auto" w:fill="auto"/>
            <w:noWrap/>
            <w:vAlign w:val="center"/>
            <w:hideMark/>
          </w:tcPr>
          <w:p w14:paraId="19A9FB70" w14:textId="129A189C" w:rsidR="00A11D2E" w:rsidRPr="00975A99" w:rsidRDefault="00A11D2E">
            <w:pPr>
              <w:widowControl/>
              <w:jc w:val="center"/>
              <w:rPr>
                <w:rFonts w:cstheme="minorHAnsi"/>
                <w:bCs/>
                <w:snapToGrid/>
                <w:sz w:val="22"/>
                <w:szCs w:val="22"/>
              </w:rPr>
            </w:pPr>
            <w:r w:rsidRPr="00975A99">
              <w:rPr>
                <w:rFonts w:cstheme="minorHAnsi"/>
                <w:snapToGrid/>
                <w:sz w:val="22"/>
                <w:szCs w:val="22"/>
              </w:rPr>
              <w:t>Chesapeake</w:t>
            </w:r>
          </w:p>
        </w:tc>
        <w:tc>
          <w:tcPr>
            <w:tcW w:w="513" w:type="pct"/>
            <w:tcBorders>
              <w:top w:val="nil"/>
              <w:left w:val="nil"/>
              <w:bottom w:val="nil"/>
              <w:right w:val="nil"/>
            </w:tcBorders>
            <w:shd w:val="clear" w:color="auto" w:fill="auto"/>
            <w:noWrap/>
            <w:vAlign w:val="center"/>
            <w:hideMark/>
          </w:tcPr>
          <w:p w14:paraId="291FAFC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34</w:t>
            </w:r>
          </w:p>
        </w:tc>
        <w:tc>
          <w:tcPr>
            <w:tcW w:w="637" w:type="pct"/>
            <w:tcBorders>
              <w:top w:val="nil"/>
              <w:left w:val="nil"/>
              <w:bottom w:val="nil"/>
              <w:right w:val="nil"/>
            </w:tcBorders>
            <w:shd w:val="clear" w:color="auto" w:fill="auto"/>
            <w:noWrap/>
            <w:vAlign w:val="center"/>
            <w:hideMark/>
          </w:tcPr>
          <w:p w14:paraId="3FA873E9"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4</w:t>
            </w:r>
          </w:p>
        </w:tc>
        <w:tc>
          <w:tcPr>
            <w:tcW w:w="674" w:type="pct"/>
            <w:tcBorders>
              <w:top w:val="nil"/>
              <w:left w:val="nil"/>
              <w:bottom w:val="nil"/>
              <w:right w:val="nil"/>
            </w:tcBorders>
            <w:shd w:val="clear" w:color="auto" w:fill="auto"/>
            <w:noWrap/>
            <w:vAlign w:val="center"/>
            <w:hideMark/>
          </w:tcPr>
          <w:p w14:paraId="3C739812"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w:t>
            </w:r>
          </w:p>
        </w:tc>
        <w:tc>
          <w:tcPr>
            <w:tcW w:w="705" w:type="pct"/>
            <w:tcBorders>
              <w:top w:val="nil"/>
              <w:left w:val="nil"/>
              <w:bottom w:val="nil"/>
              <w:right w:val="nil"/>
            </w:tcBorders>
            <w:shd w:val="clear" w:color="auto" w:fill="auto"/>
            <w:noWrap/>
            <w:vAlign w:val="center"/>
            <w:hideMark/>
          </w:tcPr>
          <w:p w14:paraId="399DCFFE"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29</w:t>
            </w:r>
          </w:p>
        </w:tc>
        <w:tc>
          <w:tcPr>
            <w:tcW w:w="634" w:type="pct"/>
            <w:tcBorders>
              <w:top w:val="nil"/>
              <w:left w:val="nil"/>
              <w:bottom w:val="nil"/>
              <w:right w:val="nil"/>
            </w:tcBorders>
            <w:shd w:val="clear" w:color="auto" w:fill="auto"/>
            <w:noWrap/>
            <w:vAlign w:val="center"/>
            <w:hideMark/>
          </w:tcPr>
          <w:p w14:paraId="76411AD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12</w:t>
            </w:r>
          </w:p>
        </w:tc>
        <w:tc>
          <w:tcPr>
            <w:tcW w:w="615" w:type="pct"/>
            <w:tcBorders>
              <w:top w:val="nil"/>
              <w:left w:val="nil"/>
              <w:bottom w:val="nil"/>
              <w:right w:val="nil"/>
            </w:tcBorders>
            <w:shd w:val="clear" w:color="auto" w:fill="auto"/>
            <w:noWrap/>
            <w:vAlign w:val="center"/>
            <w:hideMark/>
          </w:tcPr>
          <w:p w14:paraId="3AB07716"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w:t>
            </w:r>
          </w:p>
        </w:tc>
        <w:tc>
          <w:tcPr>
            <w:tcW w:w="401" w:type="pct"/>
            <w:tcBorders>
              <w:top w:val="nil"/>
              <w:left w:val="nil"/>
              <w:bottom w:val="nil"/>
              <w:right w:val="nil"/>
            </w:tcBorders>
            <w:shd w:val="clear" w:color="auto" w:fill="auto"/>
            <w:noWrap/>
            <w:vAlign w:val="center"/>
            <w:hideMark/>
          </w:tcPr>
          <w:p w14:paraId="1ED568E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85</w:t>
            </w:r>
          </w:p>
        </w:tc>
      </w:tr>
      <w:tr w:rsidR="00A11D2E" w:rsidRPr="00AD3B35" w14:paraId="6BADB7AC" w14:textId="77777777" w:rsidTr="00960BB8">
        <w:trPr>
          <w:trHeight w:val="360"/>
        </w:trPr>
        <w:tc>
          <w:tcPr>
            <w:tcW w:w="822" w:type="pct"/>
            <w:tcBorders>
              <w:top w:val="nil"/>
              <w:left w:val="nil"/>
              <w:bottom w:val="nil"/>
              <w:right w:val="nil"/>
            </w:tcBorders>
            <w:shd w:val="clear" w:color="auto" w:fill="auto"/>
            <w:noWrap/>
            <w:vAlign w:val="center"/>
            <w:hideMark/>
          </w:tcPr>
          <w:p w14:paraId="017A814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Chowan</w:t>
            </w:r>
          </w:p>
        </w:tc>
        <w:tc>
          <w:tcPr>
            <w:tcW w:w="513" w:type="pct"/>
            <w:tcBorders>
              <w:top w:val="nil"/>
              <w:left w:val="nil"/>
              <w:bottom w:val="nil"/>
              <w:right w:val="nil"/>
            </w:tcBorders>
            <w:shd w:val="clear" w:color="auto" w:fill="auto"/>
            <w:noWrap/>
            <w:vAlign w:val="center"/>
            <w:hideMark/>
          </w:tcPr>
          <w:p w14:paraId="53BF5DBC"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52</w:t>
            </w:r>
          </w:p>
        </w:tc>
        <w:tc>
          <w:tcPr>
            <w:tcW w:w="637" w:type="pct"/>
            <w:tcBorders>
              <w:top w:val="nil"/>
              <w:left w:val="nil"/>
              <w:bottom w:val="nil"/>
              <w:right w:val="nil"/>
            </w:tcBorders>
            <w:shd w:val="clear" w:color="auto" w:fill="auto"/>
            <w:noWrap/>
            <w:vAlign w:val="center"/>
            <w:hideMark/>
          </w:tcPr>
          <w:p w14:paraId="6F7BCB50"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10</w:t>
            </w:r>
          </w:p>
        </w:tc>
        <w:tc>
          <w:tcPr>
            <w:tcW w:w="674" w:type="pct"/>
            <w:tcBorders>
              <w:top w:val="nil"/>
              <w:left w:val="nil"/>
              <w:bottom w:val="nil"/>
              <w:right w:val="nil"/>
            </w:tcBorders>
            <w:shd w:val="clear" w:color="auto" w:fill="auto"/>
            <w:noWrap/>
            <w:vAlign w:val="center"/>
            <w:hideMark/>
          </w:tcPr>
          <w:p w14:paraId="7B33B571"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4</w:t>
            </w:r>
          </w:p>
        </w:tc>
        <w:tc>
          <w:tcPr>
            <w:tcW w:w="705" w:type="pct"/>
            <w:tcBorders>
              <w:top w:val="nil"/>
              <w:left w:val="nil"/>
              <w:bottom w:val="nil"/>
              <w:right w:val="nil"/>
            </w:tcBorders>
            <w:shd w:val="clear" w:color="auto" w:fill="auto"/>
            <w:noWrap/>
            <w:vAlign w:val="center"/>
            <w:hideMark/>
          </w:tcPr>
          <w:p w14:paraId="09C4BA26"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38</w:t>
            </w:r>
          </w:p>
        </w:tc>
        <w:tc>
          <w:tcPr>
            <w:tcW w:w="634" w:type="pct"/>
            <w:tcBorders>
              <w:top w:val="nil"/>
              <w:left w:val="nil"/>
              <w:bottom w:val="nil"/>
              <w:right w:val="nil"/>
            </w:tcBorders>
            <w:shd w:val="clear" w:color="auto" w:fill="auto"/>
            <w:noWrap/>
            <w:vAlign w:val="center"/>
            <w:hideMark/>
          </w:tcPr>
          <w:p w14:paraId="5B25EE4A"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19</w:t>
            </w:r>
          </w:p>
        </w:tc>
        <w:tc>
          <w:tcPr>
            <w:tcW w:w="615" w:type="pct"/>
            <w:tcBorders>
              <w:top w:val="nil"/>
              <w:left w:val="nil"/>
              <w:bottom w:val="nil"/>
              <w:right w:val="nil"/>
            </w:tcBorders>
            <w:shd w:val="clear" w:color="auto" w:fill="auto"/>
            <w:noWrap/>
            <w:vAlign w:val="center"/>
            <w:hideMark/>
          </w:tcPr>
          <w:p w14:paraId="59336659"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8</w:t>
            </w:r>
          </w:p>
        </w:tc>
        <w:tc>
          <w:tcPr>
            <w:tcW w:w="401" w:type="pct"/>
            <w:tcBorders>
              <w:top w:val="nil"/>
              <w:left w:val="nil"/>
              <w:bottom w:val="nil"/>
              <w:right w:val="nil"/>
            </w:tcBorders>
            <w:shd w:val="clear" w:color="auto" w:fill="auto"/>
            <w:noWrap/>
            <w:vAlign w:val="center"/>
            <w:hideMark/>
          </w:tcPr>
          <w:p w14:paraId="23EA3987"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73</w:t>
            </w:r>
          </w:p>
        </w:tc>
      </w:tr>
      <w:tr w:rsidR="00A11D2E" w:rsidRPr="00AD3B35" w14:paraId="678A645C" w14:textId="77777777" w:rsidTr="00960BB8">
        <w:trPr>
          <w:trHeight w:val="360"/>
        </w:trPr>
        <w:tc>
          <w:tcPr>
            <w:tcW w:w="822" w:type="pct"/>
            <w:tcBorders>
              <w:top w:val="nil"/>
              <w:left w:val="nil"/>
              <w:bottom w:val="nil"/>
              <w:right w:val="nil"/>
            </w:tcBorders>
            <w:shd w:val="clear" w:color="auto" w:fill="auto"/>
            <w:noWrap/>
            <w:vAlign w:val="center"/>
            <w:hideMark/>
          </w:tcPr>
          <w:p w14:paraId="026C3434"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James</w:t>
            </w:r>
          </w:p>
        </w:tc>
        <w:tc>
          <w:tcPr>
            <w:tcW w:w="513" w:type="pct"/>
            <w:tcBorders>
              <w:top w:val="nil"/>
              <w:left w:val="nil"/>
              <w:bottom w:val="nil"/>
              <w:right w:val="nil"/>
            </w:tcBorders>
            <w:shd w:val="clear" w:color="auto" w:fill="auto"/>
            <w:noWrap/>
            <w:vAlign w:val="center"/>
            <w:hideMark/>
          </w:tcPr>
          <w:p w14:paraId="0C1B65F7"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90</w:t>
            </w:r>
          </w:p>
        </w:tc>
        <w:tc>
          <w:tcPr>
            <w:tcW w:w="637" w:type="pct"/>
            <w:tcBorders>
              <w:top w:val="nil"/>
              <w:left w:val="nil"/>
              <w:bottom w:val="nil"/>
              <w:right w:val="nil"/>
            </w:tcBorders>
            <w:shd w:val="clear" w:color="auto" w:fill="auto"/>
            <w:noWrap/>
            <w:vAlign w:val="center"/>
            <w:hideMark/>
          </w:tcPr>
          <w:p w14:paraId="12237B9E"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24</w:t>
            </w:r>
          </w:p>
        </w:tc>
        <w:tc>
          <w:tcPr>
            <w:tcW w:w="674" w:type="pct"/>
            <w:tcBorders>
              <w:top w:val="nil"/>
              <w:left w:val="nil"/>
              <w:bottom w:val="nil"/>
              <w:right w:val="nil"/>
            </w:tcBorders>
            <w:shd w:val="clear" w:color="auto" w:fill="auto"/>
            <w:noWrap/>
            <w:vAlign w:val="center"/>
            <w:hideMark/>
          </w:tcPr>
          <w:p w14:paraId="764A206C"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705" w:type="pct"/>
            <w:tcBorders>
              <w:top w:val="nil"/>
              <w:left w:val="nil"/>
              <w:bottom w:val="nil"/>
              <w:right w:val="nil"/>
            </w:tcBorders>
            <w:shd w:val="clear" w:color="auto" w:fill="auto"/>
            <w:noWrap/>
            <w:vAlign w:val="center"/>
            <w:hideMark/>
          </w:tcPr>
          <w:p w14:paraId="14CABD7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66</w:t>
            </w:r>
          </w:p>
        </w:tc>
        <w:tc>
          <w:tcPr>
            <w:tcW w:w="634" w:type="pct"/>
            <w:tcBorders>
              <w:top w:val="nil"/>
              <w:left w:val="nil"/>
              <w:bottom w:val="nil"/>
              <w:right w:val="nil"/>
            </w:tcBorders>
            <w:shd w:val="clear" w:color="auto" w:fill="auto"/>
            <w:noWrap/>
            <w:vAlign w:val="center"/>
            <w:hideMark/>
          </w:tcPr>
          <w:p w14:paraId="40D45C5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27</w:t>
            </w:r>
          </w:p>
        </w:tc>
        <w:tc>
          <w:tcPr>
            <w:tcW w:w="615" w:type="pct"/>
            <w:tcBorders>
              <w:top w:val="nil"/>
              <w:left w:val="nil"/>
              <w:bottom w:val="nil"/>
              <w:right w:val="nil"/>
            </w:tcBorders>
            <w:shd w:val="clear" w:color="auto" w:fill="auto"/>
            <w:noWrap/>
            <w:vAlign w:val="center"/>
            <w:hideMark/>
          </w:tcPr>
          <w:p w14:paraId="2DE87AE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4AC0F52C"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73</w:t>
            </w:r>
          </w:p>
        </w:tc>
      </w:tr>
      <w:tr w:rsidR="00A11D2E" w:rsidRPr="00AD3B35" w14:paraId="272E32BF" w14:textId="77777777" w:rsidTr="00960BB8">
        <w:trPr>
          <w:trHeight w:val="360"/>
        </w:trPr>
        <w:tc>
          <w:tcPr>
            <w:tcW w:w="822" w:type="pct"/>
            <w:tcBorders>
              <w:top w:val="nil"/>
              <w:left w:val="nil"/>
              <w:bottom w:val="nil"/>
              <w:right w:val="nil"/>
            </w:tcBorders>
            <w:shd w:val="clear" w:color="auto" w:fill="auto"/>
            <w:noWrap/>
            <w:vAlign w:val="center"/>
            <w:hideMark/>
          </w:tcPr>
          <w:p w14:paraId="43391349"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New</w:t>
            </w:r>
          </w:p>
        </w:tc>
        <w:tc>
          <w:tcPr>
            <w:tcW w:w="513" w:type="pct"/>
            <w:tcBorders>
              <w:top w:val="nil"/>
              <w:left w:val="nil"/>
              <w:bottom w:val="nil"/>
              <w:right w:val="nil"/>
            </w:tcBorders>
            <w:shd w:val="clear" w:color="auto" w:fill="auto"/>
            <w:noWrap/>
            <w:vAlign w:val="center"/>
            <w:hideMark/>
          </w:tcPr>
          <w:p w14:paraId="7FA5A6A4"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12</w:t>
            </w:r>
          </w:p>
        </w:tc>
        <w:tc>
          <w:tcPr>
            <w:tcW w:w="637" w:type="pct"/>
            <w:tcBorders>
              <w:top w:val="nil"/>
              <w:left w:val="nil"/>
              <w:bottom w:val="nil"/>
              <w:right w:val="nil"/>
            </w:tcBorders>
            <w:shd w:val="clear" w:color="auto" w:fill="auto"/>
            <w:noWrap/>
            <w:vAlign w:val="center"/>
            <w:hideMark/>
          </w:tcPr>
          <w:p w14:paraId="10F6DA97"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674" w:type="pct"/>
            <w:tcBorders>
              <w:top w:val="nil"/>
              <w:left w:val="nil"/>
              <w:bottom w:val="nil"/>
              <w:right w:val="nil"/>
            </w:tcBorders>
            <w:shd w:val="clear" w:color="auto" w:fill="auto"/>
            <w:noWrap/>
            <w:vAlign w:val="center"/>
            <w:hideMark/>
          </w:tcPr>
          <w:p w14:paraId="692C93D1"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w:t>
            </w:r>
          </w:p>
        </w:tc>
        <w:tc>
          <w:tcPr>
            <w:tcW w:w="705" w:type="pct"/>
            <w:tcBorders>
              <w:top w:val="nil"/>
              <w:left w:val="nil"/>
              <w:bottom w:val="nil"/>
              <w:right w:val="nil"/>
            </w:tcBorders>
            <w:shd w:val="clear" w:color="auto" w:fill="auto"/>
            <w:noWrap/>
            <w:vAlign w:val="center"/>
            <w:hideMark/>
          </w:tcPr>
          <w:p w14:paraId="6E2FA545"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9</w:t>
            </w:r>
          </w:p>
        </w:tc>
        <w:tc>
          <w:tcPr>
            <w:tcW w:w="634" w:type="pct"/>
            <w:tcBorders>
              <w:top w:val="nil"/>
              <w:left w:val="nil"/>
              <w:bottom w:val="nil"/>
              <w:right w:val="nil"/>
            </w:tcBorders>
            <w:shd w:val="clear" w:color="auto" w:fill="auto"/>
            <w:noWrap/>
            <w:vAlign w:val="center"/>
            <w:hideMark/>
          </w:tcPr>
          <w:p w14:paraId="34E43AE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32B5A7D6"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25</w:t>
            </w:r>
          </w:p>
        </w:tc>
        <w:tc>
          <w:tcPr>
            <w:tcW w:w="401" w:type="pct"/>
            <w:tcBorders>
              <w:top w:val="nil"/>
              <w:left w:val="nil"/>
              <w:bottom w:val="nil"/>
              <w:right w:val="nil"/>
            </w:tcBorders>
            <w:shd w:val="clear" w:color="auto" w:fill="auto"/>
            <w:noWrap/>
            <w:vAlign w:val="center"/>
            <w:hideMark/>
          </w:tcPr>
          <w:p w14:paraId="7DF47B61"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75</w:t>
            </w:r>
          </w:p>
        </w:tc>
      </w:tr>
      <w:tr w:rsidR="00A11D2E" w:rsidRPr="00AD3B35" w14:paraId="1EEA2D85" w14:textId="77777777" w:rsidTr="00960BB8">
        <w:trPr>
          <w:trHeight w:val="360"/>
        </w:trPr>
        <w:tc>
          <w:tcPr>
            <w:tcW w:w="822" w:type="pct"/>
            <w:tcBorders>
              <w:top w:val="nil"/>
              <w:left w:val="nil"/>
              <w:bottom w:val="nil"/>
              <w:right w:val="nil"/>
            </w:tcBorders>
            <w:shd w:val="clear" w:color="auto" w:fill="auto"/>
            <w:noWrap/>
            <w:vAlign w:val="center"/>
            <w:hideMark/>
          </w:tcPr>
          <w:p w14:paraId="325DA2A1"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Potomac</w:t>
            </w:r>
          </w:p>
        </w:tc>
        <w:tc>
          <w:tcPr>
            <w:tcW w:w="513" w:type="pct"/>
            <w:tcBorders>
              <w:top w:val="nil"/>
              <w:left w:val="nil"/>
              <w:bottom w:val="nil"/>
              <w:right w:val="nil"/>
            </w:tcBorders>
            <w:shd w:val="clear" w:color="auto" w:fill="auto"/>
            <w:noWrap/>
            <w:vAlign w:val="center"/>
            <w:hideMark/>
          </w:tcPr>
          <w:p w14:paraId="4D34BAC7"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45</w:t>
            </w:r>
          </w:p>
        </w:tc>
        <w:tc>
          <w:tcPr>
            <w:tcW w:w="637" w:type="pct"/>
            <w:tcBorders>
              <w:top w:val="nil"/>
              <w:left w:val="nil"/>
              <w:bottom w:val="nil"/>
              <w:right w:val="nil"/>
            </w:tcBorders>
            <w:shd w:val="clear" w:color="auto" w:fill="auto"/>
            <w:noWrap/>
            <w:vAlign w:val="center"/>
            <w:hideMark/>
          </w:tcPr>
          <w:p w14:paraId="7AEE3849"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8</w:t>
            </w:r>
          </w:p>
        </w:tc>
        <w:tc>
          <w:tcPr>
            <w:tcW w:w="674" w:type="pct"/>
            <w:tcBorders>
              <w:top w:val="nil"/>
              <w:left w:val="nil"/>
              <w:bottom w:val="nil"/>
              <w:right w:val="nil"/>
            </w:tcBorders>
            <w:shd w:val="clear" w:color="auto" w:fill="auto"/>
            <w:noWrap/>
            <w:vAlign w:val="center"/>
            <w:hideMark/>
          </w:tcPr>
          <w:p w14:paraId="1FF23A1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705" w:type="pct"/>
            <w:tcBorders>
              <w:top w:val="nil"/>
              <w:left w:val="nil"/>
              <w:bottom w:val="nil"/>
              <w:right w:val="nil"/>
            </w:tcBorders>
            <w:shd w:val="clear" w:color="auto" w:fill="auto"/>
            <w:noWrap/>
            <w:vAlign w:val="center"/>
            <w:hideMark/>
          </w:tcPr>
          <w:p w14:paraId="2AAC2C19"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37</w:t>
            </w:r>
          </w:p>
        </w:tc>
        <w:tc>
          <w:tcPr>
            <w:tcW w:w="634" w:type="pct"/>
            <w:tcBorders>
              <w:top w:val="nil"/>
              <w:left w:val="nil"/>
              <w:bottom w:val="nil"/>
              <w:right w:val="nil"/>
            </w:tcBorders>
            <w:shd w:val="clear" w:color="auto" w:fill="auto"/>
            <w:noWrap/>
            <w:vAlign w:val="center"/>
            <w:hideMark/>
          </w:tcPr>
          <w:p w14:paraId="2A249273"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18</w:t>
            </w:r>
          </w:p>
        </w:tc>
        <w:tc>
          <w:tcPr>
            <w:tcW w:w="615" w:type="pct"/>
            <w:tcBorders>
              <w:top w:val="nil"/>
              <w:left w:val="nil"/>
              <w:bottom w:val="nil"/>
              <w:right w:val="nil"/>
            </w:tcBorders>
            <w:shd w:val="clear" w:color="auto" w:fill="auto"/>
            <w:noWrap/>
            <w:vAlign w:val="center"/>
            <w:hideMark/>
          </w:tcPr>
          <w:p w14:paraId="581317AC"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6F800FC7"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82</w:t>
            </w:r>
          </w:p>
        </w:tc>
      </w:tr>
      <w:tr w:rsidR="00A11D2E" w:rsidRPr="00AD3B35" w14:paraId="425B8090" w14:textId="77777777" w:rsidTr="00960BB8">
        <w:trPr>
          <w:trHeight w:val="360"/>
        </w:trPr>
        <w:tc>
          <w:tcPr>
            <w:tcW w:w="822" w:type="pct"/>
            <w:tcBorders>
              <w:top w:val="nil"/>
              <w:left w:val="nil"/>
              <w:bottom w:val="nil"/>
              <w:right w:val="nil"/>
            </w:tcBorders>
            <w:shd w:val="clear" w:color="auto" w:fill="auto"/>
            <w:noWrap/>
            <w:vAlign w:val="center"/>
            <w:hideMark/>
          </w:tcPr>
          <w:p w14:paraId="18E11445"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Rappahannock</w:t>
            </w:r>
          </w:p>
        </w:tc>
        <w:tc>
          <w:tcPr>
            <w:tcW w:w="513" w:type="pct"/>
            <w:tcBorders>
              <w:top w:val="nil"/>
              <w:left w:val="nil"/>
              <w:bottom w:val="nil"/>
              <w:right w:val="nil"/>
            </w:tcBorders>
            <w:shd w:val="clear" w:color="auto" w:fill="auto"/>
            <w:noWrap/>
            <w:vAlign w:val="center"/>
            <w:hideMark/>
          </w:tcPr>
          <w:p w14:paraId="0DD36373"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38</w:t>
            </w:r>
          </w:p>
        </w:tc>
        <w:tc>
          <w:tcPr>
            <w:tcW w:w="637" w:type="pct"/>
            <w:tcBorders>
              <w:top w:val="nil"/>
              <w:left w:val="nil"/>
              <w:bottom w:val="nil"/>
              <w:right w:val="nil"/>
            </w:tcBorders>
            <w:shd w:val="clear" w:color="auto" w:fill="auto"/>
            <w:noWrap/>
            <w:vAlign w:val="center"/>
            <w:hideMark/>
          </w:tcPr>
          <w:p w14:paraId="019AF817"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9</w:t>
            </w:r>
          </w:p>
        </w:tc>
        <w:tc>
          <w:tcPr>
            <w:tcW w:w="674" w:type="pct"/>
            <w:tcBorders>
              <w:top w:val="nil"/>
              <w:left w:val="nil"/>
              <w:bottom w:val="nil"/>
              <w:right w:val="nil"/>
            </w:tcBorders>
            <w:shd w:val="clear" w:color="auto" w:fill="auto"/>
            <w:noWrap/>
            <w:vAlign w:val="center"/>
            <w:hideMark/>
          </w:tcPr>
          <w:p w14:paraId="312C3E82"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705" w:type="pct"/>
            <w:tcBorders>
              <w:top w:val="nil"/>
              <w:left w:val="nil"/>
              <w:bottom w:val="nil"/>
              <w:right w:val="nil"/>
            </w:tcBorders>
            <w:shd w:val="clear" w:color="auto" w:fill="auto"/>
            <w:noWrap/>
            <w:vAlign w:val="center"/>
            <w:hideMark/>
          </w:tcPr>
          <w:p w14:paraId="0966C4E4"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29</w:t>
            </w:r>
          </w:p>
        </w:tc>
        <w:tc>
          <w:tcPr>
            <w:tcW w:w="634" w:type="pct"/>
            <w:tcBorders>
              <w:top w:val="nil"/>
              <w:left w:val="nil"/>
              <w:bottom w:val="nil"/>
              <w:right w:val="nil"/>
            </w:tcBorders>
            <w:shd w:val="clear" w:color="auto" w:fill="auto"/>
            <w:noWrap/>
            <w:vAlign w:val="center"/>
            <w:hideMark/>
          </w:tcPr>
          <w:p w14:paraId="469C1EA1"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24</w:t>
            </w:r>
          </w:p>
        </w:tc>
        <w:tc>
          <w:tcPr>
            <w:tcW w:w="615" w:type="pct"/>
            <w:tcBorders>
              <w:top w:val="nil"/>
              <w:left w:val="nil"/>
              <w:bottom w:val="nil"/>
              <w:right w:val="nil"/>
            </w:tcBorders>
            <w:shd w:val="clear" w:color="auto" w:fill="auto"/>
            <w:noWrap/>
            <w:vAlign w:val="center"/>
            <w:hideMark/>
          </w:tcPr>
          <w:p w14:paraId="6E4FE6BB"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0A538D2C"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76</w:t>
            </w:r>
          </w:p>
        </w:tc>
      </w:tr>
      <w:tr w:rsidR="00A11D2E" w:rsidRPr="00AD3B35" w14:paraId="726089A5" w14:textId="77777777" w:rsidTr="00960BB8">
        <w:trPr>
          <w:trHeight w:val="360"/>
        </w:trPr>
        <w:tc>
          <w:tcPr>
            <w:tcW w:w="822" w:type="pct"/>
            <w:tcBorders>
              <w:top w:val="nil"/>
              <w:left w:val="nil"/>
              <w:bottom w:val="nil"/>
              <w:right w:val="nil"/>
            </w:tcBorders>
            <w:shd w:val="clear" w:color="auto" w:fill="auto"/>
            <w:noWrap/>
            <w:vAlign w:val="center"/>
            <w:hideMark/>
          </w:tcPr>
          <w:p w14:paraId="4B5FFB43"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Roanoke</w:t>
            </w:r>
          </w:p>
        </w:tc>
        <w:tc>
          <w:tcPr>
            <w:tcW w:w="513" w:type="pct"/>
            <w:tcBorders>
              <w:top w:val="nil"/>
              <w:left w:val="nil"/>
              <w:bottom w:val="nil"/>
              <w:right w:val="nil"/>
            </w:tcBorders>
            <w:shd w:val="clear" w:color="auto" w:fill="auto"/>
            <w:noWrap/>
            <w:vAlign w:val="center"/>
            <w:hideMark/>
          </w:tcPr>
          <w:p w14:paraId="3C372935"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45</w:t>
            </w:r>
          </w:p>
        </w:tc>
        <w:tc>
          <w:tcPr>
            <w:tcW w:w="637" w:type="pct"/>
            <w:tcBorders>
              <w:top w:val="nil"/>
              <w:left w:val="nil"/>
              <w:bottom w:val="nil"/>
              <w:right w:val="nil"/>
            </w:tcBorders>
            <w:shd w:val="clear" w:color="auto" w:fill="auto"/>
            <w:noWrap/>
            <w:vAlign w:val="center"/>
            <w:hideMark/>
          </w:tcPr>
          <w:p w14:paraId="2B34B75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5</w:t>
            </w:r>
          </w:p>
        </w:tc>
        <w:tc>
          <w:tcPr>
            <w:tcW w:w="674" w:type="pct"/>
            <w:tcBorders>
              <w:top w:val="nil"/>
              <w:left w:val="nil"/>
              <w:bottom w:val="nil"/>
              <w:right w:val="nil"/>
            </w:tcBorders>
            <w:shd w:val="clear" w:color="auto" w:fill="auto"/>
            <w:noWrap/>
            <w:vAlign w:val="center"/>
            <w:hideMark/>
          </w:tcPr>
          <w:p w14:paraId="206B2DD9"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w:t>
            </w:r>
          </w:p>
        </w:tc>
        <w:tc>
          <w:tcPr>
            <w:tcW w:w="705" w:type="pct"/>
            <w:tcBorders>
              <w:top w:val="nil"/>
              <w:left w:val="nil"/>
              <w:bottom w:val="nil"/>
              <w:right w:val="nil"/>
            </w:tcBorders>
            <w:shd w:val="clear" w:color="auto" w:fill="auto"/>
            <w:noWrap/>
            <w:vAlign w:val="center"/>
            <w:hideMark/>
          </w:tcPr>
          <w:p w14:paraId="4ACAA71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39</w:t>
            </w:r>
          </w:p>
        </w:tc>
        <w:tc>
          <w:tcPr>
            <w:tcW w:w="634" w:type="pct"/>
            <w:tcBorders>
              <w:top w:val="nil"/>
              <w:left w:val="nil"/>
              <w:bottom w:val="nil"/>
              <w:right w:val="nil"/>
            </w:tcBorders>
            <w:shd w:val="clear" w:color="auto" w:fill="auto"/>
            <w:noWrap/>
            <w:vAlign w:val="center"/>
            <w:hideMark/>
          </w:tcPr>
          <w:p w14:paraId="5B79CFBC"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11</w:t>
            </w:r>
          </w:p>
        </w:tc>
        <w:tc>
          <w:tcPr>
            <w:tcW w:w="615" w:type="pct"/>
            <w:tcBorders>
              <w:top w:val="nil"/>
              <w:left w:val="nil"/>
              <w:bottom w:val="nil"/>
              <w:right w:val="nil"/>
            </w:tcBorders>
            <w:shd w:val="clear" w:color="auto" w:fill="auto"/>
            <w:noWrap/>
            <w:vAlign w:val="center"/>
            <w:hideMark/>
          </w:tcPr>
          <w:p w14:paraId="6B235515"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2</w:t>
            </w:r>
          </w:p>
        </w:tc>
        <w:tc>
          <w:tcPr>
            <w:tcW w:w="401" w:type="pct"/>
            <w:tcBorders>
              <w:top w:val="nil"/>
              <w:left w:val="nil"/>
              <w:bottom w:val="nil"/>
              <w:right w:val="nil"/>
            </w:tcBorders>
            <w:shd w:val="clear" w:color="auto" w:fill="auto"/>
            <w:noWrap/>
            <w:vAlign w:val="center"/>
            <w:hideMark/>
          </w:tcPr>
          <w:p w14:paraId="4583F526"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87</w:t>
            </w:r>
          </w:p>
        </w:tc>
      </w:tr>
      <w:tr w:rsidR="00A11D2E" w:rsidRPr="00AD3B35" w14:paraId="1578203B" w14:textId="77777777" w:rsidTr="00960BB8">
        <w:trPr>
          <w:trHeight w:val="360"/>
        </w:trPr>
        <w:tc>
          <w:tcPr>
            <w:tcW w:w="822" w:type="pct"/>
            <w:tcBorders>
              <w:top w:val="nil"/>
              <w:left w:val="nil"/>
              <w:bottom w:val="nil"/>
              <w:right w:val="nil"/>
            </w:tcBorders>
            <w:shd w:val="clear" w:color="auto" w:fill="auto"/>
            <w:noWrap/>
            <w:vAlign w:val="center"/>
            <w:hideMark/>
          </w:tcPr>
          <w:p w14:paraId="7C8D6CC8"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Shenandoah</w:t>
            </w:r>
          </w:p>
        </w:tc>
        <w:tc>
          <w:tcPr>
            <w:tcW w:w="513" w:type="pct"/>
            <w:tcBorders>
              <w:top w:val="nil"/>
              <w:left w:val="nil"/>
              <w:bottom w:val="nil"/>
              <w:right w:val="nil"/>
            </w:tcBorders>
            <w:shd w:val="clear" w:color="auto" w:fill="auto"/>
            <w:noWrap/>
            <w:vAlign w:val="center"/>
            <w:hideMark/>
          </w:tcPr>
          <w:p w14:paraId="58933FF2"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16</w:t>
            </w:r>
          </w:p>
        </w:tc>
        <w:tc>
          <w:tcPr>
            <w:tcW w:w="637" w:type="pct"/>
            <w:tcBorders>
              <w:top w:val="nil"/>
              <w:left w:val="nil"/>
              <w:bottom w:val="nil"/>
              <w:right w:val="nil"/>
            </w:tcBorders>
            <w:shd w:val="clear" w:color="auto" w:fill="auto"/>
            <w:noWrap/>
            <w:vAlign w:val="center"/>
            <w:hideMark/>
          </w:tcPr>
          <w:p w14:paraId="24091A88"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5</w:t>
            </w:r>
          </w:p>
        </w:tc>
        <w:tc>
          <w:tcPr>
            <w:tcW w:w="674" w:type="pct"/>
            <w:tcBorders>
              <w:top w:val="nil"/>
              <w:left w:val="nil"/>
              <w:bottom w:val="nil"/>
              <w:right w:val="nil"/>
            </w:tcBorders>
            <w:shd w:val="clear" w:color="auto" w:fill="auto"/>
            <w:noWrap/>
            <w:vAlign w:val="center"/>
            <w:hideMark/>
          </w:tcPr>
          <w:p w14:paraId="0C4B914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705" w:type="pct"/>
            <w:tcBorders>
              <w:top w:val="nil"/>
              <w:left w:val="nil"/>
              <w:bottom w:val="nil"/>
              <w:right w:val="nil"/>
            </w:tcBorders>
            <w:shd w:val="clear" w:color="auto" w:fill="auto"/>
            <w:noWrap/>
            <w:vAlign w:val="center"/>
            <w:hideMark/>
          </w:tcPr>
          <w:p w14:paraId="4A11EBCC"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11</w:t>
            </w:r>
          </w:p>
        </w:tc>
        <w:tc>
          <w:tcPr>
            <w:tcW w:w="634" w:type="pct"/>
            <w:tcBorders>
              <w:top w:val="nil"/>
              <w:left w:val="nil"/>
              <w:bottom w:val="nil"/>
              <w:right w:val="nil"/>
            </w:tcBorders>
            <w:shd w:val="clear" w:color="auto" w:fill="auto"/>
            <w:noWrap/>
            <w:vAlign w:val="center"/>
            <w:hideMark/>
          </w:tcPr>
          <w:p w14:paraId="2C8FCD1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31</w:t>
            </w:r>
          </w:p>
        </w:tc>
        <w:tc>
          <w:tcPr>
            <w:tcW w:w="615" w:type="pct"/>
            <w:tcBorders>
              <w:top w:val="nil"/>
              <w:left w:val="nil"/>
              <w:bottom w:val="nil"/>
              <w:right w:val="nil"/>
            </w:tcBorders>
            <w:shd w:val="clear" w:color="auto" w:fill="auto"/>
            <w:noWrap/>
            <w:vAlign w:val="center"/>
            <w:hideMark/>
          </w:tcPr>
          <w:p w14:paraId="23BCFA33"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23D74B80"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69</w:t>
            </w:r>
          </w:p>
        </w:tc>
      </w:tr>
      <w:tr w:rsidR="00A11D2E" w:rsidRPr="00AD3B35" w14:paraId="6702E1FD" w14:textId="77777777" w:rsidTr="00960BB8">
        <w:trPr>
          <w:trHeight w:val="360"/>
        </w:trPr>
        <w:tc>
          <w:tcPr>
            <w:tcW w:w="822" w:type="pct"/>
            <w:tcBorders>
              <w:top w:val="nil"/>
              <w:left w:val="nil"/>
              <w:right w:val="nil"/>
            </w:tcBorders>
            <w:shd w:val="clear" w:color="auto" w:fill="auto"/>
            <w:noWrap/>
            <w:vAlign w:val="center"/>
            <w:hideMark/>
          </w:tcPr>
          <w:p w14:paraId="3C7929C9"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Tennessee</w:t>
            </w:r>
          </w:p>
        </w:tc>
        <w:tc>
          <w:tcPr>
            <w:tcW w:w="513" w:type="pct"/>
            <w:tcBorders>
              <w:top w:val="nil"/>
              <w:left w:val="nil"/>
              <w:right w:val="nil"/>
            </w:tcBorders>
            <w:shd w:val="clear" w:color="auto" w:fill="auto"/>
            <w:noWrap/>
            <w:vAlign w:val="center"/>
            <w:hideMark/>
          </w:tcPr>
          <w:p w14:paraId="0F44E042"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20</w:t>
            </w:r>
          </w:p>
        </w:tc>
        <w:tc>
          <w:tcPr>
            <w:tcW w:w="637" w:type="pct"/>
            <w:tcBorders>
              <w:top w:val="nil"/>
              <w:left w:val="nil"/>
              <w:right w:val="nil"/>
            </w:tcBorders>
            <w:shd w:val="clear" w:color="auto" w:fill="auto"/>
            <w:noWrap/>
            <w:vAlign w:val="center"/>
            <w:hideMark/>
          </w:tcPr>
          <w:p w14:paraId="605C0E74"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674" w:type="pct"/>
            <w:tcBorders>
              <w:top w:val="nil"/>
              <w:left w:val="nil"/>
              <w:right w:val="nil"/>
            </w:tcBorders>
            <w:shd w:val="clear" w:color="auto" w:fill="auto"/>
            <w:noWrap/>
            <w:vAlign w:val="center"/>
            <w:hideMark/>
          </w:tcPr>
          <w:p w14:paraId="46A3671C"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w:t>
            </w:r>
          </w:p>
        </w:tc>
        <w:tc>
          <w:tcPr>
            <w:tcW w:w="705" w:type="pct"/>
            <w:tcBorders>
              <w:top w:val="nil"/>
              <w:left w:val="nil"/>
              <w:right w:val="nil"/>
            </w:tcBorders>
            <w:shd w:val="clear" w:color="auto" w:fill="auto"/>
            <w:noWrap/>
            <w:vAlign w:val="center"/>
            <w:hideMark/>
          </w:tcPr>
          <w:p w14:paraId="05B77764"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19</w:t>
            </w:r>
          </w:p>
        </w:tc>
        <w:tc>
          <w:tcPr>
            <w:tcW w:w="634" w:type="pct"/>
            <w:tcBorders>
              <w:top w:val="nil"/>
              <w:left w:val="nil"/>
              <w:right w:val="nil"/>
            </w:tcBorders>
            <w:shd w:val="clear" w:color="auto" w:fill="auto"/>
            <w:noWrap/>
            <w:vAlign w:val="center"/>
            <w:hideMark/>
          </w:tcPr>
          <w:p w14:paraId="6A6BDF1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615" w:type="pct"/>
            <w:tcBorders>
              <w:top w:val="nil"/>
              <w:left w:val="nil"/>
              <w:right w:val="nil"/>
            </w:tcBorders>
            <w:shd w:val="clear" w:color="auto" w:fill="auto"/>
            <w:noWrap/>
            <w:vAlign w:val="center"/>
            <w:hideMark/>
          </w:tcPr>
          <w:p w14:paraId="475B46A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5</w:t>
            </w:r>
          </w:p>
        </w:tc>
        <w:tc>
          <w:tcPr>
            <w:tcW w:w="401" w:type="pct"/>
            <w:tcBorders>
              <w:top w:val="nil"/>
              <w:left w:val="nil"/>
              <w:right w:val="nil"/>
            </w:tcBorders>
            <w:shd w:val="clear" w:color="auto" w:fill="auto"/>
            <w:noWrap/>
            <w:vAlign w:val="center"/>
            <w:hideMark/>
          </w:tcPr>
          <w:p w14:paraId="13B377A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95</w:t>
            </w:r>
          </w:p>
        </w:tc>
      </w:tr>
      <w:tr w:rsidR="00A11D2E" w:rsidRPr="00AD3B35" w14:paraId="4A3F59F1" w14:textId="77777777" w:rsidTr="00960BB8">
        <w:trPr>
          <w:trHeight w:val="360"/>
        </w:trPr>
        <w:tc>
          <w:tcPr>
            <w:tcW w:w="822" w:type="pct"/>
            <w:tcBorders>
              <w:top w:val="nil"/>
              <w:left w:val="nil"/>
              <w:bottom w:val="single" w:sz="12" w:space="0" w:color="auto"/>
              <w:right w:val="nil"/>
            </w:tcBorders>
            <w:shd w:val="clear" w:color="auto" w:fill="auto"/>
            <w:noWrap/>
            <w:vAlign w:val="center"/>
            <w:hideMark/>
          </w:tcPr>
          <w:p w14:paraId="74A4A550"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York</w:t>
            </w:r>
          </w:p>
        </w:tc>
        <w:tc>
          <w:tcPr>
            <w:tcW w:w="513" w:type="pct"/>
            <w:tcBorders>
              <w:top w:val="nil"/>
              <w:left w:val="nil"/>
              <w:bottom w:val="single" w:sz="12" w:space="0" w:color="auto"/>
              <w:right w:val="nil"/>
            </w:tcBorders>
            <w:shd w:val="clear" w:color="auto" w:fill="auto"/>
            <w:noWrap/>
            <w:vAlign w:val="center"/>
            <w:hideMark/>
          </w:tcPr>
          <w:p w14:paraId="6B66D84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34</w:t>
            </w:r>
          </w:p>
        </w:tc>
        <w:tc>
          <w:tcPr>
            <w:tcW w:w="637" w:type="pct"/>
            <w:tcBorders>
              <w:top w:val="nil"/>
              <w:left w:val="nil"/>
              <w:bottom w:val="single" w:sz="12" w:space="0" w:color="auto"/>
              <w:right w:val="nil"/>
            </w:tcBorders>
            <w:shd w:val="clear" w:color="auto" w:fill="auto"/>
            <w:noWrap/>
            <w:vAlign w:val="center"/>
            <w:hideMark/>
          </w:tcPr>
          <w:p w14:paraId="63853E6A"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w:t>
            </w:r>
          </w:p>
        </w:tc>
        <w:tc>
          <w:tcPr>
            <w:tcW w:w="674" w:type="pct"/>
            <w:tcBorders>
              <w:top w:val="nil"/>
              <w:left w:val="nil"/>
              <w:bottom w:val="single" w:sz="12" w:space="0" w:color="auto"/>
              <w:right w:val="nil"/>
            </w:tcBorders>
            <w:shd w:val="clear" w:color="auto" w:fill="auto"/>
            <w:noWrap/>
            <w:vAlign w:val="center"/>
            <w:hideMark/>
          </w:tcPr>
          <w:p w14:paraId="09B8621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w:t>
            </w:r>
          </w:p>
        </w:tc>
        <w:tc>
          <w:tcPr>
            <w:tcW w:w="705" w:type="pct"/>
            <w:tcBorders>
              <w:top w:val="nil"/>
              <w:left w:val="nil"/>
              <w:bottom w:val="single" w:sz="12" w:space="0" w:color="auto"/>
              <w:right w:val="nil"/>
            </w:tcBorders>
            <w:shd w:val="clear" w:color="auto" w:fill="auto"/>
            <w:noWrap/>
            <w:vAlign w:val="center"/>
            <w:hideMark/>
          </w:tcPr>
          <w:p w14:paraId="0198EB2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30</w:t>
            </w:r>
          </w:p>
        </w:tc>
        <w:tc>
          <w:tcPr>
            <w:tcW w:w="634" w:type="pct"/>
            <w:tcBorders>
              <w:top w:val="nil"/>
              <w:left w:val="nil"/>
              <w:bottom w:val="single" w:sz="12" w:space="0" w:color="auto"/>
              <w:right w:val="nil"/>
            </w:tcBorders>
            <w:shd w:val="clear" w:color="auto" w:fill="auto"/>
            <w:noWrap/>
            <w:vAlign w:val="center"/>
            <w:hideMark/>
          </w:tcPr>
          <w:p w14:paraId="6282BB64"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w:t>
            </w:r>
          </w:p>
        </w:tc>
        <w:tc>
          <w:tcPr>
            <w:tcW w:w="615" w:type="pct"/>
            <w:tcBorders>
              <w:top w:val="nil"/>
              <w:left w:val="nil"/>
              <w:bottom w:val="single" w:sz="12" w:space="0" w:color="auto"/>
              <w:right w:val="nil"/>
            </w:tcBorders>
            <w:shd w:val="clear" w:color="auto" w:fill="auto"/>
            <w:noWrap/>
            <w:vAlign w:val="center"/>
            <w:hideMark/>
          </w:tcPr>
          <w:p w14:paraId="4C5BE550"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9</w:t>
            </w:r>
          </w:p>
        </w:tc>
        <w:tc>
          <w:tcPr>
            <w:tcW w:w="401" w:type="pct"/>
            <w:tcBorders>
              <w:top w:val="nil"/>
              <w:left w:val="nil"/>
              <w:bottom w:val="single" w:sz="12" w:space="0" w:color="auto"/>
              <w:right w:val="nil"/>
            </w:tcBorders>
            <w:shd w:val="clear" w:color="auto" w:fill="auto"/>
            <w:noWrap/>
            <w:vAlign w:val="center"/>
            <w:hideMark/>
          </w:tcPr>
          <w:p w14:paraId="7C790846"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88</w:t>
            </w:r>
          </w:p>
        </w:tc>
      </w:tr>
    </w:tbl>
    <w:p w14:paraId="3A9C4BFF" w14:textId="77777777" w:rsidR="00A11D2E" w:rsidRDefault="00A11D2E" w:rsidP="00A11D2E">
      <w:pPr>
        <w:rPr>
          <w:rFonts w:cstheme="minorHAnsi"/>
        </w:rPr>
      </w:pPr>
    </w:p>
    <w:p w14:paraId="03CD4DAD" w14:textId="77777777" w:rsidR="00975A99" w:rsidRDefault="00975A99" w:rsidP="00A11D2E">
      <w:pPr>
        <w:rPr>
          <w:rFonts w:cstheme="minorHAnsi"/>
        </w:rPr>
      </w:pPr>
    </w:p>
    <w:p w14:paraId="31FD9894" w14:textId="77777777" w:rsidR="00975A99" w:rsidRDefault="00975A99" w:rsidP="00A11D2E">
      <w:pPr>
        <w:rPr>
          <w:rFonts w:cstheme="minorHAnsi"/>
        </w:rPr>
      </w:pPr>
    </w:p>
    <w:p w14:paraId="0B642D2C" w14:textId="77777777" w:rsidR="00975A99" w:rsidRPr="00AD3B35" w:rsidRDefault="00975A99" w:rsidP="00A11D2E">
      <w:pPr>
        <w:rPr>
          <w:rFonts w:cstheme="minorHAnsi"/>
          <w:b/>
          <w:bCs/>
        </w:rPr>
      </w:pPr>
    </w:p>
    <w:p w14:paraId="191C522D" w14:textId="77777777" w:rsidR="00A11D2E" w:rsidRPr="00AD3B35" w:rsidRDefault="00A11D2E" w:rsidP="00A11D2E">
      <w:pPr>
        <w:rPr>
          <w:rFonts w:cstheme="minorHAnsi"/>
          <w:b/>
          <w:bCs/>
        </w:rPr>
      </w:pPr>
    </w:p>
    <w:p w14:paraId="6E894855" w14:textId="77777777" w:rsidR="00A11D2E" w:rsidRPr="00AD3B35" w:rsidRDefault="00A11D2E" w:rsidP="00A11D2E">
      <w:pPr>
        <w:rPr>
          <w:rFonts w:cstheme="minorHAnsi"/>
          <w:b/>
          <w:bCs/>
        </w:rPr>
      </w:pPr>
    </w:p>
    <w:p w14:paraId="23A8E9BB" w14:textId="77777777" w:rsidR="00A11D2E" w:rsidRPr="00AD3B35" w:rsidRDefault="00A11D2E" w:rsidP="00A11D2E">
      <w:pPr>
        <w:rPr>
          <w:rFonts w:cstheme="minorHAnsi"/>
          <w:b/>
          <w:bCs/>
        </w:rPr>
      </w:pPr>
    </w:p>
    <w:p w14:paraId="0D1C1B7C" w14:textId="77777777" w:rsidR="00FB3B01" w:rsidRPr="00AD3B35" w:rsidRDefault="00FB3B01" w:rsidP="00A11D2E">
      <w:pPr>
        <w:rPr>
          <w:rFonts w:cstheme="minorHAnsi"/>
          <w:b/>
          <w:bCs/>
        </w:rPr>
      </w:pPr>
    </w:p>
    <w:p w14:paraId="27280BE6" w14:textId="3186C22E" w:rsidR="00960BB8" w:rsidRDefault="00960BB8" w:rsidP="00960BB8">
      <w:pPr>
        <w:pStyle w:val="Caption"/>
        <w:keepNext/>
      </w:pPr>
      <w:bookmarkStart w:id="351" w:name="_Toc164175230"/>
      <w:r>
        <w:lastRenderedPageBreak/>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9</w:t>
      </w:r>
      <w:r w:rsidR="004F13BA">
        <w:rPr>
          <w:noProof/>
        </w:rPr>
        <w:fldChar w:fldCharType="end"/>
      </w:r>
      <w:r>
        <w:t>.</w:t>
      </w:r>
      <w:r w:rsidRPr="00960BB8">
        <w:rPr>
          <w:rFonts w:cstheme="minorHAnsi"/>
          <w:bCs/>
        </w:rPr>
        <w:t xml:space="preserve"> Total suspended fixed solids trends by basin</w:t>
      </w:r>
      <w:r w:rsidR="00ED1C17">
        <w:rPr>
          <w:rFonts w:cstheme="minorHAnsi"/>
          <w:bCs/>
        </w:rPr>
        <w:t>, 2003 through 2022.</w:t>
      </w:r>
      <w:bookmarkEnd w:id="351"/>
      <w:r w:rsidR="00ED1C17">
        <w:rPr>
          <w:rFonts w:cstheme="minorHAnsi"/>
          <w:bCs/>
        </w:rPr>
        <w:t xml:space="preserve"> </w:t>
      </w:r>
    </w:p>
    <w:tbl>
      <w:tblPr>
        <w:tblW w:w="5000" w:type="pct"/>
        <w:tblLayout w:type="fixed"/>
        <w:tblLook w:val="04A0" w:firstRow="1" w:lastRow="0" w:firstColumn="1" w:lastColumn="0" w:noHBand="0" w:noVBand="1"/>
        <w:tblCaption w:val="Table of Total suspended fixed solids trends by basin."/>
        <w:tblDescription w:val="Total suspended fixed solids trends by basin."/>
      </w:tblPr>
      <w:tblGrid>
        <w:gridCol w:w="1620"/>
        <w:gridCol w:w="990"/>
        <w:gridCol w:w="1170"/>
        <w:gridCol w:w="1170"/>
        <w:gridCol w:w="1104"/>
        <w:gridCol w:w="1221"/>
        <w:gridCol w:w="1224"/>
        <w:gridCol w:w="861"/>
      </w:tblGrid>
      <w:tr w:rsidR="00A11D2E" w:rsidRPr="00AD3B35" w14:paraId="6DBFCB6E" w14:textId="77777777" w:rsidTr="00997684">
        <w:trPr>
          <w:trHeight w:val="300"/>
        </w:trPr>
        <w:tc>
          <w:tcPr>
            <w:tcW w:w="865" w:type="pct"/>
            <w:tcBorders>
              <w:top w:val="single" w:sz="12" w:space="0" w:color="auto"/>
              <w:left w:val="nil"/>
              <w:bottom w:val="single" w:sz="4" w:space="0" w:color="auto"/>
              <w:right w:val="nil"/>
            </w:tcBorders>
            <w:shd w:val="clear" w:color="auto" w:fill="auto"/>
            <w:noWrap/>
            <w:vAlign w:val="center"/>
            <w:hideMark/>
          </w:tcPr>
          <w:p w14:paraId="7BD9EAEA" w14:textId="77777777" w:rsidR="00A11D2E" w:rsidRPr="00997684" w:rsidRDefault="00A11D2E">
            <w:pPr>
              <w:widowControl/>
              <w:jc w:val="center"/>
              <w:rPr>
                <w:rFonts w:cstheme="minorHAnsi"/>
                <w:b/>
                <w:bCs/>
                <w:snapToGrid/>
                <w:color w:val="0070C0"/>
                <w:sz w:val="22"/>
                <w:szCs w:val="22"/>
                <w:u w:val="single"/>
              </w:rPr>
            </w:pPr>
            <w:r w:rsidRPr="00997684">
              <w:rPr>
                <w:rFonts w:cstheme="minorHAnsi"/>
                <w:b/>
                <w:bCs/>
                <w:color w:val="000000"/>
                <w:sz w:val="22"/>
                <w:szCs w:val="22"/>
              </w:rPr>
              <w:t>Basin</w:t>
            </w:r>
          </w:p>
        </w:tc>
        <w:tc>
          <w:tcPr>
            <w:tcW w:w="529" w:type="pct"/>
            <w:tcBorders>
              <w:top w:val="single" w:sz="12" w:space="0" w:color="auto"/>
              <w:left w:val="nil"/>
              <w:bottom w:val="single" w:sz="4" w:space="0" w:color="auto"/>
              <w:right w:val="nil"/>
            </w:tcBorders>
            <w:shd w:val="clear" w:color="auto" w:fill="auto"/>
            <w:noWrap/>
            <w:vAlign w:val="center"/>
            <w:hideMark/>
          </w:tcPr>
          <w:p w14:paraId="72160DD0" w14:textId="77777777" w:rsidR="00A11D2E" w:rsidRPr="00997684" w:rsidRDefault="00A11D2E">
            <w:pPr>
              <w:widowControl/>
              <w:jc w:val="center"/>
              <w:rPr>
                <w:rFonts w:cstheme="minorHAnsi"/>
                <w:b/>
                <w:bCs/>
                <w:snapToGrid/>
                <w:color w:val="000000"/>
                <w:sz w:val="22"/>
                <w:szCs w:val="22"/>
              </w:rPr>
            </w:pPr>
            <w:r w:rsidRPr="00997684">
              <w:rPr>
                <w:rFonts w:cstheme="minorHAnsi"/>
                <w:b/>
                <w:bCs/>
                <w:color w:val="000000"/>
                <w:sz w:val="22"/>
                <w:szCs w:val="22"/>
              </w:rPr>
              <w:t>Total Stations</w:t>
            </w:r>
          </w:p>
        </w:tc>
        <w:tc>
          <w:tcPr>
            <w:tcW w:w="625" w:type="pct"/>
            <w:tcBorders>
              <w:top w:val="single" w:sz="12" w:space="0" w:color="auto"/>
              <w:left w:val="nil"/>
              <w:bottom w:val="single" w:sz="4" w:space="0" w:color="auto"/>
              <w:right w:val="nil"/>
            </w:tcBorders>
            <w:shd w:val="clear" w:color="auto" w:fill="auto"/>
            <w:noWrap/>
            <w:vAlign w:val="center"/>
            <w:hideMark/>
          </w:tcPr>
          <w:p w14:paraId="531CD9AD" w14:textId="77777777" w:rsidR="00A11D2E" w:rsidRPr="00997684" w:rsidRDefault="00A11D2E">
            <w:pPr>
              <w:widowControl/>
              <w:jc w:val="center"/>
              <w:rPr>
                <w:rFonts w:cstheme="minorHAnsi"/>
                <w:b/>
                <w:bCs/>
                <w:snapToGrid/>
                <w:color w:val="000000"/>
                <w:sz w:val="22"/>
                <w:szCs w:val="22"/>
              </w:rPr>
            </w:pPr>
            <w:r w:rsidRPr="00997684">
              <w:rPr>
                <w:rFonts w:cstheme="minorHAnsi"/>
                <w:b/>
                <w:bCs/>
                <w:color w:val="000000"/>
                <w:sz w:val="22"/>
                <w:szCs w:val="22"/>
              </w:rPr>
              <w:t>Improving Trend (stations)</w:t>
            </w:r>
          </w:p>
        </w:tc>
        <w:tc>
          <w:tcPr>
            <w:tcW w:w="625" w:type="pct"/>
            <w:tcBorders>
              <w:top w:val="single" w:sz="12" w:space="0" w:color="auto"/>
              <w:left w:val="nil"/>
              <w:bottom w:val="single" w:sz="4" w:space="0" w:color="auto"/>
              <w:right w:val="nil"/>
            </w:tcBorders>
            <w:shd w:val="clear" w:color="auto" w:fill="auto"/>
            <w:noWrap/>
            <w:vAlign w:val="center"/>
            <w:hideMark/>
          </w:tcPr>
          <w:p w14:paraId="14D79818" w14:textId="77777777" w:rsidR="00A11D2E" w:rsidRPr="00997684" w:rsidRDefault="00A11D2E">
            <w:pPr>
              <w:widowControl/>
              <w:jc w:val="center"/>
              <w:rPr>
                <w:rFonts w:cstheme="minorHAnsi"/>
                <w:b/>
                <w:bCs/>
                <w:snapToGrid/>
                <w:color w:val="000000"/>
                <w:sz w:val="22"/>
                <w:szCs w:val="22"/>
              </w:rPr>
            </w:pPr>
            <w:r w:rsidRPr="00997684">
              <w:rPr>
                <w:rFonts w:cstheme="minorHAnsi"/>
                <w:b/>
                <w:bCs/>
                <w:color w:val="000000"/>
                <w:sz w:val="22"/>
                <w:szCs w:val="22"/>
              </w:rPr>
              <w:t>Degrading Trend (stations)</w:t>
            </w:r>
          </w:p>
        </w:tc>
        <w:tc>
          <w:tcPr>
            <w:tcW w:w="590" w:type="pct"/>
            <w:tcBorders>
              <w:top w:val="single" w:sz="12" w:space="0" w:color="auto"/>
              <w:left w:val="nil"/>
              <w:bottom w:val="single" w:sz="4" w:space="0" w:color="auto"/>
              <w:right w:val="nil"/>
            </w:tcBorders>
            <w:shd w:val="clear" w:color="auto" w:fill="auto"/>
            <w:noWrap/>
            <w:vAlign w:val="center"/>
            <w:hideMark/>
          </w:tcPr>
          <w:p w14:paraId="2DF286D2" w14:textId="77777777" w:rsidR="00A11D2E" w:rsidRPr="00997684" w:rsidRDefault="00A11D2E">
            <w:pPr>
              <w:widowControl/>
              <w:jc w:val="center"/>
              <w:rPr>
                <w:rFonts w:cstheme="minorHAnsi"/>
                <w:b/>
                <w:bCs/>
                <w:snapToGrid/>
                <w:color w:val="000000"/>
                <w:sz w:val="22"/>
                <w:szCs w:val="22"/>
              </w:rPr>
            </w:pPr>
            <w:r w:rsidRPr="00997684">
              <w:rPr>
                <w:rFonts w:cstheme="minorHAnsi"/>
                <w:b/>
                <w:bCs/>
                <w:color w:val="000000"/>
                <w:sz w:val="22"/>
                <w:szCs w:val="22"/>
              </w:rPr>
              <w:t>No Trend (stations)</w:t>
            </w:r>
          </w:p>
        </w:tc>
        <w:tc>
          <w:tcPr>
            <w:tcW w:w="652" w:type="pct"/>
            <w:tcBorders>
              <w:top w:val="single" w:sz="12" w:space="0" w:color="auto"/>
              <w:left w:val="nil"/>
              <w:bottom w:val="single" w:sz="4" w:space="0" w:color="auto"/>
              <w:right w:val="nil"/>
            </w:tcBorders>
            <w:shd w:val="clear" w:color="auto" w:fill="auto"/>
            <w:noWrap/>
            <w:vAlign w:val="center"/>
            <w:hideMark/>
          </w:tcPr>
          <w:p w14:paraId="4C2ADF4F" w14:textId="77777777" w:rsidR="00A11D2E" w:rsidRPr="00997684" w:rsidRDefault="00A11D2E">
            <w:pPr>
              <w:widowControl/>
              <w:jc w:val="center"/>
              <w:rPr>
                <w:rFonts w:cstheme="minorHAnsi"/>
                <w:b/>
                <w:bCs/>
                <w:snapToGrid/>
                <w:color w:val="000000"/>
                <w:sz w:val="22"/>
                <w:szCs w:val="22"/>
              </w:rPr>
            </w:pPr>
            <w:r w:rsidRPr="00997684">
              <w:rPr>
                <w:rFonts w:cstheme="minorHAnsi"/>
                <w:b/>
                <w:bCs/>
                <w:color w:val="000000"/>
                <w:sz w:val="22"/>
                <w:szCs w:val="22"/>
              </w:rPr>
              <w:t>Improving Trend (%)</w:t>
            </w:r>
          </w:p>
        </w:tc>
        <w:tc>
          <w:tcPr>
            <w:tcW w:w="654" w:type="pct"/>
            <w:tcBorders>
              <w:top w:val="single" w:sz="12" w:space="0" w:color="auto"/>
              <w:left w:val="nil"/>
              <w:bottom w:val="single" w:sz="4" w:space="0" w:color="auto"/>
              <w:right w:val="nil"/>
            </w:tcBorders>
            <w:shd w:val="clear" w:color="auto" w:fill="auto"/>
            <w:noWrap/>
            <w:vAlign w:val="center"/>
            <w:hideMark/>
          </w:tcPr>
          <w:p w14:paraId="23C5BC4F" w14:textId="77777777" w:rsidR="00A11D2E" w:rsidRPr="00997684" w:rsidRDefault="00A11D2E">
            <w:pPr>
              <w:widowControl/>
              <w:jc w:val="center"/>
              <w:rPr>
                <w:rFonts w:cstheme="minorHAnsi"/>
                <w:b/>
                <w:bCs/>
                <w:snapToGrid/>
                <w:color w:val="000000"/>
                <w:sz w:val="22"/>
                <w:szCs w:val="22"/>
              </w:rPr>
            </w:pPr>
            <w:r w:rsidRPr="00997684">
              <w:rPr>
                <w:rFonts w:cstheme="minorHAnsi"/>
                <w:b/>
                <w:bCs/>
                <w:color w:val="000000"/>
                <w:sz w:val="22"/>
                <w:szCs w:val="22"/>
              </w:rPr>
              <w:t>Degrading Trend (%)</w:t>
            </w:r>
          </w:p>
        </w:tc>
        <w:tc>
          <w:tcPr>
            <w:tcW w:w="460" w:type="pct"/>
            <w:tcBorders>
              <w:top w:val="single" w:sz="12" w:space="0" w:color="auto"/>
              <w:left w:val="nil"/>
              <w:bottom w:val="single" w:sz="4" w:space="0" w:color="auto"/>
              <w:right w:val="nil"/>
            </w:tcBorders>
            <w:shd w:val="clear" w:color="auto" w:fill="auto"/>
            <w:noWrap/>
            <w:vAlign w:val="center"/>
            <w:hideMark/>
          </w:tcPr>
          <w:p w14:paraId="73D5D7AC" w14:textId="77777777" w:rsidR="00A11D2E" w:rsidRPr="00997684" w:rsidRDefault="00A11D2E">
            <w:pPr>
              <w:widowControl/>
              <w:jc w:val="center"/>
              <w:rPr>
                <w:rFonts w:cstheme="minorHAnsi"/>
                <w:b/>
                <w:bCs/>
                <w:snapToGrid/>
                <w:color w:val="000000"/>
                <w:sz w:val="22"/>
                <w:szCs w:val="22"/>
              </w:rPr>
            </w:pPr>
            <w:r w:rsidRPr="00997684">
              <w:rPr>
                <w:rFonts w:cstheme="minorHAnsi"/>
                <w:b/>
                <w:bCs/>
                <w:color w:val="000000"/>
                <w:sz w:val="22"/>
                <w:szCs w:val="22"/>
              </w:rPr>
              <w:t>No Trend (%)</w:t>
            </w:r>
          </w:p>
        </w:tc>
      </w:tr>
      <w:tr w:rsidR="00A11D2E" w:rsidRPr="00AD3B35" w14:paraId="363E0717" w14:textId="77777777" w:rsidTr="00975A99">
        <w:trPr>
          <w:trHeight w:val="360"/>
        </w:trPr>
        <w:tc>
          <w:tcPr>
            <w:tcW w:w="865" w:type="pct"/>
            <w:tcBorders>
              <w:top w:val="single" w:sz="4" w:space="0" w:color="auto"/>
              <w:left w:val="nil"/>
              <w:bottom w:val="nil"/>
              <w:right w:val="nil"/>
            </w:tcBorders>
            <w:shd w:val="clear" w:color="auto" w:fill="auto"/>
            <w:noWrap/>
            <w:vAlign w:val="center"/>
            <w:hideMark/>
          </w:tcPr>
          <w:p w14:paraId="71EC352B"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Chowan</w:t>
            </w:r>
          </w:p>
        </w:tc>
        <w:tc>
          <w:tcPr>
            <w:tcW w:w="529" w:type="pct"/>
            <w:tcBorders>
              <w:top w:val="single" w:sz="4" w:space="0" w:color="auto"/>
              <w:left w:val="nil"/>
              <w:bottom w:val="nil"/>
              <w:right w:val="nil"/>
            </w:tcBorders>
            <w:shd w:val="clear" w:color="auto" w:fill="auto"/>
            <w:noWrap/>
            <w:vAlign w:val="center"/>
            <w:hideMark/>
          </w:tcPr>
          <w:p w14:paraId="0DC0965B" w14:textId="77777777" w:rsidR="00A11D2E" w:rsidRPr="00975A99" w:rsidRDefault="00A11D2E" w:rsidP="000B554E">
            <w:pPr>
              <w:widowControl/>
              <w:jc w:val="center"/>
              <w:rPr>
                <w:rFonts w:cstheme="minorHAnsi"/>
                <w:bCs/>
                <w:snapToGrid/>
                <w:sz w:val="22"/>
                <w:szCs w:val="22"/>
              </w:rPr>
            </w:pPr>
            <w:r w:rsidRPr="00975A99">
              <w:rPr>
                <w:rFonts w:cstheme="minorHAnsi"/>
                <w:snapToGrid/>
                <w:sz w:val="22"/>
                <w:szCs w:val="22"/>
              </w:rPr>
              <w:t>1</w:t>
            </w:r>
          </w:p>
        </w:tc>
        <w:tc>
          <w:tcPr>
            <w:tcW w:w="625" w:type="pct"/>
            <w:tcBorders>
              <w:top w:val="single" w:sz="4" w:space="0" w:color="auto"/>
              <w:left w:val="nil"/>
              <w:bottom w:val="nil"/>
              <w:right w:val="nil"/>
            </w:tcBorders>
            <w:shd w:val="clear" w:color="auto" w:fill="auto"/>
            <w:noWrap/>
            <w:vAlign w:val="center"/>
            <w:hideMark/>
          </w:tcPr>
          <w:p w14:paraId="3054CB8B" w14:textId="77777777" w:rsidR="00A11D2E" w:rsidRPr="00975A99" w:rsidRDefault="00A11D2E" w:rsidP="000B554E">
            <w:pPr>
              <w:widowControl/>
              <w:jc w:val="center"/>
              <w:rPr>
                <w:rFonts w:cstheme="minorHAnsi"/>
                <w:bCs/>
                <w:snapToGrid/>
                <w:sz w:val="22"/>
                <w:szCs w:val="22"/>
              </w:rPr>
            </w:pPr>
            <w:r w:rsidRPr="00975A99">
              <w:rPr>
                <w:rFonts w:cstheme="minorHAnsi"/>
                <w:snapToGrid/>
                <w:sz w:val="22"/>
                <w:szCs w:val="22"/>
              </w:rPr>
              <w:t>0</w:t>
            </w:r>
          </w:p>
        </w:tc>
        <w:tc>
          <w:tcPr>
            <w:tcW w:w="625" w:type="pct"/>
            <w:tcBorders>
              <w:top w:val="single" w:sz="4" w:space="0" w:color="auto"/>
              <w:left w:val="nil"/>
              <w:bottom w:val="nil"/>
              <w:right w:val="nil"/>
            </w:tcBorders>
            <w:shd w:val="clear" w:color="auto" w:fill="auto"/>
            <w:noWrap/>
            <w:vAlign w:val="center"/>
            <w:hideMark/>
          </w:tcPr>
          <w:p w14:paraId="40116CF6"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590" w:type="pct"/>
            <w:tcBorders>
              <w:top w:val="single" w:sz="4" w:space="0" w:color="auto"/>
              <w:left w:val="nil"/>
              <w:bottom w:val="nil"/>
              <w:right w:val="nil"/>
            </w:tcBorders>
            <w:shd w:val="clear" w:color="auto" w:fill="auto"/>
            <w:noWrap/>
            <w:vAlign w:val="center"/>
            <w:hideMark/>
          </w:tcPr>
          <w:p w14:paraId="778DEE8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w:t>
            </w:r>
          </w:p>
        </w:tc>
        <w:tc>
          <w:tcPr>
            <w:tcW w:w="652" w:type="pct"/>
            <w:tcBorders>
              <w:top w:val="single" w:sz="4" w:space="0" w:color="auto"/>
              <w:left w:val="nil"/>
              <w:bottom w:val="nil"/>
              <w:right w:val="nil"/>
            </w:tcBorders>
            <w:shd w:val="clear" w:color="auto" w:fill="auto"/>
            <w:noWrap/>
            <w:vAlign w:val="center"/>
            <w:hideMark/>
          </w:tcPr>
          <w:p w14:paraId="1B05D1F2"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654" w:type="pct"/>
            <w:tcBorders>
              <w:top w:val="single" w:sz="4" w:space="0" w:color="auto"/>
              <w:left w:val="nil"/>
              <w:bottom w:val="nil"/>
              <w:right w:val="nil"/>
            </w:tcBorders>
            <w:shd w:val="clear" w:color="auto" w:fill="auto"/>
            <w:noWrap/>
            <w:vAlign w:val="center"/>
            <w:hideMark/>
          </w:tcPr>
          <w:p w14:paraId="4953FD44"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460" w:type="pct"/>
            <w:tcBorders>
              <w:top w:val="single" w:sz="4" w:space="0" w:color="auto"/>
              <w:left w:val="nil"/>
              <w:bottom w:val="nil"/>
              <w:right w:val="nil"/>
            </w:tcBorders>
            <w:shd w:val="clear" w:color="auto" w:fill="auto"/>
            <w:noWrap/>
            <w:vAlign w:val="center"/>
            <w:hideMark/>
          </w:tcPr>
          <w:p w14:paraId="3627F711"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100</w:t>
            </w:r>
          </w:p>
        </w:tc>
      </w:tr>
      <w:tr w:rsidR="00A11D2E" w:rsidRPr="00AD3B35" w14:paraId="408D9D5B" w14:textId="77777777" w:rsidTr="00975A99">
        <w:trPr>
          <w:trHeight w:val="360"/>
        </w:trPr>
        <w:tc>
          <w:tcPr>
            <w:tcW w:w="865" w:type="pct"/>
            <w:tcBorders>
              <w:top w:val="nil"/>
              <w:left w:val="nil"/>
              <w:bottom w:val="nil"/>
              <w:right w:val="nil"/>
            </w:tcBorders>
            <w:shd w:val="clear" w:color="auto" w:fill="auto"/>
            <w:noWrap/>
            <w:vAlign w:val="center"/>
            <w:hideMark/>
          </w:tcPr>
          <w:p w14:paraId="04A2D4E0"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James</w:t>
            </w:r>
          </w:p>
        </w:tc>
        <w:tc>
          <w:tcPr>
            <w:tcW w:w="529" w:type="pct"/>
            <w:tcBorders>
              <w:top w:val="nil"/>
              <w:left w:val="nil"/>
              <w:bottom w:val="nil"/>
              <w:right w:val="nil"/>
            </w:tcBorders>
            <w:shd w:val="clear" w:color="auto" w:fill="auto"/>
            <w:noWrap/>
            <w:vAlign w:val="center"/>
            <w:hideMark/>
          </w:tcPr>
          <w:p w14:paraId="75CD4ED8"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50</w:t>
            </w:r>
          </w:p>
        </w:tc>
        <w:tc>
          <w:tcPr>
            <w:tcW w:w="625" w:type="pct"/>
            <w:tcBorders>
              <w:top w:val="nil"/>
              <w:left w:val="nil"/>
              <w:bottom w:val="nil"/>
              <w:right w:val="nil"/>
            </w:tcBorders>
            <w:shd w:val="clear" w:color="auto" w:fill="auto"/>
            <w:noWrap/>
            <w:vAlign w:val="center"/>
            <w:hideMark/>
          </w:tcPr>
          <w:p w14:paraId="60569A85"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27</w:t>
            </w:r>
          </w:p>
        </w:tc>
        <w:tc>
          <w:tcPr>
            <w:tcW w:w="625" w:type="pct"/>
            <w:tcBorders>
              <w:top w:val="nil"/>
              <w:left w:val="nil"/>
              <w:bottom w:val="nil"/>
              <w:right w:val="nil"/>
            </w:tcBorders>
            <w:shd w:val="clear" w:color="auto" w:fill="auto"/>
            <w:noWrap/>
            <w:vAlign w:val="center"/>
            <w:hideMark/>
          </w:tcPr>
          <w:p w14:paraId="7572C970"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0</w:t>
            </w:r>
          </w:p>
        </w:tc>
        <w:tc>
          <w:tcPr>
            <w:tcW w:w="590" w:type="pct"/>
            <w:tcBorders>
              <w:top w:val="nil"/>
              <w:left w:val="nil"/>
              <w:bottom w:val="nil"/>
              <w:right w:val="nil"/>
            </w:tcBorders>
            <w:shd w:val="clear" w:color="auto" w:fill="auto"/>
            <w:noWrap/>
            <w:vAlign w:val="center"/>
            <w:hideMark/>
          </w:tcPr>
          <w:p w14:paraId="4FA6C7D2"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23</w:t>
            </w:r>
          </w:p>
        </w:tc>
        <w:tc>
          <w:tcPr>
            <w:tcW w:w="652" w:type="pct"/>
            <w:tcBorders>
              <w:top w:val="nil"/>
              <w:left w:val="nil"/>
              <w:bottom w:val="nil"/>
              <w:right w:val="nil"/>
            </w:tcBorders>
            <w:shd w:val="clear" w:color="auto" w:fill="auto"/>
            <w:noWrap/>
            <w:vAlign w:val="center"/>
            <w:hideMark/>
          </w:tcPr>
          <w:p w14:paraId="4C4CA020"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54</w:t>
            </w:r>
          </w:p>
        </w:tc>
        <w:tc>
          <w:tcPr>
            <w:tcW w:w="654" w:type="pct"/>
            <w:tcBorders>
              <w:top w:val="nil"/>
              <w:left w:val="nil"/>
              <w:bottom w:val="nil"/>
              <w:right w:val="nil"/>
            </w:tcBorders>
            <w:shd w:val="clear" w:color="auto" w:fill="auto"/>
            <w:noWrap/>
            <w:vAlign w:val="center"/>
            <w:hideMark/>
          </w:tcPr>
          <w:p w14:paraId="32A7C77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460" w:type="pct"/>
            <w:tcBorders>
              <w:top w:val="nil"/>
              <w:left w:val="nil"/>
              <w:bottom w:val="nil"/>
              <w:right w:val="nil"/>
            </w:tcBorders>
            <w:shd w:val="clear" w:color="auto" w:fill="auto"/>
            <w:noWrap/>
            <w:vAlign w:val="center"/>
            <w:hideMark/>
          </w:tcPr>
          <w:p w14:paraId="699CD469"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46</w:t>
            </w:r>
          </w:p>
        </w:tc>
      </w:tr>
      <w:tr w:rsidR="00A11D2E" w:rsidRPr="00AD3B35" w14:paraId="27B6C9C5" w14:textId="77777777" w:rsidTr="00975A99">
        <w:trPr>
          <w:trHeight w:val="360"/>
        </w:trPr>
        <w:tc>
          <w:tcPr>
            <w:tcW w:w="865" w:type="pct"/>
            <w:tcBorders>
              <w:top w:val="nil"/>
              <w:left w:val="nil"/>
              <w:bottom w:val="nil"/>
              <w:right w:val="nil"/>
            </w:tcBorders>
            <w:shd w:val="clear" w:color="auto" w:fill="auto"/>
            <w:noWrap/>
            <w:vAlign w:val="center"/>
            <w:hideMark/>
          </w:tcPr>
          <w:p w14:paraId="13DA8467"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Potomac</w:t>
            </w:r>
          </w:p>
        </w:tc>
        <w:tc>
          <w:tcPr>
            <w:tcW w:w="529" w:type="pct"/>
            <w:tcBorders>
              <w:top w:val="nil"/>
              <w:left w:val="nil"/>
              <w:bottom w:val="nil"/>
              <w:right w:val="nil"/>
            </w:tcBorders>
            <w:shd w:val="clear" w:color="auto" w:fill="auto"/>
            <w:noWrap/>
            <w:vAlign w:val="center"/>
            <w:hideMark/>
          </w:tcPr>
          <w:p w14:paraId="41161CD0"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35</w:t>
            </w:r>
          </w:p>
        </w:tc>
        <w:tc>
          <w:tcPr>
            <w:tcW w:w="625" w:type="pct"/>
            <w:tcBorders>
              <w:top w:val="nil"/>
              <w:left w:val="nil"/>
              <w:bottom w:val="nil"/>
              <w:right w:val="nil"/>
            </w:tcBorders>
            <w:shd w:val="clear" w:color="auto" w:fill="auto"/>
            <w:noWrap/>
            <w:vAlign w:val="center"/>
            <w:hideMark/>
          </w:tcPr>
          <w:p w14:paraId="085C36A6"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1</w:t>
            </w:r>
          </w:p>
        </w:tc>
        <w:tc>
          <w:tcPr>
            <w:tcW w:w="625" w:type="pct"/>
            <w:tcBorders>
              <w:top w:val="nil"/>
              <w:left w:val="nil"/>
              <w:bottom w:val="nil"/>
              <w:right w:val="nil"/>
            </w:tcBorders>
            <w:shd w:val="clear" w:color="auto" w:fill="auto"/>
            <w:noWrap/>
            <w:vAlign w:val="center"/>
            <w:hideMark/>
          </w:tcPr>
          <w:p w14:paraId="54A94509"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0</w:t>
            </w:r>
          </w:p>
        </w:tc>
        <w:tc>
          <w:tcPr>
            <w:tcW w:w="590" w:type="pct"/>
            <w:tcBorders>
              <w:top w:val="nil"/>
              <w:left w:val="nil"/>
              <w:bottom w:val="nil"/>
              <w:right w:val="nil"/>
            </w:tcBorders>
            <w:shd w:val="clear" w:color="auto" w:fill="auto"/>
            <w:noWrap/>
            <w:vAlign w:val="center"/>
            <w:hideMark/>
          </w:tcPr>
          <w:p w14:paraId="7CCA5617"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34</w:t>
            </w:r>
          </w:p>
        </w:tc>
        <w:tc>
          <w:tcPr>
            <w:tcW w:w="652" w:type="pct"/>
            <w:tcBorders>
              <w:top w:val="nil"/>
              <w:left w:val="nil"/>
              <w:bottom w:val="nil"/>
              <w:right w:val="nil"/>
            </w:tcBorders>
            <w:shd w:val="clear" w:color="auto" w:fill="auto"/>
            <w:noWrap/>
            <w:vAlign w:val="center"/>
            <w:hideMark/>
          </w:tcPr>
          <w:p w14:paraId="795598C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w:t>
            </w:r>
          </w:p>
        </w:tc>
        <w:tc>
          <w:tcPr>
            <w:tcW w:w="654" w:type="pct"/>
            <w:tcBorders>
              <w:top w:val="nil"/>
              <w:left w:val="nil"/>
              <w:bottom w:val="nil"/>
              <w:right w:val="nil"/>
            </w:tcBorders>
            <w:shd w:val="clear" w:color="auto" w:fill="auto"/>
            <w:noWrap/>
            <w:vAlign w:val="center"/>
            <w:hideMark/>
          </w:tcPr>
          <w:p w14:paraId="63D3F8C4"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460" w:type="pct"/>
            <w:tcBorders>
              <w:top w:val="nil"/>
              <w:left w:val="nil"/>
              <w:bottom w:val="nil"/>
              <w:right w:val="nil"/>
            </w:tcBorders>
            <w:shd w:val="clear" w:color="auto" w:fill="auto"/>
            <w:noWrap/>
            <w:vAlign w:val="center"/>
            <w:hideMark/>
          </w:tcPr>
          <w:p w14:paraId="55FB60A0"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97</w:t>
            </w:r>
          </w:p>
        </w:tc>
      </w:tr>
      <w:tr w:rsidR="00A11D2E" w:rsidRPr="00AD3B35" w14:paraId="786978DF" w14:textId="77777777" w:rsidTr="00975A99">
        <w:trPr>
          <w:trHeight w:val="360"/>
        </w:trPr>
        <w:tc>
          <w:tcPr>
            <w:tcW w:w="865" w:type="pct"/>
            <w:tcBorders>
              <w:top w:val="nil"/>
              <w:left w:val="nil"/>
              <w:bottom w:val="nil"/>
              <w:right w:val="nil"/>
            </w:tcBorders>
            <w:shd w:val="clear" w:color="auto" w:fill="auto"/>
            <w:noWrap/>
            <w:vAlign w:val="center"/>
            <w:hideMark/>
          </w:tcPr>
          <w:p w14:paraId="2A6756C5"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Rappahannock</w:t>
            </w:r>
          </w:p>
        </w:tc>
        <w:tc>
          <w:tcPr>
            <w:tcW w:w="529" w:type="pct"/>
            <w:tcBorders>
              <w:top w:val="nil"/>
              <w:left w:val="nil"/>
              <w:bottom w:val="nil"/>
              <w:right w:val="nil"/>
            </w:tcBorders>
            <w:shd w:val="clear" w:color="auto" w:fill="auto"/>
            <w:noWrap/>
            <w:vAlign w:val="center"/>
            <w:hideMark/>
          </w:tcPr>
          <w:p w14:paraId="597892FD"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20</w:t>
            </w:r>
          </w:p>
        </w:tc>
        <w:tc>
          <w:tcPr>
            <w:tcW w:w="625" w:type="pct"/>
            <w:tcBorders>
              <w:top w:val="nil"/>
              <w:left w:val="nil"/>
              <w:bottom w:val="nil"/>
              <w:right w:val="nil"/>
            </w:tcBorders>
            <w:shd w:val="clear" w:color="auto" w:fill="auto"/>
            <w:noWrap/>
            <w:vAlign w:val="center"/>
            <w:hideMark/>
          </w:tcPr>
          <w:p w14:paraId="01ABE26F"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10</w:t>
            </w:r>
          </w:p>
        </w:tc>
        <w:tc>
          <w:tcPr>
            <w:tcW w:w="625" w:type="pct"/>
            <w:tcBorders>
              <w:top w:val="nil"/>
              <w:left w:val="nil"/>
              <w:bottom w:val="nil"/>
              <w:right w:val="nil"/>
            </w:tcBorders>
            <w:shd w:val="clear" w:color="auto" w:fill="auto"/>
            <w:noWrap/>
            <w:vAlign w:val="center"/>
            <w:hideMark/>
          </w:tcPr>
          <w:p w14:paraId="3A1A6CBB"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0</w:t>
            </w:r>
          </w:p>
        </w:tc>
        <w:tc>
          <w:tcPr>
            <w:tcW w:w="590" w:type="pct"/>
            <w:tcBorders>
              <w:top w:val="nil"/>
              <w:left w:val="nil"/>
              <w:bottom w:val="nil"/>
              <w:right w:val="nil"/>
            </w:tcBorders>
            <w:shd w:val="clear" w:color="auto" w:fill="auto"/>
            <w:noWrap/>
            <w:vAlign w:val="center"/>
            <w:hideMark/>
          </w:tcPr>
          <w:p w14:paraId="22CA0274"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10</w:t>
            </w:r>
          </w:p>
        </w:tc>
        <w:tc>
          <w:tcPr>
            <w:tcW w:w="652" w:type="pct"/>
            <w:tcBorders>
              <w:top w:val="nil"/>
              <w:left w:val="nil"/>
              <w:bottom w:val="nil"/>
              <w:right w:val="nil"/>
            </w:tcBorders>
            <w:shd w:val="clear" w:color="auto" w:fill="auto"/>
            <w:noWrap/>
            <w:vAlign w:val="center"/>
            <w:hideMark/>
          </w:tcPr>
          <w:p w14:paraId="3ACCCF51"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50</w:t>
            </w:r>
          </w:p>
        </w:tc>
        <w:tc>
          <w:tcPr>
            <w:tcW w:w="654" w:type="pct"/>
            <w:tcBorders>
              <w:top w:val="nil"/>
              <w:left w:val="nil"/>
              <w:bottom w:val="nil"/>
              <w:right w:val="nil"/>
            </w:tcBorders>
            <w:shd w:val="clear" w:color="auto" w:fill="auto"/>
            <w:noWrap/>
            <w:vAlign w:val="center"/>
            <w:hideMark/>
          </w:tcPr>
          <w:p w14:paraId="5E3A3296"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460" w:type="pct"/>
            <w:tcBorders>
              <w:top w:val="nil"/>
              <w:left w:val="nil"/>
              <w:bottom w:val="nil"/>
              <w:right w:val="nil"/>
            </w:tcBorders>
            <w:shd w:val="clear" w:color="auto" w:fill="auto"/>
            <w:noWrap/>
            <w:vAlign w:val="center"/>
            <w:hideMark/>
          </w:tcPr>
          <w:p w14:paraId="79B38E5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50</w:t>
            </w:r>
          </w:p>
        </w:tc>
      </w:tr>
      <w:tr w:rsidR="00A11D2E" w:rsidRPr="00AD3B35" w14:paraId="42BEDB9F" w14:textId="77777777" w:rsidTr="00975A99">
        <w:trPr>
          <w:trHeight w:val="360"/>
        </w:trPr>
        <w:tc>
          <w:tcPr>
            <w:tcW w:w="865" w:type="pct"/>
            <w:tcBorders>
              <w:top w:val="nil"/>
              <w:left w:val="nil"/>
              <w:bottom w:val="nil"/>
              <w:right w:val="nil"/>
            </w:tcBorders>
            <w:shd w:val="clear" w:color="auto" w:fill="auto"/>
            <w:noWrap/>
            <w:vAlign w:val="center"/>
            <w:hideMark/>
          </w:tcPr>
          <w:p w14:paraId="014F0338"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Roanoke</w:t>
            </w:r>
          </w:p>
        </w:tc>
        <w:tc>
          <w:tcPr>
            <w:tcW w:w="529" w:type="pct"/>
            <w:tcBorders>
              <w:top w:val="nil"/>
              <w:left w:val="nil"/>
              <w:bottom w:val="nil"/>
              <w:right w:val="nil"/>
            </w:tcBorders>
            <w:shd w:val="clear" w:color="auto" w:fill="auto"/>
            <w:noWrap/>
            <w:vAlign w:val="center"/>
            <w:hideMark/>
          </w:tcPr>
          <w:p w14:paraId="4F3B26BA"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3</w:t>
            </w:r>
          </w:p>
        </w:tc>
        <w:tc>
          <w:tcPr>
            <w:tcW w:w="625" w:type="pct"/>
            <w:tcBorders>
              <w:top w:val="nil"/>
              <w:left w:val="nil"/>
              <w:bottom w:val="nil"/>
              <w:right w:val="nil"/>
            </w:tcBorders>
            <w:shd w:val="clear" w:color="auto" w:fill="auto"/>
            <w:noWrap/>
            <w:vAlign w:val="center"/>
            <w:hideMark/>
          </w:tcPr>
          <w:p w14:paraId="2B498DEE"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1</w:t>
            </w:r>
          </w:p>
        </w:tc>
        <w:tc>
          <w:tcPr>
            <w:tcW w:w="625" w:type="pct"/>
            <w:tcBorders>
              <w:top w:val="nil"/>
              <w:left w:val="nil"/>
              <w:bottom w:val="nil"/>
              <w:right w:val="nil"/>
            </w:tcBorders>
            <w:shd w:val="clear" w:color="auto" w:fill="auto"/>
            <w:noWrap/>
            <w:vAlign w:val="center"/>
            <w:hideMark/>
          </w:tcPr>
          <w:p w14:paraId="3FD6B908"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0</w:t>
            </w:r>
          </w:p>
        </w:tc>
        <w:tc>
          <w:tcPr>
            <w:tcW w:w="590" w:type="pct"/>
            <w:tcBorders>
              <w:top w:val="nil"/>
              <w:left w:val="nil"/>
              <w:bottom w:val="nil"/>
              <w:right w:val="nil"/>
            </w:tcBorders>
            <w:shd w:val="clear" w:color="auto" w:fill="auto"/>
            <w:noWrap/>
            <w:vAlign w:val="center"/>
            <w:hideMark/>
          </w:tcPr>
          <w:p w14:paraId="2B852C05"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2</w:t>
            </w:r>
          </w:p>
        </w:tc>
        <w:tc>
          <w:tcPr>
            <w:tcW w:w="652" w:type="pct"/>
            <w:tcBorders>
              <w:top w:val="nil"/>
              <w:left w:val="nil"/>
              <w:bottom w:val="nil"/>
              <w:right w:val="nil"/>
            </w:tcBorders>
            <w:shd w:val="clear" w:color="auto" w:fill="auto"/>
            <w:noWrap/>
            <w:vAlign w:val="center"/>
            <w:hideMark/>
          </w:tcPr>
          <w:p w14:paraId="2EF67390"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33</w:t>
            </w:r>
          </w:p>
        </w:tc>
        <w:tc>
          <w:tcPr>
            <w:tcW w:w="654" w:type="pct"/>
            <w:tcBorders>
              <w:top w:val="nil"/>
              <w:left w:val="nil"/>
              <w:bottom w:val="nil"/>
              <w:right w:val="nil"/>
            </w:tcBorders>
            <w:shd w:val="clear" w:color="auto" w:fill="auto"/>
            <w:noWrap/>
            <w:vAlign w:val="center"/>
            <w:hideMark/>
          </w:tcPr>
          <w:p w14:paraId="3FBC3A8C"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460" w:type="pct"/>
            <w:tcBorders>
              <w:top w:val="nil"/>
              <w:left w:val="nil"/>
              <w:bottom w:val="nil"/>
              <w:right w:val="nil"/>
            </w:tcBorders>
            <w:shd w:val="clear" w:color="auto" w:fill="auto"/>
            <w:noWrap/>
            <w:vAlign w:val="center"/>
            <w:hideMark/>
          </w:tcPr>
          <w:p w14:paraId="331EE188"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67</w:t>
            </w:r>
          </w:p>
        </w:tc>
      </w:tr>
      <w:tr w:rsidR="00A11D2E" w:rsidRPr="00AD3B35" w14:paraId="0E5DAD34" w14:textId="77777777" w:rsidTr="00975A99">
        <w:trPr>
          <w:trHeight w:val="360"/>
        </w:trPr>
        <w:tc>
          <w:tcPr>
            <w:tcW w:w="865" w:type="pct"/>
            <w:tcBorders>
              <w:top w:val="nil"/>
              <w:left w:val="nil"/>
              <w:bottom w:val="nil"/>
              <w:right w:val="nil"/>
            </w:tcBorders>
            <w:shd w:val="clear" w:color="auto" w:fill="auto"/>
            <w:noWrap/>
            <w:vAlign w:val="center"/>
            <w:hideMark/>
          </w:tcPr>
          <w:p w14:paraId="2EFC4BF6"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Shenandoah</w:t>
            </w:r>
          </w:p>
        </w:tc>
        <w:tc>
          <w:tcPr>
            <w:tcW w:w="529" w:type="pct"/>
            <w:tcBorders>
              <w:top w:val="nil"/>
              <w:left w:val="nil"/>
              <w:bottom w:val="nil"/>
              <w:right w:val="nil"/>
            </w:tcBorders>
            <w:shd w:val="clear" w:color="auto" w:fill="auto"/>
            <w:noWrap/>
            <w:vAlign w:val="center"/>
            <w:hideMark/>
          </w:tcPr>
          <w:p w14:paraId="1FFAF71C"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10</w:t>
            </w:r>
          </w:p>
        </w:tc>
        <w:tc>
          <w:tcPr>
            <w:tcW w:w="625" w:type="pct"/>
            <w:tcBorders>
              <w:top w:val="nil"/>
              <w:left w:val="nil"/>
              <w:bottom w:val="nil"/>
              <w:right w:val="nil"/>
            </w:tcBorders>
            <w:shd w:val="clear" w:color="auto" w:fill="auto"/>
            <w:noWrap/>
            <w:vAlign w:val="center"/>
            <w:hideMark/>
          </w:tcPr>
          <w:p w14:paraId="79E69F5F"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3</w:t>
            </w:r>
          </w:p>
        </w:tc>
        <w:tc>
          <w:tcPr>
            <w:tcW w:w="625" w:type="pct"/>
            <w:tcBorders>
              <w:top w:val="nil"/>
              <w:left w:val="nil"/>
              <w:bottom w:val="nil"/>
              <w:right w:val="nil"/>
            </w:tcBorders>
            <w:shd w:val="clear" w:color="auto" w:fill="auto"/>
            <w:noWrap/>
            <w:vAlign w:val="center"/>
            <w:hideMark/>
          </w:tcPr>
          <w:p w14:paraId="1F7CF42D"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0</w:t>
            </w:r>
          </w:p>
        </w:tc>
        <w:tc>
          <w:tcPr>
            <w:tcW w:w="590" w:type="pct"/>
            <w:tcBorders>
              <w:top w:val="nil"/>
              <w:left w:val="nil"/>
              <w:bottom w:val="nil"/>
              <w:right w:val="nil"/>
            </w:tcBorders>
            <w:shd w:val="clear" w:color="auto" w:fill="auto"/>
            <w:noWrap/>
            <w:vAlign w:val="center"/>
            <w:hideMark/>
          </w:tcPr>
          <w:p w14:paraId="17B03525"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7</w:t>
            </w:r>
          </w:p>
        </w:tc>
        <w:tc>
          <w:tcPr>
            <w:tcW w:w="652" w:type="pct"/>
            <w:tcBorders>
              <w:top w:val="nil"/>
              <w:left w:val="nil"/>
              <w:bottom w:val="nil"/>
              <w:right w:val="nil"/>
            </w:tcBorders>
            <w:shd w:val="clear" w:color="auto" w:fill="auto"/>
            <w:noWrap/>
            <w:vAlign w:val="center"/>
            <w:hideMark/>
          </w:tcPr>
          <w:p w14:paraId="5DF39B44"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30</w:t>
            </w:r>
          </w:p>
        </w:tc>
        <w:tc>
          <w:tcPr>
            <w:tcW w:w="654" w:type="pct"/>
            <w:tcBorders>
              <w:top w:val="nil"/>
              <w:left w:val="nil"/>
              <w:bottom w:val="nil"/>
              <w:right w:val="nil"/>
            </w:tcBorders>
            <w:shd w:val="clear" w:color="auto" w:fill="auto"/>
            <w:noWrap/>
            <w:vAlign w:val="center"/>
            <w:hideMark/>
          </w:tcPr>
          <w:p w14:paraId="65985CD6"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460" w:type="pct"/>
            <w:tcBorders>
              <w:top w:val="nil"/>
              <w:left w:val="nil"/>
              <w:bottom w:val="nil"/>
              <w:right w:val="nil"/>
            </w:tcBorders>
            <w:shd w:val="clear" w:color="auto" w:fill="auto"/>
            <w:noWrap/>
            <w:vAlign w:val="center"/>
            <w:hideMark/>
          </w:tcPr>
          <w:p w14:paraId="212E757B"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70</w:t>
            </w:r>
          </w:p>
        </w:tc>
      </w:tr>
      <w:tr w:rsidR="00A11D2E" w:rsidRPr="00AD3B35" w14:paraId="0AE8E640" w14:textId="77777777" w:rsidTr="00997684">
        <w:trPr>
          <w:trHeight w:val="360"/>
        </w:trPr>
        <w:tc>
          <w:tcPr>
            <w:tcW w:w="865" w:type="pct"/>
            <w:tcBorders>
              <w:top w:val="nil"/>
              <w:left w:val="nil"/>
              <w:right w:val="nil"/>
            </w:tcBorders>
            <w:shd w:val="clear" w:color="auto" w:fill="auto"/>
            <w:noWrap/>
            <w:vAlign w:val="center"/>
            <w:hideMark/>
          </w:tcPr>
          <w:p w14:paraId="3ACA5C3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Tennessee</w:t>
            </w:r>
          </w:p>
        </w:tc>
        <w:tc>
          <w:tcPr>
            <w:tcW w:w="529" w:type="pct"/>
            <w:tcBorders>
              <w:top w:val="nil"/>
              <w:left w:val="nil"/>
              <w:right w:val="nil"/>
            </w:tcBorders>
            <w:shd w:val="clear" w:color="auto" w:fill="auto"/>
            <w:noWrap/>
            <w:vAlign w:val="center"/>
            <w:hideMark/>
          </w:tcPr>
          <w:p w14:paraId="00415A6B"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6</w:t>
            </w:r>
          </w:p>
        </w:tc>
        <w:tc>
          <w:tcPr>
            <w:tcW w:w="625" w:type="pct"/>
            <w:tcBorders>
              <w:top w:val="nil"/>
              <w:left w:val="nil"/>
              <w:right w:val="nil"/>
            </w:tcBorders>
            <w:shd w:val="clear" w:color="auto" w:fill="auto"/>
            <w:noWrap/>
            <w:vAlign w:val="center"/>
            <w:hideMark/>
          </w:tcPr>
          <w:p w14:paraId="66366E92"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0</w:t>
            </w:r>
          </w:p>
        </w:tc>
        <w:tc>
          <w:tcPr>
            <w:tcW w:w="625" w:type="pct"/>
            <w:tcBorders>
              <w:top w:val="nil"/>
              <w:left w:val="nil"/>
              <w:right w:val="nil"/>
            </w:tcBorders>
            <w:shd w:val="clear" w:color="auto" w:fill="auto"/>
            <w:noWrap/>
            <w:vAlign w:val="center"/>
            <w:hideMark/>
          </w:tcPr>
          <w:p w14:paraId="513CBD9E"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0</w:t>
            </w:r>
          </w:p>
        </w:tc>
        <w:tc>
          <w:tcPr>
            <w:tcW w:w="590" w:type="pct"/>
            <w:tcBorders>
              <w:top w:val="nil"/>
              <w:left w:val="nil"/>
              <w:right w:val="nil"/>
            </w:tcBorders>
            <w:shd w:val="clear" w:color="auto" w:fill="auto"/>
            <w:noWrap/>
            <w:vAlign w:val="center"/>
            <w:hideMark/>
          </w:tcPr>
          <w:p w14:paraId="224331D0"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6</w:t>
            </w:r>
          </w:p>
        </w:tc>
        <w:tc>
          <w:tcPr>
            <w:tcW w:w="652" w:type="pct"/>
            <w:tcBorders>
              <w:top w:val="nil"/>
              <w:left w:val="nil"/>
              <w:right w:val="nil"/>
            </w:tcBorders>
            <w:shd w:val="clear" w:color="auto" w:fill="auto"/>
            <w:noWrap/>
            <w:vAlign w:val="center"/>
            <w:hideMark/>
          </w:tcPr>
          <w:p w14:paraId="06DAC31F"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654" w:type="pct"/>
            <w:tcBorders>
              <w:top w:val="nil"/>
              <w:left w:val="nil"/>
              <w:right w:val="nil"/>
            </w:tcBorders>
            <w:shd w:val="clear" w:color="auto" w:fill="auto"/>
            <w:noWrap/>
            <w:vAlign w:val="center"/>
            <w:hideMark/>
          </w:tcPr>
          <w:p w14:paraId="117C257A"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0</w:t>
            </w:r>
          </w:p>
        </w:tc>
        <w:tc>
          <w:tcPr>
            <w:tcW w:w="460" w:type="pct"/>
            <w:tcBorders>
              <w:top w:val="nil"/>
              <w:left w:val="nil"/>
              <w:right w:val="nil"/>
            </w:tcBorders>
            <w:shd w:val="clear" w:color="auto" w:fill="auto"/>
            <w:noWrap/>
            <w:vAlign w:val="center"/>
            <w:hideMark/>
          </w:tcPr>
          <w:p w14:paraId="62B6690C"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100</w:t>
            </w:r>
          </w:p>
        </w:tc>
      </w:tr>
      <w:tr w:rsidR="00A11D2E" w:rsidRPr="00AD3B35" w14:paraId="47D42C34" w14:textId="77777777" w:rsidTr="000706F7">
        <w:trPr>
          <w:trHeight w:val="360"/>
        </w:trPr>
        <w:tc>
          <w:tcPr>
            <w:tcW w:w="865" w:type="pct"/>
            <w:tcBorders>
              <w:top w:val="nil"/>
              <w:left w:val="nil"/>
              <w:bottom w:val="single" w:sz="12" w:space="0" w:color="auto"/>
              <w:right w:val="nil"/>
            </w:tcBorders>
            <w:shd w:val="clear" w:color="auto" w:fill="auto"/>
            <w:noWrap/>
            <w:vAlign w:val="center"/>
            <w:hideMark/>
          </w:tcPr>
          <w:p w14:paraId="23D5E684"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York</w:t>
            </w:r>
          </w:p>
        </w:tc>
        <w:tc>
          <w:tcPr>
            <w:tcW w:w="529" w:type="pct"/>
            <w:tcBorders>
              <w:top w:val="nil"/>
              <w:left w:val="nil"/>
              <w:bottom w:val="single" w:sz="12" w:space="0" w:color="auto"/>
              <w:right w:val="nil"/>
            </w:tcBorders>
            <w:shd w:val="clear" w:color="auto" w:fill="auto"/>
            <w:noWrap/>
            <w:vAlign w:val="center"/>
            <w:hideMark/>
          </w:tcPr>
          <w:p w14:paraId="5FF91172" w14:textId="20E8E3E3"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18</w:t>
            </w:r>
          </w:p>
        </w:tc>
        <w:tc>
          <w:tcPr>
            <w:tcW w:w="625" w:type="pct"/>
            <w:tcBorders>
              <w:top w:val="nil"/>
              <w:left w:val="nil"/>
              <w:bottom w:val="single" w:sz="12" w:space="0" w:color="auto"/>
              <w:right w:val="nil"/>
            </w:tcBorders>
            <w:shd w:val="clear" w:color="auto" w:fill="auto"/>
            <w:noWrap/>
            <w:vAlign w:val="center"/>
            <w:hideMark/>
          </w:tcPr>
          <w:p w14:paraId="711F24CB" w14:textId="0676658B"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3</w:t>
            </w:r>
          </w:p>
        </w:tc>
        <w:tc>
          <w:tcPr>
            <w:tcW w:w="625" w:type="pct"/>
            <w:tcBorders>
              <w:top w:val="nil"/>
              <w:left w:val="nil"/>
              <w:bottom w:val="single" w:sz="12" w:space="0" w:color="auto"/>
              <w:right w:val="nil"/>
            </w:tcBorders>
            <w:shd w:val="clear" w:color="auto" w:fill="auto"/>
            <w:noWrap/>
            <w:vAlign w:val="center"/>
            <w:hideMark/>
          </w:tcPr>
          <w:p w14:paraId="52D36C8B" w14:textId="77777777" w:rsidR="00A11D2E" w:rsidRPr="00975A99" w:rsidRDefault="00A11D2E" w:rsidP="000706F7">
            <w:pPr>
              <w:widowControl/>
              <w:jc w:val="center"/>
              <w:rPr>
                <w:rFonts w:cstheme="minorHAnsi"/>
                <w:bCs/>
                <w:snapToGrid/>
                <w:sz w:val="22"/>
                <w:szCs w:val="22"/>
              </w:rPr>
            </w:pPr>
            <w:r w:rsidRPr="00975A99">
              <w:rPr>
                <w:rFonts w:cstheme="minorHAnsi"/>
                <w:snapToGrid/>
                <w:sz w:val="22"/>
                <w:szCs w:val="22"/>
              </w:rPr>
              <w:t>1</w:t>
            </w:r>
          </w:p>
        </w:tc>
        <w:tc>
          <w:tcPr>
            <w:tcW w:w="590" w:type="pct"/>
            <w:tcBorders>
              <w:top w:val="nil"/>
              <w:left w:val="nil"/>
              <w:bottom w:val="single" w:sz="12" w:space="0" w:color="auto"/>
              <w:right w:val="nil"/>
            </w:tcBorders>
            <w:shd w:val="clear" w:color="auto" w:fill="auto"/>
            <w:noWrap/>
            <w:vAlign w:val="center"/>
            <w:hideMark/>
          </w:tcPr>
          <w:p w14:paraId="13F7E073"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14</w:t>
            </w:r>
          </w:p>
        </w:tc>
        <w:tc>
          <w:tcPr>
            <w:tcW w:w="652" w:type="pct"/>
            <w:tcBorders>
              <w:top w:val="nil"/>
              <w:left w:val="nil"/>
              <w:bottom w:val="single" w:sz="12" w:space="0" w:color="auto"/>
              <w:right w:val="nil"/>
            </w:tcBorders>
            <w:shd w:val="clear" w:color="auto" w:fill="auto"/>
            <w:noWrap/>
            <w:vAlign w:val="center"/>
            <w:hideMark/>
          </w:tcPr>
          <w:p w14:paraId="276A47FD"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17</w:t>
            </w:r>
          </w:p>
        </w:tc>
        <w:tc>
          <w:tcPr>
            <w:tcW w:w="654" w:type="pct"/>
            <w:tcBorders>
              <w:top w:val="nil"/>
              <w:left w:val="nil"/>
              <w:bottom w:val="single" w:sz="12" w:space="0" w:color="auto"/>
              <w:right w:val="nil"/>
            </w:tcBorders>
            <w:shd w:val="clear" w:color="auto" w:fill="auto"/>
            <w:noWrap/>
            <w:vAlign w:val="center"/>
            <w:hideMark/>
          </w:tcPr>
          <w:p w14:paraId="33586ED5"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6</w:t>
            </w:r>
          </w:p>
        </w:tc>
        <w:tc>
          <w:tcPr>
            <w:tcW w:w="460" w:type="pct"/>
            <w:tcBorders>
              <w:top w:val="nil"/>
              <w:left w:val="nil"/>
              <w:bottom w:val="single" w:sz="12" w:space="0" w:color="auto"/>
              <w:right w:val="nil"/>
            </w:tcBorders>
            <w:shd w:val="clear" w:color="auto" w:fill="auto"/>
            <w:noWrap/>
            <w:vAlign w:val="center"/>
            <w:hideMark/>
          </w:tcPr>
          <w:p w14:paraId="62A0A483" w14:textId="77777777" w:rsidR="00A11D2E" w:rsidRPr="00975A99" w:rsidRDefault="00A11D2E">
            <w:pPr>
              <w:widowControl/>
              <w:jc w:val="center"/>
              <w:rPr>
                <w:rFonts w:cstheme="minorHAnsi"/>
                <w:bCs/>
                <w:snapToGrid/>
                <w:sz w:val="22"/>
                <w:szCs w:val="22"/>
              </w:rPr>
            </w:pPr>
            <w:r w:rsidRPr="00975A99">
              <w:rPr>
                <w:rFonts w:cstheme="minorHAnsi"/>
                <w:snapToGrid/>
                <w:sz w:val="22"/>
                <w:szCs w:val="22"/>
              </w:rPr>
              <w:t>78</w:t>
            </w:r>
          </w:p>
        </w:tc>
      </w:tr>
    </w:tbl>
    <w:p w14:paraId="5D69B641" w14:textId="77777777" w:rsidR="00A11D2E" w:rsidRPr="00AD3B35" w:rsidRDefault="00A11D2E" w:rsidP="00A11D2E">
      <w:pPr>
        <w:ind w:firstLine="720"/>
        <w:rPr>
          <w:rFonts w:cstheme="minorHAnsi"/>
        </w:rPr>
        <w:sectPr w:rsidR="00A11D2E" w:rsidRPr="00AD3B35" w:rsidSect="009079C4">
          <w:pgSz w:w="12240" w:h="15840" w:code="1"/>
          <w:pgMar w:top="1440" w:right="1440" w:bottom="1440" w:left="1440" w:header="720" w:footer="720" w:gutter="0"/>
          <w:cols w:space="720"/>
          <w:docGrid w:linePitch="360"/>
        </w:sectPr>
      </w:pPr>
    </w:p>
    <w:p w14:paraId="28C7952F" w14:textId="3471E638" w:rsidR="00264553" w:rsidRDefault="00DC0D66" w:rsidP="00264553">
      <w:pPr>
        <w:pStyle w:val="Caption"/>
        <w:keepNext/>
      </w:pPr>
      <w:r w:rsidRPr="002C2985">
        <w:rPr>
          <w:noProof/>
        </w:rPr>
        <w:lastRenderedPageBreak/>
        <w:drawing>
          <wp:inline distT="0" distB="0" distL="0" distR="0" wp14:anchorId="1099D4A7" wp14:editId="159B9EFE">
            <wp:extent cx="8229600" cy="5310505"/>
            <wp:effectExtent l="0" t="0" r="0" b="4445"/>
            <wp:docPr id="1983822157" name="Picture 1983822157" descr="Map&#10;&#10;Figure 4.7 5. Statewide total suspended solids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22157" name="Picture 1983822157" descr="Map&#10;&#10;Figure 4.7 5. Statewide total suspended solids trends."/>
                    <pic:cNvPicPr/>
                  </pic:nvPicPr>
                  <pic:blipFill>
                    <a:blip r:embed="rId219" cstate="email">
                      <a:extLst>
                        <a:ext uri="{28A0092B-C50C-407E-A947-70E740481C1C}">
                          <a14:useLocalDpi xmlns:a14="http://schemas.microsoft.com/office/drawing/2010/main"/>
                        </a:ext>
                      </a:extLst>
                    </a:blip>
                    <a:stretch>
                      <a:fillRect/>
                    </a:stretch>
                  </pic:blipFill>
                  <pic:spPr>
                    <a:xfrm>
                      <a:off x="0" y="0"/>
                      <a:ext cx="8229600" cy="5310505"/>
                    </a:xfrm>
                    <a:prstGeom prst="rect">
                      <a:avLst/>
                    </a:prstGeom>
                  </pic:spPr>
                </pic:pic>
              </a:graphicData>
            </a:graphic>
          </wp:inline>
        </w:drawing>
      </w:r>
      <w:r w:rsidR="00936535">
        <w:rPr>
          <w:noProof/>
          <w:snapToGrid/>
          <w14:ligatures w14:val="standardContextual"/>
        </w:rPr>
        <mc:AlternateContent>
          <mc:Choice Requires="wps">
            <w:drawing>
              <wp:anchor distT="45720" distB="45720" distL="114300" distR="114300" simplePos="0" relativeHeight="251658247" behindDoc="0" locked="0" layoutInCell="1" allowOverlap="1" wp14:anchorId="04DDB466" wp14:editId="580D5D93">
                <wp:simplePos x="0" y="0"/>
                <wp:positionH relativeFrom="column">
                  <wp:posOffset>435935</wp:posOffset>
                </wp:positionH>
                <wp:positionV relativeFrom="paragraph">
                  <wp:posOffset>471022</wp:posOffset>
                </wp:positionV>
                <wp:extent cx="904875" cy="277495"/>
                <wp:effectExtent l="0" t="0" r="9525" b="0"/>
                <wp:wrapNone/>
                <wp:docPr id="287383846" name="Text Box 2873838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7495"/>
                        </a:xfrm>
                        <a:prstGeom prst="rect">
                          <a:avLst/>
                        </a:prstGeom>
                        <a:solidFill>
                          <a:srgbClr val="FFFFFF"/>
                        </a:solidFill>
                        <a:ln w="9525">
                          <a:noFill/>
                          <a:miter lim="800000"/>
                          <a:headEnd/>
                          <a:tailEnd/>
                        </a:ln>
                      </wps:spPr>
                      <wps:txbx>
                        <w:txbxContent>
                          <w:p w14:paraId="1AFC31BE" w14:textId="77777777" w:rsidR="00936535" w:rsidRPr="00936535" w:rsidRDefault="00936535" w:rsidP="00936535">
                            <w:r w:rsidRPr="00936535">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DDB466" id="Text Box 287383846" o:spid="_x0000_s1035" type="#_x0000_t202" alt="&quot;&quot;" style="position:absolute;margin-left:34.35pt;margin-top:37.1pt;width:71.25pt;height:21.85pt;z-index:25165824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" stroked="f">
                <v:textbox style="mso-fit-shape-to-text:t">
                  <w:txbxContent>
                    <w:p w14:paraId="1AFC31BE" w14:textId="77777777" w:rsidR="00936535" w:rsidRPr="00936535" w:rsidRDefault="00936535" w:rsidP="00936535">
                      <w:r w:rsidRPr="00936535">
                        <w:t>River Basin</w:t>
                      </w:r>
                    </w:p>
                  </w:txbxContent>
                </v:textbox>
              </v:shape>
            </w:pict>
          </mc:Fallback>
        </mc:AlternateContent>
      </w:r>
      <w:r w:rsidR="00AF5FC3">
        <w:rPr>
          <w:noProof/>
          <w:snapToGrid/>
          <w14:ligatures w14:val="standardContextual"/>
        </w:rPr>
        <mc:AlternateContent>
          <mc:Choice Requires="wps">
            <w:drawing>
              <wp:anchor distT="45720" distB="45720" distL="114300" distR="114300" simplePos="0" relativeHeight="251658248" behindDoc="0" locked="0" layoutInCell="1" allowOverlap="1" wp14:anchorId="16CC5C3A" wp14:editId="13CBAA8B">
                <wp:simplePos x="0" y="0"/>
                <wp:positionH relativeFrom="column">
                  <wp:posOffset>498859</wp:posOffset>
                </wp:positionH>
                <wp:positionV relativeFrom="paragraph">
                  <wp:posOffset>468025</wp:posOffset>
                </wp:positionV>
                <wp:extent cx="904875" cy="277495"/>
                <wp:effectExtent l="0" t="0" r="9525" b="0"/>
                <wp:wrapNone/>
                <wp:docPr id="801532968" name="Text Box 801532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7495"/>
                        </a:xfrm>
                        <a:prstGeom prst="rect">
                          <a:avLst/>
                        </a:prstGeom>
                        <a:solidFill>
                          <a:srgbClr val="FFFFFF"/>
                        </a:solidFill>
                        <a:ln w="9525">
                          <a:noFill/>
                          <a:miter lim="800000"/>
                          <a:headEnd/>
                          <a:tailEnd/>
                        </a:ln>
                      </wps:spPr>
                      <wps:txbx>
                        <w:txbxContent>
                          <w:p w14:paraId="41098803" w14:textId="77777777" w:rsidR="00AF5FC3" w:rsidRPr="00AF5FC3" w:rsidRDefault="00AF5FC3" w:rsidP="00AF5FC3">
                            <w:r w:rsidRPr="00AF5FC3">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CC5C3A" id="Text Box 801532968" o:spid="_x0000_s1036" type="#_x0000_t202" alt="&quot;&quot;" style="position:absolute;margin-left:39.3pt;margin-top:36.85pt;width:71.25pt;height:21.85pt;z-index:251658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" stroked="f">
                <v:textbox style="mso-fit-shape-to-text:t">
                  <w:txbxContent>
                    <w:p w14:paraId="41098803" w14:textId="77777777" w:rsidR="00AF5FC3" w:rsidRPr="00AF5FC3" w:rsidRDefault="00AF5FC3" w:rsidP="00AF5FC3">
                      <w:r w:rsidRPr="00AF5FC3">
                        <w:t>River Basin</w:t>
                      </w:r>
                    </w:p>
                  </w:txbxContent>
                </v:textbox>
              </v:shape>
            </w:pict>
          </mc:Fallback>
        </mc:AlternateContent>
      </w:r>
    </w:p>
    <w:p w14:paraId="3B81C69D" w14:textId="545475C7" w:rsidR="00A11D2E" w:rsidRPr="00AD3B35" w:rsidRDefault="00264553" w:rsidP="00264553">
      <w:pPr>
        <w:pStyle w:val="Caption"/>
        <w:rPr>
          <w:rFonts w:cstheme="minorHAnsi"/>
        </w:rPr>
      </w:pPr>
      <w:bookmarkStart w:id="352" w:name="_Toc152766303"/>
      <w:bookmarkStart w:id="353" w:name="_Toc164175128"/>
      <w:r>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5</w:t>
      </w:r>
      <w:r w:rsidR="004F13BA">
        <w:rPr>
          <w:noProof/>
        </w:rPr>
        <w:fldChar w:fldCharType="end"/>
      </w:r>
      <w:r>
        <w:t>.</w:t>
      </w:r>
      <w:r w:rsidR="002444E1">
        <w:t xml:space="preserve"> </w:t>
      </w:r>
      <w:r w:rsidR="002444E1" w:rsidRPr="00AD3B35">
        <w:rPr>
          <w:rFonts w:cstheme="minorHAnsi"/>
          <w:noProof/>
        </w:rPr>
        <w:t>Statewide total suspended solids trends.</w:t>
      </w:r>
      <w:bookmarkEnd w:id="352"/>
      <w:bookmarkEnd w:id="353"/>
    </w:p>
    <w:p w14:paraId="7CAD3732" w14:textId="3B7A1354" w:rsidR="00A11D2E" w:rsidRPr="00AD3B35" w:rsidRDefault="00A11D2E" w:rsidP="00A11D2E">
      <w:pPr>
        <w:pStyle w:val="Caption"/>
        <w:rPr>
          <w:rFonts w:cstheme="minorHAnsi"/>
          <w:noProof/>
        </w:rPr>
        <w:sectPr w:rsidR="00A11D2E" w:rsidRPr="00AD3B35" w:rsidSect="009079C4">
          <w:pgSz w:w="15840" w:h="12240" w:orient="landscape" w:code="1"/>
          <w:pgMar w:top="1440" w:right="1440" w:bottom="1440" w:left="1440" w:header="720" w:footer="720" w:gutter="0"/>
          <w:cols w:space="720"/>
          <w:docGrid w:linePitch="360"/>
        </w:sectPr>
      </w:pPr>
      <w:r w:rsidRPr="00AD3B35">
        <w:rPr>
          <w:rFonts w:cstheme="minorHAnsi"/>
        </w:rPr>
        <w:t xml:space="preserve"> </w:t>
      </w:r>
    </w:p>
    <w:p w14:paraId="29EA0101" w14:textId="559C84EC" w:rsidR="002444E1" w:rsidRDefault="00DF7F73" w:rsidP="002444E1">
      <w:pPr>
        <w:pStyle w:val="Caption"/>
        <w:keepNext/>
      </w:pPr>
      <w:r>
        <w:rPr>
          <w:noProof/>
          <w:snapToGrid/>
          <w14:ligatures w14:val="standardContextual"/>
        </w:rPr>
        <w:lastRenderedPageBreak/>
        <w:drawing>
          <wp:inline distT="0" distB="0" distL="0" distR="0" wp14:anchorId="70A43D54" wp14:editId="2F33C85F">
            <wp:extent cx="8229600" cy="5325110"/>
            <wp:effectExtent l="0" t="0" r="0" b="8890"/>
            <wp:docPr id="1462541361" name="Picture 3" descr="Map&#10;&#10;Figure 4.7 6. Statewide total fixed suspended solids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41361" name="Picture 3" descr="Map&#10;&#10;Figure 4.7 6. Statewide total fixed suspended solids trends."/>
                    <pic:cNvPicPr/>
                  </pic:nvPicPr>
                  <pic:blipFill>
                    <a:blip r:embed="rId220" cstate="print">
                      <a:extLst>
                        <a:ext uri="{28A0092B-C50C-407E-A947-70E740481C1C}">
                          <a14:useLocalDpi xmlns:a14="http://schemas.microsoft.com/office/drawing/2010/main"/>
                        </a:ext>
                      </a:extLst>
                    </a:blip>
                    <a:stretch>
                      <a:fillRect/>
                    </a:stretch>
                  </pic:blipFill>
                  <pic:spPr>
                    <a:xfrm>
                      <a:off x="0" y="0"/>
                      <a:ext cx="8229600" cy="5325110"/>
                    </a:xfrm>
                    <a:prstGeom prst="rect">
                      <a:avLst/>
                    </a:prstGeom>
                  </pic:spPr>
                </pic:pic>
              </a:graphicData>
            </a:graphic>
          </wp:inline>
        </w:drawing>
      </w:r>
      <w:r w:rsidR="00187238">
        <w:rPr>
          <w:noProof/>
          <w:snapToGrid/>
          <w14:ligatures w14:val="standardContextual"/>
        </w:rPr>
        <mc:AlternateContent>
          <mc:Choice Requires="wps">
            <w:drawing>
              <wp:anchor distT="45720" distB="45720" distL="114300" distR="114300" simplePos="0" relativeHeight="251658249" behindDoc="0" locked="0" layoutInCell="1" allowOverlap="1" wp14:anchorId="48396DAD" wp14:editId="075A5DAF">
                <wp:simplePos x="0" y="0"/>
                <wp:positionH relativeFrom="column">
                  <wp:posOffset>502610</wp:posOffset>
                </wp:positionH>
                <wp:positionV relativeFrom="paragraph">
                  <wp:posOffset>459061</wp:posOffset>
                </wp:positionV>
                <wp:extent cx="904875" cy="277495"/>
                <wp:effectExtent l="0" t="0" r="9525" b="0"/>
                <wp:wrapNone/>
                <wp:docPr id="882472060" name="Text Box 882472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7495"/>
                        </a:xfrm>
                        <a:prstGeom prst="rect">
                          <a:avLst/>
                        </a:prstGeom>
                        <a:solidFill>
                          <a:srgbClr val="FFFFFF"/>
                        </a:solidFill>
                        <a:ln w="9525">
                          <a:noFill/>
                          <a:miter lim="800000"/>
                          <a:headEnd/>
                          <a:tailEnd/>
                        </a:ln>
                      </wps:spPr>
                      <wps:txbx>
                        <w:txbxContent>
                          <w:p w14:paraId="1C30D7EF" w14:textId="77777777" w:rsidR="00187238" w:rsidRPr="00AF5FC3" w:rsidRDefault="00187238" w:rsidP="00187238">
                            <w:r w:rsidRPr="00AF5FC3">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396DAD" id="Text Box 882472060" o:spid="_x0000_s1037" type="#_x0000_t202" alt="&quot;&quot;" style="position:absolute;margin-left:39.6pt;margin-top:36.15pt;width:71.25pt;height:21.85pt;z-index:25165824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" stroked="f">
                <v:textbox style="mso-fit-shape-to-text:t">
                  <w:txbxContent>
                    <w:p w14:paraId="1C30D7EF" w14:textId="77777777" w:rsidR="00187238" w:rsidRPr="00AF5FC3" w:rsidRDefault="00187238" w:rsidP="00187238">
                      <w:r w:rsidRPr="00AF5FC3">
                        <w:t>River Basin</w:t>
                      </w:r>
                    </w:p>
                  </w:txbxContent>
                </v:textbox>
              </v:shape>
            </w:pict>
          </mc:Fallback>
        </mc:AlternateContent>
      </w:r>
    </w:p>
    <w:p w14:paraId="1C2B61EB" w14:textId="28A79804" w:rsidR="00A11D2E" w:rsidRPr="00AD3B35" w:rsidRDefault="002444E1" w:rsidP="002444E1">
      <w:pPr>
        <w:pStyle w:val="Caption"/>
        <w:rPr>
          <w:rFonts w:cstheme="minorHAnsi"/>
        </w:rPr>
      </w:pPr>
      <w:bookmarkStart w:id="354" w:name="_Toc152766304"/>
      <w:bookmarkStart w:id="355" w:name="_Toc164175129"/>
      <w:r>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6</w:t>
      </w:r>
      <w:r w:rsidR="004F13BA">
        <w:rPr>
          <w:noProof/>
        </w:rPr>
        <w:fldChar w:fldCharType="end"/>
      </w:r>
      <w:r>
        <w:t xml:space="preserve">. </w:t>
      </w:r>
      <w:r w:rsidRPr="00AD3B35">
        <w:rPr>
          <w:rFonts w:cstheme="minorHAnsi"/>
          <w:noProof/>
        </w:rPr>
        <w:t>Statewide total fixed suspended solids trends.</w:t>
      </w:r>
      <w:bookmarkEnd w:id="354"/>
      <w:bookmarkEnd w:id="355"/>
    </w:p>
    <w:p w14:paraId="47582573" w14:textId="4872154B" w:rsidR="00A11D2E" w:rsidRPr="00AD3B35" w:rsidRDefault="00A11D2E" w:rsidP="00A11D2E">
      <w:pPr>
        <w:pStyle w:val="Caption"/>
        <w:rPr>
          <w:rFonts w:cstheme="minorHAnsi"/>
        </w:rPr>
      </w:pPr>
    </w:p>
    <w:p w14:paraId="1BA185A5" w14:textId="77777777" w:rsidR="00A11D2E" w:rsidRPr="00AD3B35" w:rsidRDefault="00A11D2E" w:rsidP="00A11D2E">
      <w:pPr>
        <w:rPr>
          <w:rFonts w:cstheme="minorHAnsi"/>
        </w:rPr>
        <w:sectPr w:rsidR="00A11D2E" w:rsidRPr="00AD3B35" w:rsidSect="009079C4">
          <w:pgSz w:w="15840" w:h="12240" w:orient="landscape" w:code="1"/>
          <w:pgMar w:top="1440" w:right="1440" w:bottom="1440" w:left="1440" w:header="720" w:footer="720" w:gutter="0"/>
          <w:cols w:space="720"/>
          <w:docGrid w:linePitch="360"/>
        </w:sectPr>
      </w:pPr>
    </w:p>
    <w:p w14:paraId="1E90CEC1" w14:textId="77777777" w:rsidR="00A11D2E" w:rsidRPr="00AD3B35" w:rsidRDefault="00A11D2E" w:rsidP="000C00A2">
      <w:pPr>
        <w:pStyle w:val="Heading4"/>
      </w:pPr>
      <w:r w:rsidRPr="00AD3B35">
        <w:lastRenderedPageBreak/>
        <w:t>Surface Water Temperature</w:t>
      </w:r>
    </w:p>
    <w:p w14:paraId="3458845A" w14:textId="255D695C" w:rsidR="00A11D2E" w:rsidRPr="00AD3B35" w:rsidRDefault="00A11D2E" w:rsidP="00A11D2E">
      <w:pPr>
        <w:rPr>
          <w:rFonts w:cstheme="minorHAnsi"/>
        </w:rPr>
      </w:pPr>
      <w:bookmarkStart w:id="356" w:name="_Hlk150799879"/>
      <w:r w:rsidRPr="00AD3B35">
        <w:rPr>
          <w:rFonts w:cstheme="minorHAnsi"/>
        </w:rPr>
        <w:t xml:space="preserve">Most stations (329 of 413; 80%) showed no trend in surface water temperature. Surface water temperature increased </w:t>
      </w:r>
      <w:proofErr w:type="gramStart"/>
      <w:r w:rsidRPr="00AD3B35">
        <w:rPr>
          <w:rFonts w:cstheme="minorHAnsi"/>
        </w:rPr>
        <w:t>at</w:t>
      </w:r>
      <w:proofErr w:type="gramEnd"/>
      <w:r w:rsidRPr="00AD3B35">
        <w:rPr>
          <w:rFonts w:cstheme="minorHAnsi"/>
        </w:rPr>
        <w:t xml:space="preserve"> 77 stations (19%) and decreased </w:t>
      </w:r>
      <w:proofErr w:type="gramStart"/>
      <w:r w:rsidRPr="00AD3B35">
        <w:rPr>
          <w:rFonts w:cstheme="minorHAnsi"/>
        </w:rPr>
        <w:t>at</w:t>
      </w:r>
      <w:proofErr w:type="gramEnd"/>
      <w:r w:rsidRPr="00AD3B35">
        <w:rPr>
          <w:rFonts w:cstheme="minorHAnsi"/>
        </w:rPr>
        <w:t xml:space="preserve"> </w:t>
      </w:r>
      <w:r w:rsidR="00C63B0F">
        <w:rPr>
          <w:rFonts w:cstheme="minorHAnsi"/>
        </w:rPr>
        <w:t>seven</w:t>
      </w:r>
      <w:r w:rsidRPr="00AD3B35">
        <w:rPr>
          <w:rFonts w:cstheme="minorHAnsi"/>
        </w:rPr>
        <w:t xml:space="preserve"> stations (&lt;</w:t>
      </w:r>
      <w:r w:rsidR="00B60F0B">
        <w:rPr>
          <w:rFonts w:cstheme="minorHAnsi"/>
        </w:rPr>
        <w:t xml:space="preserve"> </w:t>
      </w:r>
      <w:r w:rsidRPr="00AD3B35">
        <w:rPr>
          <w:rFonts w:cstheme="minorHAnsi"/>
        </w:rPr>
        <w:t>2%; Table 4</w:t>
      </w:r>
      <w:r w:rsidR="00B60F0B">
        <w:rPr>
          <w:rFonts w:cstheme="minorHAnsi"/>
        </w:rPr>
        <w:t>.7-</w:t>
      </w:r>
      <w:r w:rsidR="007D6E82">
        <w:rPr>
          <w:rFonts w:cstheme="minorHAnsi"/>
        </w:rPr>
        <w:t>4</w:t>
      </w:r>
      <w:r w:rsidRPr="00AD3B35">
        <w:rPr>
          <w:rFonts w:cstheme="minorHAnsi"/>
        </w:rPr>
        <w:t xml:space="preserve">), indicating an overall pattern of increasing temperatures in Virginia’s waters. Temperature increases ranged from 1.2 to 4.5 </w:t>
      </w:r>
      <w:proofErr w:type="spellStart"/>
      <w:r w:rsidRPr="00AD3B35">
        <w:rPr>
          <w:rFonts w:cstheme="minorHAnsi"/>
          <w:vertAlign w:val="superscript"/>
        </w:rPr>
        <w:t>o</w:t>
      </w:r>
      <w:r w:rsidRPr="00AD3B35">
        <w:rPr>
          <w:rFonts w:cstheme="minorHAnsi"/>
        </w:rPr>
        <w:t>C</w:t>
      </w:r>
      <w:proofErr w:type="spellEnd"/>
      <w:r w:rsidRPr="00AD3B35">
        <w:rPr>
          <w:rFonts w:cstheme="minorHAnsi"/>
        </w:rPr>
        <w:t xml:space="preserve"> among the stations where significant increases (p</w:t>
      </w:r>
      <w:r w:rsidR="00B60F0B">
        <w:rPr>
          <w:rFonts w:cstheme="minorHAnsi"/>
        </w:rPr>
        <w:t xml:space="preserve"> </w:t>
      </w:r>
      <w:r w:rsidRPr="00AD3B35">
        <w:rPr>
          <w:rFonts w:cstheme="minorHAnsi"/>
        </w:rPr>
        <w:t>≤</w:t>
      </w:r>
      <w:r w:rsidR="00B60F0B">
        <w:rPr>
          <w:rFonts w:cstheme="minorHAnsi"/>
        </w:rPr>
        <w:t xml:space="preserve"> </w:t>
      </w:r>
      <w:r w:rsidRPr="00AD3B35">
        <w:rPr>
          <w:rFonts w:cstheme="minorHAnsi"/>
        </w:rPr>
        <w:t xml:space="preserve">0.10) were observed. Many of the observed increases were clustered at or near reservoir stations in the Roanoke River basin, estuary stations in Chesapeake Bay tributaries and streams and estuaries in the Chowan </w:t>
      </w:r>
      <w:r w:rsidR="005D3460">
        <w:rPr>
          <w:rFonts w:cstheme="minorHAnsi"/>
        </w:rPr>
        <w:t xml:space="preserve">and Dismal </w:t>
      </w:r>
      <w:r w:rsidR="001D33FB">
        <w:rPr>
          <w:rFonts w:cstheme="minorHAnsi"/>
        </w:rPr>
        <w:t xml:space="preserve">Swamp </w:t>
      </w:r>
      <w:r w:rsidRPr="00AD3B35">
        <w:rPr>
          <w:rFonts w:cstheme="minorHAnsi"/>
        </w:rPr>
        <w:t xml:space="preserve">basin (Figure </w:t>
      </w:r>
      <w:r w:rsidR="00B60F0B">
        <w:rPr>
          <w:rFonts w:cstheme="minorHAnsi"/>
        </w:rPr>
        <w:t>4.7-</w:t>
      </w:r>
      <w:r w:rsidRPr="00AD3B35">
        <w:rPr>
          <w:rFonts w:cstheme="minorHAnsi"/>
        </w:rPr>
        <w:t>7). Although temperature trends were not significant at 329 stations (at p</w:t>
      </w:r>
      <w:r w:rsidR="00960BB8">
        <w:rPr>
          <w:rFonts w:cstheme="minorHAnsi"/>
        </w:rPr>
        <w:t xml:space="preserve"> </w:t>
      </w:r>
      <w:r w:rsidRPr="00AD3B35">
        <w:rPr>
          <w:rFonts w:cstheme="minorHAnsi"/>
        </w:rPr>
        <w:t>≤</w:t>
      </w:r>
      <w:r w:rsidR="00960BB8">
        <w:rPr>
          <w:rFonts w:cstheme="minorHAnsi"/>
        </w:rPr>
        <w:t xml:space="preserve"> </w:t>
      </w:r>
      <w:r w:rsidRPr="00AD3B35">
        <w:rPr>
          <w:rFonts w:cstheme="minorHAnsi"/>
        </w:rPr>
        <w:t xml:space="preserve">0.10), the analysis showed that the most probable trend at 75% of these stations was positive (indicating increasing temperature and degrading water quality) whereas the most probable trend at 25% of stations was negative. This result differs considerably from the 50%/50% ratio of increasing to decreasing trends that would be expected due to chance alone. In addition, the prevalence of increasing temperatures was consistent across seasons, with the </w:t>
      </w:r>
      <w:r w:rsidR="000069F7">
        <w:rPr>
          <w:rFonts w:cstheme="minorHAnsi"/>
        </w:rPr>
        <w:t>increasing trends</w:t>
      </w:r>
      <w:r w:rsidRPr="00AD3B35">
        <w:rPr>
          <w:rFonts w:cstheme="minorHAnsi"/>
        </w:rPr>
        <w:t xml:space="preserve"> observed more often than </w:t>
      </w:r>
      <w:r w:rsidR="00320A21">
        <w:rPr>
          <w:rFonts w:cstheme="minorHAnsi"/>
        </w:rPr>
        <w:t>decreasing trends</w:t>
      </w:r>
      <w:r w:rsidRPr="00AD3B35">
        <w:rPr>
          <w:rFonts w:cstheme="minorHAnsi"/>
        </w:rPr>
        <w:t xml:space="preserve"> in </w:t>
      </w:r>
      <w:r w:rsidR="00C63B0F">
        <w:rPr>
          <w:rFonts w:cstheme="minorHAnsi"/>
        </w:rPr>
        <w:t>seven</w:t>
      </w:r>
      <w:r w:rsidRPr="00AD3B35">
        <w:rPr>
          <w:rFonts w:cstheme="minorHAnsi"/>
        </w:rPr>
        <w:t xml:space="preserve"> of the </w:t>
      </w:r>
      <w:r w:rsidR="00C63B0F">
        <w:rPr>
          <w:rFonts w:cstheme="minorHAnsi"/>
        </w:rPr>
        <w:t>eight</w:t>
      </w:r>
      <w:r w:rsidRPr="00AD3B35">
        <w:rPr>
          <w:rFonts w:cstheme="minorHAnsi"/>
        </w:rPr>
        <w:t xml:space="preserve"> astronomical seasonal blocks (with the exception being early fall). These findings support the conclusion that, overall, surface water temperatures increased in Virginia’s waters from 2003-2022. </w:t>
      </w:r>
      <w:r w:rsidR="00DD335B" w:rsidRPr="00DD335B">
        <w:rPr>
          <w:rFonts w:cstheme="minorHAnsi"/>
        </w:rPr>
        <w:t xml:space="preserve">Trends in temperature by basin are shown in Table </w:t>
      </w:r>
      <w:r w:rsidR="00DD335B">
        <w:rPr>
          <w:rFonts w:cstheme="minorHAnsi"/>
        </w:rPr>
        <w:t>4.7-</w:t>
      </w:r>
      <w:r w:rsidR="00DD335B" w:rsidRPr="00DD335B">
        <w:rPr>
          <w:rFonts w:cstheme="minorHAnsi"/>
        </w:rPr>
        <w:t>10.</w:t>
      </w:r>
      <w:r w:rsidR="004C2614">
        <w:rPr>
          <w:rFonts w:cstheme="minorHAnsi"/>
        </w:rPr>
        <w:br/>
      </w:r>
    </w:p>
    <w:p w14:paraId="4B3611F3" w14:textId="68EFBE51" w:rsidR="00960BB8" w:rsidRPr="00960BB8" w:rsidRDefault="00960BB8" w:rsidP="00960BB8">
      <w:pPr>
        <w:pStyle w:val="Caption"/>
        <w:keepNext/>
      </w:pPr>
      <w:bookmarkStart w:id="357" w:name="_Toc164175231"/>
      <w:r w:rsidRPr="00960BB8">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10</w:t>
      </w:r>
      <w:r w:rsidR="004F13BA">
        <w:rPr>
          <w:noProof/>
        </w:rPr>
        <w:fldChar w:fldCharType="end"/>
      </w:r>
      <w:r w:rsidRPr="00960BB8">
        <w:t xml:space="preserve">. </w:t>
      </w:r>
      <w:r w:rsidRPr="00960BB8">
        <w:rPr>
          <w:rFonts w:cstheme="minorHAnsi"/>
        </w:rPr>
        <w:t>Surface water temperature trends by basin</w:t>
      </w:r>
      <w:r w:rsidR="00320A21">
        <w:rPr>
          <w:rFonts w:cstheme="minorHAnsi"/>
        </w:rPr>
        <w:t>, 2003 through 2022.</w:t>
      </w:r>
      <w:bookmarkEnd w:id="357"/>
    </w:p>
    <w:tbl>
      <w:tblPr>
        <w:tblW w:w="5000" w:type="pct"/>
        <w:tblLook w:val="04A0" w:firstRow="1" w:lastRow="0" w:firstColumn="1" w:lastColumn="0" w:noHBand="0" w:noVBand="1"/>
        <w:tblCaption w:val="Table of Surface water temperature trends by basin."/>
        <w:tblDescription w:val="Surface water temperature trends by basin."/>
      </w:tblPr>
      <w:tblGrid>
        <w:gridCol w:w="1540"/>
        <w:gridCol w:w="960"/>
        <w:gridCol w:w="1207"/>
        <w:gridCol w:w="1256"/>
        <w:gridCol w:w="1314"/>
        <w:gridCol w:w="1181"/>
        <w:gridCol w:w="1151"/>
        <w:gridCol w:w="751"/>
      </w:tblGrid>
      <w:tr w:rsidR="00A11D2E" w:rsidRPr="00997684" w14:paraId="71805404" w14:textId="77777777" w:rsidTr="00960BB8">
        <w:trPr>
          <w:trHeight w:val="1035"/>
        </w:trPr>
        <w:tc>
          <w:tcPr>
            <w:tcW w:w="822" w:type="pct"/>
            <w:tcBorders>
              <w:top w:val="single" w:sz="12" w:space="0" w:color="auto"/>
              <w:left w:val="nil"/>
              <w:bottom w:val="single" w:sz="8" w:space="0" w:color="auto"/>
              <w:right w:val="nil"/>
            </w:tcBorders>
            <w:shd w:val="clear" w:color="auto" w:fill="auto"/>
            <w:vAlign w:val="center"/>
            <w:hideMark/>
          </w:tcPr>
          <w:p w14:paraId="48F1D7E5" w14:textId="77777777" w:rsidR="00A11D2E" w:rsidRPr="00997684" w:rsidRDefault="00A11D2E">
            <w:pPr>
              <w:widowControl/>
              <w:jc w:val="center"/>
              <w:rPr>
                <w:rFonts w:cstheme="minorHAnsi"/>
                <w:b/>
                <w:bCs/>
                <w:snapToGrid/>
                <w:sz w:val="22"/>
                <w:szCs w:val="22"/>
              </w:rPr>
            </w:pPr>
            <w:r w:rsidRPr="00997684">
              <w:rPr>
                <w:rFonts w:cstheme="minorHAnsi"/>
                <w:b/>
                <w:bCs/>
                <w:sz w:val="22"/>
                <w:szCs w:val="22"/>
              </w:rPr>
              <w:t>Basin</w:t>
            </w:r>
          </w:p>
        </w:tc>
        <w:tc>
          <w:tcPr>
            <w:tcW w:w="513" w:type="pct"/>
            <w:tcBorders>
              <w:top w:val="single" w:sz="12" w:space="0" w:color="auto"/>
              <w:left w:val="nil"/>
              <w:bottom w:val="single" w:sz="8" w:space="0" w:color="auto"/>
              <w:right w:val="nil"/>
            </w:tcBorders>
            <w:shd w:val="clear" w:color="auto" w:fill="auto"/>
            <w:vAlign w:val="center"/>
            <w:hideMark/>
          </w:tcPr>
          <w:p w14:paraId="00F43780" w14:textId="77777777" w:rsidR="00A11D2E" w:rsidRPr="00997684" w:rsidRDefault="00A11D2E">
            <w:pPr>
              <w:jc w:val="center"/>
              <w:rPr>
                <w:rFonts w:cstheme="minorHAnsi"/>
                <w:b/>
                <w:bCs/>
                <w:sz w:val="22"/>
                <w:szCs w:val="22"/>
              </w:rPr>
            </w:pPr>
            <w:r w:rsidRPr="00997684">
              <w:rPr>
                <w:rFonts w:cstheme="minorHAnsi"/>
                <w:b/>
                <w:bCs/>
                <w:sz w:val="22"/>
                <w:szCs w:val="22"/>
              </w:rPr>
              <w:t>Total Stations</w:t>
            </w:r>
          </w:p>
        </w:tc>
        <w:tc>
          <w:tcPr>
            <w:tcW w:w="645" w:type="pct"/>
            <w:tcBorders>
              <w:top w:val="single" w:sz="12" w:space="0" w:color="auto"/>
              <w:left w:val="nil"/>
              <w:bottom w:val="single" w:sz="8" w:space="0" w:color="auto"/>
              <w:right w:val="nil"/>
            </w:tcBorders>
            <w:shd w:val="clear" w:color="auto" w:fill="auto"/>
            <w:vAlign w:val="center"/>
            <w:hideMark/>
          </w:tcPr>
          <w:p w14:paraId="3401CBAB" w14:textId="77777777" w:rsidR="00A11D2E" w:rsidRPr="00997684" w:rsidRDefault="00A11D2E">
            <w:pPr>
              <w:jc w:val="center"/>
              <w:rPr>
                <w:rFonts w:cstheme="minorHAnsi"/>
                <w:b/>
                <w:bCs/>
                <w:sz w:val="22"/>
                <w:szCs w:val="22"/>
              </w:rPr>
            </w:pPr>
            <w:r w:rsidRPr="00997684">
              <w:rPr>
                <w:rFonts w:cstheme="minorHAnsi"/>
                <w:b/>
                <w:bCs/>
                <w:sz w:val="22"/>
                <w:szCs w:val="22"/>
              </w:rPr>
              <w:t>Improving Trend (stations)</w:t>
            </w:r>
          </w:p>
        </w:tc>
        <w:tc>
          <w:tcPr>
            <w:tcW w:w="671" w:type="pct"/>
            <w:tcBorders>
              <w:top w:val="single" w:sz="12" w:space="0" w:color="auto"/>
              <w:left w:val="nil"/>
              <w:bottom w:val="single" w:sz="8" w:space="0" w:color="auto"/>
              <w:right w:val="nil"/>
            </w:tcBorders>
            <w:shd w:val="clear" w:color="auto" w:fill="auto"/>
            <w:vAlign w:val="center"/>
            <w:hideMark/>
          </w:tcPr>
          <w:p w14:paraId="43EF325E" w14:textId="77777777" w:rsidR="00A11D2E" w:rsidRPr="00997684" w:rsidRDefault="00A11D2E">
            <w:pPr>
              <w:jc w:val="center"/>
              <w:rPr>
                <w:rFonts w:cstheme="minorHAnsi"/>
                <w:b/>
                <w:bCs/>
                <w:sz w:val="22"/>
                <w:szCs w:val="22"/>
              </w:rPr>
            </w:pPr>
            <w:r w:rsidRPr="00997684">
              <w:rPr>
                <w:rFonts w:cstheme="minorHAnsi"/>
                <w:b/>
                <w:bCs/>
                <w:sz w:val="22"/>
                <w:szCs w:val="22"/>
              </w:rPr>
              <w:t>Degrading Trend (stations)</w:t>
            </w:r>
          </w:p>
        </w:tc>
        <w:tc>
          <w:tcPr>
            <w:tcW w:w="702" w:type="pct"/>
            <w:tcBorders>
              <w:top w:val="single" w:sz="12" w:space="0" w:color="auto"/>
              <w:left w:val="nil"/>
              <w:bottom w:val="single" w:sz="8" w:space="0" w:color="auto"/>
              <w:right w:val="nil"/>
            </w:tcBorders>
            <w:shd w:val="clear" w:color="auto" w:fill="auto"/>
            <w:vAlign w:val="center"/>
            <w:hideMark/>
          </w:tcPr>
          <w:p w14:paraId="4A6C1DEC" w14:textId="77777777" w:rsidR="00A11D2E" w:rsidRPr="00997684" w:rsidRDefault="00A11D2E">
            <w:pPr>
              <w:jc w:val="center"/>
              <w:rPr>
                <w:rFonts w:cstheme="minorHAnsi"/>
                <w:b/>
                <w:bCs/>
                <w:sz w:val="22"/>
                <w:szCs w:val="22"/>
              </w:rPr>
            </w:pPr>
            <w:r w:rsidRPr="00997684">
              <w:rPr>
                <w:rFonts w:cstheme="minorHAnsi"/>
                <w:b/>
                <w:bCs/>
                <w:sz w:val="22"/>
                <w:szCs w:val="22"/>
              </w:rPr>
              <w:t>No Trend (stations)</w:t>
            </w:r>
          </w:p>
        </w:tc>
        <w:tc>
          <w:tcPr>
            <w:tcW w:w="631" w:type="pct"/>
            <w:tcBorders>
              <w:top w:val="single" w:sz="12" w:space="0" w:color="auto"/>
              <w:left w:val="nil"/>
              <w:bottom w:val="single" w:sz="8" w:space="0" w:color="auto"/>
              <w:right w:val="nil"/>
            </w:tcBorders>
            <w:shd w:val="clear" w:color="auto" w:fill="auto"/>
            <w:vAlign w:val="center"/>
            <w:hideMark/>
          </w:tcPr>
          <w:p w14:paraId="30C4B9C2" w14:textId="77777777" w:rsidR="00A11D2E" w:rsidRPr="00997684" w:rsidRDefault="00A11D2E">
            <w:pPr>
              <w:jc w:val="center"/>
              <w:rPr>
                <w:rFonts w:cstheme="minorHAnsi"/>
                <w:b/>
                <w:bCs/>
                <w:sz w:val="22"/>
                <w:szCs w:val="22"/>
              </w:rPr>
            </w:pPr>
            <w:r w:rsidRPr="00997684">
              <w:rPr>
                <w:rFonts w:cstheme="minorHAnsi"/>
                <w:b/>
                <w:bCs/>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061704D9" w14:textId="77777777" w:rsidR="00A11D2E" w:rsidRPr="00997684" w:rsidRDefault="00A11D2E">
            <w:pPr>
              <w:jc w:val="center"/>
              <w:rPr>
                <w:rFonts w:cstheme="minorHAnsi"/>
                <w:b/>
                <w:bCs/>
                <w:sz w:val="22"/>
                <w:szCs w:val="22"/>
              </w:rPr>
            </w:pPr>
            <w:r w:rsidRPr="00997684">
              <w:rPr>
                <w:rFonts w:cstheme="minorHAnsi"/>
                <w:b/>
                <w:bCs/>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3C21A33E" w14:textId="77777777" w:rsidR="00A11D2E" w:rsidRPr="00997684" w:rsidRDefault="00A11D2E">
            <w:pPr>
              <w:jc w:val="center"/>
              <w:rPr>
                <w:rFonts w:cstheme="minorHAnsi"/>
                <w:b/>
                <w:bCs/>
                <w:sz w:val="22"/>
                <w:szCs w:val="22"/>
              </w:rPr>
            </w:pPr>
            <w:r w:rsidRPr="00997684">
              <w:rPr>
                <w:rFonts w:cstheme="minorHAnsi"/>
                <w:b/>
                <w:bCs/>
                <w:sz w:val="22"/>
                <w:szCs w:val="22"/>
              </w:rPr>
              <w:t>No Trend (%)</w:t>
            </w:r>
          </w:p>
        </w:tc>
      </w:tr>
      <w:tr w:rsidR="00A11D2E" w:rsidRPr="00AD3B35" w14:paraId="4E71684F" w14:textId="77777777" w:rsidTr="00960BB8">
        <w:trPr>
          <w:trHeight w:val="360"/>
        </w:trPr>
        <w:tc>
          <w:tcPr>
            <w:tcW w:w="822" w:type="pct"/>
            <w:tcBorders>
              <w:top w:val="nil"/>
              <w:left w:val="nil"/>
              <w:bottom w:val="nil"/>
              <w:right w:val="nil"/>
            </w:tcBorders>
            <w:shd w:val="clear" w:color="auto" w:fill="auto"/>
            <w:noWrap/>
            <w:vAlign w:val="center"/>
            <w:hideMark/>
          </w:tcPr>
          <w:p w14:paraId="63241D21" w14:textId="3D054649" w:rsidR="00A11D2E" w:rsidRPr="00997684" w:rsidRDefault="00A11D2E">
            <w:pPr>
              <w:widowControl/>
              <w:jc w:val="center"/>
              <w:rPr>
                <w:rFonts w:cstheme="minorHAnsi"/>
                <w:bCs/>
                <w:snapToGrid/>
                <w:sz w:val="22"/>
                <w:szCs w:val="22"/>
              </w:rPr>
            </w:pPr>
            <w:r w:rsidRPr="00997684">
              <w:rPr>
                <w:rFonts w:cstheme="minorHAnsi"/>
                <w:snapToGrid/>
                <w:sz w:val="22"/>
                <w:szCs w:val="22"/>
              </w:rPr>
              <w:t>Chesapeake</w:t>
            </w:r>
          </w:p>
        </w:tc>
        <w:tc>
          <w:tcPr>
            <w:tcW w:w="513" w:type="pct"/>
            <w:tcBorders>
              <w:top w:val="nil"/>
              <w:left w:val="nil"/>
              <w:bottom w:val="nil"/>
              <w:right w:val="nil"/>
            </w:tcBorders>
            <w:shd w:val="clear" w:color="auto" w:fill="auto"/>
            <w:noWrap/>
            <w:vAlign w:val="center"/>
            <w:hideMark/>
          </w:tcPr>
          <w:p w14:paraId="7B7E689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34</w:t>
            </w:r>
          </w:p>
        </w:tc>
        <w:tc>
          <w:tcPr>
            <w:tcW w:w="645" w:type="pct"/>
            <w:tcBorders>
              <w:top w:val="nil"/>
              <w:left w:val="nil"/>
              <w:bottom w:val="nil"/>
              <w:right w:val="nil"/>
            </w:tcBorders>
            <w:shd w:val="clear" w:color="auto" w:fill="auto"/>
            <w:noWrap/>
            <w:vAlign w:val="center"/>
            <w:hideMark/>
          </w:tcPr>
          <w:p w14:paraId="3B7FF88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376EDE9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335EF90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33</w:t>
            </w:r>
          </w:p>
        </w:tc>
        <w:tc>
          <w:tcPr>
            <w:tcW w:w="631" w:type="pct"/>
            <w:tcBorders>
              <w:top w:val="nil"/>
              <w:left w:val="nil"/>
              <w:bottom w:val="nil"/>
              <w:right w:val="nil"/>
            </w:tcBorders>
            <w:shd w:val="clear" w:color="auto" w:fill="auto"/>
            <w:noWrap/>
            <w:vAlign w:val="center"/>
            <w:hideMark/>
          </w:tcPr>
          <w:p w14:paraId="5D83C8F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23C1CCF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401" w:type="pct"/>
            <w:tcBorders>
              <w:top w:val="nil"/>
              <w:left w:val="nil"/>
              <w:bottom w:val="nil"/>
              <w:right w:val="nil"/>
            </w:tcBorders>
            <w:shd w:val="clear" w:color="auto" w:fill="auto"/>
            <w:noWrap/>
            <w:vAlign w:val="center"/>
            <w:hideMark/>
          </w:tcPr>
          <w:p w14:paraId="5CE1687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97</w:t>
            </w:r>
          </w:p>
        </w:tc>
      </w:tr>
      <w:tr w:rsidR="00A11D2E" w:rsidRPr="00AD3B35" w14:paraId="3C9B948D" w14:textId="77777777" w:rsidTr="00960BB8">
        <w:trPr>
          <w:trHeight w:val="360"/>
        </w:trPr>
        <w:tc>
          <w:tcPr>
            <w:tcW w:w="822" w:type="pct"/>
            <w:tcBorders>
              <w:top w:val="nil"/>
              <w:left w:val="nil"/>
              <w:bottom w:val="nil"/>
              <w:right w:val="nil"/>
            </w:tcBorders>
            <w:shd w:val="clear" w:color="auto" w:fill="auto"/>
            <w:noWrap/>
            <w:vAlign w:val="center"/>
            <w:hideMark/>
          </w:tcPr>
          <w:p w14:paraId="6FBB78A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Chowan</w:t>
            </w:r>
          </w:p>
        </w:tc>
        <w:tc>
          <w:tcPr>
            <w:tcW w:w="513" w:type="pct"/>
            <w:tcBorders>
              <w:top w:val="nil"/>
              <w:left w:val="nil"/>
              <w:bottom w:val="nil"/>
              <w:right w:val="nil"/>
            </w:tcBorders>
            <w:shd w:val="clear" w:color="auto" w:fill="auto"/>
            <w:noWrap/>
            <w:vAlign w:val="center"/>
            <w:hideMark/>
          </w:tcPr>
          <w:p w14:paraId="0611D78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52</w:t>
            </w:r>
          </w:p>
        </w:tc>
        <w:tc>
          <w:tcPr>
            <w:tcW w:w="645" w:type="pct"/>
            <w:tcBorders>
              <w:top w:val="nil"/>
              <w:left w:val="nil"/>
              <w:bottom w:val="nil"/>
              <w:right w:val="nil"/>
            </w:tcBorders>
            <w:shd w:val="clear" w:color="auto" w:fill="auto"/>
            <w:noWrap/>
            <w:vAlign w:val="center"/>
            <w:hideMark/>
          </w:tcPr>
          <w:p w14:paraId="7586E70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671" w:type="pct"/>
            <w:tcBorders>
              <w:top w:val="nil"/>
              <w:left w:val="nil"/>
              <w:bottom w:val="nil"/>
              <w:right w:val="nil"/>
            </w:tcBorders>
            <w:shd w:val="clear" w:color="auto" w:fill="auto"/>
            <w:noWrap/>
            <w:vAlign w:val="center"/>
            <w:hideMark/>
          </w:tcPr>
          <w:p w14:paraId="535906B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13</w:t>
            </w:r>
          </w:p>
        </w:tc>
        <w:tc>
          <w:tcPr>
            <w:tcW w:w="702" w:type="pct"/>
            <w:tcBorders>
              <w:top w:val="nil"/>
              <w:left w:val="nil"/>
              <w:bottom w:val="nil"/>
              <w:right w:val="nil"/>
            </w:tcBorders>
            <w:shd w:val="clear" w:color="auto" w:fill="auto"/>
            <w:noWrap/>
            <w:vAlign w:val="center"/>
            <w:hideMark/>
          </w:tcPr>
          <w:p w14:paraId="1962EC4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38</w:t>
            </w:r>
          </w:p>
        </w:tc>
        <w:tc>
          <w:tcPr>
            <w:tcW w:w="631" w:type="pct"/>
            <w:tcBorders>
              <w:top w:val="nil"/>
              <w:left w:val="nil"/>
              <w:bottom w:val="nil"/>
              <w:right w:val="nil"/>
            </w:tcBorders>
            <w:shd w:val="clear" w:color="auto" w:fill="auto"/>
            <w:noWrap/>
            <w:vAlign w:val="center"/>
            <w:hideMark/>
          </w:tcPr>
          <w:p w14:paraId="030E2A52"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615" w:type="pct"/>
            <w:tcBorders>
              <w:top w:val="nil"/>
              <w:left w:val="nil"/>
              <w:bottom w:val="nil"/>
              <w:right w:val="nil"/>
            </w:tcBorders>
            <w:shd w:val="clear" w:color="auto" w:fill="auto"/>
            <w:noWrap/>
            <w:vAlign w:val="center"/>
            <w:hideMark/>
          </w:tcPr>
          <w:p w14:paraId="517A41D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25</w:t>
            </w:r>
          </w:p>
        </w:tc>
        <w:tc>
          <w:tcPr>
            <w:tcW w:w="401" w:type="pct"/>
            <w:tcBorders>
              <w:top w:val="nil"/>
              <w:left w:val="nil"/>
              <w:bottom w:val="nil"/>
              <w:right w:val="nil"/>
            </w:tcBorders>
            <w:shd w:val="clear" w:color="auto" w:fill="auto"/>
            <w:noWrap/>
            <w:vAlign w:val="center"/>
            <w:hideMark/>
          </w:tcPr>
          <w:p w14:paraId="5A3BA0F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73</w:t>
            </w:r>
          </w:p>
        </w:tc>
      </w:tr>
      <w:tr w:rsidR="00A11D2E" w:rsidRPr="00AD3B35" w14:paraId="202F46EB" w14:textId="77777777" w:rsidTr="00960BB8">
        <w:trPr>
          <w:trHeight w:val="360"/>
        </w:trPr>
        <w:tc>
          <w:tcPr>
            <w:tcW w:w="822" w:type="pct"/>
            <w:tcBorders>
              <w:top w:val="nil"/>
              <w:left w:val="nil"/>
              <w:bottom w:val="nil"/>
              <w:right w:val="nil"/>
            </w:tcBorders>
            <w:shd w:val="clear" w:color="auto" w:fill="auto"/>
            <w:noWrap/>
            <w:vAlign w:val="center"/>
            <w:hideMark/>
          </w:tcPr>
          <w:p w14:paraId="379EB71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James</w:t>
            </w:r>
          </w:p>
        </w:tc>
        <w:tc>
          <w:tcPr>
            <w:tcW w:w="513" w:type="pct"/>
            <w:tcBorders>
              <w:top w:val="nil"/>
              <w:left w:val="nil"/>
              <w:bottom w:val="nil"/>
              <w:right w:val="nil"/>
            </w:tcBorders>
            <w:shd w:val="clear" w:color="auto" w:fill="auto"/>
            <w:noWrap/>
            <w:vAlign w:val="center"/>
            <w:hideMark/>
          </w:tcPr>
          <w:p w14:paraId="5EE3E83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92</w:t>
            </w:r>
          </w:p>
        </w:tc>
        <w:tc>
          <w:tcPr>
            <w:tcW w:w="645" w:type="pct"/>
            <w:tcBorders>
              <w:top w:val="nil"/>
              <w:left w:val="nil"/>
              <w:bottom w:val="nil"/>
              <w:right w:val="nil"/>
            </w:tcBorders>
            <w:shd w:val="clear" w:color="auto" w:fill="auto"/>
            <w:noWrap/>
            <w:vAlign w:val="center"/>
            <w:hideMark/>
          </w:tcPr>
          <w:p w14:paraId="684F880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671" w:type="pct"/>
            <w:tcBorders>
              <w:top w:val="nil"/>
              <w:left w:val="nil"/>
              <w:bottom w:val="nil"/>
              <w:right w:val="nil"/>
            </w:tcBorders>
            <w:shd w:val="clear" w:color="auto" w:fill="auto"/>
            <w:noWrap/>
            <w:vAlign w:val="center"/>
            <w:hideMark/>
          </w:tcPr>
          <w:p w14:paraId="4E22416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15</w:t>
            </w:r>
          </w:p>
        </w:tc>
        <w:tc>
          <w:tcPr>
            <w:tcW w:w="702" w:type="pct"/>
            <w:tcBorders>
              <w:top w:val="nil"/>
              <w:left w:val="nil"/>
              <w:bottom w:val="nil"/>
              <w:right w:val="nil"/>
            </w:tcBorders>
            <w:shd w:val="clear" w:color="auto" w:fill="auto"/>
            <w:noWrap/>
            <w:vAlign w:val="center"/>
            <w:hideMark/>
          </w:tcPr>
          <w:p w14:paraId="13348DA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75</w:t>
            </w:r>
          </w:p>
        </w:tc>
        <w:tc>
          <w:tcPr>
            <w:tcW w:w="631" w:type="pct"/>
            <w:tcBorders>
              <w:top w:val="nil"/>
              <w:left w:val="nil"/>
              <w:bottom w:val="nil"/>
              <w:right w:val="nil"/>
            </w:tcBorders>
            <w:shd w:val="clear" w:color="auto" w:fill="auto"/>
            <w:noWrap/>
            <w:vAlign w:val="center"/>
            <w:hideMark/>
          </w:tcPr>
          <w:p w14:paraId="622AE2B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615" w:type="pct"/>
            <w:tcBorders>
              <w:top w:val="nil"/>
              <w:left w:val="nil"/>
              <w:bottom w:val="nil"/>
              <w:right w:val="nil"/>
            </w:tcBorders>
            <w:shd w:val="clear" w:color="auto" w:fill="auto"/>
            <w:noWrap/>
            <w:vAlign w:val="center"/>
            <w:hideMark/>
          </w:tcPr>
          <w:p w14:paraId="2249207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16</w:t>
            </w:r>
          </w:p>
        </w:tc>
        <w:tc>
          <w:tcPr>
            <w:tcW w:w="401" w:type="pct"/>
            <w:tcBorders>
              <w:top w:val="nil"/>
              <w:left w:val="nil"/>
              <w:bottom w:val="nil"/>
              <w:right w:val="nil"/>
            </w:tcBorders>
            <w:shd w:val="clear" w:color="auto" w:fill="auto"/>
            <w:noWrap/>
            <w:vAlign w:val="center"/>
            <w:hideMark/>
          </w:tcPr>
          <w:p w14:paraId="6A6E2FD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82</w:t>
            </w:r>
          </w:p>
        </w:tc>
      </w:tr>
      <w:tr w:rsidR="00A11D2E" w:rsidRPr="00AD3B35" w14:paraId="036D7CFC" w14:textId="77777777" w:rsidTr="00960BB8">
        <w:trPr>
          <w:trHeight w:val="360"/>
        </w:trPr>
        <w:tc>
          <w:tcPr>
            <w:tcW w:w="822" w:type="pct"/>
            <w:tcBorders>
              <w:top w:val="nil"/>
              <w:left w:val="nil"/>
              <w:bottom w:val="nil"/>
              <w:right w:val="nil"/>
            </w:tcBorders>
            <w:shd w:val="clear" w:color="auto" w:fill="auto"/>
            <w:noWrap/>
            <w:vAlign w:val="center"/>
            <w:hideMark/>
          </w:tcPr>
          <w:p w14:paraId="50C0751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New</w:t>
            </w:r>
          </w:p>
        </w:tc>
        <w:tc>
          <w:tcPr>
            <w:tcW w:w="513" w:type="pct"/>
            <w:tcBorders>
              <w:top w:val="nil"/>
              <w:left w:val="nil"/>
              <w:bottom w:val="nil"/>
              <w:right w:val="nil"/>
            </w:tcBorders>
            <w:shd w:val="clear" w:color="auto" w:fill="auto"/>
            <w:noWrap/>
            <w:vAlign w:val="center"/>
            <w:hideMark/>
          </w:tcPr>
          <w:p w14:paraId="0258FDC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17</w:t>
            </w:r>
          </w:p>
        </w:tc>
        <w:tc>
          <w:tcPr>
            <w:tcW w:w="645" w:type="pct"/>
            <w:tcBorders>
              <w:top w:val="nil"/>
              <w:left w:val="nil"/>
              <w:bottom w:val="nil"/>
              <w:right w:val="nil"/>
            </w:tcBorders>
            <w:shd w:val="clear" w:color="auto" w:fill="auto"/>
            <w:noWrap/>
            <w:vAlign w:val="center"/>
            <w:hideMark/>
          </w:tcPr>
          <w:p w14:paraId="2B0B750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71959C4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702" w:type="pct"/>
            <w:tcBorders>
              <w:top w:val="nil"/>
              <w:left w:val="nil"/>
              <w:bottom w:val="nil"/>
              <w:right w:val="nil"/>
            </w:tcBorders>
            <w:shd w:val="clear" w:color="auto" w:fill="auto"/>
            <w:noWrap/>
            <w:vAlign w:val="center"/>
            <w:hideMark/>
          </w:tcPr>
          <w:p w14:paraId="139967F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15</w:t>
            </w:r>
          </w:p>
        </w:tc>
        <w:tc>
          <w:tcPr>
            <w:tcW w:w="631" w:type="pct"/>
            <w:tcBorders>
              <w:top w:val="nil"/>
              <w:left w:val="nil"/>
              <w:bottom w:val="nil"/>
              <w:right w:val="nil"/>
            </w:tcBorders>
            <w:shd w:val="clear" w:color="auto" w:fill="auto"/>
            <w:noWrap/>
            <w:vAlign w:val="center"/>
            <w:hideMark/>
          </w:tcPr>
          <w:p w14:paraId="7F3691F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6B8BDBF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12</w:t>
            </w:r>
          </w:p>
        </w:tc>
        <w:tc>
          <w:tcPr>
            <w:tcW w:w="401" w:type="pct"/>
            <w:tcBorders>
              <w:top w:val="nil"/>
              <w:left w:val="nil"/>
              <w:bottom w:val="nil"/>
              <w:right w:val="nil"/>
            </w:tcBorders>
            <w:shd w:val="clear" w:color="auto" w:fill="auto"/>
            <w:noWrap/>
            <w:vAlign w:val="center"/>
            <w:hideMark/>
          </w:tcPr>
          <w:p w14:paraId="6F82AE8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88</w:t>
            </w:r>
          </w:p>
        </w:tc>
      </w:tr>
      <w:tr w:rsidR="00A11D2E" w:rsidRPr="00AD3B35" w14:paraId="2DBBC7EE" w14:textId="77777777" w:rsidTr="00960BB8">
        <w:trPr>
          <w:trHeight w:val="360"/>
        </w:trPr>
        <w:tc>
          <w:tcPr>
            <w:tcW w:w="822" w:type="pct"/>
            <w:tcBorders>
              <w:top w:val="nil"/>
              <w:left w:val="nil"/>
              <w:bottom w:val="nil"/>
              <w:right w:val="nil"/>
            </w:tcBorders>
            <w:shd w:val="clear" w:color="auto" w:fill="auto"/>
            <w:noWrap/>
            <w:vAlign w:val="center"/>
            <w:hideMark/>
          </w:tcPr>
          <w:p w14:paraId="1A60753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Potomac</w:t>
            </w:r>
          </w:p>
        </w:tc>
        <w:tc>
          <w:tcPr>
            <w:tcW w:w="513" w:type="pct"/>
            <w:tcBorders>
              <w:top w:val="nil"/>
              <w:left w:val="nil"/>
              <w:bottom w:val="nil"/>
              <w:right w:val="nil"/>
            </w:tcBorders>
            <w:shd w:val="clear" w:color="auto" w:fill="auto"/>
            <w:noWrap/>
            <w:vAlign w:val="center"/>
            <w:hideMark/>
          </w:tcPr>
          <w:p w14:paraId="017E66A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45</w:t>
            </w:r>
          </w:p>
        </w:tc>
        <w:tc>
          <w:tcPr>
            <w:tcW w:w="645" w:type="pct"/>
            <w:tcBorders>
              <w:top w:val="nil"/>
              <w:left w:val="nil"/>
              <w:bottom w:val="nil"/>
              <w:right w:val="nil"/>
            </w:tcBorders>
            <w:shd w:val="clear" w:color="auto" w:fill="auto"/>
            <w:noWrap/>
            <w:vAlign w:val="center"/>
            <w:hideMark/>
          </w:tcPr>
          <w:p w14:paraId="6934BEB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2784D56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w:t>
            </w:r>
          </w:p>
        </w:tc>
        <w:tc>
          <w:tcPr>
            <w:tcW w:w="702" w:type="pct"/>
            <w:tcBorders>
              <w:top w:val="nil"/>
              <w:left w:val="nil"/>
              <w:bottom w:val="nil"/>
              <w:right w:val="nil"/>
            </w:tcBorders>
            <w:shd w:val="clear" w:color="auto" w:fill="auto"/>
            <w:noWrap/>
            <w:vAlign w:val="center"/>
            <w:hideMark/>
          </w:tcPr>
          <w:p w14:paraId="2DFBF02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37</w:t>
            </w:r>
          </w:p>
        </w:tc>
        <w:tc>
          <w:tcPr>
            <w:tcW w:w="631" w:type="pct"/>
            <w:tcBorders>
              <w:top w:val="nil"/>
              <w:left w:val="nil"/>
              <w:bottom w:val="nil"/>
              <w:right w:val="nil"/>
            </w:tcBorders>
            <w:shd w:val="clear" w:color="auto" w:fill="auto"/>
            <w:noWrap/>
            <w:vAlign w:val="center"/>
            <w:hideMark/>
          </w:tcPr>
          <w:p w14:paraId="35395EF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74FDE0A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18</w:t>
            </w:r>
          </w:p>
        </w:tc>
        <w:tc>
          <w:tcPr>
            <w:tcW w:w="401" w:type="pct"/>
            <w:tcBorders>
              <w:top w:val="nil"/>
              <w:left w:val="nil"/>
              <w:bottom w:val="nil"/>
              <w:right w:val="nil"/>
            </w:tcBorders>
            <w:shd w:val="clear" w:color="auto" w:fill="auto"/>
            <w:noWrap/>
            <w:vAlign w:val="center"/>
            <w:hideMark/>
          </w:tcPr>
          <w:p w14:paraId="4AA16C12"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82</w:t>
            </w:r>
          </w:p>
        </w:tc>
      </w:tr>
      <w:tr w:rsidR="00A11D2E" w:rsidRPr="00AD3B35" w14:paraId="288CF930" w14:textId="77777777" w:rsidTr="00960BB8">
        <w:trPr>
          <w:trHeight w:val="360"/>
        </w:trPr>
        <w:tc>
          <w:tcPr>
            <w:tcW w:w="822" w:type="pct"/>
            <w:tcBorders>
              <w:top w:val="nil"/>
              <w:left w:val="nil"/>
              <w:bottom w:val="nil"/>
              <w:right w:val="nil"/>
            </w:tcBorders>
            <w:shd w:val="clear" w:color="auto" w:fill="auto"/>
            <w:noWrap/>
            <w:vAlign w:val="center"/>
            <w:hideMark/>
          </w:tcPr>
          <w:p w14:paraId="17F1C3B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Rappahannock</w:t>
            </w:r>
          </w:p>
        </w:tc>
        <w:tc>
          <w:tcPr>
            <w:tcW w:w="513" w:type="pct"/>
            <w:tcBorders>
              <w:top w:val="nil"/>
              <w:left w:val="nil"/>
              <w:bottom w:val="nil"/>
              <w:right w:val="nil"/>
            </w:tcBorders>
            <w:shd w:val="clear" w:color="auto" w:fill="auto"/>
            <w:noWrap/>
            <w:vAlign w:val="center"/>
            <w:hideMark/>
          </w:tcPr>
          <w:p w14:paraId="30ED02B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39</w:t>
            </w:r>
          </w:p>
        </w:tc>
        <w:tc>
          <w:tcPr>
            <w:tcW w:w="645" w:type="pct"/>
            <w:tcBorders>
              <w:top w:val="nil"/>
              <w:left w:val="nil"/>
              <w:bottom w:val="nil"/>
              <w:right w:val="nil"/>
            </w:tcBorders>
            <w:shd w:val="clear" w:color="auto" w:fill="auto"/>
            <w:noWrap/>
            <w:vAlign w:val="center"/>
            <w:hideMark/>
          </w:tcPr>
          <w:p w14:paraId="0F8D0C4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671" w:type="pct"/>
            <w:tcBorders>
              <w:top w:val="nil"/>
              <w:left w:val="nil"/>
              <w:bottom w:val="nil"/>
              <w:right w:val="nil"/>
            </w:tcBorders>
            <w:shd w:val="clear" w:color="auto" w:fill="auto"/>
            <w:noWrap/>
            <w:vAlign w:val="center"/>
            <w:hideMark/>
          </w:tcPr>
          <w:p w14:paraId="311CE0A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w:t>
            </w:r>
          </w:p>
        </w:tc>
        <w:tc>
          <w:tcPr>
            <w:tcW w:w="702" w:type="pct"/>
            <w:tcBorders>
              <w:top w:val="nil"/>
              <w:left w:val="nil"/>
              <w:bottom w:val="nil"/>
              <w:right w:val="nil"/>
            </w:tcBorders>
            <w:shd w:val="clear" w:color="auto" w:fill="auto"/>
            <w:noWrap/>
            <w:vAlign w:val="center"/>
            <w:hideMark/>
          </w:tcPr>
          <w:p w14:paraId="3BE4215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31</w:t>
            </w:r>
          </w:p>
        </w:tc>
        <w:tc>
          <w:tcPr>
            <w:tcW w:w="631" w:type="pct"/>
            <w:tcBorders>
              <w:top w:val="nil"/>
              <w:left w:val="nil"/>
              <w:bottom w:val="nil"/>
              <w:right w:val="nil"/>
            </w:tcBorders>
            <w:shd w:val="clear" w:color="auto" w:fill="auto"/>
            <w:noWrap/>
            <w:vAlign w:val="center"/>
            <w:hideMark/>
          </w:tcPr>
          <w:p w14:paraId="39E0E8C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615" w:type="pct"/>
            <w:tcBorders>
              <w:top w:val="nil"/>
              <w:left w:val="nil"/>
              <w:bottom w:val="nil"/>
              <w:right w:val="nil"/>
            </w:tcBorders>
            <w:shd w:val="clear" w:color="auto" w:fill="auto"/>
            <w:noWrap/>
            <w:vAlign w:val="center"/>
            <w:hideMark/>
          </w:tcPr>
          <w:p w14:paraId="044F7ED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18</w:t>
            </w:r>
          </w:p>
        </w:tc>
        <w:tc>
          <w:tcPr>
            <w:tcW w:w="401" w:type="pct"/>
            <w:tcBorders>
              <w:top w:val="nil"/>
              <w:left w:val="nil"/>
              <w:bottom w:val="nil"/>
              <w:right w:val="nil"/>
            </w:tcBorders>
            <w:shd w:val="clear" w:color="auto" w:fill="auto"/>
            <w:noWrap/>
            <w:vAlign w:val="center"/>
            <w:hideMark/>
          </w:tcPr>
          <w:p w14:paraId="78C13EA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79</w:t>
            </w:r>
          </w:p>
        </w:tc>
      </w:tr>
      <w:tr w:rsidR="00A11D2E" w:rsidRPr="00AD3B35" w14:paraId="4D6E3887" w14:textId="77777777" w:rsidTr="00960BB8">
        <w:trPr>
          <w:trHeight w:val="360"/>
        </w:trPr>
        <w:tc>
          <w:tcPr>
            <w:tcW w:w="822" w:type="pct"/>
            <w:tcBorders>
              <w:top w:val="nil"/>
              <w:left w:val="nil"/>
              <w:bottom w:val="nil"/>
              <w:right w:val="nil"/>
            </w:tcBorders>
            <w:shd w:val="clear" w:color="auto" w:fill="auto"/>
            <w:noWrap/>
            <w:vAlign w:val="center"/>
            <w:hideMark/>
          </w:tcPr>
          <w:p w14:paraId="4340779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Roanoke</w:t>
            </w:r>
          </w:p>
        </w:tc>
        <w:tc>
          <w:tcPr>
            <w:tcW w:w="513" w:type="pct"/>
            <w:tcBorders>
              <w:top w:val="nil"/>
              <w:left w:val="nil"/>
              <w:bottom w:val="nil"/>
              <w:right w:val="nil"/>
            </w:tcBorders>
            <w:shd w:val="clear" w:color="auto" w:fill="auto"/>
            <w:noWrap/>
            <w:vAlign w:val="center"/>
            <w:hideMark/>
          </w:tcPr>
          <w:p w14:paraId="1B38847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55</w:t>
            </w:r>
          </w:p>
        </w:tc>
        <w:tc>
          <w:tcPr>
            <w:tcW w:w="645" w:type="pct"/>
            <w:tcBorders>
              <w:top w:val="nil"/>
              <w:left w:val="nil"/>
              <w:bottom w:val="nil"/>
              <w:right w:val="nil"/>
            </w:tcBorders>
            <w:shd w:val="clear" w:color="auto" w:fill="auto"/>
            <w:noWrap/>
            <w:vAlign w:val="center"/>
            <w:hideMark/>
          </w:tcPr>
          <w:p w14:paraId="623EB44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1A97DD7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13</w:t>
            </w:r>
          </w:p>
        </w:tc>
        <w:tc>
          <w:tcPr>
            <w:tcW w:w="702" w:type="pct"/>
            <w:tcBorders>
              <w:top w:val="nil"/>
              <w:left w:val="nil"/>
              <w:bottom w:val="nil"/>
              <w:right w:val="nil"/>
            </w:tcBorders>
            <w:shd w:val="clear" w:color="auto" w:fill="auto"/>
            <w:noWrap/>
            <w:vAlign w:val="center"/>
            <w:hideMark/>
          </w:tcPr>
          <w:p w14:paraId="4F1802D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42</w:t>
            </w:r>
          </w:p>
        </w:tc>
        <w:tc>
          <w:tcPr>
            <w:tcW w:w="631" w:type="pct"/>
            <w:tcBorders>
              <w:top w:val="nil"/>
              <w:left w:val="nil"/>
              <w:bottom w:val="nil"/>
              <w:right w:val="nil"/>
            </w:tcBorders>
            <w:shd w:val="clear" w:color="auto" w:fill="auto"/>
            <w:noWrap/>
            <w:vAlign w:val="center"/>
            <w:hideMark/>
          </w:tcPr>
          <w:p w14:paraId="6732899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18D52D4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24</w:t>
            </w:r>
          </w:p>
        </w:tc>
        <w:tc>
          <w:tcPr>
            <w:tcW w:w="401" w:type="pct"/>
            <w:tcBorders>
              <w:top w:val="nil"/>
              <w:left w:val="nil"/>
              <w:bottom w:val="nil"/>
              <w:right w:val="nil"/>
            </w:tcBorders>
            <w:shd w:val="clear" w:color="auto" w:fill="auto"/>
            <w:noWrap/>
            <w:vAlign w:val="center"/>
            <w:hideMark/>
          </w:tcPr>
          <w:p w14:paraId="4536412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76</w:t>
            </w:r>
          </w:p>
        </w:tc>
      </w:tr>
      <w:tr w:rsidR="00A11D2E" w:rsidRPr="00AD3B35" w14:paraId="7D2CE3EB" w14:textId="77777777" w:rsidTr="00960BB8">
        <w:trPr>
          <w:trHeight w:val="360"/>
        </w:trPr>
        <w:tc>
          <w:tcPr>
            <w:tcW w:w="822" w:type="pct"/>
            <w:tcBorders>
              <w:top w:val="nil"/>
              <w:left w:val="nil"/>
              <w:bottom w:val="nil"/>
              <w:right w:val="nil"/>
            </w:tcBorders>
            <w:shd w:val="clear" w:color="auto" w:fill="auto"/>
            <w:noWrap/>
            <w:vAlign w:val="center"/>
            <w:hideMark/>
          </w:tcPr>
          <w:p w14:paraId="187B783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Shenandoah</w:t>
            </w:r>
          </w:p>
        </w:tc>
        <w:tc>
          <w:tcPr>
            <w:tcW w:w="513" w:type="pct"/>
            <w:tcBorders>
              <w:top w:val="nil"/>
              <w:left w:val="nil"/>
              <w:bottom w:val="nil"/>
              <w:right w:val="nil"/>
            </w:tcBorders>
            <w:shd w:val="clear" w:color="auto" w:fill="auto"/>
            <w:noWrap/>
            <w:vAlign w:val="center"/>
            <w:hideMark/>
          </w:tcPr>
          <w:p w14:paraId="53BEF83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17</w:t>
            </w:r>
          </w:p>
        </w:tc>
        <w:tc>
          <w:tcPr>
            <w:tcW w:w="645" w:type="pct"/>
            <w:tcBorders>
              <w:top w:val="nil"/>
              <w:left w:val="nil"/>
              <w:bottom w:val="nil"/>
              <w:right w:val="nil"/>
            </w:tcBorders>
            <w:shd w:val="clear" w:color="auto" w:fill="auto"/>
            <w:noWrap/>
            <w:vAlign w:val="center"/>
            <w:hideMark/>
          </w:tcPr>
          <w:p w14:paraId="604659C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05F03AA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6C0629E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16</w:t>
            </w:r>
          </w:p>
        </w:tc>
        <w:tc>
          <w:tcPr>
            <w:tcW w:w="631" w:type="pct"/>
            <w:tcBorders>
              <w:top w:val="nil"/>
              <w:left w:val="nil"/>
              <w:bottom w:val="nil"/>
              <w:right w:val="nil"/>
            </w:tcBorders>
            <w:shd w:val="clear" w:color="auto" w:fill="auto"/>
            <w:noWrap/>
            <w:vAlign w:val="center"/>
            <w:hideMark/>
          </w:tcPr>
          <w:p w14:paraId="4383311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1AFFA1B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w:t>
            </w:r>
          </w:p>
        </w:tc>
        <w:tc>
          <w:tcPr>
            <w:tcW w:w="401" w:type="pct"/>
            <w:tcBorders>
              <w:top w:val="nil"/>
              <w:left w:val="nil"/>
              <w:bottom w:val="nil"/>
              <w:right w:val="nil"/>
            </w:tcBorders>
            <w:shd w:val="clear" w:color="auto" w:fill="auto"/>
            <w:noWrap/>
            <w:vAlign w:val="center"/>
            <w:hideMark/>
          </w:tcPr>
          <w:p w14:paraId="5BEBB93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94</w:t>
            </w:r>
          </w:p>
        </w:tc>
      </w:tr>
      <w:tr w:rsidR="00A11D2E" w:rsidRPr="00AD3B35" w14:paraId="5B78A77C" w14:textId="77777777" w:rsidTr="00960BB8">
        <w:trPr>
          <w:trHeight w:val="360"/>
        </w:trPr>
        <w:tc>
          <w:tcPr>
            <w:tcW w:w="822" w:type="pct"/>
            <w:tcBorders>
              <w:top w:val="nil"/>
              <w:left w:val="nil"/>
              <w:right w:val="nil"/>
            </w:tcBorders>
            <w:shd w:val="clear" w:color="auto" w:fill="auto"/>
            <w:noWrap/>
            <w:vAlign w:val="center"/>
            <w:hideMark/>
          </w:tcPr>
          <w:p w14:paraId="3E309B0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Tennessee</w:t>
            </w:r>
          </w:p>
        </w:tc>
        <w:tc>
          <w:tcPr>
            <w:tcW w:w="513" w:type="pct"/>
            <w:tcBorders>
              <w:top w:val="nil"/>
              <w:left w:val="nil"/>
              <w:right w:val="nil"/>
            </w:tcBorders>
            <w:shd w:val="clear" w:color="auto" w:fill="auto"/>
            <w:noWrap/>
            <w:vAlign w:val="center"/>
            <w:hideMark/>
          </w:tcPr>
          <w:p w14:paraId="69B7D0F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20</w:t>
            </w:r>
          </w:p>
        </w:tc>
        <w:tc>
          <w:tcPr>
            <w:tcW w:w="645" w:type="pct"/>
            <w:tcBorders>
              <w:top w:val="nil"/>
              <w:left w:val="nil"/>
              <w:right w:val="nil"/>
            </w:tcBorders>
            <w:shd w:val="clear" w:color="auto" w:fill="auto"/>
            <w:noWrap/>
            <w:vAlign w:val="center"/>
            <w:hideMark/>
          </w:tcPr>
          <w:p w14:paraId="4BD8EF92"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right w:val="nil"/>
            </w:tcBorders>
            <w:shd w:val="clear" w:color="auto" w:fill="auto"/>
            <w:noWrap/>
            <w:vAlign w:val="center"/>
            <w:hideMark/>
          </w:tcPr>
          <w:p w14:paraId="5C6B8B5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w:t>
            </w:r>
          </w:p>
        </w:tc>
        <w:tc>
          <w:tcPr>
            <w:tcW w:w="702" w:type="pct"/>
            <w:tcBorders>
              <w:top w:val="nil"/>
              <w:left w:val="nil"/>
              <w:right w:val="nil"/>
            </w:tcBorders>
            <w:shd w:val="clear" w:color="auto" w:fill="auto"/>
            <w:noWrap/>
            <w:vAlign w:val="center"/>
            <w:hideMark/>
          </w:tcPr>
          <w:p w14:paraId="24CD06C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13</w:t>
            </w:r>
          </w:p>
        </w:tc>
        <w:tc>
          <w:tcPr>
            <w:tcW w:w="631" w:type="pct"/>
            <w:tcBorders>
              <w:top w:val="nil"/>
              <w:left w:val="nil"/>
              <w:right w:val="nil"/>
            </w:tcBorders>
            <w:shd w:val="clear" w:color="auto" w:fill="auto"/>
            <w:noWrap/>
            <w:vAlign w:val="center"/>
            <w:hideMark/>
          </w:tcPr>
          <w:p w14:paraId="688AFF4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right w:val="nil"/>
            </w:tcBorders>
            <w:shd w:val="clear" w:color="auto" w:fill="auto"/>
            <w:noWrap/>
            <w:vAlign w:val="center"/>
            <w:hideMark/>
          </w:tcPr>
          <w:p w14:paraId="376F221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35</w:t>
            </w:r>
          </w:p>
        </w:tc>
        <w:tc>
          <w:tcPr>
            <w:tcW w:w="401" w:type="pct"/>
            <w:tcBorders>
              <w:top w:val="nil"/>
              <w:left w:val="nil"/>
              <w:right w:val="nil"/>
            </w:tcBorders>
            <w:shd w:val="clear" w:color="auto" w:fill="auto"/>
            <w:noWrap/>
            <w:vAlign w:val="center"/>
            <w:hideMark/>
          </w:tcPr>
          <w:p w14:paraId="3D7C0FD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65</w:t>
            </w:r>
          </w:p>
        </w:tc>
      </w:tr>
      <w:tr w:rsidR="00A11D2E" w:rsidRPr="00AD3B35" w14:paraId="060D2284" w14:textId="77777777" w:rsidTr="00960BB8">
        <w:trPr>
          <w:trHeight w:val="360"/>
        </w:trPr>
        <w:tc>
          <w:tcPr>
            <w:tcW w:w="822" w:type="pct"/>
            <w:tcBorders>
              <w:top w:val="nil"/>
              <w:left w:val="nil"/>
              <w:bottom w:val="single" w:sz="12" w:space="0" w:color="auto"/>
              <w:right w:val="nil"/>
            </w:tcBorders>
            <w:shd w:val="clear" w:color="auto" w:fill="auto"/>
            <w:noWrap/>
            <w:vAlign w:val="center"/>
            <w:hideMark/>
          </w:tcPr>
          <w:p w14:paraId="3EBE2DF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York</w:t>
            </w:r>
          </w:p>
        </w:tc>
        <w:tc>
          <w:tcPr>
            <w:tcW w:w="513" w:type="pct"/>
            <w:tcBorders>
              <w:top w:val="nil"/>
              <w:left w:val="nil"/>
              <w:bottom w:val="single" w:sz="12" w:space="0" w:color="auto"/>
              <w:right w:val="nil"/>
            </w:tcBorders>
            <w:shd w:val="clear" w:color="auto" w:fill="auto"/>
            <w:noWrap/>
            <w:vAlign w:val="center"/>
            <w:hideMark/>
          </w:tcPr>
          <w:p w14:paraId="20F6487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42</w:t>
            </w:r>
          </w:p>
        </w:tc>
        <w:tc>
          <w:tcPr>
            <w:tcW w:w="645" w:type="pct"/>
            <w:tcBorders>
              <w:top w:val="nil"/>
              <w:left w:val="nil"/>
              <w:bottom w:val="single" w:sz="12" w:space="0" w:color="auto"/>
              <w:right w:val="nil"/>
            </w:tcBorders>
            <w:shd w:val="clear" w:color="auto" w:fill="auto"/>
            <w:noWrap/>
            <w:vAlign w:val="center"/>
            <w:hideMark/>
          </w:tcPr>
          <w:p w14:paraId="234751C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671" w:type="pct"/>
            <w:tcBorders>
              <w:top w:val="nil"/>
              <w:left w:val="nil"/>
              <w:bottom w:val="single" w:sz="12" w:space="0" w:color="auto"/>
              <w:right w:val="nil"/>
            </w:tcBorders>
            <w:shd w:val="clear" w:color="auto" w:fill="auto"/>
            <w:noWrap/>
            <w:vAlign w:val="center"/>
            <w:hideMark/>
          </w:tcPr>
          <w:p w14:paraId="021A0B6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10</w:t>
            </w:r>
          </w:p>
        </w:tc>
        <w:tc>
          <w:tcPr>
            <w:tcW w:w="702" w:type="pct"/>
            <w:tcBorders>
              <w:top w:val="nil"/>
              <w:left w:val="nil"/>
              <w:bottom w:val="single" w:sz="12" w:space="0" w:color="auto"/>
              <w:right w:val="nil"/>
            </w:tcBorders>
            <w:shd w:val="clear" w:color="auto" w:fill="auto"/>
            <w:noWrap/>
            <w:vAlign w:val="center"/>
            <w:hideMark/>
          </w:tcPr>
          <w:p w14:paraId="3C333CE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29</w:t>
            </w:r>
          </w:p>
        </w:tc>
        <w:tc>
          <w:tcPr>
            <w:tcW w:w="631" w:type="pct"/>
            <w:tcBorders>
              <w:top w:val="nil"/>
              <w:left w:val="nil"/>
              <w:bottom w:val="single" w:sz="12" w:space="0" w:color="auto"/>
              <w:right w:val="nil"/>
            </w:tcBorders>
            <w:shd w:val="clear" w:color="auto" w:fill="auto"/>
            <w:noWrap/>
            <w:vAlign w:val="center"/>
            <w:hideMark/>
          </w:tcPr>
          <w:p w14:paraId="14B4AB1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w:t>
            </w:r>
          </w:p>
        </w:tc>
        <w:tc>
          <w:tcPr>
            <w:tcW w:w="615" w:type="pct"/>
            <w:tcBorders>
              <w:top w:val="nil"/>
              <w:left w:val="nil"/>
              <w:bottom w:val="single" w:sz="12" w:space="0" w:color="auto"/>
              <w:right w:val="nil"/>
            </w:tcBorders>
            <w:shd w:val="clear" w:color="auto" w:fill="auto"/>
            <w:noWrap/>
            <w:vAlign w:val="center"/>
            <w:hideMark/>
          </w:tcPr>
          <w:p w14:paraId="72143FC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24</w:t>
            </w:r>
          </w:p>
        </w:tc>
        <w:tc>
          <w:tcPr>
            <w:tcW w:w="401" w:type="pct"/>
            <w:tcBorders>
              <w:top w:val="nil"/>
              <w:left w:val="nil"/>
              <w:bottom w:val="single" w:sz="12" w:space="0" w:color="auto"/>
              <w:right w:val="nil"/>
            </w:tcBorders>
            <w:shd w:val="clear" w:color="auto" w:fill="auto"/>
            <w:noWrap/>
            <w:vAlign w:val="center"/>
            <w:hideMark/>
          </w:tcPr>
          <w:p w14:paraId="0DE0D9B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69</w:t>
            </w:r>
          </w:p>
        </w:tc>
      </w:tr>
    </w:tbl>
    <w:p w14:paraId="1A64AE4E" w14:textId="77777777" w:rsidR="00AA34FB" w:rsidRDefault="00AA34FB" w:rsidP="00A11D2E">
      <w:pPr>
        <w:rPr>
          <w:rFonts w:cstheme="minorHAnsi"/>
        </w:rPr>
      </w:pPr>
    </w:p>
    <w:p w14:paraId="1180A229" w14:textId="77777777" w:rsidR="00A11D2E" w:rsidRDefault="00A11D2E" w:rsidP="00A11D2E">
      <w:pPr>
        <w:rPr>
          <w:rFonts w:cstheme="minorHAnsi"/>
        </w:rPr>
      </w:pPr>
    </w:p>
    <w:p w14:paraId="40F1DE0C" w14:textId="5BA7AA5F" w:rsidR="00320909" w:rsidRPr="00AD3B35" w:rsidRDefault="00320909" w:rsidP="00A11D2E">
      <w:pPr>
        <w:rPr>
          <w:rFonts w:cstheme="minorHAnsi"/>
          <w:b/>
          <w:bCs/>
        </w:rPr>
        <w:sectPr w:rsidR="00320909" w:rsidRPr="00AD3B35" w:rsidSect="009079C4">
          <w:pgSz w:w="12240" w:h="15840" w:code="1"/>
          <w:pgMar w:top="1440" w:right="1440" w:bottom="1440" w:left="1440" w:header="720" w:footer="720" w:gutter="0"/>
          <w:cols w:space="720"/>
          <w:docGrid w:linePitch="360"/>
        </w:sectPr>
      </w:pPr>
    </w:p>
    <w:p w14:paraId="5FEA2BA3" w14:textId="77777777" w:rsidR="00B865BC" w:rsidRDefault="00B865BC" w:rsidP="00A11D2E">
      <w:pPr>
        <w:pStyle w:val="BodyTextIndent"/>
        <w:tabs>
          <w:tab w:val="left" w:pos="1800"/>
        </w:tabs>
        <w:ind w:left="720" w:firstLine="0"/>
        <w:jc w:val="left"/>
        <w:rPr>
          <w:rFonts w:cstheme="minorHAnsi"/>
          <w:b/>
        </w:rPr>
      </w:pPr>
    </w:p>
    <w:p w14:paraId="7CD09099" w14:textId="13BBF3CF" w:rsidR="00B865BC" w:rsidRDefault="00244A9C" w:rsidP="00B865BC">
      <w:pPr>
        <w:pStyle w:val="BodyTextIndent"/>
        <w:keepNext/>
        <w:tabs>
          <w:tab w:val="left" w:pos="1800"/>
        </w:tabs>
        <w:ind w:left="720" w:firstLine="0"/>
        <w:jc w:val="left"/>
      </w:pPr>
      <w:r>
        <w:rPr>
          <w:noProof/>
          <w:snapToGrid/>
          <w14:ligatures w14:val="standardContextual"/>
        </w:rPr>
        <mc:AlternateContent>
          <mc:Choice Requires="wps">
            <w:drawing>
              <wp:anchor distT="45720" distB="45720" distL="114300" distR="114300" simplePos="0" relativeHeight="251658250" behindDoc="0" locked="0" layoutInCell="1" allowOverlap="1" wp14:anchorId="5E962C7E" wp14:editId="30C8A51E">
                <wp:simplePos x="0" y="0"/>
                <wp:positionH relativeFrom="column">
                  <wp:posOffset>903265</wp:posOffset>
                </wp:positionH>
                <wp:positionV relativeFrom="paragraph">
                  <wp:posOffset>487813</wp:posOffset>
                </wp:positionV>
                <wp:extent cx="904875" cy="277495"/>
                <wp:effectExtent l="0" t="0" r="9525" b="0"/>
                <wp:wrapNone/>
                <wp:docPr id="234539003" name="Text Box 234539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7495"/>
                        </a:xfrm>
                        <a:prstGeom prst="rect">
                          <a:avLst/>
                        </a:prstGeom>
                        <a:solidFill>
                          <a:srgbClr val="FFFFFF"/>
                        </a:solidFill>
                        <a:ln w="9525">
                          <a:noFill/>
                          <a:miter lim="800000"/>
                          <a:headEnd/>
                          <a:tailEnd/>
                        </a:ln>
                      </wps:spPr>
                      <wps:txbx>
                        <w:txbxContent>
                          <w:p w14:paraId="0D99251F" w14:textId="77777777" w:rsidR="00244A9C" w:rsidRPr="00244A9C" w:rsidRDefault="00244A9C" w:rsidP="00244A9C">
                            <w:r w:rsidRPr="00244A9C">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962C7E" id="Text Box 234539003" o:spid="_x0000_s1038" type="#_x0000_t202" alt="&quot;&quot;" style="position:absolute;left:0;text-align:left;margin-left:71.1pt;margin-top:38.4pt;width:71.25pt;height:21.85pt;z-index:25165825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" stroked="f">
                <v:textbox style="mso-fit-shape-to-text:t">
                  <w:txbxContent>
                    <w:p w14:paraId="0D99251F" w14:textId="77777777" w:rsidR="00244A9C" w:rsidRPr="00244A9C" w:rsidRDefault="00244A9C" w:rsidP="00244A9C">
                      <w:r w:rsidRPr="00244A9C">
                        <w:t>River Basin</w:t>
                      </w:r>
                    </w:p>
                  </w:txbxContent>
                </v:textbox>
              </v:shape>
            </w:pict>
          </mc:Fallback>
        </mc:AlternateContent>
      </w:r>
      <w:r w:rsidR="00B865BC">
        <w:rPr>
          <w:rFonts w:cstheme="minorHAnsi"/>
          <w:b/>
          <w:noProof/>
        </w:rPr>
        <w:drawing>
          <wp:inline distT="0" distB="0" distL="0" distR="0" wp14:anchorId="2C613A22" wp14:editId="73DA5CB6">
            <wp:extent cx="8220075" cy="5324475"/>
            <wp:effectExtent l="0" t="0" r="9525" b="9525"/>
            <wp:docPr id="25078001" name="Picture 25078001" descr="Map of Virginia Statewide surface water temperatur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8001" name="Picture 4" descr="Map of Virginia Statewide surface water temperature trends"/>
                    <pic:cNvPicPr>
                      <a:picLocks noChangeAspect="1" noChangeArrowheads="1"/>
                    </pic:cNvPicPr>
                  </pic:nvPicPr>
                  <pic:blipFill>
                    <a:blip r:embed="rId221" cstate="print">
                      <a:extLst>
                        <a:ext uri="{28A0092B-C50C-407E-A947-70E740481C1C}">
                          <a14:useLocalDpi xmlns:a14="http://schemas.microsoft.com/office/drawing/2010/main"/>
                        </a:ext>
                      </a:extLst>
                    </a:blip>
                    <a:srcRect/>
                    <a:stretch>
                      <a:fillRect/>
                    </a:stretch>
                  </pic:blipFill>
                  <pic:spPr bwMode="auto">
                    <a:xfrm>
                      <a:off x="0" y="0"/>
                      <a:ext cx="8220075" cy="5324475"/>
                    </a:xfrm>
                    <a:prstGeom prst="rect">
                      <a:avLst/>
                    </a:prstGeom>
                    <a:noFill/>
                    <a:ln>
                      <a:noFill/>
                    </a:ln>
                  </pic:spPr>
                </pic:pic>
              </a:graphicData>
            </a:graphic>
          </wp:inline>
        </w:drawing>
      </w:r>
    </w:p>
    <w:p w14:paraId="68482F19" w14:textId="3D634955" w:rsidR="00B865BC" w:rsidRDefault="00B865BC" w:rsidP="00B865BC">
      <w:pPr>
        <w:pStyle w:val="Caption"/>
      </w:pPr>
      <w:bookmarkStart w:id="358" w:name="_Toc152766305"/>
      <w:bookmarkStart w:id="359" w:name="_Toc164175130"/>
      <w:r>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7</w:t>
      </w:r>
      <w:r w:rsidR="004F13BA">
        <w:rPr>
          <w:noProof/>
        </w:rPr>
        <w:fldChar w:fldCharType="end"/>
      </w:r>
      <w:r>
        <w:t>.</w:t>
      </w:r>
      <w:r w:rsidRPr="00B865BC">
        <w:rPr>
          <w:rFonts w:cstheme="minorHAnsi"/>
          <w:b/>
        </w:rPr>
        <w:t xml:space="preserve"> </w:t>
      </w:r>
      <w:r w:rsidRPr="00B865BC">
        <w:rPr>
          <w:rFonts w:cstheme="minorHAnsi"/>
          <w:bCs/>
        </w:rPr>
        <w:t>Statewide surface water temperature trends.</w:t>
      </w:r>
      <w:bookmarkEnd w:id="358"/>
      <w:bookmarkEnd w:id="359"/>
    </w:p>
    <w:p w14:paraId="19E03FC3" w14:textId="2228D68F" w:rsidR="00A11D2E" w:rsidRPr="00AD3B35" w:rsidRDefault="00A11D2E" w:rsidP="00A11D2E">
      <w:pPr>
        <w:pStyle w:val="BodyTextIndent"/>
        <w:tabs>
          <w:tab w:val="left" w:pos="1800"/>
        </w:tabs>
        <w:ind w:left="720" w:firstLine="0"/>
        <w:jc w:val="left"/>
        <w:rPr>
          <w:rFonts w:cstheme="minorHAnsi"/>
          <w:b/>
          <w:bCs/>
        </w:rPr>
        <w:sectPr w:rsidR="00A11D2E" w:rsidRPr="00AD3B35" w:rsidSect="009079C4">
          <w:pgSz w:w="15840" w:h="12240" w:orient="landscape" w:code="1"/>
          <w:pgMar w:top="1440" w:right="1440" w:bottom="1440" w:left="1440" w:header="720" w:footer="720" w:gutter="0"/>
          <w:cols w:space="720"/>
          <w:docGrid w:linePitch="360"/>
        </w:sectPr>
      </w:pPr>
    </w:p>
    <w:p w14:paraId="4AFAE7AB" w14:textId="77777777" w:rsidR="00A11D2E" w:rsidRPr="00AD3B35" w:rsidRDefault="00A11D2E" w:rsidP="000C00A2">
      <w:pPr>
        <w:pStyle w:val="Heading4"/>
      </w:pPr>
      <w:r w:rsidRPr="00AD3B35">
        <w:lastRenderedPageBreak/>
        <w:t>Bacteria</w:t>
      </w:r>
    </w:p>
    <w:bookmarkEnd w:id="356"/>
    <w:p w14:paraId="16965E12" w14:textId="505DC1C0" w:rsidR="00A11D2E" w:rsidRDefault="00A11D2E" w:rsidP="00184023">
      <w:r w:rsidRPr="00AD3B35">
        <w:t xml:space="preserve">Trend analyses were conducted on each of three groups of fecal indicator bacteria. This included </w:t>
      </w:r>
      <w:r w:rsidRPr="007B6CF6">
        <w:rPr>
          <w:i/>
          <w:iCs/>
        </w:rPr>
        <w:t>E. coli</w:t>
      </w:r>
      <w:r w:rsidRPr="00AD3B35">
        <w:t xml:space="preserve"> and enterococci, for which there are current Virginia Water Quality Standards (applicable in freshwater and saltwater, respectively), and fecal coliforms, for which former standards existed until they were replaced by those for the other two groups. The fecal coliform record extends back almost </w:t>
      </w:r>
      <w:r w:rsidR="00A35E18">
        <w:t>four</w:t>
      </w:r>
      <w:r w:rsidRPr="00AD3B35">
        <w:t xml:space="preserve"> decades and will continue to serve as an indicator for water quality trends. </w:t>
      </w:r>
    </w:p>
    <w:p w14:paraId="6E60E163" w14:textId="77777777" w:rsidR="003A5866" w:rsidRPr="00AD3B35" w:rsidRDefault="003A5866" w:rsidP="00184023"/>
    <w:p w14:paraId="50187E22" w14:textId="77777777" w:rsidR="00320909" w:rsidRDefault="00183A47" w:rsidP="00A11D2E">
      <w:pPr>
        <w:rPr>
          <w:rFonts w:cstheme="minorHAnsi"/>
        </w:rPr>
      </w:pPr>
      <w:r w:rsidRPr="00AD3B35">
        <w:rPr>
          <w:rFonts w:cstheme="minorHAnsi"/>
        </w:rPr>
        <w:t xml:space="preserve">Trends in </w:t>
      </w:r>
      <w:r w:rsidRPr="00AD3B35">
        <w:rPr>
          <w:rFonts w:cstheme="minorHAnsi"/>
          <w:i/>
        </w:rPr>
        <w:t xml:space="preserve">E. </w:t>
      </w:r>
      <w:r w:rsidRPr="00183A47">
        <w:rPr>
          <w:rFonts w:cstheme="minorHAnsi"/>
          <w:i/>
          <w:iCs/>
        </w:rPr>
        <w:t>coli</w:t>
      </w:r>
      <w:r>
        <w:rPr>
          <w:rFonts w:cstheme="minorHAnsi"/>
          <w:i/>
          <w:iCs/>
        </w:rPr>
        <w:t xml:space="preserve">, </w:t>
      </w:r>
      <w:r w:rsidRPr="00183A47">
        <w:rPr>
          <w:rFonts w:cstheme="minorHAnsi"/>
          <w:iCs/>
        </w:rPr>
        <w:t>enterococci</w:t>
      </w:r>
      <w:r w:rsidRPr="00AD3B35">
        <w:rPr>
          <w:rFonts w:cstheme="minorHAnsi"/>
        </w:rPr>
        <w:t xml:space="preserve">, and fecal coliforms by basin are shown in Tables </w:t>
      </w:r>
      <w:r>
        <w:rPr>
          <w:rFonts w:cstheme="minorHAnsi"/>
        </w:rPr>
        <w:t>4.</w:t>
      </w:r>
      <w:r w:rsidR="00FE558A">
        <w:rPr>
          <w:rFonts w:cstheme="minorHAnsi"/>
        </w:rPr>
        <w:t>7-</w:t>
      </w:r>
      <w:r w:rsidRPr="00AD3B35">
        <w:rPr>
          <w:rFonts w:cstheme="minorHAnsi"/>
        </w:rPr>
        <w:t xml:space="preserve">11, </w:t>
      </w:r>
      <w:r w:rsidR="00FE558A">
        <w:rPr>
          <w:rFonts w:cstheme="minorHAnsi"/>
        </w:rPr>
        <w:t>4.7-</w:t>
      </w:r>
      <w:r w:rsidRPr="00AD3B35">
        <w:rPr>
          <w:rFonts w:cstheme="minorHAnsi"/>
        </w:rPr>
        <w:t xml:space="preserve">12 and </w:t>
      </w:r>
      <w:r w:rsidR="00FE558A">
        <w:rPr>
          <w:rFonts w:cstheme="minorHAnsi"/>
        </w:rPr>
        <w:t>4.7-</w:t>
      </w:r>
      <w:r w:rsidRPr="00AD3B35">
        <w:rPr>
          <w:rFonts w:cstheme="minorHAnsi"/>
        </w:rPr>
        <w:t xml:space="preserve">13, respectively. Maps of the trends for each of the three bacteria parameters are shown in Figures </w:t>
      </w:r>
      <w:r w:rsidR="00FE558A">
        <w:rPr>
          <w:rFonts w:cstheme="minorHAnsi"/>
        </w:rPr>
        <w:t>4.7-</w:t>
      </w:r>
      <w:r w:rsidRPr="00AD3B35">
        <w:rPr>
          <w:rFonts w:cstheme="minorHAnsi"/>
        </w:rPr>
        <w:t>8</w:t>
      </w:r>
      <w:r w:rsidR="00FE558A">
        <w:rPr>
          <w:rFonts w:cstheme="minorHAnsi"/>
        </w:rPr>
        <w:t>, 4.7-9, 4.7-10</w:t>
      </w:r>
      <w:r w:rsidRPr="00AD3B35">
        <w:rPr>
          <w:rFonts w:cstheme="minorHAnsi"/>
        </w:rPr>
        <w:t>.</w:t>
      </w:r>
      <w:r w:rsidRPr="00AD3B35">
        <w:rPr>
          <w:rFonts w:cstheme="minorHAnsi"/>
          <w:b/>
        </w:rPr>
        <w:t xml:space="preserve"> </w:t>
      </w:r>
      <w:r w:rsidR="00A11D2E" w:rsidRPr="00AD3B35">
        <w:rPr>
          <w:rFonts w:cstheme="minorHAnsi"/>
        </w:rPr>
        <w:t>Increasing trends in fecal coliforms (degrading water quality) were observed at 20 of 385 sites (5%), decreasing concentrations (improving conditions) were observed at 22 sites (6%) and no trends were observed at 343 sites (89%; Table 4</w:t>
      </w:r>
      <w:r w:rsidR="007B6CF6">
        <w:rPr>
          <w:rFonts w:cstheme="minorHAnsi"/>
        </w:rPr>
        <w:t>.7-</w:t>
      </w:r>
      <w:r w:rsidR="00DD335B">
        <w:rPr>
          <w:rFonts w:cstheme="minorHAnsi"/>
        </w:rPr>
        <w:t>4</w:t>
      </w:r>
      <w:r w:rsidR="00A11D2E" w:rsidRPr="00AD3B35">
        <w:rPr>
          <w:rFonts w:cstheme="minorHAnsi"/>
        </w:rPr>
        <w:t>). The proportion of stations showing improving fecal coliform conditions was reduced in comparison to the previous analyses on conditions from 1997-2016, when 66 of 365 stations (18%) showed improving conditions. This change may have occurred because TMDL development and implementation focused largely on bacteria in past years, whereas more recent TMDL practices prioritize other water quality measures (</w:t>
      </w:r>
      <w:r w:rsidR="008E77B8" w:rsidRPr="00AD3B35">
        <w:rPr>
          <w:rFonts w:cstheme="minorHAnsi"/>
        </w:rPr>
        <w:t>e.g.,</w:t>
      </w:r>
      <w:r w:rsidR="00A11D2E" w:rsidRPr="00AD3B35">
        <w:rPr>
          <w:rFonts w:cstheme="minorHAnsi"/>
        </w:rPr>
        <w:t xml:space="preserve"> benthic </w:t>
      </w:r>
      <w:r w:rsidR="00B64729">
        <w:rPr>
          <w:rFonts w:cstheme="minorHAnsi"/>
        </w:rPr>
        <w:t>community</w:t>
      </w:r>
      <w:r w:rsidR="00A11D2E" w:rsidRPr="00AD3B35">
        <w:rPr>
          <w:rFonts w:cstheme="minorHAnsi"/>
        </w:rPr>
        <w:t xml:space="preserve">) over bacteria. Improving trends in Enterococci increased between time periods (3% of sites showing improvements from 1997-2016 and 9% showing improvements from 2003-2022) and degrading trends remained unchanged (2% of sites during each </w:t>
      </w:r>
      <w:r w:rsidR="003A5866" w:rsidRPr="00AD3B35">
        <w:rPr>
          <w:rFonts w:cstheme="minorHAnsi"/>
        </w:rPr>
        <w:t>period</w:t>
      </w:r>
      <w:r w:rsidR="00A11D2E" w:rsidRPr="00AD3B35">
        <w:rPr>
          <w:rFonts w:cstheme="minorHAnsi"/>
        </w:rPr>
        <w:t xml:space="preserve">). </w:t>
      </w:r>
      <w:r w:rsidR="00A11D2E" w:rsidRPr="00AD3B35">
        <w:rPr>
          <w:rFonts w:cstheme="minorHAnsi"/>
          <w:i/>
          <w:iCs/>
        </w:rPr>
        <w:t>E. coli</w:t>
      </w:r>
      <w:r w:rsidR="00A11D2E" w:rsidRPr="00AD3B35">
        <w:rPr>
          <w:rFonts w:cstheme="minorHAnsi"/>
        </w:rPr>
        <w:t xml:space="preserve"> trends were evaluated only on data from 2014 to 2022 because of a method improvement that changed the lower detection limit from 100 MPN/100</w:t>
      </w:r>
      <w:r w:rsidR="00677567">
        <w:rPr>
          <w:rFonts w:cstheme="minorHAnsi"/>
        </w:rPr>
        <w:t xml:space="preserve"> </w:t>
      </w:r>
      <w:r w:rsidR="00A11D2E" w:rsidRPr="00AD3B35">
        <w:rPr>
          <w:rFonts w:cstheme="minorHAnsi"/>
        </w:rPr>
        <w:t>mL to 10 CFU/100</w:t>
      </w:r>
      <w:r w:rsidR="00012E5D">
        <w:rPr>
          <w:rFonts w:cstheme="minorHAnsi"/>
        </w:rPr>
        <w:t xml:space="preserve"> </w:t>
      </w:r>
      <w:r w:rsidR="00A11D2E" w:rsidRPr="00AD3B35">
        <w:rPr>
          <w:rFonts w:cstheme="minorHAnsi"/>
        </w:rPr>
        <w:t>mL and the upper detection limit from 2,000 MPN/100</w:t>
      </w:r>
      <w:r w:rsidR="00012E5D">
        <w:rPr>
          <w:rFonts w:cstheme="minorHAnsi"/>
        </w:rPr>
        <w:t xml:space="preserve"> </w:t>
      </w:r>
      <w:r w:rsidR="00A11D2E" w:rsidRPr="00AD3B35">
        <w:rPr>
          <w:rFonts w:cstheme="minorHAnsi"/>
        </w:rPr>
        <w:t>mL to 25,000 CFU/100</w:t>
      </w:r>
      <w:r w:rsidR="00012E5D">
        <w:rPr>
          <w:rFonts w:cstheme="minorHAnsi"/>
        </w:rPr>
        <w:t xml:space="preserve"> </w:t>
      </w:r>
      <w:r w:rsidR="00A11D2E" w:rsidRPr="00AD3B35">
        <w:rPr>
          <w:rFonts w:cstheme="minorHAnsi"/>
        </w:rPr>
        <w:t>mL for samples collected in 2014 and thereafter. This change means that the data analyzed here are incomparable to those collected before 2014 unless the more recent data are censored using the original detection limits, which would unnecessarily reduce the sensitivity of the dataset for indicating trends.</w:t>
      </w:r>
    </w:p>
    <w:p w14:paraId="145E8622" w14:textId="094C7449" w:rsidR="00320909" w:rsidRDefault="00320909">
      <w:pPr>
        <w:widowControl/>
        <w:spacing w:after="160" w:line="259" w:lineRule="auto"/>
        <w:rPr>
          <w:rFonts w:cstheme="minorHAnsi"/>
        </w:rPr>
      </w:pPr>
      <w:r>
        <w:rPr>
          <w:rFonts w:cstheme="minorHAnsi"/>
        </w:rPr>
        <w:br w:type="page"/>
      </w:r>
    </w:p>
    <w:p w14:paraId="72B287B5" w14:textId="3FF179DA" w:rsidR="00960BB8" w:rsidRPr="00960BB8" w:rsidRDefault="00960BB8" w:rsidP="00960BB8">
      <w:pPr>
        <w:pStyle w:val="Caption"/>
        <w:keepNext/>
      </w:pPr>
      <w:bookmarkStart w:id="360" w:name="_Toc164175232"/>
      <w:r w:rsidRPr="00960BB8">
        <w:lastRenderedPageBreak/>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11</w:t>
      </w:r>
      <w:r w:rsidR="004F13BA">
        <w:rPr>
          <w:noProof/>
        </w:rPr>
        <w:fldChar w:fldCharType="end"/>
      </w:r>
      <w:r w:rsidRPr="00960BB8">
        <w:t xml:space="preserve">. </w:t>
      </w:r>
      <w:r w:rsidRPr="00960BB8">
        <w:rPr>
          <w:rFonts w:cstheme="minorHAnsi"/>
          <w:i/>
        </w:rPr>
        <w:t>Escherichia coli</w:t>
      </w:r>
      <w:r w:rsidRPr="00960BB8">
        <w:rPr>
          <w:rFonts w:cstheme="minorHAnsi"/>
        </w:rPr>
        <w:t xml:space="preserve"> trends by basin</w:t>
      </w:r>
      <w:r w:rsidR="00A050F3">
        <w:rPr>
          <w:rFonts w:cstheme="minorHAnsi"/>
        </w:rPr>
        <w:t>, 2014 through 2022.</w:t>
      </w:r>
      <w:bookmarkEnd w:id="360"/>
    </w:p>
    <w:tbl>
      <w:tblPr>
        <w:tblW w:w="5000" w:type="pct"/>
        <w:tblLook w:val="04A0" w:firstRow="1" w:lastRow="0" w:firstColumn="1" w:lastColumn="0" w:noHBand="0" w:noVBand="1"/>
        <w:tblCaption w:val="Table of Escherichia coli trends by basin."/>
        <w:tblDescription w:val="Escherichia coli trends by basin."/>
      </w:tblPr>
      <w:tblGrid>
        <w:gridCol w:w="1540"/>
        <w:gridCol w:w="961"/>
        <w:gridCol w:w="1208"/>
        <w:gridCol w:w="1256"/>
        <w:gridCol w:w="1314"/>
        <w:gridCol w:w="1179"/>
        <w:gridCol w:w="1151"/>
        <w:gridCol w:w="751"/>
      </w:tblGrid>
      <w:tr w:rsidR="00A11D2E" w:rsidRPr="00AD3B35" w14:paraId="5F4E1F2C" w14:textId="77777777" w:rsidTr="00960BB8">
        <w:trPr>
          <w:trHeight w:val="1035"/>
        </w:trPr>
        <w:tc>
          <w:tcPr>
            <w:tcW w:w="822" w:type="pct"/>
            <w:tcBorders>
              <w:top w:val="single" w:sz="12" w:space="0" w:color="auto"/>
              <w:left w:val="nil"/>
              <w:bottom w:val="single" w:sz="8" w:space="0" w:color="auto"/>
              <w:right w:val="nil"/>
            </w:tcBorders>
            <w:shd w:val="clear" w:color="auto" w:fill="auto"/>
            <w:vAlign w:val="center"/>
            <w:hideMark/>
          </w:tcPr>
          <w:p w14:paraId="5BAE4F96" w14:textId="77777777" w:rsidR="00A11D2E" w:rsidRPr="00997684" w:rsidRDefault="00A11D2E">
            <w:pPr>
              <w:widowControl/>
              <w:jc w:val="center"/>
              <w:rPr>
                <w:rFonts w:cstheme="minorHAnsi"/>
                <w:b/>
                <w:bCs/>
                <w:snapToGrid/>
                <w:color w:val="000000"/>
                <w:sz w:val="22"/>
                <w:szCs w:val="22"/>
              </w:rPr>
            </w:pPr>
            <w:r w:rsidRPr="00997684">
              <w:rPr>
                <w:rFonts w:cstheme="minorHAnsi"/>
                <w:b/>
                <w:bCs/>
                <w:color w:val="000000"/>
                <w:sz w:val="22"/>
                <w:szCs w:val="22"/>
              </w:rPr>
              <w:t>Basin</w:t>
            </w:r>
          </w:p>
        </w:tc>
        <w:tc>
          <w:tcPr>
            <w:tcW w:w="513" w:type="pct"/>
            <w:tcBorders>
              <w:top w:val="single" w:sz="12" w:space="0" w:color="auto"/>
              <w:left w:val="nil"/>
              <w:bottom w:val="single" w:sz="8" w:space="0" w:color="auto"/>
              <w:right w:val="nil"/>
            </w:tcBorders>
            <w:shd w:val="clear" w:color="auto" w:fill="auto"/>
            <w:vAlign w:val="center"/>
            <w:hideMark/>
          </w:tcPr>
          <w:p w14:paraId="4930095B" w14:textId="77777777" w:rsidR="00A11D2E" w:rsidRPr="00997684" w:rsidRDefault="00A11D2E">
            <w:pPr>
              <w:jc w:val="center"/>
              <w:rPr>
                <w:rFonts w:cstheme="minorHAnsi"/>
                <w:b/>
                <w:bCs/>
                <w:color w:val="000000"/>
                <w:sz w:val="22"/>
                <w:szCs w:val="22"/>
              </w:rPr>
            </w:pPr>
            <w:r w:rsidRPr="00997684">
              <w:rPr>
                <w:rFonts w:cstheme="minorHAnsi"/>
                <w:b/>
                <w:bCs/>
                <w:color w:val="000000"/>
                <w:sz w:val="22"/>
                <w:szCs w:val="22"/>
              </w:rPr>
              <w:t>Total Stations</w:t>
            </w:r>
          </w:p>
        </w:tc>
        <w:tc>
          <w:tcPr>
            <w:tcW w:w="645" w:type="pct"/>
            <w:tcBorders>
              <w:top w:val="single" w:sz="12" w:space="0" w:color="auto"/>
              <w:left w:val="nil"/>
              <w:bottom w:val="single" w:sz="8" w:space="0" w:color="auto"/>
              <w:right w:val="nil"/>
            </w:tcBorders>
            <w:shd w:val="clear" w:color="auto" w:fill="auto"/>
            <w:vAlign w:val="center"/>
            <w:hideMark/>
          </w:tcPr>
          <w:p w14:paraId="52E3B60F" w14:textId="77777777" w:rsidR="00A11D2E" w:rsidRPr="00997684" w:rsidRDefault="00A11D2E">
            <w:pPr>
              <w:jc w:val="center"/>
              <w:rPr>
                <w:rFonts w:cstheme="minorHAnsi"/>
                <w:b/>
                <w:bCs/>
                <w:color w:val="000000"/>
                <w:sz w:val="22"/>
                <w:szCs w:val="22"/>
              </w:rPr>
            </w:pPr>
            <w:r w:rsidRPr="00997684">
              <w:rPr>
                <w:rFonts w:cstheme="minorHAnsi"/>
                <w:b/>
                <w:bCs/>
                <w:color w:val="000000"/>
                <w:sz w:val="22"/>
                <w:szCs w:val="22"/>
              </w:rPr>
              <w:t>Improving Trend (stations)</w:t>
            </w:r>
          </w:p>
        </w:tc>
        <w:tc>
          <w:tcPr>
            <w:tcW w:w="671" w:type="pct"/>
            <w:tcBorders>
              <w:top w:val="single" w:sz="12" w:space="0" w:color="auto"/>
              <w:left w:val="nil"/>
              <w:bottom w:val="single" w:sz="8" w:space="0" w:color="auto"/>
              <w:right w:val="nil"/>
            </w:tcBorders>
            <w:shd w:val="clear" w:color="auto" w:fill="auto"/>
            <w:vAlign w:val="center"/>
            <w:hideMark/>
          </w:tcPr>
          <w:p w14:paraId="04CC3AAA" w14:textId="77777777" w:rsidR="00A11D2E" w:rsidRPr="00997684" w:rsidRDefault="00A11D2E">
            <w:pPr>
              <w:jc w:val="center"/>
              <w:rPr>
                <w:rFonts w:cstheme="minorHAnsi"/>
                <w:b/>
                <w:bCs/>
                <w:color w:val="000000"/>
                <w:sz w:val="22"/>
                <w:szCs w:val="22"/>
              </w:rPr>
            </w:pPr>
            <w:r w:rsidRPr="00997684">
              <w:rPr>
                <w:rFonts w:cstheme="minorHAnsi"/>
                <w:b/>
                <w:bCs/>
                <w:color w:val="000000"/>
                <w:sz w:val="22"/>
                <w:szCs w:val="22"/>
              </w:rPr>
              <w:t>Degrading Trend (stations)</w:t>
            </w:r>
          </w:p>
        </w:tc>
        <w:tc>
          <w:tcPr>
            <w:tcW w:w="702" w:type="pct"/>
            <w:tcBorders>
              <w:top w:val="single" w:sz="12" w:space="0" w:color="auto"/>
              <w:left w:val="nil"/>
              <w:bottom w:val="single" w:sz="8" w:space="0" w:color="auto"/>
              <w:right w:val="nil"/>
            </w:tcBorders>
            <w:shd w:val="clear" w:color="auto" w:fill="auto"/>
            <w:vAlign w:val="center"/>
            <w:hideMark/>
          </w:tcPr>
          <w:p w14:paraId="29F33DBD" w14:textId="77777777" w:rsidR="00A11D2E" w:rsidRPr="00997684" w:rsidRDefault="00A11D2E">
            <w:pPr>
              <w:jc w:val="center"/>
              <w:rPr>
                <w:rFonts w:cstheme="minorHAnsi"/>
                <w:b/>
                <w:bCs/>
                <w:color w:val="000000"/>
                <w:sz w:val="22"/>
                <w:szCs w:val="22"/>
              </w:rPr>
            </w:pPr>
            <w:r w:rsidRPr="00997684">
              <w:rPr>
                <w:rFonts w:cstheme="minorHAnsi"/>
                <w:b/>
                <w:bCs/>
                <w:color w:val="000000"/>
                <w:sz w:val="22"/>
                <w:szCs w:val="22"/>
              </w:rPr>
              <w:t>No Trend (stations)</w:t>
            </w:r>
          </w:p>
        </w:tc>
        <w:tc>
          <w:tcPr>
            <w:tcW w:w="630" w:type="pct"/>
            <w:tcBorders>
              <w:top w:val="single" w:sz="12" w:space="0" w:color="auto"/>
              <w:left w:val="nil"/>
              <w:bottom w:val="single" w:sz="8" w:space="0" w:color="auto"/>
              <w:right w:val="nil"/>
            </w:tcBorders>
            <w:shd w:val="clear" w:color="auto" w:fill="auto"/>
            <w:vAlign w:val="center"/>
            <w:hideMark/>
          </w:tcPr>
          <w:p w14:paraId="7394350D" w14:textId="77777777" w:rsidR="00A11D2E" w:rsidRPr="00997684" w:rsidRDefault="00A11D2E">
            <w:pPr>
              <w:jc w:val="center"/>
              <w:rPr>
                <w:rFonts w:cstheme="minorHAnsi"/>
                <w:b/>
                <w:bCs/>
                <w:color w:val="000000"/>
                <w:sz w:val="22"/>
                <w:szCs w:val="22"/>
              </w:rPr>
            </w:pPr>
            <w:r w:rsidRPr="00997684">
              <w:rPr>
                <w:rFonts w:cstheme="minorHAnsi"/>
                <w:b/>
                <w:bCs/>
                <w:color w:val="000000"/>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17C4392C" w14:textId="77777777" w:rsidR="00A11D2E" w:rsidRPr="00997684" w:rsidRDefault="00A11D2E">
            <w:pPr>
              <w:jc w:val="center"/>
              <w:rPr>
                <w:rFonts w:cstheme="minorHAnsi"/>
                <w:b/>
                <w:bCs/>
                <w:color w:val="000000"/>
                <w:sz w:val="22"/>
                <w:szCs w:val="22"/>
              </w:rPr>
            </w:pPr>
            <w:r w:rsidRPr="00997684">
              <w:rPr>
                <w:rFonts w:cstheme="minorHAnsi"/>
                <w:b/>
                <w:bCs/>
                <w:color w:val="000000"/>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5DD213CA" w14:textId="77777777" w:rsidR="00A11D2E" w:rsidRPr="00997684" w:rsidRDefault="00A11D2E">
            <w:pPr>
              <w:jc w:val="center"/>
              <w:rPr>
                <w:rFonts w:cstheme="minorHAnsi"/>
                <w:b/>
                <w:bCs/>
                <w:color w:val="000000"/>
                <w:sz w:val="22"/>
                <w:szCs w:val="22"/>
              </w:rPr>
            </w:pPr>
            <w:r w:rsidRPr="00997684">
              <w:rPr>
                <w:rFonts w:cstheme="minorHAnsi"/>
                <w:b/>
                <w:bCs/>
                <w:color w:val="000000"/>
                <w:sz w:val="22"/>
                <w:szCs w:val="22"/>
              </w:rPr>
              <w:t>No Trend (%)</w:t>
            </w:r>
          </w:p>
        </w:tc>
      </w:tr>
      <w:tr w:rsidR="00A11D2E" w:rsidRPr="00AD3B35" w14:paraId="186B73BB" w14:textId="77777777" w:rsidTr="00960BB8">
        <w:trPr>
          <w:trHeight w:val="360"/>
        </w:trPr>
        <w:tc>
          <w:tcPr>
            <w:tcW w:w="822" w:type="pct"/>
            <w:tcBorders>
              <w:top w:val="nil"/>
              <w:left w:val="nil"/>
              <w:bottom w:val="nil"/>
              <w:right w:val="nil"/>
            </w:tcBorders>
            <w:shd w:val="clear" w:color="auto" w:fill="auto"/>
            <w:noWrap/>
            <w:vAlign w:val="center"/>
            <w:hideMark/>
          </w:tcPr>
          <w:p w14:paraId="530EBF50" w14:textId="348BFF46" w:rsidR="00A11D2E" w:rsidRPr="00997684" w:rsidRDefault="00A11D2E">
            <w:pPr>
              <w:widowControl/>
              <w:jc w:val="center"/>
              <w:rPr>
                <w:rFonts w:cstheme="minorHAnsi"/>
                <w:bCs/>
                <w:snapToGrid/>
                <w:sz w:val="22"/>
                <w:szCs w:val="22"/>
              </w:rPr>
            </w:pPr>
            <w:r w:rsidRPr="00997684">
              <w:rPr>
                <w:rFonts w:cstheme="minorHAnsi"/>
                <w:snapToGrid/>
                <w:sz w:val="22"/>
                <w:szCs w:val="22"/>
              </w:rPr>
              <w:t>Chesapeake</w:t>
            </w:r>
          </w:p>
        </w:tc>
        <w:tc>
          <w:tcPr>
            <w:tcW w:w="513" w:type="pct"/>
            <w:tcBorders>
              <w:top w:val="nil"/>
              <w:left w:val="nil"/>
              <w:bottom w:val="nil"/>
              <w:right w:val="nil"/>
            </w:tcBorders>
            <w:shd w:val="clear" w:color="auto" w:fill="auto"/>
            <w:noWrap/>
            <w:vAlign w:val="center"/>
            <w:hideMark/>
          </w:tcPr>
          <w:p w14:paraId="77CE423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34</w:t>
            </w:r>
          </w:p>
        </w:tc>
        <w:tc>
          <w:tcPr>
            <w:tcW w:w="645" w:type="pct"/>
            <w:tcBorders>
              <w:top w:val="nil"/>
              <w:left w:val="nil"/>
              <w:bottom w:val="nil"/>
              <w:right w:val="nil"/>
            </w:tcBorders>
            <w:shd w:val="clear" w:color="auto" w:fill="auto"/>
            <w:noWrap/>
            <w:vAlign w:val="center"/>
            <w:hideMark/>
          </w:tcPr>
          <w:p w14:paraId="3ECF363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2E60782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45EF7B7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33</w:t>
            </w:r>
          </w:p>
        </w:tc>
        <w:tc>
          <w:tcPr>
            <w:tcW w:w="630" w:type="pct"/>
            <w:tcBorders>
              <w:top w:val="nil"/>
              <w:left w:val="nil"/>
              <w:bottom w:val="nil"/>
              <w:right w:val="nil"/>
            </w:tcBorders>
            <w:shd w:val="clear" w:color="auto" w:fill="auto"/>
            <w:noWrap/>
            <w:vAlign w:val="center"/>
            <w:hideMark/>
          </w:tcPr>
          <w:p w14:paraId="0F61512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237286A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401" w:type="pct"/>
            <w:tcBorders>
              <w:top w:val="nil"/>
              <w:left w:val="nil"/>
              <w:bottom w:val="nil"/>
              <w:right w:val="nil"/>
            </w:tcBorders>
            <w:shd w:val="clear" w:color="auto" w:fill="auto"/>
            <w:noWrap/>
            <w:vAlign w:val="center"/>
            <w:hideMark/>
          </w:tcPr>
          <w:p w14:paraId="7BA5885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97</w:t>
            </w:r>
          </w:p>
        </w:tc>
      </w:tr>
      <w:tr w:rsidR="00A11D2E" w:rsidRPr="00AD3B35" w14:paraId="51C61F25" w14:textId="77777777" w:rsidTr="00960BB8">
        <w:trPr>
          <w:trHeight w:val="360"/>
        </w:trPr>
        <w:tc>
          <w:tcPr>
            <w:tcW w:w="822" w:type="pct"/>
            <w:tcBorders>
              <w:top w:val="nil"/>
              <w:left w:val="nil"/>
              <w:bottom w:val="nil"/>
              <w:right w:val="nil"/>
            </w:tcBorders>
            <w:shd w:val="clear" w:color="auto" w:fill="auto"/>
            <w:noWrap/>
            <w:vAlign w:val="center"/>
            <w:hideMark/>
          </w:tcPr>
          <w:p w14:paraId="6D437A6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Chowan</w:t>
            </w:r>
          </w:p>
        </w:tc>
        <w:tc>
          <w:tcPr>
            <w:tcW w:w="513" w:type="pct"/>
            <w:tcBorders>
              <w:top w:val="nil"/>
              <w:left w:val="nil"/>
              <w:bottom w:val="nil"/>
              <w:right w:val="nil"/>
            </w:tcBorders>
            <w:shd w:val="clear" w:color="auto" w:fill="auto"/>
            <w:noWrap/>
            <w:vAlign w:val="center"/>
            <w:hideMark/>
          </w:tcPr>
          <w:p w14:paraId="50BC182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51</w:t>
            </w:r>
          </w:p>
        </w:tc>
        <w:tc>
          <w:tcPr>
            <w:tcW w:w="645" w:type="pct"/>
            <w:tcBorders>
              <w:top w:val="nil"/>
              <w:left w:val="nil"/>
              <w:bottom w:val="nil"/>
              <w:right w:val="nil"/>
            </w:tcBorders>
            <w:shd w:val="clear" w:color="auto" w:fill="auto"/>
            <w:noWrap/>
            <w:vAlign w:val="center"/>
            <w:hideMark/>
          </w:tcPr>
          <w:p w14:paraId="5AF7CD3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6F88752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702" w:type="pct"/>
            <w:tcBorders>
              <w:top w:val="nil"/>
              <w:left w:val="nil"/>
              <w:bottom w:val="nil"/>
              <w:right w:val="nil"/>
            </w:tcBorders>
            <w:shd w:val="clear" w:color="auto" w:fill="auto"/>
            <w:noWrap/>
            <w:vAlign w:val="center"/>
            <w:hideMark/>
          </w:tcPr>
          <w:p w14:paraId="6103E9A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46</w:t>
            </w:r>
          </w:p>
        </w:tc>
        <w:tc>
          <w:tcPr>
            <w:tcW w:w="630" w:type="pct"/>
            <w:tcBorders>
              <w:top w:val="nil"/>
              <w:left w:val="nil"/>
              <w:bottom w:val="nil"/>
              <w:right w:val="nil"/>
            </w:tcBorders>
            <w:shd w:val="clear" w:color="auto" w:fill="auto"/>
            <w:noWrap/>
            <w:vAlign w:val="center"/>
            <w:hideMark/>
          </w:tcPr>
          <w:p w14:paraId="6E28AA2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291564C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10</w:t>
            </w:r>
          </w:p>
        </w:tc>
        <w:tc>
          <w:tcPr>
            <w:tcW w:w="401" w:type="pct"/>
            <w:tcBorders>
              <w:top w:val="nil"/>
              <w:left w:val="nil"/>
              <w:bottom w:val="nil"/>
              <w:right w:val="nil"/>
            </w:tcBorders>
            <w:shd w:val="clear" w:color="auto" w:fill="auto"/>
            <w:noWrap/>
            <w:vAlign w:val="center"/>
            <w:hideMark/>
          </w:tcPr>
          <w:p w14:paraId="34C702E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90</w:t>
            </w:r>
          </w:p>
        </w:tc>
      </w:tr>
      <w:tr w:rsidR="00A11D2E" w:rsidRPr="00AD3B35" w14:paraId="29DCDEDB" w14:textId="77777777" w:rsidTr="00960BB8">
        <w:trPr>
          <w:trHeight w:val="360"/>
        </w:trPr>
        <w:tc>
          <w:tcPr>
            <w:tcW w:w="822" w:type="pct"/>
            <w:tcBorders>
              <w:top w:val="nil"/>
              <w:left w:val="nil"/>
              <w:bottom w:val="nil"/>
              <w:right w:val="nil"/>
            </w:tcBorders>
            <w:shd w:val="clear" w:color="auto" w:fill="auto"/>
            <w:noWrap/>
            <w:vAlign w:val="center"/>
            <w:hideMark/>
          </w:tcPr>
          <w:p w14:paraId="38A5AB2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James</w:t>
            </w:r>
          </w:p>
        </w:tc>
        <w:tc>
          <w:tcPr>
            <w:tcW w:w="513" w:type="pct"/>
            <w:tcBorders>
              <w:top w:val="nil"/>
              <w:left w:val="nil"/>
              <w:bottom w:val="nil"/>
              <w:right w:val="nil"/>
            </w:tcBorders>
            <w:shd w:val="clear" w:color="auto" w:fill="auto"/>
            <w:noWrap/>
            <w:vAlign w:val="center"/>
            <w:hideMark/>
          </w:tcPr>
          <w:p w14:paraId="46A2DEE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88</w:t>
            </w:r>
          </w:p>
        </w:tc>
        <w:tc>
          <w:tcPr>
            <w:tcW w:w="645" w:type="pct"/>
            <w:tcBorders>
              <w:top w:val="nil"/>
              <w:left w:val="nil"/>
              <w:bottom w:val="nil"/>
              <w:right w:val="nil"/>
            </w:tcBorders>
            <w:shd w:val="clear" w:color="auto" w:fill="auto"/>
            <w:noWrap/>
            <w:vAlign w:val="center"/>
            <w:hideMark/>
          </w:tcPr>
          <w:p w14:paraId="714E8D3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671" w:type="pct"/>
            <w:tcBorders>
              <w:top w:val="nil"/>
              <w:left w:val="nil"/>
              <w:bottom w:val="nil"/>
              <w:right w:val="nil"/>
            </w:tcBorders>
            <w:shd w:val="clear" w:color="auto" w:fill="auto"/>
            <w:noWrap/>
            <w:vAlign w:val="center"/>
            <w:hideMark/>
          </w:tcPr>
          <w:p w14:paraId="6D8DACB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w:t>
            </w:r>
          </w:p>
        </w:tc>
        <w:tc>
          <w:tcPr>
            <w:tcW w:w="702" w:type="pct"/>
            <w:tcBorders>
              <w:top w:val="nil"/>
              <w:left w:val="nil"/>
              <w:bottom w:val="nil"/>
              <w:right w:val="nil"/>
            </w:tcBorders>
            <w:shd w:val="clear" w:color="auto" w:fill="auto"/>
            <w:noWrap/>
            <w:vAlign w:val="center"/>
            <w:hideMark/>
          </w:tcPr>
          <w:p w14:paraId="6F27A1A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77</w:t>
            </w:r>
          </w:p>
        </w:tc>
        <w:tc>
          <w:tcPr>
            <w:tcW w:w="630" w:type="pct"/>
            <w:tcBorders>
              <w:top w:val="nil"/>
              <w:left w:val="nil"/>
              <w:bottom w:val="nil"/>
              <w:right w:val="nil"/>
            </w:tcBorders>
            <w:shd w:val="clear" w:color="auto" w:fill="auto"/>
            <w:noWrap/>
            <w:vAlign w:val="center"/>
            <w:hideMark/>
          </w:tcPr>
          <w:p w14:paraId="5E714DE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w:t>
            </w:r>
          </w:p>
        </w:tc>
        <w:tc>
          <w:tcPr>
            <w:tcW w:w="615" w:type="pct"/>
            <w:tcBorders>
              <w:top w:val="nil"/>
              <w:left w:val="nil"/>
              <w:bottom w:val="nil"/>
              <w:right w:val="nil"/>
            </w:tcBorders>
            <w:shd w:val="clear" w:color="auto" w:fill="auto"/>
            <w:noWrap/>
            <w:vAlign w:val="center"/>
            <w:hideMark/>
          </w:tcPr>
          <w:p w14:paraId="3BC730E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w:t>
            </w:r>
          </w:p>
        </w:tc>
        <w:tc>
          <w:tcPr>
            <w:tcW w:w="401" w:type="pct"/>
            <w:tcBorders>
              <w:top w:val="nil"/>
              <w:left w:val="nil"/>
              <w:bottom w:val="nil"/>
              <w:right w:val="nil"/>
            </w:tcBorders>
            <w:shd w:val="clear" w:color="auto" w:fill="auto"/>
            <w:noWrap/>
            <w:vAlign w:val="center"/>
            <w:hideMark/>
          </w:tcPr>
          <w:p w14:paraId="63AAC88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88</w:t>
            </w:r>
          </w:p>
        </w:tc>
      </w:tr>
      <w:tr w:rsidR="00A11D2E" w:rsidRPr="00AD3B35" w14:paraId="4B23AE3C" w14:textId="77777777" w:rsidTr="00960BB8">
        <w:trPr>
          <w:trHeight w:val="360"/>
        </w:trPr>
        <w:tc>
          <w:tcPr>
            <w:tcW w:w="822" w:type="pct"/>
            <w:tcBorders>
              <w:top w:val="nil"/>
              <w:left w:val="nil"/>
              <w:bottom w:val="nil"/>
              <w:right w:val="nil"/>
            </w:tcBorders>
            <w:shd w:val="clear" w:color="auto" w:fill="auto"/>
            <w:noWrap/>
            <w:vAlign w:val="center"/>
            <w:hideMark/>
          </w:tcPr>
          <w:p w14:paraId="195E474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New</w:t>
            </w:r>
          </w:p>
        </w:tc>
        <w:tc>
          <w:tcPr>
            <w:tcW w:w="513" w:type="pct"/>
            <w:tcBorders>
              <w:top w:val="nil"/>
              <w:left w:val="nil"/>
              <w:bottom w:val="nil"/>
              <w:right w:val="nil"/>
            </w:tcBorders>
            <w:shd w:val="clear" w:color="auto" w:fill="auto"/>
            <w:noWrap/>
            <w:vAlign w:val="center"/>
            <w:hideMark/>
          </w:tcPr>
          <w:p w14:paraId="50E1792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17</w:t>
            </w:r>
          </w:p>
        </w:tc>
        <w:tc>
          <w:tcPr>
            <w:tcW w:w="645" w:type="pct"/>
            <w:tcBorders>
              <w:top w:val="nil"/>
              <w:left w:val="nil"/>
              <w:bottom w:val="nil"/>
              <w:right w:val="nil"/>
            </w:tcBorders>
            <w:shd w:val="clear" w:color="auto" w:fill="auto"/>
            <w:noWrap/>
            <w:vAlign w:val="center"/>
            <w:hideMark/>
          </w:tcPr>
          <w:p w14:paraId="74F2ECB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2670373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702" w:type="pct"/>
            <w:tcBorders>
              <w:top w:val="nil"/>
              <w:left w:val="nil"/>
              <w:bottom w:val="nil"/>
              <w:right w:val="nil"/>
            </w:tcBorders>
            <w:shd w:val="clear" w:color="auto" w:fill="auto"/>
            <w:noWrap/>
            <w:vAlign w:val="center"/>
            <w:hideMark/>
          </w:tcPr>
          <w:p w14:paraId="3A033A3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12</w:t>
            </w:r>
          </w:p>
        </w:tc>
        <w:tc>
          <w:tcPr>
            <w:tcW w:w="630" w:type="pct"/>
            <w:tcBorders>
              <w:top w:val="nil"/>
              <w:left w:val="nil"/>
              <w:bottom w:val="nil"/>
              <w:right w:val="nil"/>
            </w:tcBorders>
            <w:shd w:val="clear" w:color="auto" w:fill="auto"/>
            <w:noWrap/>
            <w:vAlign w:val="center"/>
            <w:hideMark/>
          </w:tcPr>
          <w:p w14:paraId="28DDCFF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607EF03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29</w:t>
            </w:r>
          </w:p>
        </w:tc>
        <w:tc>
          <w:tcPr>
            <w:tcW w:w="401" w:type="pct"/>
            <w:tcBorders>
              <w:top w:val="nil"/>
              <w:left w:val="nil"/>
              <w:bottom w:val="nil"/>
              <w:right w:val="nil"/>
            </w:tcBorders>
            <w:shd w:val="clear" w:color="auto" w:fill="auto"/>
            <w:noWrap/>
            <w:vAlign w:val="center"/>
            <w:hideMark/>
          </w:tcPr>
          <w:p w14:paraId="00D3745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71</w:t>
            </w:r>
          </w:p>
        </w:tc>
      </w:tr>
      <w:tr w:rsidR="00A11D2E" w:rsidRPr="00AD3B35" w14:paraId="20ED4B0B" w14:textId="77777777" w:rsidTr="00960BB8">
        <w:trPr>
          <w:trHeight w:val="360"/>
        </w:trPr>
        <w:tc>
          <w:tcPr>
            <w:tcW w:w="822" w:type="pct"/>
            <w:tcBorders>
              <w:top w:val="nil"/>
              <w:left w:val="nil"/>
              <w:bottom w:val="nil"/>
              <w:right w:val="nil"/>
            </w:tcBorders>
            <w:shd w:val="clear" w:color="auto" w:fill="auto"/>
            <w:noWrap/>
            <w:vAlign w:val="center"/>
            <w:hideMark/>
          </w:tcPr>
          <w:p w14:paraId="32E01235"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Potomac</w:t>
            </w:r>
          </w:p>
        </w:tc>
        <w:tc>
          <w:tcPr>
            <w:tcW w:w="513" w:type="pct"/>
            <w:tcBorders>
              <w:top w:val="nil"/>
              <w:left w:val="nil"/>
              <w:bottom w:val="nil"/>
              <w:right w:val="nil"/>
            </w:tcBorders>
            <w:shd w:val="clear" w:color="auto" w:fill="auto"/>
            <w:noWrap/>
            <w:vAlign w:val="center"/>
            <w:hideMark/>
          </w:tcPr>
          <w:p w14:paraId="59275B7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44</w:t>
            </w:r>
          </w:p>
        </w:tc>
        <w:tc>
          <w:tcPr>
            <w:tcW w:w="645" w:type="pct"/>
            <w:tcBorders>
              <w:top w:val="nil"/>
              <w:left w:val="nil"/>
              <w:bottom w:val="nil"/>
              <w:right w:val="nil"/>
            </w:tcBorders>
            <w:shd w:val="clear" w:color="auto" w:fill="auto"/>
            <w:noWrap/>
            <w:vAlign w:val="center"/>
            <w:hideMark/>
          </w:tcPr>
          <w:p w14:paraId="55ECA06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71D23D6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298B464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43</w:t>
            </w:r>
          </w:p>
        </w:tc>
        <w:tc>
          <w:tcPr>
            <w:tcW w:w="630" w:type="pct"/>
            <w:tcBorders>
              <w:top w:val="nil"/>
              <w:left w:val="nil"/>
              <w:bottom w:val="nil"/>
              <w:right w:val="nil"/>
            </w:tcBorders>
            <w:shd w:val="clear" w:color="auto" w:fill="auto"/>
            <w:noWrap/>
            <w:vAlign w:val="center"/>
            <w:hideMark/>
          </w:tcPr>
          <w:p w14:paraId="5F14F1B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418A732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401" w:type="pct"/>
            <w:tcBorders>
              <w:top w:val="nil"/>
              <w:left w:val="nil"/>
              <w:bottom w:val="nil"/>
              <w:right w:val="nil"/>
            </w:tcBorders>
            <w:shd w:val="clear" w:color="auto" w:fill="auto"/>
            <w:noWrap/>
            <w:vAlign w:val="center"/>
            <w:hideMark/>
          </w:tcPr>
          <w:p w14:paraId="77700E9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98</w:t>
            </w:r>
          </w:p>
        </w:tc>
      </w:tr>
      <w:tr w:rsidR="00A11D2E" w:rsidRPr="00AD3B35" w14:paraId="23B9E989" w14:textId="77777777" w:rsidTr="00960BB8">
        <w:trPr>
          <w:trHeight w:val="360"/>
        </w:trPr>
        <w:tc>
          <w:tcPr>
            <w:tcW w:w="822" w:type="pct"/>
            <w:tcBorders>
              <w:top w:val="nil"/>
              <w:left w:val="nil"/>
              <w:bottom w:val="nil"/>
              <w:right w:val="nil"/>
            </w:tcBorders>
            <w:shd w:val="clear" w:color="auto" w:fill="auto"/>
            <w:noWrap/>
            <w:vAlign w:val="center"/>
            <w:hideMark/>
          </w:tcPr>
          <w:p w14:paraId="4A64ACD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Rappahannock</w:t>
            </w:r>
          </w:p>
        </w:tc>
        <w:tc>
          <w:tcPr>
            <w:tcW w:w="513" w:type="pct"/>
            <w:tcBorders>
              <w:top w:val="nil"/>
              <w:left w:val="nil"/>
              <w:bottom w:val="nil"/>
              <w:right w:val="nil"/>
            </w:tcBorders>
            <w:shd w:val="clear" w:color="auto" w:fill="auto"/>
            <w:noWrap/>
            <w:vAlign w:val="center"/>
            <w:hideMark/>
          </w:tcPr>
          <w:p w14:paraId="13480875"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38</w:t>
            </w:r>
          </w:p>
        </w:tc>
        <w:tc>
          <w:tcPr>
            <w:tcW w:w="645" w:type="pct"/>
            <w:tcBorders>
              <w:top w:val="nil"/>
              <w:left w:val="nil"/>
              <w:bottom w:val="nil"/>
              <w:right w:val="nil"/>
            </w:tcBorders>
            <w:shd w:val="clear" w:color="auto" w:fill="auto"/>
            <w:noWrap/>
            <w:vAlign w:val="center"/>
            <w:hideMark/>
          </w:tcPr>
          <w:p w14:paraId="4D791B2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3A12F51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04524CD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37</w:t>
            </w:r>
          </w:p>
        </w:tc>
        <w:tc>
          <w:tcPr>
            <w:tcW w:w="630" w:type="pct"/>
            <w:tcBorders>
              <w:top w:val="nil"/>
              <w:left w:val="nil"/>
              <w:bottom w:val="nil"/>
              <w:right w:val="nil"/>
            </w:tcBorders>
            <w:shd w:val="clear" w:color="auto" w:fill="auto"/>
            <w:noWrap/>
            <w:vAlign w:val="center"/>
            <w:hideMark/>
          </w:tcPr>
          <w:p w14:paraId="645B0F9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1471661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401" w:type="pct"/>
            <w:tcBorders>
              <w:top w:val="nil"/>
              <w:left w:val="nil"/>
              <w:bottom w:val="nil"/>
              <w:right w:val="nil"/>
            </w:tcBorders>
            <w:shd w:val="clear" w:color="auto" w:fill="auto"/>
            <w:noWrap/>
            <w:vAlign w:val="center"/>
            <w:hideMark/>
          </w:tcPr>
          <w:p w14:paraId="5D65C16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97</w:t>
            </w:r>
          </w:p>
        </w:tc>
      </w:tr>
      <w:tr w:rsidR="00A11D2E" w:rsidRPr="00AD3B35" w14:paraId="64F1D3D2" w14:textId="77777777" w:rsidTr="00960BB8">
        <w:trPr>
          <w:trHeight w:val="360"/>
        </w:trPr>
        <w:tc>
          <w:tcPr>
            <w:tcW w:w="822" w:type="pct"/>
            <w:tcBorders>
              <w:top w:val="nil"/>
              <w:left w:val="nil"/>
              <w:bottom w:val="nil"/>
              <w:right w:val="nil"/>
            </w:tcBorders>
            <w:shd w:val="clear" w:color="auto" w:fill="auto"/>
            <w:noWrap/>
            <w:vAlign w:val="center"/>
            <w:hideMark/>
          </w:tcPr>
          <w:p w14:paraId="2E40E112"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Roanoke</w:t>
            </w:r>
          </w:p>
        </w:tc>
        <w:tc>
          <w:tcPr>
            <w:tcW w:w="513" w:type="pct"/>
            <w:tcBorders>
              <w:top w:val="nil"/>
              <w:left w:val="nil"/>
              <w:bottom w:val="nil"/>
              <w:right w:val="nil"/>
            </w:tcBorders>
            <w:shd w:val="clear" w:color="auto" w:fill="auto"/>
            <w:noWrap/>
            <w:vAlign w:val="center"/>
            <w:hideMark/>
          </w:tcPr>
          <w:p w14:paraId="0A07412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55</w:t>
            </w:r>
          </w:p>
        </w:tc>
        <w:tc>
          <w:tcPr>
            <w:tcW w:w="645" w:type="pct"/>
            <w:tcBorders>
              <w:top w:val="nil"/>
              <w:left w:val="nil"/>
              <w:bottom w:val="nil"/>
              <w:right w:val="nil"/>
            </w:tcBorders>
            <w:shd w:val="clear" w:color="auto" w:fill="auto"/>
            <w:noWrap/>
            <w:vAlign w:val="center"/>
            <w:hideMark/>
          </w:tcPr>
          <w:p w14:paraId="535AAE2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671" w:type="pct"/>
            <w:tcBorders>
              <w:top w:val="nil"/>
              <w:left w:val="nil"/>
              <w:bottom w:val="nil"/>
              <w:right w:val="nil"/>
            </w:tcBorders>
            <w:shd w:val="clear" w:color="auto" w:fill="auto"/>
            <w:noWrap/>
            <w:vAlign w:val="center"/>
            <w:hideMark/>
          </w:tcPr>
          <w:p w14:paraId="58D7470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702" w:type="pct"/>
            <w:tcBorders>
              <w:top w:val="nil"/>
              <w:left w:val="nil"/>
              <w:bottom w:val="nil"/>
              <w:right w:val="nil"/>
            </w:tcBorders>
            <w:shd w:val="clear" w:color="auto" w:fill="auto"/>
            <w:noWrap/>
            <w:vAlign w:val="center"/>
            <w:hideMark/>
          </w:tcPr>
          <w:p w14:paraId="55CDFC3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51</w:t>
            </w:r>
          </w:p>
        </w:tc>
        <w:tc>
          <w:tcPr>
            <w:tcW w:w="630" w:type="pct"/>
            <w:tcBorders>
              <w:top w:val="nil"/>
              <w:left w:val="nil"/>
              <w:bottom w:val="nil"/>
              <w:right w:val="nil"/>
            </w:tcBorders>
            <w:shd w:val="clear" w:color="auto" w:fill="auto"/>
            <w:noWrap/>
            <w:vAlign w:val="center"/>
            <w:hideMark/>
          </w:tcPr>
          <w:p w14:paraId="5A50B34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w:t>
            </w:r>
          </w:p>
        </w:tc>
        <w:tc>
          <w:tcPr>
            <w:tcW w:w="615" w:type="pct"/>
            <w:tcBorders>
              <w:top w:val="nil"/>
              <w:left w:val="nil"/>
              <w:bottom w:val="nil"/>
              <w:right w:val="nil"/>
            </w:tcBorders>
            <w:shd w:val="clear" w:color="auto" w:fill="auto"/>
            <w:noWrap/>
            <w:vAlign w:val="center"/>
            <w:hideMark/>
          </w:tcPr>
          <w:p w14:paraId="64FB601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w:t>
            </w:r>
          </w:p>
        </w:tc>
        <w:tc>
          <w:tcPr>
            <w:tcW w:w="401" w:type="pct"/>
            <w:tcBorders>
              <w:top w:val="nil"/>
              <w:left w:val="nil"/>
              <w:bottom w:val="nil"/>
              <w:right w:val="nil"/>
            </w:tcBorders>
            <w:shd w:val="clear" w:color="auto" w:fill="auto"/>
            <w:noWrap/>
            <w:vAlign w:val="center"/>
            <w:hideMark/>
          </w:tcPr>
          <w:p w14:paraId="1AA271B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93</w:t>
            </w:r>
          </w:p>
        </w:tc>
      </w:tr>
      <w:tr w:rsidR="00A11D2E" w:rsidRPr="00AD3B35" w14:paraId="5FA1AE14" w14:textId="77777777" w:rsidTr="00960BB8">
        <w:trPr>
          <w:trHeight w:val="360"/>
        </w:trPr>
        <w:tc>
          <w:tcPr>
            <w:tcW w:w="822" w:type="pct"/>
            <w:tcBorders>
              <w:top w:val="nil"/>
              <w:left w:val="nil"/>
              <w:bottom w:val="nil"/>
              <w:right w:val="nil"/>
            </w:tcBorders>
            <w:shd w:val="clear" w:color="auto" w:fill="auto"/>
            <w:noWrap/>
            <w:vAlign w:val="center"/>
            <w:hideMark/>
          </w:tcPr>
          <w:p w14:paraId="2C5804A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Shenandoah</w:t>
            </w:r>
          </w:p>
        </w:tc>
        <w:tc>
          <w:tcPr>
            <w:tcW w:w="513" w:type="pct"/>
            <w:tcBorders>
              <w:top w:val="nil"/>
              <w:left w:val="nil"/>
              <w:bottom w:val="nil"/>
              <w:right w:val="nil"/>
            </w:tcBorders>
            <w:shd w:val="clear" w:color="auto" w:fill="auto"/>
            <w:noWrap/>
            <w:vAlign w:val="center"/>
            <w:hideMark/>
          </w:tcPr>
          <w:p w14:paraId="47B7E4B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17</w:t>
            </w:r>
          </w:p>
        </w:tc>
        <w:tc>
          <w:tcPr>
            <w:tcW w:w="645" w:type="pct"/>
            <w:tcBorders>
              <w:top w:val="nil"/>
              <w:left w:val="nil"/>
              <w:bottom w:val="nil"/>
              <w:right w:val="nil"/>
            </w:tcBorders>
            <w:shd w:val="clear" w:color="auto" w:fill="auto"/>
            <w:noWrap/>
            <w:vAlign w:val="center"/>
            <w:hideMark/>
          </w:tcPr>
          <w:p w14:paraId="74CF37F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4CA2207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02C4889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16</w:t>
            </w:r>
          </w:p>
        </w:tc>
        <w:tc>
          <w:tcPr>
            <w:tcW w:w="630" w:type="pct"/>
            <w:tcBorders>
              <w:top w:val="nil"/>
              <w:left w:val="nil"/>
              <w:bottom w:val="nil"/>
              <w:right w:val="nil"/>
            </w:tcBorders>
            <w:shd w:val="clear" w:color="auto" w:fill="auto"/>
            <w:noWrap/>
            <w:vAlign w:val="center"/>
            <w:hideMark/>
          </w:tcPr>
          <w:p w14:paraId="48B9D3E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1C02980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w:t>
            </w:r>
          </w:p>
        </w:tc>
        <w:tc>
          <w:tcPr>
            <w:tcW w:w="401" w:type="pct"/>
            <w:tcBorders>
              <w:top w:val="nil"/>
              <w:left w:val="nil"/>
              <w:bottom w:val="nil"/>
              <w:right w:val="nil"/>
            </w:tcBorders>
            <w:shd w:val="clear" w:color="auto" w:fill="auto"/>
            <w:noWrap/>
            <w:vAlign w:val="center"/>
            <w:hideMark/>
          </w:tcPr>
          <w:p w14:paraId="2A8F89A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94</w:t>
            </w:r>
          </w:p>
        </w:tc>
      </w:tr>
      <w:tr w:rsidR="00A11D2E" w:rsidRPr="00AD3B35" w14:paraId="0A97A7D5" w14:textId="77777777" w:rsidTr="00960BB8">
        <w:trPr>
          <w:trHeight w:val="360"/>
        </w:trPr>
        <w:tc>
          <w:tcPr>
            <w:tcW w:w="822" w:type="pct"/>
            <w:tcBorders>
              <w:top w:val="nil"/>
              <w:left w:val="nil"/>
              <w:right w:val="nil"/>
            </w:tcBorders>
            <w:shd w:val="clear" w:color="auto" w:fill="auto"/>
            <w:noWrap/>
            <w:vAlign w:val="center"/>
            <w:hideMark/>
          </w:tcPr>
          <w:p w14:paraId="58A0153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Tennessee</w:t>
            </w:r>
          </w:p>
        </w:tc>
        <w:tc>
          <w:tcPr>
            <w:tcW w:w="513" w:type="pct"/>
            <w:tcBorders>
              <w:top w:val="nil"/>
              <w:left w:val="nil"/>
              <w:right w:val="nil"/>
            </w:tcBorders>
            <w:shd w:val="clear" w:color="auto" w:fill="auto"/>
            <w:noWrap/>
            <w:vAlign w:val="center"/>
            <w:hideMark/>
          </w:tcPr>
          <w:p w14:paraId="105C05E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20</w:t>
            </w:r>
          </w:p>
        </w:tc>
        <w:tc>
          <w:tcPr>
            <w:tcW w:w="645" w:type="pct"/>
            <w:tcBorders>
              <w:top w:val="nil"/>
              <w:left w:val="nil"/>
              <w:right w:val="nil"/>
            </w:tcBorders>
            <w:shd w:val="clear" w:color="auto" w:fill="auto"/>
            <w:noWrap/>
            <w:vAlign w:val="center"/>
            <w:hideMark/>
          </w:tcPr>
          <w:p w14:paraId="355A431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671" w:type="pct"/>
            <w:tcBorders>
              <w:top w:val="nil"/>
              <w:left w:val="nil"/>
              <w:right w:val="nil"/>
            </w:tcBorders>
            <w:shd w:val="clear" w:color="auto" w:fill="auto"/>
            <w:noWrap/>
            <w:vAlign w:val="center"/>
            <w:hideMark/>
          </w:tcPr>
          <w:p w14:paraId="62CD4FC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right w:val="nil"/>
            </w:tcBorders>
            <w:shd w:val="clear" w:color="auto" w:fill="auto"/>
            <w:noWrap/>
            <w:vAlign w:val="center"/>
            <w:hideMark/>
          </w:tcPr>
          <w:p w14:paraId="79797CF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18</w:t>
            </w:r>
          </w:p>
        </w:tc>
        <w:tc>
          <w:tcPr>
            <w:tcW w:w="630" w:type="pct"/>
            <w:tcBorders>
              <w:top w:val="nil"/>
              <w:left w:val="nil"/>
              <w:right w:val="nil"/>
            </w:tcBorders>
            <w:shd w:val="clear" w:color="auto" w:fill="auto"/>
            <w:noWrap/>
            <w:vAlign w:val="center"/>
            <w:hideMark/>
          </w:tcPr>
          <w:p w14:paraId="44BD335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615" w:type="pct"/>
            <w:tcBorders>
              <w:top w:val="nil"/>
              <w:left w:val="nil"/>
              <w:right w:val="nil"/>
            </w:tcBorders>
            <w:shd w:val="clear" w:color="auto" w:fill="auto"/>
            <w:noWrap/>
            <w:vAlign w:val="center"/>
            <w:hideMark/>
          </w:tcPr>
          <w:p w14:paraId="2966FE8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401" w:type="pct"/>
            <w:tcBorders>
              <w:top w:val="nil"/>
              <w:left w:val="nil"/>
              <w:right w:val="nil"/>
            </w:tcBorders>
            <w:shd w:val="clear" w:color="auto" w:fill="auto"/>
            <w:noWrap/>
            <w:vAlign w:val="center"/>
            <w:hideMark/>
          </w:tcPr>
          <w:p w14:paraId="6F40235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90</w:t>
            </w:r>
          </w:p>
        </w:tc>
      </w:tr>
      <w:tr w:rsidR="00A11D2E" w:rsidRPr="00AD3B35" w14:paraId="11A8B58F" w14:textId="77777777" w:rsidTr="00960BB8">
        <w:trPr>
          <w:trHeight w:val="360"/>
        </w:trPr>
        <w:tc>
          <w:tcPr>
            <w:tcW w:w="822" w:type="pct"/>
            <w:tcBorders>
              <w:top w:val="nil"/>
              <w:left w:val="nil"/>
              <w:bottom w:val="single" w:sz="12" w:space="0" w:color="auto"/>
              <w:right w:val="nil"/>
            </w:tcBorders>
            <w:shd w:val="clear" w:color="auto" w:fill="auto"/>
            <w:noWrap/>
            <w:vAlign w:val="center"/>
            <w:hideMark/>
          </w:tcPr>
          <w:p w14:paraId="770E3BE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York</w:t>
            </w:r>
          </w:p>
        </w:tc>
        <w:tc>
          <w:tcPr>
            <w:tcW w:w="513" w:type="pct"/>
            <w:tcBorders>
              <w:top w:val="nil"/>
              <w:left w:val="nil"/>
              <w:bottom w:val="single" w:sz="12" w:space="0" w:color="auto"/>
              <w:right w:val="nil"/>
            </w:tcBorders>
            <w:shd w:val="clear" w:color="auto" w:fill="auto"/>
            <w:noWrap/>
            <w:vAlign w:val="center"/>
            <w:hideMark/>
          </w:tcPr>
          <w:p w14:paraId="781D804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41</w:t>
            </w:r>
          </w:p>
        </w:tc>
        <w:tc>
          <w:tcPr>
            <w:tcW w:w="645" w:type="pct"/>
            <w:tcBorders>
              <w:top w:val="nil"/>
              <w:left w:val="nil"/>
              <w:bottom w:val="single" w:sz="12" w:space="0" w:color="auto"/>
              <w:right w:val="nil"/>
            </w:tcBorders>
            <w:shd w:val="clear" w:color="auto" w:fill="auto"/>
            <w:noWrap/>
            <w:vAlign w:val="center"/>
            <w:hideMark/>
          </w:tcPr>
          <w:p w14:paraId="1ECF492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671" w:type="pct"/>
            <w:tcBorders>
              <w:top w:val="nil"/>
              <w:left w:val="nil"/>
              <w:bottom w:val="single" w:sz="12" w:space="0" w:color="auto"/>
              <w:right w:val="nil"/>
            </w:tcBorders>
            <w:shd w:val="clear" w:color="auto" w:fill="auto"/>
            <w:noWrap/>
            <w:vAlign w:val="center"/>
            <w:hideMark/>
          </w:tcPr>
          <w:p w14:paraId="11367F3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702" w:type="pct"/>
            <w:tcBorders>
              <w:top w:val="nil"/>
              <w:left w:val="nil"/>
              <w:bottom w:val="single" w:sz="12" w:space="0" w:color="auto"/>
              <w:right w:val="nil"/>
            </w:tcBorders>
            <w:shd w:val="clear" w:color="auto" w:fill="auto"/>
            <w:noWrap/>
            <w:vAlign w:val="center"/>
            <w:hideMark/>
          </w:tcPr>
          <w:p w14:paraId="72BC1CB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38</w:t>
            </w:r>
          </w:p>
        </w:tc>
        <w:tc>
          <w:tcPr>
            <w:tcW w:w="630" w:type="pct"/>
            <w:tcBorders>
              <w:top w:val="nil"/>
              <w:left w:val="nil"/>
              <w:bottom w:val="single" w:sz="12" w:space="0" w:color="auto"/>
              <w:right w:val="nil"/>
            </w:tcBorders>
            <w:shd w:val="clear" w:color="auto" w:fill="auto"/>
            <w:noWrap/>
            <w:vAlign w:val="center"/>
            <w:hideMark/>
          </w:tcPr>
          <w:p w14:paraId="35A6F60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615" w:type="pct"/>
            <w:tcBorders>
              <w:top w:val="nil"/>
              <w:left w:val="nil"/>
              <w:bottom w:val="single" w:sz="12" w:space="0" w:color="auto"/>
              <w:right w:val="nil"/>
            </w:tcBorders>
            <w:shd w:val="clear" w:color="auto" w:fill="auto"/>
            <w:noWrap/>
            <w:vAlign w:val="center"/>
            <w:hideMark/>
          </w:tcPr>
          <w:p w14:paraId="6139E22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401" w:type="pct"/>
            <w:tcBorders>
              <w:top w:val="nil"/>
              <w:left w:val="nil"/>
              <w:bottom w:val="single" w:sz="12" w:space="0" w:color="auto"/>
              <w:right w:val="nil"/>
            </w:tcBorders>
            <w:shd w:val="clear" w:color="auto" w:fill="auto"/>
            <w:noWrap/>
            <w:vAlign w:val="center"/>
            <w:hideMark/>
          </w:tcPr>
          <w:p w14:paraId="04A6E4E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93</w:t>
            </w:r>
          </w:p>
        </w:tc>
      </w:tr>
    </w:tbl>
    <w:p w14:paraId="59991B1A" w14:textId="77777777" w:rsidR="00A11D2E" w:rsidRPr="00AD3B35" w:rsidRDefault="00A11D2E" w:rsidP="00A11D2E">
      <w:pPr>
        <w:rPr>
          <w:rFonts w:cstheme="minorHAnsi"/>
          <w:b/>
          <w:bCs/>
        </w:rPr>
      </w:pPr>
    </w:p>
    <w:p w14:paraId="6A9DFAF2" w14:textId="747AC134" w:rsidR="00960BB8" w:rsidRPr="00960BB8" w:rsidRDefault="00960BB8" w:rsidP="00960BB8">
      <w:pPr>
        <w:pStyle w:val="Caption"/>
        <w:keepNext/>
      </w:pPr>
      <w:bookmarkStart w:id="361" w:name="_Toc164175233"/>
      <w:r w:rsidRPr="00960BB8">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12</w:t>
      </w:r>
      <w:r w:rsidR="004F13BA">
        <w:rPr>
          <w:noProof/>
        </w:rPr>
        <w:fldChar w:fldCharType="end"/>
      </w:r>
      <w:r w:rsidRPr="00960BB8">
        <w:t>.</w:t>
      </w:r>
      <w:r w:rsidRPr="00960BB8">
        <w:rPr>
          <w:rFonts w:cstheme="minorHAnsi"/>
        </w:rPr>
        <w:t xml:space="preserve"> Enterococci trends by basin</w:t>
      </w:r>
      <w:r w:rsidR="00A050F3">
        <w:rPr>
          <w:rFonts w:cstheme="minorHAnsi"/>
        </w:rPr>
        <w:t>, 2003 through 2022.</w:t>
      </w:r>
      <w:bookmarkEnd w:id="361"/>
    </w:p>
    <w:tbl>
      <w:tblPr>
        <w:tblW w:w="5000" w:type="pct"/>
        <w:tblLook w:val="04A0" w:firstRow="1" w:lastRow="0" w:firstColumn="1" w:lastColumn="0" w:noHBand="0" w:noVBand="1"/>
        <w:tblCaption w:val="Table of Enterococci trends by basin."/>
        <w:tblDescription w:val="Enterococci trends by basin."/>
      </w:tblPr>
      <w:tblGrid>
        <w:gridCol w:w="1540"/>
        <w:gridCol w:w="960"/>
        <w:gridCol w:w="1207"/>
        <w:gridCol w:w="1256"/>
        <w:gridCol w:w="1314"/>
        <w:gridCol w:w="1181"/>
        <w:gridCol w:w="1151"/>
        <w:gridCol w:w="751"/>
      </w:tblGrid>
      <w:tr w:rsidR="00A11D2E" w:rsidRPr="00AD3B35" w14:paraId="1DCA64CC" w14:textId="77777777" w:rsidTr="00960BB8">
        <w:trPr>
          <w:trHeight w:val="1035"/>
        </w:trPr>
        <w:tc>
          <w:tcPr>
            <w:tcW w:w="822" w:type="pct"/>
            <w:tcBorders>
              <w:top w:val="single" w:sz="12" w:space="0" w:color="auto"/>
              <w:left w:val="nil"/>
              <w:bottom w:val="single" w:sz="8" w:space="0" w:color="auto"/>
              <w:right w:val="nil"/>
            </w:tcBorders>
            <w:shd w:val="clear" w:color="auto" w:fill="auto"/>
            <w:vAlign w:val="center"/>
            <w:hideMark/>
          </w:tcPr>
          <w:p w14:paraId="750DE848" w14:textId="77777777" w:rsidR="00A11D2E" w:rsidRPr="00997684" w:rsidRDefault="00A11D2E">
            <w:pPr>
              <w:widowControl/>
              <w:jc w:val="center"/>
              <w:rPr>
                <w:rFonts w:cstheme="minorHAnsi"/>
                <w:b/>
                <w:bCs/>
                <w:snapToGrid/>
                <w:sz w:val="22"/>
                <w:szCs w:val="22"/>
              </w:rPr>
            </w:pPr>
            <w:r w:rsidRPr="00997684">
              <w:rPr>
                <w:rFonts w:cstheme="minorHAnsi"/>
                <w:b/>
                <w:bCs/>
                <w:sz w:val="22"/>
                <w:szCs w:val="22"/>
              </w:rPr>
              <w:t>Basin</w:t>
            </w:r>
          </w:p>
        </w:tc>
        <w:tc>
          <w:tcPr>
            <w:tcW w:w="513" w:type="pct"/>
            <w:tcBorders>
              <w:top w:val="single" w:sz="12" w:space="0" w:color="auto"/>
              <w:left w:val="nil"/>
              <w:bottom w:val="single" w:sz="8" w:space="0" w:color="auto"/>
              <w:right w:val="nil"/>
            </w:tcBorders>
            <w:shd w:val="clear" w:color="auto" w:fill="auto"/>
            <w:vAlign w:val="center"/>
            <w:hideMark/>
          </w:tcPr>
          <w:p w14:paraId="319509BE" w14:textId="77777777" w:rsidR="00A11D2E" w:rsidRPr="00997684" w:rsidRDefault="00A11D2E">
            <w:pPr>
              <w:jc w:val="center"/>
              <w:rPr>
                <w:rFonts w:cstheme="minorHAnsi"/>
                <w:b/>
                <w:bCs/>
                <w:sz w:val="22"/>
                <w:szCs w:val="22"/>
              </w:rPr>
            </w:pPr>
            <w:r w:rsidRPr="00997684">
              <w:rPr>
                <w:rFonts w:cstheme="minorHAnsi"/>
                <w:b/>
                <w:bCs/>
                <w:sz w:val="22"/>
                <w:szCs w:val="22"/>
              </w:rPr>
              <w:t>Total Stations</w:t>
            </w:r>
          </w:p>
        </w:tc>
        <w:tc>
          <w:tcPr>
            <w:tcW w:w="645" w:type="pct"/>
            <w:tcBorders>
              <w:top w:val="single" w:sz="12" w:space="0" w:color="auto"/>
              <w:left w:val="nil"/>
              <w:bottom w:val="single" w:sz="8" w:space="0" w:color="auto"/>
              <w:right w:val="nil"/>
            </w:tcBorders>
            <w:shd w:val="clear" w:color="auto" w:fill="auto"/>
            <w:vAlign w:val="center"/>
            <w:hideMark/>
          </w:tcPr>
          <w:p w14:paraId="3DA393F7" w14:textId="77777777" w:rsidR="00A11D2E" w:rsidRPr="00997684" w:rsidRDefault="00A11D2E">
            <w:pPr>
              <w:jc w:val="center"/>
              <w:rPr>
                <w:rFonts w:cstheme="minorHAnsi"/>
                <w:b/>
                <w:bCs/>
                <w:sz w:val="22"/>
                <w:szCs w:val="22"/>
              </w:rPr>
            </w:pPr>
            <w:r w:rsidRPr="00997684">
              <w:rPr>
                <w:rFonts w:cstheme="minorHAnsi"/>
                <w:b/>
                <w:bCs/>
                <w:sz w:val="22"/>
                <w:szCs w:val="22"/>
              </w:rPr>
              <w:t>Improving Trend (stations)</w:t>
            </w:r>
          </w:p>
        </w:tc>
        <w:tc>
          <w:tcPr>
            <w:tcW w:w="671" w:type="pct"/>
            <w:tcBorders>
              <w:top w:val="single" w:sz="12" w:space="0" w:color="auto"/>
              <w:left w:val="nil"/>
              <w:bottom w:val="single" w:sz="8" w:space="0" w:color="auto"/>
              <w:right w:val="nil"/>
            </w:tcBorders>
            <w:shd w:val="clear" w:color="auto" w:fill="auto"/>
            <w:vAlign w:val="center"/>
            <w:hideMark/>
          </w:tcPr>
          <w:p w14:paraId="477051AF" w14:textId="77777777" w:rsidR="00A11D2E" w:rsidRPr="00997684" w:rsidRDefault="00A11D2E">
            <w:pPr>
              <w:jc w:val="center"/>
              <w:rPr>
                <w:rFonts w:cstheme="minorHAnsi"/>
                <w:b/>
                <w:bCs/>
                <w:sz w:val="22"/>
                <w:szCs w:val="22"/>
              </w:rPr>
            </w:pPr>
            <w:r w:rsidRPr="00997684">
              <w:rPr>
                <w:rFonts w:cstheme="minorHAnsi"/>
                <w:b/>
                <w:bCs/>
                <w:sz w:val="22"/>
                <w:szCs w:val="22"/>
              </w:rPr>
              <w:t>Degrading Trend (stations)</w:t>
            </w:r>
          </w:p>
        </w:tc>
        <w:tc>
          <w:tcPr>
            <w:tcW w:w="702" w:type="pct"/>
            <w:tcBorders>
              <w:top w:val="single" w:sz="12" w:space="0" w:color="auto"/>
              <w:left w:val="nil"/>
              <w:bottom w:val="single" w:sz="8" w:space="0" w:color="auto"/>
              <w:right w:val="nil"/>
            </w:tcBorders>
            <w:shd w:val="clear" w:color="auto" w:fill="auto"/>
            <w:vAlign w:val="center"/>
            <w:hideMark/>
          </w:tcPr>
          <w:p w14:paraId="3AFA7014" w14:textId="77777777" w:rsidR="00A11D2E" w:rsidRPr="00997684" w:rsidRDefault="00A11D2E">
            <w:pPr>
              <w:jc w:val="center"/>
              <w:rPr>
                <w:rFonts w:cstheme="minorHAnsi"/>
                <w:b/>
                <w:bCs/>
                <w:sz w:val="22"/>
                <w:szCs w:val="22"/>
              </w:rPr>
            </w:pPr>
            <w:r w:rsidRPr="00997684">
              <w:rPr>
                <w:rFonts w:cstheme="minorHAnsi"/>
                <w:b/>
                <w:bCs/>
                <w:sz w:val="22"/>
                <w:szCs w:val="22"/>
              </w:rPr>
              <w:t>No Trend (stations)</w:t>
            </w:r>
          </w:p>
        </w:tc>
        <w:tc>
          <w:tcPr>
            <w:tcW w:w="631" w:type="pct"/>
            <w:tcBorders>
              <w:top w:val="single" w:sz="12" w:space="0" w:color="auto"/>
              <w:left w:val="nil"/>
              <w:bottom w:val="single" w:sz="8" w:space="0" w:color="auto"/>
              <w:right w:val="nil"/>
            </w:tcBorders>
            <w:shd w:val="clear" w:color="auto" w:fill="auto"/>
            <w:vAlign w:val="center"/>
            <w:hideMark/>
          </w:tcPr>
          <w:p w14:paraId="34AA9060" w14:textId="77777777" w:rsidR="00A11D2E" w:rsidRPr="00997684" w:rsidRDefault="00A11D2E">
            <w:pPr>
              <w:jc w:val="center"/>
              <w:rPr>
                <w:rFonts w:cstheme="minorHAnsi"/>
                <w:b/>
                <w:bCs/>
                <w:sz w:val="22"/>
                <w:szCs w:val="22"/>
              </w:rPr>
            </w:pPr>
            <w:r w:rsidRPr="00997684">
              <w:rPr>
                <w:rFonts w:cstheme="minorHAnsi"/>
                <w:b/>
                <w:bCs/>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0E7175F0" w14:textId="77777777" w:rsidR="00A11D2E" w:rsidRPr="00997684" w:rsidRDefault="00A11D2E">
            <w:pPr>
              <w:jc w:val="center"/>
              <w:rPr>
                <w:rFonts w:cstheme="minorHAnsi"/>
                <w:b/>
                <w:bCs/>
                <w:sz w:val="22"/>
                <w:szCs w:val="22"/>
              </w:rPr>
            </w:pPr>
            <w:r w:rsidRPr="00997684">
              <w:rPr>
                <w:rFonts w:cstheme="minorHAnsi"/>
                <w:b/>
                <w:bCs/>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31C64178" w14:textId="77777777" w:rsidR="00A11D2E" w:rsidRPr="00997684" w:rsidRDefault="00A11D2E">
            <w:pPr>
              <w:jc w:val="center"/>
              <w:rPr>
                <w:rFonts w:cstheme="minorHAnsi"/>
                <w:b/>
                <w:bCs/>
                <w:sz w:val="22"/>
                <w:szCs w:val="22"/>
              </w:rPr>
            </w:pPr>
            <w:r w:rsidRPr="00997684">
              <w:rPr>
                <w:rFonts w:cstheme="minorHAnsi"/>
                <w:b/>
                <w:bCs/>
                <w:sz w:val="22"/>
                <w:szCs w:val="22"/>
              </w:rPr>
              <w:t>No Trend (%)</w:t>
            </w:r>
          </w:p>
        </w:tc>
      </w:tr>
      <w:tr w:rsidR="00A11D2E" w:rsidRPr="00AD3B35" w14:paraId="5FC35E73" w14:textId="77777777" w:rsidTr="00960BB8">
        <w:trPr>
          <w:trHeight w:val="360"/>
        </w:trPr>
        <w:tc>
          <w:tcPr>
            <w:tcW w:w="822" w:type="pct"/>
            <w:tcBorders>
              <w:top w:val="nil"/>
              <w:left w:val="nil"/>
              <w:bottom w:val="nil"/>
              <w:right w:val="nil"/>
            </w:tcBorders>
            <w:shd w:val="clear" w:color="auto" w:fill="auto"/>
            <w:noWrap/>
            <w:vAlign w:val="center"/>
            <w:hideMark/>
          </w:tcPr>
          <w:p w14:paraId="7889B588" w14:textId="26DE2DB3" w:rsidR="00A11D2E" w:rsidRPr="00997684" w:rsidRDefault="00A11D2E">
            <w:pPr>
              <w:widowControl/>
              <w:jc w:val="center"/>
              <w:rPr>
                <w:rFonts w:cstheme="minorHAnsi"/>
                <w:bCs/>
                <w:snapToGrid/>
                <w:sz w:val="22"/>
                <w:szCs w:val="22"/>
              </w:rPr>
            </w:pPr>
            <w:r w:rsidRPr="00997684">
              <w:rPr>
                <w:rFonts w:cstheme="minorHAnsi"/>
                <w:snapToGrid/>
                <w:sz w:val="22"/>
                <w:szCs w:val="22"/>
              </w:rPr>
              <w:t>Chesapeake</w:t>
            </w:r>
          </w:p>
        </w:tc>
        <w:tc>
          <w:tcPr>
            <w:tcW w:w="513" w:type="pct"/>
            <w:tcBorders>
              <w:top w:val="nil"/>
              <w:left w:val="nil"/>
              <w:bottom w:val="nil"/>
              <w:right w:val="nil"/>
            </w:tcBorders>
            <w:shd w:val="clear" w:color="auto" w:fill="auto"/>
            <w:noWrap/>
            <w:vAlign w:val="center"/>
            <w:hideMark/>
          </w:tcPr>
          <w:p w14:paraId="560610E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34</w:t>
            </w:r>
          </w:p>
        </w:tc>
        <w:tc>
          <w:tcPr>
            <w:tcW w:w="645" w:type="pct"/>
            <w:tcBorders>
              <w:top w:val="nil"/>
              <w:left w:val="nil"/>
              <w:bottom w:val="nil"/>
              <w:right w:val="nil"/>
            </w:tcBorders>
            <w:shd w:val="clear" w:color="auto" w:fill="auto"/>
            <w:noWrap/>
            <w:vAlign w:val="center"/>
            <w:hideMark/>
          </w:tcPr>
          <w:p w14:paraId="41C42AF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671" w:type="pct"/>
            <w:tcBorders>
              <w:top w:val="nil"/>
              <w:left w:val="nil"/>
              <w:bottom w:val="nil"/>
              <w:right w:val="nil"/>
            </w:tcBorders>
            <w:shd w:val="clear" w:color="auto" w:fill="auto"/>
            <w:noWrap/>
            <w:vAlign w:val="center"/>
            <w:hideMark/>
          </w:tcPr>
          <w:p w14:paraId="1DB0270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09D642B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32</w:t>
            </w:r>
          </w:p>
        </w:tc>
        <w:tc>
          <w:tcPr>
            <w:tcW w:w="631" w:type="pct"/>
            <w:tcBorders>
              <w:top w:val="nil"/>
              <w:left w:val="nil"/>
              <w:bottom w:val="nil"/>
              <w:right w:val="nil"/>
            </w:tcBorders>
            <w:shd w:val="clear" w:color="auto" w:fill="auto"/>
            <w:noWrap/>
            <w:vAlign w:val="center"/>
            <w:hideMark/>
          </w:tcPr>
          <w:p w14:paraId="7BC9192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w:t>
            </w:r>
          </w:p>
        </w:tc>
        <w:tc>
          <w:tcPr>
            <w:tcW w:w="615" w:type="pct"/>
            <w:tcBorders>
              <w:top w:val="nil"/>
              <w:left w:val="nil"/>
              <w:bottom w:val="nil"/>
              <w:right w:val="nil"/>
            </w:tcBorders>
            <w:shd w:val="clear" w:color="auto" w:fill="auto"/>
            <w:noWrap/>
            <w:vAlign w:val="center"/>
            <w:hideMark/>
          </w:tcPr>
          <w:p w14:paraId="6CD7B8E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2ADC480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94</w:t>
            </w:r>
          </w:p>
        </w:tc>
      </w:tr>
      <w:tr w:rsidR="00A11D2E" w:rsidRPr="00AD3B35" w14:paraId="2F222CA7" w14:textId="77777777" w:rsidTr="00960BB8">
        <w:trPr>
          <w:trHeight w:val="360"/>
        </w:trPr>
        <w:tc>
          <w:tcPr>
            <w:tcW w:w="822" w:type="pct"/>
            <w:tcBorders>
              <w:top w:val="nil"/>
              <w:left w:val="nil"/>
              <w:bottom w:val="nil"/>
              <w:right w:val="nil"/>
            </w:tcBorders>
            <w:shd w:val="clear" w:color="auto" w:fill="auto"/>
            <w:noWrap/>
            <w:vAlign w:val="center"/>
            <w:hideMark/>
          </w:tcPr>
          <w:p w14:paraId="650B46E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Chowan</w:t>
            </w:r>
          </w:p>
        </w:tc>
        <w:tc>
          <w:tcPr>
            <w:tcW w:w="513" w:type="pct"/>
            <w:tcBorders>
              <w:top w:val="nil"/>
              <w:left w:val="nil"/>
              <w:bottom w:val="nil"/>
              <w:right w:val="nil"/>
            </w:tcBorders>
            <w:shd w:val="clear" w:color="auto" w:fill="auto"/>
            <w:noWrap/>
            <w:vAlign w:val="center"/>
            <w:hideMark/>
          </w:tcPr>
          <w:p w14:paraId="7CACFA8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52</w:t>
            </w:r>
          </w:p>
        </w:tc>
        <w:tc>
          <w:tcPr>
            <w:tcW w:w="645" w:type="pct"/>
            <w:tcBorders>
              <w:top w:val="nil"/>
              <w:left w:val="nil"/>
              <w:bottom w:val="nil"/>
              <w:right w:val="nil"/>
            </w:tcBorders>
            <w:shd w:val="clear" w:color="auto" w:fill="auto"/>
            <w:noWrap/>
            <w:vAlign w:val="center"/>
            <w:hideMark/>
          </w:tcPr>
          <w:p w14:paraId="1314776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671" w:type="pct"/>
            <w:tcBorders>
              <w:top w:val="nil"/>
              <w:left w:val="nil"/>
              <w:bottom w:val="nil"/>
              <w:right w:val="nil"/>
            </w:tcBorders>
            <w:shd w:val="clear" w:color="auto" w:fill="auto"/>
            <w:noWrap/>
            <w:vAlign w:val="center"/>
            <w:hideMark/>
          </w:tcPr>
          <w:p w14:paraId="1336244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1F1B956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49</w:t>
            </w:r>
          </w:p>
        </w:tc>
        <w:tc>
          <w:tcPr>
            <w:tcW w:w="631" w:type="pct"/>
            <w:tcBorders>
              <w:top w:val="nil"/>
              <w:left w:val="nil"/>
              <w:bottom w:val="nil"/>
              <w:right w:val="nil"/>
            </w:tcBorders>
            <w:shd w:val="clear" w:color="auto" w:fill="auto"/>
            <w:noWrap/>
            <w:vAlign w:val="center"/>
            <w:hideMark/>
          </w:tcPr>
          <w:p w14:paraId="003FA52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w:t>
            </w:r>
          </w:p>
        </w:tc>
        <w:tc>
          <w:tcPr>
            <w:tcW w:w="615" w:type="pct"/>
            <w:tcBorders>
              <w:top w:val="nil"/>
              <w:left w:val="nil"/>
              <w:bottom w:val="nil"/>
              <w:right w:val="nil"/>
            </w:tcBorders>
            <w:shd w:val="clear" w:color="auto" w:fill="auto"/>
            <w:noWrap/>
            <w:vAlign w:val="center"/>
            <w:hideMark/>
          </w:tcPr>
          <w:p w14:paraId="24AF920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7E80D2C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94</w:t>
            </w:r>
          </w:p>
        </w:tc>
      </w:tr>
      <w:tr w:rsidR="00A11D2E" w:rsidRPr="00AD3B35" w14:paraId="3C45B47F" w14:textId="77777777" w:rsidTr="00960BB8">
        <w:trPr>
          <w:trHeight w:val="360"/>
        </w:trPr>
        <w:tc>
          <w:tcPr>
            <w:tcW w:w="822" w:type="pct"/>
            <w:tcBorders>
              <w:top w:val="nil"/>
              <w:left w:val="nil"/>
              <w:bottom w:val="nil"/>
              <w:right w:val="nil"/>
            </w:tcBorders>
            <w:shd w:val="clear" w:color="auto" w:fill="auto"/>
            <w:noWrap/>
            <w:vAlign w:val="center"/>
            <w:hideMark/>
          </w:tcPr>
          <w:p w14:paraId="4D17C3E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James</w:t>
            </w:r>
          </w:p>
        </w:tc>
        <w:tc>
          <w:tcPr>
            <w:tcW w:w="513" w:type="pct"/>
            <w:tcBorders>
              <w:top w:val="nil"/>
              <w:left w:val="nil"/>
              <w:bottom w:val="nil"/>
              <w:right w:val="nil"/>
            </w:tcBorders>
            <w:shd w:val="clear" w:color="auto" w:fill="auto"/>
            <w:noWrap/>
            <w:vAlign w:val="center"/>
            <w:hideMark/>
          </w:tcPr>
          <w:p w14:paraId="23C46352"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86</w:t>
            </w:r>
          </w:p>
        </w:tc>
        <w:tc>
          <w:tcPr>
            <w:tcW w:w="645" w:type="pct"/>
            <w:tcBorders>
              <w:top w:val="nil"/>
              <w:left w:val="nil"/>
              <w:bottom w:val="nil"/>
              <w:right w:val="nil"/>
            </w:tcBorders>
            <w:shd w:val="clear" w:color="auto" w:fill="auto"/>
            <w:noWrap/>
            <w:vAlign w:val="center"/>
            <w:hideMark/>
          </w:tcPr>
          <w:p w14:paraId="4022FCC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10</w:t>
            </w:r>
          </w:p>
        </w:tc>
        <w:tc>
          <w:tcPr>
            <w:tcW w:w="671" w:type="pct"/>
            <w:tcBorders>
              <w:top w:val="nil"/>
              <w:left w:val="nil"/>
              <w:bottom w:val="nil"/>
              <w:right w:val="nil"/>
            </w:tcBorders>
            <w:shd w:val="clear" w:color="auto" w:fill="auto"/>
            <w:noWrap/>
            <w:vAlign w:val="center"/>
            <w:hideMark/>
          </w:tcPr>
          <w:p w14:paraId="194957A2"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2DB3B1C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75</w:t>
            </w:r>
          </w:p>
        </w:tc>
        <w:tc>
          <w:tcPr>
            <w:tcW w:w="631" w:type="pct"/>
            <w:tcBorders>
              <w:top w:val="nil"/>
              <w:left w:val="nil"/>
              <w:bottom w:val="nil"/>
              <w:right w:val="nil"/>
            </w:tcBorders>
            <w:shd w:val="clear" w:color="auto" w:fill="auto"/>
            <w:noWrap/>
            <w:vAlign w:val="center"/>
            <w:hideMark/>
          </w:tcPr>
          <w:p w14:paraId="61B8D80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12</w:t>
            </w:r>
          </w:p>
        </w:tc>
        <w:tc>
          <w:tcPr>
            <w:tcW w:w="615" w:type="pct"/>
            <w:tcBorders>
              <w:top w:val="nil"/>
              <w:left w:val="nil"/>
              <w:bottom w:val="nil"/>
              <w:right w:val="nil"/>
            </w:tcBorders>
            <w:shd w:val="clear" w:color="auto" w:fill="auto"/>
            <w:noWrap/>
            <w:vAlign w:val="center"/>
            <w:hideMark/>
          </w:tcPr>
          <w:p w14:paraId="0B44FE4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401" w:type="pct"/>
            <w:tcBorders>
              <w:top w:val="nil"/>
              <w:left w:val="nil"/>
              <w:bottom w:val="nil"/>
              <w:right w:val="nil"/>
            </w:tcBorders>
            <w:shd w:val="clear" w:color="auto" w:fill="auto"/>
            <w:noWrap/>
            <w:vAlign w:val="center"/>
            <w:hideMark/>
          </w:tcPr>
          <w:p w14:paraId="70DBD34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87</w:t>
            </w:r>
          </w:p>
        </w:tc>
      </w:tr>
      <w:tr w:rsidR="00A11D2E" w:rsidRPr="00AD3B35" w14:paraId="42849875" w14:textId="77777777" w:rsidTr="00960BB8">
        <w:trPr>
          <w:trHeight w:val="360"/>
        </w:trPr>
        <w:tc>
          <w:tcPr>
            <w:tcW w:w="822" w:type="pct"/>
            <w:tcBorders>
              <w:top w:val="nil"/>
              <w:left w:val="nil"/>
              <w:bottom w:val="nil"/>
              <w:right w:val="nil"/>
            </w:tcBorders>
            <w:shd w:val="clear" w:color="auto" w:fill="auto"/>
            <w:noWrap/>
            <w:vAlign w:val="center"/>
            <w:hideMark/>
          </w:tcPr>
          <w:p w14:paraId="592A344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New</w:t>
            </w:r>
          </w:p>
        </w:tc>
        <w:tc>
          <w:tcPr>
            <w:tcW w:w="513" w:type="pct"/>
            <w:tcBorders>
              <w:top w:val="nil"/>
              <w:left w:val="nil"/>
              <w:bottom w:val="nil"/>
              <w:right w:val="nil"/>
            </w:tcBorders>
            <w:shd w:val="clear" w:color="auto" w:fill="auto"/>
            <w:noWrap/>
            <w:vAlign w:val="center"/>
            <w:hideMark/>
          </w:tcPr>
          <w:p w14:paraId="4324F80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12</w:t>
            </w:r>
          </w:p>
        </w:tc>
        <w:tc>
          <w:tcPr>
            <w:tcW w:w="645" w:type="pct"/>
            <w:tcBorders>
              <w:top w:val="nil"/>
              <w:left w:val="nil"/>
              <w:bottom w:val="nil"/>
              <w:right w:val="nil"/>
            </w:tcBorders>
            <w:shd w:val="clear" w:color="auto" w:fill="auto"/>
            <w:noWrap/>
            <w:vAlign w:val="center"/>
            <w:hideMark/>
          </w:tcPr>
          <w:p w14:paraId="7C4B71F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671" w:type="pct"/>
            <w:tcBorders>
              <w:top w:val="nil"/>
              <w:left w:val="nil"/>
              <w:bottom w:val="nil"/>
              <w:right w:val="nil"/>
            </w:tcBorders>
            <w:shd w:val="clear" w:color="auto" w:fill="auto"/>
            <w:noWrap/>
            <w:vAlign w:val="center"/>
            <w:hideMark/>
          </w:tcPr>
          <w:p w14:paraId="755FF9A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7DF87AB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10</w:t>
            </w:r>
          </w:p>
        </w:tc>
        <w:tc>
          <w:tcPr>
            <w:tcW w:w="631" w:type="pct"/>
            <w:tcBorders>
              <w:top w:val="nil"/>
              <w:left w:val="nil"/>
              <w:bottom w:val="nil"/>
              <w:right w:val="nil"/>
            </w:tcBorders>
            <w:shd w:val="clear" w:color="auto" w:fill="auto"/>
            <w:noWrap/>
            <w:vAlign w:val="center"/>
            <w:hideMark/>
          </w:tcPr>
          <w:p w14:paraId="4088A79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w:t>
            </w:r>
          </w:p>
        </w:tc>
        <w:tc>
          <w:tcPr>
            <w:tcW w:w="615" w:type="pct"/>
            <w:tcBorders>
              <w:top w:val="nil"/>
              <w:left w:val="nil"/>
              <w:bottom w:val="nil"/>
              <w:right w:val="nil"/>
            </w:tcBorders>
            <w:shd w:val="clear" w:color="auto" w:fill="auto"/>
            <w:noWrap/>
            <w:vAlign w:val="center"/>
            <w:hideMark/>
          </w:tcPr>
          <w:p w14:paraId="5592B92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w:t>
            </w:r>
          </w:p>
        </w:tc>
        <w:tc>
          <w:tcPr>
            <w:tcW w:w="401" w:type="pct"/>
            <w:tcBorders>
              <w:top w:val="nil"/>
              <w:left w:val="nil"/>
              <w:bottom w:val="nil"/>
              <w:right w:val="nil"/>
            </w:tcBorders>
            <w:shd w:val="clear" w:color="auto" w:fill="auto"/>
            <w:noWrap/>
            <w:vAlign w:val="center"/>
            <w:hideMark/>
          </w:tcPr>
          <w:p w14:paraId="78D5F0D2"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83</w:t>
            </w:r>
          </w:p>
        </w:tc>
      </w:tr>
      <w:tr w:rsidR="00A11D2E" w:rsidRPr="00AD3B35" w14:paraId="7DDFA53D" w14:textId="77777777" w:rsidTr="00960BB8">
        <w:trPr>
          <w:trHeight w:val="360"/>
        </w:trPr>
        <w:tc>
          <w:tcPr>
            <w:tcW w:w="822" w:type="pct"/>
            <w:tcBorders>
              <w:top w:val="nil"/>
              <w:left w:val="nil"/>
              <w:bottom w:val="nil"/>
              <w:right w:val="nil"/>
            </w:tcBorders>
            <w:shd w:val="clear" w:color="auto" w:fill="auto"/>
            <w:noWrap/>
            <w:vAlign w:val="center"/>
            <w:hideMark/>
          </w:tcPr>
          <w:p w14:paraId="73D9973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Potomac</w:t>
            </w:r>
          </w:p>
        </w:tc>
        <w:tc>
          <w:tcPr>
            <w:tcW w:w="513" w:type="pct"/>
            <w:tcBorders>
              <w:top w:val="nil"/>
              <w:left w:val="nil"/>
              <w:bottom w:val="nil"/>
              <w:right w:val="nil"/>
            </w:tcBorders>
            <w:shd w:val="clear" w:color="auto" w:fill="auto"/>
            <w:noWrap/>
            <w:vAlign w:val="center"/>
            <w:hideMark/>
          </w:tcPr>
          <w:p w14:paraId="7D8A3912"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38</w:t>
            </w:r>
          </w:p>
        </w:tc>
        <w:tc>
          <w:tcPr>
            <w:tcW w:w="645" w:type="pct"/>
            <w:tcBorders>
              <w:top w:val="nil"/>
              <w:left w:val="nil"/>
              <w:bottom w:val="nil"/>
              <w:right w:val="nil"/>
            </w:tcBorders>
            <w:shd w:val="clear" w:color="auto" w:fill="auto"/>
            <w:noWrap/>
            <w:vAlign w:val="center"/>
            <w:hideMark/>
          </w:tcPr>
          <w:p w14:paraId="3ABC548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671" w:type="pct"/>
            <w:tcBorders>
              <w:top w:val="nil"/>
              <w:left w:val="nil"/>
              <w:bottom w:val="nil"/>
              <w:right w:val="nil"/>
            </w:tcBorders>
            <w:shd w:val="clear" w:color="auto" w:fill="auto"/>
            <w:noWrap/>
            <w:vAlign w:val="center"/>
            <w:hideMark/>
          </w:tcPr>
          <w:p w14:paraId="6604D6E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62B442E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34</w:t>
            </w:r>
          </w:p>
        </w:tc>
        <w:tc>
          <w:tcPr>
            <w:tcW w:w="631" w:type="pct"/>
            <w:tcBorders>
              <w:top w:val="nil"/>
              <w:left w:val="nil"/>
              <w:bottom w:val="nil"/>
              <w:right w:val="nil"/>
            </w:tcBorders>
            <w:shd w:val="clear" w:color="auto" w:fill="auto"/>
            <w:noWrap/>
            <w:vAlign w:val="center"/>
            <w:hideMark/>
          </w:tcPr>
          <w:p w14:paraId="3877E84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w:t>
            </w:r>
          </w:p>
        </w:tc>
        <w:tc>
          <w:tcPr>
            <w:tcW w:w="615" w:type="pct"/>
            <w:tcBorders>
              <w:top w:val="nil"/>
              <w:left w:val="nil"/>
              <w:bottom w:val="nil"/>
              <w:right w:val="nil"/>
            </w:tcBorders>
            <w:shd w:val="clear" w:color="auto" w:fill="auto"/>
            <w:noWrap/>
            <w:vAlign w:val="center"/>
            <w:hideMark/>
          </w:tcPr>
          <w:p w14:paraId="6B17648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401" w:type="pct"/>
            <w:tcBorders>
              <w:top w:val="nil"/>
              <w:left w:val="nil"/>
              <w:bottom w:val="nil"/>
              <w:right w:val="nil"/>
            </w:tcBorders>
            <w:shd w:val="clear" w:color="auto" w:fill="auto"/>
            <w:noWrap/>
            <w:vAlign w:val="center"/>
            <w:hideMark/>
          </w:tcPr>
          <w:p w14:paraId="7B79773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89</w:t>
            </w:r>
          </w:p>
        </w:tc>
      </w:tr>
      <w:tr w:rsidR="00A11D2E" w:rsidRPr="00AD3B35" w14:paraId="2A5F5A21" w14:textId="77777777" w:rsidTr="00960BB8">
        <w:trPr>
          <w:trHeight w:val="360"/>
        </w:trPr>
        <w:tc>
          <w:tcPr>
            <w:tcW w:w="822" w:type="pct"/>
            <w:tcBorders>
              <w:top w:val="nil"/>
              <w:left w:val="nil"/>
              <w:bottom w:val="nil"/>
              <w:right w:val="nil"/>
            </w:tcBorders>
            <w:shd w:val="clear" w:color="auto" w:fill="auto"/>
            <w:noWrap/>
            <w:vAlign w:val="center"/>
            <w:hideMark/>
          </w:tcPr>
          <w:p w14:paraId="07D305C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Rappahannock</w:t>
            </w:r>
          </w:p>
        </w:tc>
        <w:tc>
          <w:tcPr>
            <w:tcW w:w="513" w:type="pct"/>
            <w:tcBorders>
              <w:top w:val="nil"/>
              <w:left w:val="nil"/>
              <w:bottom w:val="nil"/>
              <w:right w:val="nil"/>
            </w:tcBorders>
            <w:shd w:val="clear" w:color="auto" w:fill="auto"/>
            <w:noWrap/>
            <w:vAlign w:val="center"/>
            <w:hideMark/>
          </w:tcPr>
          <w:p w14:paraId="45917D6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35</w:t>
            </w:r>
          </w:p>
        </w:tc>
        <w:tc>
          <w:tcPr>
            <w:tcW w:w="645" w:type="pct"/>
            <w:tcBorders>
              <w:top w:val="nil"/>
              <w:left w:val="nil"/>
              <w:bottom w:val="nil"/>
              <w:right w:val="nil"/>
            </w:tcBorders>
            <w:shd w:val="clear" w:color="auto" w:fill="auto"/>
            <w:noWrap/>
            <w:vAlign w:val="center"/>
            <w:hideMark/>
          </w:tcPr>
          <w:p w14:paraId="7985D28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w:t>
            </w:r>
          </w:p>
        </w:tc>
        <w:tc>
          <w:tcPr>
            <w:tcW w:w="671" w:type="pct"/>
            <w:tcBorders>
              <w:top w:val="nil"/>
              <w:left w:val="nil"/>
              <w:bottom w:val="nil"/>
              <w:right w:val="nil"/>
            </w:tcBorders>
            <w:shd w:val="clear" w:color="auto" w:fill="auto"/>
            <w:noWrap/>
            <w:vAlign w:val="center"/>
            <w:hideMark/>
          </w:tcPr>
          <w:p w14:paraId="1DE98E22"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23FE7E2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30</w:t>
            </w:r>
          </w:p>
        </w:tc>
        <w:tc>
          <w:tcPr>
            <w:tcW w:w="631" w:type="pct"/>
            <w:tcBorders>
              <w:top w:val="nil"/>
              <w:left w:val="nil"/>
              <w:bottom w:val="nil"/>
              <w:right w:val="nil"/>
            </w:tcBorders>
            <w:shd w:val="clear" w:color="auto" w:fill="auto"/>
            <w:noWrap/>
            <w:vAlign w:val="center"/>
            <w:hideMark/>
          </w:tcPr>
          <w:p w14:paraId="753A62C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11</w:t>
            </w:r>
          </w:p>
        </w:tc>
        <w:tc>
          <w:tcPr>
            <w:tcW w:w="615" w:type="pct"/>
            <w:tcBorders>
              <w:top w:val="nil"/>
              <w:left w:val="nil"/>
              <w:bottom w:val="nil"/>
              <w:right w:val="nil"/>
            </w:tcBorders>
            <w:shd w:val="clear" w:color="auto" w:fill="auto"/>
            <w:noWrap/>
            <w:vAlign w:val="center"/>
            <w:hideMark/>
          </w:tcPr>
          <w:p w14:paraId="5BED3AF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401" w:type="pct"/>
            <w:tcBorders>
              <w:top w:val="nil"/>
              <w:left w:val="nil"/>
              <w:bottom w:val="nil"/>
              <w:right w:val="nil"/>
            </w:tcBorders>
            <w:shd w:val="clear" w:color="auto" w:fill="auto"/>
            <w:noWrap/>
            <w:vAlign w:val="center"/>
            <w:hideMark/>
          </w:tcPr>
          <w:p w14:paraId="36FD317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86</w:t>
            </w:r>
          </w:p>
        </w:tc>
      </w:tr>
      <w:tr w:rsidR="00A11D2E" w:rsidRPr="00AD3B35" w14:paraId="02E5AD47" w14:textId="77777777" w:rsidTr="00960BB8">
        <w:trPr>
          <w:trHeight w:val="360"/>
        </w:trPr>
        <w:tc>
          <w:tcPr>
            <w:tcW w:w="822" w:type="pct"/>
            <w:tcBorders>
              <w:top w:val="nil"/>
              <w:left w:val="nil"/>
              <w:bottom w:val="nil"/>
              <w:right w:val="nil"/>
            </w:tcBorders>
            <w:shd w:val="clear" w:color="auto" w:fill="auto"/>
            <w:noWrap/>
            <w:vAlign w:val="center"/>
            <w:hideMark/>
          </w:tcPr>
          <w:p w14:paraId="27116AC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Roanoke</w:t>
            </w:r>
          </w:p>
        </w:tc>
        <w:tc>
          <w:tcPr>
            <w:tcW w:w="513" w:type="pct"/>
            <w:tcBorders>
              <w:top w:val="nil"/>
              <w:left w:val="nil"/>
              <w:bottom w:val="nil"/>
              <w:right w:val="nil"/>
            </w:tcBorders>
            <w:shd w:val="clear" w:color="auto" w:fill="auto"/>
            <w:noWrap/>
            <w:vAlign w:val="center"/>
            <w:hideMark/>
          </w:tcPr>
          <w:p w14:paraId="623AE08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43</w:t>
            </w:r>
          </w:p>
        </w:tc>
        <w:tc>
          <w:tcPr>
            <w:tcW w:w="645" w:type="pct"/>
            <w:tcBorders>
              <w:top w:val="nil"/>
              <w:left w:val="nil"/>
              <w:bottom w:val="nil"/>
              <w:right w:val="nil"/>
            </w:tcBorders>
            <w:shd w:val="clear" w:color="auto" w:fill="auto"/>
            <w:noWrap/>
            <w:vAlign w:val="center"/>
            <w:hideMark/>
          </w:tcPr>
          <w:p w14:paraId="07C4CC1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w:t>
            </w:r>
          </w:p>
        </w:tc>
        <w:tc>
          <w:tcPr>
            <w:tcW w:w="671" w:type="pct"/>
            <w:tcBorders>
              <w:top w:val="nil"/>
              <w:left w:val="nil"/>
              <w:bottom w:val="nil"/>
              <w:right w:val="nil"/>
            </w:tcBorders>
            <w:shd w:val="clear" w:color="auto" w:fill="auto"/>
            <w:noWrap/>
            <w:vAlign w:val="center"/>
            <w:hideMark/>
          </w:tcPr>
          <w:p w14:paraId="23D6BD3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0026A50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37</w:t>
            </w:r>
          </w:p>
        </w:tc>
        <w:tc>
          <w:tcPr>
            <w:tcW w:w="631" w:type="pct"/>
            <w:tcBorders>
              <w:top w:val="nil"/>
              <w:left w:val="nil"/>
              <w:bottom w:val="nil"/>
              <w:right w:val="nil"/>
            </w:tcBorders>
            <w:shd w:val="clear" w:color="auto" w:fill="auto"/>
            <w:noWrap/>
            <w:vAlign w:val="center"/>
            <w:hideMark/>
          </w:tcPr>
          <w:p w14:paraId="6596C00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14</w:t>
            </w:r>
          </w:p>
        </w:tc>
        <w:tc>
          <w:tcPr>
            <w:tcW w:w="615" w:type="pct"/>
            <w:tcBorders>
              <w:top w:val="nil"/>
              <w:left w:val="nil"/>
              <w:bottom w:val="nil"/>
              <w:right w:val="nil"/>
            </w:tcBorders>
            <w:shd w:val="clear" w:color="auto" w:fill="auto"/>
            <w:noWrap/>
            <w:vAlign w:val="center"/>
            <w:hideMark/>
          </w:tcPr>
          <w:p w14:paraId="6351EAB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58A667B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86</w:t>
            </w:r>
          </w:p>
        </w:tc>
      </w:tr>
      <w:tr w:rsidR="00A11D2E" w:rsidRPr="00AD3B35" w14:paraId="6119E776" w14:textId="77777777" w:rsidTr="00960BB8">
        <w:trPr>
          <w:trHeight w:val="360"/>
        </w:trPr>
        <w:tc>
          <w:tcPr>
            <w:tcW w:w="822" w:type="pct"/>
            <w:tcBorders>
              <w:top w:val="nil"/>
              <w:left w:val="nil"/>
              <w:bottom w:val="nil"/>
              <w:right w:val="nil"/>
            </w:tcBorders>
            <w:shd w:val="clear" w:color="auto" w:fill="auto"/>
            <w:noWrap/>
            <w:vAlign w:val="center"/>
            <w:hideMark/>
          </w:tcPr>
          <w:p w14:paraId="40352F72"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Shenandoah</w:t>
            </w:r>
          </w:p>
        </w:tc>
        <w:tc>
          <w:tcPr>
            <w:tcW w:w="513" w:type="pct"/>
            <w:tcBorders>
              <w:top w:val="nil"/>
              <w:left w:val="nil"/>
              <w:bottom w:val="nil"/>
              <w:right w:val="nil"/>
            </w:tcBorders>
            <w:shd w:val="clear" w:color="auto" w:fill="auto"/>
            <w:noWrap/>
            <w:vAlign w:val="center"/>
            <w:hideMark/>
          </w:tcPr>
          <w:p w14:paraId="5369FA2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17</w:t>
            </w:r>
          </w:p>
        </w:tc>
        <w:tc>
          <w:tcPr>
            <w:tcW w:w="645" w:type="pct"/>
            <w:tcBorders>
              <w:top w:val="nil"/>
              <w:left w:val="nil"/>
              <w:bottom w:val="nil"/>
              <w:right w:val="nil"/>
            </w:tcBorders>
            <w:shd w:val="clear" w:color="auto" w:fill="auto"/>
            <w:noWrap/>
            <w:vAlign w:val="center"/>
            <w:hideMark/>
          </w:tcPr>
          <w:p w14:paraId="23AEEE42"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671" w:type="pct"/>
            <w:tcBorders>
              <w:top w:val="nil"/>
              <w:left w:val="nil"/>
              <w:bottom w:val="nil"/>
              <w:right w:val="nil"/>
            </w:tcBorders>
            <w:shd w:val="clear" w:color="auto" w:fill="auto"/>
            <w:noWrap/>
            <w:vAlign w:val="center"/>
            <w:hideMark/>
          </w:tcPr>
          <w:p w14:paraId="08F71B05"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0AD4356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16</w:t>
            </w:r>
          </w:p>
        </w:tc>
        <w:tc>
          <w:tcPr>
            <w:tcW w:w="631" w:type="pct"/>
            <w:tcBorders>
              <w:top w:val="nil"/>
              <w:left w:val="nil"/>
              <w:bottom w:val="nil"/>
              <w:right w:val="nil"/>
            </w:tcBorders>
            <w:shd w:val="clear" w:color="auto" w:fill="auto"/>
            <w:noWrap/>
            <w:vAlign w:val="center"/>
            <w:hideMark/>
          </w:tcPr>
          <w:p w14:paraId="0A119F2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w:t>
            </w:r>
          </w:p>
        </w:tc>
        <w:tc>
          <w:tcPr>
            <w:tcW w:w="615" w:type="pct"/>
            <w:tcBorders>
              <w:top w:val="nil"/>
              <w:left w:val="nil"/>
              <w:bottom w:val="nil"/>
              <w:right w:val="nil"/>
            </w:tcBorders>
            <w:shd w:val="clear" w:color="auto" w:fill="auto"/>
            <w:noWrap/>
            <w:vAlign w:val="center"/>
            <w:hideMark/>
          </w:tcPr>
          <w:p w14:paraId="6113D39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50A83C3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94</w:t>
            </w:r>
          </w:p>
        </w:tc>
      </w:tr>
      <w:tr w:rsidR="00A11D2E" w:rsidRPr="00AD3B35" w14:paraId="3BF3D846" w14:textId="77777777" w:rsidTr="00960BB8">
        <w:trPr>
          <w:trHeight w:val="360"/>
        </w:trPr>
        <w:tc>
          <w:tcPr>
            <w:tcW w:w="822" w:type="pct"/>
            <w:tcBorders>
              <w:top w:val="nil"/>
              <w:left w:val="nil"/>
              <w:right w:val="nil"/>
            </w:tcBorders>
            <w:shd w:val="clear" w:color="auto" w:fill="auto"/>
            <w:noWrap/>
            <w:vAlign w:val="center"/>
            <w:hideMark/>
          </w:tcPr>
          <w:p w14:paraId="39D1748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Tennessee</w:t>
            </w:r>
          </w:p>
        </w:tc>
        <w:tc>
          <w:tcPr>
            <w:tcW w:w="513" w:type="pct"/>
            <w:tcBorders>
              <w:top w:val="nil"/>
              <w:left w:val="nil"/>
              <w:right w:val="nil"/>
            </w:tcBorders>
            <w:shd w:val="clear" w:color="auto" w:fill="auto"/>
            <w:noWrap/>
            <w:vAlign w:val="center"/>
            <w:hideMark/>
          </w:tcPr>
          <w:p w14:paraId="3370570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20</w:t>
            </w:r>
          </w:p>
        </w:tc>
        <w:tc>
          <w:tcPr>
            <w:tcW w:w="645" w:type="pct"/>
            <w:tcBorders>
              <w:top w:val="nil"/>
              <w:left w:val="nil"/>
              <w:right w:val="nil"/>
            </w:tcBorders>
            <w:shd w:val="clear" w:color="auto" w:fill="auto"/>
            <w:noWrap/>
            <w:vAlign w:val="center"/>
            <w:hideMark/>
          </w:tcPr>
          <w:p w14:paraId="77C693C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1" w:type="pct"/>
            <w:tcBorders>
              <w:top w:val="nil"/>
              <w:left w:val="nil"/>
              <w:right w:val="nil"/>
            </w:tcBorders>
            <w:shd w:val="clear" w:color="auto" w:fill="auto"/>
            <w:noWrap/>
            <w:vAlign w:val="center"/>
            <w:hideMark/>
          </w:tcPr>
          <w:p w14:paraId="1820585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702" w:type="pct"/>
            <w:tcBorders>
              <w:top w:val="nil"/>
              <w:left w:val="nil"/>
              <w:right w:val="nil"/>
            </w:tcBorders>
            <w:shd w:val="clear" w:color="auto" w:fill="auto"/>
            <w:noWrap/>
            <w:vAlign w:val="center"/>
            <w:hideMark/>
          </w:tcPr>
          <w:p w14:paraId="2BEAD99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18</w:t>
            </w:r>
          </w:p>
        </w:tc>
        <w:tc>
          <w:tcPr>
            <w:tcW w:w="631" w:type="pct"/>
            <w:tcBorders>
              <w:top w:val="nil"/>
              <w:left w:val="nil"/>
              <w:right w:val="nil"/>
            </w:tcBorders>
            <w:shd w:val="clear" w:color="auto" w:fill="auto"/>
            <w:noWrap/>
            <w:vAlign w:val="center"/>
            <w:hideMark/>
          </w:tcPr>
          <w:p w14:paraId="6BAABF6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right w:val="nil"/>
            </w:tcBorders>
            <w:shd w:val="clear" w:color="auto" w:fill="auto"/>
            <w:noWrap/>
            <w:vAlign w:val="center"/>
            <w:hideMark/>
          </w:tcPr>
          <w:p w14:paraId="107E108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10</w:t>
            </w:r>
          </w:p>
        </w:tc>
        <w:tc>
          <w:tcPr>
            <w:tcW w:w="401" w:type="pct"/>
            <w:tcBorders>
              <w:top w:val="nil"/>
              <w:left w:val="nil"/>
              <w:right w:val="nil"/>
            </w:tcBorders>
            <w:shd w:val="clear" w:color="auto" w:fill="auto"/>
            <w:noWrap/>
            <w:vAlign w:val="center"/>
            <w:hideMark/>
          </w:tcPr>
          <w:p w14:paraId="4F4C44A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90</w:t>
            </w:r>
          </w:p>
        </w:tc>
      </w:tr>
      <w:tr w:rsidR="00A11D2E" w:rsidRPr="00AD3B35" w14:paraId="4E572E2F" w14:textId="77777777" w:rsidTr="00960BB8">
        <w:trPr>
          <w:trHeight w:val="360"/>
        </w:trPr>
        <w:tc>
          <w:tcPr>
            <w:tcW w:w="822" w:type="pct"/>
            <w:tcBorders>
              <w:top w:val="nil"/>
              <w:left w:val="nil"/>
              <w:bottom w:val="single" w:sz="12" w:space="0" w:color="auto"/>
              <w:right w:val="nil"/>
            </w:tcBorders>
            <w:shd w:val="clear" w:color="auto" w:fill="auto"/>
            <w:noWrap/>
            <w:vAlign w:val="center"/>
            <w:hideMark/>
          </w:tcPr>
          <w:p w14:paraId="14BCC21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York</w:t>
            </w:r>
          </w:p>
        </w:tc>
        <w:tc>
          <w:tcPr>
            <w:tcW w:w="513" w:type="pct"/>
            <w:tcBorders>
              <w:top w:val="nil"/>
              <w:left w:val="nil"/>
              <w:bottom w:val="single" w:sz="12" w:space="0" w:color="auto"/>
              <w:right w:val="nil"/>
            </w:tcBorders>
            <w:shd w:val="clear" w:color="auto" w:fill="auto"/>
            <w:noWrap/>
            <w:vAlign w:val="center"/>
            <w:hideMark/>
          </w:tcPr>
          <w:p w14:paraId="286E728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32</w:t>
            </w:r>
          </w:p>
        </w:tc>
        <w:tc>
          <w:tcPr>
            <w:tcW w:w="645" w:type="pct"/>
            <w:tcBorders>
              <w:top w:val="nil"/>
              <w:left w:val="nil"/>
              <w:bottom w:val="single" w:sz="12" w:space="0" w:color="auto"/>
              <w:right w:val="nil"/>
            </w:tcBorders>
            <w:shd w:val="clear" w:color="auto" w:fill="auto"/>
            <w:noWrap/>
            <w:vAlign w:val="center"/>
            <w:hideMark/>
          </w:tcPr>
          <w:p w14:paraId="302B6E4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671" w:type="pct"/>
            <w:tcBorders>
              <w:top w:val="nil"/>
              <w:left w:val="nil"/>
              <w:bottom w:val="single" w:sz="12" w:space="0" w:color="auto"/>
              <w:right w:val="nil"/>
            </w:tcBorders>
            <w:shd w:val="clear" w:color="auto" w:fill="auto"/>
            <w:noWrap/>
            <w:vAlign w:val="center"/>
            <w:hideMark/>
          </w:tcPr>
          <w:p w14:paraId="0D330C4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2" w:type="pct"/>
            <w:tcBorders>
              <w:top w:val="nil"/>
              <w:left w:val="nil"/>
              <w:bottom w:val="single" w:sz="12" w:space="0" w:color="auto"/>
              <w:right w:val="nil"/>
            </w:tcBorders>
            <w:shd w:val="clear" w:color="auto" w:fill="auto"/>
            <w:noWrap/>
            <w:vAlign w:val="center"/>
            <w:hideMark/>
          </w:tcPr>
          <w:p w14:paraId="7A6A3815"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28</w:t>
            </w:r>
          </w:p>
        </w:tc>
        <w:tc>
          <w:tcPr>
            <w:tcW w:w="631" w:type="pct"/>
            <w:tcBorders>
              <w:top w:val="nil"/>
              <w:left w:val="nil"/>
              <w:bottom w:val="single" w:sz="12" w:space="0" w:color="auto"/>
              <w:right w:val="nil"/>
            </w:tcBorders>
            <w:shd w:val="clear" w:color="auto" w:fill="auto"/>
            <w:noWrap/>
            <w:vAlign w:val="center"/>
            <w:hideMark/>
          </w:tcPr>
          <w:p w14:paraId="57F6845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w:t>
            </w:r>
          </w:p>
        </w:tc>
        <w:tc>
          <w:tcPr>
            <w:tcW w:w="615" w:type="pct"/>
            <w:tcBorders>
              <w:top w:val="nil"/>
              <w:left w:val="nil"/>
              <w:bottom w:val="single" w:sz="12" w:space="0" w:color="auto"/>
              <w:right w:val="nil"/>
            </w:tcBorders>
            <w:shd w:val="clear" w:color="auto" w:fill="auto"/>
            <w:noWrap/>
            <w:vAlign w:val="center"/>
            <w:hideMark/>
          </w:tcPr>
          <w:p w14:paraId="27403AF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401" w:type="pct"/>
            <w:tcBorders>
              <w:top w:val="nil"/>
              <w:left w:val="nil"/>
              <w:bottom w:val="single" w:sz="12" w:space="0" w:color="auto"/>
              <w:right w:val="nil"/>
            </w:tcBorders>
            <w:shd w:val="clear" w:color="auto" w:fill="auto"/>
            <w:noWrap/>
            <w:vAlign w:val="center"/>
            <w:hideMark/>
          </w:tcPr>
          <w:p w14:paraId="6622565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88</w:t>
            </w:r>
          </w:p>
        </w:tc>
      </w:tr>
    </w:tbl>
    <w:p w14:paraId="14BF4ACC" w14:textId="66FF210C" w:rsidR="00A11D2E" w:rsidRPr="00AD3B35" w:rsidRDefault="000269D3" w:rsidP="00A11D2E">
      <w:pPr>
        <w:rPr>
          <w:rFonts w:cstheme="minorHAnsi"/>
          <w:b/>
        </w:rPr>
      </w:pPr>
      <w:r>
        <w:rPr>
          <w:rFonts w:cstheme="minorHAnsi"/>
          <w:b/>
        </w:rPr>
        <w:br/>
      </w:r>
      <w:r>
        <w:rPr>
          <w:rFonts w:cstheme="minorHAnsi"/>
          <w:b/>
        </w:rPr>
        <w:br/>
      </w:r>
      <w:r>
        <w:rPr>
          <w:rFonts w:cstheme="minorHAnsi"/>
          <w:b/>
        </w:rPr>
        <w:br/>
      </w:r>
      <w:r>
        <w:rPr>
          <w:rFonts w:cstheme="minorHAnsi"/>
          <w:b/>
        </w:rPr>
        <w:br/>
      </w:r>
    </w:p>
    <w:p w14:paraId="71A25725" w14:textId="1EF2FCF9" w:rsidR="00960BB8" w:rsidRPr="00960BB8" w:rsidRDefault="00960BB8" w:rsidP="00960BB8">
      <w:pPr>
        <w:pStyle w:val="Caption"/>
        <w:keepNext/>
      </w:pPr>
      <w:bookmarkStart w:id="362" w:name="_Toc164175234"/>
      <w:r w:rsidRPr="00960BB8">
        <w:lastRenderedPageBreak/>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13</w:t>
      </w:r>
      <w:r w:rsidR="004F13BA">
        <w:rPr>
          <w:noProof/>
        </w:rPr>
        <w:fldChar w:fldCharType="end"/>
      </w:r>
      <w:r w:rsidRPr="00960BB8">
        <w:t xml:space="preserve">. </w:t>
      </w:r>
      <w:r w:rsidRPr="00960BB8">
        <w:rPr>
          <w:rFonts w:cstheme="minorHAnsi"/>
        </w:rPr>
        <w:t>Fecal coliform trends by basin</w:t>
      </w:r>
      <w:r w:rsidR="00D50313">
        <w:rPr>
          <w:rFonts w:cstheme="minorHAnsi"/>
        </w:rPr>
        <w:t xml:space="preserve">, </w:t>
      </w:r>
      <w:r w:rsidR="00DD2C47">
        <w:rPr>
          <w:rFonts w:cstheme="minorHAnsi"/>
        </w:rPr>
        <w:t>2003 through 2022.</w:t>
      </w:r>
      <w:bookmarkEnd w:id="362"/>
    </w:p>
    <w:tbl>
      <w:tblPr>
        <w:tblW w:w="5000" w:type="pct"/>
        <w:tblLook w:val="04A0" w:firstRow="1" w:lastRow="0" w:firstColumn="1" w:lastColumn="0" w:noHBand="0" w:noVBand="1"/>
        <w:tblCaption w:val="Table of Fecal coliform trends by basin."/>
        <w:tblDescription w:val="Fecal coliform trends by basin."/>
      </w:tblPr>
      <w:tblGrid>
        <w:gridCol w:w="1539"/>
        <w:gridCol w:w="960"/>
        <w:gridCol w:w="1191"/>
        <w:gridCol w:w="1262"/>
        <w:gridCol w:w="1320"/>
        <w:gridCol w:w="1187"/>
        <w:gridCol w:w="1151"/>
        <w:gridCol w:w="750"/>
      </w:tblGrid>
      <w:tr w:rsidR="00A11D2E" w:rsidRPr="00AD3B35" w14:paraId="3CAED5FD" w14:textId="77777777" w:rsidTr="00960BB8">
        <w:trPr>
          <w:trHeight w:val="1035"/>
        </w:trPr>
        <w:tc>
          <w:tcPr>
            <w:tcW w:w="822" w:type="pct"/>
            <w:tcBorders>
              <w:top w:val="single" w:sz="12" w:space="0" w:color="auto"/>
              <w:left w:val="nil"/>
              <w:bottom w:val="single" w:sz="8" w:space="0" w:color="auto"/>
              <w:right w:val="nil"/>
            </w:tcBorders>
            <w:shd w:val="clear" w:color="auto" w:fill="auto"/>
            <w:vAlign w:val="center"/>
            <w:hideMark/>
          </w:tcPr>
          <w:p w14:paraId="21FA8B00" w14:textId="77777777" w:rsidR="00A11D2E" w:rsidRPr="00B7579F" w:rsidRDefault="00A11D2E">
            <w:pPr>
              <w:widowControl/>
              <w:jc w:val="center"/>
              <w:rPr>
                <w:rFonts w:cstheme="minorHAnsi"/>
                <w:b/>
                <w:bCs/>
                <w:snapToGrid/>
                <w:sz w:val="22"/>
                <w:szCs w:val="22"/>
              </w:rPr>
            </w:pPr>
            <w:r w:rsidRPr="00B7579F">
              <w:rPr>
                <w:rFonts w:cstheme="minorHAnsi"/>
                <w:b/>
                <w:bCs/>
                <w:sz w:val="22"/>
                <w:szCs w:val="22"/>
              </w:rPr>
              <w:t>Basin</w:t>
            </w:r>
          </w:p>
        </w:tc>
        <w:tc>
          <w:tcPr>
            <w:tcW w:w="513" w:type="pct"/>
            <w:tcBorders>
              <w:top w:val="single" w:sz="12" w:space="0" w:color="auto"/>
              <w:left w:val="nil"/>
              <w:bottom w:val="single" w:sz="8" w:space="0" w:color="auto"/>
              <w:right w:val="nil"/>
            </w:tcBorders>
            <w:shd w:val="clear" w:color="auto" w:fill="auto"/>
            <w:vAlign w:val="center"/>
            <w:hideMark/>
          </w:tcPr>
          <w:p w14:paraId="23B34DCA" w14:textId="77777777" w:rsidR="00A11D2E" w:rsidRPr="00B7579F" w:rsidRDefault="00A11D2E">
            <w:pPr>
              <w:jc w:val="center"/>
              <w:rPr>
                <w:rFonts w:cstheme="minorHAnsi"/>
                <w:b/>
                <w:bCs/>
                <w:sz w:val="22"/>
                <w:szCs w:val="22"/>
              </w:rPr>
            </w:pPr>
            <w:r w:rsidRPr="00B7579F">
              <w:rPr>
                <w:rFonts w:cstheme="minorHAnsi"/>
                <w:b/>
                <w:bCs/>
                <w:sz w:val="22"/>
                <w:szCs w:val="22"/>
              </w:rPr>
              <w:t>Total Stations</w:t>
            </w:r>
          </w:p>
        </w:tc>
        <w:tc>
          <w:tcPr>
            <w:tcW w:w="637" w:type="pct"/>
            <w:tcBorders>
              <w:top w:val="single" w:sz="12" w:space="0" w:color="auto"/>
              <w:left w:val="nil"/>
              <w:bottom w:val="single" w:sz="8" w:space="0" w:color="auto"/>
              <w:right w:val="nil"/>
            </w:tcBorders>
            <w:shd w:val="clear" w:color="auto" w:fill="auto"/>
            <w:vAlign w:val="center"/>
            <w:hideMark/>
          </w:tcPr>
          <w:p w14:paraId="30BC04DB" w14:textId="77777777" w:rsidR="00A11D2E" w:rsidRPr="00B7579F" w:rsidRDefault="00A11D2E">
            <w:pPr>
              <w:jc w:val="center"/>
              <w:rPr>
                <w:rFonts w:cstheme="minorHAnsi"/>
                <w:b/>
                <w:bCs/>
                <w:sz w:val="22"/>
                <w:szCs w:val="22"/>
              </w:rPr>
            </w:pPr>
            <w:r w:rsidRPr="00B7579F">
              <w:rPr>
                <w:rFonts w:cstheme="minorHAnsi"/>
                <w:b/>
                <w:bCs/>
                <w:sz w:val="22"/>
                <w:szCs w:val="22"/>
              </w:rPr>
              <w:t>Improving Trend (stations)</w:t>
            </w:r>
          </w:p>
        </w:tc>
        <w:tc>
          <w:tcPr>
            <w:tcW w:w="674" w:type="pct"/>
            <w:tcBorders>
              <w:top w:val="single" w:sz="12" w:space="0" w:color="auto"/>
              <w:left w:val="nil"/>
              <w:bottom w:val="single" w:sz="8" w:space="0" w:color="auto"/>
              <w:right w:val="nil"/>
            </w:tcBorders>
            <w:shd w:val="clear" w:color="auto" w:fill="auto"/>
            <w:vAlign w:val="center"/>
            <w:hideMark/>
          </w:tcPr>
          <w:p w14:paraId="381305CF" w14:textId="77777777" w:rsidR="00A11D2E" w:rsidRPr="00B7579F" w:rsidRDefault="00A11D2E">
            <w:pPr>
              <w:jc w:val="center"/>
              <w:rPr>
                <w:rFonts w:cstheme="minorHAnsi"/>
                <w:b/>
                <w:bCs/>
                <w:sz w:val="22"/>
                <w:szCs w:val="22"/>
              </w:rPr>
            </w:pPr>
            <w:r w:rsidRPr="00B7579F">
              <w:rPr>
                <w:rFonts w:cstheme="minorHAnsi"/>
                <w:b/>
                <w:bCs/>
                <w:sz w:val="22"/>
                <w:szCs w:val="22"/>
              </w:rPr>
              <w:t>Degrading Trend (stations)</w:t>
            </w:r>
          </w:p>
        </w:tc>
        <w:tc>
          <w:tcPr>
            <w:tcW w:w="705" w:type="pct"/>
            <w:tcBorders>
              <w:top w:val="single" w:sz="12" w:space="0" w:color="auto"/>
              <w:left w:val="nil"/>
              <w:bottom w:val="single" w:sz="8" w:space="0" w:color="auto"/>
              <w:right w:val="nil"/>
            </w:tcBorders>
            <w:shd w:val="clear" w:color="auto" w:fill="auto"/>
            <w:vAlign w:val="center"/>
            <w:hideMark/>
          </w:tcPr>
          <w:p w14:paraId="4CD2B9E4" w14:textId="77777777" w:rsidR="00A11D2E" w:rsidRPr="00B7579F" w:rsidRDefault="00A11D2E">
            <w:pPr>
              <w:jc w:val="center"/>
              <w:rPr>
                <w:rFonts w:cstheme="minorHAnsi"/>
                <w:b/>
                <w:bCs/>
                <w:sz w:val="22"/>
                <w:szCs w:val="22"/>
              </w:rPr>
            </w:pPr>
            <w:r w:rsidRPr="00B7579F">
              <w:rPr>
                <w:rFonts w:cstheme="minorHAnsi"/>
                <w:b/>
                <w:bCs/>
                <w:sz w:val="22"/>
                <w:szCs w:val="22"/>
              </w:rPr>
              <w:t>No Trend (stations)</w:t>
            </w:r>
          </w:p>
        </w:tc>
        <w:tc>
          <w:tcPr>
            <w:tcW w:w="634" w:type="pct"/>
            <w:tcBorders>
              <w:top w:val="single" w:sz="12" w:space="0" w:color="auto"/>
              <w:left w:val="nil"/>
              <w:bottom w:val="single" w:sz="8" w:space="0" w:color="auto"/>
              <w:right w:val="nil"/>
            </w:tcBorders>
            <w:shd w:val="clear" w:color="auto" w:fill="auto"/>
            <w:vAlign w:val="center"/>
            <w:hideMark/>
          </w:tcPr>
          <w:p w14:paraId="4B324056" w14:textId="77777777" w:rsidR="00A11D2E" w:rsidRPr="00B7579F" w:rsidRDefault="00A11D2E">
            <w:pPr>
              <w:jc w:val="center"/>
              <w:rPr>
                <w:rFonts w:cstheme="minorHAnsi"/>
                <w:b/>
                <w:bCs/>
                <w:sz w:val="22"/>
                <w:szCs w:val="22"/>
              </w:rPr>
            </w:pPr>
            <w:r w:rsidRPr="00B7579F">
              <w:rPr>
                <w:rFonts w:cstheme="minorHAnsi"/>
                <w:b/>
                <w:bCs/>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61DAFB48" w14:textId="77777777" w:rsidR="00A11D2E" w:rsidRPr="00B7579F" w:rsidRDefault="00A11D2E">
            <w:pPr>
              <w:jc w:val="center"/>
              <w:rPr>
                <w:rFonts w:cstheme="minorHAnsi"/>
                <w:b/>
                <w:bCs/>
                <w:sz w:val="22"/>
                <w:szCs w:val="22"/>
              </w:rPr>
            </w:pPr>
            <w:r w:rsidRPr="00B7579F">
              <w:rPr>
                <w:rFonts w:cstheme="minorHAnsi"/>
                <w:b/>
                <w:bCs/>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28E6E368" w14:textId="77777777" w:rsidR="00A11D2E" w:rsidRPr="00B7579F" w:rsidRDefault="00A11D2E">
            <w:pPr>
              <w:jc w:val="center"/>
              <w:rPr>
                <w:rFonts w:cstheme="minorHAnsi"/>
                <w:b/>
                <w:bCs/>
                <w:sz w:val="22"/>
                <w:szCs w:val="22"/>
              </w:rPr>
            </w:pPr>
            <w:r w:rsidRPr="00B7579F">
              <w:rPr>
                <w:rFonts w:cstheme="minorHAnsi"/>
                <w:b/>
                <w:bCs/>
                <w:sz w:val="22"/>
                <w:szCs w:val="22"/>
              </w:rPr>
              <w:t>No Trend (%)</w:t>
            </w:r>
          </w:p>
        </w:tc>
      </w:tr>
      <w:tr w:rsidR="00A11D2E" w:rsidRPr="00AD3B35" w14:paraId="56F2C696" w14:textId="77777777" w:rsidTr="00960BB8">
        <w:trPr>
          <w:trHeight w:val="360"/>
        </w:trPr>
        <w:tc>
          <w:tcPr>
            <w:tcW w:w="822" w:type="pct"/>
            <w:tcBorders>
              <w:top w:val="nil"/>
              <w:left w:val="nil"/>
              <w:bottom w:val="nil"/>
              <w:right w:val="nil"/>
            </w:tcBorders>
            <w:shd w:val="clear" w:color="auto" w:fill="auto"/>
            <w:noWrap/>
            <w:vAlign w:val="center"/>
            <w:hideMark/>
          </w:tcPr>
          <w:p w14:paraId="1A541026" w14:textId="6CE3CA4C" w:rsidR="00A11D2E" w:rsidRPr="00997684" w:rsidRDefault="00A11D2E">
            <w:pPr>
              <w:widowControl/>
              <w:jc w:val="center"/>
              <w:rPr>
                <w:rFonts w:cstheme="minorHAnsi"/>
                <w:bCs/>
                <w:snapToGrid/>
                <w:sz w:val="22"/>
                <w:szCs w:val="22"/>
              </w:rPr>
            </w:pPr>
            <w:r w:rsidRPr="00997684">
              <w:rPr>
                <w:rFonts w:cstheme="minorHAnsi"/>
                <w:snapToGrid/>
                <w:sz w:val="22"/>
                <w:szCs w:val="22"/>
              </w:rPr>
              <w:t>Chesapeake</w:t>
            </w:r>
          </w:p>
        </w:tc>
        <w:tc>
          <w:tcPr>
            <w:tcW w:w="513" w:type="pct"/>
            <w:tcBorders>
              <w:top w:val="nil"/>
              <w:left w:val="nil"/>
              <w:bottom w:val="nil"/>
              <w:right w:val="nil"/>
            </w:tcBorders>
            <w:shd w:val="clear" w:color="auto" w:fill="auto"/>
            <w:noWrap/>
            <w:vAlign w:val="center"/>
            <w:hideMark/>
          </w:tcPr>
          <w:p w14:paraId="25FC2EF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34</w:t>
            </w:r>
          </w:p>
        </w:tc>
        <w:tc>
          <w:tcPr>
            <w:tcW w:w="637" w:type="pct"/>
            <w:tcBorders>
              <w:top w:val="nil"/>
              <w:left w:val="nil"/>
              <w:bottom w:val="nil"/>
              <w:right w:val="nil"/>
            </w:tcBorders>
            <w:shd w:val="clear" w:color="auto" w:fill="auto"/>
            <w:noWrap/>
            <w:vAlign w:val="center"/>
            <w:hideMark/>
          </w:tcPr>
          <w:p w14:paraId="56A367B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674" w:type="pct"/>
            <w:tcBorders>
              <w:top w:val="nil"/>
              <w:left w:val="nil"/>
              <w:bottom w:val="nil"/>
              <w:right w:val="nil"/>
            </w:tcBorders>
            <w:shd w:val="clear" w:color="auto" w:fill="auto"/>
            <w:noWrap/>
            <w:vAlign w:val="center"/>
            <w:hideMark/>
          </w:tcPr>
          <w:p w14:paraId="55CDCB9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705" w:type="pct"/>
            <w:tcBorders>
              <w:top w:val="nil"/>
              <w:left w:val="nil"/>
              <w:bottom w:val="nil"/>
              <w:right w:val="nil"/>
            </w:tcBorders>
            <w:shd w:val="clear" w:color="auto" w:fill="auto"/>
            <w:noWrap/>
            <w:vAlign w:val="center"/>
            <w:hideMark/>
          </w:tcPr>
          <w:p w14:paraId="530834F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31</w:t>
            </w:r>
          </w:p>
        </w:tc>
        <w:tc>
          <w:tcPr>
            <w:tcW w:w="634" w:type="pct"/>
            <w:tcBorders>
              <w:top w:val="nil"/>
              <w:left w:val="nil"/>
              <w:bottom w:val="nil"/>
              <w:right w:val="nil"/>
            </w:tcBorders>
            <w:shd w:val="clear" w:color="auto" w:fill="auto"/>
            <w:noWrap/>
            <w:vAlign w:val="center"/>
            <w:hideMark/>
          </w:tcPr>
          <w:p w14:paraId="7CE51B7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w:t>
            </w:r>
          </w:p>
        </w:tc>
        <w:tc>
          <w:tcPr>
            <w:tcW w:w="615" w:type="pct"/>
            <w:tcBorders>
              <w:top w:val="nil"/>
              <w:left w:val="nil"/>
              <w:bottom w:val="nil"/>
              <w:right w:val="nil"/>
            </w:tcBorders>
            <w:shd w:val="clear" w:color="auto" w:fill="auto"/>
            <w:noWrap/>
            <w:vAlign w:val="center"/>
            <w:hideMark/>
          </w:tcPr>
          <w:p w14:paraId="7C5C348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7857AF7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91</w:t>
            </w:r>
          </w:p>
        </w:tc>
      </w:tr>
      <w:tr w:rsidR="00A11D2E" w:rsidRPr="00AD3B35" w14:paraId="707B8A95" w14:textId="77777777" w:rsidTr="00960BB8">
        <w:trPr>
          <w:trHeight w:val="360"/>
        </w:trPr>
        <w:tc>
          <w:tcPr>
            <w:tcW w:w="822" w:type="pct"/>
            <w:tcBorders>
              <w:top w:val="nil"/>
              <w:left w:val="nil"/>
              <w:bottom w:val="nil"/>
              <w:right w:val="nil"/>
            </w:tcBorders>
            <w:shd w:val="clear" w:color="auto" w:fill="auto"/>
            <w:noWrap/>
            <w:vAlign w:val="center"/>
            <w:hideMark/>
          </w:tcPr>
          <w:p w14:paraId="3AB9536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Chowan</w:t>
            </w:r>
          </w:p>
        </w:tc>
        <w:tc>
          <w:tcPr>
            <w:tcW w:w="513" w:type="pct"/>
            <w:tcBorders>
              <w:top w:val="nil"/>
              <w:left w:val="nil"/>
              <w:bottom w:val="nil"/>
              <w:right w:val="nil"/>
            </w:tcBorders>
            <w:shd w:val="clear" w:color="auto" w:fill="auto"/>
            <w:noWrap/>
            <w:vAlign w:val="center"/>
            <w:hideMark/>
          </w:tcPr>
          <w:p w14:paraId="72C1EB1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52</w:t>
            </w:r>
          </w:p>
        </w:tc>
        <w:tc>
          <w:tcPr>
            <w:tcW w:w="637" w:type="pct"/>
            <w:tcBorders>
              <w:top w:val="nil"/>
              <w:left w:val="nil"/>
              <w:bottom w:val="nil"/>
              <w:right w:val="nil"/>
            </w:tcBorders>
            <w:shd w:val="clear" w:color="auto" w:fill="auto"/>
            <w:noWrap/>
            <w:vAlign w:val="center"/>
            <w:hideMark/>
          </w:tcPr>
          <w:p w14:paraId="1463B1B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674" w:type="pct"/>
            <w:tcBorders>
              <w:top w:val="nil"/>
              <w:left w:val="nil"/>
              <w:bottom w:val="nil"/>
              <w:right w:val="nil"/>
            </w:tcBorders>
            <w:shd w:val="clear" w:color="auto" w:fill="auto"/>
            <w:noWrap/>
            <w:vAlign w:val="center"/>
            <w:hideMark/>
          </w:tcPr>
          <w:p w14:paraId="4FA45D9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w:t>
            </w:r>
          </w:p>
        </w:tc>
        <w:tc>
          <w:tcPr>
            <w:tcW w:w="705" w:type="pct"/>
            <w:tcBorders>
              <w:top w:val="nil"/>
              <w:left w:val="nil"/>
              <w:bottom w:val="nil"/>
              <w:right w:val="nil"/>
            </w:tcBorders>
            <w:shd w:val="clear" w:color="auto" w:fill="auto"/>
            <w:noWrap/>
            <w:vAlign w:val="center"/>
            <w:hideMark/>
          </w:tcPr>
          <w:p w14:paraId="6FA6591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41</w:t>
            </w:r>
          </w:p>
        </w:tc>
        <w:tc>
          <w:tcPr>
            <w:tcW w:w="634" w:type="pct"/>
            <w:tcBorders>
              <w:top w:val="nil"/>
              <w:left w:val="nil"/>
              <w:bottom w:val="nil"/>
              <w:right w:val="nil"/>
            </w:tcBorders>
            <w:shd w:val="clear" w:color="auto" w:fill="auto"/>
            <w:noWrap/>
            <w:vAlign w:val="center"/>
            <w:hideMark/>
          </w:tcPr>
          <w:p w14:paraId="5BB4CA4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w:t>
            </w:r>
          </w:p>
        </w:tc>
        <w:tc>
          <w:tcPr>
            <w:tcW w:w="615" w:type="pct"/>
            <w:tcBorders>
              <w:top w:val="nil"/>
              <w:left w:val="nil"/>
              <w:bottom w:val="nil"/>
              <w:right w:val="nil"/>
            </w:tcBorders>
            <w:shd w:val="clear" w:color="auto" w:fill="auto"/>
            <w:noWrap/>
            <w:vAlign w:val="center"/>
            <w:hideMark/>
          </w:tcPr>
          <w:p w14:paraId="41C0060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15</w:t>
            </w:r>
          </w:p>
        </w:tc>
        <w:tc>
          <w:tcPr>
            <w:tcW w:w="401" w:type="pct"/>
            <w:tcBorders>
              <w:top w:val="nil"/>
              <w:left w:val="nil"/>
              <w:bottom w:val="nil"/>
              <w:right w:val="nil"/>
            </w:tcBorders>
            <w:shd w:val="clear" w:color="auto" w:fill="auto"/>
            <w:noWrap/>
            <w:vAlign w:val="center"/>
            <w:hideMark/>
          </w:tcPr>
          <w:p w14:paraId="7EB49315"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79</w:t>
            </w:r>
          </w:p>
        </w:tc>
      </w:tr>
      <w:tr w:rsidR="00A11D2E" w:rsidRPr="00AD3B35" w14:paraId="3FA22D24" w14:textId="77777777" w:rsidTr="00960BB8">
        <w:trPr>
          <w:trHeight w:val="360"/>
        </w:trPr>
        <w:tc>
          <w:tcPr>
            <w:tcW w:w="822" w:type="pct"/>
            <w:tcBorders>
              <w:top w:val="nil"/>
              <w:left w:val="nil"/>
              <w:bottom w:val="nil"/>
              <w:right w:val="nil"/>
            </w:tcBorders>
            <w:shd w:val="clear" w:color="auto" w:fill="auto"/>
            <w:noWrap/>
            <w:vAlign w:val="center"/>
            <w:hideMark/>
          </w:tcPr>
          <w:p w14:paraId="4E805D0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James</w:t>
            </w:r>
          </w:p>
        </w:tc>
        <w:tc>
          <w:tcPr>
            <w:tcW w:w="513" w:type="pct"/>
            <w:tcBorders>
              <w:top w:val="nil"/>
              <w:left w:val="nil"/>
              <w:bottom w:val="nil"/>
              <w:right w:val="nil"/>
            </w:tcBorders>
            <w:shd w:val="clear" w:color="auto" w:fill="auto"/>
            <w:noWrap/>
            <w:vAlign w:val="center"/>
            <w:hideMark/>
          </w:tcPr>
          <w:p w14:paraId="2D7CD85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91</w:t>
            </w:r>
          </w:p>
        </w:tc>
        <w:tc>
          <w:tcPr>
            <w:tcW w:w="637" w:type="pct"/>
            <w:tcBorders>
              <w:top w:val="nil"/>
              <w:left w:val="nil"/>
              <w:bottom w:val="nil"/>
              <w:right w:val="nil"/>
            </w:tcBorders>
            <w:shd w:val="clear" w:color="auto" w:fill="auto"/>
            <w:noWrap/>
            <w:vAlign w:val="center"/>
            <w:hideMark/>
          </w:tcPr>
          <w:p w14:paraId="2984477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674" w:type="pct"/>
            <w:tcBorders>
              <w:top w:val="nil"/>
              <w:left w:val="nil"/>
              <w:bottom w:val="nil"/>
              <w:right w:val="nil"/>
            </w:tcBorders>
            <w:shd w:val="clear" w:color="auto" w:fill="auto"/>
            <w:noWrap/>
            <w:vAlign w:val="center"/>
            <w:hideMark/>
          </w:tcPr>
          <w:p w14:paraId="52B5789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w:t>
            </w:r>
          </w:p>
        </w:tc>
        <w:tc>
          <w:tcPr>
            <w:tcW w:w="705" w:type="pct"/>
            <w:tcBorders>
              <w:top w:val="nil"/>
              <w:left w:val="nil"/>
              <w:bottom w:val="nil"/>
              <w:right w:val="nil"/>
            </w:tcBorders>
            <w:shd w:val="clear" w:color="auto" w:fill="auto"/>
            <w:noWrap/>
            <w:vAlign w:val="center"/>
            <w:hideMark/>
          </w:tcPr>
          <w:p w14:paraId="16E1129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82</w:t>
            </w:r>
          </w:p>
        </w:tc>
        <w:tc>
          <w:tcPr>
            <w:tcW w:w="634" w:type="pct"/>
            <w:tcBorders>
              <w:top w:val="nil"/>
              <w:left w:val="nil"/>
              <w:bottom w:val="nil"/>
              <w:right w:val="nil"/>
            </w:tcBorders>
            <w:shd w:val="clear" w:color="auto" w:fill="auto"/>
            <w:noWrap/>
            <w:vAlign w:val="center"/>
            <w:hideMark/>
          </w:tcPr>
          <w:p w14:paraId="53926EB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615" w:type="pct"/>
            <w:tcBorders>
              <w:top w:val="nil"/>
              <w:left w:val="nil"/>
              <w:bottom w:val="nil"/>
              <w:right w:val="nil"/>
            </w:tcBorders>
            <w:shd w:val="clear" w:color="auto" w:fill="auto"/>
            <w:noWrap/>
            <w:vAlign w:val="center"/>
            <w:hideMark/>
          </w:tcPr>
          <w:p w14:paraId="33AD353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w:t>
            </w:r>
          </w:p>
        </w:tc>
        <w:tc>
          <w:tcPr>
            <w:tcW w:w="401" w:type="pct"/>
            <w:tcBorders>
              <w:top w:val="nil"/>
              <w:left w:val="nil"/>
              <w:bottom w:val="nil"/>
              <w:right w:val="nil"/>
            </w:tcBorders>
            <w:shd w:val="clear" w:color="auto" w:fill="auto"/>
            <w:noWrap/>
            <w:vAlign w:val="center"/>
            <w:hideMark/>
          </w:tcPr>
          <w:p w14:paraId="16E08D8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90</w:t>
            </w:r>
          </w:p>
        </w:tc>
      </w:tr>
      <w:tr w:rsidR="00A11D2E" w:rsidRPr="00AD3B35" w14:paraId="7FEAD079" w14:textId="77777777" w:rsidTr="00960BB8">
        <w:trPr>
          <w:trHeight w:val="360"/>
        </w:trPr>
        <w:tc>
          <w:tcPr>
            <w:tcW w:w="822" w:type="pct"/>
            <w:tcBorders>
              <w:top w:val="nil"/>
              <w:left w:val="nil"/>
              <w:bottom w:val="nil"/>
              <w:right w:val="nil"/>
            </w:tcBorders>
            <w:shd w:val="clear" w:color="auto" w:fill="auto"/>
            <w:noWrap/>
            <w:vAlign w:val="center"/>
            <w:hideMark/>
          </w:tcPr>
          <w:p w14:paraId="4BAA814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New</w:t>
            </w:r>
          </w:p>
        </w:tc>
        <w:tc>
          <w:tcPr>
            <w:tcW w:w="513" w:type="pct"/>
            <w:tcBorders>
              <w:top w:val="nil"/>
              <w:left w:val="nil"/>
              <w:bottom w:val="nil"/>
              <w:right w:val="nil"/>
            </w:tcBorders>
            <w:shd w:val="clear" w:color="auto" w:fill="auto"/>
            <w:noWrap/>
            <w:vAlign w:val="center"/>
            <w:hideMark/>
          </w:tcPr>
          <w:p w14:paraId="672ECB1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12</w:t>
            </w:r>
          </w:p>
        </w:tc>
        <w:tc>
          <w:tcPr>
            <w:tcW w:w="637" w:type="pct"/>
            <w:tcBorders>
              <w:top w:val="nil"/>
              <w:left w:val="nil"/>
              <w:bottom w:val="nil"/>
              <w:right w:val="nil"/>
            </w:tcBorders>
            <w:shd w:val="clear" w:color="auto" w:fill="auto"/>
            <w:noWrap/>
            <w:vAlign w:val="center"/>
            <w:hideMark/>
          </w:tcPr>
          <w:p w14:paraId="0932686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4" w:type="pct"/>
            <w:tcBorders>
              <w:top w:val="nil"/>
              <w:left w:val="nil"/>
              <w:bottom w:val="nil"/>
              <w:right w:val="nil"/>
            </w:tcBorders>
            <w:shd w:val="clear" w:color="auto" w:fill="auto"/>
            <w:noWrap/>
            <w:vAlign w:val="center"/>
            <w:hideMark/>
          </w:tcPr>
          <w:p w14:paraId="6DDC2DF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705" w:type="pct"/>
            <w:tcBorders>
              <w:top w:val="nil"/>
              <w:left w:val="nil"/>
              <w:bottom w:val="nil"/>
              <w:right w:val="nil"/>
            </w:tcBorders>
            <w:shd w:val="clear" w:color="auto" w:fill="auto"/>
            <w:noWrap/>
            <w:vAlign w:val="center"/>
            <w:hideMark/>
          </w:tcPr>
          <w:p w14:paraId="32DBD11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10</w:t>
            </w:r>
          </w:p>
        </w:tc>
        <w:tc>
          <w:tcPr>
            <w:tcW w:w="634" w:type="pct"/>
            <w:tcBorders>
              <w:top w:val="nil"/>
              <w:left w:val="nil"/>
              <w:bottom w:val="nil"/>
              <w:right w:val="nil"/>
            </w:tcBorders>
            <w:shd w:val="clear" w:color="auto" w:fill="auto"/>
            <w:noWrap/>
            <w:vAlign w:val="center"/>
            <w:hideMark/>
          </w:tcPr>
          <w:p w14:paraId="35F23FE5"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2989FF6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17</w:t>
            </w:r>
          </w:p>
        </w:tc>
        <w:tc>
          <w:tcPr>
            <w:tcW w:w="401" w:type="pct"/>
            <w:tcBorders>
              <w:top w:val="nil"/>
              <w:left w:val="nil"/>
              <w:bottom w:val="nil"/>
              <w:right w:val="nil"/>
            </w:tcBorders>
            <w:shd w:val="clear" w:color="auto" w:fill="auto"/>
            <w:noWrap/>
            <w:vAlign w:val="center"/>
            <w:hideMark/>
          </w:tcPr>
          <w:p w14:paraId="2E1893C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83</w:t>
            </w:r>
          </w:p>
        </w:tc>
      </w:tr>
      <w:tr w:rsidR="00A11D2E" w:rsidRPr="00AD3B35" w14:paraId="7614827F" w14:textId="77777777" w:rsidTr="00960BB8">
        <w:trPr>
          <w:trHeight w:val="360"/>
        </w:trPr>
        <w:tc>
          <w:tcPr>
            <w:tcW w:w="822" w:type="pct"/>
            <w:tcBorders>
              <w:top w:val="nil"/>
              <w:left w:val="nil"/>
              <w:bottom w:val="nil"/>
              <w:right w:val="nil"/>
            </w:tcBorders>
            <w:shd w:val="clear" w:color="auto" w:fill="auto"/>
            <w:noWrap/>
            <w:vAlign w:val="center"/>
            <w:hideMark/>
          </w:tcPr>
          <w:p w14:paraId="6E4CAA3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Potomac</w:t>
            </w:r>
          </w:p>
        </w:tc>
        <w:tc>
          <w:tcPr>
            <w:tcW w:w="513" w:type="pct"/>
            <w:tcBorders>
              <w:top w:val="nil"/>
              <w:left w:val="nil"/>
              <w:bottom w:val="nil"/>
              <w:right w:val="nil"/>
            </w:tcBorders>
            <w:shd w:val="clear" w:color="auto" w:fill="auto"/>
            <w:noWrap/>
            <w:vAlign w:val="center"/>
            <w:hideMark/>
          </w:tcPr>
          <w:p w14:paraId="0E2AEE5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44</w:t>
            </w:r>
          </w:p>
        </w:tc>
        <w:tc>
          <w:tcPr>
            <w:tcW w:w="637" w:type="pct"/>
            <w:tcBorders>
              <w:top w:val="nil"/>
              <w:left w:val="nil"/>
              <w:bottom w:val="nil"/>
              <w:right w:val="nil"/>
            </w:tcBorders>
            <w:shd w:val="clear" w:color="auto" w:fill="auto"/>
            <w:noWrap/>
            <w:vAlign w:val="center"/>
            <w:hideMark/>
          </w:tcPr>
          <w:p w14:paraId="2006BB9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674" w:type="pct"/>
            <w:tcBorders>
              <w:top w:val="nil"/>
              <w:left w:val="nil"/>
              <w:bottom w:val="nil"/>
              <w:right w:val="nil"/>
            </w:tcBorders>
            <w:shd w:val="clear" w:color="auto" w:fill="auto"/>
            <w:noWrap/>
            <w:vAlign w:val="center"/>
            <w:hideMark/>
          </w:tcPr>
          <w:p w14:paraId="3D57D2A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705" w:type="pct"/>
            <w:tcBorders>
              <w:top w:val="nil"/>
              <w:left w:val="nil"/>
              <w:bottom w:val="nil"/>
              <w:right w:val="nil"/>
            </w:tcBorders>
            <w:shd w:val="clear" w:color="auto" w:fill="auto"/>
            <w:noWrap/>
            <w:vAlign w:val="center"/>
            <w:hideMark/>
          </w:tcPr>
          <w:p w14:paraId="6D39CE2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40</w:t>
            </w:r>
          </w:p>
        </w:tc>
        <w:tc>
          <w:tcPr>
            <w:tcW w:w="634" w:type="pct"/>
            <w:tcBorders>
              <w:top w:val="nil"/>
              <w:left w:val="nil"/>
              <w:bottom w:val="nil"/>
              <w:right w:val="nil"/>
            </w:tcBorders>
            <w:shd w:val="clear" w:color="auto" w:fill="auto"/>
            <w:noWrap/>
            <w:vAlign w:val="center"/>
            <w:hideMark/>
          </w:tcPr>
          <w:p w14:paraId="5DA6747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615" w:type="pct"/>
            <w:tcBorders>
              <w:top w:val="nil"/>
              <w:left w:val="nil"/>
              <w:bottom w:val="nil"/>
              <w:right w:val="nil"/>
            </w:tcBorders>
            <w:shd w:val="clear" w:color="auto" w:fill="auto"/>
            <w:noWrap/>
            <w:vAlign w:val="center"/>
            <w:hideMark/>
          </w:tcPr>
          <w:p w14:paraId="55CE484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401" w:type="pct"/>
            <w:tcBorders>
              <w:top w:val="nil"/>
              <w:left w:val="nil"/>
              <w:bottom w:val="nil"/>
              <w:right w:val="nil"/>
            </w:tcBorders>
            <w:shd w:val="clear" w:color="auto" w:fill="auto"/>
            <w:noWrap/>
            <w:vAlign w:val="center"/>
            <w:hideMark/>
          </w:tcPr>
          <w:p w14:paraId="65B89AB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91</w:t>
            </w:r>
          </w:p>
        </w:tc>
      </w:tr>
      <w:tr w:rsidR="00A11D2E" w:rsidRPr="00AD3B35" w14:paraId="75161ABD" w14:textId="77777777" w:rsidTr="00960BB8">
        <w:trPr>
          <w:trHeight w:val="360"/>
        </w:trPr>
        <w:tc>
          <w:tcPr>
            <w:tcW w:w="822" w:type="pct"/>
            <w:tcBorders>
              <w:top w:val="nil"/>
              <w:left w:val="nil"/>
              <w:bottom w:val="nil"/>
              <w:right w:val="nil"/>
            </w:tcBorders>
            <w:shd w:val="clear" w:color="auto" w:fill="auto"/>
            <w:noWrap/>
            <w:vAlign w:val="center"/>
            <w:hideMark/>
          </w:tcPr>
          <w:p w14:paraId="0BDF336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Rappahannock</w:t>
            </w:r>
          </w:p>
        </w:tc>
        <w:tc>
          <w:tcPr>
            <w:tcW w:w="513" w:type="pct"/>
            <w:tcBorders>
              <w:top w:val="nil"/>
              <w:left w:val="nil"/>
              <w:bottom w:val="nil"/>
              <w:right w:val="nil"/>
            </w:tcBorders>
            <w:shd w:val="clear" w:color="auto" w:fill="auto"/>
            <w:noWrap/>
            <w:vAlign w:val="center"/>
            <w:hideMark/>
          </w:tcPr>
          <w:p w14:paraId="0CC4CF04"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38</w:t>
            </w:r>
          </w:p>
        </w:tc>
        <w:tc>
          <w:tcPr>
            <w:tcW w:w="637" w:type="pct"/>
            <w:tcBorders>
              <w:top w:val="nil"/>
              <w:left w:val="nil"/>
              <w:bottom w:val="nil"/>
              <w:right w:val="nil"/>
            </w:tcBorders>
            <w:shd w:val="clear" w:color="auto" w:fill="auto"/>
            <w:noWrap/>
            <w:vAlign w:val="center"/>
            <w:hideMark/>
          </w:tcPr>
          <w:p w14:paraId="75468DF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674" w:type="pct"/>
            <w:tcBorders>
              <w:top w:val="nil"/>
              <w:left w:val="nil"/>
              <w:bottom w:val="nil"/>
              <w:right w:val="nil"/>
            </w:tcBorders>
            <w:shd w:val="clear" w:color="auto" w:fill="auto"/>
            <w:noWrap/>
            <w:vAlign w:val="center"/>
            <w:hideMark/>
          </w:tcPr>
          <w:p w14:paraId="2EC026F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705" w:type="pct"/>
            <w:tcBorders>
              <w:top w:val="nil"/>
              <w:left w:val="nil"/>
              <w:bottom w:val="nil"/>
              <w:right w:val="nil"/>
            </w:tcBorders>
            <w:shd w:val="clear" w:color="auto" w:fill="auto"/>
            <w:noWrap/>
            <w:vAlign w:val="center"/>
            <w:hideMark/>
          </w:tcPr>
          <w:p w14:paraId="1CA30E5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37</w:t>
            </w:r>
          </w:p>
        </w:tc>
        <w:tc>
          <w:tcPr>
            <w:tcW w:w="634" w:type="pct"/>
            <w:tcBorders>
              <w:top w:val="nil"/>
              <w:left w:val="nil"/>
              <w:bottom w:val="nil"/>
              <w:right w:val="nil"/>
            </w:tcBorders>
            <w:shd w:val="clear" w:color="auto" w:fill="auto"/>
            <w:noWrap/>
            <w:vAlign w:val="center"/>
            <w:hideMark/>
          </w:tcPr>
          <w:p w14:paraId="366B210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615" w:type="pct"/>
            <w:tcBorders>
              <w:top w:val="nil"/>
              <w:left w:val="nil"/>
              <w:bottom w:val="nil"/>
              <w:right w:val="nil"/>
            </w:tcBorders>
            <w:shd w:val="clear" w:color="auto" w:fill="auto"/>
            <w:noWrap/>
            <w:vAlign w:val="center"/>
            <w:hideMark/>
          </w:tcPr>
          <w:p w14:paraId="46DF3DE5"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7D565C0B"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97</w:t>
            </w:r>
          </w:p>
        </w:tc>
      </w:tr>
      <w:tr w:rsidR="00A11D2E" w:rsidRPr="00AD3B35" w14:paraId="7113B46E" w14:textId="77777777" w:rsidTr="00960BB8">
        <w:trPr>
          <w:trHeight w:val="360"/>
        </w:trPr>
        <w:tc>
          <w:tcPr>
            <w:tcW w:w="822" w:type="pct"/>
            <w:tcBorders>
              <w:top w:val="nil"/>
              <w:left w:val="nil"/>
              <w:bottom w:val="nil"/>
              <w:right w:val="nil"/>
            </w:tcBorders>
            <w:shd w:val="clear" w:color="auto" w:fill="auto"/>
            <w:noWrap/>
            <w:vAlign w:val="center"/>
            <w:hideMark/>
          </w:tcPr>
          <w:p w14:paraId="6C0CB18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Roanoke</w:t>
            </w:r>
          </w:p>
        </w:tc>
        <w:tc>
          <w:tcPr>
            <w:tcW w:w="513" w:type="pct"/>
            <w:tcBorders>
              <w:top w:val="nil"/>
              <w:left w:val="nil"/>
              <w:bottom w:val="nil"/>
              <w:right w:val="nil"/>
            </w:tcBorders>
            <w:shd w:val="clear" w:color="auto" w:fill="auto"/>
            <w:noWrap/>
            <w:vAlign w:val="center"/>
            <w:hideMark/>
          </w:tcPr>
          <w:p w14:paraId="3E03856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43</w:t>
            </w:r>
          </w:p>
        </w:tc>
        <w:tc>
          <w:tcPr>
            <w:tcW w:w="637" w:type="pct"/>
            <w:tcBorders>
              <w:top w:val="nil"/>
              <w:left w:val="nil"/>
              <w:bottom w:val="nil"/>
              <w:right w:val="nil"/>
            </w:tcBorders>
            <w:shd w:val="clear" w:color="auto" w:fill="auto"/>
            <w:noWrap/>
            <w:vAlign w:val="center"/>
            <w:hideMark/>
          </w:tcPr>
          <w:p w14:paraId="28216F8D"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674" w:type="pct"/>
            <w:tcBorders>
              <w:top w:val="nil"/>
              <w:left w:val="nil"/>
              <w:bottom w:val="nil"/>
              <w:right w:val="nil"/>
            </w:tcBorders>
            <w:shd w:val="clear" w:color="auto" w:fill="auto"/>
            <w:noWrap/>
            <w:vAlign w:val="center"/>
            <w:hideMark/>
          </w:tcPr>
          <w:p w14:paraId="25C1315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705" w:type="pct"/>
            <w:tcBorders>
              <w:top w:val="nil"/>
              <w:left w:val="nil"/>
              <w:bottom w:val="nil"/>
              <w:right w:val="nil"/>
            </w:tcBorders>
            <w:shd w:val="clear" w:color="auto" w:fill="auto"/>
            <w:noWrap/>
            <w:vAlign w:val="center"/>
            <w:hideMark/>
          </w:tcPr>
          <w:p w14:paraId="7F8F9F0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38</w:t>
            </w:r>
          </w:p>
        </w:tc>
        <w:tc>
          <w:tcPr>
            <w:tcW w:w="634" w:type="pct"/>
            <w:tcBorders>
              <w:top w:val="nil"/>
              <w:left w:val="nil"/>
              <w:bottom w:val="nil"/>
              <w:right w:val="nil"/>
            </w:tcBorders>
            <w:shd w:val="clear" w:color="auto" w:fill="auto"/>
            <w:noWrap/>
            <w:vAlign w:val="center"/>
            <w:hideMark/>
          </w:tcPr>
          <w:p w14:paraId="43D43B5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615" w:type="pct"/>
            <w:tcBorders>
              <w:top w:val="nil"/>
              <w:left w:val="nil"/>
              <w:bottom w:val="nil"/>
              <w:right w:val="nil"/>
            </w:tcBorders>
            <w:shd w:val="clear" w:color="auto" w:fill="auto"/>
            <w:noWrap/>
            <w:vAlign w:val="center"/>
            <w:hideMark/>
          </w:tcPr>
          <w:p w14:paraId="3FF4446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w:t>
            </w:r>
          </w:p>
        </w:tc>
        <w:tc>
          <w:tcPr>
            <w:tcW w:w="401" w:type="pct"/>
            <w:tcBorders>
              <w:top w:val="nil"/>
              <w:left w:val="nil"/>
              <w:bottom w:val="nil"/>
              <w:right w:val="nil"/>
            </w:tcBorders>
            <w:shd w:val="clear" w:color="auto" w:fill="auto"/>
            <w:noWrap/>
            <w:vAlign w:val="center"/>
            <w:hideMark/>
          </w:tcPr>
          <w:p w14:paraId="18F1032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88</w:t>
            </w:r>
          </w:p>
        </w:tc>
      </w:tr>
      <w:tr w:rsidR="00A11D2E" w:rsidRPr="00AD3B35" w14:paraId="15598586" w14:textId="77777777" w:rsidTr="00960BB8">
        <w:trPr>
          <w:trHeight w:val="360"/>
        </w:trPr>
        <w:tc>
          <w:tcPr>
            <w:tcW w:w="822" w:type="pct"/>
            <w:tcBorders>
              <w:top w:val="nil"/>
              <w:left w:val="nil"/>
              <w:bottom w:val="nil"/>
              <w:right w:val="nil"/>
            </w:tcBorders>
            <w:shd w:val="clear" w:color="auto" w:fill="auto"/>
            <w:noWrap/>
            <w:vAlign w:val="center"/>
            <w:hideMark/>
          </w:tcPr>
          <w:p w14:paraId="1BFDCD0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Shenandoah</w:t>
            </w:r>
          </w:p>
        </w:tc>
        <w:tc>
          <w:tcPr>
            <w:tcW w:w="513" w:type="pct"/>
            <w:tcBorders>
              <w:top w:val="nil"/>
              <w:left w:val="nil"/>
              <w:bottom w:val="nil"/>
              <w:right w:val="nil"/>
            </w:tcBorders>
            <w:shd w:val="clear" w:color="auto" w:fill="auto"/>
            <w:noWrap/>
            <w:vAlign w:val="center"/>
            <w:hideMark/>
          </w:tcPr>
          <w:p w14:paraId="72B07DE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17</w:t>
            </w:r>
          </w:p>
        </w:tc>
        <w:tc>
          <w:tcPr>
            <w:tcW w:w="637" w:type="pct"/>
            <w:tcBorders>
              <w:top w:val="nil"/>
              <w:left w:val="nil"/>
              <w:bottom w:val="nil"/>
              <w:right w:val="nil"/>
            </w:tcBorders>
            <w:shd w:val="clear" w:color="auto" w:fill="auto"/>
            <w:noWrap/>
            <w:vAlign w:val="center"/>
            <w:hideMark/>
          </w:tcPr>
          <w:p w14:paraId="77DB15B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w:t>
            </w:r>
          </w:p>
        </w:tc>
        <w:tc>
          <w:tcPr>
            <w:tcW w:w="674" w:type="pct"/>
            <w:tcBorders>
              <w:top w:val="nil"/>
              <w:left w:val="nil"/>
              <w:bottom w:val="nil"/>
              <w:right w:val="nil"/>
            </w:tcBorders>
            <w:shd w:val="clear" w:color="auto" w:fill="auto"/>
            <w:noWrap/>
            <w:vAlign w:val="center"/>
            <w:hideMark/>
          </w:tcPr>
          <w:p w14:paraId="2ADD88DE"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705" w:type="pct"/>
            <w:tcBorders>
              <w:top w:val="nil"/>
              <w:left w:val="nil"/>
              <w:bottom w:val="nil"/>
              <w:right w:val="nil"/>
            </w:tcBorders>
            <w:shd w:val="clear" w:color="auto" w:fill="auto"/>
            <w:noWrap/>
            <w:vAlign w:val="center"/>
            <w:hideMark/>
          </w:tcPr>
          <w:p w14:paraId="0FD86FB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13</w:t>
            </w:r>
          </w:p>
        </w:tc>
        <w:tc>
          <w:tcPr>
            <w:tcW w:w="634" w:type="pct"/>
            <w:tcBorders>
              <w:top w:val="nil"/>
              <w:left w:val="nil"/>
              <w:bottom w:val="nil"/>
              <w:right w:val="nil"/>
            </w:tcBorders>
            <w:shd w:val="clear" w:color="auto" w:fill="auto"/>
            <w:noWrap/>
            <w:vAlign w:val="center"/>
            <w:hideMark/>
          </w:tcPr>
          <w:p w14:paraId="7D426265"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18</w:t>
            </w:r>
          </w:p>
        </w:tc>
        <w:tc>
          <w:tcPr>
            <w:tcW w:w="615" w:type="pct"/>
            <w:tcBorders>
              <w:top w:val="nil"/>
              <w:left w:val="nil"/>
              <w:bottom w:val="nil"/>
              <w:right w:val="nil"/>
            </w:tcBorders>
            <w:shd w:val="clear" w:color="auto" w:fill="auto"/>
            <w:noWrap/>
            <w:vAlign w:val="center"/>
            <w:hideMark/>
          </w:tcPr>
          <w:p w14:paraId="76C5AF4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w:t>
            </w:r>
          </w:p>
        </w:tc>
        <w:tc>
          <w:tcPr>
            <w:tcW w:w="401" w:type="pct"/>
            <w:tcBorders>
              <w:top w:val="nil"/>
              <w:left w:val="nil"/>
              <w:bottom w:val="nil"/>
              <w:right w:val="nil"/>
            </w:tcBorders>
            <w:shd w:val="clear" w:color="auto" w:fill="auto"/>
            <w:noWrap/>
            <w:vAlign w:val="center"/>
            <w:hideMark/>
          </w:tcPr>
          <w:p w14:paraId="18E1467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76</w:t>
            </w:r>
          </w:p>
        </w:tc>
      </w:tr>
      <w:tr w:rsidR="00A11D2E" w:rsidRPr="00AD3B35" w14:paraId="5609A530" w14:textId="77777777" w:rsidTr="00960BB8">
        <w:trPr>
          <w:trHeight w:val="360"/>
        </w:trPr>
        <w:tc>
          <w:tcPr>
            <w:tcW w:w="822" w:type="pct"/>
            <w:tcBorders>
              <w:top w:val="nil"/>
              <w:left w:val="nil"/>
              <w:right w:val="nil"/>
            </w:tcBorders>
            <w:shd w:val="clear" w:color="auto" w:fill="auto"/>
            <w:noWrap/>
            <w:vAlign w:val="center"/>
            <w:hideMark/>
          </w:tcPr>
          <w:p w14:paraId="266418E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Tennessee</w:t>
            </w:r>
          </w:p>
        </w:tc>
        <w:tc>
          <w:tcPr>
            <w:tcW w:w="513" w:type="pct"/>
            <w:tcBorders>
              <w:top w:val="nil"/>
              <w:left w:val="nil"/>
              <w:right w:val="nil"/>
            </w:tcBorders>
            <w:shd w:val="clear" w:color="auto" w:fill="auto"/>
            <w:noWrap/>
            <w:vAlign w:val="center"/>
            <w:hideMark/>
          </w:tcPr>
          <w:p w14:paraId="691D4597"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20</w:t>
            </w:r>
          </w:p>
        </w:tc>
        <w:tc>
          <w:tcPr>
            <w:tcW w:w="637" w:type="pct"/>
            <w:tcBorders>
              <w:top w:val="nil"/>
              <w:left w:val="nil"/>
              <w:right w:val="nil"/>
            </w:tcBorders>
            <w:shd w:val="clear" w:color="auto" w:fill="auto"/>
            <w:noWrap/>
            <w:vAlign w:val="center"/>
            <w:hideMark/>
          </w:tcPr>
          <w:p w14:paraId="2303979C"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w:t>
            </w:r>
          </w:p>
        </w:tc>
        <w:tc>
          <w:tcPr>
            <w:tcW w:w="674" w:type="pct"/>
            <w:tcBorders>
              <w:top w:val="nil"/>
              <w:left w:val="nil"/>
              <w:right w:val="nil"/>
            </w:tcBorders>
            <w:shd w:val="clear" w:color="auto" w:fill="auto"/>
            <w:noWrap/>
            <w:vAlign w:val="center"/>
            <w:hideMark/>
          </w:tcPr>
          <w:p w14:paraId="5BDC08C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705" w:type="pct"/>
            <w:tcBorders>
              <w:top w:val="nil"/>
              <w:left w:val="nil"/>
              <w:right w:val="nil"/>
            </w:tcBorders>
            <w:shd w:val="clear" w:color="auto" w:fill="auto"/>
            <w:noWrap/>
            <w:vAlign w:val="center"/>
            <w:hideMark/>
          </w:tcPr>
          <w:p w14:paraId="23496A4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19</w:t>
            </w:r>
          </w:p>
        </w:tc>
        <w:tc>
          <w:tcPr>
            <w:tcW w:w="634" w:type="pct"/>
            <w:tcBorders>
              <w:top w:val="nil"/>
              <w:left w:val="nil"/>
              <w:right w:val="nil"/>
            </w:tcBorders>
            <w:shd w:val="clear" w:color="auto" w:fill="auto"/>
            <w:noWrap/>
            <w:vAlign w:val="center"/>
            <w:hideMark/>
          </w:tcPr>
          <w:p w14:paraId="527DD651"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5</w:t>
            </w:r>
          </w:p>
        </w:tc>
        <w:tc>
          <w:tcPr>
            <w:tcW w:w="615" w:type="pct"/>
            <w:tcBorders>
              <w:top w:val="nil"/>
              <w:left w:val="nil"/>
              <w:right w:val="nil"/>
            </w:tcBorders>
            <w:shd w:val="clear" w:color="auto" w:fill="auto"/>
            <w:noWrap/>
            <w:vAlign w:val="center"/>
            <w:hideMark/>
          </w:tcPr>
          <w:p w14:paraId="4093BCB0"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401" w:type="pct"/>
            <w:tcBorders>
              <w:top w:val="nil"/>
              <w:left w:val="nil"/>
              <w:right w:val="nil"/>
            </w:tcBorders>
            <w:shd w:val="clear" w:color="auto" w:fill="auto"/>
            <w:noWrap/>
            <w:vAlign w:val="center"/>
            <w:hideMark/>
          </w:tcPr>
          <w:p w14:paraId="7EBA8EE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95</w:t>
            </w:r>
          </w:p>
        </w:tc>
      </w:tr>
      <w:tr w:rsidR="00A11D2E" w:rsidRPr="00AD3B35" w14:paraId="41C07935" w14:textId="77777777" w:rsidTr="00960BB8">
        <w:trPr>
          <w:trHeight w:val="360"/>
        </w:trPr>
        <w:tc>
          <w:tcPr>
            <w:tcW w:w="822" w:type="pct"/>
            <w:tcBorders>
              <w:top w:val="nil"/>
              <w:left w:val="nil"/>
              <w:bottom w:val="single" w:sz="12" w:space="0" w:color="auto"/>
              <w:right w:val="nil"/>
            </w:tcBorders>
            <w:shd w:val="clear" w:color="auto" w:fill="auto"/>
            <w:noWrap/>
            <w:vAlign w:val="center"/>
            <w:hideMark/>
          </w:tcPr>
          <w:p w14:paraId="4B12F7C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York</w:t>
            </w:r>
          </w:p>
        </w:tc>
        <w:tc>
          <w:tcPr>
            <w:tcW w:w="513" w:type="pct"/>
            <w:tcBorders>
              <w:top w:val="nil"/>
              <w:left w:val="nil"/>
              <w:bottom w:val="single" w:sz="12" w:space="0" w:color="auto"/>
              <w:right w:val="nil"/>
            </w:tcBorders>
            <w:shd w:val="clear" w:color="auto" w:fill="auto"/>
            <w:noWrap/>
            <w:vAlign w:val="center"/>
            <w:hideMark/>
          </w:tcPr>
          <w:p w14:paraId="31B8893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34</w:t>
            </w:r>
          </w:p>
        </w:tc>
        <w:tc>
          <w:tcPr>
            <w:tcW w:w="637" w:type="pct"/>
            <w:tcBorders>
              <w:top w:val="nil"/>
              <w:left w:val="nil"/>
              <w:bottom w:val="single" w:sz="12" w:space="0" w:color="auto"/>
              <w:right w:val="nil"/>
            </w:tcBorders>
            <w:shd w:val="clear" w:color="auto" w:fill="auto"/>
            <w:noWrap/>
            <w:vAlign w:val="center"/>
            <w:hideMark/>
          </w:tcPr>
          <w:p w14:paraId="0F753A2F"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74" w:type="pct"/>
            <w:tcBorders>
              <w:top w:val="nil"/>
              <w:left w:val="nil"/>
              <w:bottom w:val="single" w:sz="12" w:space="0" w:color="auto"/>
              <w:right w:val="nil"/>
            </w:tcBorders>
            <w:shd w:val="clear" w:color="auto" w:fill="auto"/>
            <w:noWrap/>
            <w:vAlign w:val="center"/>
            <w:hideMark/>
          </w:tcPr>
          <w:p w14:paraId="1F45D4D3"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2</w:t>
            </w:r>
          </w:p>
        </w:tc>
        <w:tc>
          <w:tcPr>
            <w:tcW w:w="705" w:type="pct"/>
            <w:tcBorders>
              <w:top w:val="nil"/>
              <w:left w:val="nil"/>
              <w:bottom w:val="single" w:sz="12" w:space="0" w:color="auto"/>
              <w:right w:val="nil"/>
            </w:tcBorders>
            <w:shd w:val="clear" w:color="auto" w:fill="auto"/>
            <w:noWrap/>
            <w:vAlign w:val="center"/>
            <w:hideMark/>
          </w:tcPr>
          <w:p w14:paraId="55025B86"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32</w:t>
            </w:r>
          </w:p>
        </w:tc>
        <w:tc>
          <w:tcPr>
            <w:tcW w:w="634" w:type="pct"/>
            <w:tcBorders>
              <w:top w:val="nil"/>
              <w:left w:val="nil"/>
              <w:bottom w:val="single" w:sz="12" w:space="0" w:color="auto"/>
              <w:right w:val="nil"/>
            </w:tcBorders>
            <w:shd w:val="clear" w:color="auto" w:fill="auto"/>
            <w:noWrap/>
            <w:vAlign w:val="center"/>
            <w:hideMark/>
          </w:tcPr>
          <w:p w14:paraId="567DF859"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0</w:t>
            </w:r>
          </w:p>
        </w:tc>
        <w:tc>
          <w:tcPr>
            <w:tcW w:w="615" w:type="pct"/>
            <w:tcBorders>
              <w:top w:val="nil"/>
              <w:left w:val="nil"/>
              <w:bottom w:val="single" w:sz="12" w:space="0" w:color="auto"/>
              <w:right w:val="nil"/>
            </w:tcBorders>
            <w:shd w:val="clear" w:color="auto" w:fill="auto"/>
            <w:noWrap/>
            <w:vAlign w:val="center"/>
            <w:hideMark/>
          </w:tcPr>
          <w:p w14:paraId="39AD51EA"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6</w:t>
            </w:r>
          </w:p>
        </w:tc>
        <w:tc>
          <w:tcPr>
            <w:tcW w:w="401" w:type="pct"/>
            <w:tcBorders>
              <w:top w:val="nil"/>
              <w:left w:val="nil"/>
              <w:bottom w:val="single" w:sz="12" w:space="0" w:color="auto"/>
              <w:right w:val="nil"/>
            </w:tcBorders>
            <w:shd w:val="clear" w:color="auto" w:fill="auto"/>
            <w:noWrap/>
            <w:vAlign w:val="center"/>
            <w:hideMark/>
          </w:tcPr>
          <w:p w14:paraId="492C40D8" w14:textId="77777777" w:rsidR="00A11D2E" w:rsidRPr="00997684" w:rsidRDefault="00A11D2E">
            <w:pPr>
              <w:widowControl/>
              <w:jc w:val="center"/>
              <w:rPr>
                <w:rFonts w:cstheme="minorHAnsi"/>
                <w:bCs/>
                <w:snapToGrid/>
                <w:sz w:val="22"/>
                <w:szCs w:val="22"/>
              </w:rPr>
            </w:pPr>
            <w:r w:rsidRPr="00997684">
              <w:rPr>
                <w:rFonts w:cstheme="minorHAnsi"/>
                <w:snapToGrid/>
                <w:sz w:val="22"/>
                <w:szCs w:val="22"/>
              </w:rPr>
              <w:t>94</w:t>
            </w:r>
          </w:p>
        </w:tc>
      </w:tr>
    </w:tbl>
    <w:p w14:paraId="0FF6BED3" w14:textId="2436A721" w:rsidR="00A11D2E" w:rsidRPr="00AD3B35" w:rsidRDefault="00A11D2E" w:rsidP="00A11D2E">
      <w:pPr>
        <w:rPr>
          <w:rFonts w:cstheme="minorHAnsi"/>
        </w:rPr>
        <w:sectPr w:rsidR="00A11D2E" w:rsidRPr="00AD3B35" w:rsidSect="009079C4">
          <w:pgSz w:w="12240" w:h="15840" w:code="1"/>
          <w:pgMar w:top="1440" w:right="1440" w:bottom="1440" w:left="1440" w:header="720" w:footer="720" w:gutter="0"/>
          <w:cols w:space="720"/>
          <w:docGrid w:linePitch="360"/>
        </w:sectPr>
      </w:pPr>
    </w:p>
    <w:p w14:paraId="383203D1" w14:textId="4720355B" w:rsidR="00EA0BA8" w:rsidRDefault="00EA0BA8" w:rsidP="00B865BC">
      <w:pPr>
        <w:pStyle w:val="BodyTextIndent"/>
        <w:keepNext/>
        <w:ind w:left="720" w:firstLine="0"/>
        <w:jc w:val="left"/>
        <w:rPr>
          <w:noProof/>
        </w:rPr>
      </w:pPr>
    </w:p>
    <w:p w14:paraId="382557EA" w14:textId="681AC420" w:rsidR="00B865BC" w:rsidRDefault="00EA0BA8" w:rsidP="00FC23C8">
      <w:pPr>
        <w:pStyle w:val="BodyTextIndent"/>
        <w:keepNext/>
        <w:ind w:left="720" w:firstLine="0"/>
        <w:jc w:val="left"/>
        <w:rPr>
          <w:noProof/>
        </w:rPr>
      </w:pPr>
      <w:r>
        <w:rPr>
          <w:noProof/>
          <w:snapToGrid/>
          <w14:ligatures w14:val="standardContextual"/>
        </w:rPr>
        <mc:AlternateContent>
          <mc:Choice Requires="wps">
            <w:drawing>
              <wp:anchor distT="45720" distB="45720" distL="114300" distR="114300" simplePos="0" relativeHeight="251658240" behindDoc="0" locked="0" layoutInCell="1" allowOverlap="1" wp14:anchorId="4E1FA565" wp14:editId="1C733FA0">
                <wp:simplePos x="0" y="0"/>
                <wp:positionH relativeFrom="column">
                  <wp:posOffset>990600</wp:posOffset>
                </wp:positionH>
                <wp:positionV relativeFrom="paragraph">
                  <wp:posOffset>480695</wp:posOffset>
                </wp:positionV>
                <wp:extent cx="904875" cy="277495"/>
                <wp:effectExtent l="0" t="0" r="9525" b="0"/>
                <wp:wrapNone/>
                <wp:docPr id="719188151" name="Text Box 719188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7495"/>
                        </a:xfrm>
                        <a:prstGeom prst="rect">
                          <a:avLst/>
                        </a:prstGeom>
                        <a:solidFill>
                          <a:srgbClr val="FFFFFF"/>
                        </a:solidFill>
                        <a:ln w="9525">
                          <a:noFill/>
                          <a:miter lim="800000"/>
                          <a:headEnd/>
                          <a:tailEnd/>
                        </a:ln>
                      </wps:spPr>
                      <wps:txbx>
                        <w:txbxContent>
                          <w:p w14:paraId="6F538012" w14:textId="77777777" w:rsidR="00EA0BA8" w:rsidRPr="00890E4C" w:rsidRDefault="00EA0BA8" w:rsidP="00EA0BA8">
                            <w:r w:rsidRPr="00890E4C">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1FA565" id="Text Box 719188151" o:spid="_x0000_s1039" type="#_x0000_t202" alt="&quot;&quot;" style="position:absolute;left:0;text-align:left;margin-left:78pt;margin-top:37.85pt;width:71.25pt;height:21.85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" stroked="f">
                <v:textbox style="mso-fit-shape-to-text:t">
                  <w:txbxContent>
                    <w:p w14:paraId="6F538012" w14:textId="77777777" w:rsidR="00EA0BA8" w:rsidRPr="00890E4C" w:rsidRDefault="00EA0BA8" w:rsidP="00EA0BA8">
                      <w:r w:rsidRPr="00890E4C">
                        <w:t>River Basin</w:t>
                      </w:r>
                    </w:p>
                  </w:txbxContent>
                </v:textbox>
              </v:shape>
            </w:pict>
          </mc:Fallback>
        </mc:AlternateContent>
      </w:r>
      <w:r w:rsidR="003203B6" w:rsidRPr="00727649">
        <w:rPr>
          <w:noProof/>
        </w:rPr>
        <w:drawing>
          <wp:inline distT="0" distB="0" distL="0" distR="0" wp14:anchorId="1E7AE030" wp14:editId="7BD68B35">
            <wp:extent cx="8229600" cy="5248275"/>
            <wp:effectExtent l="0" t="0" r="0" b="9525"/>
            <wp:docPr id="1141872103" name="Picture 1141872103" descr="Map&#10;&#10;Figure 4.7 8. Statewide Escherichia coli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72103" name="Picture 1141872103" descr="Map&#10;&#10;Figure 4.7 8. Statewide Escherichia coli trends."/>
                    <pic:cNvPicPr/>
                  </pic:nvPicPr>
                  <pic:blipFill rotWithShape="1">
                    <a:blip r:embed="rId222" cstate="print">
                      <a:extLst>
                        <a:ext uri="{28A0092B-C50C-407E-A947-70E740481C1C}">
                          <a14:useLocalDpi xmlns:a14="http://schemas.microsoft.com/office/drawing/2010/main"/>
                        </a:ext>
                      </a:extLst>
                    </a:blip>
                    <a:srcRect/>
                    <a:stretch/>
                  </pic:blipFill>
                  <pic:spPr bwMode="auto">
                    <a:xfrm>
                      <a:off x="0" y="0"/>
                      <a:ext cx="8229600" cy="5248275"/>
                    </a:xfrm>
                    <a:prstGeom prst="rect">
                      <a:avLst/>
                    </a:prstGeom>
                    <a:ln>
                      <a:noFill/>
                    </a:ln>
                    <a:extLst>
                      <a:ext uri="{53640926-AAD7-44D8-BBD7-CCE9431645EC}">
                        <a14:shadowObscured xmlns:a14="http://schemas.microsoft.com/office/drawing/2010/main"/>
                      </a:ext>
                    </a:extLst>
                  </pic:spPr>
                </pic:pic>
              </a:graphicData>
            </a:graphic>
          </wp:inline>
        </w:drawing>
      </w:r>
    </w:p>
    <w:p w14:paraId="0BAA791D" w14:textId="3D2876CC" w:rsidR="00B865BC" w:rsidRDefault="00B865BC" w:rsidP="00B865BC">
      <w:pPr>
        <w:pStyle w:val="Caption"/>
      </w:pPr>
      <w:bookmarkStart w:id="363" w:name="_Toc152766306"/>
      <w:bookmarkStart w:id="364" w:name="_Toc164175131"/>
      <w:r>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8</w:t>
      </w:r>
      <w:r w:rsidR="004F13BA">
        <w:rPr>
          <w:noProof/>
        </w:rPr>
        <w:fldChar w:fldCharType="end"/>
      </w:r>
      <w:r>
        <w:t xml:space="preserve">. </w:t>
      </w:r>
      <w:r w:rsidRPr="00B865BC">
        <w:rPr>
          <w:rFonts w:cstheme="minorHAnsi"/>
          <w:bCs/>
        </w:rPr>
        <w:t xml:space="preserve">Statewide </w:t>
      </w:r>
      <w:r w:rsidRPr="00B865BC">
        <w:rPr>
          <w:rFonts w:cstheme="minorHAnsi"/>
          <w:bCs/>
          <w:i/>
        </w:rPr>
        <w:t>Escherichia coli</w:t>
      </w:r>
      <w:r w:rsidRPr="00B865BC">
        <w:rPr>
          <w:rFonts w:cstheme="minorHAnsi"/>
          <w:bCs/>
        </w:rPr>
        <w:t xml:space="preserve"> trends.</w:t>
      </w:r>
      <w:bookmarkEnd w:id="363"/>
      <w:bookmarkEnd w:id="364"/>
    </w:p>
    <w:p w14:paraId="0180CC2C" w14:textId="1558124E" w:rsidR="00B865BC" w:rsidRDefault="00CE46F4" w:rsidP="00B865BC">
      <w:pPr>
        <w:keepNext/>
        <w:ind w:left="720"/>
      </w:pPr>
      <w:r>
        <w:rPr>
          <w:noProof/>
          <w:snapToGrid/>
          <w14:ligatures w14:val="standardContextual"/>
        </w:rPr>
        <w:lastRenderedPageBreak/>
        <w:drawing>
          <wp:inline distT="0" distB="0" distL="0" distR="0" wp14:anchorId="6EC309FB" wp14:editId="74B4FB1B">
            <wp:extent cx="8229600" cy="5325110"/>
            <wp:effectExtent l="0" t="0" r="0" b="8890"/>
            <wp:docPr id="2006822235" name="Picture 4" descr="Map&#10;&#10;Figure 4.7 9. Statewide Enterococci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822235" name="Picture 4" descr="Map&#10;&#10;Figure 4.7 9. Statewide Enterococci trends."/>
                    <pic:cNvPicPr/>
                  </pic:nvPicPr>
                  <pic:blipFill>
                    <a:blip r:embed="rId223" cstate="print">
                      <a:extLst>
                        <a:ext uri="{28A0092B-C50C-407E-A947-70E740481C1C}">
                          <a14:useLocalDpi xmlns:a14="http://schemas.microsoft.com/office/drawing/2010/main"/>
                        </a:ext>
                      </a:extLst>
                    </a:blip>
                    <a:stretch>
                      <a:fillRect/>
                    </a:stretch>
                  </pic:blipFill>
                  <pic:spPr>
                    <a:xfrm>
                      <a:off x="0" y="0"/>
                      <a:ext cx="8229600" cy="5325110"/>
                    </a:xfrm>
                    <a:prstGeom prst="rect">
                      <a:avLst/>
                    </a:prstGeom>
                  </pic:spPr>
                </pic:pic>
              </a:graphicData>
            </a:graphic>
          </wp:inline>
        </w:drawing>
      </w:r>
      <w:r w:rsidR="00BA36E1">
        <w:rPr>
          <w:noProof/>
          <w:snapToGrid/>
          <w14:ligatures w14:val="standardContextual"/>
        </w:rPr>
        <mc:AlternateContent>
          <mc:Choice Requires="wps">
            <w:drawing>
              <wp:anchor distT="45720" distB="45720" distL="114300" distR="114300" simplePos="0" relativeHeight="251658251" behindDoc="0" locked="0" layoutInCell="1" allowOverlap="1" wp14:anchorId="063A834F" wp14:editId="0C5C9ACB">
                <wp:simplePos x="0" y="0"/>
                <wp:positionH relativeFrom="column">
                  <wp:posOffset>967563</wp:posOffset>
                </wp:positionH>
                <wp:positionV relativeFrom="paragraph">
                  <wp:posOffset>417860</wp:posOffset>
                </wp:positionV>
                <wp:extent cx="904875" cy="277495"/>
                <wp:effectExtent l="0" t="0" r="9525" b="0"/>
                <wp:wrapNone/>
                <wp:docPr id="259687271" name="Text Box 259687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7495"/>
                        </a:xfrm>
                        <a:prstGeom prst="rect">
                          <a:avLst/>
                        </a:prstGeom>
                        <a:solidFill>
                          <a:srgbClr val="FFFFFF"/>
                        </a:solidFill>
                        <a:ln w="9525">
                          <a:noFill/>
                          <a:miter lim="800000"/>
                          <a:headEnd/>
                          <a:tailEnd/>
                        </a:ln>
                      </wps:spPr>
                      <wps:txbx>
                        <w:txbxContent>
                          <w:p w14:paraId="3E3E9399" w14:textId="77777777" w:rsidR="00BA36E1" w:rsidRPr="00890E4C" w:rsidRDefault="00BA36E1" w:rsidP="00BA36E1">
                            <w:r w:rsidRPr="00890E4C">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3A834F" id="Text Box 259687271" o:spid="_x0000_s1040" type="#_x0000_t202" alt="&quot;&quot;" style="position:absolute;left:0;text-align:left;margin-left:76.2pt;margin-top:32.9pt;width:71.25pt;height:21.85pt;z-index:25165825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" stroked="f">
                <v:textbox style="mso-fit-shape-to-text:t">
                  <w:txbxContent>
                    <w:p w14:paraId="3E3E9399" w14:textId="77777777" w:rsidR="00BA36E1" w:rsidRPr="00890E4C" w:rsidRDefault="00BA36E1" w:rsidP="00BA36E1">
                      <w:r w:rsidRPr="00890E4C">
                        <w:t>River Basin</w:t>
                      </w:r>
                    </w:p>
                  </w:txbxContent>
                </v:textbox>
              </v:shape>
            </w:pict>
          </mc:Fallback>
        </mc:AlternateContent>
      </w:r>
    </w:p>
    <w:p w14:paraId="45255255" w14:textId="098A2E71" w:rsidR="00B865BC" w:rsidRPr="00B865BC" w:rsidRDefault="00B865BC" w:rsidP="00B865BC">
      <w:pPr>
        <w:pStyle w:val="Caption"/>
      </w:pPr>
      <w:bookmarkStart w:id="365" w:name="_Toc152766307"/>
      <w:bookmarkStart w:id="366" w:name="_Toc164175132"/>
      <w:r w:rsidRPr="00B865BC">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9</w:t>
      </w:r>
      <w:r w:rsidR="004F13BA">
        <w:rPr>
          <w:noProof/>
        </w:rPr>
        <w:fldChar w:fldCharType="end"/>
      </w:r>
      <w:r w:rsidRPr="00B865BC">
        <w:t xml:space="preserve">. </w:t>
      </w:r>
      <w:r w:rsidRPr="00B865BC">
        <w:rPr>
          <w:rFonts w:cstheme="minorHAnsi"/>
        </w:rPr>
        <w:t xml:space="preserve">Statewide </w:t>
      </w:r>
      <w:r w:rsidR="00F536AE">
        <w:rPr>
          <w:rFonts w:cstheme="minorHAnsi"/>
        </w:rPr>
        <w:t>E</w:t>
      </w:r>
      <w:r w:rsidRPr="00B865BC">
        <w:rPr>
          <w:rFonts w:cstheme="minorHAnsi"/>
        </w:rPr>
        <w:t>nterococci trends.</w:t>
      </w:r>
      <w:bookmarkEnd w:id="365"/>
      <w:bookmarkEnd w:id="366"/>
    </w:p>
    <w:p w14:paraId="33630551" w14:textId="77777777" w:rsidR="00A11D2E" w:rsidRPr="00AD3B35" w:rsidRDefault="00A11D2E" w:rsidP="00320909">
      <w:pPr>
        <w:rPr>
          <w:rFonts w:cstheme="minorHAnsi"/>
        </w:rPr>
      </w:pPr>
    </w:p>
    <w:p w14:paraId="7A28DF7B" w14:textId="513234E2" w:rsidR="00B865BC" w:rsidRDefault="0022752A" w:rsidP="00B865BC">
      <w:pPr>
        <w:keepNext/>
        <w:ind w:left="720"/>
      </w:pPr>
      <w:r>
        <w:rPr>
          <w:noProof/>
          <w:snapToGrid/>
          <w14:ligatures w14:val="standardContextual"/>
        </w:rPr>
        <w:lastRenderedPageBreak/>
        <w:drawing>
          <wp:inline distT="0" distB="0" distL="0" distR="0" wp14:anchorId="0E239F2A" wp14:editId="513A9FD5">
            <wp:extent cx="8229600" cy="5325110"/>
            <wp:effectExtent l="0" t="0" r="0" b="8890"/>
            <wp:docPr id="2129470661" name="Picture 5" descr="Map&#10;&#10;Figure 4.7 10. Statewide fecal coliform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70661" name="Picture 5" descr="Map&#10;&#10;Figure 4.7 10. Statewide fecal coliform trends"/>
                    <pic:cNvPicPr/>
                  </pic:nvPicPr>
                  <pic:blipFill>
                    <a:blip r:embed="rId224" cstate="print">
                      <a:extLst>
                        <a:ext uri="{28A0092B-C50C-407E-A947-70E740481C1C}">
                          <a14:useLocalDpi xmlns:a14="http://schemas.microsoft.com/office/drawing/2010/main"/>
                        </a:ext>
                      </a:extLst>
                    </a:blip>
                    <a:stretch>
                      <a:fillRect/>
                    </a:stretch>
                  </pic:blipFill>
                  <pic:spPr>
                    <a:xfrm>
                      <a:off x="0" y="0"/>
                      <a:ext cx="8229600" cy="5325110"/>
                    </a:xfrm>
                    <a:prstGeom prst="rect">
                      <a:avLst/>
                    </a:prstGeom>
                  </pic:spPr>
                </pic:pic>
              </a:graphicData>
            </a:graphic>
          </wp:inline>
        </w:drawing>
      </w:r>
      <w:r w:rsidR="00E30CB3">
        <w:rPr>
          <w:noProof/>
          <w:snapToGrid/>
          <w14:ligatures w14:val="standardContextual"/>
        </w:rPr>
        <mc:AlternateContent>
          <mc:Choice Requires="wps">
            <w:drawing>
              <wp:anchor distT="45720" distB="45720" distL="114300" distR="114300" simplePos="0" relativeHeight="251658252" behindDoc="0" locked="0" layoutInCell="1" allowOverlap="1" wp14:anchorId="4F1640DE" wp14:editId="57AB2407">
                <wp:simplePos x="0" y="0"/>
                <wp:positionH relativeFrom="column">
                  <wp:posOffset>988828</wp:posOffset>
                </wp:positionH>
                <wp:positionV relativeFrom="paragraph">
                  <wp:posOffset>395960</wp:posOffset>
                </wp:positionV>
                <wp:extent cx="904875" cy="277495"/>
                <wp:effectExtent l="0" t="0" r="9525" b="0"/>
                <wp:wrapNone/>
                <wp:docPr id="617389348" name="Text Box 617389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7495"/>
                        </a:xfrm>
                        <a:prstGeom prst="rect">
                          <a:avLst/>
                        </a:prstGeom>
                        <a:solidFill>
                          <a:srgbClr val="FFFFFF"/>
                        </a:solidFill>
                        <a:ln w="9525">
                          <a:noFill/>
                          <a:miter lim="800000"/>
                          <a:headEnd/>
                          <a:tailEnd/>
                        </a:ln>
                      </wps:spPr>
                      <wps:txbx>
                        <w:txbxContent>
                          <w:p w14:paraId="7171F22B" w14:textId="77777777" w:rsidR="00E30CB3" w:rsidRPr="00890E4C" w:rsidRDefault="00E30CB3" w:rsidP="00E30CB3">
                            <w:r w:rsidRPr="00890E4C">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1640DE" id="Text Box 617389348" o:spid="_x0000_s1041" type="#_x0000_t202" alt="&quot;&quot;" style="position:absolute;left:0;text-align:left;margin-left:77.85pt;margin-top:31.2pt;width:71.25pt;height:21.85pt;z-index:2516582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" stroked="f">
                <v:textbox style="mso-fit-shape-to-text:t">
                  <w:txbxContent>
                    <w:p w14:paraId="7171F22B" w14:textId="77777777" w:rsidR="00E30CB3" w:rsidRPr="00890E4C" w:rsidRDefault="00E30CB3" w:rsidP="00E30CB3">
                      <w:r w:rsidRPr="00890E4C">
                        <w:t>River Basin</w:t>
                      </w:r>
                    </w:p>
                  </w:txbxContent>
                </v:textbox>
              </v:shape>
            </w:pict>
          </mc:Fallback>
        </mc:AlternateContent>
      </w:r>
    </w:p>
    <w:p w14:paraId="0D12757C" w14:textId="7C1CF39B" w:rsidR="00B865BC" w:rsidRPr="00B865BC" w:rsidRDefault="00B865BC" w:rsidP="00B865BC">
      <w:pPr>
        <w:pStyle w:val="Caption"/>
      </w:pPr>
      <w:bookmarkStart w:id="367" w:name="_Toc152766308"/>
      <w:bookmarkStart w:id="368" w:name="_Toc164175133"/>
      <w:r w:rsidRPr="00B865BC">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10</w:t>
      </w:r>
      <w:r w:rsidR="004F13BA">
        <w:rPr>
          <w:noProof/>
        </w:rPr>
        <w:fldChar w:fldCharType="end"/>
      </w:r>
      <w:r w:rsidRPr="00B865BC">
        <w:t xml:space="preserve">. </w:t>
      </w:r>
      <w:r w:rsidRPr="00B865BC">
        <w:rPr>
          <w:rFonts w:cstheme="minorHAnsi"/>
        </w:rPr>
        <w:t>Statewide fecal coliform trends</w:t>
      </w:r>
      <w:bookmarkEnd w:id="367"/>
      <w:bookmarkEnd w:id="368"/>
    </w:p>
    <w:p w14:paraId="55A4C9D5" w14:textId="0C767EEB" w:rsidR="00A11D2E" w:rsidRPr="00AD3B35" w:rsidRDefault="00A11D2E" w:rsidP="00A11D2E">
      <w:pPr>
        <w:ind w:left="720"/>
        <w:rPr>
          <w:rFonts w:cstheme="minorHAnsi"/>
        </w:rPr>
        <w:sectPr w:rsidR="00A11D2E" w:rsidRPr="00AD3B35" w:rsidSect="009079C4">
          <w:pgSz w:w="15840" w:h="12240" w:orient="landscape" w:code="1"/>
          <w:pgMar w:top="1440" w:right="1440" w:bottom="1440" w:left="1440" w:header="720" w:footer="720" w:gutter="0"/>
          <w:cols w:space="720"/>
          <w:docGrid w:linePitch="360"/>
        </w:sectPr>
      </w:pPr>
    </w:p>
    <w:p w14:paraId="0031F76E" w14:textId="393F7995" w:rsidR="00A11D2E" w:rsidRPr="00382E27" w:rsidRDefault="00A11D2E" w:rsidP="00A11D2E">
      <w:pPr>
        <w:pStyle w:val="Heading4"/>
        <w:rPr>
          <w:bCs/>
        </w:rPr>
      </w:pPr>
      <w:r w:rsidRPr="00AD3B35">
        <w:lastRenderedPageBreak/>
        <w:t>Total Phosphorus</w:t>
      </w:r>
    </w:p>
    <w:p w14:paraId="17EDE74B" w14:textId="6E813E6B" w:rsidR="00A11D2E" w:rsidRPr="00796A58" w:rsidRDefault="00796A58" w:rsidP="00A11D2E">
      <w:r>
        <w:t>Phosphorus, like nitrogen, is essential to all life. Phosphorus enrichment may also lead to eutrophication, dissolved oxygen depletion and proliferation of algae that may adversely affect human health. Phosphorus generally enters waterways as phosphate (PO</w:t>
      </w:r>
      <w:r>
        <w:rPr>
          <w:vertAlign w:val="subscript"/>
        </w:rPr>
        <w:t>4</w:t>
      </w:r>
      <w:r>
        <w:t>), which may be in the form of orthophosphate (PO</w:t>
      </w:r>
      <w:r>
        <w:rPr>
          <w:vertAlign w:val="subscript"/>
        </w:rPr>
        <w:t xml:space="preserve">4 </w:t>
      </w:r>
      <w:r>
        <w:t>molecules alone), organic phosphate, (PO</w:t>
      </w:r>
      <w:r>
        <w:rPr>
          <w:vertAlign w:val="subscript"/>
        </w:rPr>
        <w:t xml:space="preserve">4 </w:t>
      </w:r>
      <w:r>
        <w:t>attached to organic chemicals such as proteins or carbohydrates) or condensed inorganic phosphate (PO</w:t>
      </w:r>
      <w:r>
        <w:rPr>
          <w:vertAlign w:val="subscript"/>
        </w:rPr>
        <w:t xml:space="preserve">4 </w:t>
      </w:r>
      <w:r>
        <w:t xml:space="preserve">attached to inorganic chemicals). Sources of phosphorus to Virginia waterways are </w:t>
      </w:r>
      <w:proofErr w:type="gramStart"/>
      <w:r>
        <w:t>similar to</w:t>
      </w:r>
      <w:proofErr w:type="gramEnd"/>
      <w:r>
        <w:t xml:space="preserve"> nitrogen, except that little phosphorus input occurs from the atmosphere.</w:t>
      </w:r>
      <w:r>
        <w:rPr>
          <w:rFonts w:cstheme="minorHAnsi"/>
        </w:rPr>
        <w:br/>
      </w:r>
      <w:r>
        <w:rPr>
          <w:rFonts w:cstheme="minorHAnsi"/>
        </w:rPr>
        <w:br/>
      </w:r>
      <w:r w:rsidR="00A11D2E" w:rsidRPr="00AD3B35">
        <w:rPr>
          <w:rFonts w:cstheme="minorHAnsi"/>
        </w:rPr>
        <w:t xml:space="preserve">Improving trends (decreasing concentrations) in total phosphorus were detected at 55 of 413 stations (13%) and degrading trends were detected at 23 stations (6%; Figure </w:t>
      </w:r>
      <w:r w:rsidR="00314E84">
        <w:rPr>
          <w:rFonts w:cstheme="minorHAnsi"/>
        </w:rPr>
        <w:t>4.7-</w:t>
      </w:r>
      <w:r w:rsidR="00A11D2E" w:rsidRPr="00AD3B35">
        <w:rPr>
          <w:rFonts w:cstheme="minorHAnsi"/>
        </w:rPr>
        <w:t>11). Although statistically significant trends were detected at these stations, the estimated rates of change were relatively low. All stations with improving trends showed phosphorus concentration decreases of less than 0.001 mg/L yr</w:t>
      </w:r>
      <w:r w:rsidR="00A11D2E" w:rsidRPr="00AD3B35">
        <w:rPr>
          <w:rFonts w:cstheme="minorHAnsi"/>
          <w:vertAlign w:val="superscript"/>
        </w:rPr>
        <w:t>-1</w:t>
      </w:r>
      <w:r w:rsidR="00A11D2E" w:rsidRPr="00AD3B35">
        <w:rPr>
          <w:rFonts w:cstheme="minorHAnsi"/>
        </w:rPr>
        <w:t xml:space="preserve"> and those with degrading trends showed phosphorus concentration increases of less than 0.01 mg/L yr</w:t>
      </w:r>
      <w:r w:rsidR="00A11D2E" w:rsidRPr="00AD3B35">
        <w:rPr>
          <w:rFonts w:cstheme="minorHAnsi"/>
          <w:vertAlign w:val="superscript"/>
        </w:rPr>
        <w:t>-1</w:t>
      </w:r>
      <w:r w:rsidR="00A11D2E" w:rsidRPr="00AD3B35">
        <w:rPr>
          <w:rFonts w:cstheme="minorHAnsi"/>
        </w:rPr>
        <w:t xml:space="preserve">. Additional data on the biological assemblages at the study locations and on the degree to which phosphorus concentrations limit production are needed to draw further conclusions on the ecological significance of the observed degrading and improving trends. Trends in </w:t>
      </w:r>
      <w:r w:rsidR="00A11D2E" w:rsidRPr="00AD3B35">
        <w:rPr>
          <w:rFonts w:cstheme="minorHAnsi"/>
          <w:iCs/>
        </w:rPr>
        <w:t>total phosphorus by basin</w:t>
      </w:r>
      <w:r w:rsidR="00A11D2E" w:rsidRPr="00AD3B35">
        <w:rPr>
          <w:rFonts w:cstheme="minorHAnsi"/>
        </w:rPr>
        <w:t xml:space="preserve"> are shown in Table </w:t>
      </w:r>
      <w:r w:rsidR="00314E84">
        <w:rPr>
          <w:rFonts w:cstheme="minorHAnsi"/>
        </w:rPr>
        <w:t>4.7-</w:t>
      </w:r>
      <w:r w:rsidR="00A11D2E" w:rsidRPr="00AD3B35">
        <w:rPr>
          <w:rFonts w:cstheme="minorHAnsi"/>
        </w:rPr>
        <w:t xml:space="preserve">14. </w:t>
      </w:r>
    </w:p>
    <w:p w14:paraId="1CCEE1CC" w14:textId="77777777" w:rsidR="00A11D2E" w:rsidRPr="00AD3B35" w:rsidRDefault="00A11D2E" w:rsidP="00A11D2E">
      <w:pPr>
        <w:rPr>
          <w:rFonts w:cstheme="minorHAnsi"/>
        </w:rPr>
      </w:pPr>
    </w:p>
    <w:p w14:paraId="6BDB20D6" w14:textId="7135E930" w:rsidR="00960BB8" w:rsidRPr="00960BB8" w:rsidRDefault="00960BB8" w:rsidP="00960BB8">
      <w:pPr>
        <w:pStyle w:val="Caption"/>
        <w:keepNext/>
      </w:pPr>
      <w:bookmarkStart w:id="369" w:name="_Toc164175235"/>
      <w:r w:rsidRPr="00960BB8">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14</w:t>
      </w:r>
      <w:r w:rsidR="004F13BA">
        <w:rPr>
          <w:noProof/>
        </w:rPr>
        <w:fldChar w:fldCharType="end"/>
      </w:r>
      <w:r w:rsidRPr="00960BB8">
        <w:t>.</w:t>
      </w:r>
      <w:r w:rsidRPr="00960BB8">
        <w:rPr>
          <w:rFonts w:cstheme="minorHAnsi"/>
        </w:rPr>
        <w:t xml:space="preserve"> Total phosphorus trends by basin</w:t>
      </w:r>
      <w:r w:rsidR="00CD5B4B">
        <w:rPr>
          <w:rFonts w:cstheme="minorHAnsi"/>
        </w:rPr>
        <w:t>, 2003 through 2022.</w:t>
      </w:r>
      <w:bookmarkEnd w:id="369"/>
    </w:p>
    <w:tbl>
      <w:tblPr>
        <w:tblW w:w="5000" w:type="pct"/>
        <w:tblLook w:val="04A0" w:firstRow="1" w:lastRow="0" w:firstColumn="1" w:lastColumn="0" w:noHBand="0" w:noVBand="1"/>
        <w:tblCaption w:val="Table of Total phosphorus trends by basin."/>
        <w:tblDescription w:val="Total phosphorus trends by basin."/>
      </w:tblPr>
      <w:tblGrid>
        <w:gridCol w:w="1540"/>
        <w:gridCol w:w="961"/>
        <w:gridCol w:w="1208"/>
        <w:gridCol w:w="1256"/>
        <w:gridCol w:w="1314"/>
        <w:gridCol w:w="1179"/>
        <w:gridCol w:w="1151"/>
        <w:gridCol w:w="751"/>
      </w:tblGrid>
      <w:tr w:rsidR="00A11D2E" w:rsidRPr="00AD3B35" w14:paraId="6CF40F29" w14:textId="77777777" w:rsidTr="00960BB8">
        <w:trPr>
          <w:trHeight w:val="1035"/>
        </w:trPr>
        <w:tc>
          <w:tcPr>
            <w:tcW w:w="822" w:type="pct"/>
            <w:tcBorders>
              <w:top w:val="single" w:sz="12" w:space="0" w:color="auto"/>
              <w:left w:val="nil"/>
              <w:bottom w:val="single" w:sz="8" w:space="0" w:color="auto"/>
              <w:right w:val="nil"/>
            </w:tcBorders>
            <w:shd w:val="clear" w:color="auto" w:fill="auto"/>
            <w:vAlign w:val="center"/>
            <w:hideMark/>
          </w:tcPr>
          <w:p w14:paraId="1EEC567F" w14:textId="77777777" w:rsidR="00A11D2E" w:rsidRPr="00B7579F" w:rsidRDefault="00A11D2E">
            <w:pPr>
              <w:widowControl/>
              <w:jc w:val="center"/>
              <w:rPr>
                <w:rFonts w:cstheme="minorHAnsi"/>
                <w:b/>
                <w:bCs/>
                <w:snapToGrid/>
                <w:color w:val="000000"/>
                <w:sz w:val="22"/>
                <w:szCs w:val="22"/>
              </w:rPr>
            </w:pPr>
            <w:r w:rsidRPr="00B7579F">
              <w:rPr>
                <w:rFonts w:cstheme="minorHAnsi"/>
                <w:b/>
                <w:bCs/>
                <w:color w:val="000000"/>
                <w:sz w:val="22"/>
                <w:szCs w:val="22"/>
              </w:rPr>
              <w:t>Basin</w:t>
            </w:r>
          </w:p>
        </w:tc>
        <w:tc>
          <w:tcPr>
            <w:tcW w:w="513" w:type="pct"/>
            <w:tcBorders>
              <w:top w:val="single" w:sz="12" w:space="0" w:color="auto"/>
              <w:left w:val="nil"/>
              <w:bottom w:val="single" w:sz="8" w:space="0" w:color="auto"/>
              <w:right w:val="nil"/>
            </w:tcBorders>
            <w:shd w:val="clear" w:color="auto" w:fill="auto"/>
            <w:vAlign w:val="center"/>
            <w:hideMark/>
          </w:tcPr>
          <w:p w14:paraId="6BBEF723" w14:textId="77777777" w:rsidR="00A11D2E" w:rsidRPr="00B7579F" w:rsidRDefault="00A11D2E">
            <w:pPr>
              <w:jc w:val="center"/>
              <w:rPr>
                <w:rFonts w:cstheme="minorHAnsi"/>
                <w:b/>
                <w:bCs/>
                <w:color w:val="000000"/>
                <w:sz w:val="22"/>
                <w:szCs w:val="22"/>
              </w:rPr>
            </w:pPr>
            <w:r w:rsidRPr="00B7579F">
              <w:rPr>
                <w:rFonts w:cstheme="minorHAnsi"/>
                <w:b/>
                <w:bCs/>
                <w:color w:val="000000"/>
                <w:sz w:val="22"/>
                <w:szCs w:val="22"/>
              </w:rPr>
              <w:t>Total Stations</w:t>
            </w:r>
          </w:p>
        </w:tc>
        <w:tc>
          <w:tcPr>
            <w:tcW w:w="645" w:type="pct"/>
            <w:tcBorders>
              <w:top w:val="single" w:sz="12" w:space="0" w:color="auto"/>
              <w:left w:val="nil"/>
              <w:bottom w:val="single" w:sz="8" w:space="0" w:color="auto"/>
              <w:right w:val="nil"/>
            </w:tcBorders>
            <w:shd w:val="clear" w:color="auto" w:fill="auto"/>
            <w:vAlign w:val="center"/>
            <w:hideMark/>
          </w:tcPr>
          <w:p w14:paraId="181BF1FA" w14:textId="77777777" w:rsidR="00A11D2E" w:rsidRPr="00B7579F" w:rsidRDefault="00A11D2E">
            <w:pPr>
              <w:jc w:val="center"/>
              <w:rPr>
                <w:rFonts w:cstheme="minorHAnsi"/>
                <w:b/>
                <w:bCs/>
                <w:color w:val="000000"/>
                <w:sz w:val="22"/>
                <w:szCs w:val="22"/>
              </w:rPr>
            </w:pPr>
            <w:r w:rsidRPr="00B7579F">
              <w:rPr>
                <w:rFonts w:cstheme="minorHAnsi"/>
                <w:b/>
                <w:bCs/>
                <w:color w:val="000000"/>
                <w:sz w:val="22"/>
                <w:szCs w:val="22"/>
              </w:rPr>
              <w:t>Improving Trend (stations)</w:t>
            </w:r>
          </w:p>
        </w:tc>
        <w:tc>
          <w:tcPr>
            <w:tcW w:w="671" w:type="pct"/>
            <w:tcBorders>
              <w:top w:val="single" w:sz="12" w:space="0" w:color="auto"/>
              <w:left w:val="nil"/>
              <w:bottom w:val="single" w:sz="8" w:space="0" w:color="auto"/>
              <w:right w:val="nil"/>
            </w:tcBorders>
            <w:shd w:val="clear" w:color="auto" w:fill="auto"/>
            <w:vAlign w:val="center"/>
            <w:hideMark/>
          </w:tcPr>
          <w:p w14:paraId="031ECBD5" w14:textId="77777777" w:rsidR="00A11D2E" w:rsidRPr="00B7579F" w:rsidRDefault="00A11D2E">
            <w:pPr>
              <w:jc w:val="center"/>
              <w:rPr>
                <w:rFonts w:cstheme="minorHAnsi"/>
                <w:b/>
                <w:bCs/>
                <w:color w:val="000000"/>
                <w:sz w:val="22"/>
                <w:szCs w:val="22"/>
              </w:rPr>
            </w:pPr>
            <w:r w:rsidRPr="00B7579F">
              <w:rPr>
                <w:rFonts w:cstheme="minorHAnsi"/>
                <w:b/>
                <w:bCs/>
                <w:color w:val="000000"/>
                <w:sz w:val="22"/>
                <w:szCs w:val="22"/>
              </w:rPr>
              <w:t>Degrading Trend (stations)</w:t>
            </w:r>
          </w:p>
        </w:tc>
        <w:tc>
          <w:tcPr>
            <w:tcW w:w="702" w:type="pct"/>
            <w:tcBorders>
              <w:top w:val="single" w:sz="12" w:space="0" w:color="auto"/>
              <w:left w:val="nil"/>
              <w:bottom w:val="single" w:sz="8" w:space="0" w:color="auto"/>
              <w:right w:val="nil"/>
            </w:tcBorders>
            <w:shd w:val="clear" w:color="auto" w:fill="auto"/>
            <w:vAlign w:val="center"/>
            <w:hideMark/>
          </w:tcPr>
          <w:p w14:paraId="4F7E4CD8" w14:textId="77777777" w:rsidR="00A11D2E" w:rsidRPr="00B7579F" w:rsidRDefault="00A11D2E">
            <w:pPr>
              <w:jc w:val="center"/>
              <w:rPr>
                <w:rFonts w:cstheme="minorHAnsi"/>
                <w:b/>
                <w:bCs/>
                <w:color w:val="000000"/>
                <w:sz w:val="22"/>
                <w:szCs w:val="22"/>
              </w:rPr>
            </w:pPr>
            <w:r w:rsidRPr="00B7579F">
              <w:rPr>
                <w:rFonts w:cstheme="minorHAnsi"/>
                <w:b/>
                <w:bCs/>
                <w:color w:val="000000"/>
                <w:sz w:val="22"/>
                <w:szCs w:val="22"/>
              </w:rPr>
              <w:t>No Trend (stations)</w:t>
            </w:r>
          </w:p>
        </w:tc>
        <w:tc>
          <w:tcPr>
            <w:tcW w:w="630" w:type="pct"/>
            <w:tcBorders>
              <w:top w:val="single" w:sz="12" w:space="0" w:color="auto"/>
              <w:left w:val="nil"/>
              <w:bottom w:val="single" w:sz="8" w:space="0" w:color="auto"/>
              <w:right w:val="nil"/>
            </w:tcBorders>
            <w:shd w:val="clear" w:color="auto" w:fill="auto"/>
            <w:vAlign w:val="center"/>
            <w:hideMark/>
          </w:tcPr>
          <w:p w14:paraId="3B56E997" w14:textId="77777777" w:rsidR="00A11D2E" w:rsidRPr="00B7579F" w:rsidRDefault="00A11D2E">
            <w:pPr>
              <w:jc w:val="center"/>
              <w:rPr>
                <w:rFonts w:cstheme="minorHAnsi"/>
                <w:b/>
                <w:bCs/>
                <w:color w:val="000000"/>
                <w:sz w:val="22"/>
                <w:szCs w:val="22"/>
              </w:rPr>
            </w:pPr>
            <w:r w:rsidRPr="00B7579F">
              <w:rPr>
                <w:rFonts w:cstheme="minorHAnsi"/>
                <w:b/>
                <w:bCs/>
                <w:color w:val="000000"/>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104C1EA6" w14:textId="77777777" w:rsidR="00A11D2E" w:rsidRPr="00B7579F" w:rsidRDefault="00A11D2E">
            <w:pPr>
              <w:jc w:val="center"/>
              <w:rPr>
                <w:rFonts w:cstheme="minorHAnsi"/>
                <w:b/>
                <w:bCs/>
                <w:color w:val="000000"/>
                <w:sz w:val="22"/>
                <w:szCs w:val="22"/>
              </w:rPr>
            </w:pPr>
            <w:r w:rsidRPr="00B7579F">
              <w:rPr>
                <w:rFonts w:cstheme="minorHAnsi"/>
                <w:b/>
                <w:bCs/>
                <w:color w:val="000000"/>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53408325" w14:textId="77777777" w:rsidR="00A11D2E" w:rsidRPr="00B7579F" w:rsidRDefault="00A11D2E">
            <w:pPr>
              <w:jc w:val="center"/>
              <w:rPr>
                <w:rFonts w:cstheme="minorHAnsi"/>
                <w:b/>
                <w:bCs/>
                <w:color w:val="000000"/>
                <w:sz w:val="22"/>
                <w:szCs w:val="22"/>
              </w:rPr>
            </w:pPr>
            <w:r w:rsidRPr="00B7579F">
              <w:rPr>
                <w:rFonts w:cstheme="minorHAnsi"/>
                <w:b/>
                <w:bCs/>
                <w:color w:val="000000"/>
                <w:sz w:val="22"/>
                <w:szCs w:val="22"/>
              </w:rPr>
              <w:t>No Trend (%)</w:t>
            </w:r>
          </w:p>
        </w:tc>
      </w:tr>
      <w:tr w:rsidR="00A11D2E" w:rsidRPr="00AD3B35" w14:paraId="24E64F60" w14:textId="77777777" w:rsidTr="00960BB8">
        <w:trPr>
          <w:trHeight w:val="360"/>
        </w:trPr>
        <w:tc>
          <w:tcPr>
            <w:tcW w:w="822" w:type="pct"/>
            <w:tcBorders>
              <w:top w:val="nil"/>
              <w:left w:val="nil"/>
              <w:bottom w:val="nil"/>
              <w:right w:val="nil"/>
            </w:tcBorders>
            <w:shd w:val="clear" w:color="auto" w:fill="auto"/>
            <w:noWrap/>
            <w:vAlign w:val="center"/>
            <w:hideMark/>
          </w:tcPr>
          <w:p w14:paraId="69F6873C" w14:textId="6C8E4595" w:rsidR="00A11D2E" w:rsidRPr="00B7579F" w:rsidRDefault="00A11D2E">
            <w:pPr>
              <w:widowControl/>
              <w:jc w:val="center"/>
              <w:rPr>
                <w:rFonts w:cstheme="minorHAnsi"/>
                <w:bCs/>
                <w:snapToGrid/>
                <w:sz w:val="22"/>
                <w:szCs w:val="22"/>
              </w:rPr>
            </w:pPr>
            <w:r w:rsidRPr="00B7579F">
              <w:rPr>
                <w:rFonts w:cstheme="minorHAnsi"/>
                <w:snapToGrid/>
                <w:sz w:val="22"/>
                <w:szCs w:val="22"/>
              </w:rPr>
              <w:t>Chesapeake</w:t>
            </w:r>
          </w:p>
        </w:tc>
        <w:tc>
          <w:tcPr>
            <w:tcW w:w="513" w:type="pct"/>
            <w:tcBorders>
              <w:top w:val="nil"/>
              <w:left w:val="nil"/>
              <w:bottom w:val="nil"/>
              <w:right w:val="nil"/>
            </w:tcBorders>
            <w:shd w:val="clear" w:color="auto" w:fill="auto"/>
            <w:noWrap/>
            <w:vAlign w:val="center"/>
            <w:hideMark/>
          </w:tcPr>
          <w:p w14:paraId="31AF0601"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34</w:t>
            </w:r>
          </w:p>
        </w:tc>
        <w:tc>
          <w:tcPr>
            <w:tcW w:w="645" w:type="pct"/>
            <w:tcBorders>
              <w:top w:val="nil"/>
              <w:left w:val="nil"/>
              <w:bottom w:val="nil"/>
              <w:right w:val="nil"/>
            </w:tcBorders>
            <w:shd w:val="clear" w:color="auto" w:fill="auto"/>
            <w:noWrap/>
            <w:vAlign w:val="center"/>
            <w:hideMark/>
          </w:tcPr>
          <w:p w14:paraId="22861BD9"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5</w:t>
            </w:r>
          </w:p>
        </w:tc>
        <w:tc>
          <w:tcPr>
            <w:tcW w:w="671" w:type="pct"/>
            <w:tcBorders>
              <w:top w:val="nil"/>
              <w:left w:val="nil"/>
              <w:bottom w:val="nil"/>
              <w:right w:val="nil"/>
            </w:tcBorders>
            <w:shd w:val="clear" w:color="auto" w:fill="auto"/>
            <w:noWrap/>
            <w:vAlign w:val="center"/>
            <w:hideMark/>
          </w:tcPr>
          <w:p w14:paraId="0DE71240"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74B3E07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28</w:t>
            </w:r>
          </w:p>
        </w:tc>
        <w:tc>
          <w:tcPr>
            <w:tcW w:w="630" w:type="pct"/>
            <w:tcBorders>
              <w:top w:val="nil"/>
              <w:left w:val="nil"/>
              <w:bottom w:val="nil"/>
              <w:right w:val="nil"/>
            </w:tcBorders>
            <w:shd w:val="clear" w:color="auto" w:fill="auto"/>
            <w:noWrap/>
            <w:vAlign w:val="center"/>
            <w:hideMark/>
          </w:tcPr>
          <w:p w14:paraId="33B800F0"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15</w:t>
            </w:r>
          </w:p>
        </w:tc>
        <w:tc>
          <w:tcPr>
            <w:tcW w:w="615" w:type="pct"/>
            <w:tcBorders>
              <w:top w:val="nil"/>
              <w:left w:val="nil"/>
              <w:bottom w:val="nil"/>
              <w:right w:val="nil"/>
            </w:tcBorders>
            <w:shd w:val="clear" w:color="auto" w:fill="auto"/>
            <w:noWrap/>
            <w:vAlign w:val="center"/>
            <w:hideMark/>
          </w:tcPr>
          <w:p w14:paraId="3508D5D3"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3</w:t>
            </w:r>
          </w:p>
        </w:tc>
        <w:tc>
          <w:tcPr>
            <w:tcW w:w="401" w:type="pct"/>
            <w:tcBorders>
              <w:top w:val="nil"/>
              <w:left w:val="nil"/>
              <w:bottom w:val="nil"/>
              <w:right w:val="nil"/>
            </w:tcBorders>
            <w:shd w:val="clear" w:color="auto" w:fill="auto"/>
            <w:noWrap/>
            <w:vAlign w:val="center"/>
            <w:hideMark/>
          </w:tcPr>
          <w:p w14:paraId="2EFFC2F0"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82</w:t>
            </w:r>
          </w:p>
        </w:tc>
      </w:tr>
      <w:tr w:rsidR="00A11D2E" w:rsidRPr="00AD3B35" w14:paraId="33DB98E3" w14:textId="77777777" w:rsidTr="00960BB8">
        <w:trPr>
          <w:trHeight w:val="360"/>
        </w:trPr>
        <w:tc>
          <w:tcPr>
            <w:tcW w:w="822" w:type="pct"/>
            <w:tcBorders>
              <w:top w:val="nil"/>
              <w:left w:val="nil"/>
              <w:bottom w:val="nil"/>
              <w:right w:val="nil"/>
            </w:tcBorders>
            <w:shd w:val="clear" w:color="auto" w:fill="auto"/>
            <w:noWrap/>
            <w:vAlign w:val="center"/>
            <w:hideMark/>
          </w:tcPr>
          <w:p w14:paraId="327FD5B7"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Chowan</w:t>
            </w:r>
          </w:p>
        </w:tc>
        <w:tc>
          <w:tcPr>
            <w:tcW w:w="513" w:type="pct"/>
            <w:tcBorders>
              <w:top w:val="nil"/>
              <w:left w:val="nil"/>
              <w:bottom w:val="nil"/>
              <w:right w:val="nil"/>
            </w:tcBorders>
            <w:shd w:val="clear" w:color="auto" w:fill="auto"/>
            <w:noWrap/>
            <w:vAlign w:val="center"/>
            <w:hideMark/>
          </w:tcPr>
          <w:p w14:paraId="6D369E07"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52</w:t>
            </w:r>
          </w:p>
        </w:tc>
        <w:tc>
          <w:tcPr>
            <w:tcW w:w="645" w:type="pct"/>
            <w:tcBorders>
              <w:top w:val="nil"/>
              <w:left w:val="nil"/>
              <w:bottom w:val="nil"/>
              <w:right w:val="nil"/>
            </w:tcBorders>
            <w:shd w:val="clear" w:color="auto" w:fill="auto"/>
            <w:noWrap/>
            <w:vAlign w:val="center"/>
            <w:hideMark/>
          </w:tcPr>
          <w:p w14:paraId="6359567F"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w:t>
            </w:r>
          </w:p>
        </w:tc>
        <w:tc>
          <w:tcPr>
            <w:tcW w:w="671" w:type="pct"/>
            <w:tcBorders>
              <w:top w:val="nil"/>
              <w:left w:val="nil"/>
              <w:bottom w:val="nil"/>
              <w:right w:val="nil"/>
            </w:tcBorders>
            <w:shd w:val="clear" w:color="auto" w:fill="auto"/>
            <w:noWrap/>
            <w:vAlign w:val="center"/>
            <w:hideMark/>
          </w:tcPr>
          <w:p w14:paraId="75582BF6"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13</w:t>
            </w:r>
          </w:p>
        </w:tc>
        <w:tc>
          <w:tcPr>
            <w:tcW w:w="702" w:type="pct"/>
            <w:tcBorders>
              <w:top w:val="nil"/>
              <w:left w:val="nil"/>
              <w:bottom w:val="nil"/>
              <w:right w:val="nil"/>
            </w:tcBorders>
            <w:shd w:val="clear" w:color="auto" w:fill="auto"/>
            <w:noWrap/>
            <w:vAlign w:val="center"/>
            <w:hideMark/>
          </w:tcPr>
          <w:p w14:paraId="529B76C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38</w:t>
            </w:r>
          </w:p>
        </w:tc>
        <w:tc>
          <w:tcPr>
            <w:tcW w:w="630" w:type="pct"/>
            <w:tcBorders>
              <w:top w:val="nil"/>
              <w:left w:val="nil"/>
              <w:bottom w:val="nil"/>
              <w:right w:val="nil"/>
            </w:tcBorders>
            <w:shd w:val="clear" w:color="auto" w:fill="auto"/>
            <w:noWrap/>
            <w:vAlign w:val="center"/>
            <w:hideMark/>
          </w:tcPr>
          <w:p w14:paraId="312968D2"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2</w:t>
            </w:r>
          </w:p>
        </w:tc>
        <w:tc>
          <w:tcPr>
            <w:tcW w:w="615" w:type="pct"/>
            <w:tcBorders>
              <w:top w:val="nil"/>
              <w:left w:val="nil"/>
              <w:bottom w:val="nil"/>
              <w:right w:val="nil"/>
            </w:tcBorders>
            <w:shd w:val="clear" w:color="auto" w:fill="auto"/>
            <w:noWrap/>
            <w:vAlign w:val="center"/>
            <w:hideMark/>
          </w:tcPr>
          <w:p w14:paraId="1CA70BAB"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25</w:t>
            </w:r>
          </w:p>
        </w:tc>
        <w:tc>
          <w:tcPr>
            <w:tcW w:w="401" w:type="pct"/>
            <w:tcBorders>
              <w:top w:val="nil"/>
              <w:left w:val="nil"/>
              <w:bottom w:val="nil"/>
              <w:right w:val="nil"/>
            </w:tcBorders>
            <w:shd w:val="clear" w:color="auto" w:fill="auto"/>
            <w:noWrap/>
            <w:vAlign w:val="center"/>
            <w:hideMark/>
          </w:tcPr>
          <w:p w14:paraId="4F776E9F"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73</w:t>
            </w:r>
          </w:p>
        </w:tc>
      </w:tr>
      <w:tr w:rsidR="00A11D2E" w:rsidRPr="00AD3B35" w14:paraId="66D76EE3" w14:textId="77777777" w:rsidTr="00960BB8">
        <w:trPr>
          <w:trHeight w:val="360"/>
        </w:trPr>
        <w:tc>
          <w:tcPr>
            <w:tcW w:w="822" w:type="pct"/>
            <w:tcBorders>
              <w:top w:val="nil"/>
              <w:left w:val="nil"/>
              <w:bottom w:val="nil"/>
              <w:right w:val="nil"/>
            </w:tcBorders>
            <w:shd w:val="clear" w:color="auto" w:fill="auto"/>
            <w:noWrap/>
            <w:vAlign w:val="center"/>
            <w:hideMark/>
          </w:tcPr>
          <w:p w14:paraId="0A850F1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James</w:t>
            </w:r>
          </w:p>
        </w:tc>
        <w:tc>
          <w:tcPr>
            <w:tcW w:w="513" w:type="pct"/>
            <w:tcBorders>
              <w:top w:val="nil"/>
              <w:left w:val="nil"/>
              <w:bottom w:val="nil"/>
              <w:right w:val="nil"/>
            </w:tcBorders>
            <w:shd w:val="clear" w:color="auto" w:fill="auto"/>
            <w:noWrap/>
            <w:vAlign w:val="center"/>
            <w:hideMark/>
          </w:tcPr>
          <w:p w14:paraId="2DA18C6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92</w:t>
            </w:r>
          </w:p>
        </w:tc>
        <w:tc>
          <w:tcPr>
            <w:tcW w:w="645" w:type="pct"/>
            <w:tcBorders>
              <w:top w:val="nil"/>
              <w:left w:val="nil"/>
              <w:bottom w:val="nil"/>
              <w:right w:val="nil"/>
            </w:tcBorders>
            <w:shd w:val="clear" w:color="auto" w:fill="auto"/>
            <w:noWrap/>
            <w:vAlign w:val="center"/>
            <w:hideMark/>
          </w:tcPr>
          <w:p w14:paraId="2994F09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19</w:t>
            </w:r>
          </w:p>
        </w:tc>
        <w:tc>
          <w:tcPr>
            <w:tcW w:w="671" w:type="pct"/>
            <w:tcBorders>
              <w:top w:val="nil"/>
              <w:left w:val="nil"/>
              <w:bottom w:val="nil"/>
              <w:right w:val="nil"/>
            </w:tcBorders>
            <w:shd w:val="clear" w:color="auto" w:fill="auto"/>
            <w:noWrap/>
            <w:vAlign w:val="center"/>
            <w:hideMark/>
          </w:tcPr>
          <w:p w14:paraId="51DF87A8"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076422F5"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72</w:t>
            </w:r>
          </w:p>
        </w:tc>
        <w:tc>
          <w:tcPr>
            <w:tcW w:w="630" w:type="pct"/>
            <w:tcBorders>
              <w:top w:val="nil"/>
              <w:left w:val="nil"/>
              <w:bottom w:val="nil"/>
              <w:right w:val="nil"/>
            </w:tcBorders>
            <w:shd w:val="clear" w:color="auto" w:fill="auto"/>
            <w:noWrap/>
            <w:vAlign w:val="center"/>
            <w:hideMark/>
          </w:tcPr>
          <w:p w14:paraId="279DCC33"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21</w:t>
            </w:r>
          </w:p>
        </w:tc>
        <w:tc>
          <w:tcPr>
            <w:tcW w:w="615" w:type="pct"/>
            <w:tcBorders>
              <w:top w:val="nil"/>
              <w:left w:val="nil"/>
              <w:bottom w:val="nil"/>
              <w:right w:val="nil"/>
            </w:tcBorders>
            <w:shd w:val="clear" w:color="auto" w:fill="auto"/>
            <w:noWrap/>
            <w:vAlign w:val="center"/>
            <w:hideMark/>
          </w:tcPr>
          <w:p w14:paraId="6BAF8708"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w:t>
            </w:r>
          </w:p>
        </w:tc>
        <w:tc>
          <w:tcPr>
            <w:tcW w:w="401" w:type="pct"/>
            <w:tcBorders>
              <w:top w:val="nil"/>
              <w:left w:val="nil"/>
              <w:bottom w:val="nil"/>
              <w:right w:val="nil"/>
            </w:tcBorders>
            <w:shd w:val="clear" w:color="auto" w:fill="auto"/>
            <w:noWrap/>
            <w:vAlign w:val="center"/>
            <w:hideMark/>
          </w:tcPr>
          <w:p w14:paraId="47DC3B30"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78</w:t>
            </w:r>
          </w:p>
        </w:tc>
      </w:tr>
      <w:tr w:rsidR="00A11D2E" w:rsidRPr="00AD3B35" w14:paraId="4F1BD970" w14:textId="77777777" w:rsidTr="00960BB8">
        <w:trPr>
          <w:trHeight w:val="360"/>
        </w:trPr>
        <w:tc>
          <w:tcPr>
            <w:tcW w:w="822" w:type="pct"/>
            <w:tcBorders>
              <w:top w:val="nil"/>
              <w:left w:val="nil"/>
              <w:bottom w:val="nil"/>
              <w:right w:val="nil"/>
            </w:tcBorders>
            <w:shd w:val="clear" w:color="auto" w:fill="auto"/>
            <w:noWrap/>
            <w:vAlign w:val="center"/>
            <w:hideMark/>
          </w:tcPr>
          <w:p w14:paraId="71C5DB1F"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New</w:t>
            </w:r>
          </w:p>
        </w:tc>
        <w:tc>
          <w:tcPr>
            <w:tcW w:w="513" w:type="pct"/>
            <w:tcBorders>
              <w:top w:val="nil"/>
              <w:left w:val="nil"/>
              <w:bottom w:val="nil"/>
              <w:right w:val="nil"/>
            </w:tcBorders>
            <w:shd w:val="clear" w:color="auto" w:fill="auto"/>
            <w:noWrap/>
            <w:vAlign w:val="center"/>
            <w:hideMark/>
          </w:tcPr>
          <w:p w14:paraId="4E741A3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17</w:t>
            </w:r>
          </w:p>
        </w:tc>
        <w:tc>
          <w:tcPr>
            <w:tcW w:w="645" w:type="pct"/>
            <w:tcBorders>
              <w:top w:val="nil"/>
              <w:left w:val="nil"/>
              <w:bottom w:val="nil"/>
              <w:right w:val="nil"/>
            </w:tcBorders>
            <w:shd w:val="clear" w:color="auto" w:fill="auto"/>
            <w:noWrap/>
            <w:vAlign w:val="center"/>
            <w:hideMark/>
          </w:tcPr>
          <w:p w14:paraId="571F783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6D54B372"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6574FCD8"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16</w:t>
            </w:r>
          </w:p>
        </w:tc>
        <w:tc>
          <w:tcPr>
            <w:tcW w:w="630" w:type="pct"/>
            <w:tcBorders>
              <w:top w:val="nil"/>
              <w:left w:val="nil"/>
              <w:bottom w:val="nil"/>
              <w:right w:val="nil"/>
            </w:tcBorders>
            <w:shd w:val="clear" w:color="auto" w:fill="auto"/>
            <w:noWrap/>
            <w:vAlign w:val="center"/>
            <w:hideMark/>
          </w:tcPr>
          <w:p w14:paraId="5414E1FA"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402E2929"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6</w:t>
            </w:r>
          </w:p>
        </w:tc>
        <w:tc>
          <w:tcPr>
            <w:tcW w:w="401" w:type="pct"/>
            <w:tcBorders>
              <w:top w:val="nil"/>
              <w:left w:val="nil"/>
              <w:bottom w:val="nil"/>
              <w:right w:val="nil"/>
            </w:tcBorders>
            <w:shd w:val="clear" w:color="auto" w:fill="auto"/>
            <w:noWrap/>
            <w:vAlign w:val="center"/>
            <w:hideMark/>
          </w:tcPr>
          <w:p w14:paraId="45EDCE9B"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94</w:t>
            </w:r>
          </w:p>
        </w:tc>
      </w:tr>
      <w:tr w:rsidR="00A11D2E" w:rsidRPr="00AD3B35" w14:paraId="0600DE6F" w14:textId="77777777" w:rsidTr="00960BB8">
        <w:trPr>
          <w:trHeight w:val="360"/>
        </w:trPr>
        <w:tc>
          <w:tcPr>
            <w:tcW w:w="822" w:type="pct"/>
            <w:tcBorders>
              <w:top w:val="nil"/>
              <w:left w:val="nil"/>
              <w:bottom w:val="nil"/>
              <w:right w:val="nil"/>
            </w:tcBorders>
            <w:shd w:val="clear" w:color="auto" w:fill="auto"/>
            <w:noWrap/>
            <w:vAlign w:val="center"/>
            <w:hideMark/>
          </w:tcPr>
          <w:p w14:paraId="7A718250"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Potomac</w:t>
            </w:r>
          </w:p>
        </w:tc>
        <w:tc>
          <w:tcPr>
            <w:tcW w:w="513" w:type="pct"/>
            <w:tcBorders>
              <w:top w:val="nil"/>
              <w:left w:val="nil"/>
              <w:bottom w:val="nil"/>
              <w:right w:val="nil"/>
            </w:tcBorders>
            <w:shd w:val="clear" w:color="auto" w:fill="auto"/>
            <w:noWrap/>
            <w:vAlign w:val="center"/>
            <w:hideMark/>
          </w:tcPr>
          <w:p w14:paraId="6FA13517"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45</w:t>
            </w:r>
          </w:p>
        </w:tc>
        <w:tc>
          <w:tcPr>
            <w:tcW w:w="645" w:type="pct"/>
            <w:tcBorders>
              <w:top w:val="nil"/>
              <w:left w:val="nil"/>
              <w:bottom w:val="nil"/>
              <w:right w:val="nil"/>
            </w:tcBorders>
            <w:shd w:val="clear" w:color="auto" w:fill="auto"/>
            <w:noWrap/>
            <w:vAlign w:val="center"/>
            <w:hideMark/>
          </w:tcPr>
          <w:p w14:paraId="167EA147"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5</w:t>
            </w:r>
          </w:p>
        </w:tc>
        <w:tc>
          <w:tcPr>
            <w:tcW w:w="671" w:type="pct"/>
            <w:tcBorders>
              <w:top w:val="nil"/>
              <w:left w:val="nil"/>
              <w:bottom w:val="nil"/>
              <w:right w:val="nil"/>
            </w:tcBorders>
            <w:shd w:val="clear" w:color="auto" w:fill="auto"/>
            <w:noWrap/>
            <w:vAlign w:val="center"/>
            <w:hideMark/>
          </w:tcPr>
          <w:p w14:paraId="12FDE641"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2</w:t>
            </w:r>
          </w:p>
        </w:tc>
        <w:tc>
          <w:tcPr>
            <w:tcW w:w="702" w:type="pct"/>
            <w:tcBorders>
              <w:top w:val="nil"/>
              <w:left w:val="nil"/>
              <w:bottom w:val="nil"/>
              <w:right w:val="nil"/>
            </w:tcBorders>
            <w:shd w:val="clear" w:color="auto" w:fill="auto"/>
            <w:noWrap/>
            <w:vAlign w:val="center"/>
            <w:hideMark/>
          </w:tcPr>
          <w:p w14:paraId="31770DB4"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38</w:t>
            </w:r>
          </w:p>
        </w:tc>
        <w:tc>
          <w:tcPr>
            <w:tcW w:w="630" w:type="pct"/>
            <w:tcBorders>
              <w:top w:val="nil"/>
              <w:left w:val="nil"/>
              <w:bottom w:val="nil"/>
              <w:right w:val="nil"/>
            </w:tcBorders>
            <w:shd w:val="clear" w:color="auto" w:fill="auto"/>
            <w:noWrap/>
            <w:vAlign w:val="center"/>
            <w:hideMark/>
          </w:tcPr>
          <w:p w14:paraId="3F556DCF"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11</w:t>
            </w:r>
          </w:p>
        </w:tc>
        <w:tc>
          <w:tcPr>
            <w:tcW w:w="615" w:type="pct"/>
            <w:tcBorders>
              <w:top w:val="nil"/>
              <w:left w:val="nil"/>
              <w:bottom w:val="nil"/>
              <w:right w:val="nil"/>
            </w:tcBorders>
            <w:shd w:val="clear" w:color="auto" w:fill="auto"/>
            <w:noWrap/>
            <w:vAlign w:val="center"/>
            <w:hideMark/>
          </w:tcPr>
          <w:p w14:paraId="4B62799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4</w:t>
            </w:r>
          </w:p>
        </w:tc>
        <w:tc>
          <w:tcPr>
            <w:tcW w:w="401" w:type="pct"/>
            <w:tcBorders>
              <w:top w:val="nil"/>
              <w:left w:val="nil"/>
              <w:bottom w:val="nil"/>
              <w:right w:val="nil"/>
            </w:tcBorders>
            <w:shd w:val="clear" w:color="auto" w:fill="auto"/>
            <w:noWrap/>
            <w:vAlign w:val="center"/>
            <w:hideMark/>
          </w:tcPr>
          <w:p w14:paraId="1BE04697"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84</w:t>
            </w:r>
          </w:p>
        </w:tc>
      </w:tr>
      <w:tr w:rsidR="00A11D2E" w:rsidRPr="00AD3B35" w14:paraId="208B86AA" w14:textId="77777777" w:rsidTr="00960BB8">
        <w:trPr>
          <w:trHeight w:val="360"/>
        </w:trPr>
        <w:tc>
          <w:tcPr>
            <w:tcW w:w="822" w:type="pct"/>
            <w:tcBorders>
              <w:top w:val="nil"/>
              <w:left w:val="nil"/>
              <w:bottom w:val="nil"/>
              <w:right w:val="nil"/>
            </w:tcBorders>
            <w:shd w:val="clear" w:color="auto" w:fill="auto"/>
            <w:noWrap/>
            <w:vAlign w:val="center"/>
            <w:hideMark/>
          </w:tcPr>
          <w:p w14:paraId="6A61F80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Rappahannock</w:t>
            </w:r>
          </w:p>
        </w:tc>
        <w:tc>
          <w:tcPr>
            <w:tcW w:w="513" w:type="pct"/>
            <w:tcBorders>
              <w:top w:val="nil"/>
              <w:left w:val="nil"/>
              <w:bottom w:val="nil"/>
              <w:right w:val="nil"/>
            </w:tcBorders>
            <w:shd w:val="clear" w:color="auto" w:fill="auto"/>
            <w:noWrap/>
            <w:vAlign w:val="center"/>
            <w:hideMark/>
          </w:tcPr>
          <w:p w14:paraId="4B75FF9C"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39</w:t>
            </w:r>
          </w:p>
        </w:tc>
        <w:tc>
          <w:tcPr>
            <w:tcW w:w="645" w:type="pct"/>
            <w:tcBorders>
              <w:top w:val="nil"/>
              <w:left w:val="nil"/>
              <w:bottom w:val="nil"/>
              <w:right w:val="nil"/>
            </w:tcBorders>
            <w:shd w:val="clear" w:color="auto" w:fill="auto"/>
            <w:noWrap/>
            <w:vAlign w:val="center"/>
            <w:hideMark/>
          </w:tcPr>
          <w:p w14:paraId="08DBEB4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7</w:t>
            </w:r>
          </w:p>
        </w:tc>
        <w:tc>
          <w:tcPr>
            <w:tcW w:w="671" w:type="pct"/>
            <w:tcBorders>
              <w:top w:val="nil"/>
              <w:left w:val="nil"/>
              <w:bottom w:val="nil"/>
              <w:right w:val="nil"/>
            </w:tcBorders>
            <w:shd w:val="clear" w:color="auto" w:fill="auto"/>
            <w:noWrap/>
            <w:vAlign w:val="center"/>
            <w:hideMark/>
          </w:tcPr>
          <w:p w14:paraId="77DEA476"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33584B9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32</w:t>
            </w:r>
          </w:p>
        </w:tc>
        <w:tc>
          <w:tcPr>
            <w:tcW w:w="630" w:type="pct"/>
            <w:tcBorders>
              <w:top w:val="nil"/>
              <w:left w:val="nil"/>
              <w:bottom w:val="nil"/>
              <w:right w:val="nil"/>
            </w:tcBorders>
            <w:shd w:val="clear" w:color="auto" w:fill="auto"/>
            <w:noWrap/>
            <w:vAlign w:val="center"/>
            <w:hideMark/>
          </w:tcPr>
          <w:p w14:paraId="5D598C8B"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18</w:t>
            </w:r>
          </w:p>
        </w:tc>
        <w:tc>
          <w:tcPr>
            <w:tcW w:w="615" w:type="pct"/>
            <w:tcBorders>
              <w:top w:val="nil"/>
              <w:left w:val="nil"/>
              <w:bottom w:val="nil"/>
              <w:right w:val="nil"/>
            </w:tcBorders>
            <w:shd w:val="clear" w:color="auto" w:fill="auto"/>
            <w:noWrap/>
            <w:vAlign w:val="center"/>
            <w:hideMark/>
          </w:tcPr>
          <w:p w14:paraId="4F71876A"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5164BBF5"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82</w:t>
            </w:r>
          </w:p>
        </w:tc>
      </w:tr>
      <w:tr w:rsidR="00A11D2E" w:rsidRPr="00AD3B35" w14:paraId="1D909048" w14:textId="77777777" w:rsidTr="00960BB8">
        <w:trPr>
          <w:trHeight w:val="360"/>
        </w:trPr>
        <w:tc>
          <w:tcPr>
            <w:tcW w:w="822" w:type="pct"/>
            <w:tcBorders>
              <w:top w:val="nil"/>
              <w:left w:val="nil"/>
              <w:bottom w:val="nil"/>
              <w:right w:val="nil"/>
            </w:tcBorders>
            <w:shd w:val="clear" w:color="auto" w:fill="auto"/>
            <w:noWrap/>
            <w:vAlign w:val="center"/>
            <w:hideMark/>
          </w:tcPr>
          <w:p w14:paraId="23B9E760"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Roanoke</w:t>
            </w:r>
          </w:p>
        </w:tc>
        <w:tc>
          <w:tcPr>
            <w:tcW w:w="513" w:type="pct"/>
            <w:tcBorders>
              <w:top w:val="nil"/>
              <w:left w:val="nil"/>
              <w:bottom w:val="nil"/>
              <w:right w:val="nil"/>
            </w:tcBorders>
            <w:shd w:val="clear" w:color="auto" w:fill="auto"/>
            <w:noWrap/>
            <w:vAlign w:val="center"/>
            <w:hideMark/>
          </w:tcPr>
          <w:p w14:paraId="2DEE0985"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55</w:t>
            </w:r>
          </w:p>
        </w:tc>
        <w:tc>
          <w:tcPr>
            <w:tcW w:w="645" w:type="pct"/>
            <w:tcBorders>
              <w:top w:val="nil"/>
              <w:left w:val="nil"/>
              <w:bottom w:val="nil"/>
              <w:right w:val="nil"/>
            </w:tcBorders>
            <w:shd w:val="clear" w:color="auto" w:fill="auto"/>
            <w:noWrap/>
            <w:vAlign w:val="center"/>
            <w:hideMark/>
          </w:tcPr>
          <w:p w14:paraId="1FEFFD46"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2</w:t>
            </w:r>
          </w:p>
        </w:tc>
        <w:tc>
          <w:tcPr>
            <w:tcW w:w="671" w:type="pct"/>
            <w:tcBorders>
              <w:top w:val="nil"/>
              <w:left w:val="nil"/>
              <w:bottom w:val="nil"/>
              <w:right w:val="nil"/>
            </w:tcBorders>
            <w:shd w:val="clear" w:color="auto" w:fill="auto"/>
            <w:noWrap/>
            <w:vAlign w:val="center"/>
            <w:hideMark/>
          </w:tcPr>
          <w:p w14:paraId="54D4249F"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698DB875"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52</w:t>
            </w:r>
          </w:p>
        </w:tc>
        <w:tc>
          <w:tcPr>
            <w:tcW w:w="630" w:type="pct"/>
            <w:tcBorders>
              <w:top w:val="nil"/>
              <w:left w:val="nil"/>
              <w:bottom w:val="nil"/>
              <w:right w:val="nil"/>
            </w:tcBorders>
            <w:shd w:val="clear" w:color="auto" w:fill="auto"/>
            <w:noWrap/>
            <w:vAlign w:val="center"/>
            <w:hideMark/>
          </w:tcPr>
          <w:p w14:paraId="7CEA5264"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4</w:t>
            </w:r>
          </w:p>
        </w:tc>
        <w:tc>
          <w:tcPr>
            <w:tcW w:w="615" w:type="pct"/>
            <w:tcBorders>
              <w:top w:val="nil"/>
              <w:left w:val="nil"/>
              <w:bottom w:val="nil"/>
              <w:right w:val="nil"/>
            </w:tcBorders>
            <w:shd w:val="clear" w:color="auto" w:fill="auto"/>
            <w:noWrap/>
            <w:vAlign w:val="center"/>
            <w:hideMark/>
          </w:tcPr>
          <w:p w14:paraId="4467CA21"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2</w:t>
            </w:r>
          </w:p>
        </w:tc>
        <w:tc>
          <w:tcPr>
            <w:tcW w:w="401" w:type="pct"/>
            <w:tcBorders>
              <w:top w:val="nil"/>
              <w:left w:val="nil"/>
              <w:bottom w:val="nil"/>
              <w:right w:val="nil"/>
            </w:tcBorders>
            <w:shd w:val="clear" w:color="auto" w:fill="auto"/>
            <w:noWrap/>
            <w:vAlign w:val="center"/>
            <w:hideMark/>
          </w:tcPr>
          <w:p w14:paraId="5CC21AF2"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95</w:t>
            </w:r>
          </w:p>
        </w:tc>
      </w:tr>
      <w:tr w:rsidR="00A11D2E" w:rsidRPr="00AD3B35" w14:paraId="725E63FA" w14:textId="77777777" w:rsidTr="00960BB8">
        <w:trPr>
          <w:trHeight w:val="360"/>
        </w:trPr>
        <w:tc>
          <w:tcPr>
            <w:tcW w:w="822" w:type="pct"/>
            <w:tcBorders>
              <w:top w:val="nil"/>
              <w:left w:val="nil"/>
              <w:bottom w:val="nil"/>
              <w:right w:val="nil"/>
            </w:tcBorders>
            <w:shd w:val="clear" w:color="auto" w:fill="auto"/>
            <w:noWrap/>
            <w:vAlign w:val="center"/>
            <w:hideMark/>
          </w:tcPr>
          <w:p w14:paraId="4DFBCFE1"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Shenandoah</w:t>
            </w:r>
          </w:p>
        </w:tc>
        <w:tc>
          <w:tcPr>
            <w:tcW w:w="513" w:type="pct"/>
            <w:tcBorders>
              <w:top w:val="nil"/>
              <w:left w:val="nil"/>
              <w:bottom w:val="nil"/>
              <w:right w:val="nil"/>
            </w:tcBorders>
            <w:shd w:val="clear" w:color="auto" w:fill="auto"/>
            <w:noWrap/>
            <w:vAlign w:val="center"/>
            <w:hideMark/>
          </w:tcPr>
          <w:p w14:paraId="5062CDA5"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17</w:t>
            </w:r>
          </w:p>
        </w:tc>
        <w:tc>
          <w:tcPr>
            <w:tcW w:w="645" w:type="pct"/>
            <w:tcBorders>
              <w:top w:val="nil"/>
              <w:left w:val="nil"/>
              <w:bottom w:val="nil"/>
              <w:right w:val="nil"/>
            </w:tcBorders>
            <w:shd w:val="clear" w:color="auto" w:fill="auto"/>
            <w:noWrap/>
            <w:vAlign w:val="center"/>
            <w:hideMark/>
          </w:tcPr>
          <w:p w14:paraId="797803C9"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12</w:t>
            </w:r>
          </w:p>
        </w:tc>
        <w:tc>
          <w:tcPr>
            <w:tcW w:w="671" w:type="pct"/>
            <w:tcBorders>
              <w:top w:val="nil"/>
              <w:left w:val="nil"/>
              <w:bottom w:val="nil"/>
              <w:right w:val="nil"/>
            </w:tcBorders>
            <w:shd w:val="clear" w:color="auto" w:fill="auto"/>
            <w:noWrap/>
            <w:vAlign w:val="center"/>
            <w:hideMark/>
          </w:tcPr>
          <w:p w14:paraId="0C3635DA"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16BC9B2E"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5</w:t>
            </w:r>
          </w:p>
        </w:tc>
        <w:tc>
          <w:tcPr>
            <w:tcW w:w="630" w:type="pct"/>
            <w:tcBorders>
              <w:top w:val="nil"/>
              <w:left w:val="nil"/>
              <w:bottom w:val="nil"/>
              <w:right w:val="nil"/>
            </w:tcBorders>
            <w:shd w:val="clear" w:color="auto" w:fill="auto"/>
            <w:noWrap/>
            <w:vAlign w:val="center"/>
            <w:hideMark/>
          </w:tcPr>
          <w:p w14:paraId="5C99E2EA"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71</w:t>
            </w:r>
          </w:p>
        </w:tc>
        <w:tc>
          <w:tcPr>
            <w:tcW w:w="615" w:type="pct"/>
            <w:tcBorders>
              <w:top w:val="nil"/>
              <w:left w:val="nil"/>
              <w:bottom w:val="nil"/>
              <w:right w:val="nil"/>
            </w:tcBorders>
            <w:shd w:val="clear" w:color="auto" w:fill="auto"/>
            <w:noWrap/>
            <w:vAlign w:val="center"/>
            <w:hideMark/>
          </w:tcPr>
          <w:p w14:paraId="16A3157C"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097BEDCC"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29</w:t>
            </w:r>
          </w:p>
        </w:tc>
      </w:tr>
      <w:tr w:rsidR="00A11D2E" w:rsidRPr="00AD3B35" w14:paraId="213E6FFF" w14:textId="77777777" w:rsidTr="00960BB8">
        <w:trPr>
          <w:trHeight w:val="360"/>
        </w:trPr>
        <w:tc>
          <w:tcPr>
            <w:tcW w:w="822" w:type="pct"/>
            <w:tcBorders>
              <w:top w:val="nil"/>
              <w:left w:val="nil"/>
              <w:right w:val="nil"/>
            </w:tcBorders>
            <w:shd w:val="clear" w:color="auto" w:fill="auto"/>
            <w:noWrap/>
            <w:vAlign w:val="center"/>
            <w:hideMark/>
          </w:tcPr>
          <w:p w14:paraId="2A2E68DB"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Tennessee</w:t>
            </w:r>
          </w:p>
        </w:tc>
        <w:tc>
          <w:tcPr>
            <w:tcW w:w="513" w:type="pct"/>
            <w:tcBorders>
              <w:top w:val="nil"/>
              <w:left w:val="nil"/>
              <w:right w:val="nil"/>
            </w:tcBorders>
            <w:shd w:val="clear" w:color="auto" w:fill="auto"/>
            <w:noWrap/>
            <w:vAlign w:val="center"/>
            <w:hideMark/>
          </w:tcPr>
          <w:p w14:paraId="517956E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20</w:t>
            </w:r>
          </w:p>
        </w:tc>
        <w:tc>
          <w:tcPr>
            <w:tcW w:w="645" w:type="pct"/>
            <w:tcBorders>
              <w:top w:val="nil"/>
              <w:left w:val="nil"/>
              <w:right w:val="nil"/>
            </w:tcBorders>
            <w:shd w:val="clear" w:color="auto" w:fill="auto"/>
            <w:noWrap/>
            <w:vAlign w:val="center"/>
            <w:hideMark/>
          </w:tcPr>
          <w:p w14:paraId="370892DF"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0</w:t>
            </w:r>
          </w:p>
        </w:tc>
        <w:tc>
          <w:tcPr>
            <w:tcW w:w="671" w:type="pct"/>
            <w:tcBorders>
              <w:top w:val="nil"/>
              <w:left w:val="nil"/>
              <w:right w:val="nil"/>
            </w:tcBorders>
            <w:shd w:val="clear" w:color="auto" w:fill="auto"/>
            <w:noWrap/>
            <w:vAlign w:val="center"/>
            <w:hideMark/>
          </w:tcPr>
          <w:p w14:paraId="5EF74782"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w:t>
            </w:r>
          </w:p>
        </w:tc>
        <w:tc>
          <w:tcPr>
            <w:tcW w:w="702" w:type="pct"/>
            <w:tcBorders>
              <w:top w:val="nil"/>
              <w:left w:val="nil"/>
              <w:right w:val="nil"/>
            </w:tcBorders>
            <w:shd w:val="clear" w:color="auto" w:fill="auto"/>
            <w:noWrap/>
            <w:vAlign w:val="center"/>
            <w:hideMark/>
          </w:tcPr>
          <w:p w14:paraId="4F7F1F8A"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19</w:t>
            </w:r>
          </w:p>
        </w:tc>
        <w:tc>
          <w:tcPr>
            <w:tcW w:w="630" w:type="pct"/>
            <w:tcBorders>
              <w:top w:val="nil"/>
              <w:left w:val="nil"/>
              <w:right w:val="nil"/>
            </w:tcBorders>
            <w:shd w:val="clear" w:color="auto" w:fill="auto"/>
            <w:noWrap/>
            <w:vAlign w:val="center"/>
            <w:hideMark/>
          </w:tcPr>
          <w:p w14:paraId="5AE9DEC0"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0</w:t>
            </w:r>
          </w:p>
        </w:tc>
        <w:tc>
          <w:tcPr>
            <w:tcW w:w="615" w:type="pct"/>
            <w:tcBorders>
              <w:top w:val="nil"/>
              <w:left w:val="nil"/>
              <w:right w:val="nil"/>
            </w:tcBorders>
            <w:shd w:val="clear" w:color="auto" w:fill="auto"/>
            <w:noWrap/>
            <w:vAlign w:val="center"/>
            <w:hideMark/>
          </w:tcPr>
          <w:p w14:paraId="591361FC"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5</w:t>
            </w:r>
          </w:p>
        </w:tc>
        <w:tc>
          <w:tcPr>
            <w:tcW w:w="401" w:type="pct"/>
            <w:tcBorders>
              <w:top w:val="nil"/>
              <w:left w:val="nil"/>
              <w:right w:val="nil"/>
            </w:tcBorders>
            <w:shd w:val="clear" w:color="auto" w:fill="auto"/>
            <w:noWrap/>
            <w:vAlign w:val="center"/>
            <w:hideMark/>
          </w:tcPr>
          <w:p w14:paraId="57A2F283"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95</w:t>
            </w:r>
          </w:p>
        </w:tc>
      </w:tr>
      <w:tr w:rsidR="00A11D2E" w:rsidRPr="00AD3B35" w14:paraId="18424ABB" w14:textId="77777777" w:rsidTr="00960BB8">
        <w:trPr>
          <w:trHeight w:val="360"/>
        </w:trPr>
        <w:tc>
          <w:tcPr>
            <w:tcW w:w="822" w:type="pct"/>
            <w:tcBorders>
              <w:top w:val="nil"/>
              <w:left w:val="nil"/>
              <w:bottom w:val="single" w:sz="12" w:space="0" w:color="auto"/>
              <w:right w:val="nil"/>
            </w:tcBorders>
            <w:shd w:val="clear" w:color="auto" w:fill="auto"/>
            <w:noWrap/>
            <w:vAlign w:val="center"/>
            <w:hideMark/>
          </w:tcPr>
          <w:p w14:paraId="735B4C65"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York</w:t>
            </w:r>
          </w:p>
        </w:tc>
        <w:tc>
          <w:tcPr>
            <w:tcW w:w="513" w:type="pct"/>
            <w:tcBorders>
              <w:top w:val="nil"/>
              <w:left w:val="nil"/>
              <w:bottom w:val="single" w:sz="12" w:space="0" w:color="auto"/>
              <w:right w:val="nil"/>
            </w:tcBorders>
            <w:shd w:val="clear" w:color="auto" w:fill="auto"/>
            <w:noWrap/>
            <w:vAlign w:val="center"/>
            <w:hideMark/>
          </w:tcPr>
          <w:p w14:paraId="108EB8D4"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42</w:t>
            </w:r>
          </w:p>
        </w:tc>
        <w:tc>
          <w:tcPr>
            <w:tcW w:w="645" w:type="pct"/>
            <w:tcBorders>
              <w:top w:val="nil"/>
              <w:left w:val="nil"/>
              <w:bottom w:val="single" w:sz="12" w:space="0" w:color="auto"/>
              <w:right w:val="nil"/>
            </w:tcBorders>
            <w:shd w:val="clear" w:color="auto" w:fill="auto"/>
            <w:noWrap/>
            <w:vAlign w:val="center"/>
            <w:hideMark/>
          </w:tcPr>
          <w:p w14:paraId="4E55537D"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4</w:t>
            </w:r>
          </w:p>
        </w:tc>
        <w:tc>
          <w:tcPr>
            <w:tcW w:w="671" w:type="pct"/>
            <w:tcBorders>
              <w:top w:val="nil"/>
              <w:left w:val="nil"/>
              <w:bottom w:val="single" w:sz="12" w:space="0" w:color="auto"/>
              <w:right w:val="nil"/>
            </w:tcBorders>
            <w:shd w:val="clear" w:color="auto" w:fill="auto"/>
            <w:noWrap/>
            <w:vAlign w:val="center"/>
            <w:hideMark/>
          </w:tcPr>
          <w:p w14:paraId="3A70BE46"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3</w:t>
            </w:r>
          </w:p>
        </w:tc>
        <w:tc>
          <w:tcPr>
            <w:tcW w:w="702" w:type="pct"/>
            <w:tcBorders>
              <w:top w:val="nil"/>
              <w:left w:val="nil"/>
              <w:bottom w:val="single" w:sz="12" w:space="0" w:color="auto"/>
              <w:right w:val="nil"/>
            </w:tcBorders>
            <w:shd w:val="clear" w:color="auto" w:fill="auto"/>
            <w:noWrap/>
            <w:vAlign w:val="center"/>
            <w:hideMark/>
          </w:tcPr>
          <w:p w14:paraId="1240516F"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35</w:t>
            </w:r>
          </w:p>
        </w:tc>
        <w:tc>
          <w:tcPr>
            <w:tcW w:w="630" w:type="pct"/>
            <w:tcBorders>
              <w:top w:val="nil"/>
              <w:left w:val="nil"/>
              <w:bottom w:val="single" w:sz="12" w:space="0" w:color="auto"/>
              <w:right w:val="nil"/>
            </w:tcBorders>
            <w:shd w:val="clear" w:color="auto" w:fill="auto"/>
            <w:noWrap/>
            <w:vAlign w:val="center"/>
            <w:hideMark/>
          </w:tcPr>
          <w:p w14:paraId="4880C62C"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10</w:t>
            </w:r>
          </w:p>
        </w:tc>
        <w:tc>
          <w:tcPr>
            <w:tcW w:w="615" w:type="pct"/>
            <w:tcBorders>
              <w:top w:val="nil"/>
              <w:left w:val="nil"/>
              <w:bottom w:val="single" w:sz="12" w:space="0" w:color="auto"/>
              <w:right w:val="nil"/>
            </w:tcBorders>
            <w:shd w:val="clear" w:color="auto" w:fill="auto"/>
            <w:noWrap/>
            <w:vAlign w:val="center"/>
            <w:hideMark/>
          </w:tcPr>
          <w:p w14:paraId="0F3F5E54"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7</w:t>
            </w:r>
          </w:p>
        </w:tc>
        <w:tc>
          <w:tcPr>
            <w:tcW w:w="401" w:type="pct"/>
            <w:tcBorders>
              <w:top w:val="nil"/>
              <w:left w:val="nil"/>
              <w:bottom w:val="single" w:sz="12" w:space="0" w:color="auto"/>
              <w:right w:val="nil"/>
            </w:tcBorders>
            <w:shd w:val="clear" w:color="auto" w:fill="auto"/>
            <w:noWrap/>
            <w:vAlign w:val="center"/>
            <w:hideMark/>
          </w:tcPr>
          <w:p w14:paraId="0D1275EA" w14:textId="77777777" w:rsidR="00A11D2E" w:rsidRPr="00B7579F" w:rsidRDefault="00A11D2E">
            <w:pPr>
              <w:widowControl/>
              <w:jc w:val="center"/>
              <w:rPr>
                <w:rFonts w:cstheme="minorHAnsi"/>
                <w:bCs/>
                <w:snapToGrid/>
                <w:sz w:val="22"/>
                <w:szCs w:val="22"/>
              </w:rPr>
            </w:pPr>
            <w:r w:rsidRPr="00B7579F">
              <w:rPr>
                <w:rFonts w:cstheme="minorHAnsi"/>
                <w:snapToGrid/>
                <w:sz w:val="22"/>
                <w:szCs w:val="22"/>
              </w:rPr>
              <w:t>83</w:t>
            </w:r>
          </w:p>
        </w:tc>
      </w:tr>
    </w:tbl>
    <w:p w14:paraId="39EE9B95" w14:textId="12736F31" w:rsidR="00A11D2E" w:rsidRPr="00AD3B35" w:rsidRDefault="00A11D2E" w:rsidP="00A11D2E">
      <w:pPr>
        <w:ind w:firstLine="720"/>
        <w:rPr>
          <w:rFonts w:cstheme="minorHAnsi"/>
        </w:rPr>
        <w:sectPr w:rsidR="00A11D2E" w:rsidRPr="00AD3B35" w:rsidSect="009079C4">
          <w:pgSz w:w="12240" w:h="15840" w:code="1"/>
          <w:pgMar w:top="1440" w:right="1440" w:bottom="1440" w:left="1440" w:header="720" w:footer="720" w:gutter="0"/>
          <w:cols w:space="720"/>
          <w:docGrid w:linePitch="360"/>
        </w:sectPr>
      </w:pPr>
    </w:p>
    <w:p w14:paraId="11D36538" w14:textId="77777777" w:rsidR="00A11D2E" w:rsidRPr="00AD3B35" w:rsidRDefault="00A11D2E" w:rsidP="00A11D2E">
      <w:pPr>
        <w:ind w:firstLine="720"/>
        <w:rPr>
          <w:rFonts w:cstheme="minorHAnsi"/>
        </w:rPr>
      </w:pPr>
    </w:p>
    <w:p w14:paraId="6F0BBCB6" w14:textId="65639625" w:rsidR="00B865BC" w:rsidRDefault="00B61C68" w:rsidP="00B865BC">
      <w:pPr>
        <w:keepNext/>
        <w:ind w:left="720"/>
      </w:pPr>
      <w:r>
        <w:rPr>
          <w:noProof/>
          <w:snapToGrid/>
          <w14:ligatures w14:val="standardContextual"/>
        </w:rPr>
        <mc:AlternateContent>
          <mc:Choice Requires="wps">
            <w:drawing>
              <wp:anchor distT="45720" distB="45720" distL="114300" distR="114300" simplePos="0" relativeHeight="251658253" behindDoc="0" locked="0" layoutInCell="1" allowOverlap="1" wp14:anchorId="0754E3DE" wp14:editId="5B9208EB">
                <wp:simplePos x="0" y="0"/>
                <wp:positionH relativeFrom="column">
                  <wp:posOffset>967563</wp:posOffset>
                </wp:positionH>
                <wp:positionV relativeFrom="paragraph">
                  <wp:posOffset>406592</wp:posOffset>
                </wp:positionV>
                <wp:extent cx="904875" cy="277495"/>
                <wp:effectExtent l="0" t="0" r="9525" b="0"/>
                <wp:wrapNone/>
                <wp:docPr id="1395690480" name="Text Box 13956904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7495"/>
                        </a:xfrm>
                        <a:prstGeom prst="rect">
                          <a:avLst/>
                        </a:prstGeom>
                        <a:solidFill>
                          <a:srgbClr val="FFFFFF"/>
                        </a:solidFill>
                        <a:ln w="9525">
                          <a:noFill/>
                          <a:miter lim="800000"/>
                          <a:headEnd/>
                          <a:tailEnd/>
                        </a:ln>
                      </wps:spPr>
                      <wps:txbx>
                        <w:txbxContent>
                          <w:p w14:paraId="219F3CEA" w14:textId="77777777" w:rsidR="00B61C68" w:rsidRPr="00890E4C" w:rsidRDefault="00B61C68" w:rsidP="00B61C68">
                            <w:r w:rsidRPr="00890E4C">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54E3DE" id="Text Box 1395690480" o:spid="_x0000_s1042" type="#_x0000_t202" alt="&quot;&quot;" style="position:absolute;left:0;text-align:left;margin-left:76.2pt;margin-top:32pt;width:71.25pt;height:21.85pt;z-index:25165825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" stroked="f">
                <v:textbox style="mso-fit-shape-to-text:t">
                  <w:txbxContent>
                    <w:p w14:paraId="219F3CEA" w14:textId="77777777" w:rsidR="00B61C68" w:rsidRPr="00890E4C" w:rsidRDefault="00B61C68" w:rsidP="00B61C68">
                      <w:r w:rsidRPr="00890E4C">
                        <w:t>River Basin</w:t>
                      </w:r>
                    </w:p>
                  </w:txbxContent>
                </v:textbox>
              </v:shape>
            </w:pict>
          </mc:Fallback>
        </mc:AlternateContent>
      </w:r>
      <w:r w:rsidR="006B6581">
        <w:rPr>
          <w:noProof/>
          <w:snapToGrid/>
          <w14:ligatures w14:val="standardContextual"/>
        </w:rPr>
        <w:drawing>
          <wp:inline distT="0" distB="0" distL="0" distR="0" wp14:anchorId="3883F9FC" wp14:editId="2D032A64">
            <wp:extent cx="8229600" cy="5325110"/>
            <wp:effectExtent l="0" t="0" r="0" b="8890"/>
            <wp:docPr id="981148828" name="Picture 6" descr="Map&#10;&#10;Figure 4.7 11. Statewide total phosphorus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148828" name="Picture 6" descr="Map&#10;&#10;Figure 4.7 11. Statewide total phosphorus trends."/>
                    <pic:cNvPicPr/>
                  </pic:nvPicPr>
                  <pic:blipFill>
                    <a:blip r:embed="rId225" cstate="print">
                      <a:extLst>
                        <a:ext uri="{28A0092B-C50C-407E-A947-70E740481C1C}">
                          <a14:useLocalDpi xmlns:a14="http://schemas.microsoft.com/office/drawing/2010/main"/>
                        </a:ext>
                      </a:extLst>
                    </a:blip>
                    <a:stretch>
                      <a:fillRect/>
                    </a:stretch>
                  </pic:blipFill>
                  <pic:spPr>
                    <a:xfrm>
                      <a:off x="0" y="0"/>
                      <a:ext cx="8229600" cy="5325110"/>
                    </a:xfrm>
                    <a:prstGeom prst="rect">
                      <a:avLst/>
                    </a:prstGeom>
                  </pic:spPr>
                </pic:pic>
              </a:graphicData>
            </a:graphic>
          </wp:inline>
        </w:drawing>
      </w:r>
    </w:p>
    <w:p w14:paraId="30537865" w14:textId="74341151" w:rsidR="00B865BC" w:rsidRPr="00B865BC" w:rsidRDefault="00B865BC" w:rsidP="00B865BC">
      <w:pPr>
        <w:pStyle w:val="Caption"/>
      </w:pPr>
      <w:bookmarkStart w:id="370" w:name="_Toc152766309"/>
      <w:bookmarkStart w:id="371" w:name="_Toc164175134"/>
      <w:r w:rsidRPr="00B865BC">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11</w:t>
      </w:r>
      <w:r w:rsidR="004F13BA">
        <w:rPr>
          <w:noProof/>
        </w:rPr>
        <w:fldChar w:fldCharType="end"/>
      </w:r>
      <w:r w:rsidRPr="00B865BC">
        <w:t xml:space="preserve">. </w:t>
      </w:r>
      <w:r w:rsidRPr="00B865BC">
        <w:rPr>
          <w:rFonts w:cstheme="minorHAnsi"/>
        </w:rPr>
        <w:t>Statewide total phosphorus trends.</w:t>
      </w:r>
      <w:bookmarkEnd w:id="370"/>
      <w:bookmarkEnd w:id="371"/>
    </w:p>
    <w:p w14:paraId="75DED0C2" w14:textId="78A02359" w:rsidR="00A11D2E" w:rsidRPr="00AD3B35" w:rsidRDefault="00A11D2E" w:rsidP="00A11D2E">
      <w:pPr>
        <w:ind w:left="720"/>
        <w:rPr>
          <w:rFonts w:cstheme="minorHAnsi"/>
          <w:b/>
          <w:bCs/>
        </w:rPr>
        <w:sectPr w:rsidR="00A11D2E" w:rsidRPr="00AD3B35" w:rsidSect="009079C4">
          <w:pgSz w:w="15840" w:h="12240" w:orient="landscape" w:code="1"/>
          <w:pgMar w:top="1440" w:right="1440" w:bottom="1440" w:left="1440" w:header="720" w:footer="720" w:gutter="0"/>
          <w:cols w:space="720"/>
          <w:docGrid w:linePitch="360"/>
        </w:sectPr>
      </w:pPr>
    </w:p>
    <w:p w14:paraId="73D91C2A" w14:textId="424605FC" w:rsidR="00A11D2E" w:rsidRPr="00382E27" w:rsidRDefault="00A11D2E" w:rsidP="00A11D2E">
      <w:pPr>
        <w:pStyle w:val="Heading4"/>
      </w:pPr>
      <w:r w:rsidRPr="00AD3B35">
        <w:lastRenderedPageBreak/>
        <w:t>Specific Conductance</w:t>
      </w:r>
    </w:p>
    <w:p w14:paraId="6B1A6D44" w14:textId="28B2A27E" w:rsidR="00A11D2E" w:rsidRPr="00AD3B35" w:rsidRDefault="00A11D2E" w:rsidP="00382E27">
      <w:pPr>
        <w:rPr>
          <w:rFonts w:cstheme="minorHAnsi"/>
        </w:rPr>
      </w:pPr>
      <w:r w:rsidRPr="00AD3B35">
        <w:rPr>
          <w:rFonts w:cstheme="minorHAnsi"/>
        </w:rPr>
        <w:t xml:space="preserve">Specific conductance (SC) is a measure of how much electricity is transmitted through water. SC is corrected to a standard temperature of 25 </w:t>
      </w:r>
      <w:proofErr w:type="spellStart"/>
      <w:r w:rsidRPr="00AD3B35">
        <w:rPr>
          <w:rFonts w:cstheme="minorHAnsi"/>
          <w:vertAlign w:val="superscript"/>
        </w:rPr>
        <w:t>o</w:t>
      </w:r>
      <w:r w:rsidRPr="00AD3B35">
        <w:rPr>
          <w:rFonts w:cstheme="minorHAnsi"/>
        </w:rPr>
        <w:t>C</w:t>
      </w:r>
      <w:proofErr w:type="spellEnd"/>
      <w:r w:rsidRPr="00AD3B35">
        <w:rPr>
          <w:rFonts w:cstheme="minorHAnsi"/>
        </w:rPr>
        <w:t xml:space="preserve"> because increased temperature increases conductivity. In freshwater, increasing SC may indicate increasing pollution.</w:t>
      </w:r>
      <w:r w:rsidR="00E3731A">
        <w:rPr>
          <w:rFonts w:cstheme="minorHAnsi"/>
        </w:rPr>
        <w:t xml:space="preserve"> </w:t>
      </w:r>
      <w:r w:rsidR="00E3731A" w:rsidRPr="00AD3B35">
        <w:rPr>
          <w:rFonts w:cstheme="minorHAnsi"/>
        </w:rPr>
        <w:t xml:space="preserve">The causes of the observed increases in SC may vary across the state. In non-tidal freshwater waterbodies, increased SC is </w:t>
      </w:r>
      <w:proofErr w:type="gramStart"/>
      <w:r w:rsidR="00E3731A" w:rsidRPr="00AD3B35">
        <w:rPr>
          <w:rFonts w:cstheme="minorHAnsi"/>
        </w:rPr>
        <w:t>most commonly caused</w:t>
      </w:r>
      <w:proofErr w:type="gramEnd"/>
      <w:r w:rsidR="00E3731A" w:rsidRPr="00AD3B35">
        <w:rPr>
          <w:rFonts w:cstheme="minorHAnsi"/>
        </w:rPr>
        <w:t xml:space="preserve"> by runoff of mineral material from the watershed, either by disturbance and erosion of natural material (e.g., soil disturbance during land clearing and construction or mine drainage), or inputs of material introduced to the landscape (e.g., salts used for de-icing of pavement</w:t>
      </w:r>
      <w:r w:rsidR="00E3731A">
        <w:rPr>
          <w:rFonts w:cstheme="minorHAnsi"/>
        </w:rPr>
        <w:t>.</w:t>
      </w:r>
    </w:p>
    <w:p w14:paraId="6FDECD33" w14:textId="77777777" w:rsidR="00A11D2E" w:rsidRPr="00AD3B35" w:rsidRDefault="00A11D2E" w:rsidP="00A11D2E">
      <w:pPr>
        <w:rPr>
          <w:rFonts w:cstheme="minorHAnsi"/>
        </w:rPr>
      </w:pPr>
    </w:p>
    <w:p w14:paraId="51731556" w14:textId="04F891AE" w:rsidR="00A11D2E" w:rsidRPr="00AD3B35" w:rsidRDefault="00A11D2E" w:rsidP="00382E27">
      <w:pPr>
        <w:rPr>
          <w:rFonts w:cstheme="minorHAnsi"/>
        </w:rPr>
      </w:pPr>
      <w:r w:rsidRPr="00AD3B35">
        <w:rPr>
          <w:rFonts w:cstheme="minorHAnsi"/>
        </w:rPr>
        <w:t>Of the 15 variables analyzed for this report, SC showed the largest percentage of degrading conditions, as indicated by increases in SC (102 of 395 stations; 26%; Table 4</w:t>
      </w:r>
      <w:r w:rsidR="001D4856">
        <w:rPr>
          <w:rFonts w:cstheme="minorHAnsi"/>
        </w:rPr>
        <w:t>.7-</w:t>
      </w:r>
      <w:r w:rsidR="00894468">
        <w:rPr>
          <w:rFonts w:cstheme="minorHAnsi"/>
        </w:rPr>
        <w:t>4</w:t>
      </w:r>
      <w:r w:rsidRPr="00AD3B35">
        <w:rPr>
          <w:rFonts w:cstheme="minorHAnsi"/>
        </w:rPr>
        <w:t>).</w:t>
      </w:r>
      <w:r w:rsidR="00B277BC">
        <w:rPr>
          <w:rFonts w:cstheme="minorHAnsi"/>
        </w:rPr>
        <w:t xml:space="preserve"> </w:t>
      </w:r>
      <w:r w:rsidRPr="00AD3B35">
        <w:rPr>
          <w:rFonts w:cstheme="minorHAnsi"/>
        </w:rPr>
        <w:t xml:space="preserve">Improving conditions were observed at only 10 stations (2%) and no trend was observed at 283 stations (72%). Degrading SC conditions were more prevalent than improving conditions in all river basins (Table </w:t>
      </w:r>
      <w:r w:rsidR="00EA7860">
        <w:rPr>
          <w:rFonts w:cstheme="minorHAnsi"/>
        </w:rPr>
        <w:t>4.7-</w:t>
      </w:r>
      <w:r w:rsidRPr="00AD3B35">
        <w:rPr>
          <w:rFonts w:cstheme="minorHAnsi"/>
        </w:rPr>
        <w:t xml:space="preserve">15, Figure </w:t>
      </w:r>
      <w:r w:rsidR="00C85D2A">
        <w:rPr>
          <w:rFonts w:cstheme="minorHAnsi"/>
        </w:rPr>
        <w:t>4.7-</w:t>
      </w:r>
      <w:r w:rsidRPr="00AD3B35">
        <w:rPr>
          <w:rFonts w:cstheme="minorHAnsi"/>
        </w:rPr>
        <w:t>12). For sites showing degrading trends, 92 sites had a rate of change &lt; 11 µS cm</w:t>
      </w:r>
      <w:r w:rsidRPr="00AD3B35">
        <w:rPr>
          <w:rFonts w:cstheme="minorHAnsi"/>
          <w:vertAlign w:val="superscript"/>
        </w:rPr>
        <w:t xml:space="preserve">-1 </w:t>
      </w:r>
      <w:r w:rsidRPr="00AD3B35">
        <w:rPr>
          <w:rFonts w:cstheme="minorHAnsi"/>
        </w:rPr>
        <w:t>yr</w:t>
      </w:r>
      <w:r w:rsidRPr="00AD3B35">
        <w:rPr>
          <w:rFonts w:cstheme="minorHAnsi"/>
          <w:vertAlign w:val="superscript"/>
        </w:rPr>
        <w:t xml:space="preserve">-1 </w:t>
      </w:r>
      <w:r w:rsidRPr="00AD3B35">
        <w:rPr>
          <w:rFonts w:cstheme="minorHAnsi"/>
        </w:rPr>
        <w:t>and 10 sites had concerning rates of degradation of between 120 and 575 µS cm</w:t>
      </w:r>
      <w:r w:rsidRPr="00AD3B35">
        <w:rPr>
          <w:rFonts w:cstheme="minorHAnsi"/>
          <w:vertAlign w:val="superscript"/>
        </w:rPr>
        <w:t xml:space="preserve">-1 </w:t>
      </w:r>
      <w:r w:rsidRPr="00AD3B35">
        <w:rPr>
          <w:rFonts w:cstheme="minorHAnsi"/>
        </w:rPr>
        <w:t>yr</w:t>
      </w:r>
      <w:r w:rsidRPr="00AD3B35">
        <w:rPr>
          <w:rFonts w:cstheme="minorHAnsi"/>
          <w:vertAlign w:val="superscript"/>
        </w:rPr>
        <w:t>-1</w:t>
      </w:r>
      <w:r w:rsidRPr="00AD3B35">
        <w:rPr>
          <w:rFonts w:cstheme="minorHAnsi"/>
        </w:rPr>
        <w:t>, as estimated by the Theil-Sen slope value, a rapid rate of increase that is likely to adversely affect aquatic life in many systems.</w:t>
      </w:r>
    </w:p>
    <w:p w14:paraId="47066F2A" w14:textId="77777777" w:rsidR="00A11D2E" w:rsidRPr="00AD3B35" w:rsidRDefault="00A11D2E" w:rsidP="00A11D2E">
      <w:pPr>
        <w:ind w:firstLine="720"/>
        <w:rPr>
          <w:rFonts w:cstheme="minorHAnsi"/>
        </w:rPr>
      </w:pPr>
    </w:p>
    <w:p w14:paraId="21340BC5" w14:textId="77777777" w:rsidR="00320909" w:rsidRDefault="00A11D2E" w:rsidP="00382E27">
      <w:pPr>
        <w:rPr>
          <w:rFonts w:cstheme="minorHAnsi"/>
        </w:rPr>
      </w:pPr>
      <w:r w:rsidRPr="00AD3B35">
        <w:rPr>
          <w:rFonts w:cstheme="minorHAnsi"/>
        </w:rPr>
        <w:t xml:space="preserve">In tidal systems, SC increases may be affected by such inputs, or by salinization caused by sea level rise, relative to riverine inputs of fresh water. Because of the magnitude and wide geographic distribution of the increasing trends in conductivity, which have occurred in systems with a wide range of watershed land uses and land cover types, </w:t>
      </w:r>
      <w:r w:rsidR="00B75FAD">
        <w:rPr>
          <w:rFonts w:cstheme="minorHAnsi"/>
        </w:rPr>
        <w:t>DEQ</w:t>
      </w:r>
      <w:r w:rsidRPr="00AD3B35">
        <w:rPr>
          <w:rFonts w:cstheme="minorHAnsi"/>
        </w:rPr>
        <w:t xml:space="preserve"> has developed a special study to better understand the trends. Nearly 100 stations have been targeted to include additional major ion monitoring. Monitoring to identify the major constituents contributing to the increases in SC will continue as part of a long-term strategy to </w:t>
      </w:r>
      <w:r w:rsidR="00B75FAD">
        <w:rPr>
          <w:rFonts w:cstheme="minorHAnsi"/>
        </w:rPr>
        <w:t>better</w:t>
      </w:r>
      <w:r w:rsidRPr="00AD3B35">
        <w:rPr>
          <w:rFonts w:cstheme="minorHAnsi"/>
        </w:rPr>
        <w:t xml:space="preserve"> </w:t>
      </w:r>
      <w:r w:rsidR="00A44E3C">
        <w:rPr>
          <w:rFonts w:cstheme="minorHAnsi"/>
        </w:rPr>
        <w:t>understand</w:t>
      </w:r>
      <w:r w:rsidRPr="00AD3B35">
        <w:rPr>
          <w:rFonts w:cstheme="minorHAnsi"/>
        </w:rPr>
        <w:t xml:space="preserve"> the observed changes.</w:t>
      </w:r>
      <w:bookmarkStart w:id="372" w:name="_Ref510440172"/>
      <w:bookmarkStart w:id="373" w:name="_Ref510440184"/>
      <w:bookmarkStart w:id="374" w:name="_Ref532203248"/>
      <w:bookmarkStart w:id="375" w:name="_Ref532203214"/>
    </w:p>
    <w:p w14:paraId="71AB8618" w14:textId="5C44486B" w:rsidR="00320909" w:rsidRDefault="00320909">
      <w:pPr>
        <w:widowControl/>
        <w:spacing w:after="160" w:line="259" w:lineRule="auto"/>
        <w:rPr>
          <w:rFonts w:cstheme="minorHAnsi"/>
        </w:rPr>
      </w:pPr>
      <w:r>
        <w:rPr>
          <w:rFonts w:cstheme="minorHAnsi"/>
        </w:rPr>
        <w:br w:type="page"/>
      </w:r>
    </w:p>
    <w:p w14:paraId="0F07E60B" w14:textId="5A8F442C" w:rsidR="00960BB8" w:rsidRPr="00960BB8" w:rsidRDefault="00960BB8" w:rsidP="00960BB8">
      <w:pPr>
        <w:pStyle w:val="Caption"/>
        <w:keepNext/>
      </w:pPr>
      <w:bookmarkStart w:id="376" w:name="_Toc164175236"/>
      <w:r w:rsidRPr="00960BB8">
        <w:lastRenderedPageBreak/>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15</w:t>
      </w:r>
      <w:r w:rsidR="004F13BA">
        <w:rPr>
          <w:noProof/>
        </w:rPr>
        <w:fldChar w:fldCharType="end"/>
      </w:r>
      <w:r w:rsidRPr="00960BB8">
        <w:t xml:space="preserve">. </w:t>
      </w:r>
      <w:r w:rsidRPr="00960BB8">
        <w:rPr>
          <w:rFonts w:cstheme="minorHAnsi"/>
        </w:rPr>
        <w:t>Specific conductance trends by basin</w:t>
      </w:r>
      <w:r w:rsidR="00A125B0">
        <w:rPr>
          <w:rFonts w:cstheme="minorHAnsi"/>
        </w:rPr>
        <w:t>, 2003 through 2022.</w:t>
      </w:r>
      <w:bookmarkEnd w:id="376"/>
      <w:r w:rsidR="00A125B0">
        <w:rPr>
          <w:rFonts w:cstheme="minorHAnsi"/>
        </w:rPr>
        <w:t xml:space="preserve"> </w:t>
      </w:r>
    </w:p>
    <w:tbl>
      <w:tblPr>
        <w:tblW w:w="5000" w:type="pct"/>
        <w:tblLook w:val="04A0" w:firstRow="1" w:lastRow="0" w:firstColumn="1" w:lastColumn="0" w:noHBand="0" w:noVBand="1"/>
        <w:tblCaption w:val="Table of Specific conductance trends by basin."/>
        <w:tblDescription w:val="Specific conductance trends by basin."/>
      </w:tblPr>
      <w:tblGrid>
        <w:gridCol w:w="1539"/>
        <w:gridCol w:w="960"/>
        <w:gridCol w:w="1191"/>
        <w:gridCol w:w="1262"/>
        <w:gridCol w:w="1320"/>
        <w:gridCol w:w="1187"/>
        <w:gridCol w:w="1151"/>
        <w:gridCol w:w="750"/>
      </w:tblGrid>
      <w:tr w:rsidR="00A11D2E" w:rsidRPr="00AD3B35" w14:paraId="12E3F408" w14:textId="77777777" w:rsidTr="00960BB8">
        <w:trPr>
          <w:trHeight w:val="1035"/>
        </w:trPr>
        <w:tc>
          <w:tcPr>
            <w:tcW w:w="822" w:type="pct"/>
            <w:tcBorders>
              <w:top w:val="single" w:sz="12" w:space="0" w:color="auto"/>
              <w:left w:val="nil"/>
              <w:bottom w:val="single" w:sz="8" w:space="0" w:color="auto"/>
              <w:right w:val="nil"/>
            </w:tcBorders>
            <w:shd w:val="clear" w:color="auto" w:fill="auto"/>
            <w:vAlign w:val="center"/>
            <w:hideMark/>
          </w:tcPr>
          <w:p w14:paraId="2A13E83E" w14:textId="77777777" w:rsidR="00A11D2E" w:rsidRPr="00442E9E" w:rsidRDefault="00A11D2E">
            <w:pPr>
              <w:widowControl/>
              <w:jc w:val="center"/>
              <w:rPr>
                <w:rFonts w:cstheme="minorHAnsi"/>
                <w:b/>
                <w:bCs/>
                <w:snapToGrid/>
                <w:color w:val="000000"/>
                <w:sz w:val="22"/>
                <w:szCs w:val="22"/>
              </w:rPr>
            </w:pPr>
            <w:r w:rsidRPr="00442E9E">
              <w:rPr>
                <w:rFonts w:cstheme="minorHAnsi"/>
                <w:b/>
                <w:bCs/>
                <w:color w:val="000000"/>
                <w:sz w:val="22"/>
                <w:szCs w:val="22"/>
              </w:rPr>
              <w:t>Basin</w:t>
            </w:r>
          </w:p>
        </w:tc>
        <w:tc>
          <w:tcPr>
            <w:tcW w:w="513" w:type="pct"/>
            <w:tcBorders>
              <w:top w:val="single" w:sz="12" w:space="0" w:color="auto"/>
              <w:left w:val="nil"/>
              <w:bottom w:val="single" w:sz="8" w:space="0" w:color="auto"/>
              <w:right w:val="nil"/>
            </w:tcBorders>
            <w:shd w:val="clear" w:color="auto" w:fill="auto"/>
            <w:vAlign w:val="center"/>
            <w:hideMark/>
          </w:tcPr>
          <w:p w14:paraId="58C160F9" w14:textId="77777777" w:rsidR="00A11D2E" w:rsidRPr="00442E9E" w:rsidRDefault="00A11D2E">
            <w:pPr>
              <w:jc w:val="center"/>
              <w:rPr>
                <w:rFonts w:cstheme="minorHAnsi"/>
                <w:b/>
                <w:bCs/>
                <w:color w:val="000000"/>
                <w:sz w:val="22"/>
                <w:szCs w:val="22"/>
              </w:rPr>
            </w:pPr>
            <w:r w:rsidRPr="00442E9E">
              <w:rPr>
                <w:rFonts w:cstheme="minorHAnsi"/>
                <w:b/>
                <w:bCs/>
                <w:color w:val="000000"/>
                <w:sz w:val="22"/>
                <w:szCs w:val="22"/>
              </w:rPr>
              <w:t>Total Stations</w:t>
            </w:r>
          </w:p>
        </w:tc>
        <w:tc>
          <w:tcPr>
            <w:tcW w:w="637" w:type="pct"/>
            <w:tcBorders>
              <w:top w:val="single" w:sz="12" w:space="0" w:color="auto"/>
              <w:left w:val="nil"/>
              <w:bottom w:val="single" w:sz="8" w:space="0" w:color="auto"/>
              <w:right w:val="nil"/>
            </w:tcBorders>
            <w:shd w:val="clear" w:color="auto" w:fill="auto"/>
            <w:vAlign w:val="center"/>
            <w:hideMark/>
          </w:tcPr>
          <w:p w14:paraId="0DB2111E" w14:textId="77777777" w:rsidR="00A11D2E" w:rsidRPr="00442E9E" w:rsidRDefault="00A11D2E">
            <w:pPr>
              <w:jc w:val="center"/>
              <w:rPr>
                <w:rFonts w:cstheme="minorHAnsi"/>
                <w:b/>
                <w:bCs/>
                <w:color w:val="000000"/>
                <w:sz w:val="22"/>
                <w:szCs w:val="22"/>
              </w:rPr>
            </w:pPr>
            <w:r w:rsidRPr="00442E9E">
              <w:rPr>
                <w:rFonts w:cstheme="minorHAnsi"/>
                <w:b/>
                <w:bCs/>
                <w:color w:val="000000"/>
                <w:sz w:val="22"/>
                <w:szCs w:val="22"/>
              </w:rPr>
              <w:t>Improving Trend (stations)</w:t>
            </w:r>
          </w:p>
        </w:tc>
        <w:tc>
          <w:tcPr>
            <w:tcW w:w="674" w:type="pct"/>
            <w:tcBorders>
              <w:top w:val="single" w:sz="12" w:space="0" w:color="auto"/>
              <w:left w:val="nil"/>
              <w:bottom w:val="single" w:sz="8" w:space="0" w:color="auto"/>
              <w:right w:val="nil"/>
            </w:tcBorders>
            <w:shd w:val="clear" w:color="auto" w:fill="auto"/>
            <w:vAlign w:val="center"/>
            <w:hideMark/>
          </w:tcPr>
          <w:p w14:paraId="03476B84" w14:textId="77777777" w:rsidR="00A11D2E" w:rsidRPr="00442E9E" w:rsidRDefault="00A11D2E">
            <w:pPr>
              <w:jc w:val="center"/>
              <w:rPr>
                <w:rFonts w:cstheme="minorHAnsi"/>
                <w:b/>
                <w:bCs/>
                <w:color w:val="000000"/>
                <w:sz w:val="22"/>
                <w:szCs w:val="22"/>
              </w:rPr>
            </w:pPr>
            <w:r w:rsidRPr="00442E9E">
              <w:rPr>
                <w:rFonts w:cstheme="minorHAnsi"/>
                <w:b/>
                <w:bCs/>
                <w:color w:val="000000"/>
                <w:sz w:val="22"/>
                <w:szCs w:val="22"/>
              </w:rPr>
              <w:t>Degrading Trend (stations)</w:t>
            </w:r>
          </w:p>
        </w:tc>
        <w:tc>
          <w:tcPr>
            <w:tcW w:w="705" w:type="pct"/>
            <w:tcBorders>
              <w:top w:val="single" w:sz="12" w:space="0" w:color="auto"/>
              <w:left w:val="nil"/>
              <w:bottom w:val="single" w:sz="8" w:space="0" w:color="auto"/>
              <w:right w:val="nil"/>
            </w:tcBorders>
            <w:shd w:val="clear" w:color="auto" w:fill="auto"/>
            <w:vAlign w:val="center"/>
            <w:hideMark/>
          </w:tcPr>
          <w:p w14:paraId="65F46298" w14:textId="77777777" w:rsidR="00A11D2E" w:rsidRPr="00442E9E" w:rsidRDefault="00A11D2E">
            <w:pPr>
              <w:jc w:val="center"/>
              <w:rPr>
                <w:rFonts w:cstheme="minorHAnsi"/>
                <w:b/>
                <w:bCs/>
                <w:color w:val="000000"/>
                <w:sz w:val="22"/>
                <w:szCs w:val="22"/>
              </w:rPr>
            </w:pPr>
            <w:r w:rsidRPr="00442E9E">
              <w:rPr>
                <w:rFonts w:cstheme="minorHAnsi"/>
                <w:b/>
                <w:bCs/>
                <w:color w:val="000000"/>
                <w:sz w:val="22"/>
                <w:szCs w:val="22"/>
              </w:rPr>
              <w:t>No Trend (stations)</w:t>
            </w:r>
          </w:p>
        </w:tc>
        <w:tc>
          <w:tcPr>
            <w:tcW w:w="634" w:type="pct"/>
            <w:tcBorders>
              <w:top w:val="single" w:sz="12" w:space="0" w:color="auto"/>
              <w:left w:val="nil"/>
              <w:bottom w:val="single" w:sz="8" w:space="0" w:color="auto"/>
              <w:right w:val="nil"/>
            </w:tcBorders>
            <w:shd w:val="clear" w:color="auto" w:fill="auto"/>
            <w:vAlign w:val="center"/>
            <w:hideMark/>
          </w:tcPr>
          <w:p w14:paraId="6B775189" w14:textId="77777777" w:rsidR="00A11D2E" w:rsidRPr="00442E9E" w:rsidRDefault="00A11D2E">
            <w:pPr>
              <w:jc w:val="center"/>
              <w:rPr>
                <w:rFonts w:cstheme="minorHAnsi"/>
                <w:b/>
                <w:bCs/>
                <w:color w:val="000000"/>
                <w:sz w:val="22"/>
                <w:szCs w:val="22"/>
              </w:rPr>
            </w:pPr>
            <w:r w:rsidRPr="00442E9E">
              <w:rPr>
                <w:rFonts w:cstheme="minorHAnsi"/>
                <w:b/>
                <w:bCs/>
                <w:color w:val="000000"/>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5B7FF053" w14:textId="77777777" w:rsidR="00A11D2E" w:rsidRPr="00442E9E" w:rsidRDefault="00A11D2E">
            <w:pPr>
              <w:jc w:val="center"/>
              <w:rPr>
                <w:rFonts w:cstheme="minorHAnsi"/>
                <w:b/>
                <w:bCs/>
                <w:color w:val="000000"/>
                <w:sz w:val="22"/>
                <w:szCs w:val="22"/>
              </w:rPr>
            </w:pPr>
            <w:r w:rsidRPr="00442E9E">
              <w:rPr>
                <w:rFonts w:cstheme="minorHAnsi"/>
                <w:b/>
                <w:bCs/>
                <w:color w:val="000000"/>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56338E39" w14:textId="77777777" w:rsidR="00A11D2E" w:rsidRPr="00442E9E" w:rsidRDefault="00A11D2E">
            <w:pPr>
              <w:jc w:val="center"/>
              <w:rPr>
                <w:rFonts w:cstheme="minorHAnsi"/>
                <w:b/>
                <w:bCs/>
                <w:color w:val="000000"/>
                <w:sz w:val="22"/>
                <w:szCs w:val="22"/>
              </w:rPr>
            </w:pPr>
            <w:r w:rsidRPr="00442E9E">
              <w:rPr>
                <w:rFonts w:cstheme="minorHAnsi"/>
                <w:b/>
                <w:bCs/>
                <w:color w:val="000000"/>
                <w:sz w:val="22"/>
                <w:szCs w:val="22"/>
              </w:rPr>
              <w:t>No Trend (%)</w:t>
            </w:r>
          </w:p>
        </w:tc>
      </w:tr>
      <w:tr w:rsidR="00A11D2E" w:rsidRPr="00AD3B35" w14:paraId="70F6C60B" w14:textId="77777777" w:rsidTr="00960BB8">
        <w:trPr>
          <w:trHeight w:val="360"/>
        </w:trPr>
        <w:tc>
          <w:tcPr>
            <w:tcW w:w="822" w:type="pct"/>
            <w:tcBorders>
              <w:top w:val="nil"/>
              <w:left w:val="nil"/>
              <w:bottom w:val="nil"/>
              <w:right w:val="nil"/>
            </w:tcBorders>
            <w:shd w:val="clear" w:color="auto" w:fill="auto"/>
            <w:noWrap/>
            <w:vAlign w:val="center"/>
          </w:tcPr>
          <w:p w14:paraId="4E1589C8" w14:textId="40B01815" w:rsidR="00A11D2E" w:rsidRPr="00442E9E" w:rsidRDefault="00A11D2E">
            <w:pPr>
              <w:widowControl/>
              <w:jc w:val="center"/>
              <w:rPr>
                <w:rFonts w:cstheme="minorHAnsi"/>
                <w:bCs/>
                <w:snapToGrid/>
                <w:sz w:val="22"/>
                <w:szCs w:val="22"/>
              </w:rPr>
            </w:pPr>
            <w:r w:rsidRPr="00442E9E">
              <w:rPr>
                <w:rFonts w:cstheme="minorHAnsi"/>
                <w:snapToGrid/>
                <w:sz w:val="22"/>
                <w:szCs w:val="22"/>
              </w:rPr>
              <w:t>Chesapeake</w:t>
            </w:r>
          </w:p>
        </w:tc>
        <w:tc>
          <w:tcPr>
            <w:tcW w:w="513" w:type="pct"/>
            <w:tcBorders>
              <w:top w:val="nil"/>
              <w:left w:val="nil"/>
              <w:bottom w:val="nil"/>
              <w:right w:val="nil"/>
            </w:tcBorders>
            <w:shd w:val="clear" w:color="auto" w:fill="auto"/>
            <w:noWrap/>
            <w:vAlign w:val="center"/>
          </w:tcPr>
          <w:p w14:paraId="2B53A44F"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34</w:t>
            </w:r>
          </w:p>
        </w:tc>
        <w:tc>
          <w:tcPr>
            <w:tcW w:w="637" w:type="pct"/>
            <w:tcBorders>
              <w:top w:val="nil"/>
              <w:left w:val="nil"/>
              <w:bottom w:val="nil"/>
              <w:right w:val="nil"/>
            </w:tcBorders>
            <w:shd w:val="clear" w:color="auto" w:fill="auto"/>
            <w:noWrap/>
            <w:vAlign w:val="center"/>
          </w:tcPr>
          <w:p w14:paraId="42D33EB2"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w:t>
            </w:r>
          </w:p>
        </w:tc>
        <w:tc>
          <w:tcPr>
            <w:tcW w:w="674" w:type="pct"/>
            <w:tcBorders>
              <w:top w:val="nil"/>
              <w:left w:val="nil"/>
              <w:bottom w:val="nil"/>
              <w:right w:val="nil"/>
            </w:tcBorders>
            <w:shd w:val="clear" w:color="auto" w:fill="auto"/>
            <w:noWrap/>
            <w:vAlign w:val="center"/>
          </w:tcPr>
          <w:p w14:paraId="3D18FDE4"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10</w:t>
            </w:r>
          </w:p>
        </w:tc>
        <w:tc>
          <w:tcPr>
            <w:tcW w:w="705" w:type="pct"/>
            <w:tcBorders>
              <w:top w:val="nil"/>
              <w:left w:val="nil"/>
              <w:bottom w:val="nil"/>
              <w:right w:val="nil"/>
            </w:tcBorders>
            <w:shd w:val="clear" w:color="auto" w:fill="auto"/>
            <w:noWrap/>
            <w:vAlign w:val="center"/>
          </w:tcPr>
          <w:p w14:paraId="02D0FBC2"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22</w:t>
            </w:r>
          </w:p>
        </w:tc>
        <w:tc>
          <w:tcPr>
            <w:tcW w:w="634" w:type="pct"/>
            <w:tcBorders>
              <w:top w:val="nil"/>
              <w:left w:val="nil"/>
              <w:bottom w:val="nil"/>
              <w:right w:val="nil"/>
            </w:tcBorders>
            <w:shd w:val="clear" w:color="auto" w:fill="auto"/>
            <w:noWrap/>
            <w:vAlign w:val="center"/>
          </w:tcPr>
          <w:p w14:paraId="2656F27B"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6</w:t>
            </w:r>
          </w:p>
        </w:tc>
        <w:tc>
          <w:tcPr>
            <w:tcW w:w="615" w:type="pct"/>
            <w:tcBorders>
              <w:top w:val="nil"/>
              <w:left w:val="nil"/>
              <w:bottom w:val="nil"/>
              <w:right w:val="nil"/>
            </w:tcBorders>
            <w:shd w:val="clear" w:color="auto" w:fill="auto"/>
            <w:noWrap/>
            <w:vAlign w:val="center"/>
          </w:tcPr>
          <w:p w14:paraId="70A12A94"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29</w:t>
            </w:r>
          </w:p>
        </w:tc>
        <w:tc>
          <w:tcPr>
            <w:tcW w:w="401" w:type="pct"/>
            <w:tcBorders>
              <w:top w:val="nil"/>
              <w:left w:val="nil"/>
              <w:bottom w:val="nil"/>
              <w:right w:val="nil"/>
            </w:tcBorders>
            <w:shd w:val="clear" w:color="auto" w:fill="auto"/>
            <w:noWrap/>
            <w:vAlign w:val="center"/>
          </w:tcPr>
          <w:p w14:paraId="71EB750F"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65</w:t>
            </w:r>
          </w:p>
        </w:tc>
      </w:tr>
      <w:tr w:rsidR="00A11D2E" w:rsidRPr="00AD3B35" w14:paraId="2DBDEC71" w14:textId="77777777" w:rsidTr="00960BB8">
        <w:trPr>
          <w:trHeight w:val="360"/>
        </w:trPr>
        <w:tc>
          <w:tcPr>
            <w:tcW w:w="822" w:type="pct"/>
            <w:tcBorders>
              <w:top w:val="nil"/>
              <w:left w:val="nil"/>
              <w:bottom w:val="nil"/>
              <w:right w:val="nil"/>
            </w:tcBorders>
            <w:shd w:val="clear" w:color="auto" w:fill="auto"/>
            <w:noWrap/>
            <w:vAlign w:val="center"/>
            <w:hideMark/>
          </w:tcPr>
          <w:p w14:paraId="46188F1A"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Chowan</w:t>
            </w:r>
          </w:p>
        </w:tc>
        <w:tc>
          <w:tcPr>
            <w:tcW w:w="513" w:type="pct"/>
            <w:tcBorders>
              <w:top w:val="nil"/>
              <w:left w:val="nil"/>
              <w:bottom w:val="nil"/>
              <w:right w:val="nil"/>
            </w:tcBorders>
            <w:shd w:val="clear" w:color="auto" w:fill="auto"/>
            <w:noWrap/>
            <w:vAlign w:val="center"/>
            <w:hideMark/>
          </w:tcPr>
          <w:p w14:paraId="3736C312"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52</w:t>
            </w:r>
          </w:p>
        </w:tc>
        <w:tc>
          <w:tcPr>
            <w:tcW w:w="637" w:type="pct"/>
            <w:tcBorders>
              <w:top w:val="nil"/>
              <w:left w:val="nil"/>
              <w:bottom w:val="nil"/>
              <w:right w:val="nil"/>
            </w:tcBorders>
            <w:shd w:val="clear" w:color="auto" w:fill="auto"/>
            <w:noWrap/>
            <w:vAlign w:val="center"/>
            <w:hideMark/>
          </w:tcPr>
          <w:p w14:paraId="4AE64F39"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w:t>
            </w:r>
          </w:p>
        </w:tc>
        <w:tc>
          <w:tcPr>
            <w:tcW w:w="674" w:type="pct"/>
            <w:tcBorders>
              <w:top w:val="nil"/>
              <w:left w:val="nil"/>
              <w:bottom w:val="nil"/>
              <w:right w:val="nil"/>
            </w:tcBorders>
            <w:shd w:val="clear" w:color="auto" w:fill="auto"/>
            <w:noWrap/>
            <w:vAlign w:val="center"/>
            <w:hideMark/>
          </w:tcPr>
          <w:p w14:paraId="007A14B4"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16</w:t>
            </w:r>
          </w:p>
        </w:tc>
        <w:tc>
          <w:tcPr>
            <w:tcW w:w="705" w:type="pct"/>
            <w:tcBorders>
              <w:top w:val="nil"/>
              <w:left w:val="nil"/>
              <w:bottom w:val="nil"/>
              <w:right w:val="nil"/>
            </w:tcBorders>
            <w:shd w:val="clear" w:color="auto" w:fill="auto"/>
            <w:noWrap/>
            <w:vAlign w:val="center"/>
            <w:hideMark/>
          </w:tcPr>
          <w:p w14:paraId="6678EC72"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35</w:t>
            </w:r>
          </w:p>
        </w:tc>
        <w:tc>
          <w:tcPr>
            <w:tcW w:w="634" w:type="pct"/>
            <w:tcBorders>
              <w:top w:val="nil"/>
              <w:left w:val="nil"/>
              <w:bottom w:val="nil"/>
              <w:right w:val="nil"/>
            </w:tcBorders>
            <w:shd w:val="clear" w:color="auto" w:fill="auto"/>
            <w:noWrap/>
            <w:vAlign w:val="center"/>
            <w:hideMark/>
          </w:tcPr>
          <w:p w14:paraId="4813ADF4"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w:t>
            </w:r>
          </w:p>
        </w:tc>
        <w:tc>
          <w:tcPr>
            <w:tcW w:w="615" w:type="pct"/>
            <w:tcBorders>
              <w:top w:val="nil"/>
              <w:left w:val="nil"/>
              <w:bottom w:val="nil"/>
              <w:right w:val="nil"/>
            </w:tcBorders>
            <w:shd w:val="clear" w:color="auto" w:fill="auto"/>
            <w:noWrap/>
            <w:vAlign w:val="center"/>
            <w:hideMark/>
          </w:tcPr>
          <w:p w14:paraId="36053518"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31</w:t>
            </w:r>
          </w:p>
        </w:tc>
        <w:tc>
          <w:tcPr>
            <w:tcW w:w="401" w:type="pct"/>
            <w:tcBorders>
              <w:top w:val="nil"/>
              <w:left w:val="nil"/>
              <w:bottom w:val="nil"/>
              <w:right w:val="nil"/>
            </w:tcBorders>
            <w:shd w:val="clear" w:color="auto" w:fill="auto"/>
            <w:noWrap/>
            <w:vAlign w:val="center"/>
            <w:hideMark/>
          </w:tcPr>
          <w:p w14:paraId="00D2B031"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67</w:t>
            </w:r>
          </w:p>
        </w:tc>
      </w:tr>
      <w:tr w:rsidR="00A11D2E" w:rsidRPr="00AD3B35" w14:paraId="131801E1" w14:textId="77777777" w:rsidTr="00960BB8">
        <w:trPr>
          <w:trHeight w:val="360"/>
        </w:trPr>
        <w:tc>
          <w:tcPr>
            <w:tcW w:w="822" w:type="pct"/>
            <w:tcBorders>
              <w:top w:val="nil"/>
              <w:left w:val="nil"/>
              <w:bottom w:val="nil"/>
              <w:right w:val="nil"/>
            </w:tcBorders>
            <w:shd w:val="clear" w:color="auto" w:fill="auto"/>
            <w:noWrap/>
            <w:vAlign w:val="center"/>
            <w:hideMark/>
          </w:tcPr>
          <w:p w14:paraId="6A247E12"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James</w:t>
            </w:r>
          </w:p>
        </w:tc>
        <w:tc>
          <w:tcPr>
            <w:tcW w:w="513" w:type="pct"/>
            <w:tcBorders>
              <w:top w:val="nil"/>
              <w:left w:val="nil"/>
              <w:bottom w:val="nil"/>
              <w:right w:val="nil"/>
            </w:tcBorders>
            <w:shd w:val="clear" w:color="auto" w:fill="auto"/>
            <w:noWrap/>
            <w:vAlign w:val="center"/>
            <w:hideMark/>
          </w:tcPr>
          <w:p w14:paraId="150567C6"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92</w:t>
            </w:r>
          </w:p>
        </w:tc>
        <w:tc>
          <w:tcPr>
            <w:tcW w:w="637" w:type="pct"/>
            <w:tcBorders>
              <w:top w:val="nil"/>
              <w:left w:val="nil"/>
              <w:bottom w:val="nil"/>
              <w:right w:val="nil"/>
            </w:tcBorders>
            <w:shd w:val="clear" w:color="auto" w:fill="auto"/>
            <w:noWrap/>
            <w:vAlign w:val="center"/>
            <w:hideMark/>
          </w:tcPr>
          <w:p w14:paraId="0B6AD007"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0</w:t>
            </w:r>
          </w:p>
        </w:tc>
        <w:tc>
          <w:tcPr>
            <w:tcW w:w="674" w:type="pct"/>
            <w:tcBorders>
              <w:top w:val="nil"/>
              <w:left w:val="nil"/>
              <w:bottom w:val="nil"/>
              <w:right w:val="nil"/>
            </w:tcBorders>
            <w:shd w:val="clear" w:color="auto" w:fill="auto"/>
            <w:noWrap/>
            <w:vAlign w:val="center"/>
            <w:hideMark/>
          </w:tcPr>
          <w:p w14:paraId="1BBB5FC2"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18</w:t>
            </w:r>
          </w:p>
        </w:tc>
        <w:tc>
          <w:tcPr>
            <w:tcW w:w="705" w:type="pct"/>
            <w:tcBorders>
              <w:top w:val="nil"/>
              <w:left w:val="nil"/>
              <w:bottom w:val="nil"/>
              <w:right w:val="nil"/>
            </w:tcBorders>
            <w:shd w:val="clear" w:color="auto" w:fill="auto"/>
            <w:noWrap/>
            <w:vAlign w:val="center"/>
            <w:hideMark/>
          </w:tcPr>
          <w:p w14:paraId="7E554654"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74</w:t>
            </w:r>
          </w:p>
        </w:tc>
        <w:tc>
          <w:tcPr>
            <w:tcW w:w="634" w:type="pct"/>
            <w:tcBorders>
              <w:top w:val="nil"/>
              <w:left w:val="nil"/>
              <w:bottom w:val="nil"/>
              <w:right w:val="nil"/>
            </w:tcBorders>
            <w:shd w:val="clear" w:color="auto" w:fill="auto"/>
            <w:noWrap/>
            <w:vAlign w:val="center"/>
            <w:hideMark/>
          </w:tcPr>
          <w:p w14:paraId="2877EED7"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1C127E5B"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20</w:t>
            </w:r>
          </w:p>
        </w:tc>
        <w:tc>
          <w:tcPr>
            <w:tcW w:w="401" w:type="pct"/>
            <w:tcBorders>
              <w:top w:val="nil"/>
              <w:left w:val="nil"/>
              <w:bottom w:val="nil"/>
              <w:right w:val="nil"/>
            </w:tcBorders>
            <w:shd w:val="clear" w:color="auto" w:fill="auto"/>
            <w:noWrap/>
            <w:vAlign w:val="center"/>
            <w:hideMark/>
          </w:tcPr>
          <w:p w14:paraId="0C863125"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80</w:t>
            </w:r>
          </w:p>
        </w:tc>
      </w:tr>
      <w:tr w:rsidR="00A11D2E" w:rsidRPr="00AD3B35" w14:paraId="493BA6B7" w14:textId="77777777" w:rsidTr="00960BB8">
        <w:trPr>
          <w:trHeight w:val="360"/>
        </w:trPr>
        <w:tc>
          <w:tcPr>
            <w:tcW w:w="822" w:type="pct"/>
            <w:tcBorders>
              <w:top w:val="nil"/>
              <w:left w:val="nil"/>
              <w:bottom w:val="nil"/>
              <w:right w:val="nil"/>
            </w:tcBorders>
            <w:shd w:val="clear" w:color="auto" w:fill="auto"/>
            <w:noWrap/>
            <w:vAlign w:val="center"/>
            <w:hideMark/>
          </w:tcPr>
          <w:p w14:paraId="1B0CD960"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New</w:t>
            </w:r>
          </w:p>
        </w:tc>
        <w:tc>
          <w:tcPr>
            <w:tcW w:w="513" w:type="pct"/>
            <w:tcBorders>
              <w:top w:val="nil"/>
              <w:left w:val="nil"/>
              <w:bottom w:val="nil"/>
              <w:right w:val="nil"/>
            </w:tcBorders>
            <w:shd w:val="clear" w:color="auto" w:fill="auto"/>
            <w:noWrap/>
            <w:vAlign w:val="center"/>
            <w:hideMark/>
          </w:tcPr>
          <w:p w14:paraId="56FBFA09"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10</w:t>
            </w:r>
          </w:p>
        </w:tc>
        <w:tc>
          <w:tcPr>
            <w:tcW w:w="637" w:type="pct"/>
            <w:tcBorders>
              <w:top w:val="nil"/>
              <w:left w:val="nil"/>
              <w:bottom w:val="nil"/>
              <w:right w:val="nil"/>
            </w:tcBorders>
            <w:shd w:val="clear" w:color="auto" w:fill="auto"/>
            <w:noWrap/>
            <w:vAlign w:val="center"/>
            <w:hideMark/>
          </w:tcPr>
          <w:p w14:paraId="1BB41406"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w:t>
            </w:r>
          </w:p>
        </w:tc>
        <w:tc>
          <w:tcPr>
            <w:tcW w:w="674" w:type="pct"/>
            <w:tcBorders>
              <w:top w:val="nil"/>
              <w:left w:val="nil"/>
              <w:bottom w:val="nil"/>
              <w:right w:val="nil"/>
            </w:tcBorders>
            <w:shd w:val="clear" w:color="auto" w:fill="auto"/>
            <w:noWrap/>
            <w:vAlign w:val="center"/>
            <w:hideMark/>
          </w:tcPr>
          <w:p w14:paraId="6670DB1B"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w:t>
            </w:r>
          </w:p>
        </w:tc>
        <w:tc>
          <w:tcPr>
            <w:tcW w:w="705" w:type="pct"/>
            <w:tcBorders>
              <w:top w:val="nil"/>
              <w:left w:val="nil"/>
              <w:bottom w:val="nil"/>
              <w:right w:val="nil"/>
            </w:tcBorders>
            <w:shd w:val="clear" w:color="auto" w:fill="auto"/>
            <w:noWrap/>
            <w:vAlign w:val="center"/>
            <w:hideMark/>
          </w:tcPr>
          <w:p w14:paraId="12928C1A"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7</w:t>
            </w:r>
          </w:p>
        </w:tc>
        <w:tc>
          <w:tcPr>
            <w:tcW w:w="634" w:type="pct"/>
            <w:tcBorders>
              <w:top w:val="nil"/>
              <w:left w:val="nil"/>
              <w:bottom w:val="nil"/>
              <w:right w:val="nil"/>
            </w:tcBorders>
            <w:shd w:val="clear" w:color="auto" w:fill="auto"/>
            <w:noWrap/>
            <w:vAlign w:val="center"/>
            <w:hideMark/>
          </w:tcPr>
          <w:p w14:paraId="1B158D80"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10</w:t>
            </w:r>
          </w:p>
        </w:tc>
        <w:tc>
          <w:tcPr>
            <w:tcW w:w="615" w:type="pct"/>
            <w:tcBorders>
              <w:top w:val="nil"/>
              <w:left w:val="nil"/>
              <w:bottom w:val="nil"/>
              <w:right w:val="nil"/>
            </w:tcBorders>
            <w:shd w:val="clear" w:color="auto" w:fill="auto"/>
            <w:noWrap/>
            <w:vAlign w:val="center"/>
            <w:hideMark/>
          </w:tcPr>
          <w:p w14:paraId="24E228FD"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20</w:t>
            </w:r>
          </w:p>
        </w:tc>
        <w:tc>
          <w:tcPr>
            <w:tcW w:w="401" w:type="pct"/>
            <w:tcBorders>
              <w:top w:val="nil"/>
              <w:left w:val="nil"/>
              <w:bottom w:val="nil"/>
              <w:right w:val="nil"/>
            </w:tcBorders>
            <w:shd w:val="clear" w:color="auto" w:fill="auto"/>
            <w:noWrap/>
            <w:vAlign w:val="center"/>
            <w:hideMark/>
          </w:tcPr>
          <w:p w14:paraId="134B4250"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70</w:t>
            </w:r>
          </w:p>
        </w:tc>
      </w:tr>
      <w:tr w:rsidR="00A11D2E" w:rsidRPr="00AD3B35" w14:paraId="3199461C" w14:textId="77777777" w:rsidTr="00960BB8">
        <w:trPr>
          <w:trHeight w:val="360"/>
        </w:trPr>
        <w:tc>
          <w:tcPr>
            <w:tcW w:w="822" w:type="pct"/>
            <w:tcBorders>
              <w:top w:val="nil"/>
              <w:left w:val="nil"/>
              <w:bottom w:val="nil"/>
              <w:right w:val="nil"/>
            </w:tcBorders>
            <w:shd w:val="clear" w:color="auto" w:fill="auto"/>
            <w:noWrap/>
            <w:vAlign w:val="center"/>
            <w:hideMark/>
          </w:tcPr>
          <w:p w14:paraId="1077A867"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Potomac</w:t>
            </w:r>
          </w:p>
        </w:tc>
        <w:tc>
          <w:tcPr>
            <w:tcW w:w="513" w:type="pct"/>
            <w:tcBorders>
              <w:top w:val="nil"/>
              <w:left w:val="nil"/>
              <w:bottom w:val="nil"/>
              <w:right w:val="nil"/>
            </w:tcBorders>
            <w:shd w:val="clear" w:color="auto" w:fill="auto"/>
            <w:noWrap/>
            <w:vAlign w:val="center"/>
            <w:hideMark/>
          </w:tcPr>
          <w:p w14:paraId="59843CCD"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45</w:t>
            </w:r>
          </w:p>
        </w:tc>
        <w:tc>
          <w:tcPr>
            <w:tcW w:w="637" w:type="pct"/>
            <w:tcBorders>
              <w:top w:val="nil"/>
              <w:left w:val="nil"/>
              <w:bottom w:val="nil"/>
              <w:right w:val="nil"/>
            </w:tcBorders>
            <w:shd w:val="clear" w:color="auto" w:fill="auto"/>
            <w:noWrap/>
            <w:vAlign w:val="center"/>
            <w:hideMark/>
          </w:tcPr>
          <w:p w14:paraId="411D65F4"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0</w:t>
            </w:r>
          </w:p>
        </w:tc>
        <w:tc>
          <w:tcPr>
            <w:tcW w:w="674" w:type="pct"/>
            <w:tcBorders>
              <w:top w:val="nil"/>
              <w:left w:val="nil"/>
              <w:bottom w:val="nil"/>
              <w:right w:val="nil"/>
            </w:tcBorders>
            <w:shd w:val="clear" w:color="auto" w:fill="auto"/>
            <w:noWrap/>
            <w:vAlign w:val="center"/>
            <w:hideMark/>
          </w:tcPr>
          <w:p w14:paraId="1FDD278C"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15</w:t>
            </w:r>
          </w:p>
        </w:tc>
        <w:tc>
          <w:tcPr>
            <w:tcW w:w="705" w:type="pct"/>
            <w:tcBorders>
              <w:top w:val="nil"/>
              <w:left w:val="nil"/>
              <w:bottom w:val="nil"/>
              <w:right w:val="nil"/>
            </w:tcBorders>
            <w:shd w:val="clear" w:color="auto" w:fill="auto"/>
            <w:noWrap/>
            <w:vAlign w:val="center"/>
            <w:hideMark/>
          </w:tcPr>
          <w:p w14:paraId="0242DA8A"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30</w:t>
            </w:r>
          </w:p>
        </w:tc>
        <w:tc>
          <w:tcPr>
            <w:tcW w:w="634" w:type="pct"/>
            <w:tcBorders>
              <w:top w:val="nil"/>
              <w:left w:val="nil"/>
              <w:bottom w:val="nil"/>
              <w:right w:val="nil"/>
            </w:tcBorders>
            <w:shd w:val="clear" w:color="auto" w:fill="auto"/>
            <w:noWrap/>
            <w:vAlign w:val="center"/>
            <w:hideMark/>
          </w:tcPr>
          <w:p w14:paraId="59C687D8"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30564DA7"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33</w:t>
            </w:r>
          </w:p>
        </w:tc>
        <w:tc>
          <w:tcPr>
            <w:tcW w:w="401" w:type="pct"/>
            <w:tcBorders>
              <w:top w:val="nil"/>
              <w:left w:val="nil"/>
              <w:bottom w:val="nil"/>
              <w:right w:val="nil"/>
            </w:tcBorders>
            <w:shd w:val="clear" w:color="auto" w:fill="auto"/>
            <w:noWrap/>
            <w:vAlign w:val="center"/>
            <w:hideMark/>
          </w:tcPr>
          <w:p w14:paraId="79EDC486"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67</w:t>
            </w:r>
          </w:p>
        </w:tc>
      </w:tr>
      <w:tr w:rsidR="00A11D2E" w:rsidRPr="00AD3B35" w14:paraId="08685909" w14:textId="77777777" w:rsidTr="00960BB8">
        <w:trPr>
          <w:trHeight w:val="360"/>
        </w:trPr>
        <w:tc>
          <w:tcPr>
            <w:tcW w:w="822" w:type="pct"/>
            <w:tcBorders>
              <w:top w:val="nil"/>
              <w:left w:val="nil"/>
              <w:bottom w:val="nil"/>
              <w:right w:val="nil"/>
            </w:tcBorders>
            <w:shd w:val="clear" w:color="auto" w:fill="auto"/>
            <w:noWrap/>
            <w:vAlign w:val="center"/>
            <w:hideMark/>
          </w:tcPr>
          <w:p w14:paraId="60237CB5"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Rappahannock</w:t>
            </w:r>
          </w:p>
        </w:tc>
        <w:tc>
          <w:tcPr>
            <w:tcW w:w="513" w:type="pct"/>
            <w:tcBorders>
              <w:top w:val="nil"/>
              <w:left w:val="nil"/>
              <w:bottom w:val="nil"/>
              <w:right w:val="nil"/>
            </w:tcBorders>
            <w:shd w:val="clear" w:color="auto" w:fill="auto"/>
            <w:noWrap/>
            <w:vAlign w:val="center"/>
            <w:hideMark/>
          </w:tcPr>
          <w:p w14:paraId="4C74121B"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39</w:t>
            </w:r>
          </w:p>
        </w:tc>
        <w:tc>
          <w:tcPr>
            <w:tcW w:w="637" w:type="pct"/>
            <w:tcBorders>
              <w:top w:val="nil"/>
              <w:left w:val="nil"/>
              <w:bottom w:val="nil"/>
              <w:right w:val="nil"/>
            </w:tcBorders>
            <w:shd w:val="clear" w:color="auto" w:fill="auto"/>
            <w:noWrap/>
            <w:vAlign w:val="center"/>
            <w:hideMark/>
          </w:tcPr>
          <w:p w14:paraId="1BE7744C"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0</w:t>
            </w:r>
          </w:p>
        </w:tc>
        <w:tc>
          <w:tcPr>
            <w:tcW w:w="674" w:type="pct"/>
            <w:tcBorders>
              <w:top w:val="nil"/>
              <w:left w:val="nil"/>
              <w:bottom w:val="nil"/>
              <w:right w:val="nil"/>
            </w:tcBorders>
            <w:shd w:val="clear" w:color="auto" w:fill="auto"/>
            <w:noWrap/>
            <w:vAlign w:val="center"/>
            <w:hideMark/>
          </w:tcPr>
          <w:p w14:paraId="19653CF6"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5</w:t>
            </w:r>
          </w:p>
        </w:tc>
        <w:tc>
          <w:tcPr>
            <w:tcW w:w="705" w:type="pct"/>
            <w:tcBorders>
              <w:top w:val="nil"/>
              <w:left w:val="nil"/>
              <w:bottom w:val="nil"/>
              <w:right w:val="nil"/>
            </w:tcBorders>
            <w:shd w:val="clear" w:color="auto" w:fill="auto"/>
            <w:noWrap/>
            <w:vAlign w:val="center"/>
            <w:hideMark/>
          </w:tcPr>
          <w:p w14:paraId="5BE0696E"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34</w:t>
            </w:r>
          </w:p>
        </w:tc>
        <w:tc>
          <w:tcPr>
            <w:tcW w:w="634" w:type="pct"/>
            <w:tcBorders>
              <w:top w:val="nil"/>
              <w:left w:val="nil"/>
              <w:bottom w:val="nil"/>
              <w:right w:val="nil"/>
            </w:tcBorders>
            <w:shd w:val="clear" w:color="auto" w:fill="auto"/>
            <w:noWrap/>
            <w:vAlign w:val="center"/>
            <w:hideMark/>
          </w:tcPr>
          <w:p w14:paraId="4B39866A"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78E66819"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13</w:t>
            </w:r>
          </w:p>
        </w:tc>
        <w:tc>
          <w:tcPr>
            <w:tcW w:w="401" w:type="pct"/>
            <w:tcBorders>
              <w:top w:val="nil"/>
              <w:left w:val="nil"/>
              <w:bottom w:val="nil"/>
              <w:right w:val="nil"/>
            </w:tcBorders>
            <w:shd w:val="clear" w:color="auto" w:fill="auto"/>
            <w:noWrap/>
            <w:vAlign w:val="center"/>
            <w:hideMark/>
          </w:tcPr>
          <w:p w14:paraId="3A346DE2"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87</w:t>
            </w:r>
          </w:p>
        </w:tc>
      </w:tr>
      <w:tr w:rsidR="00A11D2E" w:rsidRPr="00AD3B35" w14:paraId="3A42A277" w14:textId="77777777" w:rsidTr="00960BB8">
        <w:trPr>
          <w:trHeight w:val="360"/>
        </w:trPr>
        <w:tc>
          <w:tcPr>
            <w:tcW w:w="822" w:type="pct"/>
            <w:tcBorders>
              <w:top w:val="nil"/>
              <w:left w:val="nil"/>
              <w:bottom w:val="nil"/>
              <w:right w:val="nil"/>
            </w:tcBorders>
            <w:shd w:val="clear" w:color="auto" w:fill="auto"/>
            <w:noWrap/>
            <w:vAlign w:val="center"/>
            <w:hideMark/>
          </w:tcPr>
          <w:p w14:paraId="262C7142"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Roanoke</w:t>
            </w:r>
          </w:p>
        </w:tc>
        <w:tc>
          <w:tcPr>
            <w:tcW w:w="513" w:type="pct"/>
            <w:tcBorders>
              <w:top w:val="nil"/>
              <w:left w:val="nil"/>
              <w:bottom w:val="nil"/>
              <w:right w:val="nil"/>
            </w:tcBorders>
            <w:shd w:val="clear" w:color="auto" w:fill="auto"/>
            <w:noWrap/>
            <w:vAlign w:val="center"/>
            <w:hideMark/>
          </w:tcPr>
          <w:p w14:paraId="1201B34B"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44</w:t>
            </w:r>
          </w:p>
        </w:tc>
        <w:tc>
          <w:tcPr>
            <w:tcW w:w="637" w:type="pct"/>
            <w:tcBorders>
              <w:top w:val="nil"/>
              <w:left w:val="nil"/>
              <w:bottom w:val="nil"/>
              <w:right w:val="nil"/>
            </w:tcBorders>
            <w:shd w:val="clear" w:color="auto" w:fill="auto"/>
            <w:noWrap/>
            <w:vAlign w:val="center"/>
            <w:hideMark/>
          </w:tcPr>
          <w:p w14:paraId="6647EE34"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3</w:t>
            </w:r>
          </w:p>
        </w:tc>
        <w:tc>
          <w:tcPr>
            <w:tcW w:w="674" w:type="pct"/>
            <w:tcBorders>
              <w:top w:val="nil"/>
              <w:left w:val="nil"/>
              <w:bottom w:val="nil"/>
              <w:right w:val="nil"/>
            </w:tcBorders>
            <w:shd w:val="clear" w:color="auto" w:fill="auto"/>
            <w:noWrap/>
            <w:vAlign w:val="center"/>
            <w:hideMark/>
          </w:tcPr>
          <w:p w14:paraId="708A364D"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10</w:t>
            </w:r>
          </w:p>
        </w:tc>
        <w:tc>
          <w:tcPr>
            <w:tcW w:w="705" w:type="pct"/>
            <w:tcBorders>
              <w:top w:val="nil"/>
              <w:left w:val="nil"/>
              <w:bottom w:val="nil"/>
              <w:right w:val="nil"/>
            </w:tcBorders>
            <w:shd w:val="clear" w:color="auto" w:fill="auto"/>
            <w:noWrap/>
            <w:vAlign w:val="center"/>
            <w:hideMark/>
          </w:tcPr>
          <w:p w14:paraId="01521A05"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31</w:t>
            </w:r>
          </w:p>
        </w:tc>
        <w:tc>
          <w:tcPr>
            <w:tcW w:w="634" w:type="pct"/>
            <w:tcBorders>
              <w:top w:val="nil"/>
              <w:left w:val="nil"/>
              <w:bottom w:val="nil"/>
              <w:right w:val="nil"/>
            </w:tcBorders>
            <w:shd w:val="clear" w:color="auto" w:fill="auto"/>
            <w:noWrap/>
            <w:vAlign w:val="center"/>
            <w:hideMark/>
          </w:tcPr>
          <w:p w14:paraId="45BCD09D"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7</w:t>
            </w:r>
          </w:p>
        </w:tc>
        <w:tc>
          <w:tcPr>
            <w:tcW w:w="615" w:type="pct"/>
            <w:tcBorders>
              <w:top w:val="nil"/>
              <w:left w:val="nil"/>
              <w:bottom w:val="nil"/>
              <w:right w:val="nil"/>
            </w:tcBorders>
            <w:shd w:val="clear" w:color="auto" w:fill="auto"/>
            <w:noWrap/>
            <w:vAlign w:val="center"/>
            <w:hideMark/>
          </w:tcPr>
          <w:p w14:paraId="779BE39C"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23</w:t>
            </w:r>
          </w:p>
        </w:tc>
        <w:tc>
          <w:tcPr>
            <w:tcW w:w="401" w:type="pct"/>
            <w:tcBorders>
              <w:top w:val="nil"/>
              <w:left w:val="nil"/>
              <w:bottom w:val="nil"/>
              <w:right w:val="nil"/>
            </w:tcBorders>
            <w:shd w:val="clear" w:color="auto" w:fill="auto"/>
            <w:noWrap/>
            <w:vAlign w:val="center"/>
            <w:hideMark/>
          </w:tcPr>
          <w:p w14:paraId="3277D567"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70</w:t>
            </w:r>
          </w:p>
        </w:tc>
      </w:tr>
      <w:tr w:rsidR="00A11D2E" w:rsidRPr="00AD3B35" w14:paraId="5F6635DD" w14:textId="77777777" w:rsidTr="00960BB8">
        <w:trPr>
          <w:trHeight w:val="360"/>
        </w:trPr>
        <w:tc>
          <w:tcPr>
            <w:tcW w:w="822" w:type="pct"/>
            <w:tcBorders>
              <w:top w:val="nil"/>
              <w:left w:val="nil"/>
              <w:bottom w:val="nil"/>
              <w:right w:val="nil"/>
            </w:tcBorders>
            <w:shd w:val="clear" w:color="auto" w:fill="auto"/>
            <w:noWrap/>
            <w:vAlign w:val="center"/>
            <w:hideMark/>
          </w:tcPr>
          <w:p w14:paraId="295F851A"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Shenandoah</w:t>
            </w:r>
          </w:p>
        </w:tc>
        <w:tc>
          <w:tcPr>
            <w:tcW w:w="513" w:type="pct"/>
            <w:tcBorders>
              <w:top w:val="nil"/>
              <w:left w:val="nil"/>
              <w:bottom w:val="nil"/>
              <w:right w:val="nil"/>
            </w:tcBorders>
            <w:shd w:val="clear" w:color="auto" w:fill="auto"/>
            <w:noWrap/>
            <w:vAlign w:val="center"/>
            <w:hideMark/>
          </w:tcPr>
          <w:p w14:paraId="5081F011"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17</w:t>
            </w:r>
          </w:p>
        </w:tc>
        <w:tc>
          <w:tcPr>
            <w:tcW w:w="637" w:type="pct"/>
            <w:tcBorders>
              <w:top w:val="nil"/>
              <w:left w:val="nil"/>
              <w:bottom w:val="nil"/>
              <w:right w:val="nil"/>
            </w:tcBorders>
            <w:shd w:val="clear" w:color="auto" w:fill="auto"/>
            <w:noWrap/>
            <w:vAlign w:val="center"/>
            <w:hideMark/>
          </w:tcPr>
          <w:p w14:paraId="23E389CE"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0</w:t>
            </w:r>
          </w:p>
        </w:tc>
        <w:tc>
          <w:tcPr>
            <w:tcW w:w="674" w:type="pct"/>
            <w:tcBorders>
              <w:top w:val="nil"/>
              <w:left w:val="nil"/>
              <w:bottom w:val="nil"/>
              <w:right w:val="nil"/>
            </w:tcBorders>
            <w:shd w:val="clear" w:color="auto" w:fill="auto"/>
            <w:noWrap/>
            <w:vAlign w:val="center"/>
            <w:hideMark/>
          </w:tcPr>
          <w:p w14:paraId="6B2A5E34"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8</w:t>
            </w:r>
          </w:p>
        </w:tc>
        <w:tc>
          <w:tcPr>
            <w:tcW w:w="705" w:type="pct"/>
            <w:tcBorders>
              <w:top w:val="nil"/>
              <w:left w:val="nil"/>
              <w:bottom w:val="nil"/>
              <w:right w:val="nil"/>
            </w:tcBorders>
            <w:shd w:val="clear" w:color="auto" w:fill="auto"/>
            <w:noWrap/>
            <w:vAlign w:val="center"/>
            <w:hideMark/>
          </w:tcPr>
          <w:p w14:paraId="536CDDD6"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9</w:t>
            </w:r>
          </w:p>
        </w:tc>
        <w:tc>
          <w:tcPr>
            <w:tcW w:w="634" w:type="pct"/>
            <w:tcBorders>
              <w:top w:val="nil"/>
              <w:left w:val="nil"/>
              <w:bottom w:val="nil"/>
              <w:right w:val="nil"/>
            </w:tcBorders>
            <w:shd w:val="clear" w:color="auto" w:fill="auto"/>
            <w:noWrap/>
            <w:vAlign w:val="center"/>
            <w:hideMark/>
          </w:tcPr>
          <w:p w14:paraId="128738C8"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689A028E"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47</w:t>
            </w:r>
          </w:p>
        </w:tc>
        <w:tc>
          <w:tcPr>
            <w:tcW w:w="401" w:type="pct"/>
            <w:tcBorders>
              <w:top w:val="nil"/>
              <w:left w:val="nil"/>
              <w:bottom w:val="nil"/>
              <w:right w:val="nil"/>
            </w:tcBorders>
            <w:shd w:val="clear" w:color="auto" w:fill="auto"/>
            <w:noWrap/>
            <w:vAlign w:val="center"/>
            <w:hideMark/>
          </w:tcPr>
          <w:p w14:paraId="776100BC"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53</w:t>
            </w:r>
          </w:p>
        </w:tc>
      </w:tr>
      <w:tr w:rsidR="00A11D2E" w:rsidRPr="00AD3B35" w14:paraId="2F6A66EA" w14:textId="77777777" w:rsidTr="00960BB8">
        <w:trPr>
          <w:trHeight w:val="360"/>
        </w:trPr>
        <w:tc>
          <w:tcPr>
            <w:tcW w:w="822" w:type="pct"/>
            <w:tcBorders>
              <w:top w:val="nil"/>
              <w:left w:val="nil"/>
              <w:right w:val="nil"/>
            </w:tcBorders>
            <w:shd w:val="clear" w:color="auto" w:fill="auto"/>
            <w:noWrap/>
            <w:vAlign w:val="center"/>
            <w:hideMark/>
          </w:tcPr>
          <w:p w14:paraId="6F2D4C01"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Tennessee</w:t>
            </w:r>
          </w:p>
        </w:tc>
        <w:tc>
          <w:tcPr>
            <w:tcW w:w="513" w:type="pct"/>
            <w:tcBorders>
              <w:top w:val="nil"/>
              <w:left w:val="nil"/>
              <w:right w:val="nil"/>
            </w:tcBorders>
            <w:shd w:val="clear" w:color="auto" w:fill="auto"/>
            <w:noWrap/>
            <w:vAlign w:val="center"/>
            <w:hideMark/>
          </w:tcPr>
          <w:p w14:paraId="37C9B1B5"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20</w:t>
            </w:r>
          </w:p>
        </w:tc>
        <w:tc>
          <w:tcPr>
            <w:tcW w:w="637" w:type="pct"/>
            <w:tcBorders>
              <w:top w:val="nil"/>
              <w:left w:val="nil"/>
              <w:right w:val="nil"/>
            </w:tcBorders>
            <w:shd w:val="clear" w:color="auto" w:fill="auto"/>
            <w:noWrap/>
            <w:vAlign w:val="center"/>
            <w:hideMark/>
          </w:tcPr>
          <w:p w14:paraId="4FB34398"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w:t>
            </w:r>
          </w:p>
        </w:tc>
        <w:tc>
          <w:tcPr>
            <w:tcW w:w="674" w:type="pct"/>
            <w:tcBorders>
              <w:top w:val="nil"/>
              <w:left w:val="nil"/>
              <w:right w:val="nil"/>
            </w:tcBorders>
            <w:shd w:val="clear" w:color="auto" w:fill="auto"/>
            <w:noWrap/>
            <w:vAlign w:val="center"/>
            <w:hideMark/>
          </w:tcPr>
          <w:p w14:paraId="2B350C11"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4</w:t>
            </w:r>
          </w:p>
        </w:tc>
        <w:tc>
          <w:tcPr>
            <w:tcW w:w="705" w:type="pct"/>
            <w:tcBorders>
              <w:top w:val="nil"/>
              <w:left w:val="nil"/>
              <w:right w:val="nil"/>
            </w:tcBorders>
            <w:shd w:val="clear" w:color="auto" w:fill="auto"/>
            <w:noWrap/>
            <w:vAlign w:val="center"/>
            <w:hideMark/>
          </w:tcPr>
          <w:p w14:paraId="2D1CA698"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14</w:t>
            </w:r>
          </w:p>
        </w:tc>
        <w:tc>
          <w:tcPr>
            <w:tcW w:w="634" w:type="pct"/>
            <w:tcBorders>
              <w:top w:val="nil"/>
              <w:left w:val="nil"/>
              <w:right w:val="nil"/>
            </w:tcBorders>
            <w:shd w:val="clear" w:color="auto" w:fill="auto"/>
            <w:noWrap/>
            <w:vAlign w:val="center"/>
            <w:hideMark/>
          </w:tcPr>
          <w:p w14:paraId="3F2FD475"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10</w:t>
            </w:r>
          </w:p>
        </w:tc>
        <w:tc>
          <w:tcPr>
            <w:tcW w:w="615" w:type="pct"/>
            <w:tcBorders>
              <w:top w:val="nil"/>
              <w:left w:val="nil"/>
              <w:right w:val="nil"/>
            </w:tcBorders>
            <w:shd w:val="clear" w:color="auto" w:fill="auto"/>
            <w:noWrap/>
            <w:vAlign w:val="center"/>
            <w:hideMark/>
          </w:tcPr>
          <w:p w14:paraId="28F67209"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20</w:t>
            </w:r>
          </w:p>
        </w:tc>
        <w:tc>
          <w:tcPr>
            <w:tcW w:w="401" w:type="pct"/>
            <w:tcBorders>
              <w:top w:val="nil"/>
              <w:left w:val="nil"/>
              <w:right w:val="nil"/>
            </w:tcBorders>
            <w:shd w:val="clear" w:color="auto" w:fill="auto"/>
            <w:noWrap/>
            <w:vAlign w:val="center"/>
            <w:hideMark/>
          </w:tcPr>
          <w:p w14:paraId="11817B78"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70</w:t>
            </w:r>
          </w:p>
        </w:tc>
      </w:tr>
      <w:tr w:rsidR="00A11D2E" w:rsidRPr="00AD3B35" w14:paraId="2F4BB961" w14:textId="77777777" w:rsidTr="00960BB8">
        <w:trPr>
          <w:trHeight w:val="360"/>
        </w:trPr>
        <w:tc>
          <w:tcPr>
            <w:tcW w:w="822" w:type="pct"/>
            <w:tcBorders>
              <w:top w:val="nil"/>
              <w:left w:val="nil"/>
              <w:bottom w:val="single" w:sz="12" w:space="0" w:color="auto"/>
              <w:right w:val="nil"/>
            </w:tcBorders>
            <w:shd w:val="clear" w:color="auto" w:fill="auto"/>
            <w:noWrap/>
            <w:vAlign w:val="center"/>
            <w:hideMark/>
          </w:tcPr>
          <w:p w14:paraId="1FFADAF4"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York</w:t>
            </w:r>
          </w:p>
        </w:tc>
        <w:tc>
          <w:tcPr>
            <w:tcW w:w="513" w:type="pct"/>
            <w:tcBorders>
              <w:top w:val="nil"/>
              <w:left w:val="nil"/>
              <w:bottom w:val="single" w:sz="12" w:space="0" w:color="auto"/>
              <w:right w:val="nil"/>
            </w:tcBorders>
            <w:shd w:val="clear" w:color="auto" w:fill="auto"/>
            <w:noWrap/>
            <w:vAlign w:val="center"/>
            <w:hideMark/>
          </w:tcPr>
          <w:p w14:paraId="75AE821A"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42</w:t>
            </w:r>
          </w:p>
        </w:tc>
        <w:tc>
          <w:tcPr>
            <w:tcW w:w="637" w:type="pct"/>
            <w:tcBorders>
              <w:top w:val="nil"/>
              <w:left w:val="nil"/>
              <w:bottom w:val="single" w:sz="12" w:space="0" w:color="auto"/>
              <w:right w:val="nil"/>
            </w:tcBorders>
            <w:shd w:val="clear" w:color="auto" w:fill="auto"/>
            <w:noWrap/>
            <w:vAlign w:val="center"/>
            <w:hideMark/>
          </w:tcPr>
          <w:p w14:paraId="42C219E1"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w:t>
            </w:r>
          </w:p>
        </w:tc>
        <w:tc>
          <w:tcPr>
            <w:tcW w:w="674" w:type="pct"/>
            <w:tcBorders>
              <w:top w:val="nil"/>
              <w:left w:val="nil"/>
              <w:bottom w:val="single" w:sz="12" w:space="0" w:color="auto"/>
              <w:right w:val="nil"/>
            </w:tcBorders>
            <w:shd w:val="clear" w:color="auto" w:fill="auto"/>
            <w:noWrap/>
            <w:vAlign w:val="center"/>
            <w:hideMark/>
          </w:tcPr>
          <w:p w14:paraId="2B679F16"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14</w:t>
            </w:r>
          </w:p>
        </w:tc>
        <w:tc>
          <w:tcPr>
            <w:tcW w:w="705" w:type="pct"/>
            <w:tcBorders>
              <w:top w:val="nil"/>
              <w:left w:val="nil"/>
              <w:bottom w:val="single" w:sz="12" w:space="0" w:color="auto"/>
              <w:right w:val="nil"/>
            </w:tcBorders>
            <w:shd w:val="clear" w:color="auto" w:fill="auto"/>
            <w:noWrap/>
            <w:vAlign w:val="center"/>
            <w:hideMark/>
          </w:tcPr>
          <w:p w14:paraId="414EDA5F"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27</w:t>
            </w:r>
          </w:p>
        </w:tc>
        <w:tc>
          <w:tcPr>
            <w:tcW w:w="634" w:type="pct"/>
            <w:tcBorders>
              <w:top w:val="nil"/>
              <w:left w:val="nil"/>
              <w:bottom w:val="single" w:sz="12" w:space="0" w:color="auto"/>
              <w:right w:val="nil"/>
            </w:tcBorders>
            <w:shd w:val="clear" w:color="auto" w:fill="auto"/>
            <w:noWrap/>
            <w:vAlign w:val="center"/>
            <w:hideMark/>
          </w:tcPr>
          <w:p w14:paraId="091C3E04"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2</w:t>
            </w:r>
          </w:p>
        </w:tc>
        <w:tc>
          <w:tcPr>
            <w:tcW w:w="615" w:type="pct"/>
            <w:tcBorders>
              <w:top w:val="nil"/>
              <w:left w:val="nil"/>
              <w:bottom w:val="single" w:sz="12" w:space="0" w:color="auto"/>
              <w:right w:val="nil"/>
            </w:tcBorders>
            <w:shd w:val="clear" w:color="auto" w:fill="auto"/>
            <w:noWrap/>
            <w:vAlign w:val="center"/>
            <w:hideMark/>
          </w:tcPr>
          <w:p w14:paraId="1B83C837"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33</w:t>
            </w:r>
          </w:p>
        </w:tc>
        <w:tc>
          <w:tcPr>
            <w:tcW w:w="401" w:type="pct"/>
            <w:tcBorders>
              <w:top w:val="nil"/>
              <w:left w:val="nil"/>
              <w:bottom w:val="single" w:sz="12" w:space="0" w:color="auto"/>
              <w:right w:val="nil"/>
            </w:tcBorders>
            <w:shd w:val="clear" w:color="auto" w:fill="auto"/>
            <w:noWrap/>
            <w:vAlign w:val="center"/>
            <w:hideMark/>
          </w:tcPr>
          <w:p w14:paraId="29A4B8A1" w14:textId="77777777" w:rsidR="00A11D2E" w:rsidRPr="00442E9E" w:rsidRDefault="00A11D2E">
            <w:pPr>
              <w:widowControl/>
              <w:jc w:val="center"/>
              <w:rPr>
                <w:rFonts w:cstheme="minorHAnsi"/>
                <w:bCs/>
                <w:snapToGrid/>
                <w:sz w:val="22"/>
                <w:szCs w:val="22"/>
              </w:rPr>
            </w:pPr>
            <w:r w:rsidRPr="00442E9E">
              <w:rPr>
                <w:rFonts w:cstheme="minorHAnsi"/>
                <w:snapToGrid/>
                <w:sz w:val="22"/>
                <w:szCs w:val="22"/>
              </w:rPr>
              <w:t>64</w:t>
            </w:r>
          </w:p>
        </w:tc>
      </w:tr>
    </w:tbl>
    <w:p w14:paraId="07137D42" w14:textId="607B3FE2" w:rsidR="00A11D2E" w:rsidRPr="00AD3B35" w:rsidRDefault="00A11D2E" w:rsidP="00A11D2E">
      <w:pPr>
        <w:rPr>
          <w:rFonts w:cstheme="minorHAnsi"/>
          <w:b/>
          <w:i/>
        </w:rPr>
        <w:sectPr w:rsidR="00A11D2E" w:rsidRPr="00AD3B35" w:rsidSect="009079C4">
          <w:pgSz w:w="12240" w:h="15840" w:code="1"/>
          <w:pgMar w:top="1350" w:right="1440" w:bottom="1440" w:left="1440" w:header="720" w:footer="720" w:gutter="0"/>
          <w:cols w:space="720"/>
          <w:docGrid w:linePitch="360"/>
        </w:sectPr>
      </w:pPr>
    </w:p>
    <w:p w14:paraId="7D114926" w14:textId="259B36E0" w:rsidR="00AF1108" w:rsidRDefault="00F75BCD" w:rsidP="00AF1108">
      <w:pPr>
        <w:keepNext/>
      </w:pPr>
      <w:r>
        <w:rPr>
          <w:noProof/>
          <w:snapToGrid/>
          <w14:ligatures w14:val="standardContextual"/>
        </w:rPr>
        <w:lastRenderedPageBreak/>
        <mc:AlternateContent>
          <mc:Choice Requires="wps">
            <w:drawing>
              <wp:anchor distT="45720" distB="45720" distL="114300" distR="114300" simplePos="0" relativeHeight="251658254" behindDoc="0" locked="0" layoutInCell="1" allowOverlap="1" wp14:anchorId="4E94F6A2" wp14:editId="0C6CFA30">
                <wp:simplePos x="0" y="0"/>
                <wp:positionH relativeFrom="column">
                  <wp:posOffset>520995</wp:posOffset>
                </wp:positionH>
                <wp:positionV relativeFrom="paragraph">
                  <wp:posOffset>520996</wp:posOffset>
                </wp:positionV>
                <wp:extent cx="904875" cy="277495"/>
                <wp:effectExtent l="0" t="0" r="9525" b="0"/>
                <wp:wrapNone/>
                <wp:docPr id="87433858" name="Text Box 874338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7495"/>
                        </a:xfrm>
                        <a:prstGeom prst="rect">
                          <a:avLst/>
                        </a:prstGeom>
                        <a:solidFill>
                          <a:srgbClr val="FFFFFF"/>
                        </a:solidFill>
                        <a:ln w="9525">
                          <a:noFill/>
                          <a:miter lim="800000"/>
                          <a:headEnd/>
                          <a:tailEnd/>
                        </a:ln>
                      </wps:spPr>
                      <wps:txbx>
                        <w:txbxContent>
                          <w:p w14:paraId="02115142" w14:textId="77777777" w:rsidR="00F75BCD" w:rsidRPr="00F75BCD" w:rsidRDefault="00F75BCD" w:rsidP="00F75BCD">
                            <w:r w:rsidRPr="00F75BCD">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94F6A2" id="Text Box 87433858" o:spid="_x0000_s1043" type="#_x0000_t202" alt="&quot;&quot;" style="position:absolute;margin-left:41pt;margin-top:41pt;width:71.25pt;height:21.85pt;z-index:25165825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" stroked="f">
                <v:textbox style="mso-fit-shape-to-text:t">
                  <w:txbxContent>
                    <w:p w14:paraId="02115142" w14:textId="77777777" w:rsidR="00F75BCD" w:rsidRPr="00F75BCD" w:rsidRDefault="00F75BCD" w:rsidP="00F75BCD">
                      <w:r w:rsidRPr="00F75BCD">
                        <w:t>River Basin</w:t>
                      </w:r>
                    </w:p>
                  </w:txbxContent>
                </v:textbox>
              </v:shape>
            </w:pict>
          </mc:Fallback>
        </mc:AlternateContent>
      </w:r>
      <w:r w:rsidR="00AF1108">
        <w:rPr>
          <w:rFonts w:cstheme="minorHAnsi"/>
          <w:b/>
          <w:i/>
          <w:noProof/>
        </w:rPr>
        <w:drawing>
          <wp:inline distT="0" distB="0" distL="0" distR="0" wp14:anchorId="72C6F8B1" wp14:editId="139BE719">
            <wp:extent cx="8220075" cy="5324475"/>
            <wp:effectExtent l="0" t="0" r="9525" b="9525"/>
            <wp:docPr id="455255870" name="Picture 455255870" descr="Map of Virginia Statewide trends in specific conduct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55870" name="Picture 5" descr="Map of Virginia Statewide trends in specific conductance. "/>
                    <pic:cNvPicPr>
                      <a:picLocks noChangeAspect="1" noChangeArrowheads="1"/>
                    </pic:cNvPicPr>
                  </pic:nvPicPr>
                  <pic:blipFill>
                    <a:blip r:embed="rId226" cstate="print">
                      <a:extLst>
                        <a:ext uri="{28A0092B-C50C-407E-A947-70E740481C1C}">
                          <a14:useLocalDpi xmlns:a14="http://schemas.microsoft.com/office/drawing/2010/main"/>
                        </a:ext>
                      </a:extLst>
                    </a:blip>
                    <a:srcRect/>
                    <a:stretch>
                      <a:fillRect/>
                    </a:stretch>
                  </pic:blipFill>
                  <pic:spPr bwMode="auto">
                    <a:xfrm>
                      <a:off x="0" y="0"/>
                      <a:ext cx="8220075" cy="5324475"/>
                    </a:xfrm>
                    <a:prstGeom prst="rect">
                      <a:avLst/>
                    </a:prstGeom>
                    <a:noFill/>
                    <a:ln>
                      <a:noFill/>
                    </a:ln>
                  </pic:spPr>
                </pic:pic>
              </a:graphicData>
            </a:graphic>
          </wp:inline>
        </w:drawing>
      </w:r>
    </w:p>
    <w:p w14:paraId="11B8F73D" w14:textId="7ADBF7D1" w:rsidR="00A11D2E" w:rsidRPr="00AD3B35" w:rsidRDefault="00AF1108" w:rsidP="00AF1108">
      <w:pPr>
        <w:pStyle w:val="Caption"/>
        <w:rPr>
          <w:rFonts w:cstheme="minorHAnsi"/>
          <w:b/>
          <w:i/>
        </w:rPr>
      </w:pPr>
      <w:bookmarkStart w:id="377" w:name="_Toc152766310"/>
      <w:bookmarkStart w:id="378" w:name="_Toc164175135"/>
      <w:r>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12</w:t>
      </w:r>
      <w:r w:rsidR="004F13BA">
        <w:rPr>
          <w:noProof/>
        </w:rPr>
        <w:fldChar w:fldCharType="end"/>
      </w:r>
      <w:r>
        <w:t xml:space="preserve">. Statewide trends in specific </w:t>
      </w:r>
      <w:proofErr w:type="gramStart"/>
      <w:r>
        <w:t>conductance</w:t>
      </w:r>
      <w:proofErr w:type="gramEnd"/>
      <w:r>
        <w:t>.</w:t>
      </w:r>
      <w:bookmarkEnd w:id="377"/>
      <w:bookmarkEnd w:id="378"/>
      <w:r>
        <w:t xml:space="preserve"> </w:t>
      </w:r>
    </w:p>
    <w:bookmarkEnd w:id="372"/>
    <w:bookmarkEnd w:id="373"/>
    <w:bookmarkEnd w:id="374"/>
    <w:bookmarkEnd w:id="375"/>
    <w:p w14:paraId="535D0850" w14:textId="161DF857" w:rsidR="00A11D2E" w:rsidRPr="00AD3B35" w:rsidRDefault="00A11D2E" w:rsidP="00A11D2E">
      <w:pPr>
        <w:rPr>
          <w:rFonts w:cstheme="minorHAnsi"/>
          <w:b/>
          <w:iCs/>
        </w:rPr>
      </w:pPr>
    </w:p>
    <w:p w14:paraId="3314CC8A" w14:textId="77777777" w:rsidR="00A11D2E" w:rsidRPr="00AD3B35" w:rsidRDefault="00A11D2E" w:rsidP="00A11D2E">
      <w:pPr>
        <w:pStyle w:val="Caption"/>
        <w:rPr>
          <w:rFonts w:cstheme="minorHAnsi"/>
        </w:rPr>
        <w:sectPr w:rsidR="00A11D2E" w:rsidRPr="00AD3B35" w:rsidSect="009079C4">
          <w:pgSz w:w="15840" w:h="12240" w:orient="landscape" w:code="1"/>
          <w:pgMar w:top="1440" w:right="1440" w:bottom="1440" w:left="1440" w:header="720" w:footer="720" w:gutter="0"/>
          <w:cols w:space="720"/>
          <w:docGrid w:linePitch="360"/>
        </w:sectPr>
      </w:pPr>
      <w:bookmarkStart w:id="379" w:name="_Ref508357137"/>
    </w:p>
    <w:bookmarkEnd w:id="379"/>
    <w:p w14:paraId="19774359" w14:textId="053AFC23" w:rsidR="00A11D2E" w:rsidRPr="00382E27" w:rsidRDefault="00A11D2E" w:rsidP="00A11D2E">
      <w:pPr>
        <w:pStyle w:val="Heading4"/>
      </w:pPr>
      <w:r w:rsidRPr="00AD3B35">
        <w:lastRenderedPageBreak/>
        <w:t>Secchi Depth</w:t>
      </w:r>
    </w:p>
    <w:p w14:paraId="0F5F7305" w14:textId="10793925" w:rsidR="00A11D2E" w:rsidRPr="00AD3B35" w:rsidRDefault="00A11D2E" w:rsidP="00382E27">
      <w:pPr>
        <w:rPr>
          <w:rFonts w:cstheme="minorHAnsi"/>
        </w:rPr>
      </w:pPr>
      <w:r w:rsidRPr="00AD3B35">
        <w:rPr>
          <w:rFonts w:cstheme="minorHAnsi"/>
        </w:rPr>
        <w:t xml:space="preserve">Secchi depth is used most often in estuaries and reservoirs as a measure of water </w:t>
      </w:r>
      <w:r w:rsidR="00B277BC" w:rsidRPr="00AD3B35">
        <w:rPr>
          <w:rFonts w:cstheme="minorHAnsi"/>
        </w:rPr>
        <w:t>clarity,</w:t>
      </w:r>
      <w:r w:rsidRPr="00AD3B35">
        <w:rPr>
          <w:rFonts w:cstheme="minorHAnsi"/>
        </w:rPr>
        <w:t xml:space="preserve"> a direct indication of water quality. Overall, Secchi depth improved between 2003 and 2022. Of the 84 stations analyzed 22 (25%) showed significant improvement (increasing Secchi depth trends), 4 (5%) showed degrading conditions, and 58 (70%) showed no trend. The single </w:t>
      </w:r>
      <w:proofErr w:type="gramStart"/>
      <w:r w:rsidRPr="00AD3B35">
        <w:rPr>
          <w:rFonts w:cstheme="minorHAnsi"/>
        </w:rPr>
        <w:t>site that</w:t>
      </w:r>
      <w:proofErr w:type="gramEnd"/>
      <w:r w:rsidRPr="00AD3B35">
        <w:rPr>
          <w:rFonts w:cstheme="minorHAnsi"/>
        </w:rPr>
        <w:t xml:space="preserve"> showed degrading trends in total fixed suspended solids (DEQ station 8-MPN029.08, located 29.08 miles from the confluence of the Mattaponi River with the York River) also showed degrading conditions with respect to Secchi depth. Degrading trends at the site were also observed for chlorophyll</w:t>
      </w:r>
      <w:r w:rsidR="00105F37">
        <w:rPr>
          <w:rFonts w:cstheme="minorHAnsi"/>
        </w:rPr>
        <w:t xml:space="preserve"> </w:t>
      </w:r>
      <w:r w:rsidR="00105F37">
        <w:rPr>
          <w:rFonts w:cstheme="minorHAnsi"/>
          <w:i/>
          <w:iCs/>
        </w:rPr>
        <w:t>a</w:t>
      </w:r>
      <w:r w:rsidRPr="00AD3B35">
        <w:rPr>
          <w:rFonts w:cstheme="minorHAnsi"/>
        </w:rPr>
        <w:t xml:space="preserve">, dissolved oxygen, specific conductance, total suspended solids, total suspended volatile solids, and turbidity, indicating that the degrading water clarity at the station was associated with degradation of several key water quality indicators. Trends in </w:t>
      </w:r>
      <w:r w:rsidRPr="00AD3B35">
        <w:rPr>
          <w:rFonts w:cstheme="minorHAnsi"/>
          <w:iCs/>
        </w:rPr>
        <w:t>Secchi depth by basin</w:t>
      </w:r>
      <w:r w:rsidRPr="00AD3B35">
        <w:rPr>
          <w:rFonts w:cstheme="minorHAnsi"/>
        </w:rPr>
        <w:t xml:space="preserve"> are shown in Table </w:t>
      </w:r>
      <w:r w:rsidR="008A7D79">
        <w:rPr>
          <w:rFonts w:cstheme="minorHAnsi"/>
        </w:rPr>
        <w:t>4.</w:t>
      </w:r>
      <w:r w:rsidR="00173A90">
        <w:rPr>
          <w:rFonts w:cstheme="minorHAnsi"/>
        </w:rPr>
        <w:t>7-</w:t>
      </w:r>
      <w:r w:rsidRPr="00AD3B35">
        <w:rPr>
          <w:rFonts w:cstheme="minorHAnsi"/>
        </w:rPr>
        <w:t xml:space="preserve">16. A map of the statewide trends in Secchi depth is shown in Figure </w:t>
      </w:r>
      <w:r w:rsidR="00173A90">
        <w:rPr>
          <w:rFonts w:cstheme="minorHAnsi"/>
        </w:rPr>
        <w:t>4.7-</w:t>
      </w:r>
      <w:r w:rsidRPr="00AD3B35">
        <w:rPr>
          <w:rFonts w:cstheme="minorHAnsi"/>
        </w:rPr>
        <w:t>13.</w:t>
      </w:r>
      <w:r w:rsidR="00382E27">
        <w:rPr>
          <w:rFonts w:cstheme="minorHAnsi"/>
        </w:rPr>
        <w:br/>
      </w:r>
    </w:p>
    <w:p w14:paraId="4D01E581" w14:textId="0D554DA1" w:rsidR="00960BB8" w:rsidRPr="00960BB8" w:rsidRDefault="00960BB8" w:rsidP="00960BB8">
      <w:pPr>
        <w:pStyle w:val="Caption"/>
        <w:keepNext/>
      </w:pPr>
      <w:bookmarkStart w:id="380" w:name="_Toc164175237"/>
      <w:r w:rsidRPr="00960BB8">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16</w:t>
      </w:r>
      <w:r w:rsidR="004F13BA">
        <w:rPr>
          <w:noProof/>
        </w:rPr>
        <w:fldChar w:fldCharType="end"/>
      </w:r>
      <w:r w:rsidRPr="00960BB8">
        <w:t xml:space="preserve">. </w:t>
      </w:r>
      <w:r w:rsidRPr="00960BB8">
        <w:rPr>
          <w:rFonts w:cstheme="minorHAnsi"/>
        </w:rPr>
        <w:t>Secchi depth trends by basin</w:t>
      </w:r>
      <w:r w:rsidR="00DA13C7">
        <w:rPr>
          <w:rFonts w:cstheme="minorHAnsi"/>
        </w:rPr>
        <w:t>, 2003 through 2022.</w:t>
      </w:r>
      <w:bookmarkEnd w:id="380"/>
    </w:p>
    <w:tbl>
      <w:tblPr>
        <w:tblW w:w="5000" w:type="pct"/>
        <w:tblLook w:val="04A0" w:firstRow="1" w:lastRow="0" w:firstColumn="1" w:lastColumn="0" w:noHBand="0" w:noVBand="1"/>
        <w:tblCaption w:val="Table of Secchi depth trends by basin."/>
        <w:tblDescription w:val="Secchi depth trends by basin."/>
      </w:tblPr>
      <w:tblGrid>
        <w:gridCol w:w="1540"/>
        <w:gridCol w:w="960"/>
        <w:gridCol w:w="1207"/>
        <w:gridCol w:w="1256"/>
        <w:gridCol w:w="1314"/>
        <w:gridCol w:w="1181"/>
        <w:gridCol w:w="1151"/>
        <w:gridCol w:w="751"/>
      </w:tblGrid>
      <w:tr w:rsidR="00A11D2E" w:rsidRPr="00AD3B35" w14:paraId="5D4BF94E" w14:textId="77777777" w:rsidTr="00960BB8">
        <w:trPr>
          <w:trHeight w:val="1035"/>
        </w:trPr>
        <w:tc>
          <w:tcPr>
            <w:tcW w:w="822" w:type="pct"/>
            <w:tcBorders>
              <w:top w:val="single" w:sz="12" w:space="0" w:color="auto"/>
              <w:left w:val="nil"/>
              <w:bottom w:val="single" w:sz="8" w:space="0" w:color="auto"/>
              <w:right w:val="nil"/>
            </w:tcBorders>
            <w:shd w:val="clear" w:color="auto" w:fill="auto"/>
            <w:vAlign w:val="center"/>
            <w:hideMark/>
          </w:tcPr>
          <w:p w14:paraId="4477E5D5" w14:textId="77777777" w:rsidR="00A11D2E" w:rsidRPr="007C1C80" w:rsidRDefault="00A11D2E">
            <w:pPr>
              <w:widowControl/>
              <w:jc w:val="center"/>
              <w:rPr>
                <w:rFonts w:cstheme="minorHAnsi"/>
                <w:b/>
                <w:bCs/>
                <w:snapToGrid/>
                <w:color w:val="000000"/>
                <w:sz w:val="22"/>
                <w:szCs w:val="22"/>
              </w:rPr>
            </w:pPr>
            <w:r w:rsidRPr="007C1C80">
              <w:rPr>
                <w:rFonts w:cstheme="minorHAnsi"/>
                <w:b/>
                <w:bCs/>
                <w:color w:val="000000"/>
                <w:sz w:val="22"/>
                <w:szCs w:val="22"/>
              </w:rPr>
              <w:t>Basin</w:t>
            </w:r>
          </w:p>
        </w:tc>
        <w:tc>
          <w:tcPr>
            <w:tcW w:w="513" w:type="pct"/>
            <w:tcBorders>
              <w:top w:val="single" w:sz="12" w:space="0" w:color="auto"/>
              <w:left w:val="nil"/>
              <w:bottom w:val="single" w:sz="8" w:space="0" w:color="auto"/>
              <w:right w:val="nil"/>
            </w:tcBorders>
            <w:shd w:val="clear" w:color="auto" w:fill="auto"/>
            <w:vAlign w:val="center"/>
            <w:hideMark/>
          </w:tcPr>
          <w:p w14:paraId="46B8F8EA" w14:textId="77777777" w:rsidR="00A11D2E" w:rsidRPr="007C1C80" w:rsidRDefault="00A11D2E">
            <w:pPr>
              <w:jc w:val="center"/>
              <w:rPr>
                <w:rFonts w:cstheme="minorHAnsi"/>
                <w:b/>
                <w:bCs/>
                <w:color w:val="000000"/>
                <w:sz w:val="22"/>
                <w:szCs w:val="22"/>
              </w:rPr>
            </w:pPr>
            <w:r w:rsidRPr="007C1C80">
              <w:rPr>
                <w:rFonts w:cstheme="minorHAnsi"/>
                <w:b/>
                <w:bCs/>
                <w:color w:val="000000"/>
                <w:sz w:val="22"/>
                <w:szCs w:val="22"/>
              </w:rPr>
              <w:t>Total Stations</w:t>
            </w:r>
          </w:p>
        </w:tc>
        <w:tc>
          <w:tcPr>
            <w:tcW w:w="645" w:type="pct"/>
            <w:tcBorders>
              <w:top w:val="single" w:sz="12" w:space="0" w:color="auto"/>
              <w:left w:val="nil"/>
              <w:bottom w:val="single" w:sz="8" w:space="0" w:color="auto"/>
              <w:right w:val="nil"/>
            </w:tcBorders>
            <w:shd w:val="clear" w:color="auto" w:fill="auto"/>
            <w:vAlign w:val="center"/>
            <w:hideMark/>
          </w:tcPr>
          <w:p w14:paraId="41320F5C" w14:textId="77777777" w:rsidR="00A11D2E" w:rsidRPr="007C1C80" w:rsidRDefault="00A11D2E">
            <w:pPr>
              <w:jc w:val="center"/>
              <w:rPr>
                <w:rFonts w:cstheme="minorHAnsi"/>
                <w:b/>
                <w:bCs/>
                <w:color w:val="000000"/>
                <w:sz w:val="22"/>
                <w:szCs w:val="22"/>
              </w:rPr>
            </w:pPr>
            <w:r w:rsidRPr="007C1C80">
              <w:rPr>
                <w:rFonts w:cstheme="minorHAnsi"/>
                <w:b/>
                <w:bCs/>
                <w:color w:val="000000"/>
                <w:sz w:val="22"/>
                <w:szCs w:val="22"/>
              </w:rPr>
              <w:t>Improving Trend (stations)</w:t>
            </w:r>
          </w:p>
        </w:tc>
        <w:tc>
          <w:tcPr>
            <w:tcW w:w="671" w:type="pct"/>
            <w:tcBorders>
              <w:top w:val="single" w:sz="12" w:space="0" w:color="auto"/>
              <w:left w:val="nil"/>
              <w:bottom w:val="single" w:sz="8" w:space="0" w:color="auto"/>
              <w:right w:val="nil"/>
            </w:tcBorders>
            <w:shd w:val="clear" w:color="auto" w:fill="auto"/>
            <w:vAlign w:val="center"/>
            <w:hideMark/>
          </w:tcPr>
          <w:p w14:paraId="38841AE8" w14:textId="77777777" w:rsidR="00A11D2E" w:rsidRPr="007C1C80" w:rsidRDefault="00A11D2E">
            <w:pPr>
              <w:jc w:val="center"/>
              <w:rPr>
                <w:rFonts w:cstheme="minorHAnsi"/>
                <w:b/>
                <w:bCs/>
                <w:color w:val="000000"/>
                <w:sz w:val="22"/>
                <w:szCs w:val="22"/>
              </w:rPr>
            </w:pPr>
            <w:r w:rsidRPr="007C1C80">
              <w:rPr>
                <w:rFonts w:cstheme="minorHAnsi"/>
                <w:b/>
                <w:bCs/>
                <w:color w:val="000000"/>
                <w:sz w:val="22"/>
                <w:szCs w:val="22"/>
              </w:rPr>
              <w:t>Degrading Trend (stations)</w:t>
            </w:r>
          </w:p>
        </w:tc>
        <w:tc>
          <w:tcPr>
            <w:tcW w:w="702" w:type="pct"/>
            <w:tcBorders>
              <w:top w:val="single" w:sz="12" w:space="0" w:color="auto"/>
              <w:left w:val="nil"/>
              <w:bottom w:val="single" w:sz="8" w:space="0" w:color="auto"/>
              <w:right w:val="nil"/>
            </w:tcBorders>
            <w:shd w:val="clear" w:color="auto" w:fill="auto"/>
            <w:vAlign w:val="center"/>
            <w:hideMark/>
          </w:tcPr>
          <w:p w14:paraId="3F0911FE" w14:textId="77777777" w:rsidR="00A11D2E" w:rsidRPr="007C1C80" w:rsidRDefault="00A11D2E">
            <w:pPr>
              <w:jc w:val="center"/>
              <w:rPr>
                <w:rFonts w:cstheme="minorHAnsi"/>
                <w:b/>
                <w:bCs/>
                <w:color w:val="000000"/>
                <w:sz w:val="22"/>
                <w:szCs w:val="22"/>
              </w:rPr>
            </w:pPr>
            <w:r w:rsidRPr="007C1C80">
              <w:rPr>
                <w:rFonts w:cstheme="minorHAnsi"/>
                <w:b/>
                <w:bCs/>
                <w:color w:val="000000"/>
                <w:sz w:val="22"/>
                <w:szCs w:val="22"/>
              </w:rPr>
              <w:t>No Trend (stations)</w:t>
            </w:r>
          </w:p>
        </w:tc>
        <w:tc>
          <w:tcPr>
            <w:tcW w:w="631" w:type="pct"/>
            <w:tcBorders>
              <w:top w:val="single" w:sz="12" w:space="0" w:color="auto"/>
              <w:left w:val="nil"/>
              <w:bottom w:val="single" w:sz="8" w:space="0" w:color="auto"/>
              <w:right w:val="nil"/>
            </w:tcBorders>
            <w:shd w:val="clear" w:color="auto" w:fill="auto"/>
            <w:vAlign w:val="center"/>
            <w:hideMark/>
          </w:tcPr>
          <w:p w14:paraId="5A0423B3" w14:textId="77777777" w:rsidR="00A11D2E" w:rsidRPr="007C1C80" w:rsidRDefault="00A11D2E">
            <w:pPr>
              <w:jc w:val="center"/>
              <w:rPr>
                <w:rFonts w:cstheme="minorHAnsi"/>
                <w:b/>
                <w:bCs/>
                <w:color w:val="000000"/>
                <w:sz w:val="22"/>
                <w:szCs w:val="22"/>
              </w:rPr>
            </w:pPr>
            <w:r w:rsidRPr="007C1C80">
              <w:rPr>
                <w:rFonts w:cstheme="minorHAnsi"/>
                <w:b/>
                <w:bCs/>
                <w:color w:val="000000"/>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6BDA6F7A" w14:textId="77777777" w:rsidR="00A11D2E" w:rsidRPr="007C1C80" w:rsidRDefault="00A11D2E">
            <w:pPr>
              <w:jc w:val="center"/>
              <w:rPr>
                <w:rFonts w:cstheme="minorHAnsi"/>
                <w:b/>
                <w:bCs/>
                <w:color w:val="000000"/>
                <w:sz w:val="22"/>
                <w:szCs w:val="22"/>
              </w:rPr>
            </w:pPr>
            <w:r w:rsidRPr="007C1C80">
              <w:rPr>
                <w:rFonts w:cstheme="minorHAnsi"/>
                <w:b/>
                <w:bCs/>
                <w:color w:val="000000"/>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35F39947" w14:textId="77777777" w:rsidR="00A11D2E" w:rsidRPr="007C1C80" w:rsidRDefault="00A11D2E">
            <w:pPr>
              <w:jc w:val="center"/>
              <w:rPr>
                <w:rFonts w:cstheme="minorHAnsi"/>
                <w:b/>
                <w:bCs/>
                <w:color w:val="000000"/>
                <w:sz w:val="22"/>
                <w:szCs w:val="22"/>
              </w:rPr>
            </w:pPr>
            <w:r w:rsidRPr="007C1C80">
              <w:rPr>
                <w:rFonts w:cstheme="minorHAnsi"/>
                <w:b/>
                <w:bCs/>
                <w:color w:val="000000"/>
                <w:sz w:val="22"/>
                <w:szCs w:val="22"/>
              </w:rPr>
              <w:t>No Trend (%)</w:t>
            </w:r>
          </w:p>
        </w:tc>
      </w:tr>
      <w:tr w:rsidR="00A11D2E" w:rsidRPr="00AD3B35" w14:paraId="6795A516" w14:textId="77777777" w:rsidTr="00960BB8">
        <w:trPr>
          <w:trHeight w:val="360"/>
        </w:trPr>
        <w:tc>
          <w:tcPr>
            <w:tcW w:w="822" w:type="pct"/>
            <w:tcBorders>
              <w:top w:val="nil"/>
              <w:left w:val="nil"/>
              <w:bottom w:val="nil"/>
              <w:right w:val="nil"/>
            </w:tcBorders>
            <w:shd w:val="clear" w:color="auto" w:fill="auto"/>
            <w:noWrap/>
            <w:vAlign w:val="center"/>
            <w:hideMark/>
          </w:tcPr>
          <w:p w14:paraId="46A80E3C" w14:textId="64B751D9" w:rsidR="00A11D2E" w:rsidRPr="007C1C80" w:rsidRDefault="00A11D2E">
            <w:pPr>
              <w:widowControl/>
              <w:jc w:val="center"/>
              <w:rPr>
                <w:rFonts w:cstheme="minorHAnsi"/>
                <w:bCs/>
                <w:snapToGrid/>
                <w:sz w:val="22"/>
                <w:szCs w:val="22"/>
              </w:rPr>
            </w:pPr>
            <w:r w:rsidRPr="007C1C80">
              <w:rPr>
                <w:rFonts w:cstheme="minorHAnsi"/>
                <w:snapToGrid/>
                <w:sz w:val="22"/>
                <w:szCs w:val="22"/>
              </w:rPr>
              <w:t>Chesapeake</w:t>
            </w:r>
          </w:p>
        </w:tc>
        <w:tc>
          <w:tcPr>
            <w:tcW w:w="513" w:type="pct"/>
            <w:tcBorders>
              <w:top w:val="nil"/>
              <w:left w:val="nil"/>
              <w:bottom w:val="nil"/>
              <w:right w:val="nil"/>
            </w:tcBorders>
            <w:shd w:val="clear" w:color="auto" w:fill="auto"/>
            <w:noWrap/>
            <w:vAlign w:val="center"/>
            <w:hideMark/>
          </w:tcPr>
          <w:p w14:paraId="3836F907"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645" w:type="pct"/>
            <w:tcBorders>
              <w:top w:val="nil"/>
              <w:left w:val="nil"/>
              <w:bottom w:val="nil"/>
              <w:right w:val="nil"/>
            </w:tcBorders>
            <w:shd w:val="clear" w:color="auto" w:fill="auto"/>
            <w:noWrap/>
            <w:vAlign w:val="center"/>
            <w:hideMark/>
          </w:tcPr>
          <w:p w14:paraId="2FFC443B"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7BD2583B"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4F8FD69B"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631" w:type="pct"/>
            <w:tcBorders>
              <w:top w:val="nil"/>
              <w:left w:val="nil"/>
              <w:bottom w:val="nil"/>
              <w:right w:val="nil"/>
            </w:tcBorders>
            <w:shd w:val="clear" w:color="auto" w:fill="auto"/>
            <w:noWrap/>
            <w:vAlign w:val="center"/>
            <w:hideMark/>
          </w:tcPr>
          <w:p w14:paraId="5C28C5DC"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233B62B0"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3845C4A4"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r>
      <w:tr w:rsidR="00A11D2E" w:rsidRPr="00AD3B35" w14:paraId="4D5C0043" w14:textId="77777777" w:rsidTr="00960BB8">
        <w:trPr>
          <w:trHeight w:val="360"/>
        </w:trPr>
        <w:tc>
          <w:tcPr>
            <w:tcW w:w="822" w:type="pct"/>
            <w:tcBorders>
              <w:top w:val="nil"/>
              <w:left w:val="nil"/>
              <w:bottom w:val="nil"/>
              <w:right w:val="nil"/>
            </w:tcBorders>
            <w:shd w:val="clear" w:color="auto" w:fill="auto"/>
            <w:noWrap/>
            <w:vAlign w:val="center"/>
            <w:hideMark/>
          </w:tcPr>
          <w:p w14:paraId="72EB3134"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Chowan</w:t>
            </w:r>
          </w:p>
        </w:tc>
        <w:tc>
          <w:tcPr>
            <w:tcW w:w="513" w:type="pct"/>
            <w:tcBorders>
              <w:top w:val="nil"/>
              <w:left w:val="nil"/>
              <w:bottom w:val="nil"/>
              <w:right w:val="nil"/>
            </w:tcBorders>
            <w:shd w:val="clear" w:color="auto" w:fill="auto"/>
            <w:noWrap/>
            <w:vAlign w:val="center"/>
            <w:hideMark/>
          </w:tcPr>
          <w:p w14:paraId="43CB8D87"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6</w:t>
            </w:r>
          </w:p>
        </w:tc>
        <w:tc>
          <w:tcPr>
            <w:tcW w:w="645" w:type="pct"/>
            <w:tcBorders>
              <w:top w:val="nil"/>
              <w:left w:val="nil"/>
              <w:bottom w:val="nil"/>
              <w:right w:val="nil"/>
            </w:tcBorders>
            <w:shd w:val="clear" w:color="auto" w:fill="auto"/>
            <w:noWrap/>
            <w:vAlign w:val="center"/>
            <w:hideMark/>
          </w:tcPr>
          <w:p w14:paraId="730154C6"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671" w:type="pct"/>
            <w:tcBorders>
              <w:top w:val="nil"/>
              <w:left w:val="nil"/>
              <w:bottom w:val="nil"/>
              <w:right w:val="nil"/>
            </w:tcBorders>
            <w:shd w:val="clear" w:color="auto" w:fill="auto"/>
            <w:noWrap/>
            <w:vAlign w:val="center"/>
            <w:hideMark/>
          </w:tcPr>
          <w:p w14:paraId="151E1CE1"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2</w:t>
            </w:r>
          </w:p>
        </w:tc>
        <w:tc>
          <w:tcPr>
            <w:tcW w:w="702" w:type="pct"/>
            <w:tcBorders>
              <w:top w:val="nil"/>
              <w:left w:val="nil"/>
              <w:bottom w:val="nil"/>
              <w:right w:val="nil"/>
            </w:tcBorders>
            <w:shd w:val="clear" w:color="auto" w:fill="auto"/>
            <w:noWrap/>
            <w:vAlign w:val="center"/>
            <w:hideMark/>
          </w:tcPr>
          <w:p w14:paraId="3F469B69"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4</w:t>
            </w:r>
          </w:p>
        </w:tc>
        <w:tc>
          <w:tcPr>
            <w:tcW w:w="631" w:type="pct"/>
            <w:tcBorders>
              <w:top w:val="nil"/>
              <w:left w:val="nil"/>
              <w:bottom w:val="nil"/>
              <w:right w:val="nil"/>
            </w:tcBorders>
            <w:shd w:val="clear" w:color="auto" w:fill="auto"/>
            <w:noWrap/>
            <w:vAlign w:val="center"/>
            <w:hideMark/>
          </w:tcPr>
          <w:p w14:paraId="12C4E36A"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615" w:type="pct"/>
            <w:tcBorders>
              <w:top w:val="nil"/>
              <w:left w:val="nil"/>
              <w:bottom w:val="nil"/>
              <w:right w:val="nil"/>
            </w:tcBorders>
            <w:shd w:val="clear" w:color="auto" w:fill="auto"/>
            <w:noWrap/>
            <w:vAlign w:val="center"/>
            <w:hideMark/>
          </w:tcPr>
          <w:p w14:paraId="26550BF0"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33</w:t>
            </w:r>
          </w:p>
        </w:tc>
        <w:tc>
          <w:tcPr>
            <w:tcW w:w="401" w:type="pct"/>
            <w:tcBorders>
              <w:top w:val="nil"/>
              <w:left w:val="nil"/>
              <w:bottom w:val="nil"/>
              <w:right w:val="nil"/>
            </w:tcBorders>
            <w:shd w:val="clear" w:color="auto" w:fill="auto"/>
            <w:noWrap/>
            <w:vAlign w:val="center"/>
            <w:hideMark/>
          </w:tcPr>
          <w:p w14:paraId="27B7B308"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67</w:t>
            </w:r>
          </w:p>
        </w:tc>
      </w:tr>
      <w:tr w:rsidR="00A11D2E" w:rsidRPr="00AD3B35" w14:paraId="524FFF17" w14:textId="77777777" w:rsidTr="00960BB8">
        <w:trPr>
          <w:trHeight w:val="360"/>
        </w:trPr>
        <w:tc>
          <w:tcPr>
            <w:tcW w:w="822" w:type="pct"/>
            <w:tcBorders>
              <w:top w:val="nil"/>
              <w:left w:val="nil"/>
              <w:bottom w:val="nil"/>
              <w:right w:val="nil"/>
            </w:tcBorders>
            <w:shd w:val="clear" w:color="auto" w:fill="auto"/>
            <w:noWrap/>
            <w:vAlign w:val="center"/>
            <w:hideMark/>
          </w:tcPr>
          <w:p w14:paraId="5D82F9AF"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James</w:t>
            </w:r>
          </w:p>
        </w:tc>
        <w:tc>
          <w:tcPr>
            <w:tcW w:w="513" w:type="pct"/>
            <w:tcBorders>
              <w:top w:val="nil"/>
              <w:left w:val="nil"/>
              <w:bottom w:val="nil"/>
              <w:right w:val="nil"/>
            </w:tcBorders>
            <w:shd w:val="clear" w:color="auto" w:fill="auto"/>
            <w:noWrap/>
            <w:vAlign w:val="center"/>
            <w:hideMark/>
          </w:tcPr>
          <w:p w14:paraId="04B18545"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24</w:t>
            </w:r>
          </w:p>
        </w:tc>
        <w:tc>
          <w:tcPr>
            <w:tcW w:w="645" w:type="pct"/>
            <w:tcBorders>
              <w:top w:val="nil"/>
              <w:left w:val="nil"/>
              <w:bottom w:val="nil"/>
              <w:right w:val="nil"/>
            </w:tcBorders>
            <w:shd w:val="clear" w:color="auto" w:fill="auto"/>
            <w:noWrap/>
            <w:vAlign w:val="center"/>
            <w:hideMark/>
          </w:tcPr>
          <w:p w14:paraId="2952619D"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13</w:t>
            </w:r>
          </w:p>
        </w:tc>
        <w:tc>
          <w:tcPr>
            <w:tcW w:w="671" w:type="pct"/>
            <w:tcBorders>
              <w:top w:val="nil"/>
              <w:left w:val="nil"/>
              <w:bottom w:val="nil"/>
              <w:right w:val="nil"/>
            </w:tcBorders>
            <w:shd w:val="clear" w:color="auto" w:fill="auto"/>
            <w:noWrap/>
            <w:vAlign w:val="center"/>
            <w:hideMark/>
          </w:tcPr>
          <w:p w14:paraId="58778AB1"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7D108D27"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11</w:t>
            </w:r>
          </w:p>
        </w:tc>
        <w:tc>
          <w:tcPr>
            <w:tcW w:w="631" w:type="pct"/>
            <w:tcBorders>
              <w:top w:val="nil"/>
              <w:left w:val="nil"/>
              <w:bottom w:val="nil"/>
              <w:right w:val="nil"/>
            </w:tcBorders>
            <w:shd w:val="clear" w:color="auto" w:fill="auto"/>
            <w:noWrap/>
            <w:vAlign w:val="center"/>
            <w:hideMark/>
          </w:tcPr>
          <w:p w14:paraId="7F03FDBC"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54</w:t>
            </w:r>
          </w:p>
        </w:tc>
        <w:tc>
          <w:tcPr>
            <w:tcW w:w="615" w:type="pct"/>
            <w:tcBorders>
              <w:top w:val="nil"/>
              <w:left w:val="nil"/>
              <w:bottom w:val="nil"/>
              <w:right w:val="nil"/>
            </w:tcBorders>
            <w:shd w:val="clear" w:color="auto" w:fill="auto"/>
            <w:noWrap/>
            <w:vAlign w:val="center"/>
            <w:hideMark/>
          </w:tcPr>
          <w:p w14:paraId="572A1D24"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05ACD40F"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46</w:t>
            </w:r>
          </w:p>
        </w:tc>
      </w:tr>
      <w:tr w:rsidR="00A11D2E" w:rsidRPr="00AD3B35" w14:paraId="314BAE38" w14:textId="77777777" w:rsidTr="00960BB8">
        <w:trPr>
          <w:trHeight w:val="360"/>
        </w:trPr>
        <w:tc>
          <w:tcPr>
            <w:tcW w:w="822" w:type="pct"/>
            <w:tcBorders>
              <w:top w:val="nil"/>
              <w:left w:val="nil"/>
              <w:bottom w:val="nil"/>
              <w:right w:val="nil"/>
            </w:tcBorders>
            <w:shd w:val="clear" w:color="auto" w:fill="auto"/>
            <w:noWrap/>
            <w:vAlign w:val="center"/>
            <w:hideMark/>
          </w:tcPr>
          <w:p w14:paraId="61FA05AC"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New</w:t>
            </w:r>
          </w:p>
        </w:tc>
        <w:tc>
          <w:tcPr>
            <w:tcW w:w="513" w:type="pct"/>
            <w:tcBorders>
              <w:top w:val="nil"/>
              <w:left w:val="nil"/>
              <w:bottom w:val="nil"/>
              <w:right w:val="nil"/>
            </w:tcBorders>
            <w:shd w:val="clear" w:color="auto" w:fill="auto"/>
            <w:noWrap/>
            <w:vAlign w:val="center"/>
            <w:hideMark/>
          </w:tcPr>
          <w:p w14:paraId="4FB87C0A"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6</w:t>
            </w:r>
          </w:p>
        </w:tc>
        <w:tc>
          <w:tcPr>
            <w:tcW w:w="645" w:type="pct"/>
            <w:tcBorders>
              <w:top w:val="nil"/>
              <w:left w:val="nil"/>
              <w:bottom w:val="nil"/>
              <w:right w:val="nil"/>
            </w:tcBorders>
            <w:shd w:val="clear" w:color="auto" w:fill="auto"/>
            <w:noWrap/>
            <w:vAlign w:val="center"/>
            <w:hideMark/>
          </w:tcPr>
          <w:p w14:paraId="737B5C54"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w:t>
            </w:r>
          </w:p>
        </w:tc>
        <w:tc>
          <w:tcPr>
            <w:tcW w:w="671" w:type="pct"/>
            <w:tcBorders>
              <w:top w:val="nil"/>
              <w:left w:val="nil"/>
              <w:bottom w:val="nil"/>
              <w:right w:val="nil"/>
            </w:tcBorders>
            <w:shd w:val="clear" w:color="auto" w:fill="auto"/>
            <w:noWrap/>
            <w:vAlign w:val="center"/>
            <w:hideMark/>
          </w:tcPr>
          <w:p w14:paraId="5E91F468"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205A1738"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4</w:t>
            </w:r>
          </w:p>
        </w:tc>
        <w:tc>
          <w:tcPr>
            <w:tcW w:w="631" w:type="pct"/>
            <w:tcBorders>
              <w:top w:val="nil"/>
              <w:left w:val="nil"/>
              <w:bottom w:val="nil"/>
              <w:right w:val="nil"/>
            </w:tcBorders>
            <w:shd w:val="clear" w:color="auto" w:fill="auto"/>
            <w:noWrap/>
            <w:vAlign w:val="center"/>
            <w:hideMark/>
          </w:tcPr>
          <w:p w14:paraId="3B39863A"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17</w:t>
            </w:r>
          </w:p>
        </w:tc>
        <w:tc>
          <w:tcPr>
            <w:tcW w:w="615" w:type="pct"/>
            <w:tcBorders>
              <w:top w:val="nil"/>
              <w:left w:val="nil"/>
              <w:bottom w:val="nil"/>
              <w:right w:val="nil"/>
            </w:tcBorders>
            <w:shd w:val="clear" w:color="auto" w:fill="auto"/>
            <w:noWrap/>
            <w:vAlign w:val="center"/>
            <w:hideMark/>
          </w:tcPr>
          <w:p w14:paraId="28DF3278"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17</w:t>
            </w:r>
          </w:p>
        </w:tc>
        <w:tc>
          <w:tcPr>
            <w:tcW w:w="401" w:type="pct"/>
            <w:tcBorders>
              <w:top w:val="nil"/>
              <w:left w:val="nil"/>
              <w:bottom w:val="nil"/>
              <w:right w:val="nil"/>
            </w:tcBorders>
            <w:shd w:val="clear" w:color="auto" w:fill="auto"/>
            <w:noWrap/>
            <w:vAlign w:val="center"/>
            <w:hideMark/>
          </w:tcPr>
          <w:p w14:paraId="159FDF71"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67</w:t>
            </w:r>
          </w:p>
        </w:tc>
      </w:tr>
      <w:tr w:rsidR="00A11D2E" w:rsidRPr="00AD3B35" w14:paraId="41949726" w14:textId="77777777" w:rsidTr="00960BB8">
        <w:trPr>
          <w:trHeight w:val="360"/>
        </w:trPr>
        <w:tc>
          <w:tcPr>
            <w:tcW w:w="822" w:type="pct"/>
            <w:tcBorders>
              <w:top w:val="nil"/>
              <w:left w:val="nil"/>
              <w:bottom w:val="nil"/>
              <w:right w:val="nil"/>
            </w:tcBorders>
            <w:shd w:val="clear" w:color="auto" w:fill="auto"/>
            <w:noWrap/>
            <w:vAlign w:val="center"/>
            <w:hideMark/>
          </w:tcPr>
          <w:p w14:paraId="3F676EB7"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Potomac</w:t>
            </w:r>
          </w:p>
        </w:tc>
        <w:tc>
          <w:tcPr>
            <w:tcW w:w="513" w:type="pct"/>
            <w:tcBorders>
              <w:top w:val="nil"/>
              <w:left w:val="nil"/>
              <w:bottom w:val="nil"/>
              <w:right w:val="nil"/>
            </w:tcBorders>
            <w:shd w:val="clear" w:color="auto" w:fill="auto"/>
            <w:noWrap/>
            <w:vAlign w:val="center"/>
            <w:hideMark/>
          </w:tcPr>
          <w:p w14:paraId="7E0F2A2F"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8</w:t>
            </w:r>
          </w:p>
        </w:tc>
        <w:tc>
          <w:tcPr>
            <w:tcW w:w="645" w:type="pct"/>
            <w:tcBorders>
              <w:top w:val="nil"/>
              <w:left w:val="nil"/>
              <w:bottom w:val="nil"/>
              <w:right w:val="nil"/>
            </w:tcBorders>
            <w:shd w:val="clear" w:color="auto" w:fill="auto"/>
            <w:noWrap/>
            <w:vAlign w:val="center"/>
            <w:hideMark/>
          </w:tcPr>
          <w:p w14:paraId="26D246C2"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2</w:t>
            </w:r>
          </w:p>
        </w:tc>
        <w:tc>
          <w:tcPr>
            <w:tcW w:w="671" w:type="pct"/>
            <w:tcBorders>
              <w:top w:val="nil"/>
              <w:left w:val="nil"/>
              <w:bottom w:val="nil"/>
              <w:right w:val="nil"/>
            </w:tcBorders>
            <w:shd w:val="clear" w:color="auto" w:fill="auto"/>
            <w:noWrap/>
            <w:vAlign w:val="center"/>
            <w:hideMark/>
          </w:tcPr>
          <w:p w14:paraId="6BF159B7"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250BA822"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6</w:t>
            </w:r>
          </w:p>
        </w:tc>
        <w:tc>
          <w:tcPr>
            <w:tcW w:w="631" w:type="pct"/>
            <w:tcBorders>
              <w:top w:val="nil"/>
              <w:left w:val="nil"/>
              <w:bottom w:val="nil"/>
              <w:right w:val="nil"/>
            </w:tcBorders>
            <w:shd w:val="clear" w:color="auto" w:fill="auto"/>
            <w:noWrap/>
            <w:vAlign w:val="center"/>
            <w:hideMark/>
          </w:tcPr>
          <w:p w14:paraId="4B3DF47F"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25</w:t>
            </w:r>
          </w:p>
        </w:tc>
        <w:tc>
          <w:tcPr>
            <w:tcW w:w="615" w:type="pct"/>
            <w:tcBorders>
              <w:top w:val="nil"/>
              <w:left w:val="nil"/>
              <w:bottom w:val="nil"/>
              <w:right w:val="nil"/>
            </w:tcBorders>
            <w:shd w:val="clear" w:color="auto" w:fill="auto"/>
            <w:noWrap/>
            <w:vAlign w:val="center"/>
            <w:hideMark/>
          </w:tcPr>
          <w:p w14:paraId="22D9854E"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0DDBBAA9"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75</w:t>
            </w:r>
          </w:p>
        </w:tc>
      </w:tr>
      <w:tr w:rsidR="00A11D2E" w:rsidRPr="00AD3B35" w14:paraId="0BB082F1" w14:textId="77777777" w:rsidTr="00960BB8">
        <w:trPr>
          <w:trHeight w:val="360"/>
        </w:trPr>
        <w:tc>
          <w:tcPr>
            <w:tcW w:w="822" w:type="pct"/>
            <w:tcBorders>
              <w:top w:val="nil"/>
              <w:left w:val="nil"/>
              <w:bottom w:val="nil"/>
              <w:right w:val="nil"/>
            </w:tcBorders>
            <w:shd w:val="clear" w:color="auto" w:fill="auto"/>
            <w:noWrap/>
            <w:vAlign w:val="center"/>
            <w:hideMark/>
          </w:tcPr>
          <w:p w14:paraId="7C7757A8"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Rappahannock</w:t>
            </w:r>
          </w:p>
        </w:tc>
        <w:tc>
          <w:tcPr>
            <w:tcW w:w="513" w:type="pct"/>
            <w:tcBorders>
              <w:top w:val="nil"/>
              <w:left w:val="nil"/>
              <w:bottom w:val="nil"/>
              <w:right w:val="nil"/>
            </w:tcBorders>
            <w:shd w:val="clear" w:color="auto" w:fill="auto"/>
            <w:noWrap/>
            <w:vAlign w:val="center"/>
            <w:hideMark/>
          </w:tcPr>
          <w:p w14:paraId="096AB37B"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12</w:t>
            </w:r>
          </w:p>
        </w:tc>
        <w:tc>
          <w:tcPr>
            <w:tcW w:w="645" w:type="pct"/>
            <w:tcBorders>
              <w:top w:val="nil"/>
              <w:left w:val="nil"/>
              <w:bottom w:val="nil"/>
              <w:right w:val="nil"/>
            </w:tcBorders>
            <w:shd w:val="clear" w:color="auto" w:fill="auto"/>
            <w:noWrap/>
            <w:vAlign w:val="center"/>
            <w:hideMark/>
          </w:tcPr>
          <w:p w14:paraId="5D743B71"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4</w:t>
            </w:r>
          </w:p>
        </w:tc>
        <w:tc>
          <w:tcPr>
            <w:tcW w:w="671" w:type="pct"/>
            <w:tcBorders>
              <w:top w:val="nil"/>
              <w:left w:val="nil"/>
              <w:bottom w:val="nil"/>
              <w:right w:val="nil"/>
            </w:tcBorders>
            <w:shd w:val="clear" w:color="auto" w:fill="auto"/>
            <w:noWrap/>
            <w:vAlign w:val="center"/>
            <w:hideMark/>
          </w:tcPr>
          <w:p w14:paraId="4F193C03"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16201064"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8</w:t>
            </w:r>
          </w:p>
        </w:tc>
        <w:tc>
          <w:tcPr>
            <w:tcW w:w="631" w:type="pct"/>
            <w:tcBorders>
              <w:top w:val="nil"/>
              <w:left w:val="nil"/>
              <w:bottom w:val="nil"/>
              <w:right w:val="nil"/>
            </w:tcBorders>
            <w:shd w:val="clear" w:color="auto" w:fill="auto"/>
            <w:noWrap/>
            <w:vAlign w:val="center"/>
            <w:hideMark/>
          </w:tcPr>
          <w:p w14:paraId="672182E0"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33</w:t>
            </w:r>
          </w:p>
        </w:tc>
        <w:tc>
          <w:tcPr>
            <w:tcW w:w="615" w:type="pct"/>
            <w:tcBorders>
              <w:top w:val="nil"/>
              <w:left w:val="nil"/>
              <w:bottom w:val="nil"/>
              <w:right w:val="nil"/>
            </w:tcBorders>
            <w:shd w:val="clear" w:color="auto" w:fill="auto"/>
            <w:noWrap/>
            <w:vAlign w:val="center"/>
            <w:hideMark/>
          </w:tcPr>
          <w:p w14:paraId="0BA6AE35"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1475F123"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67</w:t>
            </w:r>
          </w:p>
        </w:tc>
      </w:tr>
      <w:tr w:rsidR="00A11D2E" w:rsidRPr="00AD3B35" w14:paraId="749A775F" w14:textId="77777777" w:rsidTr="00960BB8">
        <w:trPr>
          <w:trHeight w:val="360"/>
        </w:trPr>
        <w:tc>
          <w:tcPr>
            <w:tcW w:w="822" w:type="pct"/>
            <w:tcBorders>
              <w:top w:val="nil"/>
              <w:left w:val="nil"/>
              <w:right w:val="nil"/>
            </w:tcBorders>
            <w:shd w:val="clear" w:color="auto" w:fill="auto"/>
            <w:noWrap/>
            <w:vAlign w:val="center"/>
            <w:hideMark/>
          </w:tcPr>
          <w:p w14:paraId="0D9C0602"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Roanoke</w:t>
            </w:r>
          </w:p>
        </w:tc>
        <w:tc>
          <w:tcPr>
            <w:tcW w:w="513" w:type="pct"/>
            <w:tcBorders>
              <w:top w:val="nil"/>
              <w:left w:val="nil"/>
              <w:right w:val="nil"/>
            </w:tcBorders>
            <w:shd w:val="clear" w:color="auto" w:fill="auto"/>
            <w:noWrap/>
            <w:vAlign w:val="center"/>
            <w:hideMark/>
          </w:tcPr>
          <w:p w14:paraId="359F45E1"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12</w:t>
            </w:r>
          </w:p>
        </w:tc>
        <w:tc>
          <w:tcPr>
            <w:tcW w:w="645" w:type="pct"/>
            <w:tcBorders>
              <w:top w:val="nil"/>
              <w:left w:val="nil"/>
              <w:right w:val="nil"/>
            </w:tcBorders>
            <w:shd w:val="clear" w:color="auto" w:fill="auto"/>
            <w:noWrap/>
            <w:vAlign w:val="center"/>
            <w:hideMark/>
          </w:tcPr>
          <w:p w14:paraId="3A48A9B2"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671" w:type="pct"/>
            <w:tcBorders>
              <w:top w:val="nil"/>
              <w:left w:val="nil"/>
              <w:right w:val="nil"/>
            </w:tcBorders>
            <w:shd w:val="clear" w:color="auto" w:fill="auto"/>
            <w:noWrap/>
            <w:vAlign w:val="center"/>
            <w:hideMark/>
          </w:tcPr>
          <w:p w14:paraId="10A2ED28"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702" w:type="pct"/>
            <w:tcBorders>
              <w:top w:val="nil"/>
              <w:left w:val="nil"/>
              <w:right w:val="nil"/>
            </w:tcBorders>
            <w:shd w:val="clear" w:color="auto" w:fill="auto"/>
            <w:noWrap/>
            <w:vAlign w:val="center"/>
            <w:hideMark/>
          </w:tcPr>
          <w:p w14:paraId="5570C2B0"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12</w:t>
            </w:r>
          </w:p>
        </w:tc>
        <w:tc>
          <w:tcPr>
            <w:tcW w:w="631" w:type="pct"/>
            <w:tcBorders>
              <w:top w:val="nil"/>
              <w:left w:val="nil"/>
              <w:right w:val="nil"/>
            </w:tcBorders>
            <w:shd w:val="clear" w:color="auto" w:fill="auto"/>
            <w:noWrap/>
            <w:vAlign w:val="center"/>
            <w:hideMark/>
          </w:tcPr>
          <w:p w14:paraId="61E9CBC0"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615" w:type="pct"/>
            <w:tcBorders>
              <w:top w:val="nil"/>
              <w:left w:val="nil"/>
              <w:right w:val="nil"/>
            </w:tcBorders>
            <w:shd w:val="clear" w:color="auto" w:fill="auto"/>
            <w:noWrap/>
            <w:vAlign w:val="center"/>
            <w:hideMark/>
          </w:tcPr>
          <w:p w14:paraId="613A8194"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0</w:t>
            </w:r>
          </w:p>
        </w:tc>
        <w:tc>
          <w:tcPr>
            <w:tcW w:w="401" w:type="pct"/>
            <w:tcBorders>
              <w:top w:val="nil"/>
              <w:left w:val="nil"/>
              <w:right w:val="nil"/>
            </w:tcBorders>
            <w:shd w:val="clear" w:color="auto" w:fill="auto"/>
            <w:noWrap/>
            <w:vAlign w:val="center"/>
            <w:hideMark/>
          </w:tcPr>
          <w:p w14:paraId="1C89FC22"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100</w:t>
            </w:r>
          </w:p>
        </w:tc>
      </w:tr>
      <w:tr w:rsidR="00A11D2E" w:rsidRPr="00AD3B35" w14:paraId="64E7BF80" w14:textId="77777777" w:rsidTr="00960BB8">
        <w:trPr>
          <w:trHeight w:val="360"/>
        </w:trPr>
        <w:tc>
          <w:tcPr>
            <w:tcW w:w="822" w:type="pct"/>
            <w:tcBorders>
              <w:top w:val="nil"/>
              <w:left w:val="nil"/>
              <w:bottom w:val="single" w:sz="12" w:space="0" w:color="auto"/>
              <w:right w:val="nil"/>
            </w:tcBorders>
            <w:shd w:val="clear" w:color="auto" w:fill="auto"/>
            <w:noWrap/>
            <w:vAlign w:val="center"/>
            <w:hideMark/>
          </w:tcPr>
          <w:p w14:paraId="64E25B3D"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York</w:t>
            </w:r>
          </w:p>
        </w:tc>
        <w:tc>
          <w:tcPr>
            <w:tcW w:w="513" w:type="pct"/>
            <w:tcBorders>
              <w:top w:val="nil"/>
              <w:left w:val="nil"/>
              <w:bottom w:val="single" w:sz="12" w:space="0" w:color="auto"/>
              <w:right w:val="nil"/>
            </w:tcBorders>
            <w:shd w:val="clear" w:color="auto" w:fill="auto"/>
            <w:noWrap/>
            <w:vAlign w:val="center"/>
            <w:hideMark/>
          </w:tcPr>
          <w:p w14:paraId="5AD32A5F"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16</w:t>
            </w:r>
          </w:p>
        </w:tc>
        <w:tc>
          <w:tcPr>
            <w:tcW w:w="645" w:type="pct"/>
            <w:tcBorders>
              <w:top w:val="nil"/>
              <w:left w:val="nil"/>
              <w:bottom w:val="single" w:sz="12" w:space="0" w:color="auto"/>
              <w:right w:val="nil"/>
            </w:tcBorders>
            <w:shd w:val="clear" w:color="auto" w:fill="auto"/>
            <w:noWrap/>
            <w:vAlign w:val="center"/>
            <w:hideMark/>
          </w:tcPr>
          <w:p w14:paraId="720D57F9"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w:t>
            </w:r>
          </w:p>
        </w:tc>
        <w:tc>
          <w:tcPr>
            <w:tcW w:w="671" w:type="pct"/>
            <w:tcBorders>
              <w:top w:val="nil"/>
              <w:left w:val="nil"/>
              <w:bottom w:val="single" w:sz="12" w:space="0" w:color="auto"/>
              <w:right w:val="nil"/>
            </w:tcBorders>
            <w:shd w:val="clear" w:color="auto" w:fill="auto"/>
            <w:noWrap/>
            <w:vAlign w:val="center"/>
            <w:hideMark/>
          </w:tcPr>
          <w:p w14:paraId="04F4E705"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w:t>
            </w:r>
          </w:p>
        </w:tc>
        <w:tc>
          <w:tcPr>
            <w:tcW w:w="702" w:type="pct"/>
            <w:tcBorders>
              <w:top w:val="nil"/>
              <w:left w:val="nil"/>
              <w:bottom w:val="single" w:sz="12" w:space="0" w:color="auto"/>
              <w:right w:val="nil"/>
            </w:tcBorders>
            <w:shd w:val="clear" w:color="auto" w:fill="auto"/>
            <w:noWrap/>
            <w:vAlign w:val="center"/>
            <w:hideMark/>
          </w:tcPr>
          <w:p w14:paraId="424F4C29"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14</w:t>
            </w:r>
          </w:p>
        </w:tc>
        <w:tc>
          <w:tcPr>
            <w:tcW w:w="631" w:type="pct"/>
            <w:tcBorders>
              <w:top w:val="nil"/>
              <w:left w:val="nil"/>
              <w:bottom w:val="single" w:sz="12" w:space="0" w:color="auto"/>
              <w:right w:val="nil"/>
            </w:tcBorders>
            <w:shd w:val="clear" w:color="auto" w:fill="auto"/>
            <w:noWrap/>
            <w:vAlign w:val="center"/>
            <w:hideMark/>
          </w:tcPr>
          <w:p w14:paraId="77299436"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6</w:t>
            </w:r>
          </w:p>
        </w:tc>
        <w:tc>
          <w:tcPr>
            <w:tcW w:w="615" w:type="pct"/>
            <w:tcBorders>
              <w:top w:val="nil"/>
              <w:left w:val="nil"/>
              <w:bottom w:val="single" w:sz="12" w:space="0" w:color="auto"/>
              <w:right w:val="nil"/>
            </w:tcBorders>
            <w:shd w:val="clear" w:color="auto" w:fill="auto"/>
            <w:noWrap/>
            <w:vAlign w:val="center"/>
            <w:hideMark/>
          </w:tcPr>
          <w:p w14:paraId="1127DB39"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6</w:t>
            </w:r>
          </w:p>
        </w:tc>
        <w:tc>
          <w:tcPr>
            <w:tcW w:w="401" w:type="pct"/>
            <w:tcBorders>
              <w:top w:val="nil"/>
              <w:left w:val="nil"/>
              <w:bottom w:val="single" w:sz="12" w:space="0" w:color="auto"/>
              <w:right w:val="nil"/>
            </w:tcBorders>
            <w:shd w:val="clear" w:color="auto" w:fill="auto"/>
            <w:noWrap/>
            <w:vAlign w:val="center"/>
            <w:hideMark/>
          </w:tcPr>
          <w:p w14:paraId="4111DA12" w14:textId="77777777" w:rsidR="00A11D2E" w:rsidRPr="007C1C80" w:rsidRDefault="00A11D2E">
            <w:pPr>
              <w:widowControl/>
              <w:jc w:val="center"/>
              <w:rPr>
                <w:rFonts w:cstheme="minorHAnsi"/>
                <w:bCs/>
                <w:snapToGrid/>
                <w:sz w:val="22"/>
                <w:szCs w:val="22"/>
              </w:rPr>
            </w:pPr>
            <w:r w:rsidRPr="007C1C80">
              <w:rPr>
                <w:rFonts w:cstheme="minorHAnsi"/>
                <w:snapToGrid/>
                <w:sz w:val="22"/>
                <w:szCs w:val="22"/>
              </w:rPr>
              <w:t>88</w:t>
            </w:r>
          </w:p>
        </w:tc>
      </w:tr>
    </w:tbl>
    <w:p w14:paraId="443975D0" w14:textId="77777777" w:rsidR="00A11D2E" w:rsidRDefault="00A11D2E" w:rsidP="00A11D2E">
      <w:pPr>
        <w:rPr>
          <w:rFonts w:cstheme="minorHAnsi"/>
        </w:rPr>
      </w:pPr>
    </w:p>
    <w:p w14:paraId="7D05DB34" w14:textId="77777777" w:rsidR="007C1C80" w:rsidRDefault="007C1C80" w:rsidP="00A11D2E">
      <w:pPr>
        <w:rPr>
          <w:rFonts w:cstheme="minorHAnsi"/>
        </w:rPr>
      </w:pPr>
    </w:p>
    <w:p w14:paraId="29AA7EF9" w14:textId="5695A710" w:rsidR="007C1C80" w:rsidRPr="00AD3B35" w:rsidRDefault="007C1C80" w:rsidP="00A11D2E">
      <w:pPr>
        <w:rPr>
          <w:rFonts w:cstheme="minorHAnsi"/>
        </w:rPr>
        <w:sectPr w:rsidR="007C1C80" w:rsidRPr="00AD3B35" w:rsidSect="009079C4">
          <w:footnotePr>
            <w:numStart w:val="3"/>
          </w:footnotePr>
          <w:endnotePr>
            <w:numFmt w:val="decimal"/>
          </w:endnotePr>
          <w:pgSz w:w="12240" w:h="15840" w:code="1"/>
          <w:pgMar w:top="1440" w:right="1440" w:bottom="1440" w:left="1440" w:header="720" w:footer="720" w:gutter="0"/>
          <w:cols w:space="720"/>
          <w:docGrid w:linePitch="360"/>
        </w:sectPr>
      </w:pPr>
    </w:p>
    <w:p w14:paraId="5D2ACC93" w14:textId="28C672F1" w:rsidR="00AF1108" w:rsidRDefault="006F0D06" w:rsidP="00AF1108">
      <w:pPr>
        <w:keepNext/>
        <w:ind w:left="720"/>
      </w:pPr>
      <w:r>
        <w:rPr>
          <w:noProof/>
          <w:snapToGrid/>
          <w14:ligatures w14:val="standardContextual"/>
        </w:rPr>
        <w:lastRenderedPageBreak/>
        <mc:AlternateContent>
          <mc:Choice Requires="wps">
            <w:drawing>
              <wp:anchor distT="45720" distB="45720" distL="114300" distR="114300" simplePos="0" relativeHeight="251658255" behindDoc="0" locked="0" layoutInCell="1" allowOverlap="1" wp14:anchorId="052EFDFC" wp14:editId="4BC6BC9B">
                <wp:simplePos x="0" y="0"/>
                <wp:positionH relativeFrom="column">
                  <wp:posOffset>967563</wp:posOffset>
                </wp:positionH>
                <wp:positionV relativeFrom="paragraph">
                  <wp:posOffset>439124</wp:posOffset>
                </wp:positionV>
                <wp:extent cx="904875" cy="277495"/>
                <wp:effectExtent l="0" t="0" r="9525" b="0"/>
                <wp:wrapNone/>
                <wp:docPr id="1262078386" name="Text Box 12620783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7495"/>
                        </a:xfrm>
                        <a:prstGeom prst="rect">
                          <a:avLst/>
                        </a:prstGeom>
                        <a:solidFill>
                          <a:srgbClr val="FFFFFF"/>
                        </a:solidFill>
                        <a:ln w="9525">
                          <a:noFill/>
                          <a:miter lim="800000"/>
                          <a:headEnd/>
                          <a:tailEnd/>
                        </a:ln>
                      </wps:spPr>
                      <wps:txbx>
                        <w:txbxContent>
                          <w:p w14:paraId="6DDE4A46" w14:textId="77777777" w:rsidR="006F0D06" w:rsidRPr="006F0D06" w:rsidRDefault="006F0D06" w:rsidP="006F0D06">
                            <w:r w:rsidRPr="006F0D06">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2EFDFC" id="Text Box 1262078386" o:spid="_x0000_s1044" type="#_x0000_t202" alt="&quot;&quot;" style="position:absolute;left:0;text-align:left;margin-left:76.2pt;margin-top:34.6pt;width:71.25pt;height:21.85pt;z-index:25165825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" stroked="f">
                <v:textbox style="mso-fit-shape-to-text:t">
                  <w:txbxContent>
                    <w:p w14:paraId="6DDE4A46" w14:textId="77777777" w:rsidR="006F0D06" w:rsidRPr="006F0D06" w:rsidRDefault="006F0D06" w:rsidP="006F0D06">
                      <w:r w:rsidRPr="006F0D06">
                        <w:t>River Basin</w:t>
                      </w:r>
                    </w:p>
                  </w:txbxContent>
                </v:textbox>
              </v:shape>
            </w:pict>
          </mc:Fallback>
        </mc:AlternateContent>
      </w:r>
      <w:r w:rsidR="00685DDF">
        <w:rPr>
          <w:noProof/>
          <w:snapToGrid/>
          <w14:ligatures w14:val="standardContextual"/>
        </w:rPr>
        <w:drawing>
          <wp:inline distT="0" distB="0" distL="0" distR="0" wp14:anchorId="60345241" wp14:editId="2F5DF8B8">
            <wp:extent cx="8229600" cy="5325110"/>
            <wp:effectExtent l="0" t="0" r="0" b="8890"/>
            <wp:docPr id="671105833" name="Picture 7" descr="Map&#10;&#10;Figure 4.7 13. Statewide trends in Secchi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105833" name="Picture 7" descr="Map&#10;&#10;Figure 4.7 13. Statewide trends in Secchi depth."/>
                    <pic:cNvPicPr/>
                  </pic:nvPicPr>
                  <pic:blipFill>
                    <a:blip r:embed="rId227" cstate="print">
                      <a:extLst>
                        <a:ext uri="{28A0092B-C50C-407E-A947-70E740481C1C}">
                          <a14:useLocalDpi xmlns:a14="http://schemas.microsoft.com/office/drawing/2010/main"/>
                        </a:ext>
                      </a:extLst>
                    </a:blip>
                    <a:stretch>
                      <a:fillRect/>
                    </a:stretch>
                  </pic:blipFill>
                  <pic:spPr>
                    <a:xfrm>
                      <a:off x="0" y="0"/>
                      <a:ext cx="8229600" cy="5325110"/>
                    </a:xfrm>
                    <a:prstGeom prst="rect">
                      <a:avLst/>
                    </a:prstGeom>
                  </pic:spPr>
                </pic:pic>
              </a:graphicData>
            </a:graphic>
          </wp:inline>
        </w:drawing>
      </w:r>
    </w:p>
    <w:p w14:paraId="0CD5D866" w14:textId="01B97BB3" w:rsidR="00A11D2E" w:rsidRPr="00AF1108" w:rsidRDefault="00AF1108" w:rsidP="00AF1108">
      <w:pPr>
        <w:pStyle w:val="Caption"/>
        <w:rPr>
          <w:rFonts w:cstheme="minorHAnsi"/>
        </w:rPr>
      </w:pPr>
      <w:bookmarkStart w:id="381" w:name="_Toc152766311"/>
      <w:bookmarkStart w:id="382" w:name="_Toc164175136"/>
      <w:r w:rsidRPr="00AF1108">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13</w:t>
      </w:r>
      <w:r w:rsidR="004F13BA">
        <w:rPr>
          <w:noProof/>
        </w:rPr>
        <w:fldChar w:fldCharType="end"/>
      </w:r>
      <w:r w:rsidRPr="00AF1108">
        <w:t xml:space="preserve">. </w:t>
      </w:r>
      <w:r w:rsidRPr="00AF1108">
        <w:rPr>
          <w:rFonts w:cstheme="minorHAnsi"/>
        </w:rPr>
        <w:t>Statewide trends in Secchi depth.</w:t>
      </w:r>
      <w:bookmarkEnd w:id="381"/>
      <w:bookmarkEnd w:id="382"/>
    </w:p>
    <w:p w14:paraId="02DB6E8A" w14:textId="766858DF" w:rsidR="00A11D2E" w:rsidRPr="00AD3B35" w:rsidRDefault="00A11D2E" w:rsidP="00A11D2E">
      <w:pPr>
        <w:ind w:left="720"/>
        <w:rPr>
          <w:rFonts w:cstheme="minorHAnsi"/>
        </w:rPr>
        <w:sectPr w:rsidR="00A11D2E" w:rsidRPr="00AD3B35" w:rsidSect="009079C4">
          <w:footnotePr>
            <w:numStart w:val="3"/>
          </w:footnotePr>
          <w:endnotePr>
            <w:numFmt w:val="decimal"/>
          </w:endnotePr>
          <w:pgSz w:w="15840" w:h="12240" w:orient="landscape" w:code="1"/>
          <w:pgMar w:top="1440" w:right="1440" w:bottom="1440" w:left="1440" w:header="720" w:footer="720" w:gutter="0"/>
          <w:cols w:space="720"/>
          <w:docGrid w:linePitch="360"/>
        </w:sectPr>
      </w:pPr>
    </w:p>
    <w:p w14:paraId="3CA25C68" w14:textId="78E4D020" w:rsidR="00A11D2E" w:rsidRPr="00382E27" w:rsidRDefault="00A11D2E" w:rsidP="00382E27">
      <w:pPr>
        <w:pStyle w:val="Heading4"/>
      </w:pPr>
      <w:r w:rsidRPr="00AD3B35">
        <w:lastRenderedPageBreak/>
        <w:t>Turbidity</w:t>
      </w:r>
    </w:p>
    <w:p w14:paraId="3BBFC90A" w14:textId="082E3B4C" w:rsidR="00A11D2E" w:rsidRPr="00AD3B35" w:rsidRDefault="00A11D2E" w:rsidP="00382E27">
      <w:pPr>
        <w:rPr>
          <w:rFonts w:cstheme="minorHAnsi"/>
        </w:rPr>
      </w:pPr>
      <w:r w:rsidRPr="00AD3B35">
        <w:rPr>
          <w:rFonts w:cstheme="minorHAnsi"/>
        </w:rPr>
        <w:t xml:space="preserve">Turbidity provides a measure of water clarity by indicating the amount of light that is scattered through the water. High turbidity corresponds to low water clarity and, generally, to degraded water quality. Particles that affect turbidity may include algae, bacteria, and organic and inorganic solids. In surface waters, turbidity primarily increases with increases in plankton and suspended solids and, therefore, increased turbidity is often an indicator of excessive erosion and runoff from the land surface, of nutrient pollution that stimulates algal growth, or both. Turbidity is measured at the surface from samples collected at 1 meter or less. Improving trends in turbidity were more prevalent than degrading trends, as 145 of 387 stations (37%) showed improving trends and 6 stations (2%) showed degrading trends. The remaining 236 stations (61%) showed no trend with respect to turbidity (Table </w:t>
      </w:r>
      <w:r w:rsidR="00E76223">
        <w:rPr>
          <w:rFonts w:cstheme="minorHAnsi"/>
        </w:rPr>
        <w:t>4.7-</w:t>
      </w:r>
      <w:r w:rsidRPr="00AD3B35">
        <w:rPr>
          <w:rFonts w:cstheme="minorHAnsi"/>
        </w:rPr>
        <w:t xml:space="preserve">4). Trends in </w:t>
      </w:r>
      <w:r w:rsidRPr="00AD3B35">
        <w:rPr>
          <w:rFonts w:cstheme="minorHAnsi"/>
          <w:iCs/>
        </w:rPr>
        <w:t>turbidity by basin</w:t>
      </w:r>
      <w:r w:rsidRPr="00AD3B35">
        <w:rPr>
          <w:rFonts w:cstheme="minorHAnsi"/>
        </w:rPr>
        <w:t xml:space="preserve"> are shown in Table </w:t>
      </w:r>
      <w:r w:rsidR="00E76223">
        <w:rPr>
          <w:rFonts w:cstheme="minorHAnsi"/>
        </w:rPr>
        <w:t>4.7-</w:t>
      </w:r>
      <w:r w:rsidRPr="00AD3B35">
        <w:rPr>
          <w:rFonts w:cstheme="minorHAnsi"/>
        </w:rPr>
        <w:t xml:space="preserve">17. A map of the statewide trends in turbidity is shown in Figure </w:t>
      </w:r>
      <w:r w:rsidR="00E76223">
        <w:rPr>
          <w:rFonts w:cstheme="minorHAnsi"/>
        </w:rPr>
        <w:t>4.7-</w:t>
      </w:r>
      <w:r w:rsidRPr="00AD3B35">
        <w:rPr>
          <w:rFonts w:cstheme="minorHAnsi"/>
        </w:rPr>
        <w:t>14.</w:t>
      </w:r>
      <w:r w:rsidR="00382E27">
        <w:rPr>
          <w:rFonts w:cstheme="minorHAnsi"/>
        </w:rPr>
        <w:br/>
      </w:r>
    </w:p>
    <w:p w14:paraId="0B087D9A" w14:textId="76782E8A" w:rsidR="00960BB8" w:rsidRPr="00960BB8" w:rsidRDefault="00960BB8" w:rsidP="00960BB8">
      <w:pPr>
        <w:pStyle w:val="Caption"/>
        <w:keepNext/>
      </w:pPr>
      <w:bookmarkStart w:id="383" w:name="_Toc164175238"/>
      <w:r w:rsidRPr="00960BB8">
        <w:t xml:space="preserve">Table </w:t>
      </w:r>
      <w:r w:rsidR="004F13BA">
        <w:fldChar w:fldCharType="begin"/>
      </w:r>
      <w:r w:rsidR="004F13BA">
        <w:instrText xml:space="preserve"> STYLEREF 2 \s </w:instrText>
      </w:r>
      <w:r w:rsidR="004F13BA">
        <w:fldChar w:fldCharType="separate"/>
      </w:r>
      <w:r w:rsidR="00CD06AE">
        <w:rPr>
          <w:noProof/>
        </w:rPr>
        <w:t>4.7</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17</w:t>
      </w:r>
      <w:r w:rsidR="004F13BA">
        <w:rPr>
          <w:noProof/>
        </w:rPr>
        <w:fldChar w:fldCharType="end"/>
      </w:r>
      <w:r w:rsidRPr="00960BB8">
        <w:t xml:space="preserve">. </w:t>
      </w:r>
      <w:r w:rsidRPr="00960BB8">
        <w:rPr>
          <w:rFonts w:cstheme="minorHAnsi"/>
        </w:rPr>
        <w:t>Turbidity trends by basin.</w:t>
      </w:r>
      <w:bookmarkEnd w:id="383"/>
    </w:p>
    <w:tbl>
      <w:tblPr>
        <w:tblW w:w="5000" w:type="pct"/>
        <w:tblLook w:val="04A0" w:firstRow="1" w:lastRow="0" w:firstColumn="1" w:lastColumn="0" w:noHBand="0" w:noVBand="1"/>
        <w:tblCaption w:val="Table of Turbidity trends by basin."/>
        <w:tblDescription w:val="Turbidity trends by basin."/>
      </w:tblPr>
      <w:tblGrid>
        <w:gridCol w:w="1540"/>
        <w:gridCol w:w="960"/>
        <w:gridCol w:w="1207"/>
        <w:gridCol w:w="1256"/>
        <w:gridCol w:w="1314"/>
        <w:gridCol w:w="1181"/>
        <w:gridCol w:w="1151"/>
        <w:gridCol w:w="751"/>
      </w:tblGrid>
      <w:tr w:rsidR="00A11D2E" w:rsidRPr="00AD3B35" w14:paraId="11761288" w14:textId="77777777" w:rsidTr="00960BB8">
        <w:trPr>
          <w:trHeight w:val="1035"/>
        </w:trPr>
        <w:tc>
          <w:tcPr>
            <w:tcW w:w="822" w:type="pct"/>
            <w:tcBorders>
              <w:top w:val="single" w:sz="12" w:space="0" w:color="auto"/>
              <w:left w:val="nil"/>
              <w:bottom w:val="single" w:sz="8" w:space="0" w:color="auto"/>
              <w:right w:val="nil"/>
            </w:tcBorders>
            <w:shd w:val="clear" w:color="auto" w:fill="auto"/>
            <w:vAlign w:val="center"/>
            <w:hideMark/>
          </w:tcPr>
          <w:p w14:paraId="0706CAD5" w14:textId="77777777" w:rsidR="00A11D2E" w:rsidRPr="00822B9A" w:rsidRDefault="00A11D2E">
            <w:pPr>
              <w:widowControl/>
              <w:jc w:val="center"/>
              <w:rPr>
                <w:rFonts w:cstheme="minorHAnsi"/>
                <w:b/>
                <w:bCs/>
                <w:snapToGrid/>
                <w:color w:val="000000"/>
                <w:sz w:val="22"/>
                <w:szCs w:val="22"/>
              </w:rPr>
            </w:pPr>
            <w:r w:rsidRPr="00822B9A">
              <w:rPr>
                <w:rFonts w:cstheme="minorHAnsi"/>
                <w:b/>
                <w:bCs/>
                <w:color w:val="000000"/>
                <w:sz w:val="22"/>
                <w:szCs w:val="22"/>
              </w:rPr>
              <w:t>Basin</w:t>
            </w:r>
          </w:p>
        </w:tc>
        <w:tc>
          <w:tcPr>
            <w:tcW w:w="513" w:type="pct"/>
            <w:tcBorders>
              <w:top w:val="single" w:sz="12" w:space="0" w:color="auto"/>
              <w:left w:val="nil"/>
              <w:bottom w:val="single" w:sz="8" w:space="0" w:color="auto"/>
              <w:right w:val="nil"/>
            </w:tcBorders>
            <w:shd w:val="clear" w:color="auto" w:fill="auto"/>
            <w:vAlign w:val="center"/>
            <w:hideMark/>
          </w:tcPr>
          <w:p w14:paraId="2AA00B6C" w14:textId="77777777" w:rsidR="00A11D2E" w:rsidRPr="00822B9A" w:rsidRDefault="00A11D2E">
            <w:pPr>
              <w:jc w:val="center"/>
              <w:rPr>
                <w:rFonts w:cstheme="minorHAnsi"/>
                <w:b/>
                <w:bCs/>
                <w:color w:val="000000"/>
                <w:sz w:val="22"/>
                <w:szCs w:val="22"/>
              </w:rPr>
            </w:pPr>
            <w:r w:rsidRPr="00822B9A">
              <w:rPr>
                <w:rFonts w:cstheme="minorHAnsi"/>
                <w:b/>
                <w:bCs/>
                <w:color w:val="000000"/>
                <w:sz w:val="22"/>
                <w:szCs w:val="22"/>
              </w:rPr>
              <w:t>Total Stations</w:t>
            </w:r>
          </w:p>
        </w:tc>
        <w:tc>
          <w:tcPr>
            <w:tcW w:w="645" w:type="pct"/>
            <w:tcBorders>
              <w:top w:val="single" w:sz="12" w:space="0" w:color="auto"/>
              <w:left w:val="nil"/>
              <w:bottom w:val="single" w:sz="8" w:space="0" w:color="auto"/>
              <w:right w:val="nil"/>
            </w:tcBorders>
            <w:shd w:val="clear" w:color="auto" w:fill="auto"/>
            <w:vAlign w:val="center"/>
            <w:hideMark/>
          </w:tcPr>
          <w:p w14:paraId="58E2F0FF" w14:textId="77777777" w:rsidR="00A11D2E" w:rsidRPr="00822B9A" w:rsidRDefault="00A11D2E">
            <w:pPr>
              <w:jc w:val="center"/>
              <w:rPr>
                <w:rFonts w:cstheme="minorHAnsi"/>
                <w:b/>
                <w:bCs/>
                <w:color w:val="000000"/>
                <w:sz w:val="22"/>
                <w:szCs w:val="22"/>
              </w:rPr>
            </w:pPr>
            <w:r w:rsidRPr="00822B9A">
              <w:rPr>
                <w:rFonts w:cstheme="minorHAnsi"/>
                <w:b/>
                <w:bCs/>
                <w:color w:val="000000"/>
                <w:sz w:val="22"/>
                <w:szCs w:val="22"/>
              </w:rPr>
              <w:t>Improving Trend (stations)</w:t>
            </w:r>
          </w:p>
        </w:tc>
        <w:tc>
          <w:tcPr>
            <w:tcW w:w="671" w:type="pct"/>
            <w:tcBorders>
              <w:top w:val="single" w:sz="12" w:space="0" w:color="auto"/>
              <w:left w:val="nil"/>
              <w:bottom w:val="single" w:sz="8" w:space="0" w:color="auto"/>
              <w:right w:val="nil"/>
            </w:tcBorders>
            <w:shd w:val="clear" w:color="auto" w:fill="auto"/>
            <w:vAlign w:val="center"/>
            <w:hideMark/>
          </w:tcPr>
          <w:p w14:paraId="15443A69" w14:textId="77777777" w:rsidR="00A11D2E" w:rsidRPr="00822B9A" w:rsidRDefault="00A11D2E">
            <w:pPr>
              <w:jc w:val="center"/>
              <w:rPr>
                <w:rFonts w:cstheme="minorHAnsi"/>
                <w:b/>
                <w:bCs/>
                <w:color w:val="000000"/>
                <w:sz w:val="22"/>
                <w:szCs w:val="22"/>
              </w:rPr>
            </w:pPr>
            <w:r w:rsidRPr="00822B9A">
              <w:rPr>
                <w:rFonts w:cstheme="minorHAnsi"/>
                <w:b/>
                <w:bCs/>
                <w:color w:val="000000"/>
                <w:sz w:val="22"/>
                <w:szCs w:val="22"/>
              </w:rPr>
              <w:t>Degrading Trend (stations)</w:t>
            </w:r>
          </w:p>
        </w:tc>
        <w:tc>
          <w:tcPr>
            <w:tcW w:w="702" w:type="pct"/>
            <w:tcBorders>
              <w:top w:val="single" w:sz="12" w:space="0" w:color="auto"/>
              <w:left w:val="nil"/>
              <w:bottom w:val="single" w:sz="8" w:space="0" w:color="auto"/>
              <w:right w:val="nil"/>
            </w:tcBorders>
            <w:shd w:val="clear" w:color="auto" w:fill="auto"/>
            <w:vAlign w:val="center"/>
            <w:hideMark/>
          </w:tcPr>
          <w:p w14:paraId="75818477" w14:textId="77777777" w:rsidR="00A11D2E" w:rsidRPr="00822B9A" w:rsidRDefault="00A11D2E">
            <w:pPr>
              <w:jc w:val="center"/>
              <w:rPr>
                <w:rFonts w:cstheme="minorHAnsi"/>
                <w:b/>
                <w:bCs/>
                <w:color w:val="000000"/>
                <w:sz w:val="22"/>
                <w:szCs w:val="22"/>
              </w:rPr>
            </w:pPr>
            <w:r w:rsidRPr="00822B9A">
              <w:rPr>
                <w:rFonts w:cstheme="minorHAnsi"/>
                <w:b/>
                <w:bCs/>
                <w:color w:val="000000"/>
                <w:sz w:val="22"/>
                <w:szCs w:val="22"/>
              </w:rPr>
              <w:t>No Trend (stations)</w:t>
            </w:r>
          </w:p>
        </w:tc>
        <w:tc>
          <w:tcPr>
            <w:tcW w:w="631" w:type="pct"/>
            <w:tcBorders>
              <w:top w:val="single" w:sz="12" w:space="0" w:color="auto"/>
              <w:left w:val="nil"/>
              <w:bottom w:val="single" w:sz="8" w:space="0" w:color="auto"/>
              <w:right w:val="nil"/>
            </w:tcBorders>
            <w:shd w:val="clear" w:color="auto" w:fill="auto"/>
            <w:vAlign w:val="center"/>
            <w:hideMark/>
          </w:tcPr>
          <w:p w14:paraId="04C3BD86" w14:textId="77777777" w:rsidR="00A11D2E" w:rsidRPr="00822B9A" w:rsidRDefault="00A11D2E">
            <w:pPr>
              <w:jc w:val="center"/>
              <w:rPr>
                <w:rFonts w:cstheme="minorHAnsi"/>
                <w:b/>
                <w:bCs/>
                <w:color w:val="000000"/>
                <w:sz w:val="22"/>
                <w:szCs w:val="22"/>
              </w:rPr>
            </w:pPr>
            <w:r w:rsidRPr="00822B9A">
              <w:rPr>
                <w:rFonts w:cstheme="minorHAnsi"/>
                <w:b/>
                <w:bCs/>
                <w:color w:val="000000"/>
                <w:sz w:val="22"/>
                <w:szCs w:val="22"/>
              </w:rPr>
              <w:t>Improving Trend (%)</w:t>
            </w:r>
          </w:p>
        </w:tc>
        <w:tc>
          <w:tcPr>
            <w:tcW w:w="615" w:type="pct"/>
            <w:tcBorders>
              <w:top w:val="single" w:sz="12" w:space="0" w:color="auto"/>
              <w:left w:val="nil"/>
              <w:bottom w:val="single" w:sz="8" w:space="0" w:color="auto"/>
              <w:right w:val="nil"/>
            </w:tcBorders>
            <w:shd w:val="clear" w:color="auto" w:fill="auto"/>
            <w:vAlign w:val="center"/>
            <w:hideMark/>
          </w:tcPr>
          <w:p w14:paraId="644A6D8F" w14:textId="77777777" w:rsidR="00A11D2E" w:rsidRPr="00822B9A" w:rsidRDefault="00A11D2E">
            <w:pPr>
              <w:jc w:val="center"/>
              <w:rPr>
                <w:rFonts w:cstheme="minorHAnsi"/>
                <w:b/>
                <w:bCs/>
                <w:color w:val="000000"/>
                <w:sz w:val="22"/>
                <w:szCs w:val="22"/>
              </w:rPr>
            </w:pPr>
            <w:r w:rsidRPr="00822B9A">
              <w:rPr>
                <w:rFonts w:cstheme="minorHAnsi"/>
                <w:b/>
                <w:bCs/>
                <w:color w:val="000000"/>
                <w:sz w:val="22"/>
                <w:szCs w:val="22"/>
              </w:rPr>
              <w:t>Degrading Trend (%)</w:t>
            </w:r>
          </w:p>
        </w:tc>
        <w:tc>
          <w:tcPr>
            <w:tcW w:w="401" w:type="pct"/>
            <w:tcBorders>
              <w:top w:val="single" w:sz="12" w:space="0" w:color="auto"/>
              <w:left w:val="nil"/>
              <w:bottom w:val="single" w:sz="8" w:space="0" w:color="auto"/>
              <w:right w:val="nil"/>
            </w:tcBorders>
            <w:shd w:val="clear" w:color="auto" w:fill="auto"/>
            <w:vAlign w:val="center"/>
            <w:hideMark/>
          </w:tcPr>
          <w:p w14:paraId="1659E36A" w14:textId="77777777" w:rsidR="00A11D2E" w:rsidRPr="00822B9A" w:rsidRDefault="00A11D2E">
            <w:pPr>
              <w:jc w:val="center"/>
              <w:rPr>
                <w:rFonts w:cstheme="minorHAnsi"/>
                <w:b/>
                <w:bCs/>
                <w:color w:val="000000"/>
                <w:sz w:val="22"/>
                <w:szCs w:val="22"/>
              </w:rPr>
            </w:pPr>
            <w:r w:rsidRPr="00822B9A">
              <w:rPr>
                <w:rFonts w:cstheme="minorHAnsi"/>
                <w:b/>
                <w:bCs/>
                <w:color w:val="000000"/>
                <w:sz w:val="22"/>
                <w:szCs w:val="22"/>
              </w:rPr>
              <w:t>No Trend (%)</w:t>
            </w:r>
          </w:p>
        </w:tc>
      </w:tr>
      <w:tr w:rsidR="00822B9A" w:rsidRPr="00822B9A" w14:paraId="0CED06EE" w14:textId="77777777" w:rsidTr="00960BB8">
        <w:trPr>
          <w:trHeight w:val="360"/>
        </w:trPr>
        <w:tc>
          <w:tcPr>
            <w:tcW w:w="822" w:type="pct"/>
            <w:tcBorders>
              <w:top w:val="nil"/>
              <w:left w:val="nil"/>
              <w:bottom w:val="nil"/>
              <w:right w:val="nil"/>
            </w:tcBorders>
            <w:shd w:val="clear" w:color="auto" w:fill="auto"/>
            <w:noWrap/>
            <w:vAlign w:val="center"/>
            <w:hideMark/>
          </w:tcPr>
          <w:p w14:paraId="79B1A7A5" w14:textId="60338899" w:rsidR="00A11D2E" w:rsidRPr="00822B9A" w:rsidRDefault="00A11D2E">
            <w:pPr>
              <w:widowControl/>
              <w:jc w:val="center"/>
              <w:rPr>
                <w:rFonts w:cstheme="minorHAnsi"/>
                <w:bCs/>
                <w:snapToGrid/>
                <w:sz w:val="22"/>
                <w:szCs w:val="22"/>
              </w:rPr>
            </w:pPr>
            <w:r w:rsidRPr="00822B9A">
              <w:rPr>
                <w:rFonts w:cstheme="minorHAnsi"/>
                <w:snapToGrid/>
                <w:sz w:val="22"/>
                <w:szCs w:val="22"/>
              </w:rPr>
              <w:t>Chesapeake</w:t>
            </w:r>
          </w:p>
        </w:tc>
        <w:tc>
          <w:tcPr>
            <w:tcW w:w="513" w:type="pct"/>
            <w:tcBorders>
              <w:top w:val="nil"/>
              <w:left w:val="nil"/>
              <w:bottom w:val="nil"/>
              <w:right w:val="nil"/>
            </w:tcBorders>
            <w:shd w:val="clear" w:color="auto" w:fill="auto"/>
            <w:noWrap/>
            <w:vAlign w:val="center"/>
            <w:hideMark/>
          </w:tcPr>
          <w:p w14:paraId="2F7966A5"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34</w:t>
            </w:r>
          </w:p>
        </w:tc>
        <w:tc>
          <w:tcPr>
            <w:tcW w:w="645" w:type="pct"/>
            <w:tcBorders>
              <w:top w:val="nil"/>
              <w:left w:val="nil"/>
              <w:bottom w:val="nil"/>
              <w:right w:val="nil"/>
            </w:tcBorders>
            <w:shd w:val="clear" w:color="auto" w:fill="auto"/>
            <w:noWrap/>
            <w:vAlign w:val="center"/>
            <w:hideMark/>
          </w:tcPr>
          <w:p w14:paraId="5F638B9A"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18</w:t>
            </w:r>
          </w:p>
        </w:tc>
        <w:tc>
          <w:tcPr>
            <w:tcW w:w="671" w:type="pct"/>
            <w:tcBorders>
              <w:top w:val="nil"/>
              <w:left w:val="nil"/>
              <w:bottom w:val="nil"/>
              <w:right w:val="nil"/>
            </w:tcBorders>
            <w:shd w:val="clear" w:color="auto" w:fill="auto"/>
            <w:noWrap/>
            <w:vAlign w:val="center"/>
            <w:hideMark/>
          </w:tcPr>
          <w:p w14:paraId="08EF6D9D"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644CCB4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15</w:t>
            </w:r>
          </w:p>
        </w:tc>
        <w:tc>
          <w:tcPr>
            <w:tcW w:w="631" w:type="pct"/>
            <w:tcBorders>
              <w:top w:val="nil"/>
              <w:left w:val="nil"/>
              <w:bottom w:val="nil"/>
              <w:right w:val="nil"/>
            </w:tcBorders>
            <w:shd w:val="clear" w:color="auto" w:fill="auto"/>
            <w:noWrap/>
            <w:vAlign w:val="center"/>
            <w:hideMark/>
          </w:tcPr>
          <w:p w14:paraId="711EE87C"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53</w:t>
            </w:r>
          </w:p>
        </w:tc>
        <w:tc>
          <w:tcPr>
            <w:tcW w:w="615" w:type="pct"/>
            <w:tcBorders>
              <w:top w:val="nil"/>
              <w:left w:val="nil"/>
              <w:bottom w:val="nil"/>
              <w:right w:val="nil"/>
            </w:tcBorders>
            <w:shd w:val="clear" w:color="auto" w:fill="auto"/>
            <w:noWrap/>
            <w:vAlign w:val="center"/>
            <w:hideMark/>
          </w:tcPr>
          <w:p w14:paraId="49C9D5C2"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3</w:t>
            </w:r>
          </w:p>
        </w:tc>
        <w:tc>
          <w:tcPr>
            <w:tcW w:w="401" w:type="pct"/>
            <w:tcBorders>
              <w:top w:val="nil"/>
              <w:left w:val="nil"/>
              <w:bottom w:val="nil"/>
              <w:right w:val="nil"/>
            </w:tcBorders>
            <w:shd w:val="clear" w:color="auto" w:fill="auto"/>
            <w:noWrap/>
            <w:vAlign w:val="center"/>
            <w:hideMark/>
          </w:tcPr>
          <w:p w14:paraId="5F1A3EEE"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44</w:t>
            </w:r>
          </w:p>
        </w:tc>
      </w:tr>
      <w:tr w:rsidR="00822B9A" w:rsidRPr="00822B9A" w14:paraId="3E6622E1" w14:textId="77777777" w:rsidTr="00960BB8">
        <w:trPr>
          <w:trHeight w:val="360"/>
        </w:trPr>
        <w:tc>
          <w:tcPr>
            <w:tcW w:w="822" w:type="pct"/>
            <w:tcBorders>
              <w:top w:val="nil"/>
              <w:left w:val="nil"/>
              <w:bottom w:val="nil"/>
              <w:right w:val="nil"/>
            </w:tcBorders>
            <w:shd w:val="clear" w:color="auto" w:fill="auto"/>
            <w:noWrap/>
            <w:vAlign w:val="center"/>
            <w:hideMark/>
          </w:tcPr>
          <w:p w14:paraId="7C2FA376"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Chowan</w:t>
            </w:r>
          </w:p>
        </w:tc>
        <w:tc>
          <w:tcPr>
            <w:tcW w:w="513" w:type="pct"/>
            <w:tcBorders>
              <w:top w:val="nil"/>
              <w:left w:val="nil"/>
              <w:bottom w:val="nil"/>
              <w:right w:val="nil"/>
            </w:tcBorders>
            <w:shd w:val="clear" w:color="auto" w:fill="auto"/>
            <w:noWrap/>
            <w:vAlign w:val="center"/>
            <w:hideMark/>
          </w:tcPr>
          <w:p w14:paraId="4A9EDF40"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52</w:t>
            </w:r>
          </w:p>
        </w:tc>
        <w:tc>
          <w:tcPr>
            <w:tcW w:w="645" w:type="pct"/>
            <w:tcBorders>
              <w:top w:val="nil"/>
              <w:left w:val="nil"/>
              <w:bottom w:val="nil"/>
              <w:right w:val="nil"/>
            </w:tcBorders>
            <w:shd w:val="clear" w:color="auto" w:fill="auto"/>
            <w:noWrap/>
            <w:vAlign w:val="center"/>
            <w:hideMark/>
          </w:tcPr>
          <w:p w14:paraId="4BE77DFB"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14</w:t>
            </w:r>
          </w:p>
        </w:tc>
        <w:tc>
          <w:tcPr>
            <w:tcW w:w="671" w:type="pct"/>
            <w:tcBorders>
              <w:top w:val="nil"/>
              <w:left w:val="nil"/>
              <w:bottom w:val="nil"/>
              <w:right w:val="nil"/>
            </w:tcBorders>
            <w:shd w:val="clear" w:color="auto" w:fill="auto"/>
            <w:noWrap/>
            <w:vAlign w:val="center"/>
            <w:hideMark/>
          </w:tcPr>
          <w:p w14:paraId="0AD8D6F6"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3BBB4780"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37</w:t>
            </w:r>
          </w:p>
        </w:tc>
        <w:tc>
          <w:tcPr>
            <w:tcW w:w="631" w:type="pct"/>
            <w:tcBorders>
              <w:top w:val="nil"/>
              <w:left w:val="nil"/>
              <w:bottom w:val="nil"/>
              <w:right w:val="nil"/>
            </w:tcBorders>
            <w:shd w:val="clear" w:color="auto" w:fill="auto"/>
            <w:noWrap/>
            <w:vAlign w:val="center"/>
            <w:hideMark/>
          </w:tcPr>
          <w:p w14:paraId="1AB2D2D1"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27</w:t>
            </w:r>
          </w:p>
        </w:tc>
        <w:tc>
          <w:tcPr>
            <w:tcW w:w="615" w:type="pct"/>
            <w:tcBorders>
              <w:top w:val="nil"/>
              <w:left w:val="nil"/>
              <w:bottom w:val="nil"/>
              <w:right w:val="nil"/>
            </w:tcBorders>
            <w:shd w:val="clear" w:color="auto" w:fill="auto"/>
            <w:noWrap/>
            <w:vAlign w:val="center"/>
            <w:hideMark/>
          </w:tcPr>
          <w:p w14:paraId="594E632E"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2</w:t>
            </w:r>
          </w:p>
        </w:tc>
        <w:tc>
          <w:tcPr>
            <w:tcW w:w="401" w:type="pct"/>
            <w:tcBorders>
              <w:top w:val="nil"/>
              <w:left w:val="nil"/>
              <w:bottom w:val="nil"/>
              <w:right w:val="nil"/>
            </w:tcBorders>
            <w:shd w:val="clear" w:color="auto" w:fill="auto"/>
            <w:noWrap/>
            <w:vAlign w:val="center"/>
            <w:hideMark/>
          </w:tcPr>
          <w:p w14:paraId="2F3FD1F3"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71</w:t>
            </w:r>
          </w:p>
        </w:tc>
      </w:tr>
      <w:tr w:rsidR="00822B9A" w:rsidRPr="00822B9A" w14:paraId="51EB1E26" w14:textId="77777777" w:rsidTr="00960BB8">
        <w:trPr>
          <w:trHeight w:val="360"/>
        </w:trPr>
        <w:tc>
          <w:tcPr>
            <w:tcW w:w="822" w:type="pct"/>
            <w:tcBorders>
              <w:top w:val="nil"/>
              <w:left w:val="nil"/>
              <w:bottom w:val="nil"/>
              <w:right w:val="nil"/>
            </w:tcBorders>
            <w:shd w:val="clear" w:color="auto" w:fill="auto"/>
            <w:noWrap/>
            <w:vAlign w:val="center"/>
            <w:hideMark/>
          </w:tcPr>
          <w:p w14:paraId="6F54F62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James</w:t>
            </w:r>
          </w:p>
        </w:tc>
        <w:tc>
          <w:tcPr>
            <w:tcW w:w="513" w:type="pct"/>
            <w:tcBorders>
              <w:top w:val="nil"/>
              <w:left w:val="nil"/>
              <w:bottom w:val="nil"/>
              <w:right w:val="nil"/>
            </w:tcBorders>
            <w:shd w:val="clear" w:color="auto" w:fill="auto"/>
            <w:noWrap/>
            <w:vAlign w:val="center"/>
            <w:hideMark/>
          </w:tcPr>
          <w:p w14:paraId="2973AC3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89</w:t>
            </w:r>
          </w:p>
        </w:tc>
        <w:tc>
          <w:tcPr>
            <w:tcW w:w="645" w:type="pct"/>
            <w:tcBorders>
              <w:top w:val="nil"/>
              <w:left w:val="nil"/>
              <w:bottom w:val="nil"/>
              <w:right w:val="nil"/>
            </w:tcBorders>
            <w:shd w:val="clear" w:color="auto" w:fill="auto"/>
            <w:noWrap/>
            <w:vAlign w:val="center"/>
            <w:hideMark/>
          </w:tcPr>
          <w:p w14:paraId="55A21ABC"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49</w:t>
            </w:r>
          </w:p>
        </w:tc>
        <w:tc>
          <w:tcPr>
            <w:tcW w:w="671" w:type="pct"/>
            <w:tcBorders>
              <w:top w:val="nil"/>
              <w:left w:val="nil"/>
              <w:bottom w:val="nil"/>
              <w:right w:val="nil"/>
            </w:tcBorders>
            <w:shd w:val="clear" w:color="auto" w:fill="auto"/>
            <w:noWrap/>
            <w:vAlign w:val="center"/>
            <w:hideMark/>
          </w:tcPr>
          <w:p w14:paraId="46E881F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60CE3771"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39</w:t>
            </w:r>
          </w:p>
        </w:tc>
        <w:tc>
          <w:tcPr>
            <w:tcW w:w="631" w:type="pct"/>
            <w:tcBorders>
              <w:top w:val="nil"/>
              <w:left w:val="nil"/>
              <w:bottom w:val="nil"/>
              <w:right w:val="nil"/>
            </w:tcBorders>
            <w:shd w:val="clear" w:color="auto" w:fill="auto"/>
            <w:noWrap/>
            <w:vAlign w:val="center"/>
            <w:hideMark/>
          </w:tcPr>
          <w:p w14:paraId="6231E708"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55</w:t>
            </w:r>
          </w:p>
        </w:tc>
        <w:tc>
          <w:tcPr>
            <w:tcW w:w="615" w:type="pct"/>
            <w:tcBorders>
              <w:top w:val="nil"/>
              <w:left w:val="nil"/>
              <w:bottom w:val="nil"/>
              <w:right w:val="nil"/>
            </w:tcBorders>
            <w:shd w:val="clear" w:color="auto" w:fill="auto"/>
            <w:noWrap/>
            <w:vAlign w:val="center"/>
            <w:hideMark/>
          </w:tcPr>
          <w:p w14:paraId="2F78F6D9"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w:t>
            </w:r>
          </w:p>
        </w:tc>
        <w:tc>
          <w:tcPr>
            <w:tcW w:w="401" w:type="pct"/>
            <w:tcBorders>
              <w:top w:val="nil"/>
              <w:left w:val="nil"/>
              <w:bottom w:val="nil"/>
              <w:right w:val="nil"/>
            </w:tcBorders>
            <w:shd w:val="clear" w:color="auto" w:fill="auto"/>
            <w:noWrap/>
            <w:vAlign w:val="center"/>
            <w:hideMark/>
          </w:tcPr>
          <w:p w14:paraId="4EA2AD9C"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44</w:t>
            </w:r>
          </w:p>
        </w:tc>
      </w:tr>
      <w:tr w:rsidR="00822B9A" w:rsidRPr="00822B9A" w14:paraId="5A1594F7" w14:textId="77777777" w:rsidTr="00960BB8">
        <w:trPr>
          <w:trHeight w:val="360"/>
        </w:trPr>
        <w:tc>
          <w:tcPr>
            <w:tcW w:w="822" w:type="pct"/>
            <w:tcBorders>
              <w:top w:val="nil"/>
              <w:left w:val="nil"/>
              <w:bottom w:val="nil"/>
              <w:right w:val="nil"/>
            </w:tcBorders>
            <w:shd w:val="clear" w:color="auto" w:fill="auto"/>
            <w:noWrap/>
            <w:vAlign w:val="center"/>
            <w:hideMark/>
          </w:tcPr>
          <w:p w14:paraId="43F087E6"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New</w:t>
            </w:r>
          </w:p>
        </w:tc>
        <w:tc>
          <w:tcPr>
            <w:tcW w:w="513" w:type="pct"/>
            <w:tcBorders>
              <w:top w:val="nil"/>
              <w:left w:val="nil"/>
              <w:bottom w:val="nil"/>
              <w:right w:val="nil"/>
            </w:tcBorders>
            <w:shd w:val="clear" w:color="auto" w:fill="auto"/>
            <w:noWrap/>
            <w:vAlign w:val="center"/>
            <w:hideMark/>
          </w:tcPr>
          <w:p w14:paraId="7D9A5233"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12</w:t>
            </w:r>
          </w:p>
        </w:tc>
        <w:tc>
          <w:tcPr>
            <w:tcW w:w="645" w:type="pct"/>
            <w:tcBorders>
              <w:top w:val="nil"/>
              <w:left w:val="nil"/>
              <w:bottom w:val="nil"/>
              <w:right w:val="nil"/>
            </w:tcBorders>
            <w:shd w:val="clear" w:color="auto" w:fill="auto"/>
            <w:noWrap/>
            <w:vAlign w:val="center"/>
            <w:hideMark/>
          </w:tcPr>
          <w:p w14:paraId="245071F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2</w:t>
            </w:r>
          </w:p>
        </w:tc>
        <w:tc>
          <w:tcPr>
            <w:tcW w:w="671" w:type="pct"/>
            <w:tcBorders>
              <w:top w:val="nil"/>
              <w:left w:val="nil"/>
              <w:bottom w:val="nil"/>
              <w:right w:val="nil"/>
            </w:tcBorders>
            <w:shd w:val="clear" w:color="auto" w:fill="auto"/>
            <w:noWrap/>
            <w:vAlign w:val="center"/>
            <w:hideMark/>
          </w:tcPr>
          <w:p w14:paraId="3D306832"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w:t>
            </w:r>
          </w:p>
        </w:tc>
        <w:tc>
          <w:tcPr>
            <w:tcW w:w="702" w:type="pct"/>
            <w:tcBorders>
              <w:top w:val="nil"/>
              <w:left w:val="nil"/>
              <w:bottom w:val="nil"/>
              <w:right w:val="nil"/>
            </w:tcBorders>
            <w:shd w:val="clear" w:color="auto" w:fill="auto"/>
            <w:noWrap/>
            <w:vAlign w:val="center"/>
            <w:hideMark/>
          </w:tcPr>
          <w:p w14:paraId="051A15BE"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9</w:t>
            </w:r>
          </w:p>
        </w:tc>
        <w:tc>
          <w:tcPr>
            <w:tcW w:w="631" w:type="pct"/>
            <w:tcBorders>
              <w:top w:val="nil"/>
              <w:left w:val="nil"/>
              <w:bottom w:val="nil"/>
              <w:right w:val="nil"/>
            </w:tcBorders>
            <w:shd w:val="clear" w:color="auto" w:fill="auto"/>
            <w:noWrap/>
            <w:vAlign w:val="center"/>
            <w:hideMark/>
          </w:tcPr>
          <w:p w14:paraId="54C0C9C0"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17</w:t>
            </w:r>
          </w:p>
        </w:tc>
        <w:tc>
          <w:tcPr>
            <w:tcW w:w="615" w:type="pct"/>
            <w:tcBorders>
              <w:top w:val="nil"/>
              <w:left w:val="nil"/>
              <w:bottom w:val="nil"/>
              <w:right w:val="nil"/>
            </w:tcBorders>
            <w:shd w:val="clear" w:color="auto" w:fill="auto"/>
            <w:noWrap/>
            <w:vAlign w:val="center"/>
            <w:hideMark/>
          </w:tcPr>
          <w:p w14:paraId="0308BFA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8</w:t>
            </w:r>
          </w:p>
        </w:tc>
        <w:tc>
          <w:tcPr>
            <w:tcW w:w="401" w:type="pct"/>
            <w:tcBorders>
              <w:top w:val="nil"/>
              <w:left w:val="nil"/>
              <w:bottom w:val="nil"/>
              <w:right w:val="nil"/>
            </w:tcBorders>
            <w:shd w:val="clear" w:color="auto" w:fill="auto"/>
            <w:noWrap/>
            <w:vAlign w:val="center"/>
            <w:hideMark/>
          </w:tcPr>
          <w:p w14:paraId="01ACB7D8"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75</w:t>
            </w:r>
          </w:p>
        </w:tc>
      </w:tr>
      <w:tr w:rsidR="00822B9A" w:rsidRPr="00822B9A" w14:paraId="48E722EE" w14:textId="77777777" w:rsidTr="00960BB8">
        <w:trPr>
          <w:trHeight w:val="360"/>
        </w:trPr>
        <w:tc>
          <w:tcPr>
            <w:tcW w:w="822" w:type="pct"/>
            <w:tcBorders>
              <w:top w:val="nil"/>
              <w:left w:val="nil"/>
              <w:bottom w:val="nil"/>
              <w:right w:val="nil"/>
            </w:tcBorders>
            <w:shd w:val="clear" w:color="auto" w:fill="auto"/>
            <w:noWrap/>
            <w:vAlign w:val="center"/>
            <w:hideMark/>
          </w:tcPr>
          <w:p w14:paraId="09009AC0"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Potomac</w:t>
            </w:r>
          </w:p>
        </w:tc>
        <w:tc>
          <w:tcPr>
            <w:tcW w:w="513" w:type="pct"/>
            <w:tcBorders>
              <w:top w:val="nil"/>
              <w:left w:val="nil"/>
              <w:bottom w:val="nil"/>
              <w:right w:val="nil"/>
            </w:tcBorders>
            <w:shd w:val="clear" w:color="auto" w:fill="auto"/>
            <w:noWrap/>
            <w:vAlign w:val="center"/>
            <w:hideMark/>
          </w:tcPr>
          <w:p w14:paraId="773D6D78"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45</w:t>
            </w:r>
          </w:p>
        </w:tc>
        <w:tc>
          <w:tcPr>
            <w:tcW w:w="645" w:type="pct"/>
            <w:tcBorders>
              <w:top w:val="nil"/>
              <w:left w:val="nil"/>
              <w:bottom w:val="nil"/>
              <w:right w:val="nil"/>
            </w:tcBorders>
            <w:shd w:val="clear" w:color="auto" w:fill="auto"/>
            <w:noWrap/>
            <w:vAlign w:val="center"/>
            <w:hideMark/>
          </w:tcPr>
          <w:p w14:paraId="0A9D9DDE"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17</w:t>
            </w:r>
          </w:p>
        </w:tc>
        <w:tc>
          <w:tcPr>
            <w:tcW w:w="671" w:type="pct"/>
            <w:tcBorders>
              <w:top w:val="nil"/>
              <w:left w:val="nil"/>
              <w:bottom w:val="nil"/>
              <w:right w:val="nil"/>
            </w:tcBorders>
            <w:shd w:val="clear" w:color="auto" w:fill="auto"/>
            <w:noWrap/>
            <w:vAlign w:val="center"/>
            <w:hideMark/>
          </w:tcPr>
          <w:p w14:paraId="5BBDF822"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21E509D1"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28</w:t>
            </w:r>
          </w:p>
        </w:tc>
        <w:tc>
          <w:tcPr>
            <w:tcW w:w="631" w:type="pct"/>
            <w:tcBorders>
              <w:top w:val="nil"/>
              <w:left w:val="nil"/>
              <w:bottom w:val="nil"/>
              <w:right w:val="nil"/>
            </w:tcBorders>
            <w:shd w:val="clear" w:color="auto" w:fill="auto"/>
            <w:noWrap/>
            <w:vAlign w:val="center"/>
            <w:hideMark/>
          </w:tcPr>
          <w:p w14:paraId="6AB66C1E"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38</w:t>
            </w:r>
          </w:p>
        </w:tc>
        <w:tc>
          <w:tcPr>
            <w:tcW w:w="615" w:type="pct"/>
            <w:tcBorders>
              <w:top w:val="nil"/>
              <w:left w:val="nil"/>
              <w:bottom w:val="nil"/>
              <w:right w:val="nil"/>
            </w:tcBorders>
            <w:shd w:val="clear" w:color="auto" w:fill="auto"/>
            <w:noWrap/>
            <w:vAlign w:val="center"/>
            <w:hideMark/>
          </w:tcPr>
          <w:p w14:paraId="735EA8E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1182258C"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62</w:t>
            </w:r>
          </w:p>
        </w:tc>
      </w:tr>
      <w:tr w:rsidR="00822B9A" w:rsidRPr="00822B9A" w14:paraId="39FC087D" w14:textId="77777777" w:rsidTr="00960BB8">
        <w:trPr>
          <w:trHeight w:val="360"/>
        </w:trPr>
        <w:tc>
          <w:tcPr>
            <w:tcW w:w="822" w:type="pct"/>
            <w:tcBorders>
              <w:top w:val="nil"/>
              <w:left w:val="nil"/>
              <w:bottom w:val="nil"/>
              <w:right w:val="nil"/>
            </w:tcBorders>
            <w:shd w:val="clear" w:color="auto" w:fill="auto"/>
            <w:noWrap/>
            <w:vAlign w:val="center"/>
            <w:hideMark/>
          </w:tcPr>
          <w:p w14:paraId="6633F1B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Rappahannock</w:t>
            </w:r>
          </w:p>
        </w:tc>
        <w:tc>
          <w:tcPr>
            <w:tcW w:w="513" w:type="pct"/>
            <w:tcBorders>
              <w:top w:val="nil"/>
              <w:left w:val="nil"/>
              <w:bottom w:val="nil"/>
              <w:right w:val="nil"/>
            </w:tcBorders>
            <w:shd w:val="clear" w:color="auto" w:fill="auto"/>
            <w:noWrap/>
            <w:vAlign w:val="center"/>
            <w:hideMark/>
          </w:tcPr>
          <w:p w14:paraId="71CC8025"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39</w:t>
            </w:r>
          </w:p>
        </w:tc>
        <w:tc>
          <w:tcPr>
            <w:tcW w:w="645" w:type="pct"/>
            <w:tcBorders>
              <w:top w:val="nil"/>
              <w:left w:val="nil"/>
              <w:bottom w:val="nil"/>
              <w:right w:val="nil"/>
            </w:tcBorders>
            <w:shd w:val="clear" w:color="auto" w:fill="auto"/>
            <w:noWrap/>
            <w:vAlign w:val="center"/>
            <w:hideMark/>
          </w:tcPr>
          <w:p w14:paraId="4D5D1203"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19</w:t>
            </w:r>
          </w:p>
        </w:tc>
        <w:tc>
          <w:tcPr>
            <w:tcW w:w="671" w:type="pct"/>
            <w:tcBorders>
              <w:top w:val="nil"/>
              <w:left w:val="nil"/>
              <w:bottom w:val="nil"/>
              <w:right w:val="nil"/>
            </w:tcBorders>
            <w:shd w:val="clear" w:color="auto" w:fill="auto"/>
            <w:noWrap/>
            <w:vAlign w:val="center"/>
            <w:hideMark/>
          </w:tcPr>
          <w:p w14:paraId="0688DFA0"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4BF7AB21"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20</w:t>
            </w:r>
          </w:p>
        </w:tc>
        <w:tc>
          <w:tcPr>
            <w:tcW w:w="631" w:type="pct"/>
            <w:tcBorders>
              <w:top w:val="nil"/>
              <w:left w:val="nil"/>
              <w:bottom w:val="nil"/>
              <w:right w:val="nil"/>
            </w:tcBorders>
            <w:shd w:val="clear" w:color="auto" w:fill="auto"/>
            <w:noWrap/>
            <w:vAlign w:val="center"/>
            <w:hideMark/>
          </w:tcPr>
          <w:p w14:paraId="776CFF0E"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49</w:t>
            </w:r>
          </w:p>
        </w:tc>
        <w:tc>
          <w:tcPr>
            <w:tcW w:w="615" w:type="pct"/>
            <w:tcBorders>
              <w:top w:val="nil"/>
              <w:left w:val="nil"/>
              <w:bottom w:val="nil"/>
              <w:right w:val="nil"/>
            </w:tcBorders>
            <w:shd w:val="clear" w:color="auto" w:fill="auto"/>
            <w:noWrap/>
            <w:vAlign w:val="center"/>
            <w:hideMark/>
          </w:tcPr>
          <w:p w14:paraId="2B81B5C5"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2A271FCF"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51</w:t>
            </w:r>
          </w:p>
        </w:tc>
      </w:tr>
      <w:tr w:rsidR="00822B9A" w:rsidRPr="00822B9A" w14:paraId="26978572" w14:textId="77777777" w:rsidTr="00960BB8">
        <w:trPr>
          <w:trHeight w:val="360"/>
        </w:trPr>
        <w:tc>
          <w:tcPr>
            <w:tcW w:w="822" w:type="pct"/>
            <w:tcBorders>
              <w:top w:val="nil"/>
              <w:left w:val="nil"/>
              <w:bottom w:val="nil"/>
              <w:right w:val="nil"/>
            </w:tcBorders>
            <w:shd w:val="clear" w:color="auto" w:fill="auto"/>
            <w:noWrap/>
            <w:vAlign w:val="center"/>
            <w:hideMark/>
          </w:tcPr>
          <w:p w14:paraId="14DE7768"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Roanoke</w:t>
            </w:r>
          </w:p>
        </w:tc>
        <w:tc>
          <w:tcPr>
            <w:tcW w:w="513" w:type="pct"/>
            <w:tcBorders>
              <w:top w:val="nil"/>
              <w:left w:val="nil"/>
              <w:bottom w:val="nil"/>
              <w:right w:val="nil"/>
            </w:tcBorders>
            <w:shd w:val="clear" w:color="auto" w:fill="auto"/>
            <w:noWrap/>
            <w:vAlign w:val="center"/>
            <w:hideMark/>
          </w:tcPr>
          <w:p w14:paraId="35979C03"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46</w:t>
            </w:r>
          </w:p>
        </w:tc>
        <w:tc>
          <w:tcPr>
            <w:tcW w:w="645" w:type="pct"/>
            <w:tcBorders>
              <w:top w:val="nil"/>
              <w:left w:val="nil"/>
              <w:bottom w:val="nil"/>
              <w:right w:val="nil"/>
            </w:tcBorders>
            <w:shd w:val="clear" w:color="auto" w:fill="auto"/>
            <w:noWrap/>
            <w:vAlign w:val="center"/>
            <w:hideMark/>
          </w:tcPr>
          <w:p w14:paraId="1448E0A8"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9</w:t>
            </w:r>
          </w:p>
        </w:tc>
        <w:tc>
          <w:tcPr>
            <w:tcW w:w="671" w:type="pct"/>
            <w:tcBorders>
              <w:top w:val="nil"/>
              <w:left w:val="nil"/>
              <w:bottom w:val="nil"/>
              <w:right w:val="nil"/>
            </w:tcBorders>
            <w:shd w:val="clear" w:color="auto" w:fill="auto"/>
            <w:noWrap/>
            <w:vAlign w:val="center"/>
            <w:hideMark/>
          </w:tcPr>
          <w:p w14:paraId="4ADF3E09"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715BB12A"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37</w:t>
            </w:r>
          </w:p>
        </w:tc>
        <w:tc>
          <w:tcPr>
            <w:tcW w:w="631" w:type="pct"/>
            <w:tcBorders>
              <w:top w:val="nil"/>
              <w:left w:val="nil"/>
              <w:bottom w:val="nil"/>
              <w:right w:val="nil"/>
            </w:tcBorders>
            <w:shd w:val="clear" w:color="auto" w:fill="auto"/>
            <w:noWrap/>
            <w:vAlign w:val="center"/>
            <w:hideMark/>
          </w:tcPr>
          <w:p w14:paraId="65A8868D"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20</w:t>
            </w:r>
          </w:p>
        </w:tc>
        <w:tc>
          <w:tcPr>
            <w:tcW w:w="615" w:type="pct"/>
            <w:tcBorders>
              <w:top w:val="nil"/>
              <w:left w:val="nil"/>
              <w:bottom w:val="nil"/>
              <w:right w:val="nil"/>
            </w:tcBorders>
            <w:shd w:val="clear" w:color="auto" w:fill="auto"/>
            <w:noWrap/>
            <w:vAlign w:val="center"/>
            <w:hideMark/>
          </w:tcPr>
          <w:p w14:paraId="0D3EB77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3A1083A8"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80</w:t>
            </w:r>
          </w:p>
        </w:tc>
      </w:tr>
      <w:tr w:rsidR="00822B9A" w:rsidRPr="00822B9A" w14:paraId="38D16F94" w14:textId="77777777" w:rsidTr="00960BB8">
        <w:trPr>
          <w:trHeight w:val="360"/>
        </w:trPr>
        <w:tc>
          <w:tcPr>
            <w:tcW w:w="822" w:type="pct"/>
            <w:tcBorders>
              <w:top w:val="nil"/>
              <w:left w:val="nil"/>
              <w:bottom w:val="nil"/>
              <w:right w:val="nil"/>
            </w:tcBorders>
            <w:shd w:val="clear" w:color="auto" w:fill="auto"/>
            <w:noWrap/>
            <w:vAlign w:val="center"/>
            <w:hideMark/>
          </w:tcPr>
          <w:p w14:paraId="1DE72FD9"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Shenandoah</w:t>
            </w:r>
          </w:p>
        </w:tc>
        <w:tc>
          <w:tcPr>
            <w:tcW w:w="513" w:type="pct"/>
            <w:tcBorders>
              <w:top w:val="nil"/>
              <w:left w:val="nil"/>
              <w:bottom w:val="nil"/>
              <w:right w:val="nil"/>
            </w:tcBorders>
            <w:shd w:val="clear" w:color="auto" w:fill="auto"/>
            <w:noWrap/>
            <w:vAlign w:val="center"/>
            <w:hideMark/>
          </w:tcPr>
          <w:p w14:paraId="49234B9B"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16</w:t>
            </w:r>
          </w:p>
        </w:tc>
        <w:tc>
          <w:tcPr>
            <w:tcW w:w="645" w:type="pct"/>
            <w:tcBorders>
              <w:top w:val="nil"/>
              <w:left w:val="nil"/>
              <w:bottom w:val="nil"/>
              <w:right w:val="nil"/>
            </w:tcBorders>
            <w:shd w:val="clear" w:color="auto" w:fill="auto"/>
            <w:noWrap/>
            <w:vAlign w:val="center"/>
            <w:hideMark/>
          </w:tcPr>
          <w:p w14:paraId="6A1866DA"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7</w:t>
            </w:r>
          </w:p>
        </w:tc>
        <w:tc>
          <w:tcPr>
            <w:tcW w:w="671" w:type="pct"/>
            <w:tcBorders>
              <w:top w:val="nil"/>
              <w:left w:val="nil"/>
              <w:bottom w:val="nil"/>
              <w:right w:val="nil"/>
            </w:tcBorders>
            <w:shd w:val="clear" w:color="auto" w:fill="auto"/>
            <w:noWrap/>
            <w:vAlign w:val="center"/>
            <w:hideMark/>
          </w:tcPr>
          <w:p w14:paraId="452EA877"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0</w:t>
            </w:r>
          </w:p>
        </w:tc>
        <w:tc>
          <w:tcPr>
            <w:tcW w:w="702" w:type="pct"/>
            <w:tcBorders>
              <w:top w:val="nil"/>
              <w:left w:val="nil"/>
              <w:bottom w:val="nil"/>
              <w:right w:val="nil"/>
            </w:tcBorders>
            <w:shd w:val="clear" w:color="auto" w:fill="auto"/>
            <w:noWrap/>
            <w:vAlign w:val="center"/>
            <w:hideMark/>
          </w:tcPr>
          <w:p w14:paraId="2A01ACF5"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9</w:t>
            </w:r>
          </w:p>
        </w:tc>
        <w:tc>
          <w:tcPr>
            <w:tcW w:w="631" w:type="pct"/>
            <w:tcBorders>
              <w:top w:val="nil"/>
              <w:left w:val="nil"/>
              <w:bottom w:val="nil"/>
              <w:right w:val="nil"/>
            </w:tcBorders>
            <w:shd w:val="clear" w:color="auto" w:fill="auto"/>
            <w:noWrap/>
            <w:vAlign w:val="center"/>
            <w:hideMark/>
          </w:tcPr>
          <w:p w14:paraId="1D54F0AC"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44</w:t>
            </w:r>
          </w:p>
        </w:tc>
        <w:tc>
          <w:tcPr>
            <w:tcW w:w="615" w:type="pct"/>
            <w:tcBorders>
              <w:top w:val="nil"/>
              <w:left w:val="nil"/>
              <w:bottom w:val="nil"/>
              <w:right w:val="nil"/>
            </w:tcBorders>
            <w:shd w:val="clear" w:color="auto" w:fill="auto"/>
            <w:noWrap/>
            <w:vAlign w:val="center"/>
            <w:hideMark/>
          </w:tcPr>
          <w:p w14:paraId="5EA1BCC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0</w:t>
            </w:r>
          </w:p>
        </w:tc>
        <w:tc>
          <w:tcPr>
            <w:tcW w:w="401" w:type="pct"/>
            <w:tcBorders>
              <w:top w:val="nil"/>
              <w:left w:val="nil"/>
              <w:bottom w:val="nil"/>
              <w:right w:val="nil"/>
            </w:tcBorders>
            <w:shd w:val="clear" w:color="auto" w:fill="auto"/>
            <w:noWrap/>
            <w:vAlign w:val="center"/>
            <w:hideMark/>
          </w:tcPr>
          <w:p w14:paraId="7DD39393"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56</w:t>
            </w:r>
          </w:p>
        </w:tc>
      </w:tr>
      <w:tr w:rsidR="00822B9A" w:rsidRPr="00822B9A" w14:paraId="2CAC9453" w14:textId="77777777" w:rsidTr="00960BB8">
        <w:trPr>
          <w:trHeight w:val="360"/>
        </w:trPr>
        <w:tc>
          <w:tcPr>
            <w:tcW w:w="822" w:type="pct"/>
            <w:tcBorders>
              <w:top w:val="nil"/>
              <w:left w:val="nil"/>
              <w:right w:val="nil"/>
            </w:tcBorders>
            <w:shd w:val="clear" w:color="auto" w:fill="auto"/>
            <w:noWrap/>
            <w:vAlign w:val="center"/>
            <w:hideMark/>
          </w:tcPr>
          <w:p w14:paraId="55B2604C"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Tennessee</w:t>
            </w:r>
          </w:p>
        </w:tc>
        <w:tc>
          <w:tcPr>
            <w:tcW w:w="513" w:type="pct"/>
            <w:tcBorders>
              <w:top w:val="nil"/>
              <w:left w:val="nil"/>
              <w:right w:val="nil"/>
            </w:tcBorders>
            <w:shd w:val="clear" w:color="auto" w:fill="auto"/>
            <w:noWrap/>
            <w:vAlign w:val="center"/>
            <w:hideMark/>
          </w:tcPr>
          <w:p w14:paraId="37253427"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20</w:t>
            </w:r>
          </w:p>
        </w:tc>
        <w:tc>
          <w:tcPr>
            <w:tcW w:w="645" w:type="pct"/>
            <w:tcBorders>
              <w:top w:val="nil"/>
              <w:left w:val="nil"/>
              <w:right w:val="nil"/>
            </w:tcBorders>
            <w:shd w:val="clear" w:color="auto" w:fill="auto"/>
            <w:noWrap/>
            <w:vAlign w:val="center"/>
            <w:hideMark/>
          </w:tcPr>
          <w:p w14:paraId="294E8F4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4</w:t>
            </w:r>
          </w:p>
        </w:tc>
        <w:tc>
          <w:tcPr>
            <w:tcW w:w="671" w:type="pct"/>
            <w:tcBorders>
              <w:top w:val="nil"/>
              <w:left w:val="nil"/>
              <w:right w:val="nil"/>
            </w:tcBorders>
            <w:shd w:val="clear" w:color="auto" w:fill="auto"/>
            <w:noWrap/>
            <w:vAlign w:val="center"/>
            <w:hideMark/>
          </w:tcPr>
          <w:p w14:paraId="45DAE80A"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0</w:t>
            </w:r>
          </w:p>
        </w:tc>
        <w:tc>
          <w:tcPr>
            <w:tcW w:w="702" w:type="pct"/>
            <w:tcBorders>
              <w:top w:val="nil"/>
              <w:left w:val="nil"/>
              <w:right w:val="nil"/>
            </w:tcBorders>
            <w:shd w:val="clear" w:color="auto" w:fill="auto"/>
            <w:noWrap/>
            <w:vAlign w:val="center"/>
            <w:hideMark/>
          </w:tcPr>
          <w:p w14:paraId="7A049448"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16</w:t>
            </w:r>
          </w:p>
        </w:tc>
        <w:tc>
          <w:tcPr>
            <w:tcW w:w="631" w:type="pct"/>
            <w:tcBorders>
              <w:top w:val="nil"/>
              <w:left w:val="nil"/>
              <w:right w:val="nil"/>
            </w:tcBorders>
            <w:shd w:val="clear" w:color="auto" w:fill="auto"/>
            <w:noWrap/>
            <w:vAlign w:val="center"/>
            <w:hideMark/>
          </w:tcPr>
          <w:p w14:paraId="1CB98765"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20</w:t>
            </w:r>
          </w:p>
        </w:tc>
        <w:tc>
          <w:tcPr>
            <w:tcW w:w="615" w:type="pct"/>
            <w:tcBorders>
              <w:top w:val="nil"/>
              <w:left w:val="nil"/>
              <w:right w:val="nil"/>
            </w:tcBorders>
            <w:shd w:val="clear" w:color="auto" w:fill="auto"/>
            <w:noWrap/>
            <w:vAlign w:val="center"/>
            <w:hideMark/>
          </w:tcPr>
          <w:p w14:paraId="148BDD46"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0</w:t>
            </w:r>
          </w:p>
        </w:tc>
        <w:tc>
          <w:tcPr>
            <w:tcW w:w="401" w:type="pct"/>
            <w:tcBorders>
              <w:top w:val="nil"/>
              <w:left w:val="nil"/>
              <w:right w:val="nil"/>
            </w:tcBorders>
            <w:shd w:val="clear" w:color="auto" w:fill="auto"/>
            <w:noWrap/>
            <w:vAlign w:val="center"/>
            <w:hideMark/>
          </w:tcPr>
          <w:p w14:paraId="54B48704"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80</w:t>
            </w:r>
          </w:p>
        </w:tc>
      </w:tr>
      <w:tr w:rsidR="00822B9A" w:rsidRPr="00822B9A" w14:paraId="6B51FB17" w14:textId="77777777" w:rsidTr="00960BB8">
        <w:trPr>
          <w:trHeight w:val="360"/>
        </w:trPr>
        <w:tc>
          <w:tcPr>
            <w:tcW w:w="822" w:type="pct"/>
            <w:tcBorders>
              <w:top w:val="nil"/>
              <w:left w:val="nil"/>
              <w:bottom w:val="single" w:sz="12" w:space="0" w:color="auto"/>
              <w:right w:val="nil"/>
            </w:tcBorders>
            <w:shd w:val="clear" w:color="auto" w:fill="auto"/>
            <w:noWrap/>
            <w:vAlign w:val="center"/>
            <w:hideMark/>
          </w:tcPr>
          <w:p w14:paraId="73C2EEE5"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York</w:t>
            </w:r>
          </w:p>
        </w:tc>
        <w:tc>
          <w:tcPr>
            <w:tcW w:w="513" w:type="pct"/>
            <w:tcBorders>
              <w:top w:val="nil"/>
              <w:left w:val="nil"/>
              <w:bottom w:val="single" w:sz="12" w:space="0" w:color="auto"/>
              <w:right w:val="nil"/>
            </w:tcBorders>
            <w:shd w:val="clear" w:color="auto" w:fill="auto"/>
            <w:noWrap/>
            <w:vAlign w:val="center"/>
            <w:hideMark/>
          </w:tcPr>
          <w:p w14:paraId="1853B09E"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34</w:t>
            </w:r>
          </w:p>
        </w:tc>
        <w:tc>
          <w:tcPr>
            <w:tcW w:w="645" w:type="pct"/>
            <w:tcBorders>
              <w:top w:val="nil"/>
              <w:left w:val="nil"/>
              <w:bottom w:val="single" w:sz="12" w:space="0" w:color="auto"/>
              <w:right w:val="nil"/>
            </w:tcBorders>
            <w:shd w:val="clear" w:color="auto" w:fill="auto"/>
            <w:noWrap/>
            <w:vAlign w:val="center"/>
            <w:hideMark/>
          </w:tcPr>
          <w:p w14:paraId="5DAB66C0"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6</w:t>
            </w:r>
          </w:p>
        </w:tc>
        <w:tc>
          <w:tcPr>
            <w:tcW w:w="671" w:type="pct"/>
            <w:tcBorders>
              <w:top w:val="nil"/>
              <w:left w:val="nil"/>
              <w:bottom w:val="single" w:sz="12" w:space="0" w:color="auto"/>
              <w:right w:val="nil"/>
            </w:tcBorders>
            <w:shd w:val="clear" w:color="auto" w:fill="auto"/>
            <w:noWrap/>
            <w:vAlign w:val="center"/>
            <w:hideMark/>
          </w:tcPr>
          <w:p w14:paraId="1391CD49"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2</w:t>
            </w:r>
          </w:p>
        </w:tc>
        <w:tc>
          <w:tcPr>
            <w:tcW w:w="702" w:type="pct"/>
            <w:tcBorders>
              <w:top w:val="nil"/>
              <w:left w:val="nil"/>
              <w:bottom w:val="single" w:sz="12" w:space="0" w:color="auto"/>
              <w:right w:val="nil"/>
            </w:tcBorders>
            <w:shd w:val="clear" w:color="auto" w:fill="auto"/>
            <w:noWrap/>
            <w:vAlign w:val="center"/>
            <w:hideMark/>
          </w:tcPr>
          <w:p w14:paraId="5B7D34D2"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26</w:t>
            </w:r>
          </w:p>
        </w:tc>
        <w:tc>
          <w:tcPr>
            <w:tcW w:w="631" w:type="pct"/>
            <w:tcBorders>
              <w:top w:val="nil"/>
              <w:left w:val="nil"/>
              <w:bottom w:val="single" w:sz="12" w:space="0" w:color="auto"/>
              <w:right w:val="nil"/>
            </w:tcBorders>
            <w:shd w:val="clear" w:color="auto" w:fill="auto"/>
            <w:noWrap/>
            <w:vAlign w:val="center"/>
            <w:hideMark/>
          </w:tcPr>
          <w:p w14:paraId="6D604B2E"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18</w:t>
            </w:r>
          </w:p>
        </w:tc>
        <w:tc>
          <w:tcPr>
            <w:tcW w:w="615" w:type="pct"/>
            <w:tcBorders>
              <w:top w:val="nil"/>
              <w:left w:val="nil"/>
              <w:bottom w:val="single" w:sz="12" w:space="0" w:color="auto"/>
              <w:right w:val="nil"/>
            </w:tcBorders>
            <w:shd w:val="clear" w:color="auto" w:fill="auto"/>
            <w:noWrap/>
            <w:vAlign w:val="center"/>
            <w:hideMark/>
          </w:tcPr>
          <w:p w14:paraId="22311D52"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6</w:t>
            </w:r>
          </w:p>
        </w:tc>
        <w:tc>
          <w:tcPr>
            <w:tcW w:w="401" w:type="pct"/>
            <w:tcBorders>
              <w:top w:val="nil"/>
              <w:left w:val="nil"/>
              <w:bottom w:val="single" w:sz="12" w:space="0" w:color="auto"/>
              <w:right w:val="nil"/>
            </w:tcBorders>
            <w:shd w:val="clear" w:color="auto" w:fill="auto"/>
            <w:noWrap/>
            <w:vAlign w:val="center"/>
            <w:hideMark/>
          </w:tcPr>
          <w:p w14:paraId="513EA522" w14:textId="77777777" w:rsidR="00A11D2E" w:rsidRPr="00822B9A" w:rsidRDefault="00A11D2E">
            <w:pPr>
              <w:widowControl/>
              <w:jc w:val="center"/>
              <w:rPr>
                <w:rFonts w:cstheme="minorHAnsi"/>
                <w:bCs/>
                <w:snapToGrid/>
                <w:sz w:val="22"/>
                <w:szCs w:val="22"/>
              </w:rPr>
            </w:pPr>
            <w:r w:rsidRPr="00822B9A">
              <w:rPr>
                <w:rFonts w:cstheme="minorHAnsi"/>
                <w:snapToGrid/>
                <w:sz w:val="22"/>
                <w:szCs w:val="22"/>
              </w:rPr>
              <w:t>76</w:t>
            </w:r>
          </w:p>
        </w:tc>
      </w:tr>
    </w:tbl>
    <w:p w14:paraId="431A9738" w14:textId="4520DF3D" w:rsidR="00A11D2E" w:rsidRDefault="00A11D2E" w:rsidP="00A11D2E">
      <w:pPr>
        <w:rPr>
          <w:rFonts w:cstheme="minorHAnsi"/>
        </w:rPr>
      </w:pPr>
    </w:p>
    <w:p w14:paraId="20F3FCE6" w14:textId="77777777" w:rsidR="00822B9A" w:rsidRPr="00AD3B35" w:rsidRDefault="00822B9A" w:rsidP="00A11D2E">
      <w:pPr>
        <w:rPr>
          <w:rFonts w:cstheme="minorHAnsi"/>
          <w:b/>
          <w:bCs/>
          <w:sz w:val="22"/>
          <w:szCs w:val="22"/>
        </w:rPr>
      </w:pPr>
    </w:p>
    <w:p w14:paraId="6E280E8A" w14:textId="77777777" w:rsidR="00A11D2E" w:rsidRPr="00AD3B35" w:rsidRDefault="00A11D2E" w:rsidP="00A11D2E">
      <w:pPr>
        <w:ind w:firstLine="720"/>
        <w:rPr>
          <w:rFonts w:cstheme="minorHAnsi"/>
        </w:rPr>
      </w:pPr>
    </w:p>
    <w:p w14:paraId="11C2C41D" w14:textId="77777777" w:rsidR="00A11D2E" w:rsidRPr="00AD3B35" w:rsidRDefault="00A11D2E" w:rsidP="00A11D2E">
      <w:pPr>
        <w:pStyle w:val="BodyTextIndent"/>
        <w:jc w:val="left"/>
        <w:rPr>
          <w:rFonts w:cstheme="minorHAnsi"/>
        </w:rPr>
        <w:sectPr w:rsidR="00A11D2E" w:rsidRPr="00AD3B35" w:rsidSect="009079C4">
          <w:footnotePr>
            <w:numStart w:val="3"/>
          </w:footnotePr>
          <w:endnotePr>
            <w:numFmt w:val="decimal"/>
          </w:endnotePr>
          <w:pgSz w:w="12240" w:h="15840" w:code="1"/>
          <w:pgMar w:top="1440" w:right="1440" w:bottom="1440" w:left="1440" w:header="720" w:footer="720" w:gutter="0"/>
          <w:cols w:space="720"/>
          <w:docGrid w:linePitch="360"/>
        </w:sectPr>
      </w:pPr>
    </w:p>
    <w:p w14:paraId="7E1E0147" w14:textId="66FE87B2" w:rsidR="00AF1108" w:rsidRDefault="008F6D37" w:rsidP="00AF1108">
      <w:pPr>
        <w:pStyle w:val="BodyTextIndent"/>
        <w:keepNext/>
        <w:ind w:left="720" w:firstLine="0"/>
        <w:jc w:val="left"/>
      </w:pPr>
      <w:r>
        <w:rPr>
          <w:noProof/>
          <w:snapToGrid/>
          <w14:ligatures w14:val="standardContextual"/>
        </w:rPr>
        <w:lastRenderedPageBreak/>
        <mc:AlternateContent>
          <mc:Choice Requires="wps">
            <w:drawing>
              <wp:anchor distT="45720" distB="45720" distL="114300" distR="114300" simplePos="0" relativeHeight="251658256" behindDoc="0" locked="0" layoutInCell="1" allowOverlap="1" wp14:anchorId="148D5BED" wp14:editId="223E76DA">
                <wp:simplePos x="0" y="0"/>
                <wp:positionH relativeFrom="column">
                  <wp:posOffset>904875</wp:posOffset>
                </wp:positionH>
                <wp:positionV relativeFrom="paragraph">
                  <wp:posOffset>460390</wp:posOffset>
                </wp:positionV>
                <wp:extent cx="904875" cy="277495"/>
                <wp:effectExtent l="0" t="0" r="9525" b="0"/>
                <wp:wrapNone/>
                <wp:docPr id="1290199367" name="Text Box 1290199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7495"/>
                        </a:xfrm>
                        <a:prstGeom prst="rect">
                          <a:avLst/>
                        </a:prstGeom>
                        <a:solidFill>
                          <a:srgbClr val="FFFFFF"/>
                        </a:solidFill>
                        <a:ln w="9525">
                          <a:noFill/>
                          <a:miter lim="800000"/>
                          <a:headEnd/>
                          <a:tailEnd/>
                        </a:ln>
                      </wps:spPr>
                      <wps:txbx>
                        <w:txbxContent>
                          <w:p w14:paraId="30B0DE79" w14:textId="77777777" w:rsidR="008F6D37" w:rsidRPr="008F6D37" w:rsidRDefault="008F6D37" w:rsidP="008F6D37">
                            <w:r w:rsidRPr="008F6D37">
                              <w:t>River Basin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8D5BED" id="Text Box 1290199367" o:spid="_x0000_s1045" type="#_x0000_t202" alt="&quot;&quot;" style="position:absolute;left:0;text-align:left;margin-left:71.25pt;margin-top:36.25pt;width:71.25pt;height:21.85pt;z-index:251658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" stroked="f">
                <v:textbox style="mso-fit-shape-to-text:t">
                  <w:txbxContent>
                    <w:p w14:paraId="30B0DE79" w14:textId="77777777" w:rsidR="008F6D37" w:rsidRPr="008F6D37" w:rsidRDefault="008F6D37" w:rsidP="008F6D37">
                      <w:r w:rsidRPr="008F6D37">
                        <w:t>River Basin</w:t>
                      </w:r>
                    </w:p>
                  </w:txbxContent>
                </v:textbox>
              </v:shape>
            </w:pict>
          </mc:Fallback>
        </mc:AlternateContent>
      </w:r>
      <w:r w:rsidR="00302060">
        <w:rPr>
          <w:noProof/>
          <w:snapToGrid/>
          <w14:ligatures w14:val="standardContextual"/>
        </w:rPr>
        <w:drawing>
          <wp:inline distT="0" distB="0" distL="0" distR="0" wp14:anchorId="4DA8A01D" wp14:editId="26E4492A">
            <wp:extent cx="8229600" cy="5325110"/>
            <wp:effectExtent l="0" t="0" r="0" b="8890"/>
            <wp:docPr id="1827060216" name="Picture 8" descr="Figure 4.7 14. Statewide trends in turb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60216" name="Picture 8" descr="Figure 4.7 14. Statewide trends in turbidity."/>
                    <pic:cNvPicPr/>
                  </pic:nvPicPr>
                  <pic:blipFill>
                    <a:blip r:embed="rId228" cstate="print">
                      <a:extLst>
                        <a:ext uri="{28A0092B-C50C-407E-A947-70E740481C1C}">
                          <a14:useLocalDpi xmlns:a14="http://schemas.microsoft.com/office/drawing/2010/main"/>
                        </a:ext>
                      </a:extLst>
                    </a:blip>
                    <a:stretch>
                      <a:fillRect/>
                    </a:stretch>
                  </pic:blipFill>
                  <pic:spPr>
                    <a:xfrm>
                      <a:off x="0" y="0"/>
                      <a:ext cx="8229600" cy="5325110"/>
                    </a:xfrm>
                    <a:prstGeom prst="rect">
                      <a:avLst/>
                    </a:prstGeom>
                  </pic:spPr>
                </pic:pic>
              </a:graphicData>
            </a:graphic>
          </wp:inline>
        </w:drawing>
      </w:r>
    </w:p>
    <w:p w14:paraId="77EA494D" w14:textId="2D85BCF6" w:rsidR="00A11D2E" w:rsidRPr="00AF1108" w:rsidRDefault="00AF1108" w:rsidP="00AF1108">
      <w:pPr>
        <w:pStyle w:val="Caption"/>
        <w:rPr>
          <w:rFonts w:cstheme="minorHAnsi"/>
        </w:rPr>
      </w:pPr>
      <w:bookmarkStart w:id="384" w:name="_Toc152766312"/>
      <w:bookmarkStart w:id="385" w:name="_Toc164175137"/>
      <w:r w:rsidRPr="00AF1108">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14</w:t>
      </w:r>
      <w:r w:rsidR="004F13BA">
        <w:rPr>
          <w:noProof/>
        </w:rPr>
        <w:fldChar w:fldCharType="end"/>
      </w:r>
      <w:r w:rsidRPr="00AF1108">
        <w:t>.</w:t>
      </w:r>
      <w:r w:rsidRPr="00AF1108">
        <w:rPr>
          <w:rFonts w:cstheme="minorHAnsi"/>
        </w:rPr>
        <w:t xml:space="preserve"> Statewide trends in turbidity.</w:t>
      </w:r>
      <w:bookmarkEnd w:id="384"/>
      <w:bookmarkEnd w:id="385"/>
    </w:p>
    <w:p w14:paraId="720AF4B9" w14:textId="2E4E7E94" w:rsidR="00A11D2E" w:rsidRPr="00AD3B35" w:rsidRDefault="00A11D2E" w:rsidP="00A11D2E">
      <w:pPr>
        <w:pStyle w:val="BodyTextIndent"/>
        <w:ind w:left="720" w:firstLine="0"/>
        <w:jc w:val="left"/>
        <w:rPr>
          <w:rFonts w:cstheme="minorHAnsi"/>
        </w:rPr>
        <w:sectPr w:rsidR="00A11D2E" w:rsidRPr="00AD3B35" w:rsidSect="009079C4">
          <w:footnotePr>
            <w:numStart w:val="3"/>
          </w:footnotePr>
          <w:endnotePr>
            <w:numFmt w:val="decimal"/>
          </w:endnotePr>
          <w:pgSz w:w="15840" w:h="12240" w:orient="landscape" w:code="1"/>
          <w:pgMar w:top="1440" w:right="1440" w:bottom="1440" w:left="1440" w:header="720" w:footer="720" w:gutter="0"/>
          <w:cols w:space="720"/>
          <w:docGrid w:linePitch="360"/>
        </w:sectPr>
      </w:pPr>
    </w:p>
    <w:p w14:paraId="2F386C9F" w14:textId="3B0877A9" w:rsidR="00A11D2E" w:rsidRPr="00382E27" w:rsidRDefault="00A11D2E" w:rsidP="00A11D2E">
      <w:pPr>
        <w:pStyle w:val="Heading4"/>
        <w:rPr>
          <w:bCs/>
        </w:rPr>
      </w:pPr>
      <w:r w:rsidRPr="00AD3B35">
        <w:lastRenderedPageBreak/>
        <w:t>Dissolved Oxygen and pH</w:t>
      </w:r>
    </w:p>
    <w:p w14:paraId="475036AE" w14:textId="0C1FA5F2" w:rsidR="00DC3496" w:rsidRDefault="00DC3496" w:rsidP="00DC3496">
      <w:pPr>
        <w:rPr>
          <w:rFonts w:cstheme="minorHAnsi"/>
          <w:iCs/>
          <w:szCs w:val="24"/>
        </w:rPr>
      </w:pPr>
      <w:r>
        <w:rPr>
          <w:rFonts w:cstheme="minorHAnsi"/>
          <w:iCs/>
          <w:szCs w:val="24"/>
        </w:rPr>
        <w:t xml:space="preserve">Dissolved oxygen and pH are essential water quality factors for aquatic ecosystem health. Dissolved oxygen concentrations are affected by respiration, which reduces DO concentrations and photosynthesis and physical mixing from wind and current, which increase DO. Increases in water temperature and salinity serve to decrease the oxygen saturation level of water and, therefore, reduce DO. pH is a measure of the acidity of the water, with pH values less than 7 indicating acidic conditions, values greater than 7 indicating basic conditions and values near 7 indicating neutral conditions. Waters with extremely low or high pH values, or those where pH changes frequently, generally support less abundant and less diverse aquatic communities. Under neutral conditions, pH is decreased by respiration and increased by </w:t>
      </w:r>
      <w:proofErr w:type="gramStart"/>
      <w:r>
        <w:rPr>
          <w:rFonts w:cstheme="minorHAnsi"/>
          <w:iCs/>
          <w:szCs w:val="24"/>
        </w:rPr>
        <w:t>photosynthesis, and</w:t>
      </w:r>
      <w:proofErr w:type="gramEnd"/>
      <w:r>
        <w:rPr>
          <w:rFonts w:cstheme="minorHAnsi"/>
          <w:iCs/>
          <w:szCs w:val="24"/>
        </w:rPr>
        <w:t xml:space="preserve"> may be increased or decreased by the geology and soil chemistry of the surrounding watershed. Pollutants have varying effects on pH, based on their chemical composition and that of the receiving water body. DO and pH are monitored by the agency because substantial increases or decreases in these parameters may indicate pollution.</w:t>
      </w:r>
    </w:p>
    <w:p w14:paraId="6B4E8607" w14:textId="77777777" w:rsidR="00DC3496" w:rsidRDefault="00DC3496" w:rsidP="00DC3496">
      <w:pPr>
        <w:rPr>
          <w:rFonts w:cstheme="minorHAnsi"/>
          <w:iCs/>
          <w:szCs w:val="24"/>
        </w:rPr>
      </w:pPr>
    </w:p>
    <w:p w14:paraId="3E78AC0F" w14:textId="6EF25C44" w:rsidR="00DC3496" w:rsidRDefault="00DC3496" w:rsidP="00DC3496">
      <w:pPr>
        <w:rPr>
          <w:rFonts w:cstheme="minorHAnsi"/>
          <w:iCs/>
          <w:szCs w:val="24"/>
        </w:rPr>
      </w:pPr>
      <w:r>
        <w:rPr>
          <w:rFonts w:cstheme="minorHAnsi"/>
          <w:iCs/>
          <w:szCs w:val="24"/>
        </w:rPr>
        <w:t xml:space="preserve">Most aquatic life are best supported by high dissolved oxygen levels to support respiration and near-neutral pH to support normal physiological functioning. </w:t>
      </w:r>
      <w:r w:rsidR="000A0569">
        <w:rPr>
          <w:rFonts w:cstheme="minorHAnsi"/>
          <w:iCs/>
          <w:szCs w:val="24"/>
        </w:rPr>
        <w:t>However,</w:t>
      </w:r>
      <w:r>
        <w:rPr>
          <w:rFonts w:cstheme="minorHAnsi"/>
          <w:iCs/>
          <w:szCs w:val="24"/>
        </w:rPr>
        <w:t xml:space="preserve"> some water bodies, such as swamps, exhibit low DO and low pH (acidic waters) under natural conditions and others, such as streams with limestone watersheds, exhibit high pH (basic waters). Aquatic life in these water bodies is adapted to their unique water chemistry, and increases in DO, or shifts in pH toward neutral may degrade ecosystem health.</w:t>
      </w:r>
    </w:p>
    <w:p w14:paraId="09DFCAA3" w14:textId="6CF2C789" w:rsidR="00A11D2E" w:rsidRPr="00382E27" w:rsidRDefault="000A0569" w:rsidP="00382E27">
      <w:pPr>
        <w:rPr>
          <w:rFonts w:cstheme="minorHAnsi"/>
          <w:iCs/>
          <w:szCs w:val="24"/>
        </w:rPr>
      </w:pPr>
      <w:r>
        <w:rPr>
          <w:rFonts w:cstheme="minorHAnsi"/>
          <w:iCs/>
          <w:szCs w:val="24"/>
        </w:rPr>
        <w:br/>
      </w:r>
      <w:r w:rsidR="00A11D2E" w:rsidRPr="00382E27">
        <w:rPr>
          <w:rFonts w:cstheme="minorHAnsi"/>
          <w:iCs/>
          <w:szCs w:val="24"/>
        </w:rPr>
        <w:t>Interpretation of</w:t>
      </w:r>
      <w:r>
        <w:rPr>
          <w:rFonts w:cstheme="minorHAnsi"/>
          <w:iCs/>
          <w:szCs w:val="24"/>
        </w:rPr>
        <w:t xml:space="preserve"> </w:t>
      </w:r>
      <w:r w:rsidR="003A74B5">
        <w:rPr>
          <w:rFonts w:cstheme="minorHAnsi"/>
          <w:iCs/>
          <w:szCs w:val="24"/>
        </w:rPr>
        <w:t>DO</w:t>
      </w:r>
      <w:r w:rsidR="00A11D2E" w:rsidRPr="00382E27">
        <w:rPr>
          <w:rFonts w:cstheme="minorHAnsi"/>
          <w:iCs/>
          <w:szCs w:val="24"/>
        </w:rPr>
        <w:t xml:space="preserve"> and pH trends are</w:t>
      </w:r>
      <w:r w:rsidR="00DB1B2E">
        <w:rPr>
          <w:rFonts w:cstheme="minorHAnsi"/>
          <w:iCs/>
          <w:szCs w:val="24"/>
        </w:rPr>
        <w:t>, therefore,</w:t>
      </w:r>
      <w:r w:rsidR="00A11D2E" w:rsidRPr="00382E27">
        <w:rPr>
          <w:rFonts w:cstheme="minorHAnsi"/>
          <w:iCs/>
          <w:szCs w:val="24"/>
        </w:rPr>
        <w:t xml:space="preserve"> site-specific, depending on the ecological community requirements and baseline conditions of each waterbody. As examples, an increase in pH may indicate a reduction in a pollutant that causes acidification, and an increase in dissolved oxygen may indicate a reduction in nutrients or organic matter that cause excessive oxygen consumption. In contrast, increases pH and dissolved oxygen may occur due to overproduction of phytoplankton, stimulated by nutrient pollutants. Such site-specific interpretations are beyond the scope of this report.</w:t>
      </w:r>
      <w:r w:rsidR="00E86C1C">
        <w:rPr>
          <w:rFonts w:cstheme="minorHAnsi"/>
          <w:iCs/>
          <w:szCs w:val="24"/>
        </w:rPr>
        <w:t xml:space="preserve"> </w:t>
      </w:r>
      <w:r w:rsidR="00A11D2E" w:rsidRPr="00382E27">
        <w:rPr>
          <w:rFonts w:cstheme="minorHAnsi"/>
          <w:iCs/>
          <w:szCs w:val="24"/>
        </w:rPr>
        <w:t xml:space="preserve">D.O. was evaluated as a percentage of the oxygen saturation value expected due to the barometric pressure, temperature, and chlorinity of the water at the time of measurement. Expression of D.O. in this manner </w:t>
      </w:r>
      <w:proofErr w:type="gramStart"/>
      <w:r w:rsidR="00A11D2E" w:rsidRPr="00382E27">
        <w:rPr>
          <w:rFonts w:cstheme="minorHAnsi"/>
          <w:iCs/>
          <w:szCs w:val="24"/>
        </w:rPr>
        <w:t>controls for</w:t>
      </w:r>
      <w:proofErr w:type="gramEnd"/>
      <w:r w:rsidR="00A11D2E" w:rsidRPr="00382E27">
        <w:rPr>
          <w:rFonts w:cstheme="minorHAnsi"/>
          <w:iCs/>
          <w:szCs w:val="24"/>
        </w:rPr>
        <w:t xml:space="preserve"> these factors </w:t>
      </w:r>
      <w:r w:rsidR="00E86C1C" w:rsidRPr="00382E27">
        <w:rPr>
          <w:rFonts w:cstheme="minorHAnsi"/>
          <w:iCs/>
          <w:szCs w:val="24"/>
        </w:rPr>
        <w:t>to</w:t>
      </w:r>
      <w:r w:rsidR="00A11D2E" w:rsidRPr="00382E27">
        <w:rPr>
          <w:rFonts w:cstheme="minorHAnsi"/>
          <w:iCs/>
          <w:szCs w:val="24"/>
        </w:rPr>
        <w:t xml:space="preserve"> focus the analysis on the production and consumption of D.O. in the systems. </w:t>
      </w:r>
    </w:p>
    <w:p w14:paraId="696D7A4C" w14:textId="77777777" w:rsidR="00A11D2E" w:rsidRPr="00382E27" w:rsidRDefault="00A11D2E" w:rsidP="00A11D2E">
      <w:pPr>
        <w:rPr>
          <w:rFonts w:cstheme="minorHAnsi"/>
          <w:iCs/>
          <w:szCs w:val="24"/>
        </w:rPr>
      </w:pPr>
    </w:p>
    <w:p w14:paraId="5B08405A" w14:textId="77777777" w:rsidR="00320909" w:rsidRDefault="00A11D2E" w:rsidP="00A11D2E">
      <w:pPr>
        <w:rPr>
          <w:rFonts w:cstheme="minorHAnsi"/>
          <w:iCs/>
          <w:szCs w:val="24"/>
        </w:rPr>
      </w:pPr>
      <w:r w:rsidRPr="00382E27">
        <w:rPr>
          <w:rFonts w:cstheme="minorHAnsi"/>
          <w:iCs/>
          <w:szCs w:val="24"/>
        </w:rPr>
        <w:t xml:space="preserve">D.O. and pH were collected at all 413 trend stations. For both parameters, no trends were detected at </w:t>
      </w:r>
      <w:proofErr w:type="gramStart"/>
      <w:r w:rsidRPr="00382E27">
        <w:rPr>
          <w:rFonts w:cstheme="minorHAnsi"/>
          <w:iCs/>
          <w:szCs w:val="24"/>
        </w:rPr>
        <w:t>the majority of</w:t>
      </w:r>
      <w:proofErr w:type="gramEnd"/>
      <w:r w:rsidRPr="00382E27">
        <w:rPr>
          <w:rFonts w:cstheme="minorHAnsi"/>
          <w:iCs/>
          <w:szCs w:val="24"/>
        </w:rPr>
        <w:t xml:space="preserve"> stations, and increasing trends were more prevalent than decreasing trends. No trend in D.O. was observed at 317 of 413 stations (77%) and no trend in pH was observed at 303 stations (73%). Increasing trends for pH were observed at 85 stations (21%) and decreasing trends in pH were observed at 25 stations (6%). Increasing trends in D.O. were observed at 57 stations (14%) and decreasing trends in D.O. were observed at 39 stations (9%). Many of the observed increasing and decreasing trends are likely related to the balance between primary production (</w:t>
      </w:r>
      <w:r w:rsidR="00C109C9" w:rsidRPr="00382E27">
        <w:rPr>
          <w:rFonts w:cstheme="minorHAnsi"/>
          <w:iCs/>
          <w:szCs w:val="24"/>
        </w:rPr>
        <w:t>i.e.,</w:t>
      </w:r>
      <w:r w:rsidRPr="00382E27">
        <w:rPr>
          <w:rFonts w:cstheme="minorHAnsi"/>
          <w:iCs/>
          <w:szCs w:val="24"/>
        </w:rPr>
        <w:t xml:space="preserve"> algae and plant growth) and respiration in the waterbodies. Production and respiration are, in turn, often influenced by increases and decreases </w:t>
      </w:r>
      <w:proofErr w:type="gramStart"/>
      <w:r w:rsidRPr="00382E27">
        <w:rPr>
          <w:rFonts w:cstheme="minorHAnsi"/>
          <w:iCs/>
          <w:szCs w:val="24"/>
        </w:rPr>
        <w:t>of</w:t>
      </w:r>
      <w:proofErr w:type="gramEnd"/>
      <w:r w:rsidRPr="00382E27">
        <w:rPr>
          <w:rFonts w:cstheme="minorHAnsi"/>
          <w:iCs/>
          <w:szCs w:val="24"/>
        </w:rPr>
        <w:t xml:space="preserve"> pollutants.</w:t>
      </w:r>
      <w:r w:rsidR="00C109C9">
        <w:rPr>
          <w:rFonts w:cstheme="minorHAnsi"/>
          <w:iCs/>
          <w:szCs w:val="24"/>
        </w:rPr>
        <w:t xml:space="preserve"> </w:t>
      </w:r>
      <w:r w:rsidRPr="00382E27">
        <w:rPr>
          <w:rFonts w:cstheme="minorHAnsi"/>
          <w:iCs/>
          <w:szCs w:val="24"/>
        </w:rPr>
        <w:t xml:space="preserve">Determining the causes of the observed trends and interpreting them as </w:t>
      </w:r>
      <w:r w:rsidRPr="00382E27">
        <w:rPr>
          <w:rFonts w:cstheme="minorHAnsi"/>
          <w:iCs/>
          <w:szCs w:val="24"/>
        </w:rPr>
        <w:lastRenderedPageBreak/>
        <w:t>improvements or as degradations would likely require in-depth, site-specific analyses and collection of additional data, which were not conducted as part of this study.</w:t>
      </w:r>
    </w:p>
    <w:p w14:paraId="62E8C149" w14:textId="77777777" w:rsidR="00822B9A" w:rsidRDefault="00822B9A" w:rsidP="00A11D2E">
      <w:pPr>
        <w:rPr>
          <w:rFonts w:cstheme="minorHAnsi"/>
        </w:rPr>
      </w:pPr>
    </w:p>
    <w:p w14:paraId="31C88F49" w14:textId="35E155CA" w:rsidR="00A11D2E" w:rsidRPr="00AD3B35" w:rsidRDefault="00A11D2E" w:rsidP="00A11D2E">
      <w:pPr>
        <w:rPr>
          <w:rFonts w:cstheme="minorHAnsi"/>
        </w:rPr>
      </w:pPr>
    </w:p>
    <w:p w14:paraId="5441DE88" w14:textId="77777777" w:rsidR="00A11D2E" w:rsidRPr="00AD3B35" w:rsidRDefault="00A11D2E" w:rsidP="002C3DC8">
      <w:pPr>
        <w:rPr>
          <w:rFonts w:cstheme="minorHAnsi"/>
        </w:rPr>
        <w:sectPr w:rsidR="00A11D2E" w:rsidRPr="00AD3B35" w:rsidSect="009079C4">
          <w:footnotePr>
            <w:numStart w:val="3"/>
          </w:footnotePr>
          <w:endnotePr>
            <w:numFmt w:val="decimal"/>
          </w:endnotePr>
          <w:pgSz w:w="12240" w:h="15840" w:code="1"/>
          <w:pgMar w:top="1440" w:right="1440" w:bottom="1440" w:left="1440" w:header="720" w:footer="720" w:gutter="0"/>
          <w:cols w:space="720"/>
          <w:docGrid w:linePitch="360"/>
        </w:sectPr>
      </w:pPr>
    </w:p>
    <w:p w14:paraId="7728688D" w14:textId="77777777" w:rsidR="00A11D2E" w:rsidRPr="00AD3B35" w:rsidRDefault="00A11D2E" w:rsidP="0034523A">
      <w:pPr>
        <w:pStyle w:val="Heading3"/>
        <w:rPr>
          <w:i/>
          <w:iCs/>
        </w:rPr>
      </w:pPr>
      <w:r w:rsidRPr="00AD3B35">
        <w:lastRenderedPageBreak/>
        <w:t>Conclusions</w:t>
      </w:r>
    </w:p>
    <w:p w14:paraId="643FD4BE" w14:textId="71380594" w:rsidR="00A11D2E" w:rsidRDefault="00A11D2E" w:rsidP="0034523A">
      <w:pPr>
        <w:pStyle w:val="BodyTextIndent"/>
        <w:ind w:firstLine="0"/>
        <w:jc w:val="left"/>
        <w:rPr>
          <w:rFonts w:cstheme="minorHAnsi"/>
        </w:rPr>
      </w:pPr>
      <w:r w:rsidRPr="00AD3B35">
        <w:rPr>
          <w:rFonts w:cstheme="minorHAnsi"/>
        </w:rPr>
        <w:t>Over the 20 years reviewed in this study (2003-2022), a total of 640 improving trends and 341 degrading trends were observed, and in 3</w:t>
      </w:r>
      <w:r w:rsidR="009D40A9">
        <w:rPr>
          <w:rFonts w:cstheme="minorHAnsi"/>
        </w:rPr>
        <w:t>,</w:t>
      </w:r>
      <w:r w:rsidRPr="00AD3B35">
        <w:rPr>
          <w:rFonts w:cstheme="minorHAnsi"/>
        </w:rPr>
        <w:t>821 evaluations, no statistically significant trend was detected (p &gt; 0.10). These totals do not include</w:t>
      </w:r>
      <w:r w:rsidR="00020140">
        <w:rPr>
          <w:rFonts w:cstheme="minorHAnsi"/>
        </w:rPr>
        <w:t xml:space="preserve"> </w:t>
      </w:r>
      <w:r w:rsidR="003A74B5">
        <w:rPr>
          <w:rFonts w:cstheme="minorHAnsi"/>
        </w:rPr>
        <w:t>DO</w:t>
      </w:r>
      <w:r w:rsidRPr="00AD3B35">
        <w:rPr>
          <w:rFonts w:cstheme="minorHAnsi"/>
        </w:rPr>
        <w:t xml:space="preserve"> and pH due to the </w:t>
      </w:r>
      <w:r w:rsidR="007230FB">
        <w:rPr>
          <w:rFonts w:cstheme="minorHAnsi"/>
        </w:rPr>
        <w:t>difficulty</w:t>
      </w:r>
      <w:r w:rsidRPr="00AD3B35">
        <w:rPr>
          <w:rFonts w:cstheme="minorHAnsi"/>
        </w:rPr>
        <w:t xml:space="preserve"> in interpreting those trends</w:t>
      </w:r>
      <w:r w:rsidR="00F50572">
        <w:rPr>
          <w:rFonts w:cstheme="minorHAnsi"/>
        </w:rPr>
        <w:t xml:space="preserve"> as degrading or improving</w:t>
      </w:r>
      <w:r w:rsidRPr="00AD3B35">
        <w:rPr>
          <w:rFonts w:cstheme="minorHAnsi"/>
        </w:rPr>
        <w:t xml:space="preserve">. Over this </w:t>
      </w:r>
      <w:r w:rsidR="00330CDD" w:rsidRPr="00AD3B35">
        <w:rPr>
          <w:rFonts w:cstheme="minorHAnsi"/>
        </w:rPr>
        <w:t>period</w:t>
      </w:r>
      <w:r w:rsidRPr="00AD3B35">
        <w:rPr>
          <w:rFonts w:cstheme="minorHAnsi"/>
        </w:rPr>
        <w:t xml:space="preserve">, the </w:t>
      </w:r>
      <w:r w:rsidR="003A74B5">
        <w:rPr>
          <w:rFonts w:cstheme="minorHAnsi"/>
        </w:rPr>
        <w:t>C</w:t>
      </w:r>
      <w:r w:rsidR="003A74B5" w:rsidRPr="00AD3B35">
        <w:rPr>
          <w:rFonts w:cstheme="minorHAnsi"/>
        </w:rPr>
        <w:t xml:space="preserve">ommonwealth </w:t>
      </w:r>
      <w:r w:rsidRPr="00AD3B35">
        <w:rPr>
          <w:rFonts w:cstheme="minorHAnsi"/>
        </w:rPr>
        <w:t xml:space="preserve">has added 1.31 million people to the resident </w:t>
      </w:r>
      <w:r w:rsidR="00C109C9" w:rsidRPr="00AD3B35">
        <w:rPr>
          <w:rFonts w:cstheme="minorHAnsi"/>
        </w:rPr>
        <w:t>population:</w:t>
      </w:r>
      <w:r w:rsidRPr="00AD3B35">
        <w:rPr>
          <w:rFonts w:cstheme="minorHAnsi"/>
        </w:rPr>
        <w:t xml:space="preserve"> an increase of 18 percent (Figure </w:t>
      </w:r>
      <w:r w:rsidR="009D40A9">
        <w:rPr>
          <w:rFonts w:cstheme="minorHAnsi"/>
        </w:rPr>
        <w:t>4.7-</w:t>
      </w:r>
      <w:r w:rsidRPr="00AD3B35">
        <w:rPr>
          <w:rFonts w:cstheme="minorHAnsi"/>
        </w:rPr>
        <w:t xml:space="preserve">17). Over the same </w:t>
      </w:r>
      <w:r w:rsidR="00C109C9" w:rsidRPr="00AD3B35">
        <w:rPr>
          <w:rFonts w:cstheme="minorHAnsi"/>
        </w:rPr>
        <w:t>period</w:t>
      </w:r>
      <w:r w:rsidRPr="00AD3B35">
        <w:rPr>
          <w:rFonts w:cstheme="minorHAnsi"/>
        </w:rPr>
        <w:t>, permits for 528,311 new, privately-owned, residential buildings were issued in Virginia</w:t>
      </w:r>
      <w:r w:rsidR="00041921">
        <w:rPr>
          <w:rFonts w:cstheme="minorHAnsi"/>
        </w:rPr>
        <w:t xml:space="preserve"> (U.S. Census Bureau</w:t>
      </w:r>
      <w:r w:rsidR="00DD34E0">
        <w:rPr>
          <w:rFonts w:cstheme="minorHAnsi"/>
        </w:rPr>
        <w:t xml:space="preserve"> 2023)</w:t>
      </w:r>
      <w:r w:rsidRPr="00AD3B35">
        <w:rPr>
          <w:rFonts w:cstheme="minorHAnsi"/>
        </w:rPr>
        <w:t>. Given this substantial increase in population and development, the observations of improving water quality trends for some sites and parameters are encouraging.</w:t>
      </w:r>
    </w:p>
    <w:p w14:paraId="5784F39A" w14:textId="77777777" w:rsidR="0034523A" w:rsidRPr="00AD3B35" w:rsidRDefault="0034523A" w:rsidP="0034523A">
      <w:pPr>
        <w:pStyle w:val="BodyTextIndent"/>
        <w:ind w:firstLine="0"/>
        <w:jc w:val="left"/>
        <w:rPr>
          <w:rFonts w:cstheme="minorHAnsi"/>
        </w:rPr>
      </w:pPr>
    </w:p>
    <w:p w14:paraId="10283D3A" w14:textId="77777777" w:rsidR="00E429BB" w:rsidRDefault="00A11D2E" w:rsidP="00E429BB">
      <w:pPr>
        <w:pStyle w:val="BodyTextIndent"/>
        <w:keepNext/>
        <w:jc w:val="left"/>
      </w:pPr>
      <w:r w:rsidRPr="00AD3B35">
        <w:rPr>
          <w:rFonts w:cstheme="minorHAnsi"/>
          <w:noProof/>
        </w:rPr>
        <w:drawing>
          <wp:inline distT="0" distB="0" distL="0" distR="0" wp14:anchorId="57E8F9CA" wp14:editId="24034628">
            <wp:extent cx="4457700" cy="4457700"/>
            <wp:effectExtent l="0" t="0" r="0" b="0"/>
            <wp:docPr id="1227110474" name="Picture 1227110474" descr="Line chart of Virginia resident population from 2003-2022. Data from University of Virginia Weldon Cooper Center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0474" name="Picture 1" descr="Line chart of Virginia resident population from 2003-2022. Data from University of Virginia Weldon Cooper Center 2022. "/>
                    <pic:cNvPicPr/>
                  </pic:nvPicPr>
                  <pic:blipFill>
                    <a:blip r:embed="rId229" cstate="print">
                      <a:extLst>
                        <a:ext uri="{28A0092B-C50C-407E-A947-70E740481C1C}">
                          <a14:useLocalDpi xmlns:a14="http://schemas.microsoft.com/office/drawing/2010/main"/>
                        </a:ext>
                      </a:extLst>
                    </a:blip>
                    <a:stretch>
                      <a:fillRect/>
                    </a:stretch>
                  </pic:blipFill>
                  <pic:spPr>
                    <a:xfrm>
                      <a:off x="0" y="0"/>
                      <a:ext cx="4457824" cy="4457824"/>
                    </a:xfrm>
                    <a:prstGeom prst="rect">
                      <a:avLst/>
                    </a:prstGeom>
                  </pic:spPr>
                </pic:pic>
              </a:graphicData>
            </a:graphic>
          </wp:inline>
        </w:drawing>
      </w:r>
    </w:p>
    <w:p w14:paraId="7FD17009" w14:textId="2D270644" w:rsidR="00345E53" w:rsidRPr="00D237D4" w:rsidRDefault="00712E8B" w:rsidP="0A5BE548">
      <w:pPr>
        <w:pStyle w:val="Caption"/>
        <w:keepNext/>
        <w:rPr>
          <w:rFonts w:cstheme="minorBidi"/>
        </w:rPr>
      </w:pPr>
      <w:bookmarkStart w:id="386" w:name="_Toc164175138"/>
      <w:bookmarkStart w:id="387" w:name="_Toc152766315"/>
      <w:r w:rsidRPr="00712E8B">
        <w:t xml:space="preserve">Figure </w:t>
      </w:r>
      <w:r w:rsidR="004F13BA">
        <w:fldChar w:fldCharType="begin"/>
      </w:r>
      <w:r w:rsidR="004F13BA">
        <w:instrText xml:space="preserve"> STYLEREF 2 \s </w:instrText>
      </w:r>
      <w:r w:rsidR="004F13BA">
        <w:fldChar w:fldCharType="separate"/>
      </w:r>
      <w:r w:rsidR="00E429BB">
        <w:rPr>
          <w:noProof/>
        </w:rPr>
        <w:t>4.7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15</w:t>
      </w:r>
      <w:r w:rsidR="004F13BA">
        <w:rPr>
          <w:noProof/>
        </w:rPr>
        <w:fldChar w:fldCharType="end"/>
      </w:r>
      <w:r w:rsidRPr="00712E8B">
        <w:t xml:space="preserve">. </w:t>
      </w:r>
      <w:r w:rsidRPr="0A5BE548">
        <w:rPr>
          <w:rFonts w:cstheme="minorBidi"/>
        </w:rPr>
        <w:t>Virginia resident population from 2003-2022</w:t>
      </w:r>
      <w:bookmarkEnd w:id="386"/>
      <w:r w:rsidRPr="0A5BE548">
        <w:rPr>
          <w:rFonts w:cstheme="minorBidi"/>
        </w:rPr>
        <w:t>. Data from</w:t>
      </w:r>
      <w:r w:rsidR="0097652F" w:rsidRPr="0A5BE548">
        <w:rPr>
          <w:rFonts w:cstheme="minorBidi"/>
        </w:rPr>
        <w:t xml:space="preserve"> University of Virginia Weldon Cooper Center 2022.</w:t>
      </w:r>
      <w:bookmarkEnd w:id="387"/>
      <w:r w:rsidR="0097652F" w:rsidRPr="0A5BE548">
        <w:rPr>
          <w:rFonts w:cstheme="minorBidi"/>
        </w:rPr>
        <w:t xml:space="preserve"> </w:t>
      </w:r>
    </w:p>
    <w:p w14:paraId="5056EF8A" w14:textId="77777777" w:rsidR="0034523A" w:rsidRDefault="0034523A" w:rsidP="00184023"/>
    <w:p w14:paraId="297699CA" w14:textId="7DF7C15C" w:rsidR="00A11D2E" w:rsidRPr="00AD3B35" w:rsidRDefault="00A11D2E" w:rsidP="00184023">
      <w:r w:rsidRPr="00AD3B35">
        <w:t xml:space="preserve">The largest number of improvements in water quality, relative to degradations over the past 20 years were observed for total suspended and total fixed suspended solids, water clarity (turbidity and Secchi depth) and total nitrogen. Overall, the patterns with respect to these trends indicate improving water quality conditions; however, for all parameters evaluated, some stations showed degrading trends. This is an indication that regardless of the overall </w:t>
      </w:r>
      <w:r w:rsidRPr="00AD3B35">
        <w:lastRenderedPageBreak/>
        <w:t xml:space="preserve">statewide pattern for a given water quality </w:t>
      </w:r>
      <w:r w:rsidR="000C00A2" w:rsidRPr="00AD3B35">
        <w:t>indicator, efforts</w:t>
      </w:r>
      <w:r w:rsidRPr="00AD3B35">
        <w:t xml:space="preserve"> to improve conditions at some sites are still needed. </w:t>
      </w:r>
    </w:p>
    <w:p w14:paraId="2056CF2A" w14:textId="77777777" w:rsidR="0034523A" w:rsidRDefault="0034523A" w:rsidP="00184023"/>
    <w:p w14:paraId="45F6A3E3" w14:textId="2B933542" w:rsidR="00A11D2E" w:rsidRDefault="00A11D2E" w:rsidP="00184023">
      <w:r w:rsidRPr="00AD3B35">
        <w:t xml:space="preserve">Degrading water quality conditions were prevalent over improving conditions for specific conductance, total volatile suspended solids (TVS), and surface water temperature. These parameters have the potential to adversely affect aquatic life and human health both directly, and indirectly, through interactions with other parameters. Specific </w:t>
      </w:r>
      <w:proofErr w:type="gramStart"/>
      <w:r w:rsidRPr="00AD3B35">
        <w:t>conductance</w:t>
      </w:r>
      <w:proofErr w:type="gramEnd"/>
      <w:r w:rsidRPr="00AD3B35">
        <w:t xml:space="preserve"> increases may indicate increases in ionic substances known to adversely affect the health of humans and aquatic life (e.g., sulfates, nitrates, </w:t>
      </w:r>
      <w:r w:rsidR="000C00A2" w:rsidRPr="00AD3B35">
        <w:t>phosphates,</w:t>
      </w:r>
      <w:r w:rsidRPr="00AD3B35">
        <w:t xml:space="preserve"> and metals). Increasing water temperatures may increase the effects of some toxic pollutants, cause reductions in dissolved oxygen concentrations by stimulating respiration and decreasing oxygen solubility and may stimulate the growth of harmful aquatic life, such as toxic species of cyanobacteria. The observed increases in water temperature are likely related to increasing air temperature, as both have been documented over the past several decades in the region</w:t>
      </w:r>
      <w:r w:rsidR="00BB61D0">
        <w:t xml:space="preserve"> (Rice and Jastram 2015)</w:t>
      </w:r>
      <w:r w:rsidRPr="00AD3B35">
        <w:t>.</w:t>
      </w:r>
      <w:r w:rsidR="009228DD">
        <w:t xml:space="preserve"> </w:t>
      </w:r>
      <w:r w:rsidRPr="00AD3B35">
        <w:t>Many of the observed increases in TVS correspond with increases in chlorophyll</w:t>
      </w:r>
      <w:r w:rsidR="00105F37">
        <w:t xml:space="preserve"> </w:t>
      </w:r>
      <w:r w:rsidR="00105F37">
        <w:rPr>
          <w:i/>
          <w:iCs/>
        </w:rPr>
        <w:t>a</w:t>
      </w:r>
      <w:r w:rsidRPr="00AD3B35">
        <w:t xml:space="preserve">, an indicator of increased algal production. Therefore, despite the observed decreasing trends in nitrogen and phosphorus, the observed increases in TVS may be an indicator that algal production is being stimulated in some Virginia waters, which may deplete dissolved oxygen or may result in </w:t>
      </w:r>
      <w:r w:rsidR="00813450">
        <w:t xml:space="preserve">algal </w:t>
      </w:r>
      <w:r w:rsidRPr="00AD3B35">
        <w:t xml:space="preserve">blooms. </w:t>
      </w:r>
    </w:p>
    <w:p w14:paraId="1CDF5834" w14:textId="77777777" w:rsidR="0034523A" w:rsidRDefault="0034523A" w:rsidP="00184023"/>
    <w:p w14:paraId="4681F377" w14:textId="77777777" w:rsidR="00320909" w:rsidRDefault="00A11D2E" w:rsidP="00184023">
      <w:r w:rsidRPr="00AD3B35">
        <w:t xml:space="preserve">The results of this study indicate that additional, site-specific evaluations of the causes and consequences of water quality trends in Virginia are needed. The agency’s ongoing investigation of specific ionic compounds in Virginia’s waters is a prime example of the type of work that is needed to </w:t>
      </w:r>
      <w:r w:rsidR="00813450">
        <w:t xml:space="preserve">better understand </w:t>
      </w:r>
      <w:r w:rsidR="005956EA">
        <w:t>water quality conditions</w:t>
      </w:r>
      <w:r w:rsidRPr="00AD3B35">
        <w:t xml:space="preserve"> in the </w:t>
      </w:r>
      <w:r w:rsidR="003A74B5">
        <w:t>C</w:t>
      </w:r>
      <w:r w:rsidR="003A74B5" w:rsidRPr="00AD3B35">
        <w:t>ommonwealth</w:t>
      </w:r>
      <w:r w:rsidR="003619D1">
        <w:t xml:space="preserve"> and inform development of programs and practices to address these concerns.</w:t>
      </w:r>
    </w:p>
    <w:p w14:paraId="1C9DE237" w14:textId="77777777" w:rsidR="00320909" w:rsidRDefault="00320909">
      <w:pPr>
        <w:widowControl/>
        <w:spacing w:after="160" w:line="259" w:lineRule="auto"/>
      </w:pPr>
      <w:r>
        <w:br w:type="page"/>
      </w:r>
    </w:p>
    <w:p w14:paraId="7056399C" w14:textId="056AE61A" w:rsidR="007D228A" w:rsidRDefault="00E03766" w:rsidP="00216279">
      <w:pPr>
        <w:pStyle w:val="Heading1"/>
      </w:pPr>
      <w:bookmarkStart w:id="388" w:name="_Toc152763322"/>
      <w:bookmarkStart w:id="389" w:name="_Toc155771963"/>
      <w:bookmarkStart w:id="390" w:name="_Toc191900442"/>
      <w:r w:rsidRPr="000A0DB3">
        <w:lastRenderedPageBreak/>
        <w:t>G</w:t>
      </w:r>
      <w:r w:rsidR="000F35F4" w:rsidRPr="000A0DB3">
        <w:t>ROUNDWATER PROTECTION PROGRAMS</w:t>
      </w:r>
      <w:bookmarkEnd w:id="388"/>
      <w:bookmarkEnd w:id="389"/>
      <w:bookmarkEnd w:id="390"/>
      <w:r w:rsidR="00DD1C75">
        <w:br/>
      </w:r>
    </w:p>
    <w:p w14:paraId="39F4A7CE" w14:textId="25604B8D" w:rsidR="004F2ED6" w:rsidRPr="008862C5" w:rsidRDefault="004F2ED6" w:rsidP="004F2ED6">
      <w:pPr>
        <w:pStyle w:val="Heading2"/>
      </w:pPr>
      <w:bookmarkStart w:id="391" w:name="_Toc155771964"/>
      <w:bookmarkStart w:id="392" w:name="_Toc191900443"/>
      <w:r w:rsidRPr="008862C5">
        <w:t>Programs and Resources</w:t>
      </w:r>
      <w:bookmarkEnd w:id="391"/>
      <w:bookmarkEnd w:id="392"/>
    </w:p>
    <w:p w14:paraId="79D65AD5" w14:textId="2E7AE619" w:rsidR="004F2ED6" w:rsidRPr="008862C5" w:rsidRDefault="004F2ED6" w:rsidP="00206F96">
      <w:pPr>
        <w:rPr>
          <w:rFonts w:cstheme="minorHAnsi"/>
          <w:szCs w:val="24"/>
        </w:rPr>
      </w:pPr>
      <w:r w:rsidRPr="008862C5">
        <w:rPr>
          <w:rFonts w:cstheme="minorHAnsi"/>
          <w:szCs w:val="24"/>
        </w:rPr>
        <w:t xml:space="preserve">Groundwater programs in Virginia strive to maintain existing high-quality water through adopted statutes, regulations, and policies. Advancing groundwater protection efforts is the goal of many programs </w:t>
      </w:r>
      <w:r w:rsidR="00EC495C">
        <w:rPr>
          <w:rFonts w:cstheme="minorHAnsi"/>
          <w:szCs w:val="24"/>
        </w:rPr>
        <w:t>across</w:t>
      </w:r>
      <w:r w:rsidRPr="008862C5">
        <w:rPr>
          <w:rFonts w:cstheme="minorHAnsi"/>
          <w:szCs w:val="24"/>
        </w:rPr>
        <w:t xml:space="preserve"> </w:t>
      </w:r>
      <w:r w:rsidR="00EC495C">
        <w:rPr>
          <w:rFonts w:cstheme="minorHAnsi"/>
          <w:szCs w:val="24"/>
        </w:rPr>
        <w:t>multiple</w:t>
      </w:r>
      <w:r w:rsidRPr="008862C5">
        <w:rPr>
          <w:rFonts w:cstheme="minorHAnsi"/>
          <w:szCs w:val="24"/>
        </w:rPr>
        <w:t xml:space="preserve"> state agencies. The </w:t>
      </w:r>
      <w:r w:rsidR="00E63B35" w:rsidRPr="008862C5">
        <w:rPr>
          <w:rFonts w:cstheme="minorHAnsi"/>
          <w:szCs w:val="24"/>
        </w:rPr>
        <w:t xml:space="preserve">2022 </w:t>
      </w:r>
      <w:r w:rsidRPr="008862C5">
        <w:rPr>
          <w:rFonts w:cstheme="minorHAnsi"/>
          <w:szCs w:val="24"/>
        </w:rPr>
        <w:t>Virgina State Water Resources Plan comprehensive</w:t>
      </w:r>
      <w:r w:rsidR="00481420">
        <w:rPr>
          <w:rFonts w:cstheme="minorHAnsi"/>
          <w:szCs w:val="24"/>
        </w:rPr>
        <w:t xml:space="preserve">ly </w:t>
      </w:r>
      <w:r w:rsidRPr="008862C5">
        <w:rPr>
          <w:rFonts w:cstheme="minorHAnsi"/>
          <w:szCs w:val="24"/>
        </w:rPr>
        <w:t>incorporates information from 48 local and regional water supply plans, water withdrawal reporting, and more</w:t>
      </w:r>
      <w:r w:rsidR="00082673">
        <w:rPr>
          <w:rFonts w:cstheme="minorHAnsi"/>
          <w:szCs w:val="24"/>
        </w:rPr>
        <w:t>,</w:t>
      </w:r>
      <w:r w:rsidRPr="008862C5">
        <w:rPr>
          <w:rFonts w:cstheme="minorHAnsi"/>
          <w:szCs w:val="24"/>
        </w:rPr>
        <w:t xml:space="preserve"> into a single document. This Resources Plan is updated every five </w:t>
      </w:r>
      <w:r w:rsidR="000121C3" w:rsidRPr="008862C5">
        <w:rPr>
          <w:rFonts w:cstheme="minorHAnsi"/>
          <w:szCs w:val="24"/>
        </w:rPr>
        <w:t>years and</w:t>
      </w:r>
      <w:r w:rsidRPr="008862C5">
        <w:rPr>
          <w:rFonts w:cstheme="minorHAnsi"/>
          <w:szCs w:val="24"/>
        </w:rPr>
        <w:t xml:space="preserve"> can be found on the DEQ Virginia State Water Resources Plan webpage. The Annual Water Resources Report focuses on water quantity and supply, with the most up-to-date summaries on water withdraw trends for the state. The report also provides updates on the </w:t>
      </w:r>
      <w:r w:rsidR="00513BF2">
        <w:rPr>
          <w:rFonts w:cstheme="minorHAnsi"/>
          <w:szCs w:val="24"/>
        </w:rPr>
        <w:t>state’s</w:t>
      </w:r>
      <w:r w:rsidRPr="008862C5">
        <w:rPr>
          <w:rFonts w:cstheme="minorHAnsi"/>
          <w:szCs w:val="24"/>
        </w:rPr>
        <w:t xml:space="preserve"> water resource management </w:t>
      </w:r>
      <w:r w:rsidR="00A57998" w:rsidRPr="008862C5">
        <w:rPr>
          <w:rFonts w:cstheme="minorHAnsi"/>
          <w:szCs w:val="24"/>
        </w:rPr>
        <w:t>activities and</w:t>
      </w:r>
      <w:r w:rsidRPr="008862C5">
        <w:rPr>
          <w:rFonts w:cstheme="minorHAnsi"/>
          <w:szCs w:val="24"/>
        </w:rPr>
        <w:t xml:space="preserve"> can be found on the DEQ Water Supply Planning webpage.</w:t>
      </w:r>
      <w:r w:rsidRPr="008862C5">
        <w:rPr>
          <w:rFonts w:cstheme="minorHAnsi"/>
          <w:szCs w:val="24"/>
        </w:rPr>
        <w:br/>
      </w:r>
      <w:r w:rsidRPr="008862C5">
        <w:rPr>
          <w:rFonts w:cstheme="minorHAnsi"/>
          <w:szCs w:val="24"/>
        </w:rPr>
        <w:br/>
        <w:t>Additional information regarding groundwater characterization in the state, such as the Virginia Chloride Monitoring Network, and the Spring of Virginia Report can be found on the DEQ Groundwater Characterization Program</w:t>
      </w:r>
      <w:r w:rsidR="008A3CCC">
        <w:rPr>
          <w:rFonts w:cstheme="minorHAnsi"/>
          <w:szCs w:val="24"/>
        </w:rPr>
        <w:t xml:space="preserve"> webpage</w:t>
      </w:r>
      <w:r w:rsidRPr="008862C5">
        <w:rPr>
          <w:rFonts w:cstheme="minorHAnsi"/>
          <w:szCs w:val="24"/>
        </w:rPr>
        <w:t>. In 2023 the Virginia spring geodatabase was made available to the public at DEQ’s Virginia Environmental Data Hub webpage</w:t>
      </w:r>
      <w:r w:rsidR="008A3CCC">
        <w:rPr>
          <w:rFonts w:cstheme="minorHAnsi"/>
          <w:szCs w:val="24"/>
        </w:rPr>
        <w:t xml:space="preserve">. </w:t>
      </w:r>
      <w:r w:rsidR="00056FED">
        <w:rPr>
          <w:rFonts w:cstheme="minorHAnsi"/>
          <w:szCs w:val="24"/>
        </w:rPr>
        <w:t>Regul</w:t>
      </w:r>
      <w:r w:rsidR="00A72D95">
        <w:rPr>
          <w:rFonts w:cstheme="minorHAnsi"/>
          <w:szCs w:val="24"/>
        </w:rPr>
        <w:t>atory and p</w:t>
      </w:r>
      <w:r w:rsidRPr="008862C5">
        <w:rPr>
          <w:rFonts w:cstheme="minorHAnsi"/>
          <w:szCs w:val="24"/>
        </w:rPr>
        <w:t>ermitting information for water withdrawal, including surface waters, ground waters, and water well</w:t>
      </w:r>
      <w:r w:rsidR="000C54FA">
        <w:rPr>
          <w:rFonts w:cstheme="minorHAnsi"/>
          <w:szCs w:val="24"/>
        </w:rPr>
        <w:t xml:space="preserve">s </w:t>
      </w:r>
      <w:r w:rsidRPr="008862C5">
        <w:rPr>
          <w:rFonts w:cstheme="minorHAnsi"/>
          <w:szCs w:val="24"/>
        </w:rPr>
        <w:t>can be found on the DEQ Water Withdrawal webpage.</w:t>
      </w:r>
    </w:p>
    <w:p w14:paraId="2F6784C8" w14:textId="77777777" w:rsidR="004F2ED6" w:rsidRPr="008862C5" w:rsidRDefault="004F2ED6" w:rsidP="004F2ED6">
      <w:pPr>
        <w:rPr>
          <w:rFonts w:cstheme="minorHAnsi"/>
          <w:szCs w:val="24"/>
        </w:rPr>
      </w:pPr>
    </w:p>
    <w:p w14:paraId="315DB99C" w14:textId="136B2AB0" w:rsidR="004F2ED6" w:rsidRPr="008862C5" w:rsidRDefault="004F2ED6" w:rsidP="004F2ED6">
      <w:pPr>
        <w:rPr>
          <w:rFonts w:cstheme="minorHAnsi"/>
          <w:szCs w:val="24"/>
        </w:rPr>
      </w:pPr>
      <w:r w:rsidRPr="008862C5">
        <w:rPr>
          <w:rFonts w:cstheme="minorHAnsi"/>
          <w:szCs w:val="24"/>
        </w:rPr>
        <w:t xml:space="preserve">The Source Water Protection Plan Development and Implementation Assistance </w:t>
      </w:r>
      <w:r w:rsidR="000E6CFB">
        <w:rPr>
          <w:rFonts w:cstheme="minorHAnsi"/>
          <w:szCs w:val="24"/>
        </w:rPr>
        <w:t xml:space="preserve">Program </w:t>
      </w:r>
      <w:r w:rsidRPr="008862C5">
        <w:rPr>
          <w:rFonts w:cstheme="minorHAnsi"/>
          <w:szCs w:val="24"/>
        </w:rPr>
        <w:t>is available for community waterworks that serve less than 50,000 people and process water directly from a drinking water source. DEQ partner</w:t>
      </w:r>
      <w:r w:rsidR="005A47C8">
        <w:rPr>
          <w:rFonts w:cstheme="minorHAnsi"/>
          <w:szCs w:val="24"/>
        </w:rPr>
        <w:t>s</w:t>
      </w:r>
      <w:r w:rsidRPr="008862C5">
        <w:rPr>
          <w:rFonts w:cstheme="minorHAnsi"/>
          <w:szCs w:val="24"/>
        </w:rPr>
        <w:t xml:space="preserve"> with VDH in procuring contractors to develop these plans. VDH offers technical assistance to waterworks not already working with one of the source water protection contractors in the form of GIS maps and reports, source water protection plan templates, and other resources. VDH has been collaborating with DEQ to offer Wellhead Protection Implementation Project Grants for local wellhead protection projects. This funding is available to localities or service authorities who own or operate a community waterworks, process drinking water directly from a groundwater supply source, have a protection strategy in place, and have an active source water protection committee. Additional information can be found </w:t>
      </w:r>
      <w:proofErr w:type="gramStart"/>
      <w:r w:rsidRPr="008862C5">
        <w:rPr>
          <w:rFonts w:cstheme="minorHAnsi"/>
          <w:szCs w:val="24"/>
        </w:rPr>
        <w:t>at</w:t>
      </w:r>
      <w:proofErr w:type="gramEnd"/>
      <w:r w:rsidR="00896F70">
        <w:rPr>
          <w:rFonts w:cstheme="minorHAnsi"/>
          <w:szCs w:val="24"/>
        </w:rPr>
        <w:t xml:space="preserve"> the VDH source water programs webpage</w:t>
      </w:r>
      <w:r w:rsidRPr="008862C5">
        <w:rPr>
          <w:rFonts w:cstheme="minorHAnsi"/>
          <w:szCs w:val="24"/>
        </w:rPr>
        <w:t>.</w:t>
      </w:r>
    </w:p>
    <w:p w14:paraId="73A65E0D" w14:textId="77777777" w:rsidR="004F2ED6" w:rsidRPr="008862C5" w:rsidRDefault="004F2ED6" w:rsidP="004F2ED6">
      <w:pPr>
        <w:rPr>
          <w:rFonts w:cstheme="minorHAnsi"/>
          <w:szCs w:val="24"/>
        </w:rPr>
      </w:pPr>
    </w:p>
    <w:p w14:paraId="50730465" w14:textId="7E8BFC61" w:rsidR="004F2ED6" w:rsidRPr="008862C5" w:rsidRDefault="004F2ED6" w:rsidP="004F2ED6">
      <w:pPr>
        <w:rPr>
          <w:rFonts w:cstheme="minorHAnsi"/>
          <w:szCs w:val="24"/>
        </w:rPr>
      </w:pPr>
      <w:r w:rsidRPr="008862C5">
        <w:rPr>
          <w:rFonts w:cstheme="minorHAnsi"/>
          <w:szCs w:val="24"/>
        </w:rPr>
        <w:t xml:space="preserve">A multitude of activities have the potential to impact the quality of groundwater in the state. </w:t>
      </w:r>
      <w:r w:rsidR="001030B6">
        <w:rPr>
          <w:rFonts w:cstheme="minorHAnsi"/>
          <w:szCs w:val="24"/>
        </w:rPr>
        <w:t xml:space="preserve">Programs from </w:t>
      </w:r>
      <w:r w:rsidRPr="008862C5">
        <w:rPr>
          <w:rFonts w:cstheme="minorHAnsi"/>
          <w:szCs w:val="24"/>
        </w:rPr>
        <w:t>DEQ and other state agenc</w:t>
      </w:r>
      <w:r w:rsidR="001030B6">
        <w:rPr>
          <w:rFonts w:cstheme="minorHAnsi"/>
          <w:szCs w:val="24"/>
        </w:rPr>
        <w:t xml:space="preserve">ies </w:t>
      </w:r>
      <w:r w:rsidRPr="008862C5">
        <w:rPr>
          <w:rFonts w:cstheme="minorHAnsi"/>
          <w:szCs w:val="24"/>
        </w:rPr>
        <w:t xml:space="preserve">monitor these activities and facilitate best practices to reduce impacts to the state’s groundwater. The annual underground storage tank statistics report describes important underground storage tank information such as annual facility </w:t>
      </w:r>
      <w:proofErr w:type="gramStart"/>
      <w:r w:rsidRPr="008862C5">
        <w:rPr>
          <w:rFonts w:cstheme="minorHAnsi"/>
          <w:szCs w:val="24"/>
        </w:rPr>
        <w:t>complicate</w:t>
      </w:r>
      <w:proofErr w:type="gramEnd"/>
      <w:r w:rsidRPr="008862C5">
        <w:rPr>
          <w:rFonts w:cstheme="minorHAnsi"/>
          <w:szCs w:val="24"/>
        </w:rPr>
        <w:t xml:space="preserve"> and release </w:t>
      </w:r>
      <w:r w:rsidR="00C56A25" w:rsidRPr="008862C5">
        <w:rPr>
          <w:rFonts w:cstheme="minorHAnsi"/>
          <w:szCs w:val="24"/>
        </w:rPr>
        <w:t>rates and</w:t>
      </w:r>
      <w:r w:rsidRPr="008862C5">
        <w:rPr>
          <w:rFonts w:cstheme="minorHAnsi"/>
          <w:szCs w:val="24"/>
        </w:rPr>
        <w:t xml:space="preserve"> can be found on the DEQ underground storage webpage. Information relevant to solid and hazardous waste inventory and management can be found on the DEQ Soil and Hazardous Waste</w:t>
      </w:r>
      <w:r w:rsidR="00C56A25">
        <w:rPr>
          <w:rFonts w:cstheme="minorHAnsi"/>
          <w:szCs w:val="24"/>
        </w:rPr>
        <w:t xml:space="preserve"> webpage</w:t>
      </w:r>
      <w:r w:rsidRPr="008862C5">
        <w:rPr>
          <w:rFonts w:cstheme="minorHAnsi"/>
          <w:szCs w:val="24"/>
        </w:rPr>
        <w:t>, and state remediation program information can be found on the DEQ Office of Remediation Programs webpage</w:t>
      </w:r>
      <w:r w:rsidR="00C56A25">
        <w:rPr>
          <w:rFonts w:cstheme="minorHAnsi"/>
          <w:szCs w:val="24"/>
        </w:rPr>
        <w:t>.</w:t>
      </w:r>
      <w:r w:rsidRPr="008862C5">
        <w:rPr>
          <w:rFonts w:cstheme="minorHAnsi"/>
          <w:szCs w:val="24"/>
        </w:rPr>
        <w:t xml:space="preserve"> The Virginia Department of Agriculture and Consumer Services</w:t>
      </w:r>
      <w:r w:rsidR="00916B22">
        <w:rPr>
          <w:rFonts w:cstheme="minorHAnsi"/>
          <w:szCs w:val="24"/>
        </w:rPr>
        <w:t xml:space="preserve"> (VDACS)</w:t>
      </w:r>
      <w:r w:rsidRPr="008862C5">
        <w:rPr>
          <w:rFonts w:cstheme="minorHAnsi"/>
          <w:szCs w:val="24"/>
        </w:rPr>
        <w:t xml:space="preserve"> provides programs which promote healthy groundwater resources such as assisting in the disposal of pesticides and pesticide </w:t>
      </w:r>
      <w:r w:rsidRPr="008862C5">
        <w:rPr>
          <w:rFonts w:cstheme="minorHAnsi"/>
          <w:szCs w:val="24"/>
        </w:rPr>
        <w:lastRenderedPageBreak/>
        <w:t>containers.</w:t>
      </w:r>
      <w:r w:rsidR="00916B22">
        <w:rPr>
          <w:rFonts w:cstheme="minorHAnsi"/>
          <w:szCs w:val="24"/>
        </w:rPr>
        <w:t xml:space="preserve"> More information on pesticide collections and pesticide container recycling can be found on the VDACS website. </w:t>
      </w:r>
    </w:p>
    <w:p w14:paraId="677C7147" w14:textId="77777777" w:rsidR="004F2ED6" w:rsidRPr="008862C5" w:rsidRDefault="004F2ED6" w:rsidP="004F2ED6">
      <w:pPr>
        <w:rPr>
          <w:rFonts w:cstheme="minorHAnsi"/>
          <w:szCs w:val="24"/>
        </w:rPr>
      </w:pPr>
    </w:p>
    <w:p w14:paraId="2C12A1C9" w14:textId="55E0F81E" w:rsidR="004F2ED6" w:rsidRPr="008862C5" w:rsidRDefault="009A608B" w:rsidP="004F2ED6">
      <w:pPr>
        <w:pStyle w:val="Heading2"/>
      </w:pPr>
      <w:bookmarkStart w:id="393" w:name="_Toc155771965"/>
      <w:bookmarkStart w:id="394" w:name="_Toc191900444"/>
      <w:r>
        <w:t>Current Activities and Developments</w:t>
      </w:r>
      <w:bookmarkEnd w:id="393"/>
      <w:bookmarkEnd w:id="394"/>
    </w:p>
    <w:p w14:paraId="61D5728F" w14:textId="1DD584B7" w:rsidR="004F2ED6" w:rsidRPr="00C27D73" w:rsidRDefault="004F2ED6" w:rsidP="004F2ED6">
      <w:pPr>
        <w:textAlignment w:val="baseline"/>
        <w:rPr>
          <w:rFonts w:cstheme="minorHAnsi"/>
          <w:szCs w:val="24"/>
        </w:rPr>
      </w:pPr>
      <w:r w:rsidRPr="008862C5">
        <w:rPr>
          <w:rFonts w:cstheme="minorHAnsi"/>
          <w:szCs w:val="24"/>
        </w:rPr>
        <w:t>As a part of the State Observation Well Program</w:t>
      </w:r>
      <w:r w:rsidR="00A5083C">
        <w:rPr>
          <w:rFonts w:cstheme="minorHAnsi"/>
          <w:szCs w:val="24"/>
        </w:rPr>
        <w:t xml:space="preserve"> (SOW)</w:t>
      </w:r>
      <w:r w:rsidRPr="008862C5">
        <w:rPr>
          <w:rFonts w:cstheme="minorHAnsi"/>
          <w:szCs w:val="24"/>
        </w:rPr>
        <w:t xml:space="preserve">, DEQ collects groundwater-level data at 290 wells, and the USGS collects groundwater-level data at approximately 100 wells, in the DEQ/USGS Groundwater-Level Monitoring Network. Of the wells in the shared network, approximately 189 are equipped with real-time monitoring instrumentation that measures, stores, and uploads water-level data to a USGS server using satellite telemetry. Data from the wells in the DEQ/USGS network are </w:t>
      </w:r>
      <w:r w:rsidR="00E24137">
        <w:rPr>
          <w:rFonts w:cstheme="minorHAnsi"/>
          <w:szCs w:val="24"/>
        </w:rPr>
        <w:t xml:space="preserve">available at the USGS Groundwater Data for Virginia </w:t>
      </w:r>
      <w:r w:rsidR="00B158D4">
        <w:rPr>
          <w:rFonts w:cstheme="minorHAnsi"/>
          <w:szCs w:val="24"/>
        </w:rPr>
        <w:t>webpage.</w:t>
      </w:r>
      <w:r w:rsidR="00C27D73">
        <w:rPr>
          <w:rFonts w:cstheme="minorHAnsi"/>
          <w:szCs w:val="24"/>
        </w:rPr>
        <w:t xml:space="preserve"> </w:t>
      </w:r>
      <w:r w:rsidRPr="008862C5">
        <w:rPr>
          <w:rFonts w:cstheme="minorHAnsi"/>
          <w:szCs w:val="24"/>
        </w:rPr>
        <w:t xml:space="preserve">The USGS discontinued its Groundwater Watch feature in 2022, but current water level data are available on a new interactive map browser </w:t>
      </w:r>
      <w:r w:rsidR="00126F8C">
        <w:rPr>
          <w:rFonts w:cstheme="minorHAnsi"/>
          <w:szCs w:val="24"/>
        </w:rPr>
        <w:t>hosted by the USGS</w:t>
      </w:r>
      <w:r w:rsidRPr="008862C5">
        <w:rPr>
          <w:rFonts w:cstheme="minorHAnsi"/>
          <w:szCs w:val="24"/>
        </w:rPr>
        <w:t>.</w:t>
      </w:r>
      <w:r w:rsidRPr="008862C5">
        <w:rPr>
          <w:rFonts w:eastAsia="Palatino Linotype" w:cstheme="minorHAnsi"/>
          <w:spacing w:val="-2"/>
          <w:szCs w:val="24"/>
        </w:rPr>
        <w:t xml:space="preserve"> In 2023, the Ambient Groundwater Quality Monitoring Program continued to focus on the collection of groundwater samples from trend wells and newly installed SOWs. Trend wells were selected for sampling to monitor for salt water </w:t>
      </w:r>
      <w:proofErr w:type="spellStart"/>
      <w:r w:rsidRPr="008862C5">
        <w:rPr>
          <w:rFonts w:eastAsia="Palatino Linotype" w:cstheme="minorHAnsi"/>
          <w:spacing w:val="-2"/>
          <w:szCs w:val="24"/>
        </w:rPr>
        <w:t>upconing</w:t>
      </w:r>
      <w:proofErr w:type="spellEnd"/>
      <w:r w:rsidR="00633A39">
        <w:rPr>
          <w:rFonts w:eastAsia="Palatino Linotype" w:cstheme="minorHAnsi"/>
          <w:szCs w:val="24"/>
        </w:rPr>
        <w:t>,</w:t>
      </w:r>
      <w:r w:rsidRPr="008862C5">
        <w:rPr>
          <w:rFonts w:eastAsia="Palatino Linotype" w:cstheme="minorHAnsi"/>
          <w:spacing w:val="-2"/>
          <w:szCs w:val="24"/>
        </w:rPr>
        <w:t xml:space="preserve"> the transient upwelling of salty groundwater that can occur in response to the local removal of non-saline groundwater by </w:t>
      </w:r>
      <w:proofErr w:type="gramStart"/>
      <w:r w:rsidRPr="008862C5">
        <w:rPr>
          <w:rFonts w:eastAsia="Palatino Linotype" w:cstheme="minorHAnsi"/>
          <w:spacing w:val="-2"/>
          <w:szCs w:val="24"/>
        </w:rPr>
        <w:t>supply</w:t>
      </w:r>
      <w:proofErr w:type="gramEnd"/>
      <w:r w:rsidRPr="008862C5">
        <w:rPr>
          <w:rFonts w:eastAsia="Palatino Linotype" w:cstheme="minorHAnsi"/>
          <w:spacing w:val="-2"/>
          <w:szCs w:val="24"/>
        </w:rPr>
        <w:t xml:space="preserve"> wells in the Coastal Plain aquifer system. Trend wells were sampled to document chloride concentrations in portions of the Coastal Plain aquifer system that may be vulnerable to lateral migration of the freshwater/saltwater interface, or the more regional phenomena known as saltwater intrusion. </w:t>
      </w:r>
      <w:r w:rsidRPr="008862C5">
        <w:rPr>
          <w:rFonts w:eastAsia="Palatino Linotype" w:cstheme="minorHAnsi"/>
          <w:szCs w:val="24"/>
        </w:rPr>
        <w:t xml:space="preserve">Trend wells are typically sampled quarterly, but sampling was suspended during certain intervals of the pandemic. As of 2023, regular trend monitoring has resumed, and sample frequency is being evaluated for optimization. </w:t>
      </w:r>
      <w:r w:rsidRPr="008862C5">
        <w:rPr>
          <w:rFonts w:eastAsia="Palatino Linotype" w:cstheme="minorHAnsi"/>
          <w:spacing w:val="-2"/>
          <w:szCs w:val="24"/>
        </w:rPr>
        <w:t xml:space="preserve">Spot sampling focused on recently installed SOW stations associated with the International Paper Franklin Mill in Isle of Wight County and the </w:t>
      </w:r>
      <w:proofErr w:type="spellStart"/>
      <w:r w:rsidRPr="008862C5">
        <w:rPr>
          <w:rFonts w:eastAsia="Palatino Linotype" w:cstheme="minorHAnsi"/>
          <w:spacing w:val="-2"/>
          <w:szCs w:val="24"/>
        </w:rPr>
        <w:t>Solenis</w:t>
      </w:r>
      <w:proofErr w:type="spellEnd"/>
      <w:r w:rsidRPr="008862C5">
        <w:rPr>
          <w:rFonts w:eastAsia="Palatino Linotype" w:cstheme="minorHAnsi"/>
          <w:spacing w:val="-2"/>
          <w:szCs w:val="24"/>
        </w:rPr>
        <w:t xml:space="preserve"> facility in Southampton County. In 2023, a new SOW was installed at the Lake Kilby Water Treatment Facility in the City of Suffolk, and a spot sample will be collected at this location.</w:t>
      </w:r>
    </w:p>
    <w:p w14:paraId="5498D048" w14:textId="77777777" w:rsidR="004F2ED6" w:rsidRPr="008862C5" w:rsidRDefault="004F2ED6" w:rsidP="004F2ED6">
      <w:pPr>
        <w:textAlignment w:val="baseline"/>
        <w:rPr>
          <w:rFonts w:cstheme="minorHAnsi"/>
          <w:szCs w:val="24"/>
        </w:rPr>
      </w:pPr>
    </w:p>
    <w:p w14:paraId="66A29FF9" w14:textId="7BB59584" w:rsidR="004F2ED6" w:rsidRDefault="004F2ED6" w:rsidP="004F2ED6">
      <w:pPr>
        <w:textAlignment w:val="baseline"/>
        <w:rPr>
          <w:rFonts w:eastAsia="Calibri" w:cstheme="minorHAnsi"/>
          <w:color w:val="000000"/>
          <w:spacing w:val="-3"/>
          <w:szCs w:val="24"/>
        </w:rPr>
      </w:pPr>
      <w:r w:rsidRPr="008862C5">
        <w:rPr>
          <w:rFonts w:cstheme="minorHAnsi"/>
          <w:szCs w:val="24"/>
        </w:rPr>
        <w:t>Since the 2022 IR, DEQ staff have continued to engage</w:t>
      </w:r>
      <w:r w:rsidRPr="008862C5">
        <w:rPr>
          <w:rFonts w:eastAsia="Calibri" w:cstheme="minorHAnsi"/>
          <w:color w:val="000000"/>
          <w:spacing w:val="-3"/>
          <w:szCs w:val="24"/>
        </w:rPr>
        <w:t xml:space="preserve"> in a variety of cooperative efforts with the USGS. One such project is to develop an updated groundwater flow model of Virginia’s Eastern Shore. An improved understanding of the hydrogeology of the Eastern Shore is required to refine groundwater management strategies associated with sustainable extraction rates as well as regional contaminant fate and transport predictions (including saltwater intrusion). The hydrogeologic framework of the Virginia Eastern Shore was revised through a collaborative effort between the DEQ and the USGS. That report, USGS Scientific Investigations Report (SIR) 2019-5093, “Hydrogeologic Framework of the Virginia Eastern Shore,” is available for download </w:t>
      </w:r>
      <w:r w:rsidR="007A28F4">
        <w:rPr>
          <w:rFonts w:eastAsia="Calibri" w:cstheme="minorHAnsi"/>
          <w:color w:val="000000"/>
          <w:spacing w:val="-3"/>
          <w:szCs w:val="24"/>
        </w:rPr>
        <w:t>on the USGS publications webpage</w:t>
      </w:r>
      <w:r w:rsidRPr="008862C5">
        <w:rPr>
          <w:rFonts w:eastAsia="Calibri" w:cstheme="minorHAnsi"/>
          <w:color w:val="000000"/>
          <w:spacing w:val="-3"/>
          <w:szCs w:val="24"/>
        </w:rPr>
        <w:t>. This report provides the model domain for the updated groundwater flow model that is currently in development by the USGS. Water-level data acquired through the DEQ/USGS Groundwater-Level Monitoring Network will provide much of the necessary information for calibration of that model once it is completed. Results of the effort will be documented and published by the USGS. A data release from SIR 2019-5093 became available in 2021 for download</w:t>
      </w:r>
      <w:r w:rsidR="00244FBF">
        <w:rPr>
          <w:rFonts w:eastAsia="Calibri" w:cstheme="minorHAnsi"/>
          <w:color w:val="000000"/>
          <w:spacing w:val="-3"/>
          <w:szCs w:val="24"/>
        </w:rPr>
        <w:t>.</w:t>
      </w:r>
    </w:p>
    <w:p w14:paraId="456AE946" w14:textId="77777777" w:rsidR="00244FBF" w:rsidRPr="008862C5" w:rsidRDefault="00244FBF" w:rsidP="004F2ED6">
      <w:pPr>
        <w:textAlignment w:val="baseline"/>
        <w:rPr>
          <w:rFonts w:eastAsia="Calibri" w:cstheme="minorHAnsi"/>
          <w:color w:val="000000"/>
          <w:spacing w:val="-3"/>
          <w:szCs w:val="24"/>
        </w:rPr>
      </w:pPr>
    </w:p>
    <w:p w14:paraId="51DB4824" w14:textId="77777777" w:rsidR="00320909" w:rsidRDefault="00472906" w:rsidP="00B503E3">
      <w:pPr>
        <w:textAlignment w:val="baseline"/>
        <w:rPr>
          <w:rFonts w:eastAsia="Calibri" w:cstheme="minorHAnsi"/>
          <w:color w:val="000000"/>
          <w:spacing w:val="-3"/>
          <w:szCs w:val="24"/>
        </w:rPr>
      </w:pPr>
      <w:proofErr w:type="spellStart"/>
      <w:r w:rsidRPr="008D60CE">
        <w:rPr>
          <w:rFonts w:eastAsia="Calibri" w:cstheme="minorHAnsi"/>
          <w:color w:val="000000"/>
          <w:spacing w:val="-3"/>
          <w:szCs w:val="24"/>
        </w:rPr>
        <w:t>Hydrostratigraphy</w:t>
      </w:r>
      <w:proofErr w:type="spellEnd"/>
      <w:r w:rsidRPr="008D60CE">
        <w:rPr>
          <w:rFonts w:eastAsia="Calibri" w:cstheme="minorHAnsi"/>
          <w:color w:val="000000"/>
          <w:spacing w:val="-3"/>
          <w:szCs w:val="24"/>
        </w:rPr>
        <w:t xml:space="preserve"> is the classification of the naturally occurring distinctions in subsurface rock and water into units, each with defined areal extent, thickness and hydraulic, or fluid movement, </w:t>
      </w:r>
      <w:r w:rsidRPr="008D60CE">
        <w:rPr>
          <w:rFonts w:eastAsia="Calibri" w:cstheme="minorHAnsi"/>
          <w:color w:val="000000"/>
          <w:spacing w:val="-3"/>
          <w:szCs w:val="24"/>
        </w:rPr>
        <w:lastRenderedPageBreak/>
        <w:t>characteristics</w:t>
      </w:r>
      <w:r>
        <w:rPr>
          <w:rFonts w:eastAsia="Calibri" w:cstheme="minorHAnsi"/>
          <w:color w:val="000000"/>
          <w:spacing w:val="-3"/>
          <w:szCs w:val="24"/>
        </w:rPr>
        <w:t xml:space="preserve">. </w:t>
      </w:r>
      <w:r w:rsidRPr="00A170F7">
        <w:rPr>
          <w:rFonts w:eastAsia="Calibri" w:cstheme="minorHAnsi"/>
          <w:color w:val="000000"/>
          <w:spacing w:val="-3"/>
          <w:szCs w:val="24"/>
        </w:rPr>
        <w:t xml:space="preserve">DEQ and USGS have worked to review, and update mapped </w:t>
      </w:r>
      <w:proofErr w:type="spellStart"/>
      <w:r w:rsidRPr="00A170F7">
        <w:rPr>
          <w:rFonts w:eastAsia="Calibri" w:cstheme="minorHAnsi"/>
          <w:color w:val="000000"/>
          <w:spacing w:val="-3"/>
          <w:szCs w:val="24"/>
        </w:rPr>
        <w:t>hydrostatigraphy</w:t>
      </w:r>
      <w:proofErr w:type="spellEnd"/>
      <w:r w:rsidRPr="00A170F7">
        <w:rPr>
          <w:rFonts w:eastAsia="Calibri" w:cstheme="minorHAnsi"/>
          <w:color w:val="000000"/>
          <w:spacing w:val="-3"/>
          <w:szCs w:val="24"/>
        </w:rPr>
        <w:t xml:space="preserve"> </w:t>
      </w:r>
      <w:r>
        <w:rPr>
          <w:rFonts w:eastAsia="Calibri" w:cstheme="minorHAnsi"/>
          <w:color w:val="000000"/>
          <w:spacing w:val="-3"/>
          <w:szCs w:val="24"/>
        </w:rPr>
        <w:t xml:space="preserve">in multiple Virginia locations, which may have implications for management of groundwater and permitted groundwater withdrawals. </w:t>
      </w:r>
      <w:r w:rsidR="007475B1">
        <w:rPr>
          <w:rFonts w:eastAsia="Calibri" w:cstheme="minorHAnsi"/>
          <w:color w:val="000000"/>
          <w:spacing w:val="-3"/>
          <w:szCs w:val="24"/>
        </w:rPr>
        <w:t>For more information, see</w:t>
      </w:r>
      <w:r w:rsidR="0005206E">
        <w:rPr>
          <w:rFonts w:eastAsia="Calibri" w:cstheme="minorHAnsi"/>
          <w:color w:val="000000"/>
          <w:spacing w:val="-3"/>
          <w:szCs w:val="24"/>
        </w:rPr>
        <w:t xml:space="preserve"> the report, Revisions to the Virginia Coastal Plain hydrogeologic framework</w:t>
      </w:r>
      <w:r w:rsidR="002D7FC2">
        <w:rPr>
          <w:rFonts w:eastAsia="Calibri" w:cstheme="minorHAnsi"/>
          <w:color w:val="000000"/>
          <w:spacing w:val="-3"/>
          <w:szCs w:val="24"/>
        </w:rPr>
        <w:t xml:space="preserve"> southwest of the James River</w:t>
      </w:r>
      <w:r w:rsidR="007475B1">
        <w:rPr>
          <w:rFonts w:eastAsia="Calibri" w:cstheme="minorHAnsi"/>
          <w:color w:val="000000"/>
          <w:spacing w:val="-3"/>
          <w:szCs w:val="24"/>
        </w:rPr>
        <w:t>,</w:t>
      </w:r>
      <w:r w:rsidR="00B503E3">
        <w:rPr>
          <w:rFonts w:eastAsia="Calibri" w:cstheme="minorHAnsi"/>
          <w:color w:val="000000"/>
          <w:spacing w:val="-3"/>
          <w:szCs w:val="24"/>
        </w:rPr>
        <w:t xml:space="preserve"> the USGS data SIR 2022-5049, and the science base catalogue</w:t>
      </w:r>
      <w:r w:rsidR="002D7FC2">
        <w:rPr>
          <w:rFonts w:eastAsia="Calibri" w:cstheme="minorHAnsi"/>
          <w:color w:val="000000"/>
          <w:spacing w:val="-3"/>
          <w:szCs w:val="24"/>
        </w:rPr>
        <w:t>.</w:t>
      </w:r>
    </w:p>
    <w:p w14:paraId="0B4EC965" w14:textId="77777777" w:rsidR="00320909" w:rsidRDefault="00320909" w:rsidP="00B503E3">
      <w:pPr>
        <w:textAlignment w:val="baseline"/>
        <w:rPr>
          <w:rFonts w:eastAsia="Calibri" w:cstheme="minorHAnsi"/>
          <w:color w:val="000000"/>
          <w:spacing w:val="-3"/>
          <w:szCs w:val="24"/>
        </w:rPr>
      </w:pPr>
    </w:p>
    <w:p w14:paraId="281B128A" w14:textId="77777777" w:rsidR="00320909" w:rsidRDefault="004F2ED6" w:rsidP="00216279">
      <w:pPr>
        <w:rPr>
          <w:rFonts w:cstheme="minorHAnsi"/>
          <w:szCs w:val="24"/>
        </w:rPr>
      </w:pPr>
      <w:r w:rsidRPr="008862C5">
        <w:rPr>
          <w:rFonts w:cstheme="minorHAnsi"/>
          <w:szCs w:val="24"/>
        </w:rPr>
        <w:t xml:space="preserve">DEQ staff continued working in cooperation with the USGS and Virginia Tech on several cooperative projects. The focus of the current year is an evaluation of water planning data including water availability and storage, consumptive use and projected demand, and investigation of model error that will provide clarity to water data users. Previous years have </w:t>
      </w:r>
      <w:proofErr w:type="gramStart"/>
      <w:r w:rsidRPr="008862C5">
        <w:rPr>
          <w:rFonts w:cstheme="minorHAnsi"/>
          <w:szCs w:val="24"/>
        </w:rPr>
        <w:t>centered</w:t>
      </w:r>
      <w:proofErr w:type="gramEnd"/>
      <w:r w:rsidRPr="008862C5">
        <w:rPr>
          <w:rFonts w:cstheme="minorHAnsi"/>
          <w:szCs w:val="24"/>
        </w:rPr>
        <w:t xml:space="preserve"> on developing an instream flow framework for widely available hydrologic and ecological monitoring data. DEQ has taken an approach that combines state planning and reporting databases, multiple river and habitat models, and biometric assessment of fish and benthic monitoring data to develop a more geo-spatially specific understanding of the relative risk to aquatic life resulting from surface water withdrawals in Virginia.</w:t>
      </w:r>
    </w:p>
    <w:p w14:paraId="549F958A" w14:textId="77777777" w:rsidR="00320909" w:rsidRDefault="00320909" w:rsidP="00216279">
      <w:pPr>
        <w:rPr>
          <w:rFonts w:cstheme="minorHAnsi"/>
          <w:szCs w:val="24"/>
        </w:rPr>
      </w:pPr>
    </w:p>
    <w:p w14:paraId="5D19113E" w14:textId="77777777" w:rsidR="00320909" w:rsidRDefault="00320909">
      <w:pPr>
        <w:widowControl/>
        <w:spacing w:after="160" w:line="259" w:lineRule="auto"/>
        <w:rPr>
          <w:rFonts w:cstheme="minorHAnsi"/>
          <w:szCs w:val="24"/>
        </w:rPr>
      </w:pPr>
      <w:r>
        <w:rPr>
          <w:rFonts w:cstheme="minorHAnsi"/>
          <w:szCs w:val="24"/>
        </w:rPr>
        <w:br w:type="page"/>
      </w:r>
    </w:p>
    <w:p w14:paraId="3B9DA1B5" w14:textId="1507B88B" w:rsidR="00C2360A" w:rsidRPr="00ED0808" w:rsidRDefault="00180F33" w:rsidP="00C84E09">
      <w:pPr>
        <w:pStyle w:val="Heading1"/>
        <w:rPr>
          <w:shd w:val="clear" w:color="auto" w:fill="FFFFFF"/>
        </w:rPr>
      </w:pPr>
      <w:bookmarkStart w:id="395" w:name="_Toc152763323"/>
      <w:bookmarkStart w:id="396" w:name="_Toc155771966"/>
      <w:bookmarkStart w:id="397" w:name="_Toc191900445"/>
      <w:r w:rsidRPr="00ED0808">
        <w:rPr>
          <w:shd w:val="clear" w:color="auto" w:fill="FFFFFF"/>
        </w:rPr>
        <w:lastRenderedPageBreak/>
        <w:t>WATER QUALITY PROGRAMS</w:t>
      </w:r>
      <w:bookmarkEnd w:id="395"/>
      <w:bookmarkEnd w:id="396"/>
      <w:bookmarkEnd w:id="397"/>
      <w:r w:rsidR="0047563E">
        <w:rPr>
          <w:shd w:val="clear" w:color="auto" w:fill="FFFFFF"/>
        </w:rPr>
        <w:br/>
      </w:r>
    </w:p>
    <w:p w14:paraId="4E36C325" w14:textId="1727B544" w:rsidR="00F35A9B" w:rsidRPr="008126E7" w:rsidRDefault="006161C9" w:rsidP="00F35A9B">
      <w:pPr>
        <w:pStyle w:val="Heading2"/>
        <w:rPr>
          <w:rFonts w:cstheme="minorHAnsi"/>
        </w:rPr>
      </w:pPr>
      <w:bookmarkStart w:id="398" w:name="_Toc152763324"/>
      <w:bookmarkStart w:id="399" w:name="_Toc155771967"/>
      <w:bookmarkStart w:id="400" w:name="_Toc191900446"/>
      <w:r w:rsidRPr="00224382">
        <w:rPr>
          <w:rFonts w:cstheme="minorHAnsi"/>
        </w:rPr>
        <w:t>Water</w:t>
      </w:r>
      <w:r w:rsidR="00AC4A3D" w:rsidRPr="00224382">
        <w:rPr>
          <w:rFonts w:cstheme="minorHAnsi"/>
        </w:rPr>
        <w:t xml:space="preserve"> Pollution Control Programs (</w:t>
      </w:r>
      <w:bookmarkEnd w:id="398"/>
      <w:r w:rsidR="001432C4">
        <w:rPr>
          <w:rFonts w:cstheme="minorHAnsi"/>
        </w:rPr>
        <w:t>TMDLs and VPDES)</w:t>
      </w:r>
      <w:bookmarkEnd w:id="399"/>
      <w:bookmarkEnd w:id="400"/>
    </w:p>
    <w:p w14:paraId="22D29517" w14:textId="3DA95CBC" w:rsidR="00D47AF1" w:rsidRPr="00224382" w:rsidRDefault="00D47AF1" w:rsidP="00224382">
      <w:pPr>
        <w:pStyle w:val="Heading3"/>
      </w:pPr>
      <w:r w:rsidRPr="00224382">
        <w:t xml:space="preserve">Total Maximum Load Development (TMDLs) </w:t>
      </w:r>
    </w:p>
    <w:p w14:paraId="50AF21BD" w14:textId="128CC364" w:rsidR="00D47AF1" w:rsidRPr="00224382" w:rsidRDefault="00D47AF1" w:rsidP="00224382">
      <w:pPr>
        <w:pStyle w:val="Heading4"/>
      </w:pPr>
      <w:r w:rsidRPr="00224382">
        <w:t xml:space="preserve">History </w:t>
      </w:r>
    </w:p>
    <w:p w14:paraId="5AF0945C" w14:textId="1EC0322D" w:rsidR="00D47AF1" w:rsidRPr="00224382" w:rsidRDefault="00B711B9" w:rsidP="00D47AF1">
      <w:pPr>
        <w:autoSpaceDE w:val="0"/>
        <w:autoSpaceDN w:val="0"/>
        <w:adjustRightInd w:val="0"/>
        <w:rPr>
          <w:rFonts w:cstheme="minorHAnsi"/>
          <w:szCs w:val="24"/>
        </w:rPr>
      </w:pPr>
      <w:r w:rsidRPr="00B711B9">
        <w:rPr>
          <w:rFonts w:cstheme="minorHAnsi"/>
          <w:szCs w:val="24"/>
        </w:rPr>
        <w:t xml:space="preserve">In 1998, the American Canoe Association and the American Littoral Society filed a complaint against EPA for failure to comply with the provisions of Section 303(d) of the Federal Clean Water Act (CWA) in Virginia. In 1999, EPA signed a Consent Decree (CD) with the plaintiffs. The Consent Decree contained a TMDL development schedule through 2010. This schedule required </w:t>
      </w:r>
      <w:proofErr w:type="gramStart"/>
      <w:r w:rsidRPr="00B711B9">
        <w:rPr>
          <w:rFonts w:cstheme="minorHAnsi"/>
          <w:szCs w:val="24"/>
        </w:rPr>
        <w:t>a TMDL</w:t>
      </w:r>
      <w:proofErr w:type="gramEnd"/>
      <w:r w:rsidRPr="00B711B9">
        <w:rPr>
          <w:rFonts w:cstheme="minorHAnsi"/>
          <w:szCs w:val="24"/>
        </w:rPr>
        <w:t xml:space="preserve"> to be developed on the approximately 475 impaired waters and the approximately 225 condemned or restricted shellfish waters identified in Virginia's 1998 303(d) list. Many of these impaired waters were impaired by more than one pollutant. After completing the requirements of the 1999 CD, Virginia continued to develop TMDLs in accordance with a TMDL development pace agreement with EPA. Beginning in 2016, Virginia developed a list of priority waters for TMDL or TMDL alternative development as part of EPA’s Vision for Clean Water Act Section 303(d) Program which was effective through 2022. EPA has now implemented the 2022-2032 Vision for the CWA Section 303(d) Program (Vision 2) which includes the development of a list of priority waters every two years for which DEQ will pursue development of restoration projects. Restoration projects can be TMDLs or other approaches such as an Advance Restoration Plan (ARP). An ARP is the new name for a TMDL alternative which was coined with the implementation of Vision 2. The restoration approach selected is based on a determination of the most effective tool for restoring the subject waters. Please see the “Advance Restoration Plan” section below for more information on ARPs. For more information on the prioritization process, please see the “Prioritization of </w:t>
      </w:r>
      <w:r w:rsidR="00DF31A5">
        <w:rPr>
          <w:rFonts w:cstheme="minorHAnsi"/>
          <w:szCs w:val="24"/>
        </w:rPr>
        <w:t>Waters</w:t>
      </w:r>
      <w:r w:rsidRPr="00B711B9">
        <w:rPr>
          <w:rFonts w:cstheme="minorHAnsi"/>
          <w:szCs w:val="24"/>
        </w:rPr>
        <w:t xml:space="preserve">” section below as well as Chapter </w:t>
      </w:r>
      <w:r w:rsidR="00DF31A5">
        <w:rPr>
          <w:rFonts w:cstheme="minorHAnsi"/>
          <w:szCs w:val="24"/>
        </w:rPr>
        <w:t>6</w:t>
      </w:r>
      <w:r w:rsidRPr="00B711B9">
        <w:rPr>
          <w:rFonts w:cstheme="minorHAnsi"/>
          <w:szCs w:val="24"/>
        </w:rPr>
        <w:t>.2, the Prioritization Framework.</w:t>
      </w:r>
      <w:r w:rsidR="00DF31A5">
        <w:rPr>
          <w:rFonts w:cstheme="minorHAnsi"/>
          <w:szCs w:val="24"/>
        </w:rPr>
        <w:t xml:space="preserve"> In addition, Appendix 8 lists the TMDL and Advanced Restoration Plant (ARP) priorities. </w:t>
      </w:r>
      <w:r w:rsidR="009D0922">
        <w:rPr>
          <w:rFonts w:cstheme="minorHAnsi"/>
          <w:szCs w:val="24"/>
        </w:rPr>
        <w:br/>
      </w:r>
    </w:p>
    <w:p w14:paraId="5840C575" w14:textId="14043A5E" w:rsidR="00D47AF1" w:rsidRPr="00224382" w:rsidRDefault="00D47AF1" w:rsidP="00224382">
      <w:pPr>
        <w:pStyle w:val="Heading4"/>
      </w:pPr>
      <w:r w:rsidRPr="00224382">
        <w:t>The TMDL Development Process</w:t>
      </w:r>
    </w:p>
    <w:p w14:paraId="7238D73C" w14:textId="694E1950" w:rsidR="001612C6" w:rsidRPr="001612C6" w:rsidRDefault="001612C6" w:rsidP="001612C6">
      <w:pPr>
        <w:rPr>
          <w:rFonts w:cstheme="minorHAnsi"/>
          <w:szCs w:val="24"/>
        </w:rPr>
      </w:pPr>
      <w:r w:rsidRPr="001612C6">
        <w:rPr>
          <w:rFonts w:cstheme="minorHAnsi"/>
          <w:szCs w:val="24"/>
        </w:rPr>
        <w:t xml:space="preserve">A TMDL report is a special study to determine the amount of </w:t>
      </w:r>
      <w:proofErr w:type="gramStart"/>
      <w:r w:rsidRPr="001612C6">
        <w:rPr>
          <w:rFonts w:cstheme="minorHAnsi"/>
          <w:szCs w:val="24"/>
        </w:rPr>
        <w:t>a pollutant</w:t>
      </w:r>
      <w:proofErr w:type="gramEnd"/>
      <w:r w:rsidRPr="001612C6">
        <w:rPr>
          <w:rFonts w:cstheme="minorHAnsi"/>
          <w:szCs w:val="24"/>
        </w:rPr>
        <w:t xml:space="preserve"> that </w:t>
      </w:r>
      <w:proofErr w:type="gramStart"/>
      <w:r w:rsidRPr="001612C6">
        <w:rPr>
          <w:rFonts w:cstheme="minorHAnsi"/>
          <w:szCs w:val="24"/>
        </w:rPr>
        <w:t>an impaired</w:t>
      </w:r>
      <w:proofErr w:type="gramEnd"/>
      <w:r w:rsidRPr="001612C6">
        <w:rPr>
          <w:rFonts w:cstheme="minorHAnsi"/>
          <w:szCs w:val="24"/>
        </w:rPr>
        <w:t xml:space="preserve"> water can assimilate and still meet water quality standards. Additionally, the TMDL report will identify all sources of pollution contributing to exceedances of water quality standards, calculate the pollutant amount entering the stream from each source, and calculate acceptable pollutant loads needed for attainment of Water Quality Standards. During the development of TMDLs, public input is requested at the onset of the development process and when a draft TMDL is available for review. Please see the “Public Participation Process” section below for additional information about the public participation process.</w:t>
      </w:r>
    </w:p>
    <w:p w14:paraId="09A60692" w14:textId="77777777" w:rsidR="001612C6" w:rsidRPr="001612C6" w:rsidRDefault="001612C6" w:rsidP="001612C6">
      <w:pPr>
        <w:rPr>
          <w:rFonts w:cstheme="minorHAnsi"/>
          <w:szCs w:val="24"/>
        </w:rPr>
      </w:pPr>
    </w:p>
    <w:p w14:paraId="21FDE4E9" w14:textId="084A7B63" w:rsidR="00D47AF1" w:rsidRPr="00224382" w:rsidRDefault="001612C6" w:rsidP="0A5BE548">
      <w:pPr>
        <w:rPr>
          <w:rFonts w:cstheme="minorBidi"/>
          <w:sz w:val="20"/>
        </w:rPr>
      </w:pPr>
      <w:r w:rsidRPr="0A5BE548">
        <w:rPr>
          <w:rFonts w:cstheme="minorBidi"/>
        </w:rPr>
        <w:t xml:space="preserve">Virginia currently develops TMDLs using a “watershed approach” when possible. The watershed approach to TMDL development allows watersheds with similar characteristics to be combined under a single TMDL equation or report, resulting in cost and time efficiencies. Each TMDL report developed by DEQ includes one or more TMDL equations that include a waste load allocation for permitted discharges, a load allocation for sources not governed by discharge </w:t>
      </w:r>
      <w:r w:rsidRPr="0A5BE548">
        <w:rPr>
          <w:rFonts w:cstheme="minorBidi"/>
        </w:rPr>
        <w:lastRenderedPageBreak/>
        <w:t>permits, a margin of safety, and a total allowable load. A single TMDL equation can address a single impairment or multiple impaired waters on the 303(d) list. After TMDL equations are established, water quality monitoring data may show that a formerly impaired water now meets water quality standards and is no longer considered impaired. Nonetheless, the TMDL equation will exist in perpetuity unless it is replaced by a revised TMDL equation</w:t>
      </w:r>
      <w:r w:rsidR="00D70383" w:rsidRPr="0A5BE548">
        <w:rPr>
          <w:rFonts w:cstheme="minorBidi"/>
        </w:rPr>
        <w:t xml:space="preserve"> or rescinded</w:t>
      </w:r>
      <w:r w:rsidRPr="0A5BE548">
        <w:rPr>
          <w:rFonts w:cstheme="minorBidi"/>
        </w:rPr>
        <w:t xml:space="preserve">. </w:t>
      </w:r>
      <w:r w:rsidR="00D70383" w:rsidRPr="0A5BE548">
        <w:rPr>
          <w:rFonts w:cstheme="minorBidi"/>
        </w:rPr>
        <w:t>Some</w:t>
      </w:r>
      <w:r w:rsidRPr="0A5BE548">
        <w:rPr>
          <w:rFonts w:cstheme="minorBidi"/>
        </w:rPr>
        <w:t xml:space="preserve"> waters </w:t>
      </w:r>
      <w:r w:rsidR="00B61E8F" w:rsidRPr="0A5BE548">
        <w:rPr>
          <w:rFonts w:cstheme="minorBidi"/>
        </w:rPr>
        <w:t>may be assessed as impaired, then</w:t>
      </w:r>
      <w:r w:rsidR="00FE0947" w:rsidRPr="0A5BE548">
        <w:rPr>
          <w:rFonts w:cstheme="minorBidi"/>
        </w:rPr>
        <w:t xml:space="preserve"> may</w:t>
      </w:r>
      <w:r w:rsidRPr="0A5BE548">
        <w:rPr>
          <w:rFonts w:cstheme="minorBidi"/>
        </w:rPr>
        <w:t xml:space="preserve"> be unimpaired for some years, only to become impaired again in future assessments. As a result, the TMDL program tracks TMDL equations over time as a metric of progress since impairments may come and go. Table 6.1-1 shows the number of TMDL equations completed each year throughout the history of the TMDL program, and Figure 6.1-1 displays the TMDL equations by pollutant as of </w:t>
      </w:r>
      <w:r w:rsidR="2C4ED933" w:rsidRPr="0A5BE548">
        <w:rPr>
          <w:rFonts w:cstheme="minorBidi"/>
        </w:rPr>
        <w:t>November</w:t>
      </w:r>
      <w:r w:rsidRPr="0A5BE548">
        <w:rPr>
          <w:rFonts w:cstheme="minorBidi"/>
        </w:rPr>
        <w:t xml:space="preserve"> 2023.</w:t>
      </w:r>
      <w:r>
        <w:br/>
      </w:r>
    </w:p>
    <w:p w14:paraId="2206D7A0" w14:textId="410DB6F6" w:rsidR="00756FA0" w:rsidRPr="00D237D4" w:rsidRDefault="00513B8E" w:rsidP="00756FA0">
      <w:pPr>
        <w:pStyle w:val="Caption"/>
        <w:keepNext/>
      </w:pPr>
      <w:bookmarkStart w:id="401" w:name="_Toc164175239"/>
      <w:r>
        <w:t xml:space="preserve">Table </w:t>
      </w:r>
      <w:r w:rsidR="004F13BA">
        <w:fldChar w:fldCharType="begin"/>
      </w:r>
      <w:r w:rsidR="004F13BA">
        <w:instrText xml:space="preserve"> STYLEREF 2 \s </w:instrText>
      </w:r>
      <w:r w:rsidR="004F13BA">
        <w:fldChar w:fldCharType="separate"/>
      </w:r>
      <w:r w:rsidR="00CD06AE">
        <w:rPr>
          <w:noProof/>
        </w:rPr>
        <w:t>6.1</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w:t>
      </w:r>
      <w:r w:rsidR="004F13BA">
        <w:rPr>
          <w:noProof/>
        </w:rPr>
        <w:fldChar w:fldCharType="end"/>
      </w:r>
      <w:r>
        <w:t xml:space="preserve">. </w:t>
      </w:r>
      <w:r w:rsidR="0057740A">
        <w:t xml:space="preserve">Completed </w:t>
      </w:r>
      <w:r w:rsidR="00035FFB">
        <w:t xml:space="preserve">TMDL </w:t>
      </w:r>
      <w:r w:rsidR="00756FA0">
        <w:t>equations.</w:t>
      </w:r>
      <w:r w:rsidR="22519D41">
        <w:t xml:space="preserve"> </w:t>
      </w:r>
      <w:bookmarkEnd w:id="401"/>
      <w:r>
        <w:t xml:space="preserve">The total number of TMDL equations is less than the sum of annual TMDL development since some TMDL equations have been revised and are considered TMDLs completed in that year. A total of 53 equations have been superseded by revised TMDLs. </w:t>
      </w:r>
      <w:r w:rsidR="00F85373">
        <w:t xml:space="preserve">These are not always one-to-one replacements since some revisions merge multiple equations into a single equation.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completed TMDL equations."/>
        <w:tblDescription w:val="The total number of TMDL equations is less than the sum of annual TMDL development since some TMDL equations have been revised and are considered TMDLs completed in that year. A total of 53 equations have been superseded by revised TMDLs. These are not always one-to-one replacements since some revisions merge multiple equations into a single equation. "/>
      </w:tblPr>
      <w:tblGrid>
        <w:gridCol w:w="2875"/>
        <w:gridCol w:w="3245"/>
      </w:tblGrid>
      <w:tr w:rsidR="00B94FAE" w14:paraId="29B796B8" w14:textId="77777777" w:rsidTr="001B3B91">
        <w:tc>
          <w:tcPr>
            <w:tcW w:w="2875" w:type="dxa"/>
            <w:tcBorders>
              <w:top w:val="single" w:sz="12" w:space="0" w:color="auto"/>
              <w:bottom w:val="single" w:sz="4" w:space="0" w:color="auto"/>
            </w:tcBorders>
            <w:vAlign w:val="center"/>
          </w:tcPr>
          <w:p w14:paraId="1E99CD7D" w14:textId="77777777" w:rsidR="00B94FAE" w:rsidRPr="00781CB3" w:rsidRDefault="00B94FAE" w:rsidP="00B94FAE">
            <w:pPr>
              <w:jc w:val="center"/>
              <w:rPr>
                <w:rFonts w:cstheme="minorHAnsi"/>
                <w:b/>
                <w:bCs/>
                <w:sz w:val="22"/>
                <w:szCs w:val="22"/>
              </w:rPr>
            </w:pPr>
            <w:r w:rsidRPr="00781CB3">
              <w:rPr>
                <w:rFonts w:cstheme="minorHAnsi"/>
                <w:b/>
                <w:bCs/>
                <w:color w:val="000000"/>
                <w:sz w:val="22"/>
                <w:szCs w:val="22"/>
              </w:rPr>
              <w:t>Year</w:t>
            </w:r>
          </w:p>
        </w:tc>
        <w:tc>
          <w:tcPr>
            <w:tcW w:w="3245" w:type="dxa"/>
            <w:tcBorders>
              <w:top w:val="single" w:sz="12" w:space="0" w:color="auto"/>
              <w:bottom w:val="single" w:sz="4" w:space="0" w:color="auto"/>
            </w:tcBorders>
            <w:vAlign w:val="center"/>
          </w:tcPr>
          <w:p w14:paraId="0D6D0077" w14:textId="77777777" w:rsidR="00B94FAE" w:rsidRPr="00781CB3" w:rsidRDefault="00B94FAE" w:rsidP="00B94FAE">
            <w:pPr>
              <w:jc w:val="center"/>
              <w:rPr>
                <w:rFonts w:cstheme="minorHAnsi"/>
                <w:b/>
                <w:bCs/>
                <w:sz w:val="22"/>
                <w:szCs w:val="22"/>
              </w:rPr>
            </w:pPr>
            <w:r w:rsidRPr="00781CB3">
              <w:rPr>
                <w:rFonts w:cstheme="minorHAnsi"/>
                <w:b/>
                <w:bCs/>
                <w:color w:val="000000"/>
                <w:sz w:val="22"/>
                <w:szCs w:val="22"/>
              </w:rPr>
              <w:t>TMDL Equations Completed</w:t>
            </w:r>
          </w:p>
        </w:tc>
      </w:tr>
      <w:tr w:rsidR="00B94FAE" w14:paraId="1B7DE50F" w14:textId="77777777" w:rsidTr="001B3B91">
        <w:tc>
          <w:tcPr>
            <w:tcW w:w="2875" w:type="dxa"/>
            <w:tcBorders>
              <w:top w:val="single" w:sz="4" w:space="0" w:color="auto"/>
            </w:tcBorders>
            <w:vAlign w:val="center"/>
          </w:tcPr>
          <w:p w14:paraId="031DE13F"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1999</w:t>
            </w:r>
          </w:p>
        </w:tc>
        <w:tc>
          <w:tcPr>
            <w:tcW w:w="3245" w:type="dxa"/>
            <w:tcBorders>
              <w:top w:val="single" w:sz="4" w:space="0" w:color="auto"/>
            </w:tcBorders>
            <w:vAlign w:val="center"/>
          </w:tcPr>
          <w:p w14:paraId="2C56DD8B"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1</w:t>
            </w:r>
          </w:p>
        </w:tc>
      </w:tr>
      <w:tr w:rsidR="00B94FAE" w14:paraId="4674CB3D" w14:textId="77777777" w:rsidTr="001B3B91">
        <w:tc>
          <w:tcPr>
            <w:tcW w:w="2875" w:type="dxa"/>
            <w:vAlign w:val="center"/>
          </w:tcPr>
          <w:p w14:paraId="47C92679"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2000</w:t>
            </w:r>
          </w:p>
        </w:tc>
        <w:tc>
          <w:tcPr>
            <w:tcW w:w="3245" w:type="dxa"/>
            <w:vAlign w:val="center"/>
          </w:tcPr>
          <w:p w14:paraId="0AD5C860"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1</w:t>
            </w:r>
          </w:p>
        </w:tc>
      </w:tr>
      <w:tr w:rsidR="00B94FAE" w14:paraId="3E9F263C" w14:textId="77777777" w:rsidTr="001B3B91">
        <w:tc>
          <w:tcPr>
            <w:tcW w:w="2875" w:type="dxa"/>
            <w:vAlign w:val="center"/>
          </w:tcPr>
          <w:p w14:paraId="09A5BE20"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2001</w:t>
            </w:r>
          </w:p>
        </w:tc>
        <w:tc>
          <w:tcPr>
            <w:tcW w:w="3245" w:type="dxa"/>
            <w:vAlign w:val="center"/>
          </w:tcPr>
          <w:p w14:paraId="367B98BC"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21</w:t>
            </w:r>
          </w:p>
        </w:tc>
      </w:tr>
      <w:tr w:rsidR="00B94FAE" w14:paraId="3695D9C1" w14:textId="77777777" w:rsidTr="001B3B91">
        <w:tc>
          <w:tcPr>
            <w:tcW w:w="2875" w:type="dxa"/>
            <w:vAlign w:val="center"/>
          </w:tcPr>
          <w:p w14:paraId="7A8A9FA3"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2002</w:t>
            </w:r>
          </w:p>
        </w:tc>
        <w:tc>
          <w:tcPr>
            <w:tcW w:w="3245" w:type="dxa"/>
            <w:vAlign w:val="center"/>
          </w:tcPr>
          <w:p w14:paraId="331B3A3C"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30</w:t>
            </w:r>
          </w:p>
        </w:tc>
      </w:tr>
      <w:tr w:rsidR="00B94FAE" w14:paraId="7FC8B8CB" w14:textId="77777777" w:rsidTr="001B3B91">
        <w:tc>
          <w:tcPr>
            <w:tcW w:w="2875" w:type="dxa"/>
            <w:vAlign w:val="center"/>
          </w:tcPr>
          <w:p w14:paraId="2DCF7F4E"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2003</w:t>
            </w:r>
          </w:p>
        </w:tc>
        <w:tc>
          <w:tcPr>
            <w:tcW w:w="3245" w:type="dxa"/>
            <w:vAlign w:val="center"/>
          </w:tcPr>
          <w:p w14:paraId="0C53A40A"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25</w:t>
            </w:r>
          </w:p>
        </w:tc>
      </w:tr>
      <w:tr w:rsidR="00B94FAE" w14:paraId="26CE084B" w14:textId="77777777" w:rsidTr="001B3B91">
        <w:tc>
          <w:tcPr>
            <w:tcW w:w="2875" w:type="dxa"/>
            <w:vAlign w:val="center"/>
          </w:tcPr>
          <w:p w14:paraId="5266478B"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2004</w:t>
            </w:r>
          </w:p>
        </w:tc>
        <w:tc>
          <w:tcPr>
            <w:tcW w:w="3245" w:type="dxa"/>
            <w:vAlign w:val="center"/>
          </w:tcPr>
          <w:p w14:paraId="38D38CD1"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101</w:t>
            </w:r>
          </w:p>
        </w:tc>
      </w:tr>
      <w:tr w:rsidR="00B94FAE" w14:paraId="3BE6B3D9" w14:textId="77777777" w:rsidTr="001B3B91">
        <w:tc>
          <w:tcPr>
            <w:tcW w:w="2875" w:type="dxa"/>
            <w:vAlign w:val="center"/>
          </w:tcPr>
          <w:p w14:paraId="4920DAF8"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2005</w:t>
            </w:r>
          </w:p>
        </w:tc>
        <w:tc>
          <w:tcPr>
            <w:tcW w:w="3245" w:type="dxa"/>
            <w:vAlign w:val="center"/>
          </w:tcPr>
          <w:p w14:paraId="0C7D3F01"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41</w:t>
            </w:r>
          </w:p>
        </w:tc>
      </w:tr>
      <w:tr w:rsidR="00B94FAE" w14:paraId="72A64B77" w14:textId="77777777" w:rsidTr="001B3B91">
        <w:tc>
          <w:tcPr>
            <w:tcW w:w="2875" w:type="dxa"/>
            <w:vAlign w:val="center"/>
          </w:tcPr>
          <w:p w14:paraId="1C8E654D"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2006</w:t>
            </w:r>
          </w:p>
        </w:tc>
        <w:tc>
          <w:tcPr>
            <w:tcW w:w="3245" w:type="dxa"/>
            <w:vAlign w:val="center"/>
          </w:tcPr>
          <w:p w14:paraId="1DD0E9CE"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132</w:t>
            </w:r>
          </w:p>
        </w:tc>
      </w:tr>
      <w:tr w:rsidR="00B94FAE" w14:paraId="3CC5F6A7" w14:textId="77777777" w:rsidTr="001B3B91">
        <w:tc>
          <w:tcPr>
            <w:tcW w:w="2875" w:type="dxa"/>
            <w:vAlign w:val="center"/>
          </w:tcPr>
          <w:p w14:paraId="70AA06F1"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2007</w:t>
            </w:r>
          </w:p>
        </w:tc>
        <w:tc>
          <w:tcPr>
            <w:tcW w:w="3245" w:type="dxa"/>
            <w:vAlign w:val="center"/>
          </w:tcPr>
          <w:p w14:paraId="45D94F5A"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91</w:t>
            </w:r>
          </w:p>
        </w:tc>
      </w:tr>
      <w:tr w:rsidR="00B94FAE" w14:paraId="464A802E" w14:textId="77777777" w:rsidTr="001B3B91">
        <w:tc>
          <w:tcPr>
            <w:tcW w:w="2875" w:type="dxa"/>
            <w:vAlign w:val="center"/>
          </w:tcPr>
          <w:p w14:paraId="11943F09"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2008</w:t>
            </w:r>
          </w:p>
        </w:tc>
        <w:tc>
          <w:tcPr>
            <w:tcW w:w="3245" w:type="dxa"/>
            <w:vAlign w:val="center"/>
          </w:tcPr>
          <w:p w14:paraId="7F42F1FD"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109</w:t>
            </w:r>
          </w:p>
        </w:tc>
      </w:tr>
      <w:tr w:rsidR="00B94FAE" w14:paraId="7AA91FB3" w14:textId="77777777" w:rsidTr="001B3B91">
        <w:tc>
          <w:tcPr>
            <w:tcW w:w="2875" w:type="dxa"/>
            <w:vAlign w:val="center"/>
          </w:tcPr>
          <w:p w14:paraId="3324358F"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2009</w:t>
            </w:r>
          </w:p>
        </w:tc>
        <w:tc>
          <w:tcPr>
            <w:tcW w:w="3245" w:type="dxa"/>
            <w:vAlign w:val="center"/>
          </w:tcPr>
          <w:p w14:paraId="0F27886B"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57</w:t>
            </w:r>
          </w:p>
        </w:tc>
      </w:tr>
      <w:tr w:rsidR="00B94FAE" w14:paraId="34C00CC5" w14:textId="77777777" w:rsidTr="001B3B91">
        <w:tc>
          <w:tcPr>
            <w:tcW w:w="2875" w:type="dxa"/>
            <w:vAlign w:val="center"/>
          </w:tcPr>
          <w:p w14:paraId="45320406"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2010</w:t>
            </w:r>
          </w:p>
        </w:tc>
        <w:tc>
          <w:tcPr>
            <w:tcW w:w="3245" w:type="dxa"/>
            <w:vAlign w:val="center"/>
          </w:tcPr>
          <w:p w14:paraId="2AD12689"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109</w:t>
            </w:r>
          </w:p>
        </w:tc>
      </w:tr>
      <w:tr w:rsidR="00B94FAE" w14:paraId="13165B5D" w14:textId="77777777" w:rsidTr="001B3B91">
        <w:tc>
          <w:tcPr>
            <w:tcW w:w="2875" w:type="dxa"/>
            <w:vAlign w:val="center"/>
          </w:tcPr>
          <w:p w14:paraId="46B6A17B"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2011</w:t>
            </w:r>
          </w:p>
        </w:tc>
        <w:tc>
          <w:tcPr>
            <w:tcW w:w="3245" w:type="dxa"/>
            <w:vAlign w:val="center"/>
          </w:tcPr>
          <w:p w14:paraId="675DC333"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29</w:t>
            </w:r>
          </w:p>
        </w:tc>
      </w:tr>
      <w:tr w:rsidR="00B94FAE" w14:paraId="74A166A8" w14:textId="77777777" w:rsidTr="001B3B91">
        <w:tc>
          <w:tcPr>
            <w:tcW w:w="2875" w:type="dxa"/>
            <w:vAlign w:val="center"/>
          </w:tcPr>
          <w:p w14:paraId="5BBBBE79"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2012</w:t>
            </w:r>
          </w:p>
        </w:tc>
        <w:tc>
          <w:tcPr>
            <w:tcW w:w="3245" w:type="dxa"/>
            <w:vAlign w:val="center"/>
          </w:tcPr>
          <w:p w14:paraId="4C8710EE"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46</w:t>
            </w:r>
          </w:p>
        </w:tc>
      </w:tr>
      <w:tr w:rsidR="00B94FAE" w14:paraId="66B2AABA" w14:textId="77777777" w:rsidTr="001B3B91">
        <w:tc>
          <w:tcPr>
            <w:tcW w:w="2875" w:type="dxa"/>
            <w:vAlign w:val="center"/>
          </w:tcPr>
          <w:p w14:paraId="6EEC1FF5"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2013</w:t>
            </w:r>
          </w:p>
        </w:tc>
        <w:tc>
          <w:tcPr>
            <w:tcW w:w="3245" w:type="dxa"/>
            <w:vAlign w:val="center"/>
          </w:tcPr>
          <w:p w14:paraId="7392ED9E"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31</w:t>
            </w:r>
          </w:p>
        </w:tc>
      </w:tr>
      <w:tr w:rsidR="00B94FAE" w14:paraId="0F234B39" w14:textId="77777777" w:rsidTr="001B3B91">
        <w:tc>
          <w:tcPr>
            <w:tcW w:w="2875" w:type="dxa"/>
            <w:vAlign w:val="center"/>
          </w:tcPr>
          <w:p w14:paraId="6F4C83CC"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2014</w:t>
            </w:r>
          </w:p>
        </w:tc>
        <w:tc>
          <w:tcPr>
            <w:tcW w:w="3245" w:type="dxa"/>
            <w:vAlign w:val="center"/>
          </w:tcPr>
          <w:p w14:paraId="65692E54"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35</w:t>
            </w:r>
          </w:p>
        </w:tc>
      </w:tr>
      <w:tr w:rsidR="00B94FAE" w14:paraId="4F7F3723" w14:textId="77777777" w:rsidTr="001B3B91">
        <w:tc>
          <w:tcPr>
            <w:tcW w:w="2875" w:type="dxa"/>
            <w:vAlign w:val="center"/>
          </w:tcPr>
          <w:p w14:paraId="5809831A"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2015</w:t>
            </w:r>
          </w:p>
        </w:tc>
        <w:tc>
          <w:tcPr>
            <w:tcW w:w="3245" w:type="dxa"/>
            <w:vAlign w:val="center"/>
          </w:tcPr>
          <w:p w14:paraId="7FF75B87"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36</w:t>
            </w:r>
          </w:p>
        </w:tc>
      </w:tr>
      <w:tr w:rsidR="00B94FAE" w14:paraId="32940320" w14:textId="77777777" w:rsidTr="001B3B91">
        <w:tc>
          <w:tcPr>
            <w:tcW w:w="2875" w:type="dxa"/>
            <w:vAlign w:val="center"/>
          </w:tcPr>
          <w:p w14:paraId="5E732589"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2016</w:t>
            </w:r>
          </w:p>
        </w:tc>
        <w:tc>
          <w:tcPr>
            <w:tcW w:w="3245" w:type="dxa"/>
            <w:vAlign w:val="center"/>
          </w:tcPr>
          <w:p w14:paraId="0273E139"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33</w:t>
            </w:r>
          </w:p>
        </w:tc>
      </w:tr>
      <w:tr w:rsidR="00B94FAE" w14:paraId="0C168976" w14:textId="77777777" w:rsidTr="001B3B91">
        <w:tc>
          <w:tcPr>
            <w:tcW w:w="2875" w:type="dxa"/>
            <w:vAlign w:val="center"/>
          </w:tcPr>
          <w:p w14:paraId="7348BE09"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2017</w:t>
            </w:r>
          </w:p>
        </w:tc>
        <w:tc>
          <w:tcPr>
            <w:tcW w:w="3245" w:type="dxa"/>
            <w:vAlign w:val="center"/>
          </w:tcPr>
          <w:p w14:paraId="48AF6730"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25</w:t>
            </w:r>
          </w:p>
        </w:tc>
      </w:tr>
      <w:tr w:rsidR="00B94FAE" w14:paraId="3BDA36E5" w14:textId="77777777" w:rsidTr="001B3B91">
        <w:tc>
          <w:tcPr>
            <w:tcW w:w="2875" w:type="dxa"/>
            <w:vAlign w:val="center"/>
          </w:tcPr>
          <w:p w14:paraId="57A4325B"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2018</w:t>
            </w:r>
          </w:p>
        </w:tc>
        <w:tc>
          <w:tcPr>
            <w:tcW w:w="3245" w:type="dxa"/>
            <w:vAlign w:val="center"/>
          </w:tcPr>
          <w:p w14:paraId="512CB9A1"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21</w:t>
            </w:r>
          </w:p>
        </w:tc>
      </w:tr>
      <w:tr w:rsidR="00B94FAE" w14:paraId="35C16CB9" w14:textId="77777777" w:rsidTr="001B3B91">
        <w:tc>
          <w:tcPr>
            <w:tcW w:w="2875" w:type="dxa"/>
            <w:vAlign w:val="center"/>
          </w:tcPr>
          <w:p w14:paraId="3D78CE20"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2019</w:t>
            </w:r>
          </w:p>
        </w:tc>
        <w:tc>
          <w:tcPr>
            <w:tcW w:w="3245" w:type="dxa"/>
            <w:vAlign w:val="center"/>
          </w:tcPr>
          <w:p w14:paraId="5E8880C8"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34</w:t>
            </w:r>
          </w:p>
        </w:tc>
      </w:tr>
      <w:tr w:rsidR="00B94FAE" w14:paraId="6069B70C" w14:textId="77777777" w:rsidTr="001B3B91">
        <w:tc>
          <w:tcPr>
            <w:tcW w:w="2875" w:type="dxa"/>
            <w:vAlign w:val="center"/>
          </w:tcPr>
          <w:p w14:paraId="5874B68B"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2020</w:t>
            </w:r>
          </w:p>
        </w:tc>
        <w:tc>
          <w:tcPr>
            <w:tcW w:w="3245" w:type="dxa"/>
            <w:vAlign w:val="center"/>
          </w:tcPr>
          <w:p w14:paraId="108BDB53"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11</w:t>
            </w:r>
          </w:p>
        </w:tc>
      </w:tr>
      <w:tr w:rsidR="00B94FAE" w14:paraId="5514FCB5" w14:textId="77777777" w:rsidTr="001B3B91">
        <w:tc>
          <w:tcPr>
            <w:tcW w:w="2875" w:type="dxa"/>
            <w:vAlign w:val="center"/>
          </w:tcPr>
          <w:p w14:paraId="52A03487"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2021</w:t>
            </w:r>
          </w:p>
        </w:tc>
        <w:tc>
          <w:tcPr>
            <w:tcW w:w="3245" w:type="dxa"/>
            <w:vAlign w:val="center"/>
          </w:tcPr>
          <w:p w14:paraId="670C11D5"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0</w:t>
            </w:r>
          </w:p>
        </w:tc>
      </w:tr>
      <w:tr w:rsidR="00B94FAE" w14:paraId="6EB59314" w14:textId="77777777" w:rsidTr="001B3B91">
        <w:tc>
          <w:tcPr>
            <w:tcW w:w="2875" w:type="dxa"/>
            <w:vAlign w:val="center"/>
          </w:tcPr>
          <w:p w14:paraId="212F8DEA"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2022</w:t>
            </w:r>
          </w:p>
        </w:tc>
        <w:tc>
          <w:tcPr>
            <w:tcW w:w="3245" w:type="dxa"/>
            <w:vAlign w:val="center"/>
          </w:tcPr>
          <w:p w14:paraId="3863FB89"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16</w:t>
            </w:r>
          </w:p>
        </w:tc>
      </w:tr>
      <w:tr w:rsidR="00B94FAE" w14:paraId="46202535" w14:textId="77777777" w:rsidTr="001B3B91">
        <w:tc>
          <w:tcPr>
            <w:tcW w:w="2875" w:type="dxa"/>
            <w:tcBorders>
              <w:bottom w:val="single" w:sz="2" w:space="0" w:color="auto"/>
            </w:tcBorders>
            <w:vAlign w:val="center"/>
          </w:tcPr>
          <w:p w14:paraId="46D85E13" w14:textId="77777777" w:rsidR="00B94FAE" w:rsidRPr="00781CB3" w:rsidRDefault="00B94FAE" w:rsidP="00D309C1">
            <w:pPr>
              <w:jc w:val="center"/>
              <w:rPr>
                <w:rFonts w:cstheme="minorHAnsi"/>
                <w:color w:val="000000"/>
                <w:sz w:val="22"/>
                <w:szCs w:val="22"/>
              </w:rPr>
            </w:pPr>
            <w:r w:rsidRPr="00781CB3">
              <w:rPr>
                <w:rFonts w:cstheme="minorHAnsi"/>
                <w:color w:val="000000"/>
                <w:sz w:val="22"/>
                <w:szCs w:val="22"/>
              </w:rPr>
              <w:t>2023</w:t>
            </w:r>
          </w:p>
        </w:tc>
        <w:tc>
          <w:tcPr>
            <w:tcW w:w="3245" w:type="dxa"/>
            <w:tcBorders>
              <w:bottom w:val="single" w:sz="2" w:space="0" w:color="auto"/>
            </w:tcBorders>
            <w:vAlign w:val="center"/>
          </w:tcPr>
          <w:p w14:paraId="759DE9D2" w14:textId="42B0DB74" w:rsidR="00B94FAE" w:rsidRPr="00A378D5" w:rsidRDefault="00B94FAE" w:rsidP="00D309C1">
            <w:pPr>
              <w:jc w:val="center"/>
              <w:rPr>
                <w:rFonts w:cstheme="minorHAnsi"/>
                <w:color w:val="000000"/>
                <w:sz w:val="22"/>
                <w:szCs w:val="22"/>
              </w:rPr>
            </w:pPr>
            <w:r w:rsidRPr="00A378D5">
              <w:rPr>
                <w:rFonts w:cstheme="minorHAnsi"/>
                <w:color w:val="000000"/>
                <w:sz w:val="22"/>
                <w:szCs w:val="22"/>
              </w:rPr>
              <w:t>9</w:t>
            </w:r>
          </w:p>
        </w:tc>
      </w:tr>
      <w:tr w:rsidR="00B94FAE" w:rsidRPr="00781CB3" w14:paraId="32F357BA" w14:textId="77777777" w:rsidTr="001B3B91">
        <w:tc>
          <w:tcPr>
            <w:tcW w:w="2875" w:type="dxa"/>
            <w:tcBorders>
              <w:top w:val="single" w:sz="2" w:space="0" w:color="auto"/>
              <w:bottom w:val="single" w:sz="12" w:space="0" w:color="auto"/>
            </w:tcBorders>
            <w:vAlign w:val="center"/>
          </w:tcPr>
          <w:p w14:paraId="5A404F46" w14:textId="30DA41A6" w:rsidR="00B94FAE" w:rsidRPr="00781CB3" w:rsidRDefault="00B94FAE" w:rsidP="00D309C1">
            <w:pPr>
              <w:jc w:val="center"/>
              <w:rPr>
                <w:rFonts w:cstheme="minorHAnsi"/>
                <w:b/>
                <w:bCs/>
                <w:color w:val="000000"/>
                <w:sz w:val="22"/>
                <w:szCs w:val="22"/>
              </w:rPr>
            </w:pPr>
            <w:r w:rsidRPr="00781CB3">
              <w:rPr>
                <w:rFonts w:cstheme="minorHAnsi"/>
                <w:b/>
                <w:bCs/>
                <w:color w:val="000000"/>
                <w:sz w:val="22"/>
                <w:szCs w:val="22"/>
              </w:rPr>
              <w:t>Total</w:t>
            </w:r>
          </w:p>
        </w:tc>
        <w:tc>
          <w:tcPr>
            <w:tcW w:w="3245" w:type="dxa"/>
            <w:tcBorders>
              <w:top w:val="single" w:sz="2" w:space="0" w:color="auto"/>
              <w:bottom w:val="single" w:sz="12" w:space="0" w:color="auto"/>
            </w:tcBorders>
            <w:vAlign w:val="center"/>
          </w:tcPr>
          <w:p w14:paraId="702E1548" w14:textId="127A68A4" w:rsidR="00B94FAE" w:rsidRPr="00A378D5" w:rsidRDefault="00B94FAE" w:rsidP="00D309C1">
            <w:pPr>
              <w:jc w:val="center"/>
              <w:rPr>
                <w:rFonts w:cstheme="minorHAnsi"/>
                <w:b/>
                <w:bCs/>
                <w:color w:val="000000"/>
                <w:sz w:val="22"/>
                <w:szCs w:val="22"/>
              </w:rPr>
            </w:pPr>
            <w:r w:rsidRPr="00A378D5">
              <w:rPr>
                <w:rFonts w:cstheme="minorHAnsi"/>
                <w:b/>
                <w:bCs/>
                <w:color w:val="000000"/>
                <w:sz w:val="22"/>
                <w:szCs w:val="22"/>
              </w:rPr>
              <w:t>10</w:t>
            </w:r>
            <w:r w:rsidR="00A378D5" w:rsidRPr="00A378D5">
              <w:rPr>
                <w:rFonts w:cstheme="minorHAnsi"/>
                <w:b/>
                <w:bCs/>
                <w:color w:val="000000"/>
                <w:sz w:val="22"/>
                <w:szCs w:val="22"/>
              </w:rPr>
              <w:t>44</w:t>
            </w:r>
          </w:p>
        </w:tc>
      </w:tr>
    </w:tbl>
    <w:p w14:paraId="6F33B52B" w14:textId="77777777" w:rsidR="00C479F4" w:rsidRDefault="00D47AF1" w:rsidP="00D47AF1">
      <w:pPr>
        <w:jc w:val="both"/>
      </w:pPr>
      <w:r w:rsidRPr="00224382">
        <w:rPr>
          <w:rFonts w:cstheme="minorHAnsi"/>
          <w:b/>
          <w:szCs w:val="24"/>
        </w:rPr>
        <w:br w:type="textWrapping" w:clear="all"/>
      </w:r>
      <w:r w:rsidRPr="00224382">
        <w:rPr>
          <w:rFonts w:cstheme="minorHAnsi"/>
          <w:noProof/>
        </w:rPr>
        <w:t xml:space="preserve"> </w:t>
      </w:r>
    </w:p>
    <w:p w14:paraId="199AE784" w14:textId="208A4941" w:rsidR="0090028A" w:rsidRDefault="00957E5D" w:rsidP="0090028A">
      <w:pPr>
        <w:keepNext/>
        <w:jc w:val="both"/>
      </w:pPr>
      <w:r>
        <w:rPr>
          <w:noProof/>
        </w:rPr>
        <w:lastRenderedPageBreak/>
        <w:drawing>
          <wp:inline distT="0" distB="0" distL="0" distR="0" wp14:anchorId="742917A8" wp14:editId="22291B21">
            <wp:extent cx="5936187" cy="4084320"/>
            <wp:effectExtent l="0" t="0" r="7620" b="0"/>
            <wp:docPr id="11420262" name="Picture 11420262" descr="Chart, waterfall chart&#10;&#10;Figure 6.1 1. TMDL equations by pollutant.">
              <a:extLst xmlns:a="http://schemas.openxmlformats.org/drawingml/2006/main">
                <a:ext uri="{FF2B5EF4-FFF2-40B4-BE49-F238E27FC236}">
                  <a16:creationId xmlns:a16="http://schemas.microsoft.com/office/drawing/2014/main" id="{3B80A274-44A0-22DA-C68F-E6833FFB29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262" name="Picture 11420262" descr="Chart, waterfall chart&#10;&#10;Figure 6.1 1. TMDL equations by pollutant.">
                      <a:extLst>
                        <a:ext uri="{FF2B5EF4-FFF2-40B4-BE49-F238E27FC236}">
                          <a16:creationId xmlns:a16="http://schemas.microsoft.com/office/drawing/2014/main" id="{3B80A274-44A0-22DA-C68F-E6833FFB29E8}"/>
                        </a:ext>
                      </a:extLst>
                    </pic:cNvPr>
                    <pic:cNvPicPr>
                      <a:picLocks noChangeAspect="1"/>
                    </pic:cNvPicPr>
                  </pic:nvPicPr>
                  <pic:blipFill>
                    <a:blip r:embed="rId230" cstate="screen">
                      <a:extLst>
                        <a:ext uri="{28A0092B-C50C-407E-A947-70E740481C1C}">
                          <a14:useLocalDpi xmlns:a14="http://schemas.microsoft.com/office/drawing/2010/main"/>
                        </a:ext>
                      </a:extLst>
                    </a:blip>
                    <a:stretch>
                      <a:fillRect/>
                    </a:stretch>
                  </pic:blipFill>
                  <pic:spPr>
                    <a:xfrm>
                      <a:off x="0" y="0"/>
                      <a:ext cx="5936187" cy="4084320"/>
                    </a:xfrm>
                    <a:prstGeom prst="rect">
                      <a:avLst/>
                    </a:prstGeom>
                  </pic:spPr>
                </pic:pic>
              </a:graphicData>
            </a:graphic>
          </wp:inline>
        </w:drawing>
      </w:r>
    </w:p>
    <w:p w14:paraId="515EF96B" w14:textId="233C5B5E" w:rsidR="00985D49" w:rsidRPr="00D237D4" w:rsidRDefault="0090028A" w:rsidP="00985D49">
      <w:pPr>
        <w:pStyle w:val="Caption"/>
        <w:keepNext/>
      </w:pPr>
      <w:bookmarkStart w:id="402" w:name="_Toc164175139"/>
      <w:bookmarkStart w:id="403" w:name="_Toc152766318"/>
      <w:r>
        <w:t xml:space="preserve">Figure </w:t>
      </w:r>
      <w:r w:rsidR="004F13BA">
        <w:fldChar w:fldCharType="begin"/>
      </w:r>
      <w:r w:rsidR="004F13BA">
        <w:instrText xml:space="preserve"> STYLEREF 2 \s </w:instrText>
      </w:r>
      <w:r w:rsidR="004F13BA">
        <w:fldChar w:fldCharType="separate"/>
      </w:r>
      <w:r w:rsidR="00E429BB">
        <w:rPr>
          <w:noProof/>
        </w:rPr>
        <w:t>6.1</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xml:space="preserve">. </w:t>
      </w:r>
      <w:r w:rsidRPr="00FC7503">
        <w:t xml:space="preserve">TMDL </w:t>
      </w:r>
      <w:r w:rsidR="00985D49">
        <w:t>e</w:t>
      </w:r>
      <w:r w:rsidRPr="00FC7503">
        <w:t xml:space="preserve">quations by </w:t>
      </w:r>
      <w:r w:rsidR="00985D49">
        <w:t>p</w:t>
      </w:r>
      <w:r w:rsidRPr="00FC7503">
        <w:t>ollutant</w:t>
      </w:r>
      <w:bookmarkEnd w:id="402"/>
      <w:r>
        <w:t>.</w:t>
      </w:r>
      <w:bookmarkEnd w:id="403"/>
    </w:p>
    <w:p w14:paraId="43936413" w14:textId="77777777" w:rsidR="00D47AF1" w:rsidRPr="00224382" w:rsidRDefault="00D47AF1" w:rsidP="0067286B">
      <w:pPr>
        <w:jc w:val="both"/>
        <w:rPr>
          <w:rFonts w:cstheme="minorHAnsi"/>
          <w:b/>
          <w:szCs w:val="24"/>
        </w:rPr>
      </w:pPr>
    </w:p>
    <w:p w14:paraId="3E7208BB" w14:textId="62157824" w:rsidR="00D47AF1" w:rsidRPr="00F347ED" w:rsidRDefault="007543B7" w:rsidP="00D47AF1">
      <w:pPr>
        <w:rPr>
          <w:rFonts w:cstheme="minorHAnsi"/>
          <w:bCs/>
          <w:iCs/>
          <w:szCs w:val="24"/>
        </w:rPr>
      </w:pPr>
      <w:r w:rsidRPr="007543B7">
        <w:rPr>
          <w:rFonts w:cstheme="minorHAnsi"/>
          <w:szCs w:val="24"/>
        </w:rPr>
        <w:t xml:space="preserve">Once a TMDL is developed, the report is submitted to the State Water Control Board and the Federal EPA for approval. The Code of Virginia (1997, WQMIRA, see §62.1- 44.19:7) requires expeditious implementation of TMDLs, when appropriate to achieve fully supporting status of impaired waters. In Virginia, this is typically accomplished by developing an implementation plan, which is commonly completed after a TMDL is developed and approved. There is not a mandated schedule for implementation plan development; however, local or state agencies, as well as community watershed groups partner with DEQ in developing implementation plans. The implementation plan describes the measures that should be taken to reduce nonpoint source pollution levels to meet the TMDL load allocation in the waterbody and includes a schedule of actions, costs, and monitoring needs. See Chapter </w:t>
      </w:r>
      <w:r w:rsidR="00541684">
        <w:rPr>
          <w:rFonts w:cstheme="minorHAnsi"/>
          <w:szCs w:val="24"/>
        </w:rPr>
        <w:t>6</w:t>
      </w:r>
      <w:r w:rsidRPr="007543B7">
        <w:rPr>
          <w:rFonts w:cstheme="minorHAnsi"/>
          <w:szCs w:val="24"/>
        </w:rPr>
        <w:t xml:space="preserve"> for additional information about the Implementation Program. Waste load allocations established in TMDLs are implemented through the permits issued under the VPDES permit program.</w:t>
      </w:r>
      <w:r w:rsidR="00E040D2">
        <w:rPr>
          <w:rFonts w:cstheme="minorHAnsi"/>
          <w:szCs w:val="24"/>
        </w:rPr>
        <w:br/>
      </w:r>
    </w:p>
    <w:p w14:paraId="3B53F42B" w14:textId="32CFC72F" w:rsidR="00D47AF1" w:rsidRPr="00224382" w:rsidRDefault="00D47AF1" w:rsidP="00D47AF1">
      <w:pPr>
        <w:pStyle w:val="Heading4"/>
      </w:pPr>
      <w:r w:rsidRPr="00224382">
        <w:t>Data Collection and Analysis</w:t>
      </w:r>
    </w:p>
    <w:p w14:paraId="78EC943E" w14:textId="77777777" w:rsidR="00C965D0" w:rsidRPr="00C965D0" w:rsidRDefault="00C965D0" w:rsidP="00C965D0">
      <w:pPr>
        <w:rPr>
          <w:rFonts w:cstheme="minorHAnsi"/>
          <w:szCs w:val="24"/>
        </w:rPr>
      </w:pPr>
      <w:r w:rsidRPr="00C965D0">
        <w:rPr>
          <w:rFonts w:cstheme="minorHAnsi"/>
          <w:szCs w:val="24"/>
        </w:rPr>
        <w:t xml:space="preserve">Virginia has an extensive water quality monitoring program that visits over 1000 locations a year. Since the beginning of the TMDL program at DEQ, efforts have been made to coordinate TMDL development and water quality monitoring, both to maximize staff resources and to ensure that the appropriate water quality data are gathered to aid in the development of TMDLs. </w:t>
      </w:r>
    </w:p>
    <w:p w14:paraId="2700030A" w14:textId="77777777" w:rsidR="00C965D0" w:rsidRPr="00C965D0" w:rsidRDefault="00C965D0" w:rsidP="00C965D0">
      <w:pPr>
        <w:rPr>
          <w:rFonts w:cstheme="minorHAnsi"/>
          <w:szCs w:val="24"/>
        </w:rPr>
      </w:pPr>
    </w:p>
    <w:p w14:paraId="3F31FDA6" w14:textId="4E1BA72A" w:rsidR="00D47AF1" w:rsidRPr="00224382" w:rsidRDefault="00C965D0" w:rsidP="00C965D0">
      <w:pPr>
        <w:rPr>
          <w:rFonts w:cstheme="minorHAnsi"/>
        </w:rPr>
      </w:pPr>
      <w:r w:rsidRPr="00C965D0">
        <w:rPr>
          <w:rFonts w:cstheme="minorHAnsi"/>
          <w:szCs w:val="24"/>
        </w:rPr>
        <w:t xml:space="preserve">Furthermore, to better plan for TMDLs or ARPs, DEQ staff target a list of specific parameters necessary for pre-TMDL monitoring. Because TMDLs must be developed for pollutants causing </w:t>
      </w:r>
      <w:proofErr w:type="gramStart"/>
      <w:r w:rsidRPr="00C965D0">
        <w:rPr>
          <w:rFonts w:cstheme="minorHAnsi"/>
          <w:szCs w:val="24"/>
        </w:rPr>
        <w:t>an impairment</w:t>
      </w:r>
      <w:proofErr w:type="gramEnd"/>
      <w:r w:rsidRPr="00C965D0">
        <w:rPr>
          <w:rFonts w:cstheme="minorHAnsi"/>
          <w:szCs w:val="24"/>
        </w:rPr>
        <w:t xml:space="preserve">, TMDLs or ARPs that address benthic macroinvertebrate impairments require an analysis to determine what stressors (i.e., pollutants) are causing the impairment. </w:t>
      </w:r>
      <w:r w:rsidR="00644C19">
        <w:rPr>
          <w:rFonts w:cstheme="minorHAnsi"/>
          <w:szCs w:val="24"/>
        </w:rPr>
        <w:t>T</w:t>
      </w:r>
      <w:r w:rsidRPr="00C965D0">
        <w:rPr>
          <w:rFonts w:cstheme="minorHAnsi"/>
          <w:szCs w:val="24"/>
        </w:rPr>
        <w:t xml:space="preserve">his analysis is done using all available data to provide the proper suite of parameters that aid in a thorough analysis of potential stressors causing the impairment of the benthic macroinvertebrate community. Additionally, a </w:t>
      </w:r>
      <w:r w:rsidR="00792514">
        <w:rPr>
          <w:rFonts w:cstheme="minorHAnsi"/>
          <w:szCs w:val="24"/>
        </w:rPr>
        <w:t>s</w:t>
      </w:r>
      <w:r w:rsidRPr="00C965D0">
        <w:rPr>
          <w:rFonts w:cstheme="minorHAnsi"/>
          <w:szCs w:val="24"/>
        </w:rPr>
        <w:t xml:space="preserve">tressor </w:t>
      </w:r>
      <w:r w:rsidR="00792514">
        <w:rPr>
          <w:rFonts w:cstheme="minorHAnsi"/>
          <w:szCs w:val="24"/>
        </w:rPr>
        <w:t>i</w:t>
      </w:r>
      <w:r w:rsidRPr="00C965D0">
        <w:rPr>
          <w:rFonts w:cstheme="minorHAnsi"/>
          <w:szCs w:val="24"/>
        </w:rPr>
        <w:t xml:space="preserve">dentification tool has been developed to provide an in-house and easy to use tool that runs analyses on various potential stressors to inform the stressor identification process for benthic macroinvertebrate impairments. </w:t>
      </w:r>
      <w:r w:rsidR="00940DDF">
        <w:rPr>
          <w:rFonts w:cstheme="minorHAnsi"/>
          <w:szCs w:val="24"/>
        </w:rPr>
        <w:t>More</w:t>
      </w:r>
      <w:r w:rsidR="00D47AF1" w:rsidRPr="00224382">
        <w:rPr>
          <w:rFonts w:cstheme="minorHAnsi"/>
          <w:szCs w:val="24"/>
        </w:rPr>
        <w:t xml:space="preserve"> information on </w:t>
      </w:r>
      <w:r w:rsidR="0063241E">
        <w:rPr>
          <w:rFonts w:cstheme="minorHAnsi"/>
          <w:szCs w:val="24"/>
        </w:rPr>
        <w:t>DEQ’s</w:t>
      </w:r>
      <w:r w:rsidR="0063241E" w:rsidRPr="00224382">
        <w:rPr>
          <w:rFonts w:cstheme="minorHAnsi"/>
          <w:szCs w:val="24"/>
        </w:rPr>
        <w:t xml:space="preserve"> </w:t>
      </w:r>
      <w:r w:rsidR="0063241E">
        <w:rPr>
          <w:rFonts w:cstheme="minorHAnsi"/>
          <w:szCs w:val="24"/>
        </w:rPr>
        <w:t>s</w:t>
      </w:r>
      <w:r w:rsidR="0063241E" w:rsidRPr="00224382">
        <w:rPr>
          <w:rFonts w:cstheme="minorHAnsi"/>
          <w:szCs w:val="24"/>
        </w:rPr>
        <w:t xml:space="preserve">tressor </w:t>
      </w:r>
      <w:r w:rsidR="0063241E">
        <w:rPr>
          <w:rFonts w:cstheme="minorHAnsi"/>
          <w:szCs w:val="24"/>
        </w:rPr>
        <w:t>i</w:t>
      </w:r>
      <w:r w:rsidR="0063241E" w:rsidRPr="00224382">
        <w:rPr>
          <w:rFonts w:cstheme="minorHAnsi"/>
          <w:szCs w:val="24"/>
        </w:rPr>
        <w:t xml:space="preserve">dentification </w:t>
      </w:r>
      <w:r w:rsidR="00D47AF1" w:rsidRPr="00224382">
        <w:rPr>
          <w:rFonts w:cstheme="minorHAnsi"/>
          <w:szCs w:val="24"/>
        </w:rPr>
        <w:t>tool</w:t>
      </w:r>
      <w:r w:rsidR="00940DDF">
        <w:rPr>
          <w:rFonts w:cstheme="minorHAnsi"/>
          <w:szCs w:val="24"/>
        </w:rPr>
        <w:t xml:space="preserve"> is available </w:t>
      </w:r>
      <w:r w:rsidR="003C767E">
        <w:rPr>
          <w:rFonts w:cstheme="minorHAnsi"/>
          <w:szCs w:val="24"/>
        </w:rPr>
        <w:t xml:space="preserve">in a report located </w:t>
      </w:r>
      <w:r w:rsidR="0008618C">
        <w:rPr>
          <w:rFonts w:cstheme="minorHAnsi"/>
          <w:szCs w:val="24"/>
        </w:rPr>
        <w:t xml:space="preserve">on the </w:t>
      </w:r>
      <w:r w:rsidR="00792514">
        <w:rPr>
          <w:rFonts w:cstheme="minorHAnsi"/>
          <w:szCs w:val="24"/>
        </w:rPr>
        <w:t xml:space="preserve">DEQ Probabilistic Monitoring webpage. </w:t>
      </w:r>
    </w:p>
    <w:p w14:paraId="7BDC9A86" w14:textId="77777777" w:rsidR="00D47AF1" w:rsidRPr="00F347ED" w:rsidRDefault="00D47AF1" w:rsidP="00D47AF1">
      <w:pPr>
        <w:jc w:val="both"/>
        <w:rPr>
          <w:rFonts w:cstheme="minorHAnsi"/>
          <w:bCs/>
          <w:iCs/>
          <w:szCs w:val="24"/>
        </w:rPr>
      </w:pPr>
    </w:p>
    <w:p w14:paraId="627C6492" w14:textId="6E5FCE42" w:rsidR="00D47AF1" w:rsidRPr="00224382" w:rsidRDefault="00D47AF1" w:rsidP="00224382">
      <w:pPr>
        <w:pStyle w:val="Heading4"/>
      </w:pPr>
      <w:r w:rsidRPr="00224382">
        <w:t>Public Participation in TMDL and ARP development</w:t>
      </w:r>
    </w:p>
    <w:p w14:paraId="2A70574A" w14:textId="4F317963" w:rsidR="00E1305A" w:rsidRDefault="005E232C" w:rsidP="00F347ED">
      <w:pPr>
        <w:rPr>
          <w:rFonts w:cstheme="minorHAnsi"/>
          <w:szCs w:val="24"/>
        </w:rPr>
      </w:pPr>
      <w:r w:rsidRPr="005E232C">
        <w:rPr>
          <w:rFonts w:cstheme="minorHAnsi"/>
          <w:szCs w:val="24"/>
        </w:rPr>
        <w:t>In the Fall of 2023, DEQ updated the Public Participation Procedures for Water Quality Management Planning guidance document.</w:t>
      </w:r>
      <w:r w:rsidR="00E1305A">
        <w:rPr>
          <w:rFonts w:cstheme="minorHAnsi"/>
          <w:szCs w:val="24"/>
        </w:rPr>
        <w:t xml:space="preserve"> </w:t>
      </w:r>
      <w:r w:rsidRPr="005E232C">
        <w:rPr>
          <w:rFonts w:cstheme="minorHAnsi"/>
          <w:szCs w:val="24"/>
        </w:rPr>
        <w:t xml:space="preserve">These procedures set forth the process to provide the public and stakeholders with an adequate opportunity to participate in and provide public </w:t>
      </w:r>
      <w:proofErr w:type="gramStart"/>
      <w:r w:rsidRPr="005E232C">
        <w:rPr>
          <w:rFonts w:cstheme="minorHAnsi"/>
          <w:szCs w:val="24"/>
        </w:rPr>
        <w:t>comment</w:t>
      </w:r>
      <w:proofErr w:type="gramEnd"/>
      <w:r w:rsidRPr="005E232C">
        <w:rPr>
          <w:rFonts w:cstheme="minorHAnsi"/>
          <w:szCs w:val="24"/>
        </w:rPr>
        <w:t xml:space="preserve"> on the development and implementation of TMDLs, TMDL modifications, 305(b)/303(d) Integrated Reports, priority schedules for TMDL and ARP development, and non-TMDL </w:t>
      </w:r>
      <w:proofErr w:type="spellStart"/>
      <w:r w:rsidRPr="005E232C">
        <w:rPr>
          <w:rFonts w:cstheme="minorHAnsi"/>
          <w:szCs w:val="24"/>
        </w:rPr>
        <w:t>wasteload</w:t>
      </w:r>
      <w:proofErr w:type="spellEnd"/>
      <w:r w:rsidRPr="005E232C">
        <w:rPr>
          <w:rFonts w:cstheme="minorHAnsi"/>
          <w:szCs w:val="24"/>
        </w:rPr>
        <w:t xml:space="preserve"> allocations. These procedures also exempt any of these actions from the full Administrative Process Act (see, § 2.2-4000. et seq.) public participation process because they go above and beyond those requirements. For the development of TMDLs and TMDL implementation plans, stakeholders will have a minimum of two opportunities to provide comments. Stakeholders will also have a final opportunity to comment on TMDL point source allocations, or </w:t>
      </w:r>
      <w:proofErr w:type="spellStart"/>
      <w:r w:rsidRPr="005E232C">
        <w:rPr>
          <w:rFonts w:cstheme="minorHAnsi"/>
          <w:szCs w:val="24"/>
        </w:rPr>
        <w:t>wasteload</w:t>
      </w:r>
      <w:proofErr w:type="spellEnd"/>
      <w:r w:rsidRPr="005E232C">
        <w:rPr>
          <w:rFonts w:cstheme="minorHAnsi"/>
          <w:szCs w:val="24"/>
        </w:rPr>
        <w:t xml:space="preserve"> allocations, prior to State Water Control Board approval. It is the goal of these procedures to include stakeholders in water quality management actions from the initial listing of an impaired water, all the way to the implementation of the TMDL or ARP developed to address the impairment.</w:t>
      </w:r>
      <w:r w:rsidR="00F347ED">
        <w:rPr>
          <w:rFonts w:cstheme="minorHAnsi"/>
          <w:szCs w:val="24"/>
        </w:rPr>
        <w:br/>
      </w:r>
    </w:p>
    <w:p w14:paraId="55F06C38" w14:textId="1AD9A3DF" w:rsidR="00D47AF1" w:rsidRPr="00224382" w:rsidRDefault="00D47AF1" w:rsidP="00D47AF1">
      <w:pPr>
        <w:rPr>
          <w:rFonts w:cstheme="minorHAnsi"/>
          <w:szCs w:val="24"/>
        </w:rPr>
      </w:pPr>
      <w:r w:rsidRPr="00224382">
        <w:rPr>
          <w:rFonts w:cstheme="minorHAnsi"/>
          <w:szCs w:val="24"/>
        </w:rPr>
        <w:t xml:space="preserve">Stakeholders interested in participating in these water quality actions can see public notices for these actions </w:t>
      </w:r>
      <w:r w:rsidR="00C22435">
        <w:rPr>
          <w:rFonts w:cstheme="minorHAnsi"/>
          <w:szCs w:val="24"/>
        </w:rPr>
        <w:t xml:space="preserve">on </w:t>
      </w:r>
      <w:r w:rsidRPr="00224382">
        <w:rPr>
          <w:rFonts w:cstheme="minorHAnsi"/>
          <w:szCs w:val="24"/>
        </w:rPr>
        <w:t xml:space="preserve">the </w:t>
      </w:r>
      <w:r w:rsidRPr="00C22435">
        <w:rPr>
          <w:rFonts w:cstheme="minorHAnsi"/>
          <w:szCs w:val="24"/>
        </w:rPr>
        <w:t>Virginia Register</w:t>
      </w:r>
      <w:r w:rsidRPr="00224382">
        <w:rPr>
          <w:rFonts w:cstheme="minorHAnsi"/>
          <w:szCs w:val="24"/>
        </w:rPr>
        <w:t xml:space="preserve"> or the </w:t>
      </w:r>
      <w:r w:rsidRPr="00C22435">
        <w:rPr>
          <w:rFonts w:cstheme="minorHAnsi"/>
          <w:szCs w:val="24"/>
        </w:rPr>
        <w:t>Virginia Regulatory Town Hall</w:t>
      </w:r>
      <w:r w:rsidR="00C22435">
        <w:rPr>
          <w:rFonts w:cstheme="minorHAnsi"/>
          <w:szCs w:val="24"/>
        </w:rPr>
        <w:t xml:space="preserve"> </w:t>
      </w:r>
      <w:r w:rsidR="00904D9E">
        <w:rPr>
          <w:rFonts w:cstheme="minorHAnsi"/>
          <w:szCs w:val="24"/>
        </w:rPr>
        <w:t>websites</w:t>
      </w:r>
      <w:r w:rsidRPr="00224382">
        <w:rPr>
          <w:rFonts w:cstheme="minorHAnsi"/>
          <w:szCs w:val="24"/>
        </w:rPr>
        <w:t xml:space="preserve">. The </w:t>
      </w:r>
      <w:r w:rsidRPr="00224382">
        <w:rPr>
          <w:rFonts w:cstheme="minorHAnsi"/>
          <w:i/>
          <w:iCs/>
          <w:szCs w:val="24"/>
        </w:rPr>
        <w:t>Public Participation Procedures for Water Quality Management Planning</w:t>
      </w:r>
      <w:r w:rsidRPr="00224382">
        <w:rPr>
          <w:rFonts w:cstheme="minorHAnsi"/>
          <w:szCs w:val="24"/>
        </w:rPr>
        <w:t xml:space="preserve"> guidance can </w:t>
      </w:r>
      <w:r w:rsidR="00904D9E">
        <w:rPr>
          <w:rFonts w:cstheme="minorHAnsi"/>
          <w:szCs w:val="24"/>
        </w:rPr>
        <w:t xml:space="preserve">also </w:t>
      </w:r>
      <w:r w:rsidRPr="00224382">
        <w:rPr>
          <w:rFonts w:cstheme="minorHAnsi"/>
          <w:szCs w:val="24"/>
        </w:rPr>
        <w:t xml:space="preserve">be found on Virginia’s Town Hall </w:t>
      </w:r>
      <w:r w:rsidR="009E6EE2">
        <w:rPr>
          <w:rFonts w:cstheme="minorHAnsi"/>
          <w:szCs w:val="24"/>
        </w:rPr>
        <w:t>web</w:t>
      </w:r>
      <w:r w:rsidR="009F428E">
        <w:rPr>
          <w:rFonts w:cstheme="minorHAnsi"/>
          <w:szCs w:val="24"/>
        </w:rPr>
        <w:t>site</w:t>
      </w:r>
      <w:r w:rsidR="00904D9E">
        <w:rPr>
          <w:rFonts w:cstheme="minorHAnsi"/>
          <w:szCs w:val="24"/>
        </w:rPr>
        <w:t>.</w:t>
      </w:r>
    </w:p>
    <w:p w14:paraId="03748C78" w14:textId="77777777" w:rsidR="00D47AF1" w:rsidRPr="00224382" w:rsidRDefault="00D47AF1" w:rsidP="00D47AF1">
      <w:pPr>
        <w:rPr>
          <w:rFonts w:cstheme="minorHAnsi"/>
          <w:szCs w:val="24"/>
        </w:rPr>
      </w:pPr>
    </w:p>
    <w:p w14:paraId="39AB1C19" w14:textId="494E93FA" w:rsidR="00D47AF1" w:rsidRPr="00224382" w:rsidRDefault="00D47AF1" w:rsidP="00224382">
      <w:pPr>
        <w:pStyle w:val="Heading4"/>
      </w:pPr>
      <w:r w:rsidRPr="00224382">
        <w:t>Integration and Collaboration</w:t>
      </w:r>
    </w:p>
    <w:p w14:paraId="30BA127A" w14:textId="4E30FD28" w:rsidR="00E46D6A" w:rsidRPr="00E46D6A" w:rsidRDefault="00E46D6A" w:rsidP="00E46D6A">
      <w:pPr>
        <w:rPr>
          <w:rFonts w:cstheme="minorHAnsi"/>
          <w:szCs w:val="24"/>
        </w:rPr>
      </w:pPr>
      <w:r w:rsidRPr="00E46D6A">
        <w:rPr>
          <w:rFonts w:cstheme="minorHAnsi"/>
          <w:szCs w:val="24"/>
        </w:rPr>
        <w:t>Virginia’s TMDL and TMDL implementation plan development programs, in addition to the grants management program for projects implementing the TMDL implementation plans, are combined in one DEQ program office. With MS4 permitting also at DEQ, this allows for close intra-agency collaboration on emerging concepts and approaches for addressing MS4 permits in TMDL watersheds. This collaboration is an ongoing effort to continuously improve DEQ’s management of stormwater and nonpoint sources in watersheds with impaired waters.</w:t>
      </w:r>
    </w:p>
    <w:p w14:paraId="6D63B1A0" w14:textId="77777777" w:rsidR="00E46D6A" w:rsidRPr="00E46D6A" w:rsidRDefault="00E46D6A" w:rsidP="00E46D6A">
      <w:pPr>
        <w:jc w:val="both"/>
        <w:rPr>
          <w:rFonts w:cstheme="minorHAnsi"/>
          <w:szCs w:val="24"/>
        </w:rPr>
      </w:pPr>
    </w:p>
    <w:p w14:paraId="3FFD7B3B" w14:textId="352DDD27" w:rsidR="00597EBD" w:rsidRPr="00597EBD" w:rsidRDefault="00E46D6A" w:rsidP="00E46D6A">
      <w:pPr>
        <w:rPr>
          <w:rFonts w:cstheme="minorHAnsi"/>
          <w:szCs w:val="24"/>
        </w:rPr>
      </w:pPr>
      <w:r w:rsidRPr="00E46D6A">
        <w:rPr>
          <w:rFonts w:cstheme="minorHAnsi"/>
          <w:szCs w:val="24"/>
        </w:rPr>
        <w:t xml:space="preserve">Virginia Energy (formerly the Department of Mines, Minerals, and Energy (DMME)) has signed </w:t>
      </w:r>
      <w:proofErr w:type="gramStart"/>
      <w:r w:rsidRPr="00E46D6A">
        <w:rPr>
          <w:rFonts w:cstheme="minorHAnsi"/>
          <w:szCs w:val="24"/>
        </w:rPr>
        <w:lastRenderedPageBreak/>
        <w:t>Memoranda</w:t>
      </w:r>
      <w:proofErr w:type="gramEnd"/>
      <w:r w:rsidRPr="00E46D6A">
        <w:rPr>
          <w:rFonts w:cstheme="minorHAnsi"/>
          <w:szCs w:val="24"/>
        </w:rPr>
        <w:t xml:space="preserve"> of Understanding (MOU) with DEQ agreeing to a cooperative effort in the TMDL and TMDL implementation plan processes. Virginia Energy assists with the development and implementation of TMDLs involving pollutants from resource extraction activities.</w:t>
      </w:r>
      <w:r>
        <w:rPr>
          <w:rFonts w:cstheme="minorHAnsi"/>
          <w:szCs w:val="24"/>
        </w:rPr>
        <w:br/>
      </w:r>
    </w:p>
    <w:p w14:paraId="7A6D6A62" w14:textId="24AFF45B" w:rsidR="00597EBD" w:rsidRPr="00597EBD" w:rsidRDefault="00597EBD" w:rsidP="00597EBD">
      <w:pPr>
        <w:rPr>
          <w:rFonts w:cstheme="minorHAnsi"/>
          <w:szCs w:val="24"/>
        </w:rPr>
      </w:pPr>
      <w:r w:rsidRPr="00597EBD">
        <w:rPr>
          <w:rFonts w:cstheme="minorHAnsi"/>
          <w:szCs w:val="24"/>
        </w:rPr>
        <w:t xml:space="preserve">DEQ also collaborates with VDH, which conducts the beach monitoring program for Virginia. The data collected by the beach monitoring program is used by VDH to issue swimming advisories. That same data helps DEQ determine beach recreational use impairments, in addition to aiding the development of TMDLs and ARPs to address beach impairments. DEQ and VDH also have integrated efforts related to shellfish harvesting and </w:t>
      </w:r>
      <w:proofErr w:type="spellStart"/>
      <w:r w:rsidRPr="00597EBD">
        <w:rPr>
          <w:rFonts w:cstheme="minorHAnsi"/>
          <w:szCs w:val="24"/>
        </w:rPr>
        <w:t>shellfishing</w:t>
      </w:r>
      <w:proofErr w:type="spellEnd"/>
      <w:r w:rsidRPr="00597EBD">
        <w:rPr>
          <w:rFonts w:cstheme="minorHAnsi"/>
          <w:szCs w:val="24"/>
        </w:rPr>
        <w:t xml:space="preserve"> impairments. The VDH Division of Shellfish Sanitation conducts water quality monitoring and shoreline surveys </w:t>
      </w:r>
      <w:r w:rsidR="00AF42DC" w:rsidRPr="00597EBD">
        <w:rPr>
          <w:rFonts w:cstheme="minorHAnsi"/>
          <w:szCs w:val="24"/>
        </w:rPr>
        <w:t>to</w:t>
      </w:r>
      <w:r w:rsidRPr="00597EBD">
        <w:rPr>
          <w:rFonts w:cstheme="minorHAnsi"/>
          <w:szCs w:val="24"/>
        </w:rPr>
        <w:t xml:space="preserve"> determine </w:t>
      </w:r>
      <w:r w:rsidR="005F59C5" w:rsidRPr="00597EBD">
        <w:rPr>
          <w:rFonts w:cstheme="minorHAnsi"/>
          <w:szCs w:val="24"/>
        </w:rPr>
        <w:t>whether</w:t>
      </w:r>
      <w:r w:rsidRPr="00597EBD">
        <w:rPr>
          <w:rFonts w:cstheme="minorHAnsi"/>
          <w:szCs w:val="24"/>
        </w:rPr>
        <w:t xml:space="preserve"> shellfish growing areas are suitable for shellfish harvesting. As a result of this data, DEQ then determines whether the </w:t>
      </w:r>
      <w:proofErr w:type="spellStart"/>
      <w:r w:rsidRPr="00597EBD">
        <w:rPr>
          <w:rFonts w:cstheme="minorHAnsi"/>
          <w:szCs w:val="24"/>
        </w:rPr>
        <w:t>shellfishing</w:t>
      </w:r>
      <w:proofErr w:type="spellEnd"/>
      <w:r w:rsidRPr="00597EBD">
        <w:rPr>
          <w:rFonts w:cstheme="minorHAnsi"/>
          <w:szCs w:val="24"/>
        </w:rPr>
        <w:t xml:space="preserve"> use is impaired. When it is impaired, this data is also considered during </w:t>
      </w:r>
      <w:proofErr w:type="gramStart"/>
      <w:r w:rsidRPr="00597EBD">
        <w:rPr>
          <w:rFonts w:cstheme="minorHAnsi"/>
          <w:szCs w:val="24"/>
        </w:rPr>
        <w:t>the TMDL</w:t>
      </w:r>
      <w:proofErr w:type="gramEnd"/>
      <w:r w:rsidRPr="00597EBD">
        <w:rPr>
          <w:rFonts w:cstheme="minorHAnsi"/>
          <w:szCs w:val="24"/>
        </w:rPr>
        <w:t xml:space="preserve"> or ARP development. Furthermore, the DEQ fish tissue monitoring program provides the data that VDH uses to determine fish consumption advisories. DEQ then uses the extent of the fish consumption advisories to assess the extent of state waters with fish consumption use impairments. Through the beach monitoring program and the Division of Shellfish Sanitation at VDH, and the fish tissue monitoring program at DEQ, VDH and DEQ partner to notify the public of public health related impairments, while also providing the information necessary to address these impairments with TMDLs and TMDL alternatives.</w:t>
      </w:r>
    </w:p>
    <w:p w14:paraId="52973DA4" w14:textId="77777777" w:rsidR="00597EBD" w:rsidRPr="00597EBD" w:rsidRDefault="00597EBD" w:rsidP="00597EBD">
      <w:pPr>
        <w:jc w:val="both"/>
        <w:rPr>
          <w:rFonts w:cstheme="minorHAnsi"/>
          <w:szCs w:val="24"/>
        </w:rPr>
      </w:pPr>
    </w:p>
    <w:p w14:paraId="48919ADB" w14:textId="68351184" w:rsidR="00D47AF1" w:rsidRPr="00224382" w:rsidRDefault="00597EBD" w:rsidP="00597EBD">
      <w:pPr>
        <w:rPr>
          <w:rFonts w:cstheme="minorHAnsi"/>
          <w:b/>
          <w:i/>
          <w:szCs w:val="24"/>
        </w:rPr>
      </w:pPr>
      <w:r w:rsidRPr="00597EBD">
        <w:rPr>
          <w:rFonts w:cstheme="minorHAnsi"/>
          <w:szCs w:val="24"/>
        </w:rPr>
        <w:t xml:space="preserve">Additionally, DEQ’s land division, water permitting division, and water planning division work collaboratively to integrate efforts for addressing PCB Fish Tissue contamination issues. Another example of integration </w:t>
      </w:r>
      <w:r w:rsidR="00581FE2" w:rsidRPr="00597EBD">
        <w:rPr>
          <w:rFonts w:cstheme="minorHAnsi"/>
          <w:szCs w:val="24"/>
        </w:rPr>
        <w:t>includes</w:t>
      </w:r>
      <w:r w:rsidRPr="00597EBD">
        <w:rPr>
          <w:rFonts w:cstheme="minorHAnsi"/>
          <w:szCs w:val="24"/>
        </w:rPr>
        <w:t xml:space="preserve"> the </w:t>
      </w:r>
      <w:proofErr w:type="gramStart"/>
      <w:r w:rsidRPr="00597EBD">
        <w:rPr>
          <w:rFonts w:cstheme="minorHAnsi"/>
          <w:szCs w:val="24"/>
        </w:rPr>
        <w:t>aforementioned work</w:t>
      </w:r>
      <w:proofErr w:type="gramEnd"/>
      <w:r w:rsidRPr="00597EBD">
        <w:rPr>
          <w:rFonts w:cstheme="minorHAnsi"/>
          <w:szCs w:val="24"/>
        </w:rPr>
        <w:t xml:space="preserve"> between monitoring staff and TMDL staff to specify parameters necessary for conducting thorough stressor identification analyses in waters with benthic macroinvertebrate impairments that are prioritized for TMDL or ARP development.</w:t>
      </w:r>
      <w:r>
        <w:rPr>
          <w:rFonts w:cstheme="minorHAnsi"/>
          <w:szCs w:val="24"/>
        </w:rPr>
        <w:br/>
      </w:r>
    </w:p>
    <w:p w14:paraId="21A31D85" w14:textId="5D67F0FA" w:rsidR="00D47AF1" w:rsidRPr="00224382" w:rsidRDefault="00D47AF1" w:rsidP="00224382">
      <w:pPr>
        <w:pStyle w:val="Heading4"/>
      </w:pPr>
      <w:r w:rsidRPr="00224382">
        <w:t>Advance Restoration Plans</w:t>
      </w:r>
    </w:p>
    <w:p w14:paraId="65D03ED8" w14:textId="5E316C16" w:rsidR="000A17A9" w:rsidRPr="000A17A9" w:rsidRDefault="000A17A9" w:rsidP="0086559A">
      <w:pPr>
        <w:rPr>
          <w:rFonts w:cstheme="minorHAnsi"/>
          <w:color w:val="1B1B1B"/>
          <w:szCs w:val="24"/>
          <w:shd w:val="clear" w:color="auto" w:fill="FFFFFF"/>
        </w:rPr>
      </w:pPr>
      <w:r w:rsidRPr="000A17A9">
        <w:rPr>
          <w:rFonts w:cstheme="minorHAnsi"/>
          <w:color w:val="1B1B1B"/>
          <w:szCs w:val="24"/>
          <w:shd w:val="clear" w:color="auto" w:fill="FFFFFF"/>
        </w:rPr>
        <w:t>The concept of a TMDL Alternative was first presented in EPA’s Vision 1 (20</w:t>
      </w:r>
      <w:r w:rsidR="0086559A">
        <w:rPr>
          <w:rFonts w:cstheme="minorHAnsi"/>
          <w:color w:val="1B1B1B"/>
          <w:szCs w:val="24"/>
          <w:shd w:val="clear" w:color="auto" w:fill="FFFFFF"/>
        </w:rPr>
        <w:t>1</w:t>
      </w:r>
      <w:r w:rsidRPr="000A17A9">
        <w:rPr>
          <w:rFonts w:cstheme="minorHAnsi"/>
          <w:color w:val="1B1B1B"/>
          <w:szCs w:val="24"/>
          <w:shd w:val="clear" w:color="auto" w:fill="FFFFFF"/>
        </w:rPr>
        <w:t xml:space="preserve">3) and in subsequent IR memos through 2022. In Vision 2 and in </w:t>
      </w:r>
      <w:proofErr w:type="gramStart"/>
      <w:r w:rsidRPr="000A17A9">
        <w:rPr>
          <w:rFonts w:cstheme="minorHAnsi"/>
          <w:color w:val="1B1B1B"/>
          <w:szCs w:val="24"/>
          <w:shd w:val="clear" w:color="auto" w:fill="FFFFFF"/>
        </w:rPr>
        <w:t>the 2024</w:t>
      </w:r>
      <w:proofErr w:type="gramEnd"/>
      <w:r w:rsidRPr="000A17A9">
        <w:rPr>
          <w:rFonts w:cstheme="minorHAnsi"/>
          <w:color w:val="1B1B1B"/>
          <w:szCs w:val="24"/>
          <w:shd w:val="clear" w:color="auto" w:fill="FFFFFF"/>
        </w:rPr>
        <w:t xml:space="preserve"> IR memo EPA is using a new term (Advance Restoration Plan (ARP)) to describe the same approach instead of TMDL-Alternative </w:t>
      </w:r>
      <w:proofErr w:type="gramStart"/>
      <w:r w:rsidRPr="000A17A9">
        <w:rPr>
          <w:rFonts w:cstheme="minorHAnsi"/>
          <w:color w:val="1B1B1B"/>
          <w:szCs w:val="24"/>
          <w:shd w:val="clear" w:color="auto" w:fill="FFFFFF"/>
        </w:rPr>
        <w:t>in order to</w:t>
      </w:r>
      <w:proofErr w:type="gramEnd"/>
      <w:r w:rsidRPr="000A17A9">
        <w:rPr>
          <w:rFonts w:cstheme="minorHAnsi"/>
          <w:color w:val="1B1B1B"/>
          <w:szCs w:val="24"/>
          <w:shd w:val="clear" w:color="auto" w:fill="FFFFFF"/>
        </w:rPr>
        <w:t xml:space="preserve"> address the potential misconception that these approaches are alternatives to TMDLs thus negating the need for ever having to develop a TMDL. An ARP is a near-term plan, or description of actions, with a schedule and milestones. It can be used in advance of a TMDL for watersheds in which an ARP is determined to be more immediately beneficial or practicable to achieving WQS. The impaired waters included in an ARP would remain on the CWA 303(d) list. Once developed, DEQ will periodically evaluate the ARP to determine if that approach is still expected to be more immediately beneficial or practicable in achieving WQS than the development of a TMDL. If it is determined that </w:t>
      </w:r>
      <w:proofErr w:type="gramStart"/>
      <w:r w:rsidRPr="000A17A9">
        <w:rPr>
          <w:rFonts w:cstheme="minorHAnsi"/>
          <w:color w:val="1B1B1B"/>
          <w:szCs w:val="24"/>
          <w:shd w:val="clear" w:color="auto" w:fill="FFFFFF"/>
        </w:rPr>
        <w:t>a TMDL</w:t>
      </w:r>
      <w:proofErr w:type="gramEnd"/>
      <w:r w:rsidRPr="000A17A9">
        <w:rPr>
          <w:rFonts w:cstheme="minorHAnsi"/>
          <w:color w:val="1B1B1B"/>
          <w:szCs w:val="24"/>
          <w:shd w:val="clear" w:color="auto" w:fill="FFFFFF"/>
        </w:rPr>
        <w:t xml:space="preserve"> is needed, TMDL development will be considered for higher priority in the next IR reporting cycle. </w:t>
      </w:r>
    </w:p>
    <w:p w14:paraId="0107C940" w14:textId="77777777" w:rsidR="000A17A9" w:rsidRPr="000A17A9" w:rsidRDefault="000A17A9" w:rsidP="000A17A9">
      <w:pPr>
        <w:jc w:val="both"/>
        <w:rPr>
          <w:rFonts w:cstheme="minorHAnsi"/>
          <w:color w:val="1B1B1B"/>
          <w:szCs w:val="24"/>
          <w:shd w:val="clear" w:color="auto" w:fill="FFFFFF"/>
        </w:rPr>
      </w:pPr>
    </w:p>
    <w:p w14:paraId="22C05B7E" w14:textId="773FFC16" w:rsidR="000A17A9" w:rsidRPr="000A17A9" w:rsidRDefault="000A17A9" w:rsidP="005F59C5">
      <w:pPr>
        <w:rPr>
          <w:rFonts w:cstheme="minorHAnsi"/>
          <w:color w:val="1B1B1B"/>
          <w:szCs w:val="24"/>
          <w:shd w:val="clear" w:color="auto" w:fill="FFFFFF"/>
        </w:rPr>
      </w:pPr>
      <w:r w:rsidRPr="000A17A9">
        <w:rPr>
          <w:rFonts w:cstheme="minorHAnsi"/>
          <w:color w:val="1B1B1B"/>
          <w:szCs w:val="24"/>
          <w:shd w:val="clear" w:color="auto" w:fill="FFFFFF"/>
        </w:rPr>
        <w:t xml:space="preserve">DEQ continues to explore opportunities for ARP development. In certain circumstances, the use </w:t>
      </w:r>
      <w:r w:rsidRPr="000A17A9">
        <w:rPr>
          <w:rFonts w:cstheme="minorHAnsi"/>
          <w:color w:val="1B1B1B"/>
          <w:szCs w:val="24"/>
          <w:shd w:val="clear" w:color="auto" w:fill="FFFFFF"/>
        </w:rPr>
        <w:lastRenderedPageBreak/>
        <w:t xml:space="preserve">of an ARP may offer more assurances that impaired waters will be restored in either a more timely or practical manner. The ultimate decision on whether to pursue a TMDL or an ARP will be made by DEQ staff in conjunction with project stakeholders at the onset of the project. If an ARP is pursued, it will follow the same public participation process as a TMDL or TMDL implementation plan (see the “Public Participation in TMDL and ARP development” section). After an ARP is developed, it will be briefly explained in this chapter of successive 305(b)/303(d) Integrated Reports. </w:t>
      </w:r>
    </w:p>
    <w:p w14:paraId="4882AFF0" w14:textId="77777777" w:rsidR="000A17A9" w:rsidRPr="000A17A9" w:rsidRDefault="000A17A9" w:rsidP="000A17A9">
      <w:pPr>
        <w:jc w:val="both"/>
        <w:rPr>
          <w:rFonts w:cstheme="minorHAnsi"/>
          <w:color w:val="1B1B1B"/>
          <w:szCs w:val="24"/>
          <w:shd w:val="clear" w:color="auto" w:fill="FFFFFF"/>
        </w:rPr>
      </w:pPr>
    </w:p>
    <w:p w14:paraId="58A4743F" w14:textId="5B2EB8C2" w:rsidR="000A17A9" w:rsidRPr="000A17A9" w:rsidRDefault="000A17A9" w:rsidP="005F59C5">
      <w:pPr>
        <w:rPr>
          <w:rFonts w:cstheme="minorHAnsi"/>
          <w:color w:val="1B1B1B"/>
          <w:szCs w:val="24"/>
          <w:shd w:val="clear" w:color="auto" w:fill="FFFFFF"/>
        </w:rPr>
      </w:pPr>
      <w:r w:rsidRPr="000A17A9">
        <w:rPr>
          <w:rFonts w:cstheme="minorHAnsi"/>
          <w:color w:val="1B1B1B"/>
          <w:szCs w:val="24"/>
          <w:shd w:val="clear" w:color="auto" w:fill="FFFFFF"/>
        </w:rPr>
        <w:t xml:space="preserve">Unless an ARP has enforceable pollution control requirements, the impaired water addressed with an ARP will remain in category 5 but be moved from subcategory 5A to subcategory 5R – “The water quality standard is not attained and the water is impaired, and implementation of an EPA-accepted restoration plan is expected to result in attainment.” The impaired waters included in an ARP that are moved to subcategory 5R will remain in category 5 until water quality standards are attained. Another restoration approach is the development of a restoration plan that includes enforceable pollution control requirements. In that case, the impaired water will be moved from 5A to 4B “water is impaired or threatened for one or more designated uses but does not require the development of a TMDL because other pollution control requirements are reasonably expected to result in attainment of the water quality standard by the next reporting period or permit cycle.” Waters in category 5R and 4B are assigned </w:t>
      </w:r>
      <w:proofErr w:type="gramStart"/>
      <w:r w:rsidRPr="000A17A9">
        <w:rPr>
          <w:rFonts w:cstheme="minorHAnsi"/>
          <w:color w:val="1B1B1B"/>
          <w:szCs w:val="24"/>
          <w:shd w:val="clear" w:color="auto" w:fill="FFFFFF"/>
        </w:rPr>
        <w:t>lower</w:t>
      </w:r>
      <w:proofErr w:type="gramEnd"/>
      <w:r w:rsidRPr="000A17A9">
        <w:rPr>
          <w:rFonts w:cstheme="minorHAnsi"/>
          <w:color w:val="1B1B1B"/>
          <w:szCs w:val="24"/>
          <w:shd w:val="clear" w:color="auto" w:fill="FFFFFF"/>
        </w:rPr>
        <w:t xml:space="preserve"> priority for TMDL development as measures designed to achieve water quality standards are implemented in the near term. If water quality standards are not fully attained through the ARP or 4B approaches, development of a TMDL would be necessary.</w:t>
      </w:r>
    </w:p>
    <w:p w14:paraId="380C862E" w14:textId="77777777" w:rsidR="000A17A9" w:rsidRPr="000A17A9" w:rsidRDefault="000A17A9" w:rsidP="000A17A9">
      <w:pPr>
        <w:jc w:val="both"/>
        <w:rPr>
          <w:rFonts w:cstheme="minorHAnsi"/>
          <w:color w:val="1B1B1B"/>
          <w:szCs w:val="24"/>
          <w:shd w:val="clear" w:color="auto" w:fill="FFFFFF"/>
        </w:rPr>
      </w:pPr>
    </w:p>
    <w:p w14:paraId="2888C4B3" w14:textId="2A72C105" w:rsidR="000A17A9" w:rsidRPr="000A17A9" w:rsidRDefault="000A17A9" w:rsidP="005F59C5">
      <w:pPr>
        <w:rPr>
          <w:rFonts w:cstheme="minorHAnsi"/>
          <w:color w:val="1B1B1B"/>
          <w:szCs w:val="24"/>
          <w:shd w:val="clear" w:color="auto" w:fill="FFFFFF"/>
        </w:rPr>
      </w:pPr>
      <w:r w:rsidRPr="000A17A9">
        <w:rPr>
          <w:rFonts w:cstheme="minorHAnsi"/>
          <w:color w:val="1B1B1B"/>
          <w:szCs w:val="24"/>
          <w:shd w:val="clear" w:color="auto" w:fill="FFFFFF"/>
        </w:rPr>
        <w:t xml:space="preserve">DEQ currently has one ARP in the Potomac-Shenandoah River Basin and one ARP in the James River Basin that are category 5R. </w:t>
      </w:r>
      <w:r w:rsidR="00A07D11">
        <w:rPr>
          <w:rFonts w:cstheme="minorHAnsi"/>
          <w:color w:val="1B1B1B"/>
          <w:szCs w:val="24"/>
          <w:shd w:val="clear" w:color="auto" w:fill="FFFFFF"/>
        </w:rPr>
        <w:br/>
      </w:r>
      <w:r w:rsidR="00A07D11">
        <w:rPr>
          <w:rFonts w:cstheme="minorHAnsi"/>
          <w:color w:val="1B1B1B"/>
          <w:szCs w:val="24"/>
          <w:shd w:val="clear" w:color="auto" w:fill="FFFFFF"/>
        </w:rPr>
        <w:br/>
      </w:r>
      <w:r w:rsidRPr="00A07D11">
        <w:rPr>
          <w:rFonts w:cstheme="minorHAnsi"/>
          <w:b/>
          <w:bCs/>
          <w:color w:val="1B1B1B"/>
          <w:szCs w:val="24"/>
          <w:shd w:val="clear" w:color="auto" w:fill="FFFFFF"/>
        </w:rPr>
        <w:t>The watershed plan to address the Fairview Beach recreational impairment due to excessive levels of bacteria.</w:t>
      </w:r>
      <w:r w:rsidRPr="000A17A9">
        <w:rPr>
          <w:rFonts w:cstheme="minorHAnsi"/>
          <w:color w:val="1B1B1B"/>
          <w:szCs w:val="24"/>
          <w:shd w:val="clear" w:color="auto" w:fill="FFFFFF"/>
        </w:rPr>
        <w:t xml:space="preserve"> The TMDL alternative was pursued in this case due to the reasons listed below: </w:t>
      </w:r>
    </w:p>
    <w:p w14:paraId="21EEDD0C" w14:textId="5D722796" w:rsidR="000A17A9" w:rsidRPr="000A17A9" w:rsidRDefault="000A17A9" w:rsidP="005F59C5">
      <w:pPr>
        <w:pStyle w:val="ListParagraph"/>
        <w:numPr>
          <w:ilvl w:val="0"/>
          <w:numId w:val="15"/>
        </w:numPr>
        <w:rPr>
          <w:rFonts w:cstheme="minorHAnsi"/>
          <w:color w:val="1B1B1B"/>
          <w:szCs w:val="24"/>
          <w:shd w:val="clear" w:color="auto" w:fill="FFFFFF"/>
        </w:rPr>
      </w:pPr>
      <w:r w:rsidRPr="000A17A9">
        <w:rPr>
          <w:rFonts w:cstheme="minorHAnsi"/>
          <w:color w:val="1B1B1B"/>
          <w:szCs w:val="24"/>
          <w:shd w:val="clear" w:color="auto" w:fill="FFFFFF"/>
        </w:rPr>
        <w:t>The impaired area is very small and the local drainage area contributing to the swimming area is 1-2 mi</w:t>
      </w:r>
      <w:r w:rsidRPr="00431393">
        <w:rPr>
          <w:rFonts w:cstheme="minorHAnsi"/>
          <w:color w:val="1B1B1B"/>
          <w:szCs w:val="24"/>
          <w:shd w:val="clear" w:color="auto" w:fill="FFFFFF"/>
          <w:vertAlign w:val="superscript"/>
        </w:rPr>
        <w:t>2</w:t>
      </w:r>
      <w:r w:rsidRPr="000A17A9">
        <w:rPr>
          <w:rFonts w:cstheme="minorHAnsi"/>
          <w:color w:val="1B1B1B"/>
          <w:szCs w:val="24"/>
          <w:shd w:val="clear" w:color="auto" w:fill="FFFFFF"/>
        </w:rPr>
        <w:t xml:space="preserve">. </w:t>
      </w:r>
    </w:p>
    <w:p w14:paraId="63A2DCEA" w14:textId="3B28753B" w:rsidR="000A17A9" w:rsidRPr="000A17A9" w:rsidRDefault="000A17A9" w:rsidP="005F59C5">
      <w:pPr>
        <w:pStyle w:val="ListParagraph"/>
        <w:numPr>
          <w:ilvl w:val="0"/>
          <w:numId w:val="15"/>
        </w:numPr>
        <w:rPr>
          <w:rFonts w:cstheme="minorHAnsi"/>
          <w:color w:val="1B1B1B"/>
          <w:szCs w:val="24"/>
          <w:shd w:val="clear" w:color="auto" w:fill="FFFFFF"/>
        </w:rPr>
      </w:pPr>
      <w:r w:rsidRPr="000A17A9">
        <w:rPr>
          <w:rFonts w:cstheme="minorHAnsi"/>
          <w:color w:val="1B1B1B"/>
          <w:szCs w:val="24"/>
          <w:shd w:val="clear" w:color="auto" w:fill="FFFFFF"/>
        </w:rPr>
        <w:t>There are no point sources contributing to the excessive levels of bacteria, so the regulatory TMDL waste load allocation would not provide any significant load reductions in the watershed.</w:t>
      </w:r>
    </w:p>
    <w:p w14:paraId="7A01E8C0" w14:textId="736B5AC2" w:rsidR="000A17A9" w:rsidRPr="000A17A9" w:rsidRDefault="000A17A9" w:rsidP="005F59C5">
      <w:pPr>
        <w:pStyle w:val="ListParagraph"/>
        <w:numPr>
          <w:ilvl w:val="0"/>
          <w:numId w:val="15"/>
        </w:numPr>
        <w:rPr>
          <w:rFonts w:cstheme="minorHAnsi"/>
          <w:color w:val="1B1B1B"/>
          <w:szCs w:val="24"/>
          <w:shd w:val="clear" w:color="auto" w:fill="FFFFFF"/>
        </w:rPr>
      </w:pPr>
      <w:r w:rsidRPr="000A17A9">
        <w:rPr>
          <w:rFonts w:cstheme="minorHAnsi"/>
          <w:color w:val="1B1B1B"/>
          <w:szCs w:val="24"/>
          <w:shd w:val="clear" w:color="auto" w:fill="FFFFFF"/>
        </w:rPr>
        <w:t>Several pollution control measures are already implemented or are soon to be implemented.</w:t>
      </w:r>
    </w:p>
    <w:p w14:paraId="364B1599" w14:textId="16EA4EBD" w:rsidR="000A17A9" w:rsidRPr="000A17A9" w:rsidRDefault="000A17A9" w:rsidP="005F59C5">
      <w:pPr>
        <w:pStyle w:val="ListParagraph"/>
        <w:numPr>
          <w:ilvl w:val="0"/>
          <w:numId w:val="15"/>
        </w:numPr>
        <w:rPr>
          <w:rFonts w:cstheme="minorHAnsi"/>
          <w:color w:val="1B1B1B"/>
          <w:szCs w:val="24"/>
          <w:shd w:val="clear" w:color="auto" w:fill="FFFFFF"/>
        </w:rPr>
      </w:pPr>
      <w:r w:rsidRPr="000A17A9">
        <w:rPr>
          <w:rFonts w:cstheme="minorHAnsi"/>
          <w:color w:val="1B1B1B"/>
          <w:szCs w:val="24"/>
          <w:shd w:val="clear" w:color="auto" w:fill="FFFFFF"/>
        </w:rPr>
        <w:t>The stakeholder involvement in the watershed is strong, which should ensure success in implementing the voluntary pollution control measures necessary to meet water quality standards.</w:t>
      </w:r>
    </w:p>
    <w:p w14:paraId="79884E31" w14:textId="77777777" w:rsidR="000A17A9" w:rsidRPr="000A17A9" w:rsidRDefault="000A17A9" w:rsidP="005F59C5">
      <w:pPr>
        <w:rPr>
          <w:rFonts w:cstheme="minorHAnsi"/>
          <w:color w:val="1B1B1B"/>
          <w:szCs w:val="24"/>
          <w:shd w:val="clear" w:color="auto" w:fill="FFFFFF"/>
        </w:rPr>
      </w:pPr>
    </w:p>
    <w:p w14:paraId="7D2CB62B" w14:textId="38887424" w:rsidR="000A17A9" w:rsidRPr="000A17A9" w:rsidRDefault="000A17A9" w:rsidP="005F59C5">
      <w:pPr>
        <w:rPr>
          <w:rFonts w:cstheme="minorHAnsi"/>
          <w:color w:val="1B1B1B"/>
          <w:szCs w:val="24"/>
          <w:shd w:val="clear" w:color="auto" w:fill="FFFFFF"/>
        </w:rPr>
      </w:pPr>
      <w:r w:rsidRPr="00A07D11">
        <w:rPr>
          <w:rFonts w:cstheme="minorHAnsi"/>
          <w:b/>
          <w:bCs/>
          <w:color w:val="1B1B1B"/>
          <w:szCs w:val="24"/>
          <w:shd w:val="clear" w:color="auto" w:fill="FFFFFF"/>
        </w:rPr>
        <w:t xml:space="preserve">The watershed </w:t>
      </w:r>
      <w:proofErr w:type="gramStart"/>
      <w:r w:rsidRPr="00A07D11">
        <w:rPr>
          <w:rFonts w:cstheme="minorHAnsi"/>
          <w:b/>
          <w:bCs/>
          <w:color w:val="1B1B1B"/>
          <w:szCs w:val="24"/>
          <w:shd w:val="clear" w:color="auto" w:fill="FFFFFF"/>
        </w:rPr>
        <w:t>plan</w:t>
      </w:r>
      <w:proofErr w:type="gramEnd"/>
      <w:r w:rsidRPr="00A07D11">
        <w:rPr>
          <w:rFonts w:cstheme="minorHAnsi"/>
          <w:b/>
          <w:bCs/>
          <w:color w:val="1B1B1B"/>
          <w:szCs w:val="24"/>
          <w:shd w:val="clear" w:color="auto" w:fill="FFFFFF"/>
        </w:rPr>
        <w:t xml:space="preserve"> to reduce bacteria and sediment in the Cunningham Creek watershed</w:t>
      </w:r>
      <w:r w:rsidRPr="000A17A9">
        <w:rPr>
          <w:rFonts w:cstheme="minorHAnsi"/>
          <w:color w:val="1B1B1B"/>
          <w:szCs w:val="24"/>
          <w:shd w:val="clear" w:color="auto" w:fill="FFFFFF"/>
        </w:rPr>
        <w:t>. The TMDL alternative was pursued in this case due to the reasons listed below</w:t>
      </w:r>
      <w:r w:rsidR="005F59C5">
        <w:rPr>
          <w:rFonts w:cstheme="minorHAnsi"/>
          <w:color w:val="1B1B1B"/>
          <w:szCs w:val="24"/>
          <w:shd w:val="clear" w:color="auto" w:fill="FFFFFF"/>
        </w:rPr>
        <w:t>:</w:t>
      </w:r>
    </w:p>
    <w:p w14:paraId="37557FF1" w14:textId="1B9487C9" w:rsidR="000A17A9" w:rsidRPr="005F59C5" w:rsidRDefault="000A17A9" w:rsidP="005F59C5">
      <w:pPr>
        <w:pStyle w:val="ListParagraph"/>
        <w:numPr>
          <w:ilvl w:val="0"/>
          <w:numId w:val="15"/>
        </w:numPr>
        <w:rPr>
          <w:rFonts w:cstheme="minorHAnsi"/>
          <w:color w:val="1B1B1B"/>
          <w:szCs w:val="24"/>
          <w:shd w:val="clear" w:color="auto" w:fill="FFFFFF"/>
        </w:rPr>
      </w:pPr>
      <w:r w:rsidRPr="005F59C5">
        <w:rPr>
          <w:rFonts w:cstheme="minorHAnsi"/>
          <w:color w:val="1B1B1B"/>
          <w:szCs w:val="24"/>
          <w:shd w:val="clear" w:color="auto" w:fill="FFFFFF"/>
        </w:rPr>
        <w:t xml:space="preserve">The impairments identified in the Cunningham Creek watershed are moderate. The </w:t>
      </w:r>
      <w:r w:rsidRPr="005F59C5">
        <w:rPr>
          <w:rFonts w:cstheme="minorHAnsi"/>
          <w:color w:val="1B1B1B"/>
          <w:szCs w:val="24"/>
          <w:shd w:val="clear" w:color="auto" w:fill="FFFFFF"/>
        </w:rPr>
        <w:lastRenderedPageBreak/>
        <w:t>frequency of exceedances of the bacteria water quality standard is relatively low on the Middle Fork, while VA Stream Condition Index scores used to assess the health of the benthic community are often close to 60, suggesting marginal impairment. The moderate level of impairment suggests that these water quality problems could be addressed relatively easily through a series of corrective actions.</w:t>
      </w:r>
    </w:p>
    <w:p w14:paraId="6619FED0" w14:textId="49755696" w:rsidR="000A17A9" w:rsidRPr="005F59C5" w:rsidRDefault="000A17A9" w:rsidP="005F59C5">
      <w:pPr>
        <w:pStyle w:val="ListParagraph"/>
        <w:numPr>
          <w:ilvl w:val="0"/>
          <w:numId w:val="15"/>
        </w:numPr>
        <w:rPr>
          <w:rFonts w:cstheme="minorHAnsi"/>
          <w:color w:val="1B1B1B"/>
          <w:szCs w:val="24"/>
          <w:shd w:val="clear" w:color="auto" w:fill="FFFFFF"/>
        </w:rPr>
      </w:pPr>
      <w:r w:rsidRPr="005F59C5">
        <w:rPr>
          <w:rFonts w:cstheme="minorHAnsi"/>
          <w:color w:val="1B1B1B"/>
          <w:szCs w:val="24"/>
          <w:shd w:val="clear" w:color="auto" w:fill="FFFFFF"/>
        </w:rPr>
        <w:t>Land use in the watershed is dominated by forest, with very little development. There are a small number of farms in the watershed, most of which are well managed. The sources of pollution in the watershed are discrete and relatively limited. Working with local stakeholders, these sources and associated corrective actions could be easily identified and addressed.</w:t>
      </w:r>
    </w:p>
    <w:p w14:paraId="6C65BB6A" w14:textId="52E2E7EB" w:rsidR="00D47AF1" w:rsidRPr="005F59C5" w:rsidRDefault="000A17A9" w:rsidP="005F59C5">
      <w:pPr>
        <w:pStyle w:val="ListParagraph"/>
        <w:numPr>
          <w:ilvl w:val="0"/>
          <w:numId w:val="15"/>
        </w:numPr>
        <w:rPr>
          <w:rFonts w:cstheme="minorHAnsi"/>
          <w:b/>
          <w:i/>
          <w:szCs w:val="24"/>
        </w:rPr>
      </w:pPr>
      <w:r w:rsidRPr="005F59C5">
        <w:rPr>
          <w:rFonts w:cstheme="minorHAnsi"/>
          <w:color w:val="1B1B1B"/>
          <w:szCs w:val="24"/>
          <w:shd w:val="clear" w:color="auto" w:fill="FFFFFF"/>
        </w:rPr>
        <w:t xml:space="preserve">Based on the benthic stressor analysis conducted as part of the watershed planning process, sediment is the primary culprit of the benthic impairments present in the watershed. One large historical source of sediment in the North Fork Cunningham Creek watershed is the Fluvanna Ruritan Dam, which is believed to have released a considerable volume of sediment into the creek </w:t>
      </w:r>
      <w:r w:rsidR="005F59C5" w:rsidRPr="005F59C5">
        <w:rPr>
          <w:rFonts w:cstheme="minorHAnsi"/>
          <w:color w:val="1B1B1B"/>
          <w:szCs w:val="24"/>
          <w:shd w:val="clear" w:color="auto" w:fill="FFFFFF"/>
        </w:rPr>
        <w:t>due to</w:t>
      </w:r>
      <w:r w:rsidRPr="005F59C5">
        <w:rPr>
          <w:rFonts w:cstheme="minorHAnsi"/>
          <w:color w:val="1B1B1B"/>
          <w:szCs w:val="24"/>
          <w:shd w:val="clear" w:color="auto" w:fill="FFFFFF"/>
        </w:rPr>
        <w:t xml:space="preserve"> erosion at the outlet as well as downstream streambank erosion. However, the dam is no longer believed to be an active source of sediment in the watershed and is slated for </w:t>
      </w:r>
      <w:proofErr w:type="gramStart"/>
      <w:r w:rsidRPr="005F59C5">
        <w:rPr>
          <w:rFonts w:cstheme="minorHAnsi"/>
          <w:color w:val="1B1B1B"/>
          <w:szCs w:val="24"/>
          <w:shd w:val="clear" w:color="auto" w:fill="FFFFFF"/>
        </w:rPr>
        <w:t>a rehabilitation</w:t>
      </w:r>
      <w:proofErr w:type="gramEnd"/>
      <w:r w:rsidRPr="005F59C5">
        <w:rPr>
          <w:rFonts w:cstheme="minorHAnsi"/>
          <w:color w:val="1B1B1B"/>
          <w:szCs w:val="24"/>
          <w:shd w:val="clear" w:color="auto" w:fill="FFFFFF"/>
        </w:rPr>
        <w:t xml:space="preserve"> by the Virginia Department of Wildlife Resources (DWR). Currently the project is still in the design phase. Several additional sources of sediment have been identified in the watershed including a small development in the North Fork watershed. A lack of stabilization following completion of the development on approximately one acre of land has resulted in considerable sedimentation into the creek. This problem can be addressed quickly and at minimal cost.</w:t>
      </w:r>
      <w:r w:rsidR="005F59C5" w:rsidRPr="005F59C5">
        <w:rPr>
          <w:rFonts w:cstheme="minorHAnsi"/>
          <w:color w:val="1B1B1B"/>
          <w:szCs w:val="24"/>
          <w:shd w:val="clear" w:color="auto" w:fill="FFFFFF"/>
        </w:rPr>
        <w:br/>
      </w:r>
    </w:p>
    <w:p w14:paraId="75FF3474" w14:textId="7E7EB1D5" w:rsidR="00D47AF1" w:rsidRPr="00224382" w:rsidRDefault="00D47AF1" w:rsidP="00224382">
      <w:pPr>
        <w:pStyle w:val="Heading4"/>
      </w:pPr>
      <w:r w:rsidRPr="00224382">
        <w:t xml:space="preserve">Prioritization of Waters </w:t>
      </w:r>
    </w:p>
    <w:p w14:paraId="3EB6584D" w14:textId="1588F6E2" w:rsidR="00447C31" w:rsidRPr="00447C31" w:rsidRDefault="00447C31" w:rsidP="00447C31">
      <w:pPr>
        <w:rPr>
          <w:rFonts w:cstheme="minorHAnsi"/>
          <w:szCs w:val="24"/>
        </w:rPr>
      </w:pPr>
      <w:r w:rsidRPr="00447C31">
        <w:rPr>
          <w:rFonts w:cstheme="minorHAnsi"/>
          <w:szCs w:val="24"/>
        </w:rPr>
        <w:t>The Clean Water Act 303(d) Program Vision was announced by EPA in collaboration with the states in December 2013 and was revised and updated in 2022 with the implementation of the Clean Water Act 303(d) Program Vision 2. While the Program Vision provides a framework for implementing the 303(d) program, it is not a new rule or regulation and does not impose any new legal requirements on EPA, Virginia, or other stakeholders. Furthermore, it does not change any of the requirements or authorities of Virginia or EPA under the Clean Water Act section 303(d). The first cycle of the 303(d) Program Vision ran from 2012-2022, with a TMDL prioritization cycle spanning 2016-2022. Vision 2 is effective through 2032 and includes an iterating process whereby states will develop a priority list of impaired waters for TMDL or ARP development every two years consistent with the IR cycle. This began with priority impairments selected for the 2023-2024 period. These impaired waters were reported in the 2022 IR in Appendix 1a denoted by “H” under the “TMDL Development Priority” column indicating a high priority for the development of a TMDL or ARP.</w:t>
      </w:r>
    </w:p>
    <w:p w14:paraId="746646C1" w14:textId="77777777" w:rsidR="00447C31" w:rsidRPr="00447C31" w:rsidRDefault="00447C31" w:rsidP="00447C31">
      <w:pPr>
        <w:rPr>
          <w:rFonts w:cstheme="minorHAnsi"/>
          <w:szCs w:val="24"/>
        </w:rPr>
      </w:pPr>
    </w:p>
    <w:p w14:paraId="12B55094" w14:textId="5B2A4816" w:rsidR="00447C31" w:rsidRPr="00447C31" w:rsidRDefault="00447C31" w:rsidP="00447C31">
      <w:pPr>
        <w:rPr>
          <w:rFonts w:cstheme="minorHAnsi"/>
          <w:szCs w:val="24"/>
        </w:rPr>
      </w:pPr>
      <w:r w:rsidRPr="00447C31">
        <w:rPr>
          <w:rFonts w:cstheme="minorHAnsi"/>
          <w:szCs w:val="24"/>
        </w:rPr>
        <w:t xml:space="preserve">A key component of Vision 2 is the development of a Prioritization Framework to be introduced in the 2024 IR whereby each state develops its own Prioritization Framework based on its unique water quality objectives. DEQ’s Prioritization Framework is provided in </w:t>
      </w:r>
      <w:r w:rsidR="00EF21FA">
        <w:rPr>
          <w:rFonts w:cstheme="minorHAnsi"/>
          <w:szCs w:val="24"/>
        </w:rPr>
        <w:t>Section 6.2</w:t>
      </w:r>
      <w:r w:rsidRPr="00447C31">
        <w:rPr>
          <w:rFonts w:cstheme="minorHAnsi"/>
          <w:szCs w:val="24"/>
        </w:rPr>
        <w:t xml:space="preserve"> and outlines long-term goals and focus areas. Beginning with the 2025-2026 prioritization cycle and </w:t>
      </w:r>
      <w:r w:rsidRPr="00447C31">
        <w:rPr>
          <w:rFonts w:cstheme="minorHAnsi"/>
          <w:szCs w:val="24"/>
        </w:rPr>
        <w:lastRenderedPageBreak/>
        <w:t>for each subsequent two-year period through 2032, the waters prioritized for TMDL or ARP development will be selected in line with the target impairments and concepts discussed in the planning, prioritization, and restoration section of the Prioritization Framework. The waters selected for prioritization in the 2025-2026 cycle are impaired for fish consumption, aquatic life, or recreation use. The fish consumption impairments on the 2025-2026 priority list include polychlorinated biphenyls (PCBs) in the James River, Bluestone River, and Mountain Run.</w:t>
      </w:r>
      <w:r w:rsidR="002A407D">
        <w:rPr>
          <w:rFonts w:cstheme="minorHAnsi"/>
          <w:szCs w:val="24"/>
        </w:rPr>
        <w:t xml:space="preserve"> </w:t>
      </w:r>
      <w:r w:rsidRPr="00447C31">
        <w:rPr>
          <w:rFonts w:cstheme="minorHAnsi"/>
          <w:szCs w:val="24"/>
        </w:rPr>
        <w:t>TMDL or ARP development for aquatic life use impairments will continue to focus on the improvement of benthic macroinvertebrate communities across Virginia and will also include some waters impacted by high temperatures in cold water streams and low dissolved oxygen concentrations. The prioritization process also incorporated an evaluation of other factors and watershed characteristics such as age of impairment, community stakeholder interest, and the existence of co-existing impairments and size of the watershed to maximize efficiency.</w:t>
      </w:r>
      <w:r w:rsidR="002A407D">
        <w:rPr>
          <w:rFonts w:cstheme="minorHAnsi"/>
          <w:szCs w:val="24"/>
        </w:rPr>
        <w:t xml:space="preserve"> </w:t>
      </w:r>
      <w:r w:rsidRPr="00447C31">
        <w:rPr>
          <w:rFonts w:cstheme="minorHAnsi"/>
          <w:szCs w:val="24"/>
        </w:rPr>
        <w:t xml:space="preserve">Additionally, some of the 2023-2024 priority waters are included in the 2025-2026 priority waters because TMDL or ARP development is expected to continue during this </w:t>
      </w:r>
      <w:r w:rsidR="00A01015" w:rsidRPr="00447C31">
        <w:rPr>
          <w:rFonts w:cstheme="minorHAnsi"/>
          <w:szCs w:val="24"/>
        </w:rPr>
        <w:t>time</w:t>
      </w:r>
      <w:r w:rsidRPr="00447C31">
        <w:rPr>
          <w:rFonts w:cstheme="minorHAnsi"/>
          <w:szCs w:val="24"/>
        </w:rPr>
        <w:t xml:space="preserve">. </w:t>
      </w:r>
    </w:p>
    <w:p w14:paraId="50E0F7FC" w14:textId="77777777" w:rsidR="00447C31" w:rsidRPr="00447C31" w:rsidRDefault="00447C31" w:rsidP="00447C31">
      <w:pPr>
        <w:rPr>
          <w:rFonts w:cstheme="minorHAnsi"/>
          <w:szCs w:val="24"/>
        </w:rPr>
      </w:pPr>
    </w:p>
    <w:p w14:paraId="61965D8E" w14:textId="4E00F3FD" w:rsidR="00447C31" w:rsidRPr="00447C31" w:rsidRDefault="00447C31" w:rsidP="00447C31">
      <w:pPr>
        <w:rPr>
          <w:rFonts w:cstheme="minorHAnsi"/>
          <w:szCs w:val="24"/>
        </w:rPr>
      </w:pPr>
      <w:r w:rsidRPr="00447C31">
        <w:rPr>
          <w:rFonts w:cstheme="minorHAnsi"/>
          <w:szCs w:val="24"/>
        </w:rPr>
        <w:t xml:space="preserve">A statewide map of the 2025-2026 priority waters for TMDL or ARP development is provided in Figure </w:t>
      </w:r>
      <w:r w:rsidR="00086FEA">
        <w:rPr>
          <w:rFonts w:cstheme="minorHAnsi"/>
          <w:szCs w:val="24"/>
        </w:rPr>
        <w:t>6</w:t>
      </w:r>
      <w:r w:rsidRPr="00447C31">
        <w:rPr>
          <w:rFonts w:cstheme="minorHAnsi"/>
          <w:szCs w:val="24"/>
        </w:rPr>
        <w:t>.1-2</w:t>
      </w:r>
      <w:r w:rsidR="00E56400" w:rsidRPr="00E56400">
        <w:t xml:space="preserve"> </w:t>
      </w:r>
      <w:r w:rsidR="00E56400" w:rsidRPr="00E56400">
        <w:rPr>
          <w:rFonts w:cstheme="minorHAnsi"/>
          <w:szCs w:val="24"/>
        </w:rPr>
        <w:t>The priorities will also become viewable in DEQ’s Interactive web mapping utility, the Environmental Data Mapper</w:t>
      </w:r>
      <w:r w:rsidR="00E63EB5">
        <w:rPr>
          <w:rFonts w:cstheme="minorHAnsi"/>
          <w:szCs w:val="24"/>
        </w:rPr>
        <w:t>, by the end of the second quarter of 2024</w:t>
      </w:r>
      <w:r w:rsidR="009F0D03">
        <w:rPr>
          <w:rFonts w:cstheme="minorHAnsi"/>
          <w:szCs w:val="24"/>
        </w:rPr>
        <w:t xml:space="preserve">. </w:t>
      </w:r>
      <w:r w:rsidRPr="00447C31">
        <w:rPr>
          <w:rFonts w:cstheme="minorHAnsi"/>
          <w:szCs w:val="24"/>
        </w:rPr>
        <w:t xml:space="preserve">Following suit with the 2022 IR, the 2025-2026 priority waters are also denoted in appendix 1a with an “H” in the “TMDL Development Priority” column. It is important to note that though the column is entitled “TMDL Development Priority”, priority waters may also include ARP development. The decision between </w:t>
      </w:r>
      <w:r w:rsidRPr="00202F28">
        <w:rPr>
          <w:rFonts w:cstheme="minorHAnsi"/>
          <w:szCs w:val="24"/>
        </w:rPr>
        <w:t xml:space="preserve">TMDL </w:t>
      </w:r>
      <w:proofErr w:type="gramStart"/>
      <w:r w:rsidRPr="00202F28">
        <w:rPr>
          <w:rFonts w:cstheme="minorHAnsi"/>
          <w:szCs w:val="24"/>
        </w:rPr>
        <w:t>or</w:t>
      </w:r>
      <w:proofErr w:type="gramEnd"/>
      <w:r w:rsidRPr="00202F28">
        <w:rPr>
          <w:rFonts w:cstheme="minorHAnsi"/>
          <w:szCs w:val="24"/>
        </w:rPr>
        <w:t xml:space="preserve"> ARP development will be made during project development with project area stakeholders. A list of priority waters is also provided </w:t>
      </w:r>
      <w:r w:rsidR="00202F28" w:rsidRPr="00202F28">
        <w:rPr>
          <w:rFonts w:cstheme="minorHAnsi"/>
          <w:szCs w:val="24"/>
        </w:rPr>
        <w:t>in Appendix 8</w:t>
      </w:r>
      <w:r w:rsidRPr="00202F28">
        <w:rPr>
          <w:rFonts w:cstheme="minorHAnsi"/>
          <w:szCs w:val="24"/>
        </w:rPr>
        <w:t>.</w:t>
      </w:r>
      <w:r w:rsidRPr="00447C31">
        <w:rPr>
          <w:rFonts w:cstheme="minorHAnsi"/>
          <w:szCs w:val="24"/>
        </w:rPr>
        <w:t xml:space="preserve"> </w:t>
      </w:r>
    </w:p>
    <w:p w14:paraId="608FF6B6" w14:textId="77777777" w:rsidR="00447C31" w:rsidRPr="00447C31" w:rsidRDefault="00447C31" w:rsidP="00447C31">
      <w:pPr>
        <w:rPr>
          <w:rFonts w:cstheme="minorHAnsi"/>
          <w:szCs w:val="24"/>
        </w:rPr>
      </w:pPr>
    </w:p>
    <w:p w14:paraId="44E43ADF" w14:textId="588E22F0" w:rsidR="00E904E2" w:rsidRDefault="00447C31" w:rsidP="00D47AF1">
      <w:pPr>
        <w:rPr>
          <w:rFonts w:eastAsia="Garamond" w:cstheme="minorHAnsi"/>
          <w:color w:val="000000"/>
          <w:szCs w:val="24"/>
        </w:rPr>
      </w:pPr>
      <w:r w:rsidRPr="00447C31">
        <w:rPr>
          <w:rFonts w:cstheme="minorHAnsi"/>
          <w:szCs w:val="24"/>
        </w:rPr>
        <w:t xml:space="preserve">For a variety of reasons, the priority ranking of </w:t>
      </w:r>
      <w:proofErr w:type="gramStart"/>
      <w:r w:rsidRPr="00447C31">
        <w:rPr>
          <w:rFonts w:cstheme="minorHAnsi"/>
          <w:szCs w:val="24"/>
        </w:rPr>
        <w:t>an impaired</w:t>
      </w:r>
      <w:proofErr w:type="gramEnd"/>
      <w:r w:rsidRPr="00447C31">
        <w:rPr>
          <w:rFonts w:cstheme="minorHAnsi"/>
          <w:szCs w:val="24"/>
        </w:rPr>
        <w:t xml:space="preserve"> water may change from the list that was originally public noticed. One example of this occurrence is when a TMDL or ARP project is initiated for priority waters and other potentially new impairments existing in the watershed are identified that should be included. In this case, the priority of the TMDL or ARP project may shift to account for the inclusion of </w:t>
      </w:r>
      <w:proofErr w:type="gramStart"/>
      <w:r w:rsidRPr="00447C31">
        <w:rPr>
          <w:rFonts w:cstheme="minorHAnsi"/>
          <w:szCs w:val="24"/>
        </w:rPr>
        <w:t>the additional</w:t>
      </w:r>
      <w:proofErr w:type="gramEnd"/>
      <w:r w:rsidRPr="00447C31">
        <w:rPr>
          <w:rFonts w:cstheme="minorHAnsi"/>
          <w:szCs w:val="24"/>
        </w:rPr>
        <w:t xml:space="preserve"> impairments. </w:t>
      </w:r>
    </w:p>
    <w:p w14:paraId="354898AB" w14:textId="77777777" w:rsidR="00E904E2" w:rsidRDefault="00E904E2" w:rsidP="00D47AF1"/>
    <w:p w14:paraId="255A0D1C" w14:textId="00AEC965" w:rsidR="0090028A" w:rsidRDefault="00A40406" w:rsidP="0090028A">
      <w:pPr>
        <w:keepNext/>
      </w:pPr>
      <w:r>
        <w:rPr>
          <w:rFonts w:ascii="Times New Roman" w:hAnsi="Times New Roman"/>
          <w:noProof/>
          <w:color w:val="333333"/>
          <w:szCs w:val="24"/>
        </w:rPr>
        <w:lastRenderedPageBreak/>
        <w:drawing>
          <wp:inline distT="0" distB="0" distL="0" distR="0" wp14:anchorId="4C70CDFB" wp14:editId="7FC171CC">
            <wp:extent cx="5929029" cy="4581523"/>
            <wp:effectExtent l="19050" t="19050" r="14605" b="10160"/>
            <wp:docPr id="1490083569" name="Picture 1490083569" descr="Map of TMDL or ARP priorities for the 2025-2026 priority cy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p of TMDL or ARP priorities for the 2025-2026 priority cycle.  "/>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5929029" cy="4581523"/>
                    </a:xfrm>
                    <a:prstGeom prst="rect">
                      <a:avLst/>
                    </a:prstGeom>
                    <a:noFill/>
                    <a:ln>
                      <a:solidFill>
                        <a:schemeClr val="tx1"/>
                      </a:solidFill>
                    </a:ln>
                  </pic:spPr>
                </pic:pic>
              </a:graphicData>
            </a:graphic>
          </wp:inline>
        </w:drawing>
      </w:r>
    </w:p>
    <w:p w14:paraId="29CB1506" w14:textId="3D87D7E5" w:rsidR="00985D49" w:rsidRPr="00D237D4" w:rsidRDefault="0090028A" w:rsidP="00985D49">
      <w:pPr>
        <w:pStyle w:val="Caption"/>
        <w:keepNext/>
      </w:pPr>
      <w:bookmarkStart w:id="404" w:name="_Toc164175140"/>
      <w:bookmarkStart w:id="405" w:name="_Toc152766319"/>
      <w:r>
        <w:t xml:space="preserve">Figure </w:t>
      </w:r>
      <w:r w:rsidR="004F13BA">
        <w:fldChar w:fldCharType="begin"/>
      </w:r>
      <w:r w:rsidR="004F13BA">
        <w:instrText xml:space="preserve"> STYLEREF 2 \s </w:instrText>
      </w:r>
      <w:r w:rsidR="004F13BA">
        <w:fldChar w:fldCharType="separate"/>
      </w:r>
      <w:r w:rsidR="00E429BB">
        <w:rPr>
          <w:noProof/>
        </w:rPr>
        <w:t>6.1</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w:t>
      </w:r>
      <w:r w:rsidR="004F13BA">
        <w:rPr>
          <w:noProof/>
        </w:rPr>
        <w:fldChar w:fldCharType="end"/>
      </w:r>
      <w:r>
        <w:t xml:space="preserve">. </w:t>
      </w:r>
      <w:r w:rsidRPr="00670EF5">
        <w:t xml:space="preserve">Statewide map of </w:t>
      </w:r>
      <w:r w:rsidR="00530F88">
        <w:t xml:space="preserve">TMDL </w:t>
      </w:r>
      <w:r w:rsidRPr="00670EF5">
        <w:t>priority waters</w:t>
      </w:r>
      <w:bookmarkEnd w:id="404"/>
      <w:r>
        <w:t xml:space="preserve">. The 12-digit Hydrologic Unit Codes (HUC) displayed are those that intersect with the priority waters and may approximate priority watersheds. Actual priority watersheds will be defined at the onset of the project. </w:t>
      </w:r>
      <w:bookmarkEnd w:id="405"/>
    </w:p>
    <w:p w14:paraId="0EF18EE2" w14:textId="77777777" w:rsidR="0075045C" w:rsidRDefault="0075045C" w:rsidP="00D47AF1">
      <w:pPr>
        <w:rPr>
          <w:rFonts w:eastAsia="Garamond" w:cstheme="minorHAnsi"/>
          <w:szCs w:val="24"/>
        </w:rPr>
      </w:pPr>
    </w:p>
    <w:p w14:paraId="5AAAC69C" w14:textId="77777777" w:rsidR="00E532DD" w:rsidRPr="00DB07F4" w:rsidRDefault="00E532DD" w:rsidP="00E532DD">
      <w:pPr>
        <w:pStyle w:val="Heading3"/>
      </w:pPr>
      <w:r w:rsidRPr="00DB07F4">
        <w:t>Virginia Pollutant Discharge Elimination System (VPDES)</w:t>
      </w:r>
    </w:p>
    <w:p w14:paraId="64923FF6" w14:textId="59234F92" w:rsidR="00E532DD" w:rsidRPr="00DB07F4" w:rsidRDefault="00E532DD" w:rsidP="006F18BE">
      <w:pPr>
        <w:rPr>
          <w:b/>
        </w:rPr>
      </w:pPr>
      <w:r w:rsidRPr="00DB07F4">
        <w:t>The Commonwealth of Virginia has operated a successful state discha</w:t>
      </w:r>
      <w:r>
        <w:t xml:space="preserve">rge permit program since 1946. </w:t>
      </w:r>
      <w:r w:rsidRPr="00DB07F4">
        <w:t>The Federal Water Pollution Control Act (the Clean Water Act) was amended in 1972 to require a uniform permit program nationwide, allowing all states to uniformly control industrial and mu</w:t>
      </w:r>
      <w:r>
        <w:t xml:space="preserve">nicipal wastewater discharges. </w:t>
      </w:r>
      <w:r w:rsidRPr="00DB07F4">
        <w:t>Some states elected to have the federal government</w:t>
      </w:r>
      <w:r>
        <w:t xml:space="preserve"> manage their permit program.</w:t>
      </w:r>
      <w:r w:rsidRPr="00DB07F4">
        <w:t xml:space="preserve"> Virginia requested delegation of authority from EPA to administer its own permit program in confo</w:t>
      </w:r>
      <w:r>
        <w:t xml:space="preserve">rmance with NPDES regulations. </w:t>
      </w:r>
      <w:r w:rsidRPr="00DB07F4">
        <w:t>In April 1975, Virginia received the authority to administer the NPDES program as the VPDES perm</w:t>
      </w:r>
      <w:r>
        <w:t xml:space="preserve">it program. </w:t>
      </w:r>
      <w:r w:rsidRPr="00DB07F4">
        <w:t>The VPDES Permit Regulation, 9VAC25-31, establishes the procedures and requirements for this Program.</w:t>
      </w:r>
      <w:r w:rsidR="006F18BE">
        <w:br/>
      </w:r>
    </w:p>
    <w:p w14:paraId="51538A82" w14:textId="4941E896" w:rsidR="00E532DD" w:rsidRPr="00DB07F4" w:rsidRDefault="00E532DD" w:rsidP="002243FE">
      <w:r w:rsidRPr="00DB07F4">
        <w:t>VPDES permits establish limits on the quantity and/or concentration of pollutants allowed in the discharge</w:t>
      </w:r>
      <w:r w:rsidRPr="005B46F6">
        <w:t xml:space="preserve"> to ensure that the V</w:t>
      </w:r>
      <w:r>
        <w:t>irginia</w:t>
      </w:r>
      <w:r w:rsidRPr="005B46F6">
        <w:t xml:space="preserve"> Water Quality Standards are maintained and all beneficial uses of receiving streams are protected.</w:t>
      </w:r>
      <w:r>
        <w:t xml:space="preserve"> </w:t>
      </w:r>
      <w:r w:rsidRPr="00DB07F4">
        <w:t>The VPDES permits implement the applicable requirements of federal effluent guidelines, as well as the Vir</w:t>
      </w:r>
      <w:r>
        <w:t xml:space="preserve">ginia Water Quality </w:t>
      </w:r>
      <w:r>
        <w:lastRenderedPageBreak/>
        <w:t xml:space="preserve">Standards. </w:t>
      </w:r>
      <w:r w:rsidRPr="00DB07F4">
        <w:t>Effluent limits are written to ensure that the most appropriate of these regulation</w:t>
      </w:r>
      <w:r>
        <w:t xml:space="preserve">s is applied to the discharge. </w:t>
      </w:r>
      <w:r w:rsidRPr="00DB07F4">
        <w:t xml:space="preserve">The permittee must monitor the quality of the effluent </w:t>
      </w:r>
      <w:r>
        <w:t xml:space="preserve">and report the results to DEQ. </w:t>
      </w:r>
      <w:r w:rsidRPr="00DB07F4">
        <w:t>The permit also requires the facility to be properly operated and maintained.</w:t>
      </w:r>
      <w:r>
        <w:t xml:space="preserve"> </w:t>
      </w:r>
      <w:r w:rsidRPr="00DB07F4">
        <w:t>Permits may also contain additional requirements detailed as “Spec</w:t>
      </w:r>
      <w:r>
        <w:t xml:space="preserve">ial Conditions” in the permit. </w:t>
      </w:r>
      <w:r w:rsidRPr="00DB07F4">
        <w:t>Examples of these special conditions are:</w:t>
      </w:r>
    </w:p>
    <w:p w14:paraId="0CF56DA1" w14:textId="293F3E70" w:rsidR="00E532DD" w:rsidRPr="00DB07F4" w:rsidRDefault="00E532DD" w:rsidP="002243FE">
      <w:pPr>
        <w:pStyle w:val="ListParagraph"/>
      </w:pPr>
      <w:r w:rsidRPr="00DB07F4">
        <w:t>1.</w:t>
      </w:r>
      <w:r w:rsidR="002243FE">
        <w:t xml:space="preserve"> </w:t>
      </w:r>
      <w:r w:rsidRPr="00DB07F4">
        <w:t>Pretreatment programs for publicly owned treatment works (POTW) – requirements for the POTW to have the ability to control the discharges from contributing industries.</w:t>
      </w:r>
    </w:p>
    <w:p w14:paraId="3E7B6925" w14:textId="34ED6B10" w:rsidR="00E532DD" w:rsidRPr="00DB07F4" w:rsidRDefault="00E532DD" w:rsidP="002243FE">
      <w:pPr>
        <w:pStyle w:val="ListParagraph"/>
      </w:pPr>
      <w:r w:rsidRPr="00DB07F4">
        <w:t>2.</w:t>
      </w:r>
      <w:r w:rsidR="002243FE">
        <w:t xml:space="preserve"> </w:t>
      </w:r>
      <w:r w:rsidRPr="00DB07F4">
        <w:t>Stormwater pollution prevention plans.</w:t>
      </w:r>
    </w:p>
    <w:p w14:paraId="1F7D7800" w14:textId="5F82D20D" w:rsidR="00E532DD" w:rsidRPr="00DB07F4" w:rsidRDefault="00E532DD" w:rsidP="002243FE">
      <w:pPr>
        <w:pStyle w:val="ListParagraph"/>
      </w:pPr>
      <w:r w:rsidRPr="00DB07F4">
        <w:t>3.</w:t>
      </w:r>
      <w:r w:rsidR="002243FE">
        <w:t xml:space="preserve"> </w:t>
      </w:r>
      <w:r w:rsidRPr="00DB07F4">
        <w:t>Whole Effluent Toxicity Program – this program requires the permittee to perform aquatic toxicity testing on the discharged effluent to determine reasonable potential for toxicity.</w:t>
      </w:r>
    </w:p>
    <w:p w14:paraId="2B715D63" w14:textId="00848BED" w:rsidR="00E532DD" w:rsidRPr="00DB07F4" w:rsidRDefault="00E532DD" w:rsidP="002243FE">
      <w:pPr>
        <w:pStyle w:val="ListParagraph"/>
      </w:pPr>
      <w:r w:rsidRPr="00DB07F4">
        <w:t>4.</w:t>
      </w:r>
      <w:r w:rsidR="002243FE">
        <w:t xml:space="preserve"> </w:t>
      </w:r>
      <w:r w:rsidRPr="00DB07F4">
        <w:t>Land Application of Sewage Sludge.</w:t>
      </w:r>
      <w:r w:rsidR="002243FE">
        <w:br/>
      </w:r>
    </w:p>
    <w:p w14:paraId="37185A16" w14:textId="77777777" w:rsidR="00E532DD" w:rsidRPr="00DB07F4" w:rsidRDefault="00E532DD" w:rsidP="00E532DD">
      <w:pPr>
        <w:spacing w:after="240"/>
        <w:rPr>
          <w:szCs w:val="24"/>
        </w:rPr>
      </w:pPr>
      <w:r w:rsidRPr="00DB07F4">
        <w:rPr>
          <w:szCs w:val="24"/>
        </w:rPr>
        <w:t>DEQ is also utilizing the concept of general permits to streamline the permitting process and conserve resources of both the permittee and DEQ.</w:t>
      </w:r>
    </w:p>
    <w:p w14:paraId="3C44BD88" w14:textId="77777777" w:rsidR="00E532DD" w:rsidRPr="00DB07F4" w:rsidRDefault="00E532DD" w:rsidP="00784A33">
      <w:pPr>
        <w:pStyle w:val="Heading4"/>
      </w:pPr>
      <w:r w:rsidRPr="00DB07F4">
        <w:t>Individual Permits</w:t>
      </w:r>
    </w:p>
    <w:p w14:paraId="3427E572" w14:textId="77777777" w:rsidR="00E532DD" w:rsidRPr="00DB07F4" w:rsidRDefault="00E532DD">
      <w:pPr>
        <w:pStyle w:val="ListParagraph"/>
        <w:keepNext/>
        <w:widowControl/>
        <w:numPr>
          <w:ilvl w:val="0"/>
          <w:numId w:val="19"/>
        </w:numPr>
        <w:spacing w:after="240"/>
        <w:rPr>
          <w:i/>
          <w:szCs w:val="24"/>
        </w:rPr>
      </w:pPr>
      <w:r w:rsidRPr="00DB07F4">
        <w:rPr>
          <w:i/>
          <w:szCs w:val="24"/>
        </w:rPr>
        <w:t>Municipal Facilities</w:t>
      </w:r>
    </w:p>
    <w:p w14:paraId="799A147C" w14:textId="4E422BA5" w:rsidR="00E532DD" w:rsidRDefault="00E532DD" w:rsidP="00E532DD">
      <w:pPr>
        <w:keepNext/>
        <w:spacing w:after="240"/>
        <w:rPr>
          <w:szCs w:val="24"/>
        </w:rPr>
      </w:pPr>
      <w:r>
        <w:rPr>
          <w:szCs w:val="24"/>
        </w:rPr>
        <w:t>As of November 15, 2023</w:t>
      </w:r>
      <w:r w:rsidRPr="007A2F5E">
        <w:rPr>
          <w:szCs w:val="24"/>
        </w:rPr>
        <w:t>, VPDES individua</w:t>
      </w:r>
      <w:r>
        <w:rPr>
          <w:szCs w:val="24"/>
        </w:rPr>
        <w:t>l permits were in effect for 543</w:t>
      </w:r>
      <w:r w:rsidRPr="007A2F5E">
        <w:rPr>
          <w:szCs w:val="24"/>
        </w:rPr>
        <w:t xml:space="preserve"> municipal wa</w:t>
      </w:r>
      <w:r>
        <w:rPr>
          <w:szCs w:val="24"/>
        </w:rPr>
        <w:t xml:space="preserve">stewater treatment facilities. </w:t>
      </w:r>
      <w:r w:rsidRPr="007A2F5E">
        <w:rPr>
          <w:szCs w:val="24"/>
        </w:rPr>
        <w:t>The term “municipal” generally refers to facilities that treat predominantly domestic sewage, but which may also treat wastewaters from indirect industrial sources transmitted to the facility through a central san</w:t>
      </w:r>
      <w:r>
        <w:rPr>
          <w:szCs w:val="24"/>
        </w:rPr>
        <w:t xml:space="preserve">itary sewer collection system. </w:t>
      </w:r>
      <w:r w:rsidRPr="007A2F5E">
        <w:rPr>
          <w:szCs w:val="24"/>
        </w:rPr>
        <w:t>Facilities classified as “municipal” may be either</w:t>
      </w:r>
      <w:r>
        <w:rPr>
          <w:szCs w:val="24"/>
        </w:rPr>
        <w:t xml:space="preserve"> publicly- or privately-owned. </w:t>
      </w:r>
      <w:r w:rsidRPr="007A2F5E">
        <w:rPr>
          <w:szCs w:val="24"/>
        </w:rPr>
        <w:t>The total number of municipal VPDES permits is further sub-characteri</w:t>
      </w:r>
      <w:r>
        <w:rPr>
          <w:szCs w:val="24"/>
        </w:rPr>
        <w:t>zed to include 444</w:t>
      </w:r>
      <w:r w:rsidRPr="007A2F5E">
        <w:rPr>
          <w:szCs w:val="24"/>
        </w:rPr>
        <w:t xml:space="preserve"> “minor” municipal facilities with design capacities greater than or equal to 1,000 gallons per day, but less than 1.0 millio</w:t>
      </w:r>
      <w:r>
        <w:rPr>
          <w:szCs w:val="24"/>
        </w:rPr>
        <w:t>n gallons per day (MGD), and 99</w:t>
      </w:r>
      <w:r w:rsidRPr="007A2F5E">
        <w:rPr>
          <w:szCs w:val="24"/>
        </w:rPr>
        <w:t xml:space="preserve"> “major” municipal facilities with design capacities grea</w:t>
      </w:r>
      <w:r>
        <w:rPr>
          <w:szCs w:val="24"/>
        </w:rPr>
        <w:t xml:space="preserve">ter than or equal to 1.0 MGD. </w:t>
      </w:r>
      <w:r w:rsidRPr="007A2F5E">
        <w:rPr>
          <w:szCs w:val="24"/>
        </w:rPr>
        <w:t>These facilities treat an estimated 95 percent of all the sewage in Virginia</w:t>
      </w:r>
      <w:r w:rsidR="00033024">
        <w:rPr>
          <w:szCs w:val="24"/>
        </w:rPr>
        <w:t>.</w:t>
      </w:r>
      <w:r w:rsidRPr="007A2F5E">
        <w:rPr>
          <w:szCs w:val="24"/>
        </w:rPr>
        <w:t xml:space="preserve"> </w:t>
      </w:r>
    </w:p>
    <w:p w14:paraId="2710E397" w14:textId="77777777" w:rsidR="00E532DD" w:rsidRPr="007A2F5E" w:rsidRDefault="00E532DD">
      <w:pPr>
        <w:pStyle w:val="ListParagraph"/>
        <w:widowControl/>
        <w:numPr>
          <w:ilvl w:val="0"/>
          <w:numId w:val="19"/>
        </w:numPr>
        <w:spacing w:after="240"/>
        <w:rPr>
          <w:i/>
          <w:szCs w:val="24"/>
        </w:rPr>
      </w:pPr>
      <w:r w:rsidRPr="007A2F5E">
        <w:rPr>
          <w:i/>
          <w:szCs w:val="24"/>
        </w:rPr>
        <w:t>Industrial Facilities</w:t>
      </w:r>
    </w:p>
    <w:p w14:paraId="4DF7EC26" w14:textId="415A3773" w:rsidR="00E532DD" w:rsidRPr="007A2F5E" w:rsidRDefault="00E532DD" w:rsidP="00E532DD">
      <w:pPr>
        <w:tabs>
          <w:tab w:val="left" w:pos="720"/>
        </w:tabs>
        <w:spacing w:after="240"/>
        <w:rPr>
          <w:szCs w:val="24"/>
        </w:rPr>
      </w:pPr>
      <w:r>
        <w:rPr>
          <w:szCs w:val="24"/>
        </w:rPr>
        <w:t>As of November 15, 2023</w:t>
      </w:r>
      <w:r w:rsidRPr="007A2F5E">
        <w:rPr>
          <w:szCs w:val="24"/>
        </w:rPr>
        <w:t>, VPDES individua</w:t>
      </w:r>
      <w:r>
        <w:rPr>
          <w:szCs w:val="24"/>
        </w:rPr>
        <w:t xml:space="preserve">l permits were in effect for 244 industrial facilities. </w:t>
      </w:r>
      <w:r w:rsidRPr="007A2F5E">
        <w:rPr>
          <w:szCs w:val="24"/>
        </w:rPr>
        <w:t>The “industrial” category refers to the discharge of liquids or other wastes generated at locations where business or trade is conducted, services or industrial operations are performed, natural resources are developed, or raw materials are changed or manu</w:t>
      </w:r>
      <w:r>
        <w:rPr>
          <w:szCs w:val="24"/>
        </w:rPr>
        <w:t xml:space="preserve">factured into useful products. </w:t>
      </w:r>
      <w:r w:rsidRPr="007A2F5E">
        <w:rPr>
          <w:szCs w:val="24"/>
        </w:rPr>
        <w:t>The total number of industrial VPDES permits is furthe</w:t>
      </w:r>
      <w:r>
        <w:rPr>
          <w:szCs w:val="24"/>
        </w:rPr>
        <w:t>r sub-categorized to include 206 “minor” and 38</w:t>
      </w:r>
      <w:r w:rsidRPr="007A2F5E">
        <w:rPr>
          <w:szCs w:val="24"/>
        </w:rPr>
        <w:t xml:space="preserve"> </w:t>
      </w:r>
      <w:r>
        <w:rPr>
          <w:szCs w:val="24"/>
        </w:rPr>
        <w:t xml:space="preserve">“major” industrial facilities. </w:t>
      </w:r>
      <w:r w:rsidRPr="007A2F5E">
        <w:rPr>
          <w:szCs w:val="24"/>
        </w:rPr>
        <w:t xml:space="preserve">“Major” and “minor” VPDES permit status for industrial facilities are assigned through an </w:t>
      </w:r>
      <w:r>
        <w:rPr>
          <w:szCs w:val="24"/>
        </w:rPr>
        <w:t xml:space="preserve">agreement between EPA and DEQ. </w:t>
      </w:r>
      <w:r w:rsidRPr="007A2F5E">
        <w:rPr>
          <w:szCs w:val="24"/>
        </w:rPr>
        <w:t>At a national level, regulations have been adopted by EPA identifying minimum industrial wastewater treatment levels [referred to as federal “effluent limitation guidelines” (ELGs)] to be achieved for at least 57</w:t>
      </w:r>
      <w:r>
        <w:rPr>
          <w:szCs w:val="24"/>
        </w:rPr>
        <w:t xml:space="preserve"> different industrial sectors. </w:t>
      </w:r>
      <w:r w:rsidRPr="007A2F5E">
        <w:rPr>
          <w:szCs w:val="24"/>
        </w:rPr>
        <w:t xml:space="preserve">Industrial sectors with promulgated federal ELGs include chemical, cement, electroplating, iron and steel, machinery, mining, pharmaceutical, power generation, pulp and paper, </w:t>
      </w:r>
      <w:r w:rsidR="00320909" w:rsidRPr="007A2F5E">
        <w:rPr>
          <w:szCs w:val="24"/>
        </w:rPr>
        <w:t>textiles</w:t>
      </w:r>
      <w:r w:rsidRPr="007A2F5E">
        <w:rPr>
          <w:szCs w:val="24"/>
        </w:rPr>
        <w:t>, and several other industria</w:t>
      </w:r>
      <w:r>
        <w:rPr>
          <w:szCs w:val="24"/>
        </w:rPr>
        <w:t xml:space="preserve">l and manufacturing </w:t>
      </w:r>
      <w:r>
        <w:rPr>
          <w:szCs w:val="24"/>
        </w:rPr>
        <w:lastRenderedPageBreak/>
        <w:t>activities.</w:t>
      </w:r>
      <w:r w:rsidRPr="007A2F5E">
        <w:rPr>
          <w:szCs w:val="24"/>
        </w:rPr>
        <w:t xml:space="preserve"> </w:t>
      </w:r>
    </w:p>
    <w:p w14:paraId="3B2B54E8" w14:textId="77777777" w:rsidR="00E532DD" w:rsidRPr="00BD3448" w:rsidRDefault="00E532DD">
      <w:pPr>
        <w:pStyle w:val="ListParagraph"/>
        <w:widowControl/>
        <w:numPr>
          <w:ilvl w:val="0"/>
          <w:numId w:val="19"/>
        </w:numPr>
        <w:tabs>
          <w:tab w:val="left" w:pos="720"/>
        </w:tabs>
        <w:spacing w:after="240"/>
        <w:rPr>
          <w:szCs w:val="24"/>
        </w:rPr>
      </w:pPr>
      <w:r>
        <w:rPr>
          <w:i/>
          <w:szCs w:val="24"/>
        </w:rPr>
        <w:t>Concentrated Animal Feeding Operations</w:t>
      </w:r>
    </w:p>
    <w:p w14:paraId="08651FBA" w14:textId="77777777" w:rsidR="00E532DD" w:rsidRPr="00DB07F4" w:rsidRDefault="00E532DD" w:rsidP="00E532DD">
      <w:pPr>
        <w:tabs>
          <w:tab w:val="left" w:pos="720"/>
        </w:tabs>
        <w:spacing w:after="240"/>
        <w:rPr>
          <w:szCs w:val="24"/>
        </w:rPr>
      </w:pPr>
      <w:r>
        <w:rPr>
          <w:szCs w:val="24"/>
        </w:rPr>
        <w:t>As of November 16, 2023, VPDES individual permits were in effect for 8 Concentrated Animal Feeding Operations (CAFOs). Virginia State Water Control Law (</w:t>
      </w:r>
      <w:r w:rsidRPr="001300CF">
        <w:rPr>
          <w:szCs w:val="24"/>
        </w:rPr>
        <w:t>§ 62.1-44.17:</w:t>
      </w:r>
      <w:proofErr w:type="gramStart"/>
      <w:r w:rsidRPr="001300CF">
        <w:rPr>
          <w:szCs w:val="24"/>
        </w:rPr>
        <w:t>1.</w:t>
      </w:r>
      <w:r>
        <w:rPr>
          <w:szCs w:val="24"/>
        </w:rPr>
        <w:t>A</w:t>
      </w:r>
      <w:proofErr w:type="gramEnd"/>
      <w:r>
        <w:rPr>
          <w:szCs w:val="24"/>
        </w:rPr>
        <w:t xml:space="preserve">1) limits the applicability of the VPDES regulations to CAFOs </w:t>
      </w:r>
      <w:r w:rsidRPr="001300CF">
        <w:rPr>
          <w:szCs w:val="24"/>
        </w:rPr>
        <w:t xml:space="preserve">to the extent necessary to comply with </w:t>
      </w:r>
      <w:r>
        <w:rPr>
          <w:szCs w:val="24"/>
        </w:rPr>
        <w:t>federal regulation, thus the owner of a CAFO is not required to obtain VPDES permit coverage for the potential to discharge.</w:t>
      </w:r>
    </w:p>
    <w:p w14:paraId="2A7ED513" w14:textId="77777777" w:rsidR="00E532DD" w:rsidRPr="00DB07F4" w:rsidRDefault="00E532DD" w:rsidP="00784A33">
      <w:pPr>
        <w:pStyle w:val="Heading4"/>
      </w:pPr>
      <w:r w:rsidRPr="00DB07F4">
        <w:t>General Permits</w:t>
      </w:r>
    </w:p>
    <w:p w14:paraId="5EC0FDB6" w14:textId="64EEDDE1" w:rsidR="00E532DD" w:rsidRPr="00784A33" w:rsidRDefault="00E532DD" w:rsidP="00197C5C">
      <w:pPr>
        <w:pStyle w:val="BodyText"/>
        <w:rPr>
          <w:rFonts w:cstheme="minorHAnsi"/>
          <w:szCs w:val="24"/>
        </w:rPr>
      </w:pPr>
      <w:r w:rsidRPr="00784A33">
        <w:rPr>
          <w:rFonts w:cstheme="minorHAnsi"/>
          <w:szCs w:val="24"/>
        </w:rPr>
        <w:t xml:space="preserve">General permits (GPs) are written for a general class of discharge with similar effluent characteristics. Virginia was granted GP authority from EPA in May 1991. GPs have streamlined the VPDES permit process, and reduced the paperwork, time and expense of obtaining a permit and allow staff resources to </w:t>
      </w:r>
      <w:proofErr w:type="gramStart"/>
      <w:r w:rsidRPr="00784A33">
        <w:rPr>
          <w:rFonts w:cstheme="minorHAnsi"/>
          <w:szCs w:val="24"/>
        </w:rPr>
        <w:t>be concentrated</w:t>
      </w:r>
      <w:proofErr w:type="gramEnd"/>
      <w:r w:rsidRPr="00784A33">
        <w:rPr>
          <w:rFonts w:cstheme="minorHAnsi"/>
          <w:szCs w:val="24"/>
        </w:rPr>
        <w:t xml:space="preserve"> on individual permits. GPs are promulgated as regulations and typically require a facility owner or operator to apply for GP coverage through the submittal of a Registration Statement. The following DEQ-administered VPDES GPs are available in Virginia: </w:t>
      </w:r>
    </w:p>
    <w:p w14:paraId="2CD217B8" w14:textId="7B7191F9" w:rsidR="00E532DD" w:rsidRPr="00784A33" w:rsidRDefault="00D9022A">
      <w:pPr>
        <w:pStyle w:val="BodyText"/>
        <w:widowControl/>
        <w:numPr>
          <w:ilvl w:val="0"/>
          <w:numId w:val="19"/>
        </w:numPr>
        <w:spacing w:after="0"/>
        <w:rPr>
          <w:rFonts w:cstheme="minorHAnsi"/>
          <w:szCs w:val="24"/>
        </w:rPr>
      </w:pPr>
      <w:r>
        <w:rPr>
          <w:rFonts w:cstheme="minorHAnsi"/>
          <w:szCs w:val="24"/>
        </w:rPr>
        <w:t>Remediation of Contaminated Sites</w:t>
      </w:r>
      <w:r w:rsidR="00E532DD" w:rsidRPr="00784A33">
        <w:rPr>
          <w:rFonts w:cstheme="minorHAnsi"/>
          <w:szCs w:val="24"/>
        </w:rPr>
        <w:t xml:space="preserve"> and Hydrostatic Tests (VAG83)</w:t>
      </w:r>
    </w:p>
    <w:p w14:paraId="12E4B734" w14:textId="77777777" w:rsidR="00E532DD" w:rsidRPr="00784A33" w:rsidRDefault="00E532DD">
      <w:pPr>
        <w:pStyle w:val="BodyText"/>
        <w:widowControl/>
        <w:numPr>
          <w:ilvl w:val="0"/>
          <w:numId w:val="19"/>
        </w:numPr>
        <w:spacing w:after="0"/>
        <w:rPr>
          <w:rFonts w:cstheme="minorHAnsi"/>
          <w:szCs w:val="24"/>
        </w:rPr>
      </w:pPr>
      <w:r w:rsidRPr="00784A33">
        <w:rPr>
          <w:rFonts w:cstheme="minorHAnsi"/>
          <w:szCs w:val="24"/>
        </w:rPr>
        <w:t>Stormwater</w:t>
      </w:r>
      <w:r w:rsidRPr="00784A33" w:rsidDel="006B422B">
        <w:rPr>
          <w:rFonts w:cstheme="minorHAnsi"/>
          <w:szCs w:val="24"/>
        </w:rPr>
        <w:t xml:space="preserve"> </w:t>
      </w:r>
      <w:r w:rsidRPr="00784A33">
        <w:rPr>
          <w:rFonts w:cstheme="minorHAnsi"/>
          <w:szCs w:val="24"/>
        </w:rPr>
        <w:t>Discharges Associated with Industrial Activity (VAR05)</w:t>
      </w:r>
    </w:p>
    <w:p w14:paraId="6B54F2B2" w14:textId="77777777" w:rsidR="00E532DD" w:rsidRPr="00784A33" w:rsidRDefault="00E532DD">
      <w:pPr>
        <w:pStyle w:val="BodyText"/>
        <w:widowControl/>
        <w:numPr>
          <w:ilvl w:val="0"/>
          <w:numId w:val="19"/>
        </w:numPr>
        <w:spacing w:after="0"/>
        <w:rPr>
          <w:rFonts w:cstheme="minorHAnsi"/>
          <w:szCs w:val="24"/>
        </w:rPr>
      </w:pPr>
      <w:r w:rsidRPr="00784A33">
        <w:rPr>
          <w:rFonts w:cstheme="minorHAnsi"/>
          <w:szCs w:val="24"/>
        </w:rPr>
        <w:t>Non-Metallic Mineral Mining (VAG84)</w:t>
      </w:r>
    </w:p>
    <w:p w14:paraId="34EF8855" w14:textId="77777777" w:rsidR="00E532DD" w:rsidRPr="00784A33" w:rsidRDefault="00E532DD">
      <w:pPr>
        <w:pStyle w:val="BodyText"/>
        <w:widowControl/>
        <w:numPr>
          <w:ilvl w:val="0"/>
          <w:numId w:val="19"/>
        </w:numPr>
        <w:spacing w:after="0"/>
        <w:rPr>
          <w:rFonts w:cstheme="minorHAnsi"/>
          <w:szCs w:val="24"/>
        </w:rPr>
      </w:pPr>
      <w:r w:rsidRPr="00784A33">
        <w:rPr>
          <w:rFonts w:cstheme="minorHAnsi"/>
          <w:szCs w:val="24"/>
        </w:rPr>
        <w:t>Domestic Sewage Discharges ≤ 1,000 GPD (VAG40)</w:t>
      </w:r>
    </w:p>
    <w:p w14:paraId="644DED7C" w14:textId="77777777" w:rsidR="00E532DD" w:rsidRPr="00784A33" w:rsidRDefault="00E532DD">
      <w:pPr>
        <w:pStyle w:val="BodyText"/>
        <w:widowControl/>
        <w:numPr>
          <w:ilvl w:val="0"/>
          <w:numId w:val="19"/>
        </w:numPr>
        <w:spacing w:after="0"/>
        <w:rPr>
          <w:rFonts w:cstheme="minorHAnsi"/>
          <w:szCs w:val="24"/>
        </w:rPr>
      </w:pPr>
      <w:r w:rsidRPr="00784A33">
        <w:rPr>
          <w:rFonts w:cstheme="minorHAnsi"/>
          <w:szCs w:val="24"/>
        </w:rPr>
        <w:t>Noncontact Cooling Water Discharges (VAG25)</w:t>
      </w:r>
    </w:p>
    <w:p w14:paraId="1C9C8843" w14:textId="77777777" w:rsidR="00E532DD" w:rsidRPr="00784A33" w:rsidRDefault="00E532DD">
      <w:pPr>
        <w:pStyle w:val="BodyText"/>
        <w:widowControl/>
        <w:numPr>
          <w:ilvl w:val="0"/>
          <w:numId w:val="19"/>
        </w:numPr>
        <w:spacing w:after="0"/>
        <w:rPr>
          <w:rFonts w:cstheme="minorHAnsi"/>
          <w:szCs w:val="24"/>
        </w:rPr>
      </w:pPr>
      <w:r w:rsidRPr="00784A33">
        <w:rPr>
          <w:rFonts w:cstheme="minorHAnsi"/>
          <w:szCs w:val="24"/>
        </w:rPr>
        <w:t>Seafood Processing Facilities (VAG52)</w:t>
      </w:r>
    </w:p>
    <w:p w14:paraId="3C24407E" w14:textId="77777777" w:rsidR="00E532DD" w:rsidRPr="00784A33" w:rsidRDefault="00E532DD">
      <w:pPr>
        <w:pStyle w:val="BodyText"/>
        <w:widowControl/>
        <w:numPr>
          <w:ilvl w:val="0"/>
          <w:numId w:val="19"/>
        </w:numPr>
        <w:spacing w:after="0"/>
        <w:rPr>
          <w:rFonts w:cstheme="minorHAnsi"/>
          <w:szCs w:val="24"/>
        </w:rPr>
      </w:pPr>
      <w:r w:rsidRPr="00784A33">
        <w:rPr>
          <w:rFonts w:cstheme="minorHAnsi"/>
          <w:szCs w:val="24"/>
        </w:rPr>
        <w:t>Vehicle Wash and Laundry Facilities (VAG75)</w:t>
      </w:r>
    </w:p>
    <w:p w14:paraId="55CAE68E" w14:textId="77777777" w:rsidR="00E532DD" w:rsidRPr="00784A33" w:rsidRDefault="00E532DD">
      <w:pPr>
        <w:pStyle w:val="BodyText"/>
        <w:widowControl/>
        <w:numPr>
          <w:ilvl w:val="0"/>
          <w:numId w:val="19"/>
        </w:numPr>
        <w:spacing w:after="0"/>
        <w:rPr>
          <w:rFonts w:cstheme="minorHAnsi"/>
          <w:szCs w:val="24"/>
        </w:rPr>
      </w:pPr>
      <w:r w:rsidRPr="00784A33">
        <w:rPr>
          <w:rFonts w:cstheme="minorHAnsi"/>
          <w:szCs w:val="24"/>
        </w:rPr>
        <w:t>Concrete Product Facilities (VAG11)</w:t>
      </w:r>
    </w:p>
    <w:p w14:paraId="63FBCC0C" w14:textId="77777777" w:rsidR="00E532DD" w:rsidRPr="00784A33" w:rsidRDefault="00E532DD">
      <w:pPr>
        <w:pStyle w:val="BodyText"/>
        <w:widowControl/>
        <w:numPr>
          <w:ilvl w:val="0"/>
          <w:numId w:val="19"/>
        </w:numPr>
        <w:spacing w:after="0"/>
        <w:rPr>
          <w:rFonts w:cstheme="minorHAnsi"/>
          <w:szCs w:val="24"/>
        </w:rPr>
      </w:pPr>
      <w:r w:rsidRPr="00784A33">
        <w:rPr>
          <w:rFonts w:cstheme="minorHAnsi"/>
          <w:szCs w:val="24"/>
        </w:rPr>
        <w:t>Watershed Permit for Total Nitrogen and Total Phosphorus Discharges and Nutrient Trading in the Chesapeake Bay Watershed (VAN00)</w:t>
      </w:r>
    </w:p>
    <w:p w14:paraId="4DCFC8DE" w14:textId="77777777" w:rsidR="00E532DD" w:rsidRPr="00784A33" w:rsidRDefault="00E532DD">
      <w:pPr>
        <w:pStyle w:val="BodyText"/>
        <w:widowControl/>
        <w:numPr>
          <w:ilvl w:val="0"/>
          <w:numId w:val="19"/>
        </w:numPr>
        <w:spacing w:after="0"/>
        <w:rPr>
          <w:rFonts w:cstheme="minorHAnsi"/>
          <w:szCs w:val="24"/>
        </w:rPr>
      </w:pPr>
      <w:r w:rsidRPr="00784A33">
        <w:rPr>
          <w:rFonts w:cstheme="minorHAnsi"/>
          <w:szCs w:val="24"/>
        </w:rPr>
        <w:t>Pesticide Discharges (VAG87)</w:t>
      </w:r>
    </w:p>
    <w:p w14:paraId="3759C4B1" w14:textId="77777777" w:rsidR="00E532DD" w:rsidRPr="00784A33" w:rsidRDefault="00E532DD">
      <w:pPr>
        <w:pStyle w:val="BodyText"/>
        <w:widowControl/>
        <w:numPr>
          <w:ilvl w:val="0"/>
          <w:numId w:val="19"/>
        </w:numPr>
        <w:spacing w:after="0"/>
        <w:rPr>
          <w:rFonts w:cstheme="minorHAnsi"/>
          <w:szCs w:val="24"/>
        </w:rPr>
      </w:pPr>
      <w:r w:rsidRPr="00784A33">
        <w:rPr>
          <w:rFonts w:cstheme="minorHAnsi"/>
          <w:szCs w:val="24"/>
        </w:rPr>
        <w:t>Potable Water Treatment Plants (VAG64)</w:t>
      </w:r>
    </w:p>
    <w:p w14:paraId="09DB7E30" w14:textId="77777777" w:rsidR="00E532DD" w:rsidRPr="00784A33" w:rsidRDefault="00E532DD">
      <w:pPr>
        <w:pStyle w:val="BodyText"/>
        <w:widowControl/>
        <w:numPr>
          <w:ilvl w:val="0"/>
          <w:numId w:val="19"/>
        </w:numPr>
        <w:spacing w:after="0"/>
        <w:rPr>
          <w:rFonts w:cstheme="minorHAnsi"/>
          <w:szCs w:val="24"/>
        </w:rPr>
      </w:pPr>
      <w:r w:rsidRPr="00784A33">
        <w:rPr>
          <w:rFonts w:cstheme="minorHAnsi"/>
          <w:szCs w:val="24"/>
        </w:rPr>
        <w:t>Stormwater Discharges from Small Municipal Separate Storm Sewer Systems (MS4s) (VAR040)</w:t>
      </w:r>
    </w:p>
    <w:p w14:paraId="4484C0A4" w14:textId="77777777" w:rsidR="00E532DD" w:rsidRPr="00784A33" w:rsidRDefault="00E532DD">
      <w:pPr>
        <w:pStyle w:val="BodyText"/>
        <w:widowControl/>
        <w:numPr>
          <w:ilvl w:val="0"/>
          <w:numId w:val="19"/>
        </w:numPr>
        <w:spacing w:after="240"/>
        <w:rPr>
          <w:rFonts w:cstheme="minorHAnsi"/>
          <w:szCs w:val="24"/>
        </w:rPr>
      </w:pPr>
      <w:r w:rsidRPr="00784A33">
        <w:rPr>
          <w:rFonts w:cstheme="minorHAnsi"/>
          <w:szCs w:val="24"/>
        </w:rPr>
        <w:t>Stormwater Discharges from Construction Activities (VAR10) – See information on Virginia’s Stormwater Management Program below.</w:t>
      </w:r>
    </w:p>
    <w:p w14:paraId="33DF3F2D" w14:textId="149D5C3A" w:rsidR="00E532DD" w:rsidRPr="00784A33" w:rsidRDefault="00E532DD" w:rsidP="00E532DD">
      <w:pPr>
        <w:pStyle w:val="BodyText"/>
        <w:rPr>
          <w:rFonts w:cstheme="minorHAnsi"/>
          <w:szCs w:val="24"/>
        </w:rPr>
      </w:pPr>
      <w:r w:rsidRPr="00784A33">
        <w:rPr>
          <w:rFonts w:cstheme="minorHAnsi"/>
          <w:szCs w:val="24"/>
        </w:rPr>
        <w:t>DEQ administers Virginia Pollution Abatement (VPA) general permits for Animal Feeding Operations and Poultry Waste Management to address potential discharges of animal wastes. CAFOs may also be covered by a VPA permit rather than a VPDES permit if the facility does not have a point-source discharge to surface waters.</w:t>
      </w:r>
    </w:p>
    <w:p w14:paraId="168774E5" w14:textId="77777777" w:rsidR="00E532DD" w:rsidRPr="00784A33" w:rsidRDefault="00E532DD" w:rsidP="00E532DD">
      <w:pPr>
        <w:spacing w:after="240"/>
        <w:rPr>
          <w:rFonts w:cstheme="minorHAnsi"/>
          <w:szCs w:val="24"/>
        </w:rPr>
      </w:pPr>
      <w:r w:rsidRPr="00784A33">
        <w:rPr>
          <w:rFonts w:cstheme="minorHAnsi"/>
          <w:szCs w:val="24"/>
        </w:rPr>
        <w:t xml:space="preserve">There are 5,167 dischargers in Virginia registered for coverage under the general permits (GPs) mentioned above, not including the Construction GP, Pesticide GP, and certain projects and hydrostatic testing under the Petroleum, Groundwater Remediation and Hydrostatic Testing GP. As of November 16, 2023, there are 6,458 active Construction GPs. The administration of </w:t>
      </w:r>
      <w:r w:rsidRPr="00784A33">
        <w:rPr>
          <w:rFonts w:cstheme="minorHAnsi"/>
          <w:szCs w:val="24"/>
        </w:rPr>
        <w:lastRenderedPageBreak/>
        <w:t xml:space="preserve">the majority of VAR10 Construction Stormwater GPs has been delegated to approved local, state, federal, or utility authorities under the Virginia Stormwater Management Program (VSMP), 9VAC25-870. VSMP delegated authorities receive and accept Registration Statement and fee collection submittals and undertake stormwater management plan review and approvals to ensure consistency with the requirements of the VAR10 GP. The Pesticide Discharges general permit does not require a discharger to register </w:t>
      </w:r>
      <w:proofErr w:type="gramStart"/>
      <w:r w:rsidRPr="00784A33">
        <w:rPr>
          <w:rFonts w:cstheme="minorHAnsi"/>
          <w:szCs w:val="24"/>
        </w:rPr>
        <w:t>in order to</w:t>
      </w:r>
      <w:proofErr w:type="gramEnd"/>
      <w:r w:rsidRPr="00784A33">
        <w:rPr>
          <w:rFonts w:cstheme="minorHAnsi"/>
          <w:szCs w:val="24"/>
        </w:rPr>
        <w:t xml:space="preserve"> be covered under the permit. Additionally, the Petroleum Contaminated Sites, Groundwater Remediation, and Hydrostatic Tests general permit does not require short term projects (14 days or less) and hydrostatic testing discharges to register </w:t>
      </w:r>
      <w:proofErr w:type="gramStart"/>
      <w:r w:rsidRPr="00784A33">
        <w:rPr>
          <w:rFonts w:cstheme="minorHAnsi"/>
          <w:szCs w:val="24"/>
        </w:rPr>
        <w:t>in order to</w:t>
      </w:r>
      <w:proofErr w:type="gramEnd"/>
      <w:r w:rsidRPr="00784A33">
        <w:rPr>
          <w:rFonts w:cstheme="minorHAnsi"/>
          <w:szCs w:val="24"/>
        </w:rPr>
        <w:t xml:space="preserve"> be covered under the permit.</w:t>
      </w:r>
    </w:p>
    <w:p w14:paraId="659C3CF9" w14:textId="0DFA8D47" w:rsidR="00E532DD" w:rsidRPr="00784A33" w:rsidRDefault="00E532DD" w:rsidP="00E532DD">
      <w:pPr>
        <w:spacing w:after="240"/>
        <w:jc w:val="both"/>
        <w:rPr>
          <w:rFonts w:cstheme="minorHAnsi"/>
          <w:szCs w:val="24"/>
        </w:rPr>
      </w:pPr>
      <w:r w:rsidRPr="00784A33">
        <w:rPr>
          <w:rFonts w:cstheme="minorHAnsi"/>
          <w:szCs w:val="24"/>
        </w:rPr>
        <w:t xml:space="preserve">As of November 16, 2023, there were 5,167 dischargers in Virginia registered for VPDES GP coverage </w:t>
      </w:r>
      <w:r w:rsidR="000B33E2">
        <w:rPr>
          <w:rFonts w:cstheme="minorHAnsi"/>
          <w:szCs w:val="24"/>
        </w:rPr>
        <w:t>(Table</w:t>
      </w:r>
      <w:r w:rsidR="0098194C">
        <w:rPr>
          <w:rFonts w:cstheme="minorHAnsi"/>
          <w:szCs w:val="24"/>
        </w:rPr>
        <w:t>7.1-2).</w:t>
      </w:r>
    </w:p>
    <w:p w14:paraId="0901AB80" w14:textId="348D3F76" w:rsidR="001C3F9F" w:rsidRDefault="001C3F9F" w:rsidP="001C3F9F">
      <w:pPr>
        <w:pStyle w:val="Caption"/>
        <w:keepNext/>
      </w:pPr>
      <w:bookmarkStart w:id="406" w:name="_Toc164175240"/>
      <w:r>
        <w:t xml:space="preserve">Table </w:t>
      </w:r>
      <w:r w:rsidR="004F13BA">
        <w:fldChar w:fldCharType="begin"/>
      </w:r>
      <w:r w:rsidR="004F13BA">
        <w:instrText xml:space="preserve"> STYLEREF 2 \s </w:instrText>
      </w:r>
      <w:r w:rsidR="004F13BA">
        <w:fldChar w:fldCharType="separate"/>
      </w:r>
      <w:r w:rsidR="00CD06AE">
        <w:rPr>
          <w:noProof/>
        </w:rPr>
        <w:t>6.1</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w:t>
      </w:r>
      <w:r w:rsidR="004F13BA">
        <w:rPr>
          <w:noProof/>
        </w:rPr>
        <w:fldChar w:fldCharType="end"/>
      </w:r>
      <w:r>
        <w:t>.</w:t>
      </w:r>
      <w:r w:rsidR="00851B84">
        <w:t xml:space="preserve"> </w:t>
      </w:r>
      <w:r w:rsidR="00851B84" w:rsidRPr="00784A33">
        <w:rPr>
          <w:rFonts w:cstheme="minorHAnsi"/>
          <w:szCs w:val="24"/>
        </w:rPr>
        <w:t>VPDES General Permit Registrations</w:t>
      </w:r>
      <w:r w:rsidR="00851B84">
        <w:rPr>
          <w:rFonts w:cstheme="minorHAnsi"/>
          <w:szCs w:val="24"/>
        </w:rPr>
        <w:t>.</w:t>
      </w:r>
      <w:bookmarkEnd w:id="406"/>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VPDES General Permit Registrations "/>
        <w:tblDescription w:val="VPDES General Permit Registrations "/>
      </w:tblPr>
      <w:tblGrid>
        <w:gridCol w:w="5382"/>
        <w:gridCol w:w="3860"/>
      </w:tblGrid>
      <w:tr w:rsidR="00E532DD" w:rsidRPr="00784A33" w14:paraId="504602F5" w14:textId="77777777" w:rsidTr="00740733">
        <w:trPr>
          <w:tblHeader/>
        </w:trPr>
        <w:tc>
          <w:tcPr>
            <w:tcW w:w="5382" w:type="dxa"/>
            <w:tcBorders>
              <w:top w:val="single" w:sz="12" w:space="0" w:color="auto"/>
              <w:bottom w:val="single" w:sz="2" w:space="0" w:color="auto"/>
            </w:tcBorders>
            <w:vAlign w:val="center"/>
          </w:tcPr>
          <w:p w14:paraId="5295D281" w14:textId="77777777" w:rsidR="00E532DD" w:rsidRPr="00851B84" w:rsidRDefault="00E532DD">
            <w:pPr>
              <w:pStyle w:val="BodyText"/>
              <w:spacing w:after="0"/>
              <w:jc w:val="center"/>
              <w:rPr>
                <w:rFonts w:cstheme="minorHAnsi"/>
                <w:b/>
                <w:sz w:val="22"/>
                <w:szCs w:val="22"/>
              </w:rPr>
            </w:pPr>
            <w:r w:rsidRPr="00851B84">
              <w:rPr>
                <w:rFonts w:cstheme="minorHAnsi"/>
                <w:b/>
                <w:sz w:val="22"/>
                <w:szCs w:val="22"/>
              </w:rPr>
              <w:t>VPDES General Permit</w:t>
            </w:r>
          </w:p>
        </w:tc>
        <w:tc>
          <w:tcPr>
            <w:tcW w:w="3860" w:type="dxa"/>
            <w:tcBorders>
              <w:top w:val="single" w:sz="12" w:space="0" w:color="auto"/>
              <w:bottom w:val="single" w:sz="2" w:space="0" w:color="auto"/>
            </w:tcBorders>
            <w:vAlign w:val="center"/>
          </w:tcPr>
          <w:p w14:paraId="58B985E3" w14:textId="77777777" w:rsidR="00E532DD" w:rsidRPr="00851B84" w:rsidRDefault="00E532DD">
            <w:pPr>
              <w:pStyle w:val="BodyText"/>
              <w:spacing w:after="0"/>
              <w:jc w:val="center"/>
              <w:rPr>
                <w:rFonts w:cstheme="minorHAnsi"/>
                <w:b/>
                <w:sz w:val="22"/>
                <w:szCs w:val="22"/>
              </w:rPr>
            </w:pPr>
            <w:r w:rsidRPr="00851B84">
              <w:rPr>
                <w:rFonts w:cstheme="minorHAnsi"/>
                <w:b/>
                <w:sz w:val="22"/>
                <w:szCs w:val="22"/>
              </w:rPr>
              <w:t xml:space="preserve">Number in effect </w:t>
            </w:r>
          </w:p>
          <w:p w14:paraId="60524C4D" w14:textId="77777777" w:rsidR="00E532DD" w:rsidRPr="00851B84" w:rsidRDefault="00E532DD">
            <w:pPr>
              <w:pStyle w:val="BodyText"/>
              <w:spacing w:after="0"/>
              <w:jc w:val="center"/>
              <w:rPr>
                <w:rFonts w:cstheme="minorHAnsi"/>
                <w:b/>
                <w:sz w:val="22"/>
                <w:szCs w:val="22"/>
              </w:rPr>
            </w:pPr>
            <w:r w:rsidRPr="00851B84">
              <w:rPr>
                <w:rFonts w:cstheme="minorHAnsi"/>
                <w:b/>
                <w:sz w:val="22"/>
                <w:szCs w:val="22"/>
              </w:rPr>
              <w:t>as of November 16, 2023</w:t>
            </w:r>
          </w:p>
        </w:tc>
      </w:tr>
      <w:tr w:rsidR="00E532DD" w:rsidRPr="00784A33" w14:paraId="3A5AE32E" w14:textId="77777777" w:rsidTr="00740733">
        <w:trPr>
          <w:trHeight w:val="360"/>
        </w:trPr>
        <w:tc>
          <w:tcPr>
            <w:tcW w:w="5382" w:type="dxa"/>
            <w:tcBorders>
              <w:top w:val="single" w:sz="2" w:space="0" w:color="auto"/>
            </w:tcBorders>
            <w:vAlign w:val="center"/>
          </w:tcPr>
          <w:p w14:paraId="28EC5ACE" w14:textId="77777777" w:rsidR="00E532DD" w:rsidRPr="00851B84" w:rsidRDefault="00E532DD">
            <w:pPr>
              <w:pStyle w:val="BodyText"/>
              <w:spacing w:after="0"/>
              <w:rPr>
                <w:rFonts w:cstheme="minorHAnsi"/>
                <w:sz w:val="22"/>
                <w:szCs w:val="22"/>
              </w:rPr>
            </w:pPr>
            <w:r w:rsidRPr="00851B84">
              <w:rPr>
                <w:rFonts w:cstheme="minorHAnsi"/>
                <w:sz w:val="22"/>
                <w:szCs w:val="22"/>
              </w:rPr>
              <w:t xml:space="preserve">VAG40, Domestic Sewage </w:t>
            </w:r>
          </w:p>
        </w:tc>
        <w:tc>
          <w:tcPr>
            <w:tcW w:w="3860" w:type="dxa"/>
            <w:tcBorders>
              <w:top w:val="single" w:sz="2" w:space="0" w:color="auto"/>
            </w:tcBorders>
            <w:vAlign w:val="center"/>
          </w:tcPr>
          <w:p w14:paraId="0E645699" w14:textId="77777777" w:rsidR="00E532DD" w:rsidRPr="00851B84" w:rsidRDefault="00E532DD">
            <w:pPr>
              <w:pStyle w:val="BodyText"/>
              <w:spacing w:after="0"/>
              <w:jc w:val="center"/>
              <w:rPr>
                <w:rFonts w:cstheme="minorHAnsi"/>
                <w:sz w:val="22"/>
                <w:szCs w:val="22"/>
              </w:rPr>
            </w:pPr>
            <w:r w:rsidRPr="00851B84">
              <w:rPr>
                <w:rFonts w:cstheme="minorHAnsi"/>
                <w:sz w:val="22"/>
                <w:szCs w:val="22"/>
              </w:rPr>
              <w:t>2983</w:t>
            </w:r>
          </w:p>
        </w:tc>
      </w:tr>
      <w:tr w:rsidR="00E532DD" w:rsidRPr="00784A33" w14:paraId="3AF98A0C" w14:textId="77777777" w:rsidTr="00740733">
        <w:trPr>
          <w:trHeight w:val="360"/>
        </w:trPr>
        <w:tc>
          <w:tcPr>
            <w:tcW w:w="5382" w:type="dxa"/>
            <w:vAlign w:val="center"/>
          </w:tcPr>
          <w:p w14:paraId="4BCA2D02" w14:textId="77777777" w:rsidR="00E532DD" w:rsidRPr="00851B84" w:rsidRDefault="00E532DD">
            <w:pPr>
              <w:pStyle w:val="BodyText"/>
              <w:spacing w:after="0"/>
              <w:rPr>
                <w:rFonts w:cstheme="minorHAnsi"/>
                <w:sz w:val="22"/>
                <w:szCs w:val="22"/>
              </w:rPr>
            </w:pPr>
            <w:r w:rsidRPr="00851B84">
              <w:rPr>
                <w:rFonts w:cstheme="minorHAnsi"/>
                <w:sz w:val="22"/>
                <w:szCs w:val="22"/>
              </w:rPr>
              <w:t>VAG52, Seafood Processing</w:t>
            </w:r>
          </w:p>
        </w:tc>
        <w:tc>
          <w:tcPr>
            <w:tcW w:w="3860" w:type="dxa"/>
            <w:vAlign w:val="center"/>
          </w:tcPr>
          <w:p w14:paraId="262D82A4" w14:textId="1D063BD6" w:rsidR="00E532DD" w:rsidRPr="00851B84" w:rsidRDefault="00E532DD" w:rsidP="00564602">
            <w:pPr>
              <w:pStyle w:val="BodyText"/>
              <w:spacing w:after="0"/>
              <w:jc w:val="center"/>
              <w:rPr>
                <w:rFonts w:cstheme="minorHAnsi"/>
                <w:sz w:val="22"/>
                <w:szCs w:val="22"/>
              </w:rPr>
            </w:pPr>
            <w:r w:rsidRPr="00851B84">
              <w:rPr>
                <w:rFonts w:cstheme="minorHAnsi"/>
                <w:sz w:val="22"/>
                <w:szCs w:val="22"/>
              </w:rPr>
              <w:t>44</w:t>
            </w:r>
          </w:p>
        </w:tc>
      </w:tr>
      <w:tr w:rsidR="00E532DD" w:rsidRPr="00784A33" w14:paraId="7C2F4934" w14:textId="77777777" w:rsidTr="00740733">
        <w:trPr>
          <w:trHeight w:val="360"/>
        </w:trPr>
        <w:tc>
          <w:tcPr>
            <w:tcW w:w="5382" w:type="dxa"/>
            <w:vAlign w:val="center"/>
          </w:tcPr>
          <w:p w14:paraId="1231B83E" w14:textId="029DE688" w:rsidR="00E532DD" w:rsidRPr="00851B84" w:rsidRDefault="00E532DD">
            <w:pPr>
              <w:pStyle w:val="BodyText"/>
              <w:spacing w:after="0"/>
              <w:rPr>
                <w:rFonts w:cstheme="minorHAnsi"/>
                <w:sz w:val="22"/>
                <w:szCs w:val="22"/>
              </w:rPr>
            </w:pPr>
            <w:r w:rsidRPr="00851B84">
              <w:rPr>
                <w:rFonts w:cstheme="minorHAnsi"/>
                <w:sz w:val="22"/>
                <w:szCs w:val="22"/>
              </w:rPr>
              <w:t>VAG83, Remediation and Hydrostatic Testing</w:t>
            </w:r>
          </w:p>
        </w:tc>
        <w:tc>
          <w:tcPr>
            <w:tcW w:w="3860" w:type="dxa"/>
            <w:vAlign w:val="center"/>
          </w:tcPr>
          <w:p w14:paraId="1875D9C0" w14:textId="77777777" w:rsidR="00E532DD" w:rsidRPr="00851B84" w:rsidRDefault="00E532DD">
            <w:pPr>
              <w:pStyle w:val="BodyText"/>
              <w:spacing w:after="0"/>
              <w:jc w:val="center"/>
              <w:rPr>
                <w:rFonts w:cstheme="minorHAnsi"/>
                <w:sz w:val="22"/>
                <w:szCs w:val="22"/>
              </w:rPr>
            </w:pPr>
            <w:r w:rsidRPr="00851B84">
              <w:rPr>
                <w:rFonts w:cstheme="minorHAnsi"/>
                <w:sz w:val="22"/>
                <w:szCs w:val="22"/>
              </w:rPr>
              <w:t>36 (Some automatic coverage)</w:t>
            </w:r>
            <w:r w:rsidRPr="00851B84">
              <w:rPr>
                <w:rFonts w:cstheme="minorHAnsi"/>
                <w:sz w:val="22"/>
                <w:szCs w:val="22"/>
                <w:vertAlign w:val="superscript"/>
              </w:rPr>
              <w:t xml:space="preserve"> 1</w:t>
            </w:r>
          </w:p>
        </w:tc>
      </w:tr>
      <w:tr w:rsidR="00E532DD" w:rsidRPr="00784A33" w14:paraId="0D0EF506" w14:textId="77777777" w:rsidTr="00740733">
        <w:trPr>
          <w:trHeight w:val="360"/>
        </w:trPr>
        <w:tc>
          <w:tcPr>
            <w:tcW w:w="5382" w:type="dxa"/>
            <w:vAlign w:val="center"/>
          </w:tcPr>
          <w:p w14:paraId="3D184168" w14:textId="77777777" w:rsidR="00E532DD" w:rsidRPr="00851B84" w:rsidRDefault="00E532DD">
            <w:pPr>
              <w:pStyle w:val="BodyText"/>
              <w:spacing w:after="0"/>
              <w:rPr>
                <w:rFonts w:cstheme="minorHAnsi"/>
                <w:sz w:val="22"/>
                <w:szCs w:val="22"/>
              </w:rPr>
            </w:pPr>
            <w:r w:rsidRPr="00851B84">
              <w:rPr>
                <w:rFonts w:cstheme="minorHAnsi"/>
                <w:sz w:val="22"/>
                <w:szCs w:val="22"/>
              </w:rPr>
              <w:t>VAR05, Industrial Storm Water</w:t>
            </w:r>
          </w:p>
        </w:tc>
        <w:tc>
          <w:tcPr>
            <w:tcW w:w="3860" w:type="dxa"/>
            <w:vAlign w:val="center"/>
          </w:tcPr>
          <w:p w14:paraId="669213D0" w14:textId="77777777" w:rsidR="00E532DD" w:rsidRPr="00851B84" w:rsidRDefault="00E532DD">
            <w:pPr>
              <w:pStyle w:val="BodyText"/>
              <w:spacing w:after="0"/>
              <w:jc w:val="center"/>
              <w:rPr>
                <w:rFonts w:cstheme="minorHAnsi"/>
                <w:sz w:val="22"/>
                <w:szCs w:val="22"/>
              </w:rPr>
            </w:pPr>
            <w:r w:rsidRPr="00851B84">
              <w:rPr>
                <w:rFonts w:cstheme="minorHAnsi"/>
                <w:sz w:val="22"/>
                <w:szCs w:val="22"/>
              </w:rPr>
              <w:t>1237</w:t>
            </w:r>
          </w:p>
        </w:tc>
      </w:tr>
      <w:tr w:rsidR="00E532DD" w:rsidRPr="00784A33" w14:paraId="685558EE" w14:textId="77777777" w:rsidTr="00740733">
        <w:trPr>
          <w:trHeight w:val="360"/>
        </w:trPr>
        <w:tc>
          <w:tcPr>
            <w:tcW w:w="5382" w:type="dxa"/>
            <w:vAlign w:val="center"/>
          </w:tcPr>
          <w:p w14:paraId="11DA8E38" w14:textId="77777777" w:rsidR="00E532DD" w:rsidRPr="00851B84" w:rsidRDefault="00E532DD">
            <w:pPr>
              <w:pStyle w:val="BodyText"/>
              <w:spacing w:after="0"/>
              <w:rPr>
                <w:rFonts w:cstheme="minorHAnsi"/>
                <w:sz w:val="22"/>
                <w:szCs w:val="22"/>
              </w:rPr>
            </w:pPr>
            <w:r w:rsidRPr="00851B84">
              <w:rPr>
                <w:rFonts w:cstheme="minorHAnsi"/>
                <w:sz w:val="22"/>
                <w:szCs w:val="22"/>
              </w:rPr>
              <w:t>VAG84, Nonmetallic Mineral Mining</w:t>
            </w:r>
          </w:p>
        </w:tc>
        <w:tc>
          <w:tcPr>
            <w:tcW w:w="3860" w:type="dxa"/>
            <w:vAlign w:val="center"/>
          </w:tcPr>
          <w:p w14:paraId="088EC62D" w14:textId="77777777" w:rsidR="00E532DD" w:rsidRPr="00851B84" w:rsidRDefault="00E532DD">
            <w:pPr>
              <w:pStyle w:val="BodyText"/>
              <w:spacing w:after="0"/>
              <w:jc w:val="center"/>
              <w:rPr>
                <w:rFonts w:cstheme="minorHAnsi"/>
                <w:sz w:val="22"/>
                <w:szCs w:val="22"/>
              </w:rPr>
            </w:pPr>
            <w:r w:rsidRPr="00851B84">
              <w:rPr>
                <w:rFonts w:cstheme="minorHAnsi"/>
                <w:sz w:val="22"/>
                <w:szCs w:val="22"/>
              </w:rPr>
              <w:t>181</w:t>
            </w:r>
          </w:p>
        </w:tc>
      </w:tr>
      <w:tr w:rsidR="00E532DD" w:rsidRPr="00784A33" w14:paraId="42312011" w14:textId="77777777" w:rsidTr="00740733">
        <w:trPr>
          <w:trHeight w:val="360"/>
        </w:trPr>
        <w:tc>
          <w:tcPr>
            <w:tcW w:w="5382" w:type="dxa"/>
            <w:vAlign w:val="center"/>
          </w:tcPr>
          <w:p w14:paraId="2D417F39" w14:textId="77777777" w:rsidR="00E532DD" w:rsidRPr="00851B84" w:rsidRDefault="00E532DD">
            <w:pPr>
              <w:pStyle w:val="BodyText"/>
              <w:spacing w:after="0"/>
              <w:rPr>
                <w:rFonts w:cstheme="minorHAnsi"/>
                <w:sz w:val="22"/>
                <w:szCs w:val="22"/>
              </w:rPr>
            </w:pPr>
            <w:r w:rsidRPr="00851B84">
              <w:rPr>
                <w:rFonts w:cstheme="minorHAnsi"/>
                <w:sz w:val="22"/>
                <w:szCs w:val="22"/>
              </w:rPr>
              <w:t>VAG11, Concrete Products</w:t>
            </w:r>
          </w:p>
        </w:tc>
        <w:tc>
          <w:tcPr>
            <w:tcW w:w="3860" w:type="dxa"/>
            <w:vAlign w:val="center"/>
          </w:tcPr>
          <w:p w14:paraId="44BA829A" w14:textId="77777777" w:rsidR="00E532DD" w:rsidRPr="00851B84" w:rsidRDefault="00E532DD">
            <w:pPr>
              <w:pStyle w:val="BodyText"/>
              <w:spacing w:after="0"/>
              <w:jc w:val="center"/>
              <w:rPr>
                <w:rFonts w:cstheme="minorHAnsi"/>
                <w:sz w:val="22"/>
                <w:szCs w:val="22"/>
              </w:rPr>
            </w:pPr>
            <w:r w:rsidRPr="00851B84">
              <w:rPr>
                <w:rFonts w:cstheme="minorHAnsi"/>
                <w:sz w:val="22"/>
                <w:szCs w:val="22"/>
              </w:rPr>
              <w:t>231</w:t>
            </w:r>
          </w:p>
        </w:tc>
      </w:tr>
      <w:tr w:rsidR="00E532DD" w:rsidRPr="00784A33" w14:paraId="6B2EC5CA" w14:textId="77777777" w:rsidTr="00740733">
        <w:trPr>
          <w:trHeight w:val="360"/>
        </w:trPr>
        <w:tc>
          <w:tcPr>
            <w:tcW w:w="5382" w:type="dxa"/>
            <w:vAlign w:val="center"/>
          </w:tcPr>
          <w:p w14:paraId="71A80902" w14:textId="77777777" w:rsidR="00E532DD" w:rsidRPr="00851B84" w:rsidRDefault="00E532DD">
            <w:pPr>
              <w:pStyle w:val="BodyText"/>
              <w:spacing w:after="0"/>
              <w:rPr>
                <w:rFonts w:cstheme="minorHAnsi"/>
                <w:sz w:val="22"/>
                <w:szCs w:val="22"/>
              </w:rPr>
            </w:pPr>
            <w:r w:rsidRPr="00851B84">
              <w:rPr>
                <w:rFonts w:cstheme="minorHAnsi"/>
                <w:sz w:val="22"/>
                <w:szCs w:val="22"/>
              </w:rPr>
              <w:t>VAG75, Vehicle Wash and Laundry</w:t>
            </w:r>
          </w:p>
        </w:tc>
        <w:tc>
          <w:tcPr>
            <w:tcW w:w="3860" w:type="dxa"/>
            <w:vAlign w:val="center"/>
          </w:tcPr>
          <w:p w14:paraId="566E93F3" w14:textId="77777777" w:rsidR="00E532DD" w:rsidRPr="00851B84" w:rsidRDefault="00E532DD">
            <w:pPr>
              <w:pStyle w:val="BodyText"/>
              <w:spacing w:after="0"/>
              <w:jc w:val="center"/>
              <w:rPr>
                <w:rFonts w:cstheme="minorHAnsi"/>
                <w:sz w:val="22"/>
                <w:szCs w:val="22"/>
              </w:rPr>
            </w:pPr>
            <w:r w:rsidRPr="00851B84">
              <w:rPr>
                <w:rFonts w:cstheme="minorHAnsi"/>
                <w:sz w:val="22"/>
                <w:szCs w:val="22"/>
              </w:rPr>
              <w:t>84</w:t>
            </w:r>
          </w:p>
        </w:tc>
      </w:tr>
      <w:tr w:rsidR="00E532DD" w:rsidRPr="00784A33" w14:paraId="6BA54B2F" w14:textId="77777777" w:rsidTr="00740733">
        <w:trPr>
          <w:trHeight w:val="360"/>
        </w:trPr>
        <w:tc>
          <w:tcPr>
            <w:tcW w:w="5382" w:type="dxa"/>
            <w:vAlign w:val="center"/>
          </w:tcPr>
          <w:p w14:paraId="7C66C187" w14:textId="77777777" w:rsidR="00E532DD" w:rsidRPr="00851B84" w:rsidRDefault="00E532DD">
            <w:pPr>
              <w:pStyle w:val="BodyText"/>
              <w:spacing w:after="0"/>
              <w:rPr>
                <w:rFonts w:cstheme="minorHAnsi"/>
                <w:sz w:val="22"/>
                <w:szCs w:val="22"/>
              </w:rPr>
            </w:pPr>
            <w:r w:rsidRPr="00851B84">
              <w:rPr>
                <w:rFonts w:cstheme="minorHAnsi"/>
                <w:sz w:val="22"/>
                <w:szCs w:val="22"/>
              </w:rPr>
              <w:t>VAG25, Noncontact Cooling Water</w:t>
            </w:r>
          </w:p>
        </w:tc>
        <w:tc>
          <w:tcPr>
            <w:tcW w:w="3860" w:type="dxa"/>
            <w:vAlign w:val="center"/>
          </w:tcPr>
          <w:p w14:paraId="0D1B4EA8" w14:textId="77777777" w:rsidR="00E532DD" w:rsidRPr="00851B84" w:rsidRDefault="00E532DD">
            <w:pPr>
              <w:pStyle w:val="BodyText"/>
              <w:spacing w:after="0"/>
              <w:jc w:val="center"/>
              <w:rPr>
                <w:rFonts w:cstheme="minorHAnsi"/>
                <w:sz w:val="22"/>
                <w:szCs w:val="22"/>
              </w:rPr>
            </w:pPr>
            <w:r w:rsidRPr="00851B84">
              <w:rPr>
                <w:rFonts w:cstheme="minorHAnsi"/>
                <w:sz w:val="22"/>
                <w:szCs w:val="22"/>
              </w:rPr>
              <w:t>19</w:t>
            </w:r>
          </w:p>
        </w:tc>
      </w:tr>
      <w:tr w:rsidR="00E532DD" w:rsidRPr="00784A33" w14:paraId="166F13D9" w14:textId="77777777" w:rsidTr="00740733">
        <w:trPr>
          <w:trHeight w:val="360"/>
        </w:trPr>
        <w:tc>
          <w:tcPr>
            <w:tcW w:w="5382" w:type="dxa"/>
            <w:vAlign w:val="center"/>
          </w:tcPr>
          <w:p w14:paraId="3F424734" w14:textId="77777777" w:rsidR="00E532DD" w:rsidRPr="00851B84" w:rsidRDefault="00E532DD">
            <w:pPr>
              <w:pStyle w:val="BodyText"/>
              <w:spacing w:after="0"/>
              <w:rPr>
                <w:rFonts w:cstheme="minorHAnsi"/>
                <w:sz w:val="22"/>
                <w:szCs w:val="22"/>
              </w:rPr>
            </w:pPr>
            <w:r w:rsidRPr="00851B84">
              <w:rPr>
                <w:rFonts w:cstheme="minorHAnsi"/>
                <w:sz w:val="22"/>
                <w:szCs w:val="22"/>
              </w:rPr>
              <w:t>VAN, Nutrient Trading</w:t>
            </w:r>
          </w:p>
        </w:tc>
        <w:tc>
          <w:tcPr>
            <w:tcW w:w="3860" w:type="dxa"/>
            <w:vAlign w:val="center"/>
          </w:tcPr>
          <w:p w14:paraId="6CB27CEA" w14:textId="77777777" w:rsidR="00E532DD" w:rsidRPr="00851B84" w:rsidRDefault="00E532DD">
            <w:pPr>
              <w:pStyle w:val="BodyText"/>
              <w:spacing w:after="0"/>
              <w:jc w:val="center"/>
              <w:rPr>
                <w:rFonts w:cstheme="minorHAnsi"/>
                <w:sz w:val="22"/>
                <w:szCs w:val="22"/>
              </w:rPr>
            </w:pPr>
            <w:r w:rsidRPr="00851B84">
              <w:rPr>
                <w:rFonts w:cstheme="minorHAnsi"/>
                <w:sz w:val="22"/>
                <w:szCs w:val="22"/>
              </w:rPr>
              <w:t>143</w:t>
            </w:r>
          </w:p>
        </w:tc>
      </w:tr>
      <w:tr w:rsidR="00E532DD" w:rsidRPr="00784A33" w14:paraId="70F6A816" w14:textId="77777777" w:rsidTr="00740733">
        <w:trPr>
          <w:trHeight w:val="360"/>
        </w:trPr>
        <w:tc>
          <w:tcPr>
            <w:tcW w:w="5382" w:type="dxa"/>
            <w:vAlign w:val="center"/>
          </w:tcPr>
          <w:p w14:paraId="3E59229B" w14:textId="77777777" w:rsidR="00E532DD" w:rsidRPr="00851B84" w:rsidRDefault="00E532DD">
            <w:pPr>
              <w:pStyle w:val="BodyText"/>
              <w:spacing w:after="0"/>
              <w:rPr>
                <w:rFonts w:cstheme="minorHAnsi"/>
                <w:sz w:val="22"/>
                <w:szCs w:val="22"/>
              </w:rPr>
            </w:pPr>
            <w:r w:rsidRPr="00851B84">
              <w:rPr>
                <w:rFonts w:cstheme="minorHAnsi"/>
                <w:sz w:val="22"/>
                <w:szCs w:val="22"/>
              </w:rPr>
              <w:t xml:space="preserve">VAG87, Application of Pesticides </w:t>
            </w:r>
          </w:p>
        </w:tc>
        <w:tc>
          <w:tcPr>
            <w:tcW w:w="3860" w:type="dxa"/>
            <w:vAlign w:val="center"/>
          </w:tcPr>
          <w:p w14:paraId="7C9165AD" w14:textId="77777777" w:rsidR="00E532DD" w:rsidRPr="00851B84" w:rsidRDefault="00E532DD">
            <w:pPr>
              <w:pStyle w:val="BodyText"/>
              <w:spacing w:after="0"/>
              <w:jc w:val="center"/>
              <w:rPr>
                <w:rFonts w:cstheme="minorHAnsi"/>
                <w:sz w:val="22"/>
                <w:szCs w:val="22"/>
              </w:rPr>
            </w:pPr>
            <w:r w:rsidRPr="00851B84">
              <w:rPr>
                <w:rFonts w:cstheme="minorHAnsi"/>
                <w:sz w:val="22"/>
                <w:szCs w:val="22"/>
              </w:rPr>
              <w:t xml:space="preserve">(Automatic coverage) </w:t>
            </w:r>
            <w:r w:rsidRPr="00851B84">
              <w:rPr>
                <w:rFonts w:cstheme="minorHAnsi"/>
                <w:sz w:val="22"/>
                <w:szCs w:val="22"/>
                <w:vertAlign w:val="superscript"/>
              </w:rPr>
              <w:t>2</w:t>
            </w:r>
          </w:p>
        </w:tc>
      </w:tr>
      <w:tr w:rsidR="00E532DD" w:rsidRPr="00784A33" w14:paraId="3F6ABEC9" w14:textId="77777777" w:rsidTr="00740733">
        <w:trPr>
          <w:trHeight w:val="360"/>
        </w:trPr>
        <w:tc>
          <w:tcPr>
            <w:tcW w:w="5382" w:type="dxa"/>
            <w:vAlign w:val="center"/>
          </w:tcPr>
          <w:p w14:paraId="419B5924" w14:textId="77777777" w:rsidR="00E532DD" w:rsidRPr="00851B84" w:rsidRDefault="00E532DD">
            <w:pPr>
              <w:pStyle w:val="BodyText"/>
              <w:spacing w:after="0"/>
              <w:rPr>
                <w:rFonts w:cstheme="minorHAnsi"/>
                <w:sz w:val="22"/>
                <w:szCs w:val="22"/>
              </w:rPr>
            </w:pPr>
            <w:r w:rsidRPr="00851B84">
              <w:rPr>
                <w:rFonts w:cstheme="minorHAnsi"/>
                <w:sz w:val="22"/>
                <w:szCs w:val="22"/>
              </w:rPr>
              <w:t>VAG64, Potable Water Treatment Plants</w:t>
            </w:r>
          </w:p>
        </w:tc>
        <w:tc>
          <w:tcPr>
            <w:tcW w:w="3860" w:type="dxa"/>
            <w:vAlign w:val="center"/>
          </w:tcPr>
          <w:p w14:paraId="7FB78B5F" w14:textId="77777777" w:rsidR="00E532DD" w:rsidRPr="00851B84" w:rsidRDefault="00E532DD">
            <w:pPr>
              <w:pStyle w:val="BodyText"/>
              <w:spacing w:after="0"/>
              <w:jc w:val="center"/>
              <w:rPr>
                <w:rFonts w:cstheme="minorHAnsi"/>
                <w:sz w:val="22"/>
                <w:szCs w:val="22"/>
              </w:rPr>
            </w:pPr>
            <w:r w:rsidRPr="00851B84">
              <w:rPr>
                <w:rFonts w:cstheme="minorHAnsi"/>
                <w:sz w:val="22"/>
                <w:szCs w:val="22"/>
              </w:rPr>
              <w:t>109</w:t>
            </w:r>
          </w:p>
        </w:tc>
      </w:tr>
      <w:tr w:rsidR="00E532DD" w:rsidRPr="00784A33" w14:paraId="48F7B6A3" w14:textId="77777777" w:rsidTr="00740733">
        <w:trPr>
          <w:trHeight w:val="360"/>
        </w:trPr>
        <w:tc>
          <w:tcPr>
            <w:tcW w:w="5382" w:type="dxa"/>
            <w:tcBorders>
              <w:bottom w:val="single" w:sz="2" w:space="0" w:color="auto"/>
            </w:tcBorders>
            <w:vAlign w:val="center"/>
          </w:tcPr>
          <w:p w14:paraId="7D2607D9" w14:textId="77777777" w:rsidR="00E532DD" w:rsidRPr="00851B84" w:rsidRDefault="00E532DD">
            <w:pPr>
              <w:pStyle w:val="BodyText"/>
              <w:spacing w:after="0"/>
              <w:rPr>
                <w:rFonts w:cstheme="minorHAnsi"/>
                <w:sz w:val="22"/>
                <w:szCs w:val="22"/>
              </w:rPr>
            </w:pPr>
            <w:r w:rsidRPr="00851B84">
              <w:rPr>
                <w:rFonts w:cstheme="minorHAnsi"/>
                <w:sz w:val="22"/>
                <w:szCs w:val="22"/>
              </w:rPr>
              <w:t>VAR04, Small MS4</w:t>
            </w:r>
          </w:p>
        </w:tc>
        <w:tc>
          <w:tcPr>
            <w:tcW w:w="3860" w:type="dxa"/>
            <w:tcBorders>
              <w:bottom w:val="single" w:sz="2" w:space="0" w:color="auto"/>
            </w:tcBorders>
            <w:vAlign w:val="center"/>
          </w:tcPr>
          <w:p w14:paraId="37080013" w14:textId="77777777" w:rsidR="00E532DD" w:rsidRPr="00851B84" w:rsidRDefault="00E532DD">
            <w:pPr>
              <w:pStyle w:val="BodyText"/>
              <w:spacing w:after="0"/>
              <w:jc w:val="center"/>
              <w:rPr>
                <w:rFonts w:cstheme="minorHAnsi"/>
                <w:sz w:val="22"/>
                <w:szCs w:val="22"/>
              </w:rPr>
            </w:pPr>
            <w:r w:rsidRPr="00851B84">
              <w:rPr>
                <w:rFonts w:cstheme="minorHAnsi"/>
                <w:sz w:val="22"/>
                <w:szCs w:val="22"/>
              </w:rPr>
              <w:t>100</w:t>
            </w:r>
          </w:p>
        </w:tc>
      </w:tr>
      <w:tr w:rsidR="00E532DD" w:rsidRPr="00784A33" w14:paraId="2CC273DB" w14:textId="77777777" w:rsidTr="00740733">
        <w:trPr>
          <w:trHeight w:val="360"/>
        </w:trPr>
        <w:tc>
          <w:tcPr>
            <w:tcW w:w="5382" w:type="dxa"/>
            <w:tcBorders>
              <w:top w:val="single" w:sz="2" w:space="0" w:color="auto"/>
              <w:bottom w:val="single" w:sz="12" w:space="0" w:color="auto"/>
            </w:tcBorders>
            <w:vAlign w:val="center"/>
          </w:tcPr>
          <w:p w14:paraId="62266DF8" w14:textId="77777777" w:rsidR="00E532DD" w:rsidRPr="00851B84" w:rsidRDefault="00E532DD">
            <w:pPr>
              <w:pStyle w:val="BodyText"/>
              <w:spacing w:after="0"/>
              <w:jc w:val="right"/>
              <w:rPr>
                <w:rFonts w:cstheme="minorHAnsi"/>
                <w:sz w:val="22"/>
                <w:szCs w:val="22"/>
              </w:rPr>
            </w:pPr>
            <w:r w:rsidRPr="00851B84">
              <w:rPr>
                <w:rFonts w:cstheme="minorHAnsi"/>
                <w:b/>
                <w:sz w:val="22"/>
                <w:szCs w:val="22"/>
              </w:rPr>
              <w:t>Total</w:t>
            </w:r>
            <w:r w:rsidRPr="00851B84">
              <w:rPr>
                <w:rFonts w:cstheme="minorHAnsi"/>
                <w:sz w:val="22"/>
                <w:szCs w:val="22"/>
              </w:rPr>
              <w:t>:</w:t>
            </w:r>
          </w:p>
        </w:tc>
        <w:tc>
          <w:tcPr>
            <w:tcW w:w="3860" w:type="dxa"/>
            <w:tcBorders>
              <w:top w:val="single" w:sz="2" w:space="0" w:color="auto"/>
              <w:bottom w:val="single" w:sz="12" w:space="0" w:color="auto"/>
            </w:tcBorders>
            <w:vAlign w:val="center"/>
          </w:tcPr>
          <w:p w14:paraId="7755AC5D" w14:textId="77777777" w:rsidR="00E532DD" w:rsidRPr="00851B84" w:rsidRDefault="00E532DD">
            <w:pPr>
              <w:pStyle w:val="BodyText"/>
              <w:spacing w:after="0"/>
              <w:jc w:val="center"/>
              <w:rPr>
                <w:rFonts w:cstheme="minorHAnsi"/>
                <w:b/>
                <w:sz w:val="22"/>
                <w:szCs w:val="22"/>
              </w:rPr>
            </w:pPr>
            <w:r w:rsidRPr="00851B84">
              <w:rPr>
                <w:rFonts w:cstheme="minorHAnsi"/>
                <w:b/>
                <w:sz w:val="22"/>
                <w:szCs w:val="22"/>
              </w:rPr>
              <w:t>5,167</w:t>
            </w:r>
          </w:p>
        </w:tc>
      </w:tr>
    </w:tbl>
    <w:p w14:paraId="3AE36D01" w14:textId="0147B480" w:rsidR="00E532DD" w:rsidRPr="00ED4D86" w:rsidRDefault="00E532DD" w:rsidP="000802A4">
      <w:pPr>
        <w:rPr>
          <w:rFonts w:cstheme="minorHAnsi"/>
          <w:sz w:val="20"/>
        </w:rPr>
      </w:pPr>
      <w:r w:rsidRPr="00ED4D86">
        <w:rPr>
          <w:rFonts w:cstheme="minorHAnsi"/>
          <w:sz w:val="20"/>
          <w:vertAlign w:val="superscript"/>
        </w:rPr>
        <w:t>1</w:t>
      </w:r>
      <w:r w:rsidRPr="00ED4D86">
        <w:rPr>
          <w:rFonts w:cstheme="minorHAnsi"/>
          <w:sz w:val="20"/>
        </w:rPr>
        <w:t xml:space="preserve"> The VAG83 </w:t>
      </w:r>
      <w:r w:rsidR="00A259B5">
        <w:rPr>
          <w:rFonts w:cstheme="minorHAnsi"/>
          <w:sz w:val="20"/>
        </w:rPr>
        <w:t>Remediation of Contaminated Sites</w:t>
      </w:r>
      <w:r w:rsidRPr="00ED4D86">
        <w:rPr>
          <w:rFonts w:cstheme="minorHAnsi"/>
          <w:sz w:val="20"/>
        </w:rPr>
        <w:t xml:space="preserve"> and Hydrostatic Tests general permit does not require short term projects (14 days or less) and hydrostatic testing discharges to register </w:t>
      </w:r>
      <w:r w:rsidR="00F3131C" w:rsidRPr="00ED4D86">
        <w:rPr>
          <w:rFonts w:cstheme="minorHAnsi"/>
          <w:sz w:val="20"/>
        </w:rPr>
        <w:t>to</w:t>
      </w:r>
      <w:r w:rsidRPr="00ED4D86">
        <w:rPr>
          <w:rFonts w:cstheme="minorHAnsi"/>
          <w:sz w:val="20"/>
        </w:rPr>
        <w:t xml:space="preserve"> be covered under the permit. Short term projects include emergency repairs, dewatering projects, utility work and repairs in areas of known contamination, tank placement or removal in areas of known contamination, pilot studies, pilot tests, aquifer tests and new well construction discharges of groundwater. </w:t>
      </w:r>
    </w:p>
    <w:p w14:paraId="41D98E0A" w14:textId="4295352D" w:rsidR="00E532DD" w:rsidRPr="00784A33" w:rsidRDefault="00E532DD" w:rsidP="000802A4">
      <w:pPr>
        <w:rPr>
          <w:rFonts w:cstheme="minorHAnsi"/>
          <w:szCs w:val="24"/>
        </w:rPr>
      </w:pPr>
      <w:r w:rsidRPr="00ED4D86">
        <w:rPr>
          <w:rFonts w:cstheme="minorHAnsi"/>
          <w:sz w:val="20"/>
          <w:vertAlign w:val="superscript"/>
        </w:rPr>
        <w:t xml:space="preserve">2 </w:t>
      </w:r>
      <w:r w:rsidRPr="00ED4D86">
        <w:rPr>
          <w:rFonts w:cstheme="minorHAnsi"/>
          <w:sz w:val="20"/>
        </w:rPr>
        <w:t>The VAG87 Pesticide GP does not require an operator to submit a Registration Statement to DEQ for a pesticide discharge to be authorized. Any operator that meets the eligibility requirements and applies pesticides under one of the five pesticide use patterns (Mosquito and Other Flying Insect Pest Control; Weed and Algae Pest Control; Animal Pest Control; Forest Canopy Pest Control. and Intrusive Vegetation Pest Control) in, over, or near surface waters in Virginia is automatically covered under the VAG87 GP.</w:t>
      </w:r>
      <w:r w:rsidRPr="00784A33">
        <w:rPr>
          <w:rFonts w:cstheme="minorHAnsi"/>
          <w:szCs w:val="24"/>
        </w:rPr>
        <w:t xml:space="preserve"> </w:t>
      </w:r>
      <w:r w:rsidR="000802A4">
        <w:rPr>
          <w:rFonts w:cstheme="minorHAnsi"/>
          <w:szCs w:val="24"/>
        </w:rPr>
        <w:br/>
      </w:r>
    </w:p>
    <w:p w14:paraId="522AE4D5" w14:textId="77777777" w:rsidR="00E532DD" w:rsidRPr="00784A33" w:rsidRDefault="00E532DD" w:rsidP="000802A4">
      <w:pPr>
        <w:pStyle w:val="Heading4"/>
      </w:pPr>
      <w:r w:rsidRPr="00784A33">
        <w:t>Fees for Permits and Certificates</w:t>
      </w:r>
    </w:p>
    <w:p w14:paraId="529998FE" w14:textId="0AF71B93" w:rsidR="00E532DD" w:rsidRPr="00784A33" w:rsidRDefault="00E532DD" w:rsidP="000802A4">
      <w:pPr>
        <w:rPr>
          <w:rFonts w:cstheme="minorHAnsi"/>
          <w:szCs w:val="24"/>
        </w:rPr>
      </w:pPr>
      <w:r w:rsidRPr="00784A33">
        <w:rPr>
          <w:rFonts w:cstheme="minorHAnsi"/>
          <w:szCs w:val="24"/>
        </w:rPr>
        <w:t xml:space="preserve">The 1992 General Assembly enacted Section 62.1-44.15:6 of Article 2.1 of the Code of Virginia, </w:t>
      </w:r>
      <w:r w:rsidRPr="00784A33">
        <w:rPr>
          <w:rFonts w:cstheme="minorHAnsi"/>
          <w:szCs w:val="24"/>
        </w:rPr>
        <w:lastRenderedPageBreak/>
        <w:t>which established a fee assessment and collection system for permits and certificates. In response to this action, the SWCB adopted the “Fees for Permits and Certificates” regulation, 9VAC25-20, which established fee schedules for VPDES, Virginia Pollution Abatement (VPA), Virginia Water Protection (VWP), and Surface and Ground Water Withdrawal individual and GPs, and the land application of biosolids and industrial residuals. VPDES permit fees for MS4s (both individual and general permits) and for registration under the Construction Stormwater GP (VAR10) are found in the VSMP Regulation, 9VAC25-870.</w:t>
      </w:r>
      <w:r w:rsidR="000802A4">
        <w:rPr>
          <w:rFonts w:cstheme="minorHAnsi"/>
          <w:szCs w:val="24"/>
        </w:rPr>
        <w:br/>
      </w:r>
    </w:p>
    <w:p w14:paraId="698F2B67" w14:textId="44E99CE9" w:rsidR="00E532DD" w:rsidRPr="00784A33" w:rsidRDefault="00E532DD" w:rsidP="000802A4">
      <w:pPr>
        <w:rPr>
          <w:rFonts w:cstheme="minorHAnsi"/>
          <w:szCs w:val="24"/>
        </w:rPr>
      </w:pPr>
      <w:r w:rsidRPr="00784A33">
        <w:rPr>
          <w:rFonts w:cstheme="minorHAnsi"/>
          <w:szCs w:val="24"/>
        </w:rPr>
        <w:t xml:space="preserve">The assessment of fees allows DEQ to recover a portion of the cost of processing applications for permits or certificates that DEQ has the authority to issue. In 2002, the General Assembly amended and reenacted Section 62.1-44.15:6 of the Code of Virginia. These amendments increased the existing permit fees and were intended to make the water permit program "self-funding". The fee regulation was modified to incorporate the amendments to the law, and the modification became effective on July 1, 2002. In 2004, the General Assembly again amended and reenacted Section 62.1-44.15:6 of the Code of Virginia and made the increased fees permanent. The fee regulation was modified again to incorporate the new amendments, and the changes became effective on July 1, 2004. The major change to the law and regulation was for VPDES and VPA individual permits. The reapplication fee was eliminated for these permits and replaced with an Annual Permit Maintenance Fee, payment of which is </w:t>
      </w:r>
      <w:proofErr w:type="gramStart"/>
      <w:r w:rsidRPr="00784A33">
        <w:rPr>
          <w:rFonts w:cstheme="minorHAnsi"/>
          <w:szCs w:val="24"/>
        </w:rPr>
        <w:t>due by</w:t>
      </w:r>
      <w:proofErr w:type="gramEnd"/>
      <w:r w:rsidRPr="00784A33">
        <w:rPr>
          <w:rFonts w:cstheme="minorHAnsi"/>
          <w:szCs w:val="24"/>
        </w:rPr>
        <w:t xml:space="preserve"> October 1 of each year. In 2010, the State Water Control Board adopted amendments to the Annual Permit Maintenance Fee section of the Fee Regulation to address budget changes made by the 2010 General Assembly. The new fee schedule became effective August 18, 2010, and allows for annual adjustments to the base Annual Permit Maintenance Fees based on changes to the Consumer Price Index.</w:t>
      </w:r>
      <w:r w:rsidR="000802A4">
        <w:rPr>
          <w:rFonts w:cstheme="minorHAnsi"/>
          <w:szCs w:val="24"/>
        </w:rPr>
        <w:br/>
      </w:r>
    </w:p>
    <w:p w14:paraId="3480F42C" w14:textId="77777777" w:rsidR="00E532DD" w:rsidRPr="00784A33" w:rsidRDefault="00E532DD" w:rsidP="000802A4">
      <w:pPr>
        <w:rPr>
          <w:rFonts w:cstheme="minorHAnsi"/>
          <w:szCs w:val="24"/>
        </w:rPr>
      </w:pPr>
      <w:r w:rsidRPr="00784A33">
        <w:rPr>
          <w:rFonts w:cstheme="minorHAnsi"/>
          <w:szCs w:val="24"/>
        </w:rPr>
        <w:t>Agricultural operations and maintenance dredging for federal navigation channels are exempt from payment of permit fees. In addition, there are no fees for filing for coverage under the following GPs:</w:t>
      </w:r>
    </w:p>
    <w:p w14:paraId="52240916" w14:textId="227503DD" w:rsidR="00E532DD" w:rsidRPr="00784A33" w:rsidRDefault="00E532DD">
      <w:pPr>
        <w:pStyle w:val="ListParagraph"/>
        <w:widowControl/>
        <w:numPr>
          <w:ilvl w:val="0"/>
          <w:numId w:val="20"/>
        </w:numPr>
        <w:spacing w:after="0"/>
        <w:rPr>
          <w:rFonts w:cstheme="minorHAnsi"/>
          <w:szCs w:val="24"/>
        </w:rPr>
      </w:pPr>
      <w:r w:rsidRPr="00784A33">
        <w:rPr>
          <w:rFonts w:cstheme="minorHAnsi"/>
          <w:szCs w:val="24"/>
        </w:rPr>
        <w:t>VPDES General Permit for Domestic Discharges of Less Than or Equal to 1,000 GPD (VAG40)</w:t>
      </w:r>
    </w:p>
    <w:p w14:paraId="4B7D674F" w14:textId="39234DAA" w:rsidR="00E532DD" w:rsidRPr="00784A33" w:rsidRDefault="00E532DD">
      <w:pPr>
        <w:pStyle w:val="ListParagraph"/>
        <w:widowControl/>
        <w:numPr>
          <w:ilvl w:val="0"/>
          <w:numId w:val="20"/>
        </w:numPr>
        <w:spacing w:after="0"/>
        <w:rPr>
          <w:rFonts w:cstheme="minorHAnsi"/>
          <w:szCs w:val="24"/>
        </w:rPr>
      </w:pPr>
      <w:r w:rsidRPr="00784A33">
        <w:rPr>
          <w:rFonts w:cstheme="minorHAnsi"/>
          <w:szCs w:val="24"/>
        </w:rPr>
        <w:t xml:space="preserve">VPDES General Permit for </w:t>
      </w:r>
      <w:r w:rsidR="00F974B1">
        <w:rPr>
          <w:rFonts w:cstheme="minorHAnsi"/>
          <w:szCs w:val="24"/>
        </w:rPr>
        <w:t xml:space="preserve">Remediation if </w:t>
      </w:r>
      <w:r w:rsidR="00812AAC">
        <w:rPr>
          <w:rFonts w:cstheme="minorHAnsi"/>
          <w:szCs w:val="24"/>
        </w:rPr>
        <w:t>Contaminated</w:t>
      </w:r>
      <w:r w:rsidR="00F974B1">
        <w:rPr>
          <w:rFonts w:cstheme="minorHAnsi"/>
          <w:szCs w:val="24"/>
        </w:rPr>
        <w:t xml:space="preserve"> Sites </w:t>
      </w:r>
      <w:r w:rsidRPr="00784A33">
        <w:rPr>
          <w:rFonts w:cstheme="minorHAnsi"/>
          <w:szCs w:val="24"/>
        </w:rPr>
        <w:t>and Hydrostatic Tests (VAG83)</w:t>
      </w:r>
    </w:p>
    <w:p w14:paraId="24F12522" w14:textId="77777777" w:rsidR="00E532DD" w:rsidRPr="00784A33" w:rsidRDefault="00E532DD">
      <w:pPr>
        <w:pStyle w:val="ListParagraph"/>
        <w:widowControl/>
        <w:numPr>
          <w:ilvl w:val="0"/>
          <w:numId w:val="20"/>
        </w:numPr>
        <w:spacing w:after="0"/>
        <w:rPr>
          <w:rFonts w:cstheme="minorHAnsi"/>
          <w:szCs w:val="24"/>
        </w:rPr>
      </w:pPr>
      <w:r w:rsidRPr="00784A33">
        <w:rPr>
          <w:rFonts w:cstheme="minorHAnsi"/>
          <w:szCs w:val="24"/>
        </w:rPr>
        <w:t>VPDES General Permit for Discharges Resulting from the Application of Pesticides to Surface Waters (VAG87)</w:t>
      </w:r>
    </w:p>
    <w:p w14:paraId="522A3E40" w14:textId="77777777" w:rsidR="00E532DD" w:rsidRPr="00784A33" w:rsidRDefault="00E532DD">
      <w:pPr>
        <w:pStyle w:val="ListParagraph"/>
        <w:widowControl/>
        <w:numPr>
          <w:ilvl w:val="0"/>
          <w:numId w:val="20"/>
        </w:numPr>
        <w:spacing w:after="0"/>
        <w:rPr>
          <w:rFonts w:cstheme="minorHAnsi"/>
          <w:szCs w:val="24"/>
        </w:rPr>
      </w:pPr>
      <w:r w:rsidRPr="00784A33">
        <w:rPr>
          <w:rFonts w:cstheme="minorHAnsi"/>
          <w:szCs w:val="24"/>
        </w:rPr>
        <w:t>VPA General Permit for Pollutant Management Activities for Animal Feeding Operations and Animal Waste Management (VPG1)</w:t>
      </w:r>
    </w:p>
    <w:p w14:paraId="39A3003B" w14:textId="1CF51811" w:rsidR="00E532DD" w:rsidRPr="00784A33" w:rsidRDefault="00E532DD">
      <w:pPr>
        <w:pStyle w:val="ListParagraph"/>
        <w:widowControl/>
        <w:numPr>
          <w:ilvl w:val="0"/>
          <w:numId w:val="20"/>
        </w:numPr>
        <w:spacing w:after="0"/>
        <w:rPr>
          <w:rFonts w:cstheme="minorHAnsi"/>
          <w:szCs w:val="24"/>
        </w:rPr>
      </w:pPr>
      <w:r w:rsidRPr="00784A33">
        <w:rPr>
          <w:rFonts w:cstheme="minorHAnsi"/>
          <w:szCs w:val="24"/>
        </w:rPr>
        <w:t>VPA General Permit for Poultry Waste Management (VPG2)</w:t>
      </w:r>
    </w:p>
    <w:p w14:paraId="3D4CAF40" w14:textId="36927A91" w:rsidR="00E532DD" w:rsidRPr="00784A33" w:rsidRDefault="00E532DD">
      <w:pPr>
        <w:pStyle w:val="ListParagraph"/>
        <w:widowControl/>
        <w:numPr>
          <w:ilvl w:val="0"/>
          <w:numId w:val="20"/>
        </w:numPr>
        <w:spacing w:after="0"/>
        <w:rPr>
          <w:rFonts w:cstheme="minorHAnsi"/>
          <w:szCs w:val="24"/>
        </w:rPr>
      </w:pPr>
      <w:r w:rsidRPr="00784A33">
        <w:rPr>
          <w:rFonts w:cstheme="minorHAnsi"/>
          <w:szCs w:val="24"/>
        </w:rPr>
        <w:t>VWP General Permit for Surface Water Impact (Wetlands, Streams and/or Open Water) of Less than 4,356 sq. ft. (1/10 acre)</w:t>
      </w:r>
      <w:r w:rsidR="000802A4">
        <w:rPr>
          <w:rFonts w:cstheme="minorHAnsi"/>
          <w:szCs w:val="24"/>
        </w:rPr>
        <w:br/>
      </w:r>
    </w:p>
    <w:p w14:paraId="41EBFF98" w14:textId="09B8FBC4" w:rsidR="00E532DD" w:rsidRPr="00784A33" w:rsidRDefault="00E532DD" w:rsidP="000802A4">
      <w:pPr>
        <w:rPr>
          <w:rFonts w:cstheme="minorHAnsi"/>
          <w:szCs w:val="24"/>
        </w:rPr>
      </w:pPr>
      <w:r w:rsidRPr="00784A33">
        <w:rPr>
          <w:rFonts w:cstheme="minorHAnsi"/>
          <w:szCs w:val="24"/>
        </w:rPr>
        <w:t xml:space="preserve">Application fees for all other VPDES permits range from $500 for an Industrial Stormwater general permit to $24,000 for a VPDES “Industrial Major” permit. Fees also apply to major permit modifications requested by a permit or certificate holder. Participants in the Virginia </w:t>
      </w:r>
      <w:r w:rsidRPr="00784A33">
        <w:rPr>
          <w:rFonts w:cstheme="minorHAnsi"/>
          <w:szCs w:val="24"/>
        </w:rPr>
        <w:lastRenderedPageBreak/>
        <w:t xml:space="preserve">Environmental Excellence Program (VEEP) may be eligible for discounted Annual Permit Maintenance Fees based on their VEEP level of participation and other criteria. </w:t>
      </w:r>
      <w:r w:rsidR="000802A4">
        <w:rPr>
          <w:rFonts w:cstheme="minorHAnsi"/>
          <w:szCs w:val="24"/>
        </w:rPr>
        <w:br/>
      </w:r>
    </w:p>
    <w:p w14:paraId="15B93FCA" w14:textId="77777777" w:rsidR="00E532DD" w:rsidRPr="00784A33" w:rsidRDefault="00E532DD" w:rsidP="00C80F8F">
      <w:pPr>
        <w:pStyle w:val="Heading4"/>
      </w:pPr>
      <w:r w:rsidRPr="00784A33">
        <w:t>Whole Effluent Toxicity Program</w:t>
      </w:r>
    </w:p>
    <w:p w14:paraId="7ED0EC7D" w14:textId="77777777" w:rsidR="00E532DD" w:rsidRPr="00784A33" w:rsidRDefault="00E532DD" w:rsidP="00C80F8F">
      <w:pPr>
        <w:pStyle w:val="BodyText"/>
        <w:spacing w:after="0"/>
        <w:rPr>
          <w:rFonts w:cstheme="minorHAnsi"/>
          <w:szCs w:val="24"/>
        </w:rPr>
      </w:pPr>
      <w:r w:rsidRPr="00784A33">
        <w:rPr>
          <w:rFonts w:cstheme="minorHAnsi"/>
          <w:szCs w:val="24"/>
        </w:rPr>
        <w:t xml:space="preserve">Requirements to monitor for the aggregate toxicity effect of pollutants present in a discharge are included in VPDES individual permits as special conditions, or as General Permit application submittal requirements. DEQ’s Whole Effluent Toxicity (WET) Program originated in the early 1980’s. The aim of the program is to involve all industrial and municipal VPDES permit holders that potentially discharge toxic pollutants into a systematic program of biological testing. The </w:t>
      </w:r>
      <w:proofErr w:type="gramStart"/>
      <w:r w:rsidRPr="00784A33">
        <w:rPr>
          <w:rFonts w:cstheme="minorHAnsi"/>
          <w:szCs w:val="24"/>
        </w:rPr>
        <w:t>testing</w:t>
      </w:r>
      <w:proofErr w:type="gramEnd"/>
      <w:r w:rsidRPr="00784A33">
        <w:rPr>
          <w:rFonts w:cstheme="minorHAnsi"/>
          <w:szCs w:val="24"/>
        </w:rPr>
        <w:t xml:space="preserve"> is designed to identify wastewater discharges that are toxic to aquatic life.</w:t>
      </w:r>
    </w:p>
    <w:p w14:paraId="300D7BE2" w14:textId="73E7C6F4" w:rsidR="00E532DD" w:rsidRPr="00784A33" w:rsidRDefault="00E532DD" w:rsidP="007F6038">
      <w:pPr>
        <w:pStyle w:val="BodyText"/>
        <w:spacing w:after="0"/>
        <w:rPr>
          <w:rFonts w:cstheme="minorHAnsi"/>
          <w:szCs w:val="24"/>
        </w:rPr>
      </w:pPr>
      <w:r w:rsidRPr="00784A33">
        <w:rPr>
          <w:rFonts w:cstheme="minorHAnsi"/>
          <w:color w:val="000000"/>
          <w:szCs w:val="24"/>
        </w:rPr>
        <w:t xml:space="preserve">The need for WET testing is determined at the time of permit issuance, reissuance, or modification, using information provided by the permittee as part of the VPDES permit application, as well as additional data generated by DEQ or other sources. Generally, WET special conditions include acute and chronic toxicity testing using vertebrate and invertebrate species. The duration of testing may be based on </w:t>
      </w:r>
      <w:r w:rsidR="00C80F8F" w:rsidRPr="00784A33">
        <w:rPr>
          <w:rFonts w:cstheme="minorHAnsi"/>
          <w:color w:val="000000"/>
          <w:szCs w:val="24"/>
        </w:rPr>
        <w:t>a period</w:t>
      </w:r>
      <w:r w:rsidRPr="00784A33">
        <w:rPr>
          <w:rFonts w:cstheme="minorHAnsi"/>
          <w:color w:val="000000"/>
          <w:szCs w:val="24"/>
        </w:rPr>
        <w:t xml:space="preserve"> with a regular frequency, an event prior to discharge, or until a certain number of tests have been performed. The WET data generated for a particular outfall are evaluated </w:t>
      </w:r>
      <w:proofErr w:type="gramStart"/>
      <w:r w:rsidRPr="00784A33">
        <w:rPr>
          <w:rFonts w:cstheme="minorHAnsi"/>
          <w:color w:val="000000"/>
          <w:szCs w:val="24"/>
        </w:rPr>
        <w:t>for</w:t>
      </w:r>
      <w:proofErr w:type="gramEnd"/>
      <w:r w:rsidRPr="00784A33">
        <w:rPr>
          <w:rFonts w:cstheme="minorHAnsi"/>
          <w:color w:val="000000"/>
          <w:szCs w:val="24"/>
        </w:rPr>
        <w:t xml:space="preserve"> reasonable potential for toxicity. If the data </w:t>
      </w:r>
      <w:proofErr w:type="gramStart"/>
      <w:r w:rsidRPr="00784A33">
        <w:rPr>
          <w:rFonts w:cstheme="minorHAnsi"/>
          <w:color w:val="000000"/>
          <w:szCs w:val="24"/>
        </w:rPr>
        <w:t>do</w:t>
      </w:r>
      <w:proofErr w:type="gramEnd"/>
      <w:r w:rsidRPr="00784A33">
        <w:rPr>
          <w:rFonts w:cstheme="minorHAnsi"/>
          <w:color w:val="000000"/>
          <w:szCs w:val="24"/>
        </w:rPr>
        <w:t xml:space="preserve"> not show reasonable potential, the permittee may continue biological testing at a reduc</w:t>
      </w:r>
      <w:r w:rsidRPr="00784A33">
        <w:rPr>
          <w:rFonts w:cstheme="minorHAnsi"/>
          <w:szCs w:val="24"/>
        </w:rPr>
        <w:t>ed frequency. However, if the data show reasonable potential, a WET numeric effluent limit is developed and put into the permit with a compliance schedule.</w:t>
      </w:r>
      <w:r w:rsidR="00C80F8F">
        <w:rPr>
          <w:rFonts w:cstheme="minorHAnsi"/>
          <w:szCs w:val="24"/>
        </w:rPr>
        <w:br/>
      </w:r>
    </w:p>
    <w:p w14:paraId="10566C57" w14:textId="77777777" w:rsidR="00E532DD" w:rsidRPr="00784A33" w:rsidRDefault="00E532DD" w:rsidP="007F6038">
      <w:pPr>
        <w:pStyle w:val="Heading4"/>
      </w:pPr>
      <w:r w:rsidRPr="00784A33">
        <w:t>Pretreatment Program</w:t>
      </w:r>
    </w:p>
    <w:p w14:paraId="5E86F3E9" w14:textId="1DC86D16" w:rsidR="00E532DD" w:rsidRPr="00784A33" w:rsidRDefault="00E532DD" w:rsidP="00C80F8F">
      <w:pPr>
        <w:pStyle w:val="BodyText"/>
        <w:spacing w:after="0"/>
        <w:rPr>
          <w:rFonts w:cstheme="minorHAnsi"/>
          <w:color w:val="000000"/>
          <w:szCs w:val="24"/>
        </w:rPr>
      </w:pPr>
      <w:r w:rsidRPr="00784A33">
        <w:rPr>
          <w:rFonts w:cstheme="minorHAnsi"/>
          <w:color w:val="000000"/>
          <w:szCs w:val="24"/>
        </w:rPr>
        <w:t xml:space="preserve">Virginia’s Industrial Pretreatment Program controls industrial discharges to Publicly Owned Treatment Works (POTWs). Municipal sewage treatment plants are usually not designed to treat toxic industrial </w:t>
      </w:r>
      <w:proofErr w:type="gramStart"/>
      <w:r w:rsidRPr="00784A33">
        <w:rPr>
          <w:rFonts w:cstheme="minorHAnsi"/>
          <w:color w:val="000000"/>
          <w:szCs w:val="24"/>
        </w:rPr>
        <w:t>wastes</w:t>
      </w:r>
      <w:proofErr w:type="gramEnd"/>
      <w:r w:rsidRPr="00784A33">
        <w:rPr>
          <w:rFonts w:cstheme="minorHAnsi"/>
          <w:color w:val="000000"/>
          <w:szCs w:val="24"/>
        </w:rPr>
        <w:t xml:space="preserve">. Such </w:t>
      </w:r>
      <w:proofErr w:type="gramStart"/>
      <w:r w:rsidRPr="00784A33">
        <w:rPr>
          <w:rFonts w:cstheme="minorHAnsi"/>
          <w:color w:val="000000"/>
          <w:szCs w:val="24"/>
        </w:rPr>
        <w:t>wastes</w:t>
      </w:r>
      <w:proofErr w:type="gramEnd"/>
      <w:r w:rsidRPr="00784A33">
        <w:rPr>
          <w:rFonts w:cstheme="minorHAnsi"/>
          <w:color w:val="000000"/>
          <w:szCs w:val="24"/>
        </w:rPr>
        <w:t xml:space="preserve"> may interfere with the plant’s biological treatment processes, pass through </w:t>
      </w:r>
      <w:proofErr w:type="gramStart"/>
      <w:r w:rsidRPr="00784A33">
        <w:rPr>
          <w:rFonts w:cstheme="minorHAnsi"/>
          <w:color w:val="000000"/>
          <w:szCs w:val="24"/>
        </w:rPr>
        <w:t>untreated into receiving</w:t>
      </w:r>
      <w:proofErr w:type="gramEnd"/>
      <w:r w:rsidRPr="00784A33">
        <w:rPr>
          <w:rFonts w:cstheme="minorHAnsi"/>
          <w:color w:val="000000"/>
          <w:szCs w:val="24"/>
        </w:rPr>
        <w:t xml:space="preserve"> waters or contaminate POTW sludge to the extent that lawful disposal is precluded. POTWs with industrial contributors may be required to develop a Pretreatment Program and become the Control Authority. EPA delegated oversight and regulation of the POTW pretreatment programs to DEQ on April 14, 1989.</w:t>
      </w:r>
      <w:r w:rsidR="00C0052A">
        <w:rPr>
          <w:rFonts w:cstheme="minorHAnsi"/>
          <w:color w:val="000000"/>
          <w:szCs w:val="24"/>
        </w:rPr>
        <w:br/>
      </w:r>
    </w:p>
    <w:p w14:paraId="7A481539" w14:textId="369B27F6" w:rsidR="00E532DD" w:rsidRPr="00784A33" w:rsidRDefault="00E532DD" w:rsidP="00C80F8F">
      <w:pPr>
        <w:pStyle w:val="BodyText"/>
        <w:spacing w:after="0"/>
        <w:rPr>
          <w:rFonts w:cstheme="minorHAnsi"/>
          <w:szCs w:val="24"/>
        </w:rPr>
      </w:pPr>
      <w:r w:rsidRPr="00784A33">
        <w:rPr>
          <w:rFonts w:cstheme="minorHAnsi"/>
          <w:szCs w:val="24"/>
        </w:rPr>
        <w:t>Standards imposed on industrial users include general standards, prohibitive discharge standards, categorical standards, and local limits developed by POTWs. General standards are narrative prohibitions against pass-through and interference and are applicable to all industrial users. Prohibitive discharge standards are also applicable to all industrial users and include limitations on parameters such as pH and temperature, measured in industrial discharges. Categorical standards are federal technology-based standards developed for certain categories of industries discharging to POTWs. In addition, POTWs are required to develop local limits for substances that have the potential to cause interference with treatment or pass through in toxic amounts to receiving waters.</w:t>
      </w:r>
      <w:r w:rsidR="00C0052A">
        <w:rPr>
          <w:rFonts w:cstheme="minorHAnsi"/>
          <w:szCs w:val="24"/>
        </w:rPr>
        <w:br/>
      </w:r>
    </w:p>
    <w:p w14:paraId="3A6314E8" w14:textId="7958E86C" w:rsidR="00E532DD" w:rsidRPr="00784A33" w:rsidRDefault="00E532DD" w:rsidP="00C0052A">
      <w:pPr>
        <w:pStyle w:val="BodyText"/>
        <w:spacing w:after="0"/>
        <w:rPr>
          <w:rFonts w:cstheme="minorHAnsi"/>
          <w:szCs w:val="24"/>
        </w:rPr>
      </w:pPr>
      <w:r w:rsidRPr="00784A33">
        <w:rPr>
          <w:rFonts w:cstheme="minorHAnsi"/>
          <w:szCs w:val="24"/>
        </w:rPr>
        <w:t>Pretreatment facilities are controlled through municipal ordinances and are required to self-monitor and report biennially to the municipality, which reports to DEQ.</w:t>
      </w:r>
      <w:r w:rsidR="00C0052A">
        <w:rPr>
          <w:rFonts w:cstheme="minorHAnsi"/>
          <w:szCs w:val="24"/>
        </w:rPr>
        <w:br/>
      </w:r>
    </w:p>
    <w:p w14:paraId="0625E306" w14:textId="77777777" w:rsidR="00E532DD" w:rsidRPr="00784A33" w:rsidRDefault="00E532DD" w:rsidP="007F6038">
      <w:pPr>
        <w:pStyle w:val="Heading4"/>
      </w:pPr>
      <w:r w:rsidRPr="00784A33">
        <w:lastRenderedPageBreak/>
        <w:t>The Virginia Compliance Auditing System</w:t>
      </w:r>
    </w:p>
    <w:p w14:paraId="76830F61" w14:textId="06BE0300" w:rsidR="00E532DD" w:rsidRPr="00784A33" w:rsidRDefault="00E532DD" w:rsidP="00C0052A">
      <w:pPr>
        <w:pStyle w:val="BodyText"/>
        <w:spacing w:after="0"/>
        <w:rPr>
          <w:rFonts w:cstheme="minorHAnsi"/>
          <w:szCs w:val="24"/>
        </w:rPr>
      </w:pPr>
      <w:r w:rsidRPr="00784A33">
        <w:rPr>
          <w:rFonts w:cstheme="minorHAnsi"/>
          <w:szCs w:val="24"/>
        </w:rPr>
        <w:t xml:space="preserve">DEQ monitors the performance of municipal and industrial dischargers through a computerized compliance auditing system. Under the VPDES permit program, major facilities are required to submit monthly plant performance reports based upon self-monitoring of the parameters listed in the discharge permit. Facilities authorized to discharge under individual VPDES permits report on an individually assigned frequency. These discharge-monitoring reports (DMRs) indicate the quality of plant </w:t>
      </w:r>
      <w:proofErr w:type="gramStart"/>
      <w:r w:rsidRPr="00784A33">
        <w:rPr>
          <w:rFonts w:cstheme="minorHAnsi"/>
          <w:szCs w:val="24"/>
        </w:rPr>
        <w:t>effluent</w:t>
      </w:r>
      <w:proofErr w:type="gramEnd"/>
      <w:r w:rsidRPr="00784A33">
        <w:rPr>
          <w:rFonts w:cstheme="minorHAnsi"/>
          <w:szCs w:val="24"/>
        </w:rPr>
        <w:t xml:space="preserve"> and whether any bypasses have occurred. Data from DMRs are electronically transferred or manually entered by the regional offices into DEQ's Comprehensive Environmental Data System (CEDS), which compares all parameters to permit limits or other permit conditions, or other orders to detect any violations.</w:t>
      </w:r>
      <w:r w:rsidR="00C0052A">
        <w:rPr>
          <w:rFonts w:cstheme="minorHAnsi"/>
          <w:szCs w:val="24"/>
        </w:rPr>
        <w:br/>
      </w:r>
    </w:p>
    <w:p w14:paraId="1CF1F0E7" w14:textId="196657C1" w:rsidR="00E532DD" w:rsidRPr="00784A33" w:rsidRDefault="00E532DD" w:rsidP="00C0052A">
      <w:pPr>
        <w:pStyle w:val="BodyText"/>
        <w:spacing w:after="0"/>
        <w:rPr>
          <w:rFonts w:cstheme="minorHAnsi"/>
          <w:szCs w:val="24"/>
        </w:rPr>
      </w:pPr>
      <w:r w:rsidRPr="00784A33">
        <w:rPr>
          <w:rFonts w:cstheme="minorHAnsi"/>
          <w:szCs w:val="24"/>
        </w:rPr>
        <w:t xml:space="preserve">When a permit or other enforceable requirement is not met, it is observed through CEDS, the system assesses weighting points according to the severity and frequency of the exceedance(s). In addition to the automatic detection of effluent exceedances through CEDS, compliance schedules, as well as other required due dates both in permits and enforcement actions, are also tracked through CEDS. Weighting points are also assigned for single event alleged violations reported to DEQ by permittees, the public or other sources. All weighting point values </w:t>
      </w:r>
      <w:proofErr w:type="gramStart"/>
      <w:r w:rsidRPr="00784A33">
        <w:rPr>
          <w:rFonts w:cstheme="minorHAnsi"/>
          <w:szCs w:val="24"/>
        </w:rPr>
        <w:t>are</w:t>
      </w:r>
      <w:proofErr w:type="gramEnd"/>
      <w:r w:rsidRPr="00784A33">
        <w:rPr>
          <w:rFonts w:cstheme="minorHAnsi"/>
          <w:szCs w:val="24"/>
        </w:rPr>
        <w:t xml:space="preserve"> assessed and tallied for the previous six months. When accumulated values exceed specified limits, or any time an alleged violation is observed which is determined to cause environmental harm, enforcement action may be initiated. Additional enforcement activity may result from problems discovered during on-site inspections.</w:t>
      </w:r>
      <w:r w:rsidR="00C0052A">
        <w:rPr>
          <w:rFonts w:cstheme="minorHAnsi"/>
          <w:szCs w:val="24"/>
        </w:rPr>
        <w:br/>
      </w:r>
    </w:p>
    <w:p w14:paraId="08B3A0B8" w14:textId="1176ED40" w:rsidR="00E532DD" w:rsidRPr="00784A33" w:rsidRDefault="00E532DD" w:rsidP="00C0052A">
      <w:pPr>
        <w:pStyle w:val="BodyText"/>
        <w:spacing w:after="0"/>
        <w:rPr>
          <w:rFonts w:cstheme="minorHAnsi"/>
          <w:szCs w:val="24"/>
        </w:rPr>
      </w:pPr>
      <w:r w:rsidRPr="00784A33">
        <w:rPr>
          <w:rFonts w:cstheme="minorHAnsi"/>
          <w:szCs w:val="24"/>
        </w:rPr>
        <w:t xml:space="preserve">The accumulated records of weighting point values are used as a tool to aid objective focus when determining appropriate enforcement activity. The program also ensures that permittees are fully aware of problems as they develop and have an opportunity to improve treatment </w:t>
      </w:r>
      <w:r w:rsidR="00C0052A" w:rsidRPr="00784A33">
        <w:rPr>
          <w:rFonts w:cstheme="minorHAnsi"/>
          <w:szCs w:val="24"/>
        </w:rPr>
        <w:t>to</w:t>
      </w:r>
      <w:r w:rsidRPr="00784A33">
        <w:rPr>
          <w:rFonts w:cstheme="minorHAnsi"/>
          <w:szCs w:val="24"/>
        </w:rPr>
        <w:t xml:space="preserve"> maintain compliance.</w:t>
      </w:r>
      <w:r w:rsidR="00C0052A">
        <w:rPr>
          <w:rFonts w:cstheme="minorHAnsi"/>
          <w:szCs w:val="24"/>
        </w:rPr>
        <w:br/>
      </w:r>
    </w:p>
    <w:p w14:paraId="6E295B4D" w14:textId="77777777" w:rsidR="00E532DD" w:rsidRPr="00784A33" w:rsidRDefault="00E532DD" w:rsidP="007F6038">
      <w:pPr>
        <w:pStyle w:val="Heading4"/>
      </w:pPr>
      <w:r w:rsidRPr="00784A33">
        <w:t xml:space="preserve">Virginia Pollution Abatement Permits </w:t>
      </w:r>
    </w:p>
    <w:p w14:paraId="43A09C79" w14:textId="4285D7E1" w:rsidR="00E532DD" w:rsidRDefault="00E532DD" w:rsidP="007F6038">
      <w:pPr>
        <w:pStyle w:val="BodyText"/>
        <w:spacing w:after="0"/>
        <w:rPr>
          <w:rFonts w:cstheme="minorHAnsi"/>
          <w:szCs w:val="24"/>
        </w:rPr>
      </w:pPr>
      <w:r w:rsidRPr="00784A33">
        <w:rPr>
          <w:rFonts w:cstheme="minorHAnsi"/>
          <w:szCs w:val="24"/>
        </w:rPr>
        <w:t>A Virginia Pollution Abatement (VPA) Permit may be issued by DEQ whenever an owner handles waste or wastewater in a manner that does not involve discharging to a sewage treatment facility or to state waters pursuant to a valid VPDES permit. The Virginia Pollution Abatement Permit Regulation (9 VAC 25-32) was adopted in 1996. Pollution abatement facilities approved through the VPA permit program may include pits, ponds, and lagoons for waste storage, treatment, or recycling. Permits are also required for the land application and distribution and marketing of biosolids, land application of certain industrial wastes, and on-site facilities, such as land treatment systems. The basis for approval for such systems includes assurance that waste or wastewater will not discharge directly into state surface waters except under prescribed extreme rainfall conditions, and for protection of ground water quality.</w:t>
      </w:r>
    </w:p>
    <w:p w14:paraId="5D028D34" w14:textId="77777777" w:rsidR="00320909" w:rsidRPr="00784A33" w:rsidRDefault="00320909" w:rsidP="007F6038">
      <w:pPr>
        <w:pStyle w:val="BodyText"/>
        <w:spacing w:after="0"/>
        <w:rPr>
          <w:rFonts w:cstheme="minorHAnsi"/>
          <w:szCs w:val="24"/>
        </w:rPr>
      </w:pPr>
    </w:p>
    <w:p w14:paraId="039F9F68" w14:textId="30382AAA" w:rsidR="00E532DD" w:rsidRPr="00784A33" w:rsidRDefault="00E532DD" w:rsidP="00C0052A">
      <w:pPr>
        <w:pStyle w:val="BodyText"/>
        <w:spacing w:after="0"/>
        <w:rPr>
          <w:rFonts w:cstheme="minorHAnsi"/>
          <w:szCs w:val="24"/>
        </w:rPr>
      </w:pPr>
      <w:r w:rsidRPr="00784A33">
        <w:rPr>
          <w:rFonts w:cstheme="minorHAnsi"/>
          <w:szCs w:val="24"/>
        </w:rPr>
        <w:t xml:space="preserve">To address and gauge compliance with the state’s groundwater standards, whenever pits, ponds, lagoons, and/or land treatment is part of a proposed or VPA-permitted facility, a ground water monitoring program may be required as part of, or prior to, receiving approval for a VPA permit. Land application is a no-discharge alternative to conventional discharging systems. Land </w:t>
      </w:r>
      <w:r w:rsidRPr="00784A33">
        <w:rPr>
          <w:rFonts w:cstheme="minorHAnsi"/>
          <w:szCs w:val="24"/>
        </w:rPr>
        <w:lastRenderedPageBreak/>
        <w:t>treatment is frequently a cost-effective alternative to direct discharge to surface waters and can be a technically sound means of waste or wastewater utilization.</w:t>
      </w:r>
      <w:r w:rsidR="00C0052A">
        <w:rPr>
          <w:rFonts w:cstheme="minorHAnsi"/>
          <w:szCs w:val="24"/>
        </w:rPr>
        <w:br/>
      </w:r>
    </w:p>
    <w:p w14:paraId="1DB31D45" w14:textId="77777777" w:rsidR="00E532DD" w:rsidRPr="00784A33" w:rsidRDefault="00E532DD" w:rsidP="00C0052A">
      <w:pPr>
        <w:pStyle w:val="Heading4"/>
      </w:pPr>
      <w:r w:rsidRPr="00784A33">
        <w:t>Biosolids</w:t>
      </w:r>
    </w:p>
    <w:p w14:paraId="7B76944A" w14:textId="65E511DC" w:rsidR="00E532DD" w:rsidRPr="00784A33" w:rsidRDefault="00E532DD" w:rsidP="007F6038">
      <w:pPr>
        <w:pStyle w:val="BodyText"/>
        <w:spacing w:after="0"/>
        <w:rPr>
          <w:rFonts w:cstheme="minorHAnsi"/>
          <w:szCs w:val="24"/>
        </w:rPr>
      </w:pPr>
      <w:r w:rsidRPr="00784A33">
        <w:rPr>
          <w:rFonts w:cstheme="minorHAnsi"/>
          <w:szCs w:val="24"/>
        </w:rPr>
        <w:t>Prior to 1994, DEQ administered the regulatory program for biosolids (treated sewage sludge). The Virginia Department of Health (VDH) administered the program from 1994-2007. In 2008, DEQ once again assumed regulatory oversight at the direction of the 2007 Virginia General Assembly. Virginia State Water Control Law now requires that any person that land applies or distributes and markets biosolids (treated sewage sludge) in Virginia must obtain either a VPDES or VPA permit.</w:t>
      </w:r>
      <w:r w:rsidR="00C0052A">
        <w:rPr>
          <w:rFonts w:cstheme="minorHAnsi"/>
          <w:szCs w:val="24"/>
        </w:rPr>
        <w:br/>
      </w:r>
    </w:p>
    <w:p w14:paraId="0F23CBE1" w14:textId="7DA60C03" w:rsidR="00E532DD" w:rsidRPr="00784A33" w:rsidRDefault="00E532DD" w:rsidP="00C0052A">
      <w:pPr>
        <w:pStyle w:val="BodyText"/>
        <w:spacing w:after="0"/>
        <w:rPr>
          <w:rFonts w:cstheme="minorHAnsi"/>
          <w:szCs w:val="24"/>
        </w:rPr>
      </w:pPr>
      <w:r w:rsidRPr="00784A33">
        <w:rPr>
          <w:rFonts w:cstheme="minorHAnsi"/>
          <w:szCs w:val="24"/>
        </w:rPr>
        <w:t xml:space="preserve">Wastewater treatment plants that land apply biosolids may do so under the authorization of their VPDES discharge permit, may obtain a separate VPA permit, or may contract with a land applier that holds a VPA permit. All biosolids permits require that biosolids meet minimum requirements for pathogen reduction, vector attraction reduction, and pollutant concentrations. Permits require the implementation of a nutrient management plan (NMP) written to the standards and criteria established by the Virginia Department of Conservation and Recreation. NMPs require that land application rates be limited by nitrogen in all cases, and phosphorus where soil test levels exceed certain thresholds. Permits include mandatory setbacks from </w:t>
      </w:r>
      <w:r w:rsidR="000461BF" w:rsidRPr="00784A33">
        <w:rPr>
          <w:rFonts w:cstheme="minorHAnsi"/>
          <w:szCs w:val="24"/>
        </w:rPr>
        <w:t>several</w:t>
      </w:r>
      <w:r w:rsidRPr="00784A33">
        <w:rPr>
          <w:rFonts w:cstheme="minorHAnsi"/>
          <w:szCs w:val="24"/>
        </w:rPr>
        <w:t xml:space="preserve"> geographic features such as surface water, wells, and springs, as well as homes and property lines.</w:t>
      </w:r>
      <w:r w:rsidR="00C0052A">
        <w:rPr>
          <w:rFonts w:cstheme="minorHAnsi"/>
          <w:szCs w:val="24"/>
        </w:rPr>
        <w:br/>
      </w:r>
    </w:p>
    <w:p w14:paraId="6B5126EA" w14:textId="15FD41CE" w:rsidR="00E532DD" w:rsidRPr="00784A33" w:rsidRDefault="00E532DD" w:rsidP="00C0052A">
      <w:pPr>
        <w:pStyle w:val="BodyText"/>
        <w:spacing w:after="0"/>
        <w:rPr>
          <w:rFonts w:cstheme="minorHAnsi"/>
          <w:szCs w:val="24"/>
        </w:rPr>
      </w:pPr>
      <w:r w:rsidRPr="00784A33">
        <w:rPr>
          <w:rFonts w:cstheme="minorHAnsi"/>
          <w:szCs w:val="24"/>
        </w:rPr>
        <w:t xml:space="preserve">DEQ also administers a training and certification program for </w:t>
      </w:r>
      <w:proofErr w:type="gramStart"/>
      <w:r w:rsidRPr="00784A33">
        <w:rPr>
          <w:rFonts w:cstheme="minorHAnsi"/>
          <w:szCs w:val="24"/>
        </w:rPr>
        <w:t>persons</w:t>
      </w:r>
      <w:proofErr w:type="gramEnd"/>
      <w:r w:rsidRPr="00784A33">
        <w:rPr>
          <w:rFonts w:cstheme="minorHAnsi"/>
          <w:szCs w:val="24"/>
        </w:rPr>
        <w:t xml:space="preserve"> that land apply biosolids. DEQ coordinates with VDH regarding public health concerns. Only biosolids that meet stricter pathogen reduction criteria may be distributed and marketed in Virginia.</w:t>
      </w:r>
      <w:r w:rsidR="00C0052A">
        <w:rPr>
          <w:rFonts w:cstheme="minorHAnsi"/>
          <w:szCs w:val="24"/>
        </w:rPr>
        <w:br/>
      </w:r>
    </w:p>
    <w:p w14:paraId="234ED758" w14:textId="77777777" w:rsidR="00E532DD" w:rsidRPr="00784A33" w:rsidRDefault="00E532DD" w:rsidP="00C0052A">
      <w:pPr>
        <w:pStyle w:val="Heading4"/>
      </w:pPr>
      <w:r w:rsidRPr="00784A33">
        <w:t>Animal Feeding Operations</w:t>
      </w:r>
    </w:p>
    <w:p w14:paraId="22A81A05" w14:textId="21121916" w:rsidR="00E532DD" w:rsidRPr="00784A33" w:rsidRDefault="00E532DD" w:rsidP="00027FC1">
      <w:pPr>
        <w:rPr>
          <w:rFonts w:cstheme="minorHAnsi"/>
          <w:color w:val="000000" w:themeColor="text1"/>
          <w:szCs w:val="24"/>
        </w:rPr>
      </w:pPr>
      <w:r w:rsidRPr="00784A33">
        <w:rPr>
          <w:rFonts w:cstheme="minorHAnsi"/>
          <w:color w:val="000000" w:themeColor="text1"/>
          <w:szCs w:val="24"/>
        </w:rPr>
        <w:t>The DEQ animal waste program regulates farms under both the Virginia Pollution Abatement (VPA) Permit Regulation (9VAC25-32 et seq.) and the Virginia Pollutant Discharge Elimination System (VPDES) Permit Regulation (9VAC25-31 et seq.).</w:t>
      </w:r>
      <w:r w:rsidR="00320909">
        <w:rPr>
          <w:rFonts w:cstheme="minorHAnsi"/>
          <w:color w:val="000000" w:themeColor="text1"/>
          <w:szCs w:val="24"/>
        </w:rPr>
        <w:t xml:space="preserve"> </w:t>
      </w:r>
      <w:r w:rsidRPr="00784A33">
        <w:rPr>
          <w:rFonts w:cstheme="minorHAnsi"/>
          <w:color w:val="000000" w:themeColor="text1"/>
          <w:szCs w:val="24"/>
        </w:rPr>
        <w:t>An animal feeding operation (AFO) is a lot or facility where animals are stabled or confined for a total of 45 days or more in any 12-month period, and where crops or vegetative growth is not maintained in the normal growing season over the lot or facility.</w:t>
      </w:r>
      <w:r w:rsidR="00320909">
        <w:rPr>
          <w:rFonts w:cstheme="minorHAnsi"/>
          <w:color w:val="000000" w:themeColor="text1"/>
          <w:szCs w:val="24"/>
        </w:rPr>
        <w:t xml:space="preserve"> </w:t>
      </w:r>
      <w:r w:rsidRPr="00784A33">
        <w:rPr>
          <w:rFonts w:cstheme="minorHAnsi"/>
          <w:color w:val="000000" w:themeColor="text1"/>
          <w:szCs w:val="24"/>
        </w:rPr>
        <w:t>AFOs that confine more than 300 animal units of livestock and handle liquid manure are required to obtain coverage under the</w:t>
      </w:r>
      <w:r w:rsidR="00320909">
        <w:rPr>
          <w:rFonts w:cstheme="minorHAnsi"/>
          <w:color w:val="000000" w:themeColor="text1"/>
          <w:szCs w:val="24"/>
        </w:rPr>
        <w:t xml:space="preserve"> </w:t>
      </w:r>
      <w:r w:rsidRPr="00784A33">
        <w:rPr>
          <w:rFonts w:cstheme="minorHAnsi"/>
          <w:color w:val="000000" w:themeColor="text1"/>
          <w:szCs w:val="24"/>
        </w:rPr>
        <w:t>VPA Regulation and General Permit for AFOs and Animal Waste Management (9VAC25-192 et seq.). The</w:t>
      </w:r>
      <w:r w:rsidR="00320909">
        <w:rPr>
          <w:rFonts w:cstheme="minorHAnsi"/>
          <w:color w:val="000000" w:themeColor="text1"/>
          <w:szCs w:val="24"/>
        </w:rPr>
        <w:t xml:space="preserve"> </w:t>
      </w:r>
      <w:r w:rsidRPr="00784A33">
        <w:rPr>
          <w:rFonts w:cstheme="minorHAnsi"/>
          <w:color w:val="000000" w:themeColor="text1"/>
          <w:szCs w:val="24"/>
        </w:rPr>
        <w:t>VPA AFO general permit</w:t>
      </w:r>
      <w:r w:rsidR="00320909">
        <w:rPr>
          <w:rFonts w:cstheme="minorHAnsi"/>
          <w:color w:val="000000" w:themeColor="text1"/>
          <w:szCs w:val="24"/>
        </w:rPr>
        <w:t xml:space="preserve"> </w:t>
      </w:r>
      <w:r w:rsidRPr="00784A33">
        <w:rPr>
          <w:rFonts w:cstheme="minorHAnsi"/>
          <w:color w:val="000000" w:themeColor="text1"/>
          <w:szCs w:val="24"/>
        </w:rPr>
        <w:t xml:space="preserve">governs the management of animal waste by the farm and by those who receive </w:t>
      </w:r>
      <w:proofErr w:type="gramStart"/>
      <w:r w:rsidRPr="00784A33">
        <w:rPr>
          <w:rFonts w:cstheme="minorHAnsi"/>
          <w:color w:val="000000" w:themeColor="text1"/>
          <w:szCs w:val="24"/>
        </w:rPr>
        <w:t>the manure</w:t>
      </w:r>
      <w:proofErr w:type="gramEnd"/>
      <w:r w:rsidRPr="00784A33">
        <w:rPr>
          <w:rFonts w:cstheme="minorHAnsi"/>
          <w:color w:val="000000" w:themeColor="text1"/>
          <w:szCs w:val="24"/>
        </w:rPr>
        <w:t xml:space="preserve"> from the permitted farm.</w:t>
      </w:r>
      <w:r w:rsidR="00320909">
        <w:rPr>
          <w:rFonts w:cstheme="minorHAnsi"/>
          <w:color w:val="000000" w:themeColor="text1"/>
          <w:szCs w:val="24"/>
        </w:rPr>
        <w:t xml:space="preserve"> </w:t>
      </w:r>
      <w:r w:rsidRPr="00784A33">
        <w:rPr>
          <w:rFonts w:cstheme="minorHAnsi"/>
          <w:color w:val="000000" w:themeColor="text1"/>
          <w:szCs w:val="24"/>
        </w:rPr>
        <w:t xml:space="preserve">Poultry operations that confine more than 200 animal units (20,000 chickens or 11,000 turkeys) must register for coverage under the VPA General Permit for Poultry Waste Management (9VAC25-630 et seq.). The VPA Regulation and General Permit for Poultry Waste Management governs the management of poultry waste at confined poultry feeding operations and poultry waste utilized or stored by those who receive the poultry waste from the permitted farm including poultry waste brokers. Concentrated Animal Feeding Operations (CAFOs) are AFOs that meet a specific number and type of confined animals. CAFOs </w:t>
      </w:r>
      <w:r w:rsidRPr="00784A33">
        <w:rPr>
          <w:rFonts w:cstheme="minorHAnsi"/>
          <w:color w:val="000000" w:themeColor="text1"/>
          <w:szCs w:val="24"/>
        </w:rPr>
        <w:lastRenderedPageBreak/>
        <w:t xml:space="preserve">that discharge into State Waters may be required to obtain </w:t>
      </w:r>
      <w:proofErr w:type="gramStart"/>
      <w:r w:rsidRPr="00784A33">
        <w:rPr>
          <w:rFonts w:cstheme="minorHAnsi"/>
          <w:color w:val="000000" w:themeColor="text1"/>
          <w:szCs w:val="24"/>
        </w:rPr>
        <w:t>a VPDES CAFO individual</w:t>
      </w:r>
      <w:proofErr w:type="gramEnd"/>
      <w:r w:rsidRPr="00784A33">
        <w:rPr>
          <w:rFonts w:cstheme="minorHAnsi"/>
          <w:color w:val="000000" w:themeColor="text1"/>
          <w:szCs w:val="24"/>
        </w:rPr>
        <w:t xml:space="preserve"> permit.</w:t>
      </w:r>
      <w:r w:rsidR="00320909">
        <w:rPr>
          <w:rFonts w:cstheme="minorHAnsi"/>
          <w:color w:val="000000" w:themeColor="text1"/>
          <w:szCs w:val="24"/>
        </w:rPr>
        <w:t xml:space="preserve"> </w:t>
      </w:r>
      <w:r w:rsidRPr="00784A33">
        <w:rPr>
          <w:rFonts w:cstheme="minorHAnsi"/>
          <w:color w:val="000000" w:themeColor="text1"/>
          <w:szCs w:val="24"/>
        </w:rPr>
        <w:t>Of the 1,024 farms covered by a DEQ permit, there are 110 farms covered under the VPA AFO general permit, 906 farms covered under the VPA Poultry Waste Management general permit, and eight farms covered by the VPDES CAFO individual permit.</w:t>
      </w:r>
    </w:p>
    <w:p w14:paraId="25FAFD7F" w14:textId="77777777" w:rsidR="00E532DD" w:rsidRPr="00784A33" w:rsidRDefault="00E532DD" w:rsidP="00E532DD">
      <w:pPr>
        <w:rPr>
          <w:rFonts w:cstheme="minorHAnsi"/>
          <w:color w:val="000000" w:themeColor="text1"/>
          <w:szCs w:val="24"/>
        </w:rPr>
      </w:pPr>
    </w:p>
    <w:p w14:paraId="0FE78E73" w14:textId="4B619BD5" w:rsidR="00E532DD" w:rsidRPr="00C0052A" w:rsidRDefault="00E532DD" w:rsidP="00C0052A">
      <w:pPr>
        <w:pStyle w:val="Heading4"/>
      </w:pPr>
      <w:r w:rsidRPr="00784A33">
        <w:t xml:space="preserve"> VPDES Compliance Inspection Program</w:t>
      </w:r>
    </w:p>
    <w:p w14:paraId="41507F8F" w14:textId="4EAEE93A" w:rsidR="00E532DD" w:rsidRPr="00784A33" w:rsidRDefault="00E532DD" w:rsidP="00027FC1">
      <w:pPr>
        <w:rPr>
          <w:rFonts w:cstheme="minorHAnsi"/>
          <w:color w:val="000000"/>
          <w:szCs w:val="24"/>
        </w:rPr>
      </w:pPr>
      <w:r w:rsidRPr="00784A33">
        <w:rPr>
          <w:rFonts w:cstheme="minorHAnsi"/>
          <w:color w:val="000000"/>
          <w:szCs w:val="24"/>
        </w:rPr>
        <w:t>The DEQ Virginia Pollutant Discharge Elimination System (VPDES) Permit program, the Pretreatment program, the Virginia Pollution Abatement (VPA) Permit program, and the VPDES and VPA general permit program rely primarily on the concept of permittee self-monitoring and reporting for compliance determinations. To ensure proper operation and maintenance of facilities and confirm self-monitoring information is representative and accurate, DEQ conducts facility inspections as the principal form of regulatory compliance surveillance. DEQ utilizes a risk-based protocol to identify facilities needing increased or decreased inspection frequency and/or complexity while using</w:t>
      </w:r>
      <w:r w:rsidRPr="00784A33">
        <w:rPr>
          <w:rFonts w:cstheme="minorHAnsi"/>
          <w:szCs w:val="24"/>
        </w:rPr>
        <w:t xml:space="preserve"> staff resources most effectively to accomplish inspection goals.</w:t>
      </w:r>
    </w:p>
    <w:p w14:paraId="483A6A1D" w14:textId="77777777" w:rsidR="00E532DD" w:rsidRPr="00784A33" w:rsidRDefault="00E532DD" w:rsidP="00E532DD">
      <w:pPr>
        <w:rPr>
          <w:rFonts w:cstheme="minorHAnsi"/>
          <w:szCs w:val="24"/>
        </w:rPr>
      </w:pPr>
    </w:p>
    <w:p w14:paraId="6AC5CE75" w14:textId="14B88529" w:rsidR="00E532DD" w:rsidRPr="00C0052A" w:rsidRDefault="00E532DD" w:rsidP="00C0052A">
      <w:pPr>
        <w:pStyle w:val="Heading4"/>
      </w:pPr>
      <w:r w:rsidRPr="00784A33">
        <w:t xml:space="preserve">Inspection Program Objectives </w:t>
      </w:r>
    </w:p>
    <w:p w14:paraId="0B95315F" w14:textId="488F54C7" w:rsidR="00E532DD" w:rsidRPr="00784A33" w:rsidRDefault="00E532DD" w:rsidP="006627E4">
      <w:pPr>
        <w:keepNext/>
        <w:autoSpaceDE w:val="0"/>
        <w:autoSpaceDN w:val="0"/>
        <w:adjustRightInd w:val="0"/>
        <w:rPr>
          <w:rFonts w:cstheme="minorHAnsi"/>
          <w:color w:val="000000"/>
          <w:szCs w:val="24"/>
        </w:rPr>
      </w:pPr>
      <w:r w:rsidRPr="00784A33">
        <w:rPr>
          <w:rFonts w:cstheme="minorHAnsi"/>
          <w:color w:val="000000"/>
          <w:szCs w:val="24"/>
        </w:rPr>
        <w:t>The objectives of the inspection program are:</w:t>
      </w:r>
    </w:p>
    <w:p w14:paraId="7593AFB9" w14:textId="77777777" w:rsidR="00E532DD" w:rsidRPr="00784A33" w:rsidRDefault="00E532DD">
      <w:pPr>
        <w:keepNext/>
        <w:widowControl/>
        <w:numPr>
          <w:ilvl w:val="2"/>
          <w:numId w:val="21"/>
        </w:numPr>
        <w:tabs>
          <w:tab w:val="num" w:pos="1080"/>
        </w:tabs>
        <w:autoSpaceDE w:val="0"/>
        <w:autoSpaceDN w:val="0"/>
        <w:adjustRightInd w:val="0"/>
        <w:rPr>
          <w:rFonts w:cstheme="minorHAnsi"/>
          <w:color w:val="000000"/>
          <w:szCs w:val="24"/>
        </w:rPr>
      </w:pPr>
      <w:r w:rsidRPr="00784A33">
        <w:rPr>
          <w:rFonts w:cstheme="minorHAnsi"/>
          <w:color w:val="000000"/>
          <w:szCs w:val="24"/>
        </w:rPr>
        <w:t xml:space="preserve">to ensure that facilities </w:t>
      </w:r>
      <w:proofErr w:type="gramStart"/>
      <w:r w:rsidRPr="00784A33">
        <w:rPr>
          <w:rFonts w:cstheme="minorHAnsi"/>
          <w:color w:val="000000"/>
          <w:szCs w:val="24"/>
        </w:rPr>
        <w:t>are in compliance with</w:t>
      </w:r>
      <w:proofErr w:type="gramEnd"/>
      <w:r w:rsidRPr="00784A33">
        <w:rPr>
          <w:rFonts w:cstheme="minorHAnsi"/>
          <w:color w:val="000000"/>
          <w:szCs w:val="24"/>
        </w:rPr>
        <w:t xml:space="preserve"> statutes, regulations, and permit requirements, thereby protecting the quality of state waters. </w:t>
      </w:r>
    </w:p>
    <w:p w14:paraId="3DC93E79" w14:textId="77777777" w:rsidR="00E532DD" w:rsidRPr="00784A33" w:rsidRDefault="00E532DD">
      <w:pPr>
        <w:widowControl/>
        <w:numPr>
          <w:ilvl w:val="2"/>
          <w:numId w:val="21"/>
        </w:numPr>
        <w:tabs>
          <w:tab w:val="num" w:pos="1080"/>
        </w:tabs>
        <w:autoSpaceDE w:val="0"/>
        <w:autoSpaceDN w:val="0"/>
        <w:adjustRightInd w:val="0"/>
        <w:rPr>
          <w:rFonts w:cstheme="minorHAnsi"/>
          <w:color w:val="000000"/>
          <w:szCs w:val="24"/>
        </w:rPr>
      </w:pPr>
      <w:r w:rsidRPr="00784A33">
        <w:rPr>
          <w:rFonts w:cstheme="minorHAnsi"/>
          <w:color w:val="000000"/>
          <w:szCs w:val="24"/>
        </w:rPr>
        <w:t>to improve facility performance by providing advice and assistance,</w:t>
      </w:r>
    </w:p>
    <w:p w14:paraId="6C6E81F2" w14:textId="77777777" w:rsidR="00E532DD" w:rsidRPr="00784A33" w:rsidRDefault="00E532DD">
      <w:pPr>
        <w:widowControl/>
        <w:numPr>
          <w:ilvl w:val="2"/>
          <w:numId w:val="21"/>
        </w:numPr>
        <w:tabs>
          <w:tab w:val="num" w:pos="1080"/>
        </w:tabs>
        <w:autoSpaceDE w:val="0"/>
        <w:autoSpaceDN w:val="0"/>
        <w:adjustRightInd w:val="0"/>
        <w:rPr>
          <w:rFonts w:cstheme="minorHAnsi"/>
          <w:color w:val="000000"/>
          <w:szCs w:val="24"/>
        </w:rPr>
      </w:pPr>
      <w:r w:rsidRPr="00784A33">
        <w:rPr>
          <w:rFonts w:cstheme="minorHAnsi"/>
          <w:color w:val="000000"/>
          <w:szCs w:val="24"/>
        </w:rPr>
        <w:t>to support permit development,</w:t>
      </w:r>
    </w:p>
    <w:p w14:paraId="667C0085" w14:textId="77777777" w:rsidR="00E532DD" w:rsidRPr="00784A33" w:rsidRDefault="00E532DD">
      <w:pPr>
        <w:widowControl/>
        <w:numPr>
          <w:ilvl w:val="2"/>
          <w:numId w:val="21"/>
        </w:numPr>
        <w:tabs>
          <w:tab w:val="num" w:pos="1080"/>
        </w:tabs>
        <w:autoSpaceDE w:val="0"/>
        <w:autoSpaceDN w:val="0"/>
        <w:adjustRightInd w:val="0"/>
        <w:rPr>
          <w:rFonts w:cstheme="minorHAnsi"/>
          <w:color w:val="000000"/>
          <w:szCs w:val="24"/>
        </w:rPr>
      </w:pPr>
      <w:r w:rsidRPr="00784A33">
        <w:rPr>
          <w:rFonts w:cstheme="minorHAnsi"/>
          <w:color w:val="000000"/>
          <w:szCs w:val="24"/>
        </w:rPr>
        <w:t>to maintain a regulatory presence,</w:t>
      </w:r>
    </w:p>
    <w:p w14:paraId="3E2CE5D4" w14:textId="77777777" w:rsidR="00E532DD" w:rsidRPr="00784A33" w:rsidRDefault="00E532DD">
      <w:pPr>
        <w:widowControl/>
        <w:numPr>
          <w:ilvl w:val="2"/>
          <w:numId w:val="21"/>
        </w:numPr>
        <w:tabs>
          <w:tab w:val="num" w:pos="1080"/>
        </w:tabs>
        <w:autoSpaceDE w:val="0"/>
        <w:autoSpaceDN w:val="0"/>
        <w:adjustRightInd w:val="0"/>
        <w:rPr>
          <w:rFonts w:cstheme="minorHAnsi"/>
          <w:color w:val="000000"/>
          <w:szCs w:val="24"/>
        </w:rPr>
      </w:pPr>
      <w:r w:rsidRPr="00784A33">
        <w:rPr>
          <w:rFonts w:cstheme="minorHAnsi"/>
          <w:color w:val="000000"/>
          <w:szCs w:val="24"/>
        </w:rPr>
        <w:t>to support administrative, civil, and criminal enforcement actions,</w:t>
      </w:r>
    </w:p>
    <w:p w14:paraId="5B79C4FD" w14:textId="77777777" w:rsidR="00E532DD" w:rsidRPr="00784A33" w:rsidRDefault="00E532DD">
      <w:pPr>
        <w:widowControl/>
        <w:numPr>
          <w:ilvl w:val="2"/>
          <w:numId w:val="21"/>
        </w:numPr>
        <w:tabs>
          <w:tab w:val="num" w:pos="1080"/>
        </w:tabs>
        <w:autoSpaceDE w:val="0"/>
        <w:autoSpaceDN w:val="0"/>
        <w:adjustRightInd w:val="0"/>
        <w:rPr>
          <w:rFonts w:cstheme="minorHAnsi"/>
          <w:color w:val="000000"/>
          <w:szCs w:val="24"/>
        </w:rPr>
      </w:pPr>
      <w:r w:rsidRPr="00784A33">
        <w:rPr>
          <w:rFonts w:cstheme="minorHAnsi"/>
          <w:color w:val="000000"/>
          <w:szCs w:val="24"/>
        </w:rPr>
        <w:t>to support development and implementation of the pretreatment program.</w:t>
      </w:r>
    </w:p>
    <w:p w14:paraId="0A29330A" w14:textId="77777777" w:rsidR="000461BF" w:rsidRDefault="000461BF" w:rsidP="00E532DD">
      <w:pPr>
        <w:autoSpaceDE w:val="0"/>
        <w:autoSpaceDN w:val="0"/>
        <w:adjustRightInd w:val="0"/>
        <w:rPr>
          <w:rFonts w:cstheme="minorHAnsi"/>
          <w:color w:val="000000"/>
          <w:szCs w:val="24"/>
        </w:rPr>
      </w:pPr>
    </w:p>
    <w:p w14:paraId="4D670F41" w14:textId="77777777" w:rsidR="00320909" w:rsidRDefault="00E532DD" w:rsidP="00E532DD">
      <w:pPr>
        <w:autoSpaceDE w:val="0"/>
        <w:autoSpaceDN w:val="0"/>
        <w:adjustRightInd w:val="0"/>
        <w:rPr>
          <w:rFonts w:cstheme="minorHAnsi"/>
          <w:color w:val="000000"/>
          <w:szCs w:val="24"/>
        </w:rPr>
      </w:pPr>
      <w:r w:rsidRPr="00784A33">
        <w:rPr>
          <w:rFonts w:cstheme="minorHAnsi"/>
          <w:color w:val="000000"/>
          <w:szCs w:val="24"/>
        </w:rPr>
        <w:t>Each inspection of a permitted facility will not accomplish every objective, but most inspections are useful in accomplishing several of the above objectives. Therefore, inspection frequencies are scheduled to provide maximum coverage of facilities within available DEQ resources</w:t>
      </w:r>
      <w:r w:rsidR="00C0052A">
        <w:rPr>
          <w:rFonts w:cstheme="minorHAnsi"/>
          <w:color w:val="000000"/>
          <w:szCs w:val="24"/>
        </w:rPr>
        <w:t xml:space="preserve"> </w:t>
      </w:r>
      <w:r w:rsidRPr="00784A33">
        <w:rPr>
          <w:rFonts w:cstheme="minorHAnsi"/>
          <w:color w:val="000000"/>
          <w:szCs w:val="24"/>
        </w:rPr>
        <w:t>(</w:t>
      </w:r>
      <w:r w:rsidR="00C0052A">
        <w:rPr>
          <w:rFonts w:cstheme="minorHAnsi"/>
          <w:color w:val="000000"/>
          <w:szCs w:val="24"/>
        </w:rPr>
        <w:t>s</w:t>
      </w:r>
      <w:r w:rsidRPr="00784A33">
        <w:rPr>
          <w:rFonts w:cstheme="minorHAnsi"/>
          <w:color w:val="000000"/>
          <w:szCs w:val="24"/>
        </w:rPr>
        <w:t xml:space="preserve">ee Table </w:t>
      </w:r>
      <w:r w:rsidR="00DB3445">
        <w:rPr>
          <w:rFonts w:cstheme="minorHAnsi"/>
          <w:color w:val="000000"/>
          <w:szCs w:val="24"/>
        </w:rPr>
        <w:t>6</w:t>
      </w:r>
      <w:r w:rsidRPr="00784A33">
        <w:rPr>
          <w:rFonts w:cstheme="minorHAnsi"/>
          <w:color w:val="000000"/>
          <w:szCs w:val="24"/>
        </w:rPr>
        <w:t>.1-</w:t>
      </w:r>
      <w:r w:rsidR="000461BF">
        <w:rPr>
          <w:rFonts w:cstheme="minorHAnsi"/>
          <w:color w:val="000000"/>
          <w:szCs w:val="24"/>
        </w:rPr>
        <w:t>2</w:t>
      </w:r>
      <w:r w:rsidRPr="00784A33">
        <w:rPr>
          <w:rFonts w:cstheme="minorHAnsi"/>
          <w:color w:val="000000"/>
          <w:szCs w:val="24"/>
        </w:rPr>
        <w:t xml:space="preserve">). Table </w:t>
      </w:r>
      <w:r w:rsidR="00DB3445">
        <w:rPr>
          <w:rFonts w:cstheme="minorHAnsi"/>
          <w:color w:val="000000"/>
          <w:szCs w:val="24"/>
        </w:rPr>
        <w:t>6</w:t>
      </w:r>
      <w:r w:rsidRPr="00784A33">
        <w:rPr>
          <w:rFonts w:cstheme="minorHAnsi"/>
          <w:color w:val="000000"/>
          <w:szCs w:val="24"/>
        </w:rPr>
        <w:t>.1-</w:t>
      </w:r>
      <w:r w:rsidR="000461BF">
        <w:rPr>
          <w:rFonts w:cstheme="minorHAnsi"/>
          <w:color w:val="000000"/>
          <w:szCs w:val="24"/>
        </w:rPr>
        <w:t>3</w:t>
      </w:r>
      <w:r w:rsidRPr="00784A33">
        <w:rPr>
          <w:rFonts w:cstheme="minorHAnsi"/>
          <w:color w:val="000000"/>
          <w:szCs w:val="24"/>
        </w:rPr>
        <w:t xml:space="preserve"> presents an overview of default inspection frequencies for various facility types.</w:t>
      </w:r>
    </w:p>
    <w:p w14:paraId="5836C745" w14:textId="77777777" w:rsidR="00320909" w:rsidRDefault="00320909" w:rsidP="00E532DD">
      <w:pPr>
        <w:autoSpaceDE w:val="0"/>
        <w:autoSpaceDN w:val="0"/>
        <w:adjustRightInd w:val="0"/>
        <w:rPr>
          <w:rFonts w:cstheme="minorHAnsi"/>
          <w:color w:val="000000"/>
          <w:szCs w:val="24"/>
        </w:rPr>
      </w:pPr>
    </w:p>
    <w:p w14:paraId="137AC47F" w14:textId="77777777" w:rsidR="00320909" w:rsidRDefault="00320909">
      <w:pPr>
        <w:widowControl/>
        <w:spacing w:after="160" w:line="259" w:lineRule="auto"/>
        <w:rPr>
          <w:rFonts w:cstheme="minorHAnsi"/>
          <w:color w:val="000000"/>
          <w:szCs w:val="24"/>
        </w:rPr>
      </w:pPr>
      <w:r>
        <w:rPr>
          <w:rFonts w:cstheme="minorHAnsi"/>
          <w:color w:val="000000"/>
          <w:szCs w:val="24"/>
        </w:rPr>
        <w:br w:type="page"/>
      </w:r>
    </w:p>
    <w:p w14:paraId="36131DBB" w14:textId="1CE6B97E" w:rsidR="0034052F" w:rsidRDefault="0034052F" w:rsidP="0034052F">
      <w:pPr>
        <w:pStyle w:val="Caption"/>
        <w:keepNext/>
      </w:pPr>
      <w:bookmarkStart w:id="407" w:name="_Toc164175241"/>
      <w:r>
        <w:lastRenderedPageBreak/>
        <w:t xml:space="preserve">Table </w:t>
      </w:r>
      <w:r w:rsidR="004F13BA">
        <w:fldChar w:fldCharType="begin"/>
      </w:r>
      <w:r w:rsidR="004F13BA">
        <w:instrText xml:space="preserve"> STYLEREF 2 \s </w:instrText>
      </w:r>
      <w:r w:rsidR="004F13BA">
        <w:fldChar w:fldCharType="separate"/>
      </w:r>
      <w:r w:rsidR="00CD06AE">
        <w:rPr>
          <w:noProof/>
        </w:rPr>
        <w:t>6.1</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3</w:t>
      </w:r>
      <w:r w:rsidR="004F13BA">
        <w:rPr>
          <w:noProof/>
        </w:rPr>
        <w:fldChar w:fldCharType="end"/>
      </w:r>
      <w:r>
        <w:t>.</w:t>
      </w:r>
      <w:r w:rsidR="00C0052A">
        <w:t xml:space="preserve"> </w:t>
      </w:r>
      <w:proofErr w:type="gramStart"/>
      <w:r w:rsidR="00C0052A" w:rsidRPr="00784A33">
        <w:rPr>
          <w:rFonts w:cstheme="minorHAnsi"/>
          <w:szCs w:val="24"/>
        </w:rPr>
        <w:t>Inspection Frequency</w:t>
      </w:r>
      <w:proofErr w:type="gramEnd"/>
      <w:r w:rsidR="00C0052A" w:rsidRPr="00784A33">
        <w:rPr>
          <w:rFonts w:cstheme="minorHAnsi"/>
          <w:szCs w:val="24"/>
        </w:rPr>
        <w:t xml:space="preserve"> by Facility Type</w:t>
      </w:r>
      <w:bookmarkEnd w:id="407"/>
    </w:p>
    <w:tbl>
      <w:tblPr>
        <w:tblStyle w:val="TableGrid"/>
        <w:tblW w:w="9445" w:type="dxa"/>
        <w:tblBorders>
          <w:top w:val="single" w:sz="12" w:space="0" w:color="auto"/>
          <w:left w:val="none" w:sz="0" w:space="0" w:color="auto"/>
          <w:bottom w:val="single" w:sz="12" w:space="0" w:color="auto"/>
          <w:right w:val="none" w:sz="0" w:space="0" w:color="auto"/>
          <w:insideV w:val="none" w:sz="0" w:space="0" w:color="auto"/>
        </w:tblBorders>
        <w:tblLayout w:type="fixed"/>
        <w:tblLook w:val="0020" w:firstRow="1" w:lastRow="0" w:firstColumn="0" w:lastColumn="0" w:noHBand="0" w:noVBand="0"/>
        <w:tblCaption w:val="Table of Inspection Frequency by Facility Type"/>
        <w:tblDescription w:val=" Inspection Frequency by Facility Type"/>
      </w:tblPr>
      <w:tblGrid>
        <w:gridCol w:w="4765"/>
        <w:gridCol w:w="900"/>
        <w:gridCol w:w="900"/>
        <w:gridCol w:w="990"/>
        <w:gridCol w:w="990"/>
        <w:gridCol w:w="900"/>
      </w:tblGrid>
      <w:tr w:rsidR="00FB43CA" w:rsidRPr="00784A33" w14:paraId="3E59337F" w14:textId="77777777" w:rsidTr="005D0895">
        <w:trPr>
          <w:trHeight w:val="360"/>
          <w:tblHeader/>
        </w:trPr>
        <w:tc>
          <w:tcPr>
            <w:tcW w:w="4765" w:type="dxa"/>
          </w:tcPr>
          <w:p w14:paraId="4BE6E3A0" w14:textId="77777777" w:rsidR="00E532DD" w:rsidRPr="0034052F" w:rsidRDefault="00E532DD">
            <w:pPr>
              <w:autoSpaceDE w:val="0"/>
              <w:autoSpaceDN w:val="0"/>
              <w:adjustRightInd w:val="0"/>
              <w:jc w:val="center"/>
              <w:rPr>
                <w:rFonts w:cstheme="minorHAnsi"/>
                <w:b/>
                <w:color w:val="000000"/>
                <w:sz w:val="22"/>
                <w:szCs w:val="22"/>
              </w:rPr>
            </w:pPr>
            <w:bookmarkStart w:id="408" w:name="_Hlk151367592"/>
            <w:r w:rsidRPr="0034052F">
              <w:rPr>
                <w:rFonts w:cstheme="minorHAnsi"/>
                <w:b/>
                <w:color w:val="000000"/>
                <w:sz w:val="22"/>
                <w:szCs w:val="22"/>
              </w:rPr>
              <w:t xml:space="preserve">Facility </w:t>
            </w:r>
            <w:bookmarkEnd w:id="408"/>
            <w:r w:rsidRPr="0034052F">
              <w:rPr>
                <w:rFonts w:cstheme="minorHAnsi"/>
                <w:b/>
                <w:color w:val="000000"/>
                <w:sz w:val="22"/>
                <w:szCs w:val="22"/>
              </w:rPr>
              <w:t>Type</w:t>
            </w:r>
          </w:p>
        </w:tc>
        <w:tc>
          <w:tcPr>
            <w:tcW w:w="900" w:type="dxa"/>
          </w:tcPr>
          <w:p w14:paraId="73B752E7"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1 Year</w:t>
            </w:r>
          </w:p>
        </w:tc>
        <w:tc>
          <w:tcPr>
            <w:tcW w:w="900" w:type="dxa"/>
          </w:tcPr>
          <w:p w14:paraId="5AF469B1"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2 Year</w:t>
            </w:r>
          </w:p>
        </w:tc>
        <w:tc>
          <w:tcPr>
            <w:tcW w:w="990" w:type="dxa"/>
          </w:tcPr>
          <w:p w14:paraId="6D879C37"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3 Years</w:t>
            </w:r>
          </w:p>
        </w:tc>
        <w:tc>
          <w:tcPr>
            <w:tcW w:w="990" w:type="dxa"/>
          </w:tcPr>
          <w:p w14:paraId="0680DFEC"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4 Years</w:t>
            </w:r>
          </w:p>
        </w:tc>
        <w:tc>
          <w:tcPr>
            <w:tcW w:w="900" w:type="dxa"/>
          </w:tcPr>
          <w:p w14:paraId="191B109E"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5 Years</w:t>
            </w:r>
          </w:p>
        </w:tc>
      </w:tr>
      <w:tr w:rsidR="00FB43CA" w:rsidRPr="00784A33" w14:paraId="6D07C7DE" w14:textId="77777777" w:rsidTr="005D0895">
        <w:trPr>
          <w:trHeight w:val="360"/>
        </w:trPr>
        <w:tc>
          <w:tcPr>
            <w:tcW w:w="4765" w:type="dxa"/>
          </w:tcPr>
          <w:p w14:paraId="7F196E84" w14:textId="77777777" w:rsidR="00E532DD" w:rsidRPr="0034052F" w:rsidRDefault="00E532DD">
            <w:pPr>
              <w:autoSpaceDE w:val="0"/>
              <w:autoSpaceDN w:val="0"/>
              <w:adjustRightInd w:val="0"/>
              <w:rPr>
                <w:rFonts w:cstheme="minorHAnsi"/>
                <w:color w:val="000000"/>
                <w:sz w:val="22"/>
                <w:szCs w:val="22"/>
              </w:rPr>
            </w:pPr>
            <w:r w:rsidRPr="0034052F">
              <w:rPr>
                <w:rFonts w:cstheme="minorHAnsi"/>
                <w:color w:val="000000"/>
                <w:sz w:val="22"/>
                <w:szCs w:val="22"/>
              </w:rPr>
              <w:t>VPDES Municipal Major (≥1.0 MGD)</w:t>
            </w:r>
            <w:r w:rsidRPr="0034052F">
              <w:rPr>
                <w:rFonts w:cstheme="minorHAnsi"/>
                <w:b/>
                <w:color w:val="000000"/>
                <w:sz w:val="22"/>
                <w:szCs w:val="22"/>
                <w:vertAlign w:val="superscript"/>
              </w:rPr>
              <w:t xml:space="preserve"> 1</w:t>
            </w:r>
          </w:p>
        </w:tc>
        <w:tc>
          <w:tcPr>
            <w:tcW w:w="900" w:type="dxa"/>
            <w:vAlign w:val="center"/>
          </w:tcPr>
          <w:p w14:paraId="0DB1C6ED"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78292712"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r w:rsidRPr="0034052F">
              <w:rPr>
                <w:rFonts w:cstheme="minorHAnsi"/>
                <w:b/>
                <w:color w:val="000000"/>
                <w:sz w:val="22"/>
                <w:szCs w:val="22"/>
                <w:vertAlign w:val="superscript"/>
              </w:rPr>
              <w:t>2</w:t>
            </w:r>
          </w:p>
        </w:tc>
        <w:tc>
          <w:tcPr>
            <w:tcW w:w="990" w:type="dxa"/>
            <w:vAlign w:val="center"/>
          </w:tcPr>
          <w:p w14:paraId="5DCCC77C"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c>
          <w:tcPr>
            <w:tcW w:w="990" w:type="dxa"/>
            <w:vAlign w:val="center"/>
          </w:tcPr>
          <w:p w14:paraId="140DDA42"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727AD344" w14:textId="77777777" w:rsidR="00E532DD" w:rsidRPr="0034052F" w:rsidRDefault="00E532DD">
            <w:pPr>
              <w:autoSpaceDE w:val="0"/>
              <w:autoSpaceDN w:val="0"/>
              <w:adjustRightInd w:val="0"/>
              <w:jc w:val="center"/>
              <w:rPr>
                <w:rFonts w:cstheme="minorHAnsi"/>
                <w:b/>
                <w:color w:val="000000"/>
                <w:sz w:val="22"/>
                <w:szCs w:val="22"/>
              </w:rPr>
            </w:pPr>
          </w:p>
        </w:tc>
      </w:tr>
      <w:tr w:rsidR="00FB43CA" w:rsidRPr="00784A33" w14:paraId="5795F0F4" w14:textId="77777777" w:rsidTr="005D0895">
        <w:trPr>
          <w:trHeight w:val="360"/>
        </w:trPr>
        <w:tc>
          <w:tcPr>
            <w:tcW w:w="4765" w:type="dxa"/>
          </w:tcPr>
          <w:p w14:paraId="5E8B8CB4" w14:textId="77777777" w:rsidR="00E532DD" w:rsidRPr="0034052F" w:rsidRDefault="00E532DD">
            <w:pPr>
              <w:autoSpaceDE w:val="0"/>
              <w:autoSpaceDN w:val="0"/>
              <w:adjustRightInd w:val="0"/>
              <w:rPr>
                <w:rFonts w:cstheme="minorHAnsi"/>
                <w:color w:val="000000"/>
                <w:sz w:val="22"/>
                <w:szCs w:val="22"/>
              </w:rPr>
            </w:pPr>
            <w:r w:rsidRPr="0034052F">
              <w:rPr>
                <w:rFonts w:cstheme="minorHAnsi"/>
                <w:color w:val="000000"/>
                <w:sz w:val="22"/>
                <w:szCs w:val="22"/>
              </w:rPr>
              <w:t>VPDES Municipal Minor (≥0.04 &amp; ≤1.0 MGD)</w:t>
            </w:r>
          </w:p>
        </w:tc>
        <w:tc>
          <w:tcPr>
            <w:tcW w:w="900" w:type="dxa"/>
            <w:vAlign w:val="center"/>
          </w:tcPr>
          <w:p w14:paraId="2AA1B560"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18B7F181"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63B89C3B"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3C4E7061"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283A1720"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r>
      <w:tr w:rsidR="00FB43CA" w:rsidRPr="00784A33" w14:paraId="6C361D15" w14:textId="77777777" w:rsidTr="005D0895">
        <w:trPr>
          <w:trHeight w:val="360"/>
        </w:trPr>
        <w:tc>
          <w:tcPr>
            <w:tcW w:w="4765" w:type="dxa"/>
          </w:tcPr>
          <w:p w14:paraId="2E49A1AD" w14:textId="77777777" w:rsidR="00E532DD" w:rsidRPr="0034052F" w:rsidRDefault="00E532DD">
            <w:pPr>
              <w:autoSpaceDE w:val="0"/>
              <w:autoSpaceDN w:val="0"/>
              <w:adjustRightInd w:val="0"/>
              <w:rPr>
                <w:rFonts w:cstheme="minorHAnsi"/>
                <w:color w:val="000000"/>
                <w:sz w:val="22"/>
                <w:szCs w:val="22"/>
              </w:rPr>
            </w:pPr>
            <w:r w:rsidRPr="0034052F">
              <w:rPr>
                <w:rFonts w:cstheme="minorHAnsi"/>
                <w:color w:val="000000"/>
                <w:sz w:val="22"/>
                <w:szCs w:val="22"/>
              </w:rPr>
              <w:t>VPDES Municipal Small (≥0.001 &amp; ≤0.04 MGD)</w:t>
            </w:r>
          </w:p>
        </w:tc>
        <w:tc>
          <w:tcPr>
            <w:tcW w:w="900" w:type="dxa"/>
            <w:vAlign w:val="center"/>
          </w:tcPr>
          <w:p w14:paraId="59CC25F0"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07D85BF5"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124C6B79"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18C3AD8B"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25E563E5"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r>
      <w:tr w:rsidR="00FB43CA" w:rsidRPr="00784A33" w14:paraId="6777B281" w14:textId="77777777" w:rsidTr="005D0895">
        <w:trPr>
          <w:trHeight w:val="360"/>
        </w:trPr>
        <w:tc>
          <w:tcPr>
            <w:tcW w:w="4765" w:type="dxa"/>
          </w:tcPr>
          <w:p w14:paraId="7306A71C" w14:textId="77777777" w:rsidR="00E532DD" w:rsidRPr="0034052F" w:rsidRDefault="00E532DD">
            <w:pPr>
              <w:autoSpaceDE w:val="0"/>
              <w:autoSpaceDN w:val="0"/>
              <w:adjustRightInd w:val="0"/>
              <w:rPr>
                <w:rFonts w:cstheme="minorHAnsi"/>
                <w:color w:val="000000"/>
                <w:sz w:val="22"/>
                <w:szCs w:val="22"/>
              </w:rPr>
            </w:pPr>
            <w:r w:rsidRPr="0034052F">
              <w:rPr>
                <w:rFonts w:cstheme="minorHAnsi"/>
                <w:color w:val="000000"/>
                <w:sz w:val="22"/>
                <w:szCs w:val="22"/>
              </w:rPr>
              <w:t>VPDES Industrial Major (DEQ/EPA Majors list)</w:t>
            </w:r>
          </w:p>
        </w:tc>
        <w:tc>
          <w:tcPr>
            <w:tcW w:w="900" w:type="dxa"/>
            <w:vAlign w:val="center"/>
          </w:tcPr>
          <w:p w14:paraId="6145E05F"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50BD7873"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r w:rsidRPr="0034052F">
              <w:rPr>
                <w:rFonts w:cstheme="minorHAnsi"/>
                <w:b/>
                <w:color w:val="000000"/>
                <w:sz w:val="22"/>
                <w:szCs w:val="22"/>
                <w:vertAlign w:val="superscript"/>
              </w:rPr>
              <w:t>2</w:t>
            </w:r>
          </w:p>
        </w:tc>
        <w:tc>
          <w:tcPr>
            <w:tcW w:w="990" w:type="dxa"/>
            <w:vAlign w:val="center"/>
          </w:tcPr>
          <w:p w14:paraId="0FC2A8C0"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c>
          <w:tcPr>
            <w:tcW w:w="990" w:type="dxa"/>
            <w:vAlign w:val="center"/>
          </w:tcPr>
          <w:p w14:paraId="39D0807A"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0EDDA10A" w14:textId="77777777" w:rsidR="00E532DD" w:rsidRPr="0034052F" w:rsidRDefault="00E532DD">
            <w:pPr>
              <w:autoSpaceDE w:val="0"/>
              <w:autoSpaceDN w:val="0"/>
              <w:adjustRightInd w:val="0"/>
              <w:jc w:val="center"/>
              <w:rPr>
                <w:rFonts w:cstheme="minorHAnsi"/>
                <w:b/>
                <w:color w:val="000000"/>
                <w:sz w:val="22"/>
                <w:szCs w:val="22"/>
              </w:rPr>
            </w:pPr>
          </w:p>
        </w:tc>
      </w:tr>
      <w:tr w:rsidR="00FB43CA" w:rsidRPr="00784A33" w14:paraId="38B0B89D" w14:textId="77777777" w:rsidTr="005D0895">
        <w:trPr>
          <w:trHeight w:val="360"/>
        </w:trPr>
        <w:tc>
          <w:tcPr>
            <w:tcW w:w="4765" w:type="dxa"/>
          </w:tcPr>
          <w:p w14:paraId="7607EFB4" w14:textId="77777777" w:rsidR="00E532DD" w:rsidRPr="0034052F" w:rsidRDefault="00E532DD">
            <w:pPr>
              <w:autoSpaceDE w:val="0"/>
              <w:autoSpaceDN w:val="0"/>
              <w:adjustRightInd w:val="0"/>
              <w:rPr>
                <w:rFonts w:cstheme="minorHAnsi"/>
                <w:color w:val="000000"/>
                <w:sz w:val="22"/>
                <w:szCs w:val="22"/>
              </w:rPr>
            </w:pPr>
            <w:r w:rsidRPr="0034052F">
              <w:rPr>
                <w:rFonts w:cstheme="minorHAnsi"/>
                <w:color w:val="000000"/>
                <w:sz w:val="22"/>
                <w:szCs w:val="22"/>
              </w:rPr>
              <w:t>VPDES Industrial Minor (not a Major or Small)</w:t>
            </w:r>
          </w:p>
        </w:tc>
        <w:tc>
          <w:tcPr>
            <w:tcW w:w="900" w:type="dxa"/>
            <w:vAlign w:val="center"/>
          </w:tcPr>
          <w:p w14:paraId="2983BB5C"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3DB792B6"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4684253C"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569555D2"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3A0A5020"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r>
      <w:tr w:rsidR="00FB43CA" w:rsidRPr="00784A33" w14:paraId="2A21FF4F" w14:textId="77777777" w:rsidTr="005D0895">
        <w:trPr>
          <w:trHeight w:val="360"/>
        </w:trPr>
        <w:tc>
          <w:tcPr>
            <w:tcW w:w="4765" w:type="dxa"/>
          </w:tcPr>
          <w:p w14:paraId="6EA72278" w14:textId="3E775901" w:rsidR="00E532DD" w:rsidRPr="0034052F" w:rsidRDefault="00E532DD">
            <w:pPr>
              <w:autoSpaceDE w:val="0"/>
              <w:autoSpaceDN w:val="0"/>
              <w:adjustRightInd w:val="0"/>
              <w:rPr>
                <w:rFonts w:cstheme="minorHAnsi"/>
                <w:color w:val="000000"/>
                <w:sz w:val="22"/>
                <w:szCs w:val="22"/>
              </w:rPr>
            </w:pPr>
            <w:r w:rsidRPr="0034052F">
              <w:rPr>
                <w:rFonts w:cstheme="minorHAnsi"/>
                <w:color w:val="000000"/>
                <w:sz w:val="22"/>
                <w:szCs w:val="22"/>
              </w:rPr>
              <w:t>VPDES Industrial Small</w:t>
            </w:r>
            <w:r w:rsidRPr="0034052F">
              <w:rPr>
                <w:rFonts w:cstheme="minorHAnsi"/>
                <w:color w:val="000000"/>
                <w:sz w:val="22"/>
                <w:szCs w:val="22"/>
                <w:vertAlign w:val="superscript"/>
              </w:rPr>
              <w:t xml:space="preserve">4 </w:t>
            </w:r>
          </w:p>
        </w:tc>
        <w:tc>
          <w:tcPr>
            <w:tcW w:w="900" w:type="dxa"/>
            <w:vAlign w:val="center"/>
          </w:tcPr>
          <w:p w14:paraId="1CE241B8"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2EFFE784"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2A618B38"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7B26BC21"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180C478F"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r>
      <w:tr w:rsidR="00FB43CA" w:rsidRPr="00784A33" w14:paraId="5C3D4556" w14:textId="77777777" w:rsidTr="005D0895">
        <w:trPr>
          <w:trHeight w:val="360"/>
        </w:trPr>
        <w:tc>
          <w:tcPr>
            <w:tcW w:w="4765" w:type="dxa"/>
          </w:tcPr>
          <w:p w14:paraId="754C42AD" w14:textId="77777777" w:rsidR="00E532DD" w:rsidRPr="0034052F" w:rsidRDefault="00E532DD">
            <w:pPr>
              <w:autoSpaceDE w:val="0"/>
              <w:autoSpaceDN w:val="0"/>
              <w:adjustRightInd w:val="0"/>
              <w:rPr>
                <w:rFonts w:cstheme="minorHAnsi"/>
                <w:color w:val="000000"/>
                <w:sz w:val="22"/>
                <w:szCs w:val="22"/>
              </w:rPr>
            </w:pPr>
            <w:r w:rsidRPr="0034052F">
              <w:rPr>
                <w:rFonts w:cstheme="minorHAnsi"/>
                <w:color w:val="000000"/>
                <w:sz w:val="22"/>
                <w:szCs w:val="22"/>
              </w:rPr>
              <w:t>VPDES General</w:t>
            </w:r>
            <w:r w:rsidRPr="0034052F">
              <w:rPr>
                <w:rFonts w:cstheme="minorHAnsi"/>
                <w:color w:val="000000"/>
                <w:sz w:val="22"/>
                <w:szCs w:val="22"/>
                <w:vertAlign w:val="superscript"/>
              </w:rPr>
              <w:t>5</w:t>
            </w:r>
          </w:p>
        </w:tc>
        <w:tc>
          <w:tcPr>
            <w:tcW w:w="900" w:type="dxa"/>
            <w:vAlign w:val="center"/>
          </w:tcPr>
          <w:p w14:paraId="09A6E3E8"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6281F4E6"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2E9D0F8C"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5A6A283A"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35962604"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r>
      <w:tr w:rsidR="00FB43CA" w:rsidRPr="00784A33" w14:paraId="5683C7E3" w14:textId="77777777" w:rsidTr="005D0895">
        <w:trPr>
          <w:trHeight w:val="360"/>
        </w:trPr>
        <w:tc>
          <w:tcPr>
            <w:tcW w:w="4765" w:type="dxa"/>
          </w:tcPr>
          <w:p w14:paraId="3599E4EF" w14:textId="77777777" w:rsidR="00E532DD" w:rsidRPr="0034052F" w:rsidRDefault="00E532DD">
            <w:pPr>
              <w:autoSpaceDE w:val="0"/>
              <w:autoSpaceDN w:val="0"/>
              <w:adjustRightInd w:val="0"/>
              <w:rPr>
                <w:rFonts w:cstheme="minorHAnsi"/>
                <w:color w:val="000000"/>
                <w:sz w:val="22"/>
                <w:szCs w:val="22"/>
              </w:rPr>
            </w:pPr>
            <w:r w:rsidRPr="0034052F">
              <w:rPr>
                <w:rFonts w:cstheme="minorHAnsi"/>
                <w:color w:val="000000"/>
                <w:sz w:val="22"/>
                <w:szCs w:val="22"/>
              </w:rPr>
              <w:t>VPDES Sampling</w:t>
            </w:r>
            <w:r w:rsidRPr="0034052F">
              <w:rPr>
                <w:rFonts w:cstheme="minorHAnsi"/>
                <w:color w:val="000000"/>
                <w:sz w:val="22"/>
                <w:szCs w:val="22"/>
                <w:vertAlign w:val="superscript"/>
              </w:rPr>
              <w:t>6</w:t>
            </w:r>
          </w:p>
        </w:tc>
        <w:tc>
          <w:tcPr>
            <w:tcW w:w="900" w:type="dxa"/>
            <w:vAlign w:val="center"/>
          </w:tcPr>
          <w:p w14:paraId="6BF085DB"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054C0505"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50693801"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6F965820"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75BFB4B0"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r>
      <w:tr w:rsidR="000C2393" w:rsidRPr="00784A33" w14:paraId="166AE6AC" w14:textId="77777777" w:rsidTr="005D0895">
        <w:trPr>
          <w:trHeight w:val="360"/>
        </w:trPr>
        <w:tc>
          <w:tcPr>
            <w:tcW w:w="4765" w:type="dxa"/>
          </w:tcPr>
          <w:p w14:paraId="1898245D" w14:textId="77777777" w:rsidR="00E532DD" w:rsidRPr="0034052F" w:rsidRDefault="00E532DD">
            <w:pPr>
              <w:autoSpaceDE w:val="0"/>
              <w:autoSpaceDN w:val="0"/>
              <w:adjustRightInd w:val="0"/>
              <w:rPr>
                <w:rFonts w:cstheme="minorHAnsi"/>
                <w:color w:val="000000"/>
                <w:sz w:val="22"/>
                <w:szCs w:val="22"/>
              </w:rPr>
            </w:pPr>
            <w:r w:rsidRPr="0034052F">
              <w:rPr>
                <w:rFonts w:cstheme="minorHAnsi"/>
                <w:color w:val="000000"/>
                <w:sz w:val="22"/>
                <w:szCs w:val="22"/>
              </w:rPr>
              <w:t>VPDES/VPA AFO &amp; Poultry Individual and General</w:t>
            </w:r>
          </w:p>
        </w:tc>
        <w:tc>
          <w:tcPr>
            <w:tcW w:w="900" w:type="dxa"/>
            <w:vAlign w:val="center"/>
          </w:tcPr>
          <w:p w14:paraId="1FB7AF8C"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64D64455"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0B084CBF"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c>
          <w:tcPr>
            <w:tcW w:w="990" w:type="dxa"/>
            <w:vAlign w:val="center"/>
          </w:tcPr>
          <w:p w14:paraId="5874E306"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17363A65" w14:textId="77777777" w:rsidR="00E532DD" w:rsidRPr="0034052F" w:rsidRDefault="00E532DD">
            <w:pPr>
              <w:autoSpaceDE w:val="0"/>
              <w:autoSpaceDN w:val="0"/>
              <w:adjustRightInd w:val="0"/>
              <w:jc w:val="center"/>
              <w:rPr>
                <w:rFonts w:cstheme="minorHAnsi"/>
                <w:b/>
                <w:color w:val="000000"/>
                <w:sz w:val="22"/>
                <w:szCs w:val="22"/>
              </w:rPr>
            </w:pPr>
          </w:p>
        </w:tc>
      </w:tr>
      <w:tr w:rsidR="00FB43CA" w:rsidRPr="00784A33" w14:paraId="49A0FB79" w14:textId="77777777" w:rsidTr="005D0895">
        <w:tc>
          <w:tcPr>
            <w:tcW w:w="4765" w:type="dxa"/>
          </w:tcPr>
          <w:p w14:paraId="1E200DE2" w14:textId="77777777" w:rsidR="00E532DD" w:rsidRPr="0034052F" w:rsidRDefault="00E532DD">
            <w:pPr>
              <w:autoSpaceDE w:val="0"/>
              <w:autoSpaceDN w:val="0"/>
              <w:adjustRightInd w:val="0"/>
              <w:rPr>
                <w:rFonts w:cstheme="minorHAnsi"/>
                <w:color w:val="000000"/>
                <w:sz w:val="22"/>
                <w:szCs w:val="22"/>
                <w:vertAlign w:val="superscript"/>
              </w:rPr>
            </w:pPr>
            <w:r w:rsidRPr="0034052F">
              <w:rPr>
                <w:rFonts w:cstheme="minorHAnsi"/>
                <w:color w:val="000000"/>
                <w:sz w:val="22"/>
                <w:szCs w:val="22"/>
              </w:rPr>
              <w:t>VPDES/VPA AFO &amp; Poultry Individual and General (in compliance and not contributing to Section 303(d) or 305(b) listing)</w:t>
            </w:r>
          </w:p>
        </w:tc>
        <w:tc>
          <w:tcPr>
            <w:tcW w:w="900" w:type="dxa"/>
            <w:vAlign w:val="center"/>
          </w:tcPr>
          <w:p w14:paraId="4EC14FD2"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69201862"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0F54536D"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31113EB0"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c>
          <w:tcPr>
            <w:tcW w:w="900" w:type="dxa"/>
            <w:vAlign w:val="center"/>
          </w:tcPr>
          <w:p w14:paraId="7D9EA15A" w14:textId="77777777" w:rsidR="00E532DD" w:rsidRPr="0034052F" w:rsidRDefault="00E532DD">
            <w:pPr>
              <w:autoSpaceDE w:val="0"/>
              <w:autoSpaceDN w:val="0"/>
              <w:adjustRightInd w:val="0"/>
              <w:jc w:val="center"/>
              <w:rPr>
                <w:rFonts w:cstheme="minorHAnsi"/>
                <w:b/>
                <w:color w:val="000000"/>
                <w:sz w:val="22"/>
                <w:szCs w:val="22"/>
              </w:rPr>
            </w:pPr>
          </w:p>
        </w:tc>
      </w:tr>
      <w:tr w:rsidR="00FB43CA" w:rsidRPr="00784A33" w14:paraId="05D826F1" w14:textId="77777777" w:rsidTr="005D0895">
        <w:trPr>
          <w:trHeight w:val="360"/>
        </w:trPr>
        <w:tc>
          <w:tcPr>
            <w:tcW w:w="4765" w:type="dxa"/>
          </w:tcPr>
          <w:p w14:paraId="3FDC1B83" w14:textId="77777777" w:rsidR="00E532DD" w:rsidRPr="0034052F" w:rsidRDefault="00E532DD">
            <w:pPr>
              <w:autoSpaceDE w:val="0"/>
              <w:autoSpaceDN w:val="0"/>
              <w:adjustRightInd w:val="0"/>
              <w:rPr>
                <w:rFonts w:cstheme="minorHAnsi"/>
                <w:color w:val="000000"/>
                <w:sz w:val="22"/>
                <w:szCs w:val="22"/>
              </w:rPr>
            </w:pPr>
            <w:r w:rsidRPr="0034052F">
              <w:rPr>
                <w:rFonts w:cstheme="minorHAnsi"/>
                <w:color w:val="000000"/>
                <w:sz w:val="22"/>
                <w:szCs w:val="22"/>
              </w:rPr>
              <w:t>VPA IP (High Priority)</w:t>
            </w:r>
            <w:r w:rsidRPr="0034052F">
              <w:rPr>
                <w:rFonts w:cstheme="minorHAnsi"/>
                <w:color w:val="000000"/>
                <w:sz w:val="22"/>
                <w:szCs w:val="22"/>
                <w:vertAlign w:val="superscript"/>
              </w:rPr>
              <w:t>7</w:t>
            </w:r>
          </w:p>
        </w:tc>
        <w:tc>
          <w:tcPr>
            <w:tcW w:w="900" w:type="dxa"/>
            <w:vAlign w:val="center"/>
          </w:tcPr>
          <w:p w14:paraId="7A184029"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c>
          <w:tcPr>
            <w:tcW w:w="900" w:type="dxa"/>
            <w:vAlign w:val="center"/>
          </w:tcPr>
          <w:p w14:paraId="0F62615B"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4C3D884B"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6FA293D6"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4B0E7CD7" w14:textId="77777777" w:rsidR="00E532DD" w:rsidRPr="0034052F" w:rsidRDefault="00E532DD">
            <w:pPr>
              <w:autoSpaceDE w:val="0"/>
              <w:autoSpaceDN w:val="0"/>
              <w:adjustRightInd w:val="0"/>
              <w:jc w:val="center"/>
              <w:rPr>
                <w:rFonts w:cstheme="minorHAnsi"/>
                <w:b/>
                <w:color w:val="000000"/>
                <w:sz w:val="22"/>
                <w:szCs w:val="22"/>
              </w:rPr>
            </w:pPr>
          </w:p>
        </w:tc>
      </w:tr>
      <w:tr w:rsidR="00FB43CA" w:rsidRPr="00784A33" w14:paraId="70415F07" w14:textId="77777777" w:rsidTr="005D0895">
        <w:trPr>
          <w:trHeight w:val="360"/>
        </w:trPr>
        <w:tc>
          <w:tcPr>
            <w:tcW w:w="4765" w:type="dxa"/>
          </w:tcPr>
          <w:p w14:paraId="505A8F11" w14:textId="77777777" w:rsidR="00E532DD" w:rsidRPr="0034052F" w:rsidRDefault="00E532DD">
            <w:pPr>
              <w:autoSpaceDE w:val="0"/>
              <w:autoSpaceDN w:val="0"/>
              <w:adjustRightInd w:val="0"/>
              <w:rPr>
                <w:rFonts w:cstheme="minorHAnsi"/>
                <w:color w:val="000000"/>
                <w:sz w:val="22"/>
                <w:szCs w:val="22"/>
              </w:rPr>
            </w:pPr>
            <w:r w:rsidRPr="0034052F">
              <w:rPr>
                <w:rFonts w:cstheme="minorHAnsi"/>
                <w:color w:val="000000"/>
                <w:sz w:val="22"/>
                <w:szCs w:val="22"/>
              </w:rPr>
              <w:t>VPA IP (Low Priority)</w:t>
            </w:r>
            <w:r w:rsidRPr="0034052F">
              <w:rPr>
                <w:rFonts w:cstheme="minorHAnsi"/>
                <w:color w:val="000000"/>
                <w:sz w:val="22"/>
                <w:szCs w:val="22"/>
                <w:vertAlign w:val="superscript"/>
              </w:rPr>
              <w:t>8</w:t>
            </w:r>
          </w:p>
        </w:tc>
        <w:tc>
          <w:tcPr>
            <w:tcW w:w="900" w:type="dxa"/>
            <w:vAlign w:val="center"/>
          </w:tcPr>
          <w:p w14:paraId="3D2F5CC3"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5D0679A8"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5C76138C" w14:textId="77777777" w:rsidR="00E532DD" w:rsidRPr="0034052F" w:rsidRDefault="00E532DD">
            <w:pPr>
              <w:autoSpaceDE w:val="0"/>
              <w:autoSpaceDN w:val="0"/>
              <w:adjustRightInd w:val="0"/>
              <w:jc w:val="center"/>
              <w:rPr>
                <w:rFonts w:cstheme="minorHAnsi"/>
                <w:b/>
                <w:color w:val="000000"/>
                <w:sz w:val="22"/>
                <w:szCs w:val="22"/>
              </w:rPr>
            </w:pPr>
          </w:p>
        </w:tc>
        <w:tc>
          <w:tcPr>
            <w:tcW w:w="990" w:type="dxa"/>
            <w:vAlign w:val="center"/>
          </w:tcPr>
          <w:p w14:paraId="38D8C2D1" w14:textId="77777777" w:rsidR="00E532DD" w:rsidRPr="0034052F" w:rsidRDefault="00E532DD">
            <w:pPr>
              <w:autoSpaceDE w:val="0"/>
              <w:autoSpaceDN w:val="0"/>
              <w:adjustRightInd w:val="0"/>
              <w:jc w:val="center"/>
              <w:rPr>
                <w:rFonts w:cstheme="minorHAnsi"/>
                <w:b/>
                <w:color w:val="000000"/>
                <w:sz w:val="22"/>
                <w:szCs w:val="22"/>
              </w:rPr>
            </w:pPr>
          </w:p>
        </w:tc>
        <w:tc>
          <w:tcPr>
            <w:tcW w:w="900" w:type="dxa"/>
            <w:vAlign w:val="center"/>
          </w:tcPr>
          <w:p w14:paraId="6EB6A769" w14:textId="77777777" w:rsidR="00E532DD" w:rsidRPr="0034052F" w:rsidRDefault="00E532DD">
            <w:pPr>
              <w:autoSpaceDE w:val="0"/>
              <w:autoSpaceDN w:val="0"/>
              <w:adjustRightInd w:val="0"/>
              <w:jc w:val="center"/>
              <w:rPr>
                <w:rFonts w:cstheme="minorHAnsi"/>
                <w:b/>
                <w:color w:val="000000"/>
                <w:sz w:val="22"/>
                <w:szCs w:val="22"/>
              </w:rPr>
            </w:pPr>
            <w:r w:rsidRPr="0034052F">
              <w:rPr>
                <w:rFonts w:cstheme="minorHAnsi"/>
                <w:b/>
                <w:color w:val="000000"/>
                <w:sz w:val="22"/>
                <w:szCs w:val="22"/>
              </w:rPr>
              <w:t>X</w:t>
            </w:r>
          </w:p>
        </w:tc>
      </w:tr>
    </w:tbl>
    <w:p w14:paraId="4A5A7CF7" w14:textId="77777777" w:rsidR="00E532DD" w:rsidRPr="0034052F" w:rsidRDefault="00E532DD" w:rsidP="00E532DD">
      <w:pPr>
        <w:pStyle w:val="FootnoteText"/>
        <w:jc w:val="both"/>
        <w:rPr>
          <w:rFonts w:cstheme="minorHAnsi"/>
          <w:bCs/>
          <w:color w:val="000000"/>
          <w:vertAlign w:val="superscript"/>
        </w:rPr>
      </w:pPr>
      <w:r w:rsidRPr="0034052F">
        <w:rPr>
          <w:rFonts w:cstheme="minorHAnsi"/>
          <w:bCs/>
          <w:color w:val="000000"/>
          <w:vertAlign w:val="superscript"/>
        </w:rPr>
        <w:t xml:space="preserve">1 </w:t>
      </w:r>
      <w:r w:rsidRPr="0034052F">
        <w:rPr>
          <w:rStyle w:val="FootnoteReference"/>
          <w:rFonts w:cstheme="minorHAnsi"/>
          <w:bCs/>
        </w:rPr>
        <w:t>Includes Combined Sewer Overflow facilities.</w:t>
      </w:r>
    </w:p>
    <w:p w14:paraId="0C78E1B5" w14:textId="2EFB941F" w:rsidR="00E532DD" w:rsidRPr="0034052F" w:rsidRDefault="00E532DD" w:rsidP="0A5BE548">
      <w:pPr>
        <w:pStyle w:val="FootnoteText"/>
        <w:jc w:val="both"/>
        <w:rPr>
          <w:rFonts w:cstheme="minorBidi"/>
          <w:color w:val="000000"/>
          <w:vertAlign w:val="superscript"/>
        </w:rPr>
      </w:pPr>
      <w:r w:rsidRPr="0A5BE548">
        <w:rPr>
          <w:rFonts w:cstheme="minorBidi"/>
          <w:color w:val="000000" w:themeColor="text1"/>
          <w:vertAlign w:val="superscript"/>
        </w:rPr>
        <w:t xml:space="preserve">2 </w:t>
      </w:r>
      <w:r w:rsidRPr="0A5BE548">
        <w:rPr>
          <w:rStyle w:val="FootnoteReference"/>
          <w:rFonts w:cstheme="minorBidi"/>
          <w:color w:val="000000" w:themeColor="text1"/>
        </w:rPr>
        <w:t xml:space="preserve">Minor facilities that are in compliance and not contributing to Section 303(d) or 305(b) listing may have their inspection frequency reduced to once per three </w:t>
      </w:r>
      <w:r w:rsidR="3AC6FCA0" w:rsidRPr="0A5BE548">
        <w:rPr>
          <w:rStyle w:val="FootnoteReference"/>
          <w:rFonts w:cstheme="minorBidi"/>
          <w:color w:val="000000" w:themeColor="text1"/>
        </w:rPr>
        <w:t>years.</w:t>
      </w:r>
      <w:r w:rsidRPr="0A5BE548">
        <w:rPr>
          <w:rFonts w:cstheme="minorBidi"/>
          <w:color w:val="000000" w:themeColor="text1"/>
          <w:vertAlign w:val="superscript"/>
        </w:rPr>
        <w:t xml:space="preserve"> </w:t>
      </w:r>
    </w:p>
    <w:p w14:paraId="1477854B" w14:textId="77777777" w:rsidR="00E532DD" w:rsidRPr="0034052F" w:rsidRDefault="00E532DD" w:rsidP="00E532DD">
      <w:pPr>
        <w:pStyle w:val="FootnoteText"/>
        <w:jc w:val="both"/>
        <w:rPr>
          <w:rStyle w:val="FootnoteReference"/>
          <w:rFonts w:cstheme="minorHAnsi"/>
        </w:rPr>
      </w:pPr>
      <w:r w:rsidRPr="0034052F">
        <w:rPr>
          <w:rStyle w:val="FootnoteReference"/>
          <w:rFonts w:cstheme="minorHAnsi"/>
          <w:bCs/>
          <w:vertAlign w:val="superscript"/>
        </w:rPr>
        <w:t>3</w:t>
      </w:r>
      <w:r w:rsidRPr="0034052F">
        <w:rPr>
          <w:rStyle w:val="FootnoteReference"/>
          <w:rFonts w:cstheme="minorHAnsi"/>
          <w:bCs/>
        </w:rPr>
        <w:t xml:space="preserve"> Major facilities that are in compliance and not contributing to Section 303(d) or 305(b) listing may have their inspection frequency reduced to once per three years.</w:t>
      </w:r>
    </w:p>
    <w:p w14:paraId="48414BFD" w14:textId="77777777" w:rsidR="00E532DD" w:rsidRPr="0034052F" w:rsidRDefault="00E532DD" w:rsidP="00E532DD">
      <w:pPr>
        <w:pStyle w:val="FootnoteText"/>
        <w:jc w:val="both"/>
        <w:rPr>
          <w:rStyle w:val="FootnoteReference"/>
          <w:rFonts w:cstheme="minorHAnsi"/>
          <w:bCs/>
        </w:rPr>
      </w:pPr>
      <w:r w:rsidRPr="0034052F">
        <w:rPr>
          <w:rStyle w:val="FootnoteReference"/>
          <w:rFonts w:cstheme="minorHAnsi"/>
          <w:bCs/>
          <w:vertAlign w:val="superscript"/>
        </w:rPr>
        <w:t>4</w:t>
      </w:r>
      <w:r w:rsidRPr="0034052F">
        <w:rPr>
          <w:rStyle w:val="FootnoteReference"/>
          <w:rFonts w:cstheme="minorHAnsi"/>
          <w:bCs/>
        </w:rPr>
        <w:t xml:space="preserve"> Small is an industrial facility with low environmental impact potential such as discharges of non-contact cooling water, sand and gravel operations, car washes, etc. </w:t>
      </w:r>
    </w:p>
    <w:p w14:paraId="0C0CF62A" w14:textId="77777777" w:rsidR="00E532DD" w:rsidRPr="0034052F" w:rsidRDefault="00E532DD" w:rsidP="00E532DD">
      <w:pPr>
        <w:pStyle w:val="FootnoteText"/>
        <w:jc w:val="both"/>
        <w:rPr>
          <w:rStyle w:val="FootnoteReference"/>
          <w:rFonts w:cstheme="minorHAnsi"/>
          <w:bCs/>
        </w:rPr>
      </w:pPr>
      <w:r w:rsidRPr="0034052F">
        <w:rPr>
          <w:rStyle w:val="FootnoteReference"/>
          <w:rFonts w:cstheme="minorHAnsi"/>
          <w:bCs/>
          <w:vertAlign w:val="superscript"/>
        </w:rPr>
        <w:t>5</w:t>
      </w:r>
      <w:r w:rsidRPr="0034052F">
        <w:rPr>
          <w:rStyle w:val="FootnoteReference"/>
          <w:rFonts w:cstheme="minorHAnsi"/>
          <w:bCs/>
        </w:rPr>
        <w:t xml:space="preserve"> All General Permits including Industrial Stormwater permits. Includes multiple home and non-residential domestic wastewater facilities covered by General Permit (defer inspections of single-family homes covered by a general permit to the local Health Department). Petroleum General Permit inspections are conducted on an as needed basis due to the short duration of activity at these sites. </w:t>
      </w:r>
    </w:p>
    <w:p w14:paraId="684C6725" w14:textId="77777777" w:rsidR="00E532DD" w:rsidRPr="0034052F" w:rsidRDefault="00E532DD" w:rsidP="00E532DD">
      <w:pPr>
        <w:pStyle w:val="FootnoteText"/>
        <w:jc w:val="both"/>
        <w:rPr>
          <w:rStyle w:val="FootnoteReference"/>
          <w:rFonts w:cstheme="minorHAnsi"/>
        </w:rPr>
      </w:pPr>
      <w:r w:rsidRPr="0034052F">
        <w:rPr>
          <w:rStyle w:val="FootnoteReference"/>
          <w:rFonts w:cstheme="minorHAnsi"/>
          <w:bCs/>
          <w:vertAlign w:val="superscript"/>
        </w:rPr>
        <w:t>6</w:t>
      </w:r>
      <w:r w:rsidRPr="0034052F">
        <w:rPr>
          <w:rStyle w:val="FootnoteReference"/>
          <w:rFonts w:cstheme="minorHAnsi"/>
          <w:bCs/>
        </w:rPr>
        <w:t xml:space="preserve"> Sampling inspections are conducted subject to the availability of effluent.</w:t>
      </w:r>
    </w:p>
    <w:p w14:paraId="561DF7FE" w14:textId="77777777" w:rsidR="00E532DD" w:rsidRPr="0034052F" w:rsidRDefault="00E532DD" w:rsidP="00E532DD">
      <w:pPr>
        <w:pStyle w:val="FootnoteText"/>
        <w:jc w:val="both"/>
        <w:rPr>
          <w:rStyle w:val="FootnoteReference"/>
          <w:rFonts w:cstheme="minorHAnsi"/>
          <w:bCs/>
          <w:color w:val="000000"/>
        </w:rPr>
      </w:pPr>
      <w:r w:rsidRPr="0034052F">
        <w:rPr>
          <w:rStyle w:val="FootnoteReference"/>
          <w:rFonts w:cstheme="minorHAnsi"/>
          <w:bCs/>
          <w:color w:val="000000"/>
          <w:vertAlign w:val="superscript"/>
        </w:rPr>
        <w:t>7</w:t>
      </w:r>
      <w:r w:rsidRPr="0034052F">
        <w:rPr>
          <w:rStyle w:val="FootnoteReference"/>
          <w:rFonts w:cstheme="minorHAnsi"/>
          <w:bCs/>
          <w:color w:val="000000"/>
        </w:rPr>
        <w:t xml:space="preserve"> High priority is assigned to facilities with high environmental impact potential or high public concern and includes animal feeding operations, wood preserving operations, sludge disposal activities, and other facilities so classified by the Regional Offices. An inspection of sludge disposal permitted facilities includes, as a minimum, an inspection of the storage facilities and at least one land application site per permitted facility per year.</w:t>
      </w:r>
    </w:p>
    <w:p w14:paraId="56BFA749" w14:textId="7CAC782D" w:rsidR="00E532DD" w:rsidRPr="0034052F" w:rsidRDefault="0034052F" w:rsidP="00E532DD">
      <w:pPr>
        <w:pStyle w:val="FootnoteText"/>
        <w:jc w:val="both"/>
        <w:rPr>
          <w:rStyle w:val="FootnoteReference"/>
          <w:rFonts w:cstheme="minorHAnsi"/>
          <w:bCs/>
          <w:color w:val="000000"/>
        </w:rPr>
      </w:pPr>
      <w:r w:rsidRPr="0034052F">
        <w:rPr>
          <w:rStyle w:val="FootnoteReference"/>
          <w:rFonts w:cstheme="minorHAnsi"/>
          <w:bCs/>
          <w:color w:val="000000"/>
          <w:vertAlign w:val="superscript"/>
        </w:rPr>
        <w:t>8</w:t>
      </w:r>
      <w:r w:rsidR="00E532DD" w:rsidRPr="0034052F">
        <w:rPr>
          <w:rStyle w:val="FootnoteReference"/>
          <w:rFonts w:cstheme="minorHAnsi"/>
          <w:bCs/>
          <w:color w:val="000000"/>
        </w:rPr>
        <w:t xml:space="preserve"> Low Priority is a VPA facility with low environmental impact potential.</w:t>
      </w:r>
    </w:p>
    <w:p w14:paraId="11817776" w14:textId="77777777" w:rsidR="00E532DD" w:rsidRPr="00784A33" w:rsidRDefault="00E532DD" w:rsidP="00E532DD">
      <w:pPr>
        <w:rPr>
          <w:rFonts w:cstheme="minorHAnsi"/>
          <w:b/>
          <w:szCs w:val="24"/>
        </w:rPr>
      </w:pPr>
      <w:r w:rsidRPr="00784A33">
        <w:rPr>
          <w:rFonts w:cstheme="minorHAnsi"/>
          <w:b/>
          <w:szCs w:val="24"/>
        </w:rPr>
        <w:br w:type="page"/>
      </w:r>
    </w:p>
    <w:p w14:paraId="1376330D" w14:textId="77DD99D1" w:rsidR="00E532DD" w:rsidRPr="005E514C" w:rsidRDefault="00E532DD" w:rsidP="00E532DD">
      <w:pPr>
        <w:pStyle w:val="Heading4"/>
      </w:pPr>
      <w:r w:rsidRPr="00784A33">
        <w:lastRenderedPageBreak/>
        <w:t xml:space="preserve">Erosion and Sediment Control and Stormwater Management </w:t>
      </w:r>
    </w:p>
    <w:p w14:paraId="38912C13" w14:textId="77777777" w:rsidR="00E532DD" w:rsidRPr="00784A33" w:rsidRDefault="00E532DD" w:rsidP="00451041">
      <w:pPr>
        <w:rPr>
          <w:rFonts w:cstheme="minorHAnsi"/>
          <w:szCs w:val="24"/>
        </w:rPr>
      </w:pPr>
      <w:r w:rsidRPr="00784A33">
        <w:rPr>
          <w:rFonts w:cstheme="minorHAnsi"/>
          <w:szCs w:val="24"/>
        </w:rPr>
        <w:t xml:space="preserve">In addition to the VPDES program, DEQ oversees the implementation of the Virginia Erosion and Sediment Control Law and Virginia Stormwater Management Act and their attendant regulations to control stormwater runoff associated with construction and post-construction activities. These programs incorporate the federal NPDES requirements for the regulation of stormwater from construction activities along with Virginia’s state stormwater program requirements. </w:t>
      </w:r>
    </w:p>
    <w:p w14:paraId="3454B124" w14:textId="77777777" w:rsidR="00E532DD" w:rsidRPr="00784A33" w:rsidRDefault="00E532DD" w:rsidP="00851B84">
      <w:pPr>
        <w:rPr>
          <w:rFonts w:cstheme="minorHAnsi"/>
          <w:szCs w:val="24"/>
        </w:rPr>
      </w:pPr>
    </w:p>
    <w:p w14:paraId="301C7C8F" w14:textId="1916DD93" w:rsidR="00E532DD" w:rsidRPr="00784A33" w:rsidRDefault="00E532DD" w:rsidP="00851B84">
      <w:pPr>
        <w:rPr>
          <w:rFonts w:cstheme="minorHAnsi"/>
          <w:color w:val="333333"/>
          <w:szCs w:val="24"/>
        </w:rPr>
      </w:pPr>
      <w:r w:rsidRPr="00784A33">
        <w:rPr>
          <w:rFonts w:cstheme="minorHAnsi"/>
          <w:szCs w:val="24"/>
        </w:rPr>
        <w:t xml:space="preserve">Land-disturbance equal to or greater than 10,000 square feet requires an erosion and sediment control plan </w:t>
      </w:r>
      <w:proofErr w:type="gramStart"/>
      <w:r w:rsidRPr="00784A33">
        <w:rPr>
          <w:rFonts w:cstheme="minorHAnsi"/>
          <w:szCs w:val="24"/>
        </w:rPr>
        <w:t>be</w:t>
      </w:r>
      <w:proofErr w:type="gramEnd"/>
      <w:r w:rsidRPr="00784A33">
        <w:rPr>
          <w:rFonts w:cstheme="minorHAnsi"/>
          <w:szCs w:val="24"/>
        </w:rPr>
        <w:t xml:space="preserve"> submitted to the appropriate regulating authority for review and approval. ESC regulations specify the "minimum standards" that must be followed on all regulated activities including criteria, techniques</w:t>
      </w:r>
      <w:r w:rsidR="00F4576E">
        <w:rPr>
          <w:rFonts w:cstheme="minorHAnsi"/>
          <w:szCs w:val="24"/>
        </w:rPr>
        <w:t>,</w:t>
      </w:r>
      <w:r w:rsidRPr="00784A33">
        <w:rPr>
          <w:rFonts w:cstheme="minorHAnsi"/>
          <w:szCs w:val="24"/>
        </w:rPr>
        <w:t xml:space="preserve"> and policies. All localities administer the Virginia Erosion and Sediment Control Program (VESCP) on most land-disturbing activities on privately owned lands. DEQ implements the VESCP for land-disturbing activities on state and federal lands, as well as a specific group of activities undertaken by utility, interstate and intrastate pipeline, and railroad companies.</w:t>
      </w:r>
    </w:p>
    <w:p w14:paraId="4FE3428E" w14:textId="538E16BF" w:rsidR="00E532DD" w:rsidRPr="00784A33" w:rsidRDefault="00E532DD" w:rsidP="00851B84">
      <w:pPr>
        <w:rPr>
          <w:rFonts w:cstheme="minorHAnsi"/>
          <w:szCs w:val="24"/>
        </w:rPr>
      </w:pPr>
    </w:p>
    <w:p w14:paraId="5C7D1BCC" w14:textId="77777777" w:rsidR="00E532DD" w:rsidRPr="00784A33" w:rsidRDefault="00E532DD" w:rsidP="00851B84">
      <w:pPr>
        <w:rPr>
          <w:rFonts w:cstheme="minorHAnsi"/>
          <w:szCs w:val="24"/>
        </w:rPr>
      </w:pPr>
      <w:r w:rsidRPr="00784A33">
        <w:rPr>
          <w:rFonts w:cstheme="minorHAnsi"/>
          <w:szCs w:val="24"/>
        </w:rPr>
        <w:t>Additionally, land disturbance activities equal to or greater than one acre, or less than one acre that are part of a larger common plan of development or sale that ultimately disturbs one or more acres, are regulated under the Virginia Stormwater Management Program (VSMP) Regulations (9VAC25-870) and the General Permit for Discharges of Stormwater from Construction Activities (9VAC25-880) to control water quality impacts, localized flooding, and stream channel erosion from new and redevelopment projects. These stormwater requirements serve to further safeguard the commonwealth’s receiving waters as well as fulfill the commonwealth’s commitment to reduce nonpoint source pollution from new and redevelopment projects under the Chesapeake Bay Total Maximum Daily Load (TMDL).</w:t>
      </w:r>
    </w:p>
    <w:p w14:paraId="46A0559F" w14:textId="53E6AD2A" w:rsidR="00E532DD" w:rsidRPr="00784A33" w:rsidRDefault="00E532DD" w:rsidP="0067286B">
      <w:pPr>
        <w:rPr>
          <w:rFonts w:cstheme="minorHAnsi"/>
          <w:szCs w:val="24"/>
        </w:rPr>
      </w:pPr>
    </w:p>
    <w:p w14:paraId="10019FEA" w14:textId="77777777" w:rsidR="00E532DD" w:rsidRPr="00784A33" w:rsidRDefault="00E532DD" w:rsidP="00E532DD">
      <w:pPr>
        <w:rPr>
          <w:rFonts w:cstheme="minorHAnsi"/>
          <w:szCs w:val="24"/>
        </w:rPr>
      </w:pPr>
      <w:r w:rsidRPr="00784A33">
        <w:rPr>
          <w:rFonts w:cstheme="minorHAnsi"/>
          <w:szCs w:val="24"/>
        </w:rPr>
        <w:t xml:space="preserve">The </w:t>
      </w:r>
      <w:proofErr w:type="gramStart"/>
      <w:r w:rsidRPr="00784A33">
        <w:rPr>
          <w:rFonts w:cstheme="minorHAnsi"/>
          <w:szCs w:val="24"/>
        </w:rPr>
        <w:t>construction general</w:t>
      </w:r>
      <w:proofErr w:type="gramEnd"/>
      <w:r w:rsidRPr="00784A33">
        <w:rPr>
          <w:rFonts w:cstheme="minorHAnsi"/>
          <w:szCs w:val="24"/>
        </w:rPr>
        <w:t xml:space="preserve"> permit requires the operator to implement a site-specific stormwater pollution prevention plan (SWPPP) that outlines the steps that must be taken to comply with the permit, including post-construction water quality and quantity requirements, to reduce pollutants in the stormwater runoff from the construction site. The SWPPP also specifies all potential pollutant sources that could enter stormwater leaving the construction site and covers methods used to reduce pollutants in stormwater runoff during and after construction. As of July 1, 2014, any locality that operates a regulated MS4 is required to implement the VSMP for private and local public projects. Localities not required to establish a VSMP may choose to opt to do so. DEQ serves as the VSMP authority for projects on state and federal lands, activities undertaken by utility, interstate and intrastate pipeline, and railroad companies, or any project in a locality that choose not to administer the VSMP. As of November 16, 2023, there were 6,458 active Construction GPs – of which more than 77 percent, the local government is the VSMP authority.</w:t>
      </w:r>
    </w:p>
    <w:p w14:paraId="29607DBF" w14:textId="0D0B8C36" w:rsidR="00E532DD" w:rsidRPr="00784A33" w:rsidRDefault="00E532DD" w:rsidP="00E532DD">
      <w:pPr>
        <w:rPr>
          <w:rFonts w:cstheme="minorHAnsi"/>
          <w:szCs w:val="24"/>
        </w:rPr>
      </w:pPr>
    </w:p>
    <w:p w14:paraId="75C4C287" w14:textId="77777777" w:rsidR="00E532DD" w:rsidRPr="00784A33" w:rsidRDefault="00E532DD" w:rsidP="00E532DD">
      <w:pPr>
        <w:rPr>
          <w:rFonts w:cstheme="minorHAnsi"/>
          <w:szCs w:val="24"/>
        </w:rPr>
      </w:pPr>
      <w:r w:rsidRPr="00784A33">
        <w:rPr>
          <w:rFonts w:cstheme="minorHAnsi"/>
          <w:szCs w:val="24"/>
        </w:rPr>
        <w:t xml:space="preserve">DEQ conducts periodic inspections of sites covered under the construction general permit. To ensure that local government programs are implemented in accordance with the erosion and </w:t>
      </w:r>
      <w:r w:rsidRPr="00784A33">
        <w:rPr>
          <w:rFonts w:cstheme="minorHAnsi"/>
          <w:szCs w:val="24"/>
        </w:rPr>
        <w:lastRenderedPageBreak/>
        <w:t xml:space="preserve">sediment control program, DEQ conducts reviews of these programs once per five years. DEQ is developing a similar program to conduct reviews of the VSMP implemented by localities. </w:t>
      </w:r>
    </w:p>
    <w:p w14:paraId="1867B373" w14:textId="77777777" w:rsidR="00E532DD" w:rsidRPr="00784A33" w:rsidRDefault="00E532DD" w:rsidP="00E532DD">
      <w:pPr>
        <w:rPr>
          <w:rFonts w:cstheme="minorHAnsi"/>
          <w:b/>
          <w:bCs/>
          <w:szCs w:val="24"/>
          <w:u w:val="single"/>
        </w:rPr>
      </w:pPr>
      <w:r w:rsidRPr="00784A33">
        <w:rPr>
          <w:rFonts w:cstheme="minorHAnsi"/>
          <w:szCs w:val="24"/>
        </w:rPr>
        <w:t>Additionally, any land-disturbing activities equal to or greater than 2,500 square feet and less than one acre located in areas designated as subject to the Chesapeake Bay Preservation Act must also comply with the minimum standards of the Virginia Erosion and Sediment Control regulations and the technical criteria and program requirements of the Virginia Stormwater Management Program regulations. However, construction general permit coverage is not required for those activities less than one acre, unless they are part of a common plan of development or sale.</w:t>
      </w:r>
      <w:r w:rsidRPr="00784A33">
        <w:rPr>
          <w:rFonts w:cstheme="minorHAnsi"/>
          <w:szCs w:val="24"/>
        </w:rPr>
        <w:br/>
      </w:r>
    </w:p>
    <w:p w14:paraId="5D5C06BC" w14:textId="20550268" w:rsidR="00E532DD" w:rsidRPr="00784A33" w:rsidRDefault="00E532DD" w:rsidP="00784A33">
      <w:pPr>
        <w:pStyle w:val="Heading4"/>
        <w:rPr>
          <w:u w:val="single"/>
        </w:rPr>
      </w:pPr>
      <w:r w:rsidRPr="00784A33">
        <w:t xml:space="preserve">Water Quality </w:t>
      </w:r>
      <w:r w:rsidR="003755C4">
        <w:t>Management Plan</w:t>
      </w:r>
      <w:r w:rsidR="008C5AFD">
        <w:t>ning</w:t>
      </w:r>
      <w:r w:rsidR="003755C4">
        <w:t xml:space="preserve"> </w:t>
      </w:r>
    </w:p>
    <w:p w14:paraId="6D7DB7C8" w14:textId="1FE7DD04" w:rsidR="00C02B5B" w:rsidRPr="00D47AF1" w:rsidRDefault="00E532DD" w:rsidP="00D47AF1">
      <w:r w:rsidRPr="00784A33">
        <w:rPr>
          <w:rFonts w:cstheme="minorHAnsi"/>
          <w:szCs w:val="24"/>
        </w:rPr>
        <w:t xml:space="preserve">DEQ uses Water Quality Management Plans (WQMPs), required by section 303(e) of the Clean Water Act, as the link between the water quality assessment required for this report and water quality-based controls. </w:t>
      </w:r>
      <w:r w:rsidR="008C5AFD">
        <w:rPr>
          <w:rFonts w:cstheme="minorHAnsi"/>
          <w:szCs w:val="24"/>
        </w:rPr>
        <w:t>WQMPs</w:t>
      </w:r>
      <w:r w:rsidRPr="00784A33">
        <w:rPr>
          <w:rFonts w:cstheme="minorHAnsi"/>
          <w:szCs w:val="24"/>
        </w:rPr>
        <w:t xml:space="preserve"> recommend control measures for the water quality problems identified and characterized in the 305(b) report. Control measures recommended in the plans are implemented through the VPDES permit system for point sources and regulated nonpoint sources such as some stormwater</w:t>
      </w:r>
      <w:r w:rsidR="008C5AFD">
        <w:rPr>
          <w:rFonts w:cstheme="minorHAnsi"/>
          <w:szCs w:val="24"/>
        </w:rPr>
        <w:t xml:space="preserve"> as described above</w:t>
      </w:r>
      <w:r w:rsidRPr="00784A33">
        <w:rPr>
          <w:rFonts w:cstheme="minorHAnsi"/>
          <w:szCs w:val="24"/>
        </w:rPr>
        <w:t>, and through the voluntary incentive-based application of Best Management Practices (BMPs) for nonpoint sources</w:t>
      </w:r>
      <w:r w:rsidR="008C5AFD">
        <w:rPr>
          <w:rFonts w:cstheme="minorHAnsi"/>
          <w:szCs w:val="24"/>
        </w:rPr>
        <w:t xml:space="preserve"> as described in Chapter 5</w:t>
      </w:r>
      <w:r w:rsidRPr="00784A33">
        <w:rPr>
          <w:rFonts w:cstheme="minorHAnsi"/>
          <w:szCs w:val="24"/>
        </w:rPr>
        <w:t xml:space="preserve">. WQMPs </w:t>
      </w:r>
      <w:proofErr w:type="gramStart"/>
      <w:r w:rsidRPr="00784A33">
        <w:rPr>
          <w:rFonts w:cstheme="minorHAnsi"/>
          <w:szCs w:val="24"/>
        </w:rPr>
        <w:t>establish</w:t>
      </w:r>
      <w:proofErr w:type="gramEnd"/>
      <w:r w:rsidRPr="00784A33">
        <w:rPr>
          <w:rFonts w:cstheme="minorHAnsi"/>
          <w:szCs w:val="24"/>
        </w:rPr>
        <w:t xml:space="preserve"> the strategy for returning impaired waters to meet water quality standards and for preventing the degradation of high-quality waters.</w:t>
      </w:r>
      <w:r w:rsidR="00F4576E">
        <w:rPr>
          <w:rFonts w:cstheme="minorHAnsi"/>
          <w:szCs w:val="24"/>
        </w:rPr>
        <w:br/>
      </w:r>
    </w:p>
    <w:p w14:paraId="33B6ED3D" w14:textId="0471EC7B" w:rsidR="00CD54BC" w:rsidRPr="0008548D" w:rsidRDefault="00266045" w:rsidP="00CD54BC">
      <w:pPr>
        <w:pStyle w:val="Heading2"/>
        <w:rPr>
          <w:rFonts w:cstheme="minorHAnsi"/>
        </w:rPr>
      </w:pPr>
      <w:bookmarkStart w:id="409" w:name="_Toc152763325"/>
      <w:bookmarkStart w:id="410" w:name="_Toc155771968"/>
      <w:bookmarkStart w:id="411" w:name="_Toc191900447"/>
      <w:r w:rsidRPr="0008548D">
        <w:rPr>
          <w:rFonts w:cstheme="minorHAnsi"/>
        </w:rPr>
        <w:t>303(d) Program Vision</w:t>
      </w:r>
      <w:bookmarkEnd w:id="409"/>
      <w:bookmarkEnd w:id="410"/>
      <w:bookmarkEnd w:id="411"/>
    </w:p>
    <w:p w14:paraId="0A56A476" w14:textId="54623A4D" w:rsidR="0008548D" w:rsidRPr="0008548D" w:rsidRDefault="0008548D" w:rsidP="0008548D">
      <w:pPr>
        <w:pStyle w:val="Heading3"/>
      </w:pPr>
      <w:r w:rsidRPr="0008548D">
        <w:t>I</w:t>
      </w:r>
      <w:r w:rsidR="00612EC7">
        <w:t>ntroduction</w:t>
      </w:r>
    </w:p>
    <w:p w14:paraId="6900FD2E" w14:textId="466D2BFF" w:rsidR="0008548D" w:rsidRPr="0008548D" w:rsidRDefault="00A236BE" w:rsidP="00A236BE">
      <w:pPr>
        <w:rPr>
          <w:rFonts w:cstheme="minorHAnsi"/>
        </w:rPr>
      </w:pPr>
      <w:r w:rsidRPr="00A236BE">
        <w:rPr>
          <w:rFonts w:cstheme="minorHAnsi"/>
        </w:rPr>
        <w:t xml:space="preserve">The Virginia Department of Environmental Quality (DEQ) is implementing the national 2022-2032 Vision for the Clean Water Act Section 303(d) Program (hereafter, 2022 Vision) which is the culmination of EPA’s collaboration with the states, territories, and tribes (hereafter, “states”) to renew and update EPA’s 2013 long-term Vision. EPA’s intent for the 2022 Vision is to identify opportunities for states to effectively manage their own 303(d) programs and achieve their unique water quality objectives. A key component of the 2022 Vision calls for each state to develop a Prioritization Framework that describes its long-term planning priorities through a discussion of goals and focus areas. DEQ has developed VA’s Prioritization Framework as a planning document that highlights priorities for the development of restoration plans and the employment of special studies for water quality impairments in need of greater study. The Framework also communicates the importance of planning and collaboration not only among 303(d) programs but also programs that fall outside 303(d) including other government and non-government entities and stakeholders. While the Framework describes planning priorities through 2032, it also allows for flexibility and adaptability to allow for changing circumstances. As such, it may become necessary to make future adjustments to the Framework to meet current and unforeseen challenges. </w:t>
      </w:r>
      <w:r w:rsidR="002607A1">
        <w:rPr>
          <w:rFonts w:cstheme="minorHAnsi"/>
        </w:rPr>
        <w:t>I</w:t>
      </w:r>
      <w:r w:rsidRPr="00A236BE">
        <w:rPr>
          <w:rFonts w:cstheme="minorHAnsi"/>
        </w:rPr>
        <w:t xml:space="preserve">f a modification to the Framework is required, the public will be engaged </w:t>
      </w:r>
      <w:r w:rsidR="000334DE">
        <w:rPr>
          <w:rFonts w:cstheme="minorHAnsi"/>
        </w:rPr>
        <w:t>in conjun</w:t>
      </w:r>
      <w:r w:rsidR="00C672D9">
        <w:rPr>
          <w:rFonts w:cstheme="minorHAnsi"/>
        </w:rPr>
        <w:t xml:space="preserve">ction </w:t>
      </w:r>
      <w:r w:rsidRPr="00A236BE">
        <w:rPr>
          <w:rFonts w:cstheme="minorHAnsi"/>
        </w:rPr>
        <w:t>with the Integrated Report public process.</w:t>
      </w:r>
      <w:r w:rsidR="002607A1">
        <w:rPr>
          <w:rFonts w:cstheme="minorHAnsi"/>
        </w:rPr>
        <w:t xml:space="preserve"> </w:t>
      </w:r>
      <w:r w:rsidRPr="00A236BE">
        <w:rPr>
          <w:rFonts w:cstheme="minorHAnsi"/>
        </w:rPr>
        <w:t>Virginia’s long-term planning for restoration of water quality is comprised of goals and focus areas which are discussed below.</w:t>
      </w:r>
      <w:r w:rsidR="0008548D">
        <w:rPr>
          <w:rFonts w:cstheme="minorHAnsi"/>
          <w:bCs/>
        </w:rPr>
        <w:br/>
      </w:r>
    </w:p>
    <w:p w14:paraId="65FDCBE3" w14:textId="4AB2E206" w:rsidR="0008548D" w:rsidRPr="0008548D" w:rsidRDefault="00612EC7" w:rsidP="0008548D">
      <w:pPr>
        <w:pStyle w:val="Heading3"/>
      </w:pPr>
      <w:r>
        <w:lastRenderedPageBreak/>
        <w:t>Framework Goals</w:t>
      </w:r>
    </w:p>
    <w:p w14:paraId="5483BF2C" w14:textId="16261905" w:rsidR="0008548D" w:rsidRPr="00905BCB" w:rsidRDefault="00527120" w:rsidP="0008548D">
      <w:pPr>
        <w:rPr>
          <w:rFonts w:cstheme="minorHAnsi"/>
          <w:bCs/>
        </w:rPr>
      </w:pPr>
      <w:r w:rsidRPr="00527120">
        <w:rPr>
          <w:rFonts w:cstheme="minorHAnsi"/>
        </w:rPr>
        <w:t xml:space="preserve">The purpose of the Framework is to describe VA’s long-term restoration plans to improve water quality most effectively and efficiently. Virginia’s Framework is grounded in five goals: Planning, Prioritization, Restoration, Data and Analysis, and Partnerships. The first three goals will be discussed in concert because together, they define Virginia’s long-term (2032) planning priorities designed to achieve improved water quality through restoration projects. The Data and Analysis and Partnerships goals are integral to the success of </w:t>
      </w:r>
      <w:proofErr w:type="gramStart"/>
      <w:r w:rsidRPr="00527120">
        <w:rPr>
          <w:rFonts w:cstheme="minorHAnsi"/>
        </w:rPr>
        <w:t>the planning</w:t>
      </w:r>
      <w:proofErr w:type="gramEnd"/>
      <w:r w:rsidRPr="00527120">
        <w:rPr>
          <w:rFonts w:cstheme="minorHAnsi"/>
        </w:rPr>
        <w:t>, prioritization, and restoration goals and therefore warrant separate discussion.</w:t>
      </w:r>
      <w:r w:rsidR="0008548D">
        <w:rPr>
          <w:rFonts w:cstheme="minorHAnsi"/>
        </w:rPr>
        <w:br/>
      </w:r>
    </w:p>
    <w:p w14:paraId="5D49D08D" w14:textId="77777777" w:rsidR="0008548D" w:rsidRPr="0008548D" w:rsidRDefault="0008548D" w:rsidP="0008548D">
      <w:pPr>
        <w:pStyle w:val="Heading4"/>
      </w:pPr>
      <w:r w:rsidRPr="0008548D">
        <w:t>Planning, Prioritization, and Restoration</w:t>
      </w:r>
    </w:p>
    <w:p w14:paraId="6E9A56EC" w14:textId="275A4FE6" w:rsidR="00DE1419" w:rsidRPr="0049520A" w:rsidRDefault="00DE1419" w:rsidP="00DE1419">
      <w:pPr>
        <w:rPr>
          <w:rFonts w:cstheme="minorHAnsi"/>
        </w:rPr>
      </w:pPr>
      <w:r w:rsidRPr="0049520A">
        <w:rPr>
          <w:rFonts w:cstheme="minorHAnsi"/>
        </w:rPr>
        <w:t xml:space="preserve">These three goals encompass the factors and </w:t>
      </w:r>
      <w:proofErr w:type="gramStart"/>
      <w:r w:rsidRPr="0049520A">
        <w:rPr>
          <w:rFonts w:cstheme="minorHAnsi"/>
        </w:rPr>
        <w:t>considerations,</w:t>
      </w:r>
      <w:proofErr w:type="gramEnd"/>
      <w:r w:rsidRPr="0049520A">
        <w:rPr>
          <w:rFonts w:cstheme="minorHAnsi"/>
        </w:rPr>
        <w:t xml:space="preserve"> described herein, provide the basis for long-term (through 2032) prioritization and planning for the development of restoration projects and special studies to improve water quality. Total Maximum Daily Loads (TMDL) and Advance Restoration Plans (ARP) are the most common types of restoration projects, but other types of projects may also be considered. The decision about the type of restoration project to be developed will be made in conjunction with project </w:t>
      </w:r>
      <w:proofErr w:type="gramStart"/>
      <w:r w:rsidRPr="0049520A">
        <w:rPr>
          <w:rFonts w:cstheme="minorHAnsi"/>
        </w:rPr>
        <w:t>stakeholders and</w:t>
      </w:r>
      <w:proofErr w:type="gramEnd"/>
      <w:r w:rsidRPr="0049520A">
        <w:rPr>
          <w:rFonts w:cstheme="minorHAnsi"/>
        </w:rPr>
        <w:t xml:space="preserve"> based on specific watershed characteristics and the most suitable option for improving water quality. Some impairments require special study designed to ascertain impairment causes, pollutant sources, and</w:t>
      </w:r>
      <w:r w:rsidR="004657D2">
        <w:rPr>
          <w:rFonts w:cstheme="minorHAnsi"/>
        </w:rPr>
        <w:t>/or</w:t>
      </w:r>
      <w:r w:rsidRPr="0049520A">
        <w:rPr>
          <w:rFonts w:cstheme="minorHAnsi"/>
        </w:rPr>
        <w:t xml:space="preserve"> most feasible options for restoring water quality. Such studies will support TMDL or ARP development, the implementation of </w:t>
      </w:r>
      <w:r w:rsidR="00A60FBA">
        <w:rPr>
          <w:rFonts w:cstheme="minorHAnsi"/>
        </w:rPr>
        <w:t>b</w:t>
      </w:r>
      <w:r w:rsidRPr="0049520A">
        <w:rPr>
          <w:rFonts w:cstheme="minorHAnsi"/>
        </w:rPr>
        <w:t xml:space="preserve">est </w:t>
      </w:r>
      <w:r w:rsidR="00A60FBA">
        <w:rPr>
          <w:rFonts w:cstheme="minorHAnsi"/>
        </w:rPr>
        <w:t>m</w:t>
      </w:r>
      <w:r w:rsidRPr="0049520A">
        <w:rPr>
          <w:rFonts w:cstheme="minorHAnsi"/>
        </w:rPr>
        <w:t xml:space="preserve">anagement </w:t>
      </w:r>
      <w:r w:rsidR="00A60FBA">
        <w:rPr>
          <w:rFonts w:cstheme="minorHAnsi"/>
        </w:rPr>
        <w:t>p</w:t>
      </w:r>
      <w:r w:rsidRPr="0049520A">
        <w:rPr>
          <w:rFonts w:cstheme="minorHAnsi"/>
        </w:rPr>
        <w:t xml:space="preserve">ractices, </w:t>
      </w:r>
      <w:r w:rsidR="004657D2">
        <w:rPr>
          <w:rFonts w:cstheme="minorHAnsi"/>
        </w:rPr>
        <w:t>and</w:t>
      </w:r>
      <w:r w:rsidRPr="0049520A">
        <w:rPr>
          <w:rFonts w:cstheme="minorHAnsi"/>
        </w:rPr>
        <w:t xml:space="preserve"> delisting of impaired waters.</w:t>
      </w:r>
      <w:r w:rsidR="000F6E79">
        <w:rPr>
          <w:rFonts w:cstheme="minorHAnsi"/>
        </w:rPr>
        <w:br/>
      </w:r>
      <w:r w:rsidRPr="0049520A">
        <w:rPr>
          <w:rFonts w:cstheme="minorHAnsi"/>
        </w:rPr>
        <w:t xml:space="preserve"> </w:t>
      </w:r>
    </w:p>
    <w:p w14:paraId="24D19882" w14:textId="0AA4F829" w:rsidR="00320909" w:rsidRDefault="00DE1419" w:rsidP="00DE1419">
      <w:pPr>
        <w:rPr>
          <w:rFonts w:cstheme="minorHAnsi"/>
        </w:rPr>
      </w:pPr>
      <w:r w:rsidRPr="0049520A">
        <w:rPr>
          <w:rFonts w:cstheme="minorHAnsi"/>
        </w:rPr>
        <w:t xml:space="preserve">VA will also identify shorter-term priorities every two years by identifying specific waterbodies that will be addressed through restoration plans which will be presented in each Integrated Report through 2032. </w:t>
      </w:r>
      <w:r w:rsidRPr="0049520A">
        <w:rPr>
          <w:rFonts w:cstheme="minorHAnsi"/>
          <w:bCs/>
        </w:rPr>
        <w:t xml:space="preserve">Those shorter-term priorities will be selected in line with Virginia’s long-term planning priorities discussed within this Framework. The </w:t>
      </w:r>
      <w:r w:rsidRPr="0049520A">
        <w:rPr>
          <w:rFonts w:cstheme="minorHAnsi"/>
        </w:rPr>
        <w:t xml:space="preserve">identification of shorter-term priorities provides the public with a reasonable expectation for TMDL or ARP development efforts while also allowing the program the flexibility it needs to undertake additional or emerging water quality issues or projects that are more complex as resources allow or to take on new priorities such as those stemming from the </w:t>
      </w:r>
      <w:r w:rsidR="003F0499">
        <w:rPr>
          <w:rFonts w:cstheme="minorHAnsi"/>
        </w:rPr>
        <w:t xml:space="preserve">Virginia </w:t>
      </w:r>
      <w:r w:rsidRPr="0049520A">
        <w:rPr>
          <w:rFonts w:cstheme="minorHAnsi"/>
        </w:rPr>
        <w:t>Legislature or Executive Office.</w:t>
      </w:r>
    </w:p>
    <w:p w14:paraId="4FCD1B81" w14:textId="77777777" w:rsidR="00320909" w:rsidRDefault="00320909" w:rsidP="00DE1419">
      <w:pPr>
        <w:rPr>
          <w:rFonts w:cstheme="minorHAnsi"/>
        </w:rPr>
      </w:pPr>
    </w:p>
    <w:p w14:paraId="1CAF12C4" w14:textId="17D48A5F" w:rsidR="00DE1419" w:rsidRPr="0049520A" w:rsidRDefault="00DE1419" w:rsidP="00DE1419">
      <w:pPr>
        <w:rPr>
          <w:rFonts w:cstheme="minorHAnsi"/>
        </w:rPr>
      </w:pPr>
      <w:r w:rsidRPr="0049520A">
        <w:rPr>
          <w:rFonts w:cstheme="minorHAnsi"/>
        </w:rPr>
        <w:t>Planning, prioritization, and restoration will focus on the following types of water quality impairments through 2032:</w:t>
      </w:r>
    </w:p>
    <w:p w14:paraId="036F97D0" w14:textId="3A7C31F1" w:rsidR="00DE1419" w:rsidRPr="0049520A" w:rsidRDefault="00DE1419" w:rsidP="00DE1419">
      <w:pPr>
        <w:pStyle w:val="ListParagraph"/>
        <w:widowControl/>
        <w:numPr>
          <w:ilvl w:val="0"/>
          <w:numId w:val="18"/>
        </w:numPr>
        <w:spacing w:before="0" w:after="160" w:line="259" w:lineRule="auto"/>
        <w:rPr>
          <w:rFonts w:cstheme="minorHAnsi"/>
        </w:rPr>
      </w:pPr>
      <w:r w:rsidRPr="0049520A">
        <w:rPr>
          <w:rFonts w:cstheme="minorHAnsi"/>
          <w:b/>
          <w:bCs/>
        </w:rPr>
        <w:t xml:space="preserve">Aquatic Life and Fish Consumption Impairments: </w:t>
      </w:r>
      <w:r w:rsidRPr="0049520A">
        <w:rPr>
          <w:rFonts w:cstheme="minorHAnsi"/>
        </w:rPr>
        <w:t xml:space="preserve">VA will leverage progress made in the previous Vision cycle by continuing to focus on aquatic life designated use impairments by developing TMDLs, ARPs, and Implementation Plans designed to improve the health of VA’s benthic macroinvertebrate communities. VA will also continue to focus efforts on fish consumption designated use impairments through the development of Polychlorinated Biphenyls (PCBs) TMDLs for the tidal and non-tidal portions of the James River and the Bluestone River. Additionally, VA will include long-term planning for the development of PCB TMDLs for </w:t>
      </w:r>
      <w:proofErr w:type="gramStart"/>
      <w:r w:rsidRPr="0049520A">
        <w:rPr>
          <w:rFonts w:cstheme="minorHAnsi"/>
        </w:rPr>
        <w:t>the York</w:t>
      </w:r>
      <w:proofErr w:type="gramEnd"/>
      <w:r w:rsidRPr="0049520A">
        <w:rPr>
          <w:rFonts w:cstheme="minorHAnsi"/>
        </w:rPr>
        <w:t xml:space="preserve"> and Rappahannock River watersheds.</w:t>
      </w:r>
    </w:p>
    <w:p w14:paraId="6B1FB949" w14:textId="34276890" w:rsidR="00DE1419" w:rsidRPr="0049520A" w:rsidRDefault="00DE1419" w:rsidP="00DE1419">
      <w:pPr>
        <w:pStyle w:val="ListParagraph"/>
        <w:widowControl/>
        <w:numPr>
          <w:ilvl w:val="0"/>
          <w:numId w:val="18"/>
        </w:numPr>
        <w:spacing w:before="0" w:after="160" w:line="259" w:lineRule="auto"/>
        <w:rPr>
          <w:rFonts w:cstheme="minorHAnsi"/>
        </w:rPr>
      </w:pPr>
      <w:r w:rsidRPr="0049520A">
        <w:rPr>
          <w:rFonts w:cstheme="minorHAnsi"/>
          <w:b/>
          <w:bCs/>
        </w:rPr>
        <w:lastRenderedPageBreak/>
        <w:t xml:space="preserve">Harmful Algal Blooms: </w:t>
      </w:r>
      <w:r w:rsidRPr="0049520A">
        <w:rPr>
          <w:rFonts w:cstheme="minorHAnsi"/>
          <w:shd w:val="clear" w:color="auto" w:fill="FFFFFF"/>
        </w:rPr>
        <w:t xml:space="preserve">In 2022, Virginia’s General Assembly appropriated $3.5 million to DEQ to study harmful algal blooms (HABs) in Lake Anna and the Shenandoah River basin. The Virginia Department of Health (VDH) is a study participant, as they are the agency responsible for issuing no-swimming advisories for Lake Anna and algal mat alerts for sections of the Shenandoah River basin. The studies funded by the General Assembly will focus on the environmental factors that cause these HABs </w:t>
      </w:r>
      <w:proofErr w:type="gramStart"/>
      <w:r w:rsidRPr="0049520A">
        <w:rPr>
          <w:rFonts w:cstheme="minorHAnsi"/>
          <w:shd w:val="clear" w:color="auto" w:fill="FFFFFF"/>
        </w:rPr>
        <w:t>and,</w:t>
      </w:r>
      <w:proofErr w:type="gramEnd"/>
      <w:r w:rsidRPr="0049520A">
        <w:rPr>
          <w:rFonts w:cstheme="minorHAnsi"/>
          <w:shd w:val="clear" w:color="auto" w:fill="FFFFFF"/>
        </w:rPr>
        <w:t xml:space="preserve"> where water quality impairments exist </w:t>
      </w:r>
      <w:proofErr w:type="gramStart"/>
      <w:r w:rsidRPr="0049520A">
        <w:rPr>
          <w:rFonts w:cstheme="minorHAnsi"/>
          <w:shd w:val="clear" w:color="auto" w:fill="FFFFFF"/>
        </w:rPr>
        <w:t>as a result of</w:t>
      </w:r>
      <w:proofErr w:type="gramEnd"/>
      <w:r w:rsidRPr="0049520A">
        <w:rPr>
          <w:rFonts w:cstheme="minorHAnsi"/>
          <w:shd w:val="clear" w:color="auto" w:fill="FFFFFF"/>
        </w:rPr>
        <w:t xml:space="preserve"> a no-swim advisory(</w:t>
      </w:r>
      <w:proofErr w:type="spellStart"/>
      <w:r w:rsidRPr="0049520A">
        <w:rPr>
          <w:rFonts w:cstheme="minorHAnsi"/>
          <w:shd w:val="clear" w:color="auto" w:fill="FFFFFF"/>
        </w:rPr>
        <w:t>ies</w:t>
      </w:r>
      <w:proofErr w:type="spellEnd"/>
      <w:r w:rsidRPr="0049520A">
        <w:rPr>
          <w:rFonts w:cstheme="minorHAnsi"/>
          <w:shd w:val="clear" w:color="auto" w:fill="FFFFFF"/>
        </w:rPr>
        <w:t>), management approaches that could be employed to prevent and mitigate their impacts. Other waters that may be impacted by HABs will be considered for additional study as appropriate.</w:t>
      </w:r>
    </w:p>
    <w:p w14:paraId="3B142499" w14:textId="46F5FBFF" w:rsidR="00DE1419" w:rsidRPr="0049520A" w:rsidRDefault="00DE1419" w:rsidP="00DE1419">
      <w:pPr>
        <w:pStyle w:val="ListParagraph"/>
        <w:widowControl/>
        <w:numPr>
          <w:ilvl w:val="0"/>
          <w:numId w:val="18"/>
        </w:numPr>
        <w:spacing w:before="0" w:after="160" w:line="259" w:lineRule="auto"/>
        <w:rPr>
          <w:rFonts w:cstheme="minorHAnsi"/>
          <w:bCs/>
        </w:rPr>
      </w:pPr>
      <w:r w:rsidRPr="0049520A">
        <w:rPr>
          <w:rFonts w:cstheme="minorHAnsi"/>
          <w:b/>
        </w:rPr>
        <w:t xml:space="preserve">Temperature impairments: </w:t>
      </w:r>
      <w:r w:rsidRPr="0049520A">
        <w:rPr>
          <w:rFonts w:cstheme="minorHAnsi"/>
          <w:bCs/>
        </w:rPr>
        <w:t xml:space="preserve">Continuous monitoring studies will be utilized to collect additional data in many of VA’s temperature impaired waters to support TMDL or ARP development, the implementation of Best Management Practices, or delisting. </w:t>
      </w:r>
    </w:p>
    <w:p w14:paraId="0ECCDDD2" w14:textId="3B89E966" w:rsidR="00DE1419" w:rsidRPr="0049520A" w:rsidRDefault="00DE1419" w:rsidP="00DE1419">
      <w:pPr>
        <w:pStyle w:val="ListParagraph"/>
        <w:widowControl/>
        <w:numPr>
          <w:ilvl w:val="0"/>
          <w:numId w:val="18"/>
        </w:numPr>
        <w:spacing w:before="0" w:after="160" w:line="259" w:lineRule="auto"/>
        <w:rPr>
          <w:rFonts w:cstheme="minorHAnsi"/>
          <w:bCs/>
        </w:rPr>
      </w:pPr>
      <w:r w:rsidRPr="0049520A">
        <w:rPr>
          <w:rFonts w:cstheme="minorHAnsi"/>
          <w:b/>
        </w:rPr>
        <w:t xml:space="preserve">Impairments in watersheds draining national forests: </w:t>
      </w:r>
      <w:r w:rsidRPr="0049520A">
        <w:rPr>
          <w:rFonts w:cstheme="minorHAnsi"/>
          <w:bCs/>
        </w:rPr>
        <w:t xml:space="preserve">Virginia has </w:t>
      </w:r>
      <w:proofErr w:type="gramStart"/>
      <w:r w:rsidRPr="0049520A">
        <w:rPr>
          <w:rFonts w:cstheme="minorHAnsi"/>
          <w:bCs/>
        </w:rPr>
        <w:t>a number of</w:t>
      </w:r>
      <w:proofErr w:type="gramEnd"/>
      <w:r w:rsidRPr="0049520A">
        <w:rPr>
          <w:rFonts w:cstheme="minorHAnsi"/>
          <w:bCs/>
        </w:rPr>
        <w:t xml:space="preserve"> pH and temperature impairments in streams that drain national forests in watersheds that do not contain permitted or other significant anthropogenic nonpoint sources.</w:t>
      </w:r>
      <w:r w:rsidR="00C33629">
        <w:rPr>
          <w:rFonts w:cstheme="minorHAnsi"/>
          <w:bCs/>
        </w:rPr>
        <w:t xml:space="preserve"> </w:t>
      </w:r>
      <w:r w:rsidRPr="0049520A">
        <w:rPr>
          <w:rFonts w:cstheme="minorHAnsi"/>
          <w:bCs/>
        </w:rPr>
        <w:t>Virginia will collect additional in-stream and watershed data to determine if a natural condition or other approach is appropriate for these waters.</w:t>
      </w:r>
    </w:p>
    <w:p w14:paraId="64668BC4" w14:textId="120B4B7E" w:rsidR="00DE1419" w:rsidRPr="0049520A" w:rsidRDefault="00DE1419" w:rsidP="00DE1419">
      <w:pPr>
        <w:pStyle w:val="ListParagraph"/>
        <w:widowControl/>
        <w:numPr>
          <w:ilvl w:val="0"/>
          <w:numId w:val="18"/>
        </w:numPr>
        <w:spacing w:before="0" w:after="160" w:line="259" w:lineRule="auto"/>
        <w:rPr>
          <w:rFonts w:cstheme="minorHAnsi"/>
          <w:bCs/>
        </w:rPr>
      </w:pPr>
      <w:r w:rsidRPr="0049520A">
        <w:rPr>
          <w:rFonts w:cstheme="minorHAnsi"/>
          <w:b/>
        </w:rPr>
        <w:t xml:space="preserve">Dissolved oxygen and pH conditions in swamp waters: </w:t>
      </w:r>
      <w:r w:rsidRPr="0049520A">
        <w:rPr>
          <w:rFonts w:cstheme="minorHAnsi"/>
          <w:bCs/>
        </w:rPr>
        <w:t>DEQ will utilize monitoring studies to improve baseline characterization of pH and dissolved oxygen conditions in Virginia’s swamp waters, improve water quality management of these waters, and improve standards and assessment policies associated with these waters.</w:t>
      </w:r>
    </w:p>
    <w:p w14:paraId="4D0CCD2C" w14:textId="75D0FDA1" w:rsidR="00DE1419" w:rsidRPr="0049520A" w:rsidRDefault="00DE1419" w:rsidP="00DE1419">
      <w:pPr>
        <w:pStyle w:val="ListParagraph"/>
        <w:widowControl/>
        <w:numPr>
          <w:ilvl w:val="0"/>
          <w:numId w:val="18"/>
        </w:numPr>
        <w:spacing w:before="0" w:after="160" w:line="259" w:lineRule="auto"/>
        <w:rPr>
          <w:rFonts w:cstheme="minorHAnsi"/>
          <w:bCs/>
        </w:rPr>
      </w:pPr>
      <w:r w:rsidRPr="0049520A">
        <w:rPr>
          <w:rFonts w:cstheme="minorHAnsi"/>
          <w:b/>
        </w:rPr>
        <w:t>Mercury:</w:t>
      </w:r>
      <w:r w:rsidRPr="0049520A">
        <w:rPr>
          <w:rFonts w:cstheme="minorHAnsi"/>
          <w:bCs/>
        </w:rPr>
        <w:t xml:space="preserve"> Virginia’s mercury impaired waters include over 2,500 river miles, close to 56,300 lake acres, and 20 square estuarine miles. These impairments are likely due to atmospheric deposition. The Virginia Mercury Study (DEQ, 2008) drew the relationship between the deposition of mercury from the atmosphere and the effects of that contamination found in fish tissue. A significant portion (67%) of mercury atmospheric deposition originates from outside our state.</w:t>
      </w:r>
    </w:p>
    <w:p w14:paraId="7F27EB32" w14:textId="5ECA2892" w:rsidR="00DE1419" w:rsidRPr="0049520A" w:rsidRDefault="00DE1419" w:rsidP="00DE1419">
      <w:pPr>
        <w:ind w:left="720"/>
        <w:rPr>
          <w:rFonts w:cstheme="minorHAnsi"/>
          <w:bCs/>
        </w:rPr>
      </w:pPr>
      <w:r w:rsidRPr="0049520A">
        <w:rPr>
          <w:rFonts w:cstheme="minorHAnsi"/>
          <w:bCs/>
        </w:rPr>
        <w:t xml:space="preserve">A TMDL </w:t>
      </w:r>
      <w:r w:rsidR="00053869">
        <w:rPr>
          <w:rFonts w:cstheme="minorHAnsi"/>
          <w:bCs/>
        </w:rPr>
        <w:t xml:space="preserve">allocates load reductions necessary to </w:t>
      </w:r>
      <w:r w:rsidRPr="0049520A">
        <w:rPr>
          <w:rFonts w:cstheme="minorHAnsi"/>
          <w:bCs/>
        </w:rPr>
        <w:t xml:space="preserve">attain of WQS. Since we do not have control over out-of-state sources, an alternative to developing a TMDL may be the better tactic. EPA provides an approach for listing waters impaired by mercury for which the predominant source is atmospheric deposition. EPA’s intent is to provide this approach to states which have a mercury reduction program in place that will improve mercury impairments over time. Virginia has several programs, initiatives, and legislative actions, which will reduce the production and introduction of mercury to the environment. For example, the Virginia Green Program assists tourism-related organizations in promoting environmental responsibility through </w:t>
      </w:r>
      <w:proofErr w:type="gramStart"/>
      <w:r w:rsidRPr="0049520A">
        <w:rPr>
          <w:rFonts w:cstheme="minorHAnsi"/>
          <w:bCs/>
        </w:rPr>
        <w:t>a number of</w:t>
      </w:r>
      <w:proofErr w:type="gramEnd"/>
      <w:r w:rsidRPr="0049520A">
        <w:rPr>
          <w:rFonts w:cstheme="minorHAnsi"/>
          <w:bCs/>
        </w:rPr>
        <w:t xml:space="preserve"> initiatives including energy conservation and efficiency. The Virginia Clean Economy Act of 2020 establishes renewable portfolio standards and advances offshore wind and solar generation, among other initiatives. In addition, Virginia is collecting fish tissue samples to test for mercury to compare against similar data collected in 2008. </w:t>
      </w:r>
      <w:r w:rsidR="000F6E79">
        <w:rPr>
          <w:rFonts w:cstheme="minorHAnsi"/>
          <w:bCs/>
        </w:rPr>
        <w:br/>
      </w:r>
    </w:p>
    <w:p w14:paraId="3976D1AE" w14:textId="6D9F074A" w:rsidR="00DE1419" w:rsidRPr="0049520A" w:rsidRDefault="00DE1419" w:rsidP="00DE1419">
      <w:pPr>
        <w:ind w:left="720"/>
        <w:rPr>
          <w:rFonts w:cstheme="minorHAnsi"/>
          <w:bCs/>
        </w:rPr>
      </w:pPr>
      <w:r w:rsidRPr="0049520A">
        <w:rPr>
          <w:rFonts w:cstheme="minorHAnsi"/>
          <w:bCs/>
        </w:rPr>
        <w:lastRenderedPageBreak/>
        <w:t>Because Virginia is taking action to reduce the production and introduction of mercury, the alternative approach provided by EPA for listing waters impaired by mercury is the recommended course of action. This action requires the development of a report outlining Virginia’s mercury reduction programs and providing justification for using this approach to recategorize these waters from 5A to 5</w:t>
      </w:r>
      <w:r w:rsidR="008E323F">
        <w:rPr>
          <w:rFonts w:cstheme="minorHAnsi"/>
          <w:bCs/>
        </w:rPr>
        <w:t>M</w:t>
      </w:r>
      <w:r w:rsidRPr="0049520A">
        <w:rPr>
          <w:rFonts w:cstheme="minorHAnsi"/>
          <w:bCs/>
        </w:rPr>
        <w:t>. Subsequent requirements under this approach include an update of Virginia’s efforts to be included in each Integrated Report. While this approach does not preclude Virginia from needing to develop a mercury TMDL with allocations at some point in the future, this approach will allow Virginia to work towards mercury reduction using alternative approaches.</w:t>
      </w:r>
    </w:p>
    <w:p w14:paraId="1E56C513" w14:textId="60780709" w:rsidR="00DE1419" w:rsidRPr="0049520A" w:rsidRDefault="00DE1419" w:rsidP="00DE1419">
      <w:pPr>
        <w:pStyle w:val="ListParagraph"/>
        <w:widowControl/>
        <w:numPr>
          <w:ilvl w:val="0"/>
          <w:numId w:val="18"/>
        </w:numPr>
        <w:spacing w:before="0" w:after="160" w:line="259" w:lineRule="auto"/>
        <w:rPr>
          <w:rFonts w:cstheme="minorHAnsi"/>
          <w:bCs/>
        </w:rPr>
      </w:pPr>
      <w:r w:rsidRPr="0049520A">
        <w:rPr>
          <w:rFonts w:cstheme="minorHAnsi"/>
          <w:b/>
        </w:rPr>
        <w:t>Legacy toxic impairments (fish consumption impairments)</w:t>
      </w:r>
      <w:r w:rsidRPr="0049520A">
        <w:rPr>
          <w:rFonts w:cstheme="minorHAnsi"/>
          <w:bCs/>
        </w:rPr>
        <w:t xml:space="preserve">: There are approximately 40 fish consumption impairments across Virginia due to elevated chlorinated pesticides. Long-term planning includes the development of a monitoring strategy and study to determine sources and consider </w:t>
      </w:r>
      <w:proofErr w:type="gramStart"/>
      <w:r w:rsidRPr="0049520A">
        <w:rPr>
          <w:rFonts w:cstheme="minorHAnsi"/>
          <w:bCs/>
        </w:rPr>
        <w:t>best</w:t>
      </w:r>
      <w:proofErr w:type="gramEnd"/>
      <w:r w:rsidRPr="0049520A">
        <w:rPr>
          <w:rFonts w:cstheme="minorHAnsi"/>
          <w:bCs/>
        </w:rPr>
        <w:t xml:space="preserve"> cleanup strategies.</w:t>
      </w:r>
    </w:p>
    <w:p w14:paraId="01D31A9C" w14:textId="69458AF9" w:rsidR="00DE1419" w:rsidRPr="0049520A" w:rsidRDefault="00DE1419" w:rsidP="00DE1419">
      <w:pPr>
        <w:pStyle w:val="ListParagraph"/>
        <w:widowControl/>
        <w:numPr>
          <w:ilvl w:val="0"/>
          <w:numId w:val="18"/>
        </w:numPr>
        <w:spacing w:before="0" w:after="160" w:line="259" w:lineRule="auto"/>
        <w:rPr>
          <w:rFonts w:cstheme="minorHAnsi"/>
        </w:rPr>
      </w:pPr>
      <w:r w:rsidRPr="0049520A">
        <w:rPr>
          <w:rFonts w:cstheme="minorHAnsi"/>
          <w:b/>
        </w:rPr>
        <w:t xml:space="preserve">Bacteria reduction strategies: </w:t>
      </w:r>
      <w:r w:rsidRPr="0049520A">
        <w:rPr>
          <w:rFonts w:cstheme="minorHAnsi"/>
        </w:rPr>
        <w:t xml:space="preserve">Bacteria reduction efforts will continue through implementation plan development and implementation projects for existing bacteria TMDLs; and through the nesting of new bacteria impairments into existing TMDLs. Additionally, </w:t>
      </w:r>
      <w:proofErr w:type="gramStart"/>
      <w:r w:rsidRPr="0049520A">
        <w:rPr>
          <w:rFonts w:cstheme="minorHAnsi"/>
        </w:rPr>
        <w:t>many</w:t>
      </w:r>
      <w:proofErr w:type="gramEnd"/>
      <w:r w:rsidRPr="0049520A">
        <w:rPr>
          <w:rFonts w:cstheme="minorHAnsi"/>
        </w:rPr>
        <w:t xml:space="preserve"> best management practices implemented for </w:t>
      </w:r>
      <w:proofErr w:type="gramStart"/>
      <w:r w:rsidRPr="0049520A">
        <w:rPr>
          <w:rFonts w:cstheme="minorHAnsi"/>
        </w:rPr>
        <w:t>the Chesapeake</w:t>
      </w:r>
      <w:proofErr w:type="gramEnd"/>
      <w:r w:rsidRPr="0049520A">
        <w:rPr>
          <w:rFonts w:cstheme="minorHAnsi"/>
        </w:rPr>
        <w:t xml:space="preserve"> Bay or local TMDLs will also aid in the reduction of bacteria.</w:t>
      </w:r>
    </w:p>
    <w:p w14:paraId="1AB088B3" w14:textId="1FD7E279" w:rsidR="00DE1419" w:rsidRPr="0049520A" w:rsidRDefault="00DE1419" w:rsidP="00DE1419">
      <w:pPr>
        <w:rPr>
          <w:rFonts w:cstheme="minorHAnsi"/>
        </w:rPr>
      </w:pPr>
      <w:r w:rsidRPr="0049520A">
        <w:rPr>
          <w:rFonts w:cstheme="minorHAnsi"/>
        </w:rPr>
        <w:t xml:space="preserve">In addition to the above water quality impairment categories, the concept of </w:t>
      </w:r>
      <w:proofErr w:type="spellStart"/>
      <w:r w:rsidRPr="0049520A">
        <w:rPr>
          <w:rFonts w:cstheme="minorHAnsi"/>
        </w:rPr>
        <w:t>implementability</w:t>
      </w:r>
      <w:proofErr w:type="spellEnd"/>
      <w:r w:rsidRPr="0049520A">
        <w:rPr>
          <w:rFonts w:cstheme="minorHAnsi"/>
        </w:rPr>
        <w:t xml:space="preserve"> will continue to be a significant factor when prioritizing waters for the development of restoration projects. </w:t>
      </w:r>
      <w:proofErr w:type="spellStart"/>
      <w:r w:rsidRPr="0049520A">
        <w:rPr>
          <w:rFonts w:cstheme="minorHAnsi"/>
        </w:rPr>
        <w:t>Implementability</w:t>
      </w:r>
      <w:proofErr w:type="spellEnd"/>
      <w:r w:rsidRPr="0049520A">
        <w:rPr>
          <w:rFonts w:cstheme="minorHAnsi"/>
        </w:rPr>
        <w:t xml:space="preserve"> is the concept of prioritizing restoration projects that allow for and promote</w:t>
      </w:r>
      <w:r w:rsidRPr="0049520A">
        <w:rPr>
          <w:rFonts w:cstheme="minorHAnsi"/>
          <w:bCs/>
        </w:rPr>
        <w:t xml:space="preserve"> successful watershed plan implementation via installation of “on the ground” projects or practices. </w:t>
      </w:r>
      <w:proofErr w:type="spellStart"/>
      <w:r w:rsidRPr="0049520A">
        <w:rPr>
          <w:rFonts w:cstheme="minorHAnsi"/>
        </w:rPr>
        <w:t>Implementability</w:t>
      </w:r>
      <w:proofErr w:type="spellEnd"/>
      <w:r w:rsidRPr="0049520A">
        <w:rPr>
          <w:rFonts w:cstheme="minorHAnsi"/>
        </w:rPr>
        <w:t xml:space="preserve"> necessarily includes collaboration with DEQ’s Nonpoint Source program, other state agencies, and with stakeholders to identify local interests and funding opportunities as a key component in prioritizing impaired waters for TMDL or other restoration plan development followed by implementation planning and installation. VA’s aim is to prioritize impaired waters for TMDL or ARP development where a non-PCB TMDL and Implementation Plan can be developed consecutively and with stakeholder support for implementation. This is a current guiding principle which will continue to be incorporated in the identification of the iterative shorter-term (two-year) priorities that will be presented in Integrated Reports through 2032.</w:t>
      </w:r>
      <w:r w:rsidR="00204C64">
        <w:rPr>
          <w:rFonts w:cstheme="minorHAnsi"/>
        </w:rPr>
        <w:br/>
      </w:r>
    </w:p>
    <w:p w14:paraId="0178ED16" w14:textId="08E7A131" w:rsidR="00DE1419" w:rsidRPr="0049520A" w:rsidRDefault="00DE1419" w:rsidP="00DE1419">
      <w:pPr>
        <w:rPr>
          <w:rFonts w:cstheme="minorHAnsi"/>
          <w:bCs/>
        </w:rPr>
      </w:pPr>
      <w:r w:rsidRPr="0049520A">
        <w:rPr>
          <w:rFonts w:cstheme="minorHAnsi"/>
        </w:rPr>
        <w:t xml:space="preserve">Additionally, TMDL revisions may be considered for prioritization under this Prioritization Framework. </w:t>
      </w:r>
      <w:r w:rsidRPr="0049520A">
        <w:rPr>
          <w:rFonts w:cstheme="minorHAnsi"/>
          <w:bCs/>
        </w:rPr>
        <w:t>Occasionally due to continued water quality issues, large scale changes to land uses, significant point source changes, or additional monitoring data, it becomes necessary to revise a TMDL. Such revisions cannot always be foreseen and planned for in advance therefore, inherent to the TMDL program’s planning process is the inclusion of time and resources to manage those as necessary.</w:t>
      </w:r>
      <w:r w:rsidR="00204C64">
        <w:rPr>
          <w:rFonts w:cstheme="minorHAnsi"/>
          <w:bCs/>
        </w:rPr>
        <w:t xml:space="preserve"> </w:t>
      </w:r>
      <w:r w:rsidRPr="0049520A">
        <w:rPr>
          <w:rFonts w:cstheme="minorHAnsi"/>
          <w:bCs/>
        </w:rPr>
        <w:t>When necessary, it is Virginia’s intention to include TMDL revisions as a part of the two-year priorities presented in Integrated Reports through 2032.</w:t>
      </w:r>
    </w:p>
    <w:p w14:paraId="64751905" w14:textId="204CA57D" w:rsidR="0008548D" w:rsidRPr="0008548D" w:rsidRDefault="0008548D" w:rsidP="0008548D">
      <w:pPr>
        <w:rPr>
          <w:rFonts w:cstheme="minorHAnsi"/>
          <w:bCs/>
        </w:rPr>
      </w:pPr>
    </w:p>
    <w:p w14:paraId="7B4DC368" w14:textId="77777777" w:rsidR="0008548D" w:rsidRPr="0008548D" w:rsidRDefault="0008548D" w:rsidP="0008548D">
      <w:pPr>
        <w:pStyle w:val="Heading4"/>
      </w:pPr>
      <w:r w:rsidRPr="0008548D">
        <w:t>Data and Analysis</w:t>
      </w:r>
    </w:p>
    <w:p w14:paraId="7B28098C" w14:textId="3D90858F" w:rsidR="00846581" w:rsidRPr="00846581" w:rsidRDefault="00846581" w:rsidP="00846581">
      <w:pPr>
        <w:rPr>
          <w:rFonts w:cstheme="minorHAnsi"/>
          <w:color w:val="000000" w:themeColor="text1"/>
        </w:rPr>
      </w:pPr>
      <w:r w:rsidRPr="00846581">
        <w:rPr>
          <w:rFonts w:cstheme="minorHAnsi"/>
          <w:color w:val="000000" w:themeColor="text1"/>
        </w:rPr>
        <w:t xml:space="preserve">Since 1999, DEQ has encouraged citizen water quality monitoring organizations by providing </w:t>
      </w:r>
      <w:r w:rsidRPr="00846581">
        <w:rPr>
          <w:rFonts w:cstheme="minorHAnsi"/>
          <w:color w:val="000000" w:themeColor="text1"/>
        </w:rPr>
        <w:lastRenderedPageBreak/>
        <w:t xml:space="preserve">technical and, whenever possible, financial support for monitoring activities. Virginia state law (§ 62.1-44.19:11.) established the Citizen Water Quality Monitoring Program in 2002 and DEQ has incorporated ‘non-agency’ data into its assessment determinations since </w:t>
      </w:r>
      <w:proofErr w:type="gramStart"/>
      <w:r w:rsidRPr="00846581">
        <w:rPr>
          <w:rFonts w:cstheme="minorHAnsi"/>
          <w:color w:val="000000" w:themeColor="text1"/>
        </w:rPr>
        <w:t>the 2004</w:t>
      </w:r>
      <w:proofErr w:type="gramEnd"/>
      <w:r w:rsidRPr="00846581">
        <w:rPr>
          <w:rFonts w:cstheme="minorHAnsi"/>
          <w:color w:val="000000" w:themeColor="text1"/>
        </w:rPr>
        <w:t xml:space="preserve"> 305(b)/303(d) reporting cycle. Over the last 20 years the program has grown exponentially. DEQ currently has contacts with over 200 </w:t>
      </w:r>
      <w:proofErr w:type="gramStart"/>
      <w:r w:rsidRPr="00846581">
        <w:rPr>
          <w:rFonts w:cstheme="minorHAnsi"/>
          <w:color w:val="000000" w:themeColor="text1"/>
        </w:rPr>
        <w:t>citizen</w:t>
      </w:r>
      <w:proofErr w:type="gramEnd"/>
      <w:r w:rsidRPr="00846581">
        <w:rPr>
          <w:rFonts w:cstheme="minorHAnsi"/>
          <w:color w:val="000000" w:themeColor="text1"/>
        </w:rPr>
        <w:t xml:space="preserve"> and other monitoring organizations. During the 2022 IR cycle, 80 organizations submitted data from 1,655 monitoring locations to be used for assessment determinations.</w:t>
      </w:r>
      <w:r>
        <w:rPr>
          <w:rFonts w:cstheme="minorHAnsi"/>
          <w:color w:val="000000" w:themeColor="text1"/>
        </w:rPr>
        <w:br/>
      </w:r>
    </w:p>
    <w:p w14:paraId="4A032E9A" w14:textId="65B72197" w:rsidR="00846581" w:rsidRPr="00846581" w:rsidRDefault="00846581" w:rsidP="00846581">
      <w:pPr>
        <w:rPr>
          <w:rFonts w:cstheme="minorHAnsi"/>
          <w:color w:val="000000" w:themeColor="text1"/>
        </w:rPr>
      </w:pPr>
      <w:r w:rsidRPr="00846581">
        <w:rPr>
          <w:rFonts w:cstheme="minorHAnsi"/>
          <w:color w:val="000000" w:themeColor="text1"/>
        </w:rPr>
        <w:t xml:space="preserve">Virginia’s process for accepting and evaluating citizen or non-agency data is also based on state law (§ 62.1-44.19:11.) The DEQ Citizen Monitoring Methods Manual is updated periodically to ensure all information is accurate and current and describes the process for ‘tiering’ citizen and non-agency data for use in water quality assessments. Depending on the level of documented QA/QC, each data point submitted to DEQ is assigned a tier. The tiers range from Level III: use for 303(d) listing/delisting of impaired waters to Level I: informational or educational purposes only. The DEQ Water Quality Assessment Guidance Manual also includes information on how citizen and non-agency data are used in assessment determinations and is released for public comment before finalized. </w:t>
      </w:r>
      <w:r>
        <w:rPr>
          <w:rFonts w:cstheme="minorHAnsi"/>
          <w:color w:val="000000" w:themeColor="text1"/>
        </w:rPr>
        <w:br/>
      </w:r>
    </w:p>
    <w:p w14:paraId="771FB5C4" w14:textId="13748B53" w:rsidR="00846581" w:rsidRPr="00846581" w:rsidRDefault="00846581" w:rsidP="00846581">
      <w:pPr>
        <w:rPr>
          <w:rFonts w:cstheme="minorHAnsi"/>
          <w:color w:val="000000" w:themeColor="text1"/>
        </w:rPr>
      </w:pPr>
      <w:r w:rsidRPr="00846581">
        <w:rPr>
          <w:rFonts w:cstheme="minorHAnsi"/>
          <w:color w:val="000000" w:themeColor="text1"/>
        </w:rPr>
        <w:t xml:space="preserve">Ensuring all readily and available data </w:t>
      </w:r>
      <w:proofErr w:type="gramStart"/>
      <w:r w:rsidRPr="00846581">
        <w:rPr>
          <w:rFonts w:cstheme="minorHAnsi"/>
          <w:color w:val="000000" w:themeColor="text1"/>
        </w:rPr>
        <w:t>are</w:t>
      </w:r>
      <w:proofErr w:type="gramEnd"/>
      <w:r w:rsidRPr="00846581">
        <w:rPr>
          <w:rFonts w:cstheme="minorHAnsi"/>
          <w:color w:val="000000" w:themeColor="text1"/>
        </w:rPr>
        <w:t xml:space="preserve"> used for making assessment determinations is a focus for the DEQ </w:t>
      </w:r>
      <w:r w:rsidR="001A69D0">
        <w:rPr>
          <w:rFonts w:cstheme="minorHAnsi"/>
          <w:color w:val="000000" w:themeColor="text1"/>
        </w:rPr>
        <w:t xml:space="preserve">Water Quality </w:t>
      </w:r>
      <w:r w:rsidRPr="00846581">
        <w:rPr>
          <w:rFonts w:cstheme="minorHAnsi"/>
          <w:color w:val="000000" w:themeColor="text1"/>
        </w:rPr>
        <w:t xml:space="preserve">Assessment Program. Establishing a data solicitation deadline for all non-agency data producers </w:t>
      </w:r>
      <w:r w:rsidR="00D57232">
        <w:rPr>
          <w:rFonts w:cstheme="minorHAnsi"/>
          <w:color w:val="000000" w:themeColor="text1"/>
        </w:rPr>
        <w:t xml:space="preserve">and providing the Virginia Data Explorer </w:t>
      </w:r>
      <w:r w:rsidRPr="00846581">
        <w:rPr>
          <w:rFonts w:cstheme="minorHAnsi"/>
          <w:color w:val="000000" w:themeColor="text1"/>
        </w:rPr>
        <w:t>for uploading these data has resulted in data that are uniformly submitted on a timeline used to meet overall reporting deadlines. Developed in partnership with the Chesapeake Bay Monitoring Cooperative and Virginia Institute of Marine Science, the database</w:t>
      </w:r>
      <w:r w:rsidR="00A61E6C">
        <w:rPr>
          <w:rFonts w:cstheme="minorHAnsi"/>
          <w:color w:val="000000" w:themeColor="text1"/>
        </w:rPr>
        <w:t xml:space="preserve"> associated with the Virginia Data Explorer</w:t>
      </w:r>
      <w:r w:rsidRPr="00846581">
        <w:rPr>
          <w:rFonts w:cstheme="minorHAnsi"/>
          <w:color w:val="000000" w:themeColor="text1"/>
        </w:rPr>
        <w:t xml:space="preserve"> serves as a repository for citizen monitoring data collected throughout Virginia. It not only provides data to DEQ in a consistent manner, </w:t>
      </w:r>
      <w:r w:rsidR="00B379CF" w:rsidRPr="00846581">
        <w:rPr>
          <w:rFonts w:cstheme="minorHAnsi"/>
          <w:color w:val="000000" w:themeColor="text1"/>
        </w:rPr>
        <w:t>but it</w:t>
      </w:r>
      <w:r w:rsidRPr="00846581">
        <w:rPr>
          <w:rFonts w:cstheme="minorHAnsi"/>
          <w:color w:val="000000" w:themeColor="text1"/>
        </w:rPr>
        <w:t xml:space="preserve"> also </w:t>
      </w:r>
      <w:proofErr w:type="gramStart"/>
      <w:r w:rsidRPr="00846581">
        <w:rPr>
          <w:rFonts w:cstheme="minorHAnsi"/>
          <w:color w:val="000000" w:themeColor="text1"/>
        </w:rPr>
        <w:t>allows for</w:t>
      </w:r>
      <w:proofErr w:type="gramEnd"/>
      <w:r w:rsidRPr="00846581">
        <w:rPr>
          <w:rFonts w:cstheme="minorHAnsi"/>
          <w:color w:val="000000" w:themeColor="text1"/>
        </w:rPr>
        <w:t xml:space="preserve"> the public to view the data in a simplified format. </w:t>
      </w:r>
      <w:r>
        <w:rPr>
          <w:rFonts w:cstheme="minorHAnsi"/>
          <w:color w:val="000000" w:themeColor="text1"/>
        </w:rPr>
        <w:br/>
      </w:r>
    </w:p>
    <w:p w14:paraId="168D08A8" w14:textId="75201060" w:rsidR="00846581" w:rsidRPr="00846581" w:rsidRDefault="00846581" w:rsidP="00846581">
      <w:pPr>
        <w:rPr>
          <w:rFonts w:cstheme="minorHAnsi"/>
          <w:color w:val="000000" w:themeColor="text1"/>
        </w:rPr>
      </w:pPr>
      <w:r w:rsidRPr="00846581">
        <w:rPr>
          <w:rFonts w:cstheme="minorHAnsi"/>
          <w:color w:val="000000" w:themeColor="text1"/>
        </w:rPr>
        <w:t xml:space="preserve">DEQ continues to reach out to </w:t>
      </w:r>
      <w:r w:rsidR="007A75FD">
        <w:rPr>
          <w:rFonts w:cstheme="minorHAnsi"/>
          <w:color w:val="000000" w:themeColor="text1"/>
        </w:rPr>
        <w:t xml:space="preserve">recognized tribes (and other Tribes to the extent possible) </w:t>
      </w:r>
      <w:r w:rsidRPr="00846581">
        <w:rPr>
          <w:rFonts w:cstheme="minorHAnsi"/>
          <w:color w:val="000000" w:themeColor="text1"/>
        </w:rPr>
        <w:t>to announce public comment opportunities through the monitoring and assessment programs, including Citizen Monitoring Nominations to the Annual Monitoring Plan and the Draft Integrated Report.</w:t>
      </w:r>
      <w:r>
        <w:rPr>
          <w:rFonts w:cstheme="minorHAnsi"/>
          <w:color w:val="000000" w:themeColor="text1"/>
        </w:rPr>
        <w:br/>
      </w:r>
    </w:p>
    <w:p w14:paraId="3B91D09A" w14:textId="391F794B" w:rsidR="00846581" w:rsidRPr="00846581" w:rsidRDefault="00846581" w:rsidP="00846581">
      <w:pPr>
        <w:rPr>
          <w:rFonts w:cstheme="minorHAnsi"/>
          <w:color w:val="000000" w:themeColor="text1"/>
        </w:rPr>
      </w:pPr>
      <w:r w:rsidRPr="00846581">
        <w:rPr>
          <w:rFonts w:cstheme="minorHAnsi"/>
          <w:color w:val="000000" w:themeColor="text1"/>
        </w:rPr>
        <w:t>As a part of planning for restoration projects, DEQ will continue to collect biological, physical, and chemical data from monitoring stations within the restoration project area watersheds.</w:t>
      </w:r>
      <w:r w:rsidR="00CE32CD">
        <w:rPr>
          <w:rFonts w:cstheme="minorHAnsi"/>
          <w:color w:val="000000" w:themeColor="text1"/>
        </w:rPr>
        <w:t xml:space="preserve"> </w:t>
      </w:r>
      <w:r w:rsidRPr="00846581">
        <w:rPr>
          <w:rFonts w:cstheme="minorHAnsi"/>
          <w:color w:val="000000" w:themeColor="text1"/>
        </w:rPr>
        <w:t>The analysis of this data is important in the determination of causes and/or sources of</w:t>
      </w:r>
      <w:r w:rsidR="00C33629">
        <w:rPr>
          <w:rFonts w:cstheme="minorHAnsi"/>
          <w:color w:val="000000" w:themeColor="text1"/>
        </w:rPr>
        <w:t xml:space="preserve"> </w:t>
      </w:r>
      <w:r w:rsidRPr="00846581">
        <w:rPr>
          <w:rFonts w:cstheme="minorHAnsi"/>
          <w:color w:val="000000" w:themeColor="text1"/>
        </w:rPr>
        <w:t xml:space="preserve">pollutants causing the </w:t>
      </w:r>
      <w:proofErr w:type="gramStart"/>
      <w:r w:rsidRPr="00846581">
        <w:rPr>
          <w:rFonts w:cstheme="minorHAnsi"/>
          <w:color w:val="000000" w:themeColor="text1"/>
        </w:rPr>
        <w:t>impairments</w:t>
      </w:r>
      <w:proofErr w:type="gramEnd"/>
      <w:r w:rsidRPr="00846581">
        <w:rPr>
          <w:rFonts w:cstheme="minorHAnsi"/>
          <w:color w:val="000000" w:themeColor="text1"/>
        </w:rPr>
        <w:t xml:space="preserve"> of the project waters and in the development of TMDLs and ARPs. Monitoring will continue in the watersheds after implementation of the restoration project </w:t>
      </w:r>
      <w:r w:rsidR="00204AE2" w:rsidRPr="00846581">
        <w:rPr>
          <w:rFonts w:cstheme="minorHAnsi"/>
          <w:color w:val="000000" w:themeColor="text1"/>
        </w:rPr>
        <w:t>to</w:t>
      </w:r>
      <w:r w:rsidRPr="00846581">
        <w:rPr>
          <w:rFonts w:cstheme="minorHAnsi"/>
          <w:color w:val="000000" w:themeColor="text1"/>
        </w:rPr>
        <w:t xml:space="preserve"> track water quality improvement progress. </w:t>
      </w:r>
      <w:r w:rsidR="00204AE2">
        <w:rPr>
          <w:rFonts w:cstheme="minorHAnsi"/>
          <w:color w:val="000000" w:themeColor="text1"/>
        </w:rPr>
        <w:br/>
      </w:r>
    </w:p>
    <w:p w14:paraId="28FAA903" w14:textId="668BBACB" w:rsidR="0008548D" w:rsidRPr="0008548D" w:rsidRDefault="00846581" w:rsidP="00846581">
      <w:pPr>
        <w:rPr>
          <w:rFonts w:cstheme="minorHAnsi"/>
          <w:bCs/>
        </w:rPr>
      </w:pPr>
      <w:r w:rsidRPr="00846581">
        <w:rPr>
          <w:rFonts w:cstheme="minorHAnsi"/>
          <w:color w:val="000000" w:themeColor="text1"/>
        </w:rPr>
        <w:t xml:space="preserve">Virginia prioritizes the development of tools designed to increase the efficiency and effectiveness of our 303(d) programs. For example, since the 2016 IR cycle, Virginia has been developing tools to make internal assessment processes more efficient by assisting DEQ staff with organizing and analyzing data in a consistent manner. The suite of tools </w:t>
      </w:r>
      <w:r w:rsidR="00204AE2" w:rsidRPr="00846581">
        <w:rPr>
          <w:rFonts w:cstheme="minorHAnsi"/>
          <w:color w:val="000000" w:themeColor="text1"/>
        </w:rPr>
        <w:t>includes</w:t>
      </w:r>
      <w:r w:rsidRPr="00846581">
        <w:rPr>
          <w:rFonts w:cstheme="minorHAnsi"/>
          <w:color w:val="000000" w:themeColor="text1"/>
        </w:rPr>
        <w:t xml:space="preserve"> a way to </w:t>
      </w:r>
      <w:r w:rsidRPr="00846581">
        <w:rPr>
          <w:rFonts w:cstheme="minorHAnsi"/>
          <w:color w:val="000000" w:themeColor="text1"/>
        </w:rPr>
        <w:lastRenderedPageBreak/>
        <w:t xml:space="preserve">attribute water quality standards information to monitoring locations to ensure accurate assessments, automated assessment scripts that align with state assessment methodologies, and data visualization tools for rivers and lakes to make wholistic assessment determinations faster. Additionally, Virginia is currently working with EPA to develop a tool that will automate some of the labor-intensive aspects of developing watershed characterizations for restoration project areas. Further tool development will be pursued using internal resources premised on improved efficiency in 303(d) programs. </w:t>
      </w:r>
      <w:r w:rsidR="0008548D">
        <w:rPr>
          <w:rFonts w:cstheme="minorHAnsi"/>
          <w:bCs/>
        </w:rPr>
        <w:br/>
      </w:r>
    </w:p>
    <w:p w14:paraId="33328F2A" w14:textId="77777777" w:rsidR="0008548D" w:rsidRPr="0008548D" w:rsidRDefault="0008548D" w:rsidP="0008548D">
      <w:pPr>
        <w:pStyle w:val="Heading4"/>
      </w:pPr>
      <w:r w:rsidRPr="0008548D">
        <w:t>Partnerships</w:t>
      </w:r>
    </w:p>
    <w:p w14:paraId="7F8A0DB4" w14:textId="1989F928" w:rsidR="00E463AC" w:rsidRPr="00E463AC" w:rsidRDefault="00E463AC" w:rsidP="00E463AC">
      <w:pPr>
        <w:rPr>
          <w:rFonts w:cstheme="minorHAnsi"/>
          <w:bCs/>
        </w:rPr>
      </w:pPr>
      <w:r w:rsidRPr="00E463AC">
        <w:rPr>
          <w:rFonts w:cstheme="minorHAnsi"/>
          <w:bCs/>
        </w:rPr>
        <w:t xml:space="preserve">Communication and coordination with other programs, government agencies, and stakeholders creates greater opportunities for efficiency and effectiveness in the development of restoration plans and the implementation of practices to improve water quality. Each of VA’s 303(d) programs is </w:t>
      </w:r>
      <w:proofErr w:type="gramStart"/>
      <w:r w:rsidRPr="00E463AC">
        <w:rPr>
          <w:rFonts w:cstheme="minorHAnsi"/>
          <w:bCs/>
        </w:rPr>
        <w:t>committed to continuing</w:t>
      </w:r>
      <w:proofErr w:type="gramEnd"/>
      <w:r w:rsidRPr="00E463AC">
        <w:rPr>
          <w:rFonts w:cstheme="minorHAnsi"/>
          <w:bCs/>
        </w:rPr>
        <w:t xml:space="preserve"> to dedicate resources to stakeholder engagement including the agricultural, permitted, and residential sectors as well as permitted sources and other government and non-government agencies. DEQ also intends to partner with other agencies for alignment of priorities, resources, and expertise. For example, DEQ is conducting a study of harmful algal blooms in Lake Anna and the Shenandoah Basin to understand the physical and water quality drivers of HABs and, where water quality impairments exist, identify management approaches to prevent or mitigate HABs where appropriate and as resources allow. Those efforts include collaborations with the USGS, VDH, </w:t>
      </w:r>
      <w:r w:rsidR="00453B4D">
        <w:rPr>
          <w:rFonts w:cstheme="minorHAnsi"/>
          <w:bCs/>
        </w:rPr>
        <w:t>ODU</w:t>
      </w:r>
      <w:r w:rsidRPr="00E463AC">
        <w:rPr>
          <w:rFonts w:cstheme="minorHAnsi"/>
          <w:bCs/>
        </w:rPr>
        <w:t>, George Mason University, The Virginia Commonwealth University, and the Interstate Commission for the Potomac River Basin and will include extensive stakeholder engagement</w:t>
      </w:r>
      <w:r w:rsidR="003B3659">
        <w:rPr>
          <w:rFonts w:cstheme="minorHAnsi"/>
          <w:bCs/>
        </w:rPr>
        <w:t>.</w:t>
      </w:r>
      <w:r w:rsidR="003B3659">
        <w:rPr>
          <w:rFonts w:cstheme="minorHAnsi"/>
          <w:bCs/>
        </w:rPr>
        <w:br/>
      </w:r>
    </w:p>
    <w:p w14:paraId="7CF10978" w14:textId="2C9DDC00" w:rsidR="0008548D" w:rsidRPr="0008548D" w:rsidRDefault="00E463AC" w:rsidP="00E463AC">
      <w:pPr>
        <w:rPr>
          <w:rFonts w:cstheme="minorHAnsi"/>
          <w:bCs/>
        </w:rPr>
      </w:pPr>
      <w:r w:rsidRPr="00E463AC">
        <w:rPr>
          <w:rFonts w:cstheme="minorHAnsi"/>
          <w:bCs/>
        </w:rPr>
        <w:t xml:space="preserve">DEQ’s 303(d) programs will also continue to coordinate with non-303(d) programs. For example, the TMDL program engages the Virginia Pollution Discharge Elimination System (VPDES) program in the development of </w:t>
      </w:r>
      <w:proofErr w:type="spellStart"/>
      <w:r w:rsidR="005B020E">
        <w:rPr>
          <w:rFonts w:cstheme="minorHAnsi"/>
          <w:bCs/>
        </w:rPr>
        <w:t>wasteload</w:t>
      </w:r>
      <w:proofErr w:type="spellEnd"/>
      <w:r w:rsidR="005B020E">
        <w:rPr>
          <w:rFonts w:cstheme="minorHAnsi"/>
          <w:bCs/>
        </w:rPr>
        <w:t xml:space="preserve"> allocations </w:t>
      </w:r>
      <w:r w:rsidRPr="00E463AC">
        <w:rPr>
          <w:rFonts w:cstheme="minorHAnsi"/>
          <w:bCs/>
        </w:rPr>
        <w:t>during TMDL development or TMDL revision processes. It also engages with DEQ’s Nonpoint Source program during the prioritization of watersheds for restoration and the development of TMDLs and ARPs to ensure they are implementable and that stakeholders are engaged in the process.</w:t>
      </w:r>
      <w:r w:rsidR="00A15F94">
        <w:rPr>
          <w:rFonts w:cstheme="minorHAnsi"/>
          <w:bCs/>
        </w:rPr>
        <w:t xml:space="preserve"> </w:t>
      </w:r>
      <w:r w:rsidRPr="00E463AC">
        <w:rPr>
          <w:rFonts w:cstheme="minorHAnsi"/>
          <w:bCs/>
        </w:rPr>
        <w:t>To the extent practicable, TMDLs will be developed in alignment with Nonpoint Source Program resources to promote consecutive or near-term TMDL Implementation Plan development and implementation and eligibility for 319(h) funds. ARPs will be developed using the Nonpoint Source 9-element approach to ensure eligibility for 319(h) funds.</w:t>
      </w:r>
      <w:r w:rsidR="00F52DF7">
        <w:rPr>
          <w:rFonts w:cstheme="minorHAnsi"/>
          <w:bCs/>
        </w:rPr>
        <w:br/>
      </w:r>
    </w:p>
    <w:p w14:paraId="4605472A" w14:textId="6C1966AE" w:rsidR="0008548D" w:rsidRPr="0008548D" w:rsidRDefault="00174363" w:rsidP="0008548D">
      <w:pPr>
        <w:pStyle w:val="Heading3"/>
      </w:pPr>
      <w:r>
        <w:t>Framework Focus Areas</w:t>
      </w:r>
    </w:p>
    <w:p w14:paraId="5E5F08FA" w14:textId="13BA8C26" w:rsidR="00847AB7" w:rsidRPr="00847AB7" w:rsidRDefault="00C56801" w:rsidP="00847AB7">
      <w:pPr>
        <w:rPr>
          <w:rFonts w:cstheme="minorHAnsi"/>
          <w:bCs/>
        </w:rPr>
      </w:pPr>
      <w:r w:rsidRPr="00C56801">
        <w:rPr>
          <w:rFonts w:cstheme="minorHAnsi"/>
          <w:bCs/>
        </w:rPr>
        <w:t>EPA’s Vision calls for the inclusion of cross-cutting focus areas important to the successful implementation of CWA Section 303(d) programs.</w:t>
      </w:r>
      <w:r w:rsidR="00CD67F7">
        <w:rPr>
          <w:rFonts w:cstheme="minorHAnsi"/>
          <w:bCs/>
        </w:rPr>
        <w:t xml:space="preserve"> </w:t>
      </w:r>
      <w:r w:rsidRPr="00C56801">
        <w:rPr>
          <w:rFonts w:cstheme="minorHAnsi"/>
          <w:bCs/>
        </w:rPr>
        <w:t xml:space="preserve">DEQ’s intentions for adapting these focus areas to support water quality improvement </w:t>
      </w:r>
      <w:proofErr w:type="gramStart"/>
      <w:r w:rsidRPr="00C56801">
        <w:rPr>
          <w:rFonts w:cstheme="minorHAnsi"/>
          <w:bCs/>
        </w:rPr>
        <w:t>is</w:t>
      </w:r>
      <w:proofErr w:type="gramEnd"/>
      <w:r w:rsidRPr="00C56801">
        <w:rPr>
          <w:rFonts w:cstheme="minorHAnsi"/>
          <w:bCs/>
        </w:rPr>
        <w:t xml:space="preserve"> described below. </w:t>
      </w:r>
      <w:r w:rsidR="00847AB7">
        <w:rPr>
          <w:rFonts w:cstheme="minorHAnsi"/>
          <w:bCs/>
        </w:rPr>
        <w:br/>
      </w:r>
      <w:r w:rsidR="00612EC7">
        <w:rPr>
          <w:rFonts w:cstheme="minorHAnsi"/>
          <w:bCs/>
        </w:rPr>
        <w:br/>
      </w:r>
      <w:r w:rsidR="00847AB7" w:rsidRPr="00847AB7">
        <w:rPr>
          <w:rFonts w:cstheme="minorHAnsi"/>
          <w:b/>
        </w:rPr>
        <w:t>Environmental Justice Communities:</w:t>
      </w:r>
      <w:r w:rsidR="00847AB7">
        <w:rPr>
          <w:rFonts w:cstheme="minorHAnsi"/>
          <w:bCs/>
        </w:rPr>
        <w:t xml:space="preserve"> </w:t>
      </w:r>
      <w:r w:rsidR="00847AB7" w:rsidRPr="00847AB7">
        <w:rPr>
          <w:rFonts w:cstheme="minorHAnsi"/>
          <w:bCs/>
        </w:rPr>
        <w:t xml:space="preserve">Virginia enacted the Virginia Environmental Justice Act in 2020 which directs Virginia “… to promote environmental justice and ensure that it is carried out throughout the Commonwealth, with a focus on environmental justice and </w:t>
      </w:r>
      <w:proofErr w:type="spellStart"/>
      <w:r w:rsidR="00847AB7" w:rsidRPr="00847AB7">
        <w:rPr>
          <w:rFonts w:cstheme="minorHAnsi"/>
          <w:bCs/>
        </w:rPr>
        <w:t>fenceline</w:t>
      </w:r>
      <w:proofErr w:type="spellEnd"/>
      <w:r w:rsidR="00847AB7" w:rsidRPr="00847AB7">
        <w:rPr>
          <w:rFonts w:cstheme="minorHAnsi"/>
          <w:bCs/>
        </w:rPr>
        <w:t xml:space="preserve"> communities.” In this law, environmental justice communities are defined as low-income </w:t>
      </w:r>
      <w:r w:rsidR="00847AB7" w:rsidRPr="00847AB7">
        <w:rPr>
          <w:rFonts w:cstheme="minorHAnsi"/>
          <w:bCs/>
        </w:rPr>
        <w:lastRenderedPageBreak/>
        <w:t>communities, communities of color (defined as “a population of individuals who identify as belonging to one or more of the following groups: Black, African American, Asian, Pacific Islander, Native American, other non-white race, mixed race, Hispanic, Latino, or linguistically isolated”), and individual populations of color.</w:t>
      </w:r>
      <w:r w:rsidR="00CC156B">
        <w:rPr>
          <w:rFonts w:cstheme="minorHAnsi"/>
          <w:bCs/>
        </w:rPr>
        <w:br/>
      </w:r>
    </w:p>
    <w:p w14:paraId="7EE83E20" w14:textId="062246BF" w:rsidR="00847AB7" w:rsidRPr="00847AB7" w:rsidRDefault="00847AB7" w:rsidP="00847AB7">
      <w:pPr>
        <w:rPr>
          <w:rFonts w:cstheme="minorHAnsi"/>
          <w:bCs/>
        </w:rPr>
      </w:pPr>
      <w:r w:rsidRPr="00847AB7">
        <w:rPr>
          <w:rFonts w:cstheme="minorHAnsi"/>
          <w:bCs/>
        </w:rPr>
        <w:t xml:space="preserve">DEQ’s 303(d) programs are collaborating with DEQ’s Office of Environmental Justice to develop a strategy to grow 303(d) program engagement with Environmental Justice (EJ) communities in an effective and meaningful manner to improve water quality most effectively and proportionately in Virginia. For example, DEQ plans to build upon and expand its use of spatial analytical tools designed to improve outreach to EJ communities and to increase agency understanding of local environmental issues or concerns within EJ communities. In addition to the tool developed by DEQ (Virginia </w:t>
      </w:r>
      <w:proofErr w:type="spellStart"/>
      <w:r w:rsidRPr="00847AB7">
        <w:rPr>
          <w:rFonts w:cstheme="minorHAnsi"/>
          <w:bCs/>
        </w:rPr>
        <w:t>EJScreen</w:t>
      </w:r>
      <w:proofErr w:type="spellEnd"/>
      <w:r w:rsidRPr="00847AB7">
        <w:rPr>
          <w:rFonts w:cstheme="minorHAnsi"/>
          <w:bCs/>
        </w:rPr>
        <w:t>+), DEQ will review the incorporation of additional EJ screening tools developed by EPA, other federal and state agencies, and universities that have expertise in EJ communities. DEQ will proactively engage with other governmental and non-governmental entities to help characterize environmental issues and concerns within EJ communities and understand how to best respond to meet the needs and interests of these communities.</w:t>
      </w:r>
      <w:r w:rsidR="00CC156B">
        <w:rPr>
          <w:rFonts w:cstheme="minorHAnsi"/>
          <w:bCs/>
        </w:rPr>
        <w:br/>
      </w:r>
    </w:p>
    <w:p w14:paraId="2EA453A1" w14:textId="708E3214" w:rsidR="00847AB7" w:rsidRPr="00847AB7" w:rsidRDefault="00847AB7" w:rsidP="00847AB7">
      <w:pPr>
        <w:rPr>
          <w:rFonts w:cstheme="minorHAnsi"/>
          <w:bCs/>
        </w:rPr>
      </w:pPr>
      <w:r w:rsidRPr="00847AB7">
        <w:rPr>
          <w:rFonts w:cstheme="minorHAnsi"/>
          <w:bCs/>
        </w:rPr>
        <w:t>Resources will be allocated to find opportunities through enhanced relationships to pass on federal grant funds to EJ communities for water quality improvement programs and to utilize federal 604(b) funds to improve DEQ’s EJ GIS layers.</w:t>
      </w:r>
      <w:r w:rsidR="006B6305">
        <w:rPr>
          <w:rFonts w:cstheme="minorHAnsi"/>
          <w:bCs/>
        </w:rPr>
        <w:br/>
      </w:r>
      <w:r w:rsidR="006B6305">
        <w:rPr>
          <w:rFonts w:cstheme="minorHAnsi"/>
          <w:bCs/>
        </w:rPr>
        <w:br/>
      </w:r>
      <w:r w:rsidR="006B6305" w:rsidRPr="006B6305">
        <w:rPr>
          <w:rFonts w:cstheme="minorHAnsi"/>
          <w:bCs/>
        </w:rPr>
        <w:t>The development of PCB TMDLs on the James River, Bluestone River, Rappahannock River, and York River may affect residents that subsistence fish or otherwise supplement fish in their diet.</w:t>
      </w:r>
      <w:r w:rsidR="00CC156B">
        <w:rPr>
          <w:rFonts w:cstheme="minorHAnsi"/>
          <w:bCs/>
        </w:rPr>
        <w:br/>
      </w:r>
    </w:p>
    <w:p w14:paraId="712900A8" w14:textId="00E89627" w:rsidR="00847AB7" w:rsidRPr="00847AB7" w:rsidRDefault="00847AB7" w:rsidP="0A5BE548">
      <w:pPr>
        <w:rPr>
          <w:rFonts w:cstheme="minorBidi"/>
        </w:rPr>
      </w:pPr>
      <w:r w:rsidRPr="0A5BE548">
        <w:rPr>
          <w:rFonts w:cstheme="minorBidi"/>
        </w:rPr>
        <w:t xml:space="preserve">In conjunction with EPA’s tribal coordinator, DEQ provides technical assistance as requested for </w:t>
      </w:r>
      <w:r w:rsidR="315A58C7" w:rsidRPr="0A5BE548">
        <w:rPr>
          <w:rFonts w:cstheme="minorBidi"/>
        </w:rPr>
        <w:t>Federally recognized</w:t>
      </w:r>
      <w:r w:rsidRPr="0A5BE548">
        <w:rPr>
          <w:rFonts w:cstheme="minorBidi"/>
        </w:rPr>
        <w:t xml:space="preserve"> tribes (and other Tribes to the extent possible) developing water quality monitoring and assessment programs in Virginia. DEQ continues to reach out to Tribal leaders to announce public comment opportunities through </w:t>
      </w:r>
      <w:proofErr w:type="gramStart"/>
      <w:r w:rsidRPr="0A5BE548">
        <w:rPr>
          <w:rFonts w:cstheme="minorBidi"/>
        </w:rPr>
        <w:t>the monitoring</w:t>
      </w:r>
      <w:proofErr w:type="gramEnd"/>
      <w:r w:rsidRPr="0A5BE548">
        <w:rPr>
          <w:rFonts w:cstheme="minorBidi"/>
        </w:rPr>
        <w:t xml:space="preserve"> and assessment programs, including Citizen Monitoring Nominations to the Annual Monitoring Plan, the Draft Integrated Report, and public meetings for TMDL and ARP development and will develop a strategy to strengthen and expand such outreach efforts with tribal leaders as well as other environmental justice communities. </w:t>
      </w:r>
      <w:r>
        <w:br/>
      </w:r>
    </w:p>
    <w:p w14:paraId="4D0B1D93" w14:textId="78D1FC08" w:rsidR="00847AB7" w:rsidRPr="00847AB7" w:rsidRDefault="00847AB7" w:rsidP="00847AB7">
      <w:pPr>
        <w:rPr>
          <w:rFonts w:cstheme="minorHAnsi"/>
          <w:bCs/>
        </w:rPr>
      </w:pPr>
      <w:r w:rsidRPr="00CC156B">
        <w:rPr>
          <w:rFonts w:cstheme="minorHAnsi"/>
          <w:b/>
        </w:rPr>
        <w:t>Climate Change/Resilience:</w:t>
      </w:r>
      <w:r w:rsidRPr="00847AB7">
        <w:rPr>
          <w:rFonts w:cstheme="minorHAnsi"/>
          <w:bCs/>
        </w:rPr>
        <w:t xml:space="preserve"> DEQ is developing a consistent agency approach, as many programs are interconnected. The approach will consider strategies to account for the impacts of climate change and </w:t>
      </w:r>
      <w:proofErr w:type="gramStart"/>
      <w:r w:rsidRPr="00847AB7">
        <w:rPr>
          <w:rFonts w:cstheme="minorHAnsi"/>
          <w:bCs/>
        </w:rPr>
        <w:t>addressing</w:t>
      </w:r>
      <w:proofErr w:type="gramEnd"/>
      <w:r w:rsidRPr="00847AB7">
        <w:rPr>
          <w:rFonts w:cstheme="minorHAnsi"/>
          <w:bCs/>
        </w:rPr>
        <w:t xml:space="preserve"> climate resiliency in the development of TMDLs and other restoration plans to attain and maintain water quality standards.</w:t>
      </w:r>
    </w:p>
    <w:p w14:paraId="3E7A63A6" w14:textId="77777777" w:rsidR="00847AB7" w:rsidRPr="00847AB7" w:rsidRDefault="00847AB7" w:rsidP="00847AB7">
      <w:pPr>
        <w:rPr>
          <w:rFonts w:cstheme="minorHAnsi"/>
          <w:bCs/>
        </w:rPr>
      </w:pPr>
    </w:p>
    <w:p w14:paraId="69794066" w14:textId="2834C443" w:rsidR="000A444A" w:rsidRDefault="00847AB7" w:rsidP="00847AB7">
      <w:pPr>
        <w:rPr>
          <w:rFonts w:cstheme="minorHAnsi"/>
          <w:bCs/>
        </w:rPr>
      </w:pPr>
      <w:r w:rsidRPr="00CC156B">
        <w:rPr>
          <w:rFonts w:cstheme="minorHAnsi"/>
          <w:b/>
        </w:rPr>
        <w:t>Program Capacity Building:</w:t>
      </w:r>
      <w:r w:rsidRPr="00847AB7">
        <w:rPr>
          <w:rFonts w:cstheme="minorHAnsi"/>
          <w:bCs/>
        </w:rPr>
        <w:t xml:space="preserve"> Staff development and retention is vital to 303(d) program </w:t>
      </w:r>
      <w:r w:rsidR="007B404B" w:rsidRPr="00847AB7">
        <w:rPr>
          <w:rFonts w:cstheme="minorHAnsi"/>
          <w:bCs/>
        </w:rPr>
        <w:t>effectiveness,</w:t>
      </w:r>
      <w:r w:rsidRPr="00847AB7">
        <w:rPr>
          <w:rFonts w:cstheme="minorHAnsi"/>
          <w:bCs/>
        </w:rPr>
        <w:t xml:space="preserve"> so DEQ prioritizes the dedication of resources to education and training of staff </w:t>
      </w:r>
      <w:r w:rsidR="007B404B" w:rsidRPr="00847AB7">
        <w:rPr>
          <w:rFonts w:cstheme="minorHAnsi"/>
          <w:bCs/>
        </w:rPr>
        <w:t>to</w:t>
      </w:r>
      <w:r w:rsidRPr="00847AB7">
        <w:rPr>
          <w:rFonts w:cstheme="minorHAnsi"/>
          <w:bCs/>
        </w:rPr>
        <w:t xml:space="preserve"> continually improve staff technical skills and to foster a greater understanding across programs to enable greater collaboration. DEQ’s TMDL and Nonpoint Source programs also intend to create greater in-house capacity for tasks that may otherwise need to be contracted.</w:t>
      </w:r>
      <w:r w:rsidR="00C33629">
        <w:rPr>
          <w:rFonts w:cstheme="minorHAnsi"/>
          <w:bCs/>
        </w:rPr>
        <w:t xml:space="preserve"> </w:t>
      </w:r>
      <w:r w:rsidRPr="00847AB7">
        <w:rPr>
          <w:rFonts w:cstheme="minorHAnsi"/>
          <w:bCs/>
        </w:rPr>
        <w:lastRenderedPageBreak/>
        <w:t>A decreased reliance on contractual support may provide flexibility for additional funding for other water quality improvement needs.</w:t>
      </w:r>
      <w:r w:rsidR="007B404B">
        <w:rPr>
          <w:rFonts w:cstheme="minorHAnsi"/>
          <w:bCs/>
        </w:rPr>
        <w:br/>
      </w:r>
    </w:p>
    <w:p w14:paraId="2823F952" w14:textId="42629BB6" w:rsidR="000A444A" w:rsidRDefault="00CD297C" w:rsidP="00CD297C">
      <w:pPr>
        <w:pStyle w:val="Heading2"/>
      </w:pPr>
      <w:bookmarkStart w:id="412" w:name="_Toc155771969"/>
      <w:bookmarkStart w:id="413" w:name="_Toc191900448"/>
      <w:r>
        <w:t>Nonpoint Source</w:t>
      </w:r>
      <w:r w:rsidR="000A79B9">
        <w:t xml:space="preserve"> (NPS)</w:t>
      </w:r>
      <w:r>
        <w:t xml:space="preserve"> Assessment and Implementation</w:t>
      </w:r>
      <w:bookmarkEnd w:id="412"/>
      <w:bookmarkEnd w:id="413"/>
    </w:p>
    <w:p w14:paraId="4FB4EAF0" w14:textId="77777777" w:rsidR="00F20AE5" w:rsidRDefault="00F20AE5" w:rsidP="00F20AE5">
      <w:r>
        <w:t>Section 319(b) of the Clean Water Act requires that states develop and implement NPS pollution management programs to control NPS pollution. The programs should articulate a state’s strategy to address nonpoint sources and to achieve/maintain water quality standards. NPS pollution is defined in U.S. Environmental Protection Agency (EPA) guidance as follows:</w:t>
      </w:r>
    </w:p>
    <w:p w14:paraId="6AA5DB57" w14:textId="77777777" w:rsidR="00F20AE5" w:rsidRDefault="00F20AE5" w:rsidP="00F20AE5">
      <w:pPr>
        <w:ind w:left="720"/>
      </w:pPr>
      <w:r>
        <w:rPr>
          <w:i/>
          <w:iCs/>
        </w:rPr>
        <w:br/>
      </w:r>
      <w:r w:rsidRPr="00EE5514">
        <w:rPr>
          <w:i/>
          <w:iCs/>
        </w:rPr>
        <w:t xml:space="preserve">Nonpoint Source Pollution (NPS) pollution is caused by diffuse sources that are not regulated as point sources and normally </w:t>
      </w:r>
      <w:proofErr w:type="gramStart"/>
      <w:r w:rsidRPr="00EE5514">
        <w:rPr>
          <w:i/>
          <w:iCs/>
        </w:rPr>
        <w:t>is</w:t>
      </w:r>
      <w:proofErr w:type="gramEnd"/>
      <w:r w:rsidRPr="00EE5514">
        <w:rPr>
          <w:i/>
          <w:iCs/>
        </w:rPr>
        <w:t xml:space="preserve"> associated with agricultural, silvicultural and urban runoff, runoff from construction activities, and other sources. Such pollution results in the human-made or human-induced alteration of the chemical, physical, biological, and radiological integrity of water. In practical terms, nonpoint source pollution does not result from a discharge at a specific, single location (such as a single pipe) but generally results from land runoff, precipitation, atmospheric deposition, or percolation</w:t>
      </w:r>
      <w:r>
        <w:t>.</w:t>
      </w:r>
    </w:p>
    <w:p w14:paraId="77DC96DB" w14:textId="77777777" w:rsidR="00F20AE5" w:rsidRDefault="00F20AE5" w:rsidP="00F20AE5">
      <w:pPr>
        <w:ind w:left="720"/>
      </w:pPr>
    </w:p>
    <w:p w14:paraId="6494523B" w14:textId="077CF755" w:rsidR="00F20AE5" w:rsidRDefault="00F20AE5" w:rsidP="00F20AE5">
      <w:pPr>
        <w:rPr>
          <w:rFonts w:cstheme="minorHAnsi"/>
        </w:rPr>
      </w:pPr>
      <w:r w:rsidRPr="00334520">
        <w:rPr>
          <w:rFonts w:cstheme="minorHAnsi"/>
        </w:rPr>
        <w:t>Virginia operates a comprehensive, primarily funded through the federal Clean Water Act.</w:t>
      </w:r>
      <w:r>
        <w:rPr>
          <w:rFonts w:cstheme="minorHAnsi"/>
        </w:rPr>
        <w:t xml:space="preserve"> </w:t>
      </w:r>
      <w:r w:rsidRPr="00851D8F">
        <w:rPr>
          <w:rFonts w:cstheme="minorHAnsi"/>
        </w:rPr>
        <w:t>Virginia’s NPS Program is a diverse network of state and local government programs. Collectively, these programs help to prevent water quality degradation and to restore the health of lakes, rivers, streams</w:t>
      </w:r>
      <w:r>
        <w:rPr>
          <w:rFonts w:cstheme="minorHAnsi"/>
        </w:rPr>
        <w:t>,</w:t>
      </w:r>
      <w:r w:rsidRPr="00851D8F">
        <w:rPr>
          <w:rFonts w:cstheme="minorHAnsi"/>
        </w:rPr>
        <w:t xml:space="preserve"> and estuaries by promoting and funding state and local watershed planning efforts, stream and wetland restoration and protection, education and outreach, and other measures to reduce and prevent NPS pollution from affecting the Commonwealth’s waters.</w:t>
      </w:r>
      <w:r>
        <w:rPr>
          <w:rFonts w:cstheme="minorHAnsi"/>
        </w:rPr>
        <w:t xml:space="preserve"> </w:t>
      </w:r>
      <w:r w:rsidRPr="00334520">
        <w:rPr>
          <w:rFonts w:cstheme="minorHAnsi"/>
        </w:rPr>
        <w:t>Virginia utilize</w:t>
      </w:r>
      <w:r>
        <w:rPr>
          <w:rFonts w:cstheme="minorHAnsi"/>
        </w:rPr>
        <w:t>s</w:t>
      </w:r>
      <w:r w:rsidRPr="00334520">
        <w:rPr>
          <w:rFonts w:cstheme="minorHAnsi"/>
        </w:rPr>
        <w:t xml:space="preserve"> </w:t>
      </w:r>
      <w:r>
        <w:rPr>
          <w:rFonts w:cstheme="minorHAnsi"/>
        </w:rPr>
        <w:t>the</w:t>
      </w:r>
      <w:r w:rsidRPr="00334520">
        <w:rPr>
          <w:rFonts w:cstheme="minorHAnsi"/>
        </w:rPr>
        <w:t xml:space="preserve"> prioritization framework paired with effective partner-program integration to optimize time and cost efficiencies in restoring and protecting aquatic resources. This </w:t>
      </w:r>
      <w:r>
        <w:rPr>
          <w:rFonts w:cstheme="minorHAnsi"/>
        </w:rPr>
        <w:t>approach</w:t>
      </w:r>
      <w:r w:rsidRPr="00334520">
        <w:rPr>
          <w:rFonts w:cstheme="minorHAnsi"/>
        </w:rPr>
        <w:t xml:space="preserve"> can be used to target limited resources and funds for NPS pollution reduction activities to areas where they are most needed. </w:t>
      </w:r>
      <w:r>
        <w:rPr>
          <w:rFonts w:cstheme="minorHAnsi"/>
        </w:rPr>
        <w:t>See the DEQ Implementation Projects webpage for more information.</w:t>
      </w:r>
    </w:p>
    <w:p w14:paraId="559EFF4C" w14:textId="77777777" w:rsidR="00F20AE5" w:rsidRPr="00F20AE5" w:rsidRDefault="00F20AE5" w:rsidP="00F20AE5"/>
    <w:p w14:paraId="7242803C" w14:textId="77777777" w:rsidR="0057435D" w:rsidRPr="00334520" w:rsidRDefault="0057435D" w:rsidP="0057435D">
      <w:pPr>
        <w:pStyle w:val="Heading3"/>
      </w:pPr>
      <w:r w:rsidRPr="00334520">
        <w:t xml:space="preserve">NPS Pollution Assessment </w:t>
      </w:r>
    </w:p>
    <w:p w14:paraId="278A79B5" w14:textId="2C798B01" w:rsidR="00555D36" w:rsidRPr="00334520" w:rsidRDefault="00555D36" w:rsidP="00555D36">
      <w:pPr>
        <w:rPr>
          <w:rFonts w:cstheme="minorHAnsi"/>
        </w:rPr>
      </w:pPr>
      <w:r>
        <w:rPr>
          <w:rFonts w:cstheme="minorHAnsi"/>
        </w:rPr>
        <w:t>Virginia’s</w:t>
      </w:r>
      <w:r w:rsidRPr="00334520">
        <w:rPr>
          <w:rFonts w:cstheme="minorHAnsi"/>
        </w:rPr>
        <w:t xml:space="preserve"> </w:t>
      </w:r>
      <w:r w:rsidRPr="00851D8F">
        <w:rPr>
          <w:rFonts w:cstheme="minorHAnsi"/>
        </w:rPr>
        <w:t>D</w:t>
      </w:r>
      <w:r>
        <w:rPr>
          <w:rFonts w:cstheme="minorHAnsi"/>
        </w:rPr>
        <w:t>epartment of Conservation and Recreation</w:t>
      </w:r>
      <w:r w:rsidRPr="00851D8F">
        <w:rPr>
          <w:rFonts w:cstheme="minorHAnsi"/>
        </w:rPr>
        <w:t xml:space="preserve"> </w:t>
      </w:r>
      <w:r>
        <w:rPr>
          <w:rFonts w:cstheme="minorHAnsi"/>
        </w:rPr>
        <w:t xml:space="preserve">(DCR) </w:t>
      </w:r>
      <w:r w:rsidRPr="00851D8F">
        <w:rPr>
          <w:rFonts w:cstheme="minorHAnsi"/>
        </w:rPr>
        <w:t xml:space="preserve">has evaluated the potential for water quality degradation due to nonpoint sources of pollution biennially since 1986 on a per hydrologic unit basis, also </w:t>
      </w:r>
      <w:r w:rsidR="00382851" w:rsidRPr="00851D8F">
        <w:rPr>
          <w:rFonts w:cstheme="minorHAnsi"/>
        </w:rPr>
        <w:t>considering</w:t>
      </w:r>
      <w:r w:rsidRPr="00851D8F">
        <w:rPr>
          <w:rFonts w:cstheme="minorHAnsi"/>
        </w:rPr>
        <w:t xml:space="preserve"> indicators of where such degradation might have its greatest negative impact.</w:t>
      </w:r>
      <w:r>
        <w:rPr>
          <w:rFonts w:cstheme="minorHAnsi"/>
        </w:rPr>
        <w:t xml:space="preserve"> The </w:t>
      </w:r>
      <w:r w:rsidR="00382851">
        <w:rPr>
          <w:rFonts w:cstheme="minorHAnsi"/>
        </w:rPr>
        <w:t>2022 NPS Pollution Assessment Summary</w:t>
      </w:r>
      <w:r w:rsidRPr="00334520">
        <w:rPr>
          <w:rFonts w:cstheme="minorHAnsi"/>
        </w:rPr>
        <w:t xml:space="preserve"> estimations of the NPS pollutant loads of </w:t>
      </w:r>
      <w:r w:rsidR="00382851" w:rsidRPr="00334520">
        <w:rPr>
          <w:rFonts w:cstheme="minorHAnsi"/>
        </w:rPr>
        <w:t>Nitrogen,</w:t>
      </w:r>
      <w:r w:rsidRPr="00334520">
        <w:rPr>
          <w:rFonts w:cstheme="minorHAnsi"/>
        </w:rPr>
        <w:t xml:space="preserve"> Phosphorus</w:t>
      </w:r>
      <w:r w:rsidR="00732CA5">
        <w:rPr>
          <w:rFonts w:cstheme="minorHAnsi"/>
        </w:rPr>
        <w:t>,</w:t>
      </w:r>
      <w:r w:rsidRPr="00334520">
        <w:rPr>
          <w:rFonts w:cstheme="minorHAnsi"/>
        </w:rPr>
        <w:t xml:space="preserve"> and Sediment by the sixth-level hydrologic units of the National Watershed Boundary Dataset (NWBD) were calculated using a NPS load simulation model and data developed by the DCR, DEQ and the Virginia Polytechnic Institute and State University (Virginia Tech) Department of Biological Systems Engineering (BSE). More information can be found </w:t>
      </w:r>
      <w:r w:rsidR="00C221B3">
        <w:rPr>
          <w:rFonts w:cstheme="minorHAnsi"/>
        </w:rPr>
        <w:t xml:space="preserve">at the </w:t>
      </w:r>
      <w:r w:rsidR="00E017B6">
        <w:rPr>
          <w:rFonts w:cstheme="minorHAnsi"/>
        </w:rPr>
        <w:t>DCR NPS Assessment and Prioritization webpage</w:t>
      </w:r>
      <w:r>
        <w:t xml:space="preserve"> </w:t>
      </w:r>
      <w:r w:rsidRPr="00334520">
        <w:rPr>
          <w:rFonts w:cstheme="minorHAnsi"/>
        </w:rPr>
        <w:t>under Origins of the 2022 NPS Pollutant Loads</w:t>
      </w:r>
      <w:r w:rsidR="00E017B6">
        <w:rPr>
          <w:rFonts w:cstheme="minorHAnsi"/>
        </w:rPr>
        <w:t>, and the 2022 DC</w:t>
      </w:r>
      <w:r w:rsidR="00C221B3">
        <w:rPr>
          <w:rFonts w:cstheme="minorHAnsi"/>
        </w:rPr>
        <w:t xml:space="preserve">R </w:t>
      </w:r>
      <w:r w:rsidR="00E017B6">
        <w:rPr>
          <w:rFonts w:cstheme="minorHAnsi"/>
        </w:rPr>
        <w:t>NP</w:t>
      </w:r>
      <w:r w:rsidR="00C221B3">
        <w:rPr>
          <w:rFonts w:cstheme="minorHAnsi"/>
        </w:rPr>
        <w:t>S</w:t>
      </w:r>
      <w:r w:rsidR="00E017B6">
        <w:rPr>
          <w:rFonts w:cstheme="minorHAnsi"/>
        </w:rPr>
        <w:t xml:space="preserve"> Pollution</w:t>
      </w:r>
      <w:r w:rsidR="00C221B3">
        <w:rPr>
          <w:rFonts w:cstheme="minorHAnsi"/>
        </w:rPr>
        <w:t xml:space="preserve"> Assessment Summary.</w:t>
      </w:r>
    </w:p>
    <w:p w14:paraId="066BD51F" w14:textId="77777777" w:rsidR="00555D36" w:rsidRPr="00334520" w:rsidRDefault="00555D36" w:rsidP="00555D36">
      <w:pPr>
        <w:tabs>
          <w:tab w:val="left" w:pos="0"/>
          <w:tab w:val="left" w:pos="540"/>
          <w:tab w:val="left" w:pos="1440"/>
          <w:tab w:val="left" w:pos="2160"/>
          <w:tab w:val="left" w:pos="2700"/>
          <w:tab w:val="left" w:pos="3600"/>
          <w:tab w:val="left" w:pos="4320"/>
          <w:tab w:val="left" w:pos="5040"/>
          <w:tab w:val="left" w:pos="5760"/>
          <w:tab w:val="left" w:pos="6480"/>
          <w:tab w:val="left" w:pos="7200"/>
          <w:tab w:val="left" w:pos="7920"/>
          <w:tab w:val="left" w:pos="8640"/>
          <w:tab w:val="left" w:pos="9360"/>
        </w:tabs>
        <w:rPr>
          <w:rFonts w:cstheme="minorHAnsi"/>
          <w:highlight w:val="yellow"/>
        </w:rPr>
      </w:pPr>
    </w:p>
    <w:p w14:paraId="71DBBADC" w14:textId="60293D7C" w:rsidR="00555D36" w:rsidRPr="00AA1195" w:rsidRDefault="00555D36" w:rsidP="00555D36">
      <w:pPr>
        <w:tabs>
          <w:tab w:val="left" w:pos="0"/>
          <w:tab w:val="left" w:pos="540"/>
          <w:tab w:val="left" w:pos="1440"/>
          <w:tab w:val="left" w:pos="2160"/>
          <w:tab w:val="left" w:pos="2700"/>
          <w:tab w:val="left" w:pos="3600"/>
          <w:tab w:val="left" w:pos="4320"/>
          <w:tab w:val="left" w:pos="5040"/>
          <w:tab w:val="left" w:pos="5760"/>
          <w:tab w:val="left" w:pos="6480"/>
          <w:tab w:val="left" w:pos="7200"/>
          <w:tab w:val="left" w:pos="7920"/>
          <w:tab w:val="left" w:pos="8640"/>
          <w:tab w:val="left" w:pos="9360"/>
        </w:tabs>
        <w:rPr>
          <w:rStyle w:val="Hyperlink"/>
          <w:rFonts w:cstheme="minorHAnsi"/>
          <w:color w:val="auto"/>
          <w:u w:val="none"/>
        </w:rPr>
      </w:pPr>
      <w:r w:rsidRPr="00334520">
        <w:rPr>
          <w:rFonts w:cstheme="minorHAnsi"/>
        </w:rPr>
        <w:t>The 2024 NPS Assessment will focus on nutrients and sediment; however, most of the NPS-</w:t>
      </w:r>
      <w:r w:rsidRPr="00334520">
        <w:rPr>
          <w:rFonts w:cstheme="minorHAnsi"/>
        </w:rPr>
        <w:lastRenderedPageBreak/>
        <w:t xml:space="preserve">impaired waters from the 2022 303(d) report are listed due to the presence of excess fecal bacteria. Total Maximum Daily Load (TMDL) studies have shown that pet </w:t>
      </w:r>
      <w:proofErr w:type="gramStart"/>
      <w:r w:rsidRPr="00334520">
        <w:rPr>
          <w:rFonts w:cstheme="minorHAnsi"/>
        </w:rPr>
        <w:t>wastes</w:t>
      </w:r>
      <w:proofErr w:type="gramEnd"/>
      <w:r w:rsidRPr="00334520">
        <w:rPr>
          <w:rFonts w:cstheme="minorHAnsi"/>
        </w:rPr>
        <w:t xml:space="preserve"> can contribute to high pathogen counts in some urban streams. Concentrations of wildlife can have a similar effect in various land use/land cover settings. Likewise, human wastes from straight pipe disposal, failing septic systems, or malfunctioning water treatment plants and their permitted collection system infrastructure can all contribute to the impairment of waters due to high levels of fecal bacteria.</w:t>
      </w:r>
    </w:p>
    <w:p w14:paraId="02AB96FC" w14:textId="77777777" w:rsidR="0057435D" w:rsidRPr="00334520" w:rsidRDefault="0057435D" w:rsidP="0057435D">
      <w:pPr>
        <w:tabs>
          <w:tab w:val="left" w:pos="0"/>
          <w:tab w:val="left" w:pos="540"/>
          <w:tab w:val="left" w:pos="1440"/>
          <w:tab w:val="left" w:pos="2160"/>
          <w:tab w:val="left" w:pos="2700"/>
          <w:tab w:val="left" w:pos="3600"/>
          <w:tab w:val="left" w:pos="4320"/>
          <w:tab w:val="left" w:pos="5040"/>
          <w:tab w:val="left" w:pos="5760"/>
          <w:tab w:val="left" w:pos="6480"/>
          <w:tab w:val="left" w:pos="7200"/>
          <w:tab w:val="left" w:pos="7920"/>
          <w:tab w:val="left" w:pos="8640"/>
          <w:tab w:val="left" w:pos="9360"/>
        </w:tabs>
        <w:rPr>
          <w:rFonts w:cstheme="minorHAnsi"/>
        </w:rPr>
      </w:pPr>
    </w:p>
    <w:p w14:paraId="0BCBE5BE" w14:textId="77777777" w:rsidR="0057435D" w:rsidRPr="00334520" w:rsidRDefault="0057435D" w:rsidP="0057435D">
      <w:pPr>
        <w:pStyle w:val="Heading3"/>
      </w:pPr>
      <w:r w:rsidRPr="00334520">
        <w:t>NPS Implementation</w:t>
      </w:r>
    </w:p>
    <w:p w14:paraId="76AA9286" w14:textId="3D7B4F25" w:rsidR="00AB304F" w:rsidRPr="00334520" w:rsidRDefault="00AB304F" w:rsidP="00AB304F">
      <w:pPr>
        <w:rPr>
          <w:rFonts w:cstheme="minorHAnsi"/>
        </w:rPr>
      </w:pPr>
      <w:r>
        <w:rPr>
          <w:rFonts w:cstheme="minorHAnsi"/>
        </w:rPr>
        <w:t>Virginia</w:t>
      </w:r>
      <w:r w:rsidRPr="00334520">
        <w:rPr>
          <w:rFonts w:cstheme="minorHAnsi"/>
        </w:rPr>
        <w:t xml:space="preserve"> statute </w:t>
      </w:r>
      <w:r>
        <w:rPr>
          <w:rFonts w:cstheme="minorHAnsi"/>
        </w:rPr>
        <w:t>(WQMIRA, (</w:t>
      </w:r>
      <w:r w:rsidRPr="00334520">
        <w:rPr>
          <w:rFonts w:cstheme="minorHAnsi"/>
        </w:rPr>
        <w:t>§62.1- 44.19:4 through 19:8 of the Code of Virginia</w:t>
      </w:r>
      <w:r>
        <w:rPr>
          <w:rFonts w:cstheme="minorHAnsi"/>
        </w:rPr>
        <w:t xml:space="preserve">) </w:t>
      </w:r>
      <w:r w:rsidRPr="00334520">
        <w:rPr>
          <w:rFonts w:cstheme="minorHAnsi"/>
        </w:rPr>
        <w:t xml:space="preserve">directs DEQ to develop a plan to achieve fully supporting status of impaired waters. In Virginia, </w:t>
      </w:r>
      <w:r>
        <w:rPr>
          <w:rFonts w:cstheme="minorHAnsi"/>
        </w:rPr>
        <w:t>i</w:t>
      </w:r>
      <w:r w:rsidRPr="00334520">
        <w:rPr>
          <w:rFonts w:cstheme="minorHAnsi"/>
        </w:rPr>
        <w:t xml:space="preserve">mplementation </w:t>
      </w:r>
      <w:r>
        <w:rPr>
          <w:rFonts w:cstheme="minorHAnsi"/>
        </w:rPr>
        <w:t>p</w:t>
      </w:r>
      <w:r w:rsidRPr="00334520">
        <w:rPr>
          <w:rFonts w:cstheme="minorHAnsi"/>
        </w:rPr>
        <w:t>lan</w:t>
      </w:r>
      <w:r>
        <w:rPr>
          <w:rFonts w:cstheme="minorHAnsi"/>
        </w:rPr>
        <w:t>s</w:t>
      </w:r>
      <w:r w:rsidRPr="00334520">
        <w:rPr>
          <w:rFonts w:cstheme="minorHAnsi"/>
        </w:rPr>
        <w:t xml:space="preserve"> (IP</w:t>
      </w:r>
      <w:r>
        <w:rPr>
          <w:rFonts w:cstheme="minorHAnsi"/>
        </w:rPr>
        <w:t>s</w:t>
      </w:r>
      <w:r w:rsidRPr="00334520">
        <w:rPr>
          <w:rFonts w:cstheme="minorHAnsi"/>
        </w:rPr>
        <w:t xml:space="preserve">), also known as a Watershed Based Plan or Clean Up Plan, </w:t>
      </w:r>
      <w:r>
        <w:rPr>
          <w:rFonts w:cstheme="minorHAnsi"/>
        </w:rPr>
        <w:t>are commonly</w:t>
      </w:r>
      <w:r w:rsidRPr="00334520">
        <w:rPr>
          <w:rFonts w:cstheme="minorHAnsi"/>
        </w:rPr>
        <w:t xml:space="preserve"> completed after a TMDL is developed and approved</w:t>
      </w:r>
      <w:r>
        <w:rPr>
          <w:rFonts w:cstheme="minorHAnsi"/>
        </w:rPr>
        <w:t xml:space="preserve">. </w:t>
      </w:r>
      <w:r w:rsidRPr="00334520">
        <w:rPr>
          <w:rFonts w:cstheme="minorHAnsi"/>
        </w:rPr>
        <w:t xml:space="preserve">There is not a mandated schedule for implementation plan development; however, local or state agencies, as well as community watershed groups partner with DEQ in developing implementation plans. The implementation plan describes the control measures (best management practices or BMPs) that should be taken to reduce nonpoint source pollution levels to meet the TMDL load allocation in the waterbody and includes a schedule of actions, costs, and monitoring needs. More information on </w:t>
      </w:r>
      <w:r>
        <w:rPr>
          <w:rFonts w:cstheme="minorHAnsi"/>
        </w:rPr>
        <w:t>i</w:t>
      </w:r>
      <w:r w:rsidRPr="00334520">
        <w:rPr>
          <w:rFonts w:cstheme="minorHAnsi"/>
        </w:rPr>
        <w:t xml:space="preserve">mplementation </w:t>
      </w:r>
      <w:r>
        <w:rPr>
          <w:rFonts w:cstheme="minorHAnsi"/>
        </w:rPr>
        <w:t>p</w:t>
      </w:r>
      <w:r w:rsidRPr="00334520">
        <w:rPr>
          <w:rFonts w:cstheme="minorHAnsi"/>
        </w:rPr>
        <w:t xml:space="preserve">lanning can be found </w:t>
      </w:r>
      <w:proofErr w:type="gramStart"/>
      <w:r w:rsidRPr="00334520">
        <w:rPr>
          <w:rFonts w:cstheme="minorHAnsi"/>
        </w:rPr>
        <w:t>at</w:t>
      </w:r>
      <w:proofErr w:type="gramEnd"/>
      <w:r w:rsidR="00303C2D">
        <w:rPr>
          <w:rFonts w:cstheme="minorHAnsi"/>
        </w:rPr>
        <w:t xml:space="preserve"> the DEQ Implementation webpage.</w:t>
      </w:r>
    </w:p>
    <w:p w14:paraId="08C41931" w14:textId="77777777" w:rsidR="00AB304F" w:rsidRPr="00334520" w:rsidRDefault="00AB304F" w:rsidP="00AB304F">
      <w:pPr>
        <w:rPr>
          <w:rFonts w:cstheme="minorHAnsi"/>
        </w:rPr>
      </w:pPr>
    </w:p>
    <w:p w14:paraId="66071FAD" w14:textId="5FC05C75" w:rsidR="00AB304F" w:rsidRPr="00334520" w:rsidRDefault="00AB304F" w:rsidP="00AB304F">
      <w:pPr>
        <w:tabs>
          <w:tab w:val="left" w:pos="540"/>
          <w:tab w:val="left" w:pos="1440"/>
          <w:tab w:val="left" w:pos="2160"/>
          <w:tab w:val="left" w:pos="2700"/>
          <w:tab w:val="left" w:pos="3600"/>
          <w:tab w:val="left" w:pos="4320"/>
          <w:tab w:val="left" w:pos="5040"/>
          <w:tab w:val="left" w:pos="5760"/>
          <w:tab w:val="left" w:pos="6480"/>
          <w:tab w:val="left" w:pos="7200"/>
          <w:tab w:val="left" w:pos="7920"/>
          <w:tab w:val="left" w:pos="8640"/>
          <w:tab w:val="left" w:pos="9360"/>
        </w:tabs>
        <w:rPr>
          <w:rFonts w:cstheme="minorHAnsi"/>
          <w:b/>
          <w:bCs/>
        </w:rPr>
      </w:pPr>
      <w:r>
        <w:rPr>
          <w:rFonts w:cstheme="minorHAnsi"/>
          <w:szCs w:val="24"/>
        </w:rPr>
        <w:t xml:space="preserve">An IP </w:t>
      </w:r>
      <w:r w:rsidRPr="00334520">
        <w:rPr>
          <w:rFonts w:cstheme="minorHAnsi"/>
          <w:szCs w:val="24"/>
        </w:rPr>
        <w:t>target</w:t>
      </w:r>
      <w:r>
        <w:rPr>
          <w:rFonts w:cstheme="minorHAnsi"/>
          <w:szCs w:val="24"/>
        </w:rPr>
        <w:t>s</w:t>
      </w:r>
      <w:r w:rsidRPr="00334520">
        <w:rPr>
          <w:rFonts w:cstheme="minorHAnsi"/>
          <w:szCs w:val="24"/>
        </w:rPr>
        <w:t xml:space="preserve"> a watershed or group of watersheds that are on the 303(d) list (i.e., impairments)</w:t>
      </w:r>
      <w:r>
        <w:rPr>
          <w:rFonts w:cstheme="minorHAnsi"/>
          <w:szCs w:val="24"/>
        </w:rPr>
        <w:t>, and may address impairments not explicitly addressed by a</w:t>
      </w:r>
      <w:r w:rsidRPr="00334520">
        <w:rPr>
          <w:rFonts w:cstheme="minorHAnsi"/>
          <w:szCs w:val="24"/>
        </w:rPr>
        <w:t xml:space="preserve"> TMDL (for example</w:t>
      </w:r>
      <w:r>
        <w:rPr>
          <w:rFonts w:cstheme="minorHAnsi"/>
          <w:szCs w:val="24"/>
        </w:rPr>
        <w:t>,</w:t>
      </w:r>
      <w:r w:rsidRPr="00334520">
        <w:rPr>
          <w:rFonts w:cstheme="minorHAnsi"/>
          <w:szCs w:val="24"/>
        </w:rPr>
        <w:t xml:space="preserve"> when new impairments </w:t>
      </w:r>
      <w:r>
        <w:rPr>
          <w:rFonts w:cstheme="minorHAnsi"/>
          <w:szCs w:val="24"/>
        </w:rPr>
        <w:t>are</w:t>
      </w:r>
      <w:r w:rsidRPr="00334520">
        <w:rPr>
          <w:rFonts w:cstheme="minorHAnsi"/>
          <w:szCs w:val="24"/>
        </w:rPr>
        <w:t xml:space="preserve"> added in a </w:t>
      </w:r>
      <w:r>
        <w:rPr>
          <w:rFonts w:cstheme="minorHAnsi"/>
          <w:szCs w:val="24"/>
        </w:rPr>
        <w:t xml:space="preserve">TMDL </w:t>
      </w:r>
      <w:r w:rsidRPr="00334520">
        <w:rPr>
          <w:rFonts w:cstheme="minorHAnsi"/>
          <w:szCs w:val="24"/>
        </w:rPr>
        <w:t>watershed</w:t>
      </w:r>
      <w:r>
        <w:rPr>
          <w:rFonts w:cstheme="minorHAnsi"/>
          <w:szCs w:val="24"/>
        </w:rPr>
        <w:t xml:space="preserve">, or when utilizing specific BMPs is expected to be the most efficient way to remedy </w:t>
      </w:r>
      <w:proofErr w:type="gramStart"/>
      <w:r>
        <w:rPr>
          <w:rFonts w:cstheme="minorHAnsi"/>
          <w:szCs w:val="24"/>
        </w:rPr>
        <w:t>an impairment</w:t>
      </w:r>
      <w:proofErr w:type="gramEnd"/>
      <w:r w:rsidRPr="00334520">
        <w:rPr>
          <w:rFonts w:cstheme="minorHAnsi"/>
          <w:szCs w:val="24"/>
        </w:rPr>
        <w:t>)</w:t>
      </w:r>
      <w:r>
        <w:rPr>
          <w:rFonts w:cstheme="minorHAnsi"/>
          <w:szCs w:val="24"/>
        </w:rPr>
        <w:t>.</w:t>
      </w:r>
      <w:r w:rsidRPr="00334520">
        <w:rPr>
          <w:rFonts w:cstheme="minorHAnsi"/>
          <w:szCs w:val="24"/>
        </w:rPr>
        <w:t xml:space="preserve"> Figure </w:t>
      </w:r>
      <w:r w:rsidR="00D40EEF">
        <w:rPr>
          <w:rFonts w:cstheme="minorHAnsi"/>
          <w:szCs w:val="24"/>
        </w:rPr>
        <w:t>6.3</w:t>
      </w:r>
      <w:r>
        <w:rPr>
          <w:rFonts w:cstheme="minorHAnsi"/>
          <w:szCs w:val="24"/>
        </w:rPr>
        <w:t>-</w:t>
      </w:r>
      <w:r w:rsidRPr="00334520">
        <w:rPr>
          <w:rFonts w:cstheme="minorHAnsi"/>
          <w:szCs w:val="24"/>
        </w:rPr>
        <w:t xml:space="preserve">1 shows IP </w:t>
      </w:r>
      <w:proofErr w:type="gramStart"/>
      <w:r w:rsidRPr="00334520">
        <w:rPr>
          <w:rFonts w:cstheme="minorHAnsi"/>
          <w:szCs w:val="24"/>
        </w:rPr>
        <w:t>development progress</w:t>
      </w:r>
      <w:proofErr w:type="gramEnd"/>
      <w:r w:rsidRPr="00334520">
        <w:rPr>
          <w:rFonts w:cstheme="minorHAnsi"/>
          <w:szCs w:val="24"/>
        </w:rPr>
        <w:t xml:space="preserve"> since 2001 measured by the number of impaired waters addressed, the number of IPs developed, and, as a bridge to the TMDL program, the number of TMDL equations addressed by completed IPs.</w:t>
      </w:r>
    </w:p>
    <w:p w14:paraId="6DA9AE76" w14:textId="77777777" w:rsidR="0057435D" w:rsidRPr="00334520" w:rsidRDefault="0057435D" w:rsidP="0057435D">
      <w:pPr>
        <w:tabs>
          <w:tab w:val="left" w:pos="0"/>
          <w:tab w:val="left" w:pos="540"/>
          <w:tab w:val="left" w:pos="1440"/>
          <w:tab w:val="left" w:pos="2160"/>
          <w:tab w:val="left" w:pos="2700"/>
          <w:tab w:val="left" w:pos="3600"/>
          <w:tab w:val="left" w:pos="4320"/>
          <w:tab w:val="left" w:pos="5040"/>
          <w:tab w:val="left" w:pos="5760"/>
          <w:tab w:val="left" w:pos="6480"/>
          <w:tab w:val="left" w:pos="7200"/>
          <w:tab w:val="left" w:pos="7920"/>
          <w:tab w:val="left" w:pos="8640"/>
          <w:tab w:val="left" w:pos="9360"/>
        </w:tabs>
        <w:rPr>
          <w:rFonts w:cstheme="minorHAnsi"/>
          <w:b/>
          <w:bCs/>
        </w:rPr>
      </w:pPr>
    </w:p>
    <w:p w14:paraId="2196E42C" w14:textId="77777777" w:rsidR="0057435D" w:rsidRDefault="0057435D" w:rsidP="0057435D">
      <w:pPr>
        <w:keepNext/>
        <w:tabs>
          <w:tab w:val="left" w:pos="0"/>
          <w:tab w:val="left" w:pos="540"/>
          <w:tab w:val="left" w:pos="1440"/>
          <w:tab w:val="left" w:pos="2160"/>
          <w:tab w:val="left" w:pos="2700"/>
          <w:tab w:val="left" w:pos="3600"/>
          <w:tab w:val="left" w:pos="4320"/>
          <w:tab w:val="left" w:pos="5040"/>
          <w:tab w:val="left" w:pos="5760"/>
          <w:tab w:val="left" w:pos="6480"/>
          <w:tab w:val="left" w:pos="7200"/>
          <w:tab w:val="left" w:pos="7920"/>
          <w:tab w:val="left" w:pos="8640"/>
          <w:tab w:val="left" w:pos="9360"/>
        </w:tabs>
      </w:pPr>
      <w:r w:rsidRPr="00334520">
        <w:rPr>
          <w:rFonts w:cstheme="minorHAnsi"/>
          <w:noProof/>
          <w:color w:val="000000"/>
        </w:rPr>
        <w:lastRenderedPageBreak/>
        <w:drawing>
          <wp:inline distT="0" distB="0" distL="0" distR="0" wp14:anchorId="2C85283B" wp14:editId="1A44E849">
            <wp:extent cx="5943600" cy="3910965"/>
            <wp:effectExtent l="0" t="0" r="0" b="0"/>
            <wp:docPr id="151864057" name="Picture 151864057" descr="Chart, line chart&#10;&#10;TMDL Implementation Plan Development in Virginia from June 2001 to Jun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82792" name="Picture 376082792" descr="Chart, line chart&#10;&#10;TMDL Implementation Plan Development in Virginia from June 2001 to June 2022"/>
                    <pic:cNvPicPr>
                      <a:picLocks noChangeAspect="1" noChangeArrowheads="1"/>
                    </pic:cNvPicPr>
                  </pic:nvPicPr>
                  <pic:blipFill>
                    <a:blip r:embed="rId232" r:link="rId233" cstate="email">
                      <a:extLst>
                        <a:ext uri="{28A0092B-C50C-407E-A947-70E740481C1C}">
                          <a14:useLocalDpi xmlns:a14="http://schemas.microsoft.com/office/drawing/2010/main"/>
                        </a:ext>
                      </a:extLst>
                    </a:blip>
                    <a:srcRect/>
                    <a:stretch>
                      <a:fillRect/>
                    </a:stretch>
                  </pic:blipFill>
                  <pic:spPr bwMode="auto">
                    <a:xfrm>
                      <a:off x="0" y="0"/>
                      <a:ext cx="5943600" cy="3910965"/>
                    </a:xfrm>
                    <a:prstGeom prst="rect">
                      <a:avLst/>
                    </a:prstGeom>
                    <a:noFill/>
                    <a:ln>
                      <a:noFill/>
                    </a:ln>
                  </pic:spPr>
                </pic:pic>
              </a:graphicData>
            </a:graphic>
          </wp:inline>
        </w:drawing>
      </w:r>
    </w:p>
    <w:p w14:paraId="34BC36D7" w14:textId="49A1E51E" w:rsidR="00345E53" w:rsidRPr="00D237D4" w:rsidRDefault="0057435D" w:rsidP="00345E53">
      <w:pPr>
        <w:pStyle w:val="Caption"/>
        <w:keepNext/>
      </w:pPr>
      <w:bookmarkStart w:id="414" w:name="_Toc164175141"/>
      <w:r>
        <w:t xml:space="preserve">Figure </w:t>
      </w:r>
      <w:r w:rsidR="004F13BA">
        <w:fldChar w:fldCharType="begin"/>
      </w:r>
      <w:r w:rsidR="004F13BA">
        <w:instrText xml:space="preserve"> STYLEREF 2 \s </w:instrText>
      </w:r>
      <w:r w:rsidR="004F13BA">
        <w:fldChar w:fldCharType="separate"/>
      </w:r>
      <w:r w:rsidR="00E429BB">
        <w:rPr>
          <w:noProof/>
        </w:rPr>
        <w:t>6.3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xml:space="preserve">. </w:t>
      </w:r>
      <w:r w:rsidRPr="000F6A69">
        <w:t>TMDL Implementation Plan Development in Virginia</w:t>
      </w:r>
      <w:bookmarkEnd w:id="414"/>
      <w:r>
        <w:t xml:space="preserve"> from June 2001 to June 2022</w:t>
      </w:r>
    </w:p>
    <w:p w14:paraId="33909B31" w14:textId="77777777" w:rsidR="0057435D" w:rsidRPr="00334520" w:rsidRDefault="0057435D" w:rsidP="0057435D">
      <w:pPr>
        <w:tabs>
          <w:tab w:val="left" w:pos="0"/>
          <w:tab w:val="left" w:pos="540"/>
          <w:tab w:val="left" w:pos="1440"/>
          <w:tab w:val="left" w:pos="2160"/>
          <w:tab w:val="left" w:pos="2700"/>
          <w:tab w:val="left" w:pos="3600"/>
          <w:tab w:val="left" w:pos="4320"/>
          <w:tab w:val="left" w:pos="5040"/>
          <w:tab w:val="left" w:pos="5760"/>
          <w:tab w:val="left" w:pos="6480"/>
          <w:tab w:val="left" w:pos="7200"/>
          <w:tab w:val="left" w:pos="7920"/>
          <w:tab w:val="left" w:pos="8640"/>
          <w:tab w:val="left" w:pos="9360"/>
        </w:tabs>
        <w:rPr>
          <w:rFonts w:cstheme="minorHAnsi"/>
        </w:rPr>
      </w:pPr>
    </w:p>
    <w:p w14:paraId="199EDFDE" w14:textId="77777777" w:rsidR="00320909" w:rsidRDefault="00F9439D" w:rsidP="00F9439D">
      <w:pPr>
        <w:tabs>
          <w:tab w:val="left" w:pos="0"/>
          <w:tab w:val="left" w:pos="540"/>
          <w:tab w:val="left" w:pos="1440"/>
          <w:tab w:val="left" w:pos="2160"/>
          <w:tab w:val="left" w:pos="2700"/>
          <w:tab w:val="left" w:pos="3600"/>
          <w:tab w:val="left" w:pos="4320"/>
          <w:tab w:val="left" w:pos="5040"/>
          <w:tab w:val="left" w:pos="5760"/>
          <w:tab w:val="left" w:pos="6480"/>
          <w:tab w:val="left" w:pos="7200"/>
          <w:tab w:val="left" w:pos="7920"/>
          <w:tab w:val="left" w:pos="8640"/>
          <w:tab w:val="left" w:pos="9360"/>
        </w:tabs>
        <w:rPr>
          <w:rFonts w:cstheme="minorHAnsi"/>
          <w:szCs w:val="24"/>
        </w:rPr>
      </w:pPr>
      <w:r w:rsidRPr="00334520">
        <w:rPr>
          <w:rFonts w:cstheme="minorHAnsi"/>
        </w:rPr>
        <w:t xml:space="preserve">Upon completion of </w:t>
      </w:r>
      <w:r>
        <w:rPr>
          <w:rFonts w:cstheme="minorHAnsi"/>
        </w:rPr>
        <w:t xml:space="preserve">an </w:t>
      </w:r>
      <w:r w:rsidRPr="00334520">
        <w:rPr>
          <w:rFonts w:cstheme="minorHAnsi"/>
        </w:rPr>
        <w:t xml:space="preserve">IP, </w:t>
      </w:r>
      <w:r>
        <w:rPr>
          <w:rFonts w:cstheme="minorHAnsi"/>
        </w:rPr>
        <w:t>the subject</w:t>
      </w:r>
      <w:r w:rsidRPr="00334520">
        <w:rPr>
          <w:rFonts w:cstheme="minorHAnsi"/>
        </w:rPr>
        <w:t xml:space="preserve"> area </w:t>
      </w:r>
      <w:r>
        <w:rPr>
          <w:rFonts w:cstheme="minorHAnsi"/>
        </w:rPr>
        <w:t>is</w:t>
      </w:r>
      <w:r w:rsidRPr="00334520">
        <w:rPr>
          <w:rFonts w:cstheme="minorHAnsi"/>
        </w:rPr>
        <w:t xml:space="preserve"> eligible to receive funding to complete comprehensive, multi-year implementation </w:t>
      </w:r>
      <w:r>
        <w:rPr>
          <w:rFonts w:cstheme="minorHAnsi"/>
        </w:rPr>
        <w:t>of BMPs</w:t>
      </w:r>
      <w:r w:rsidRPr="00334520">
        <w:rPr>
          <w:rFonts w:cstheme="minorHAnsi"/>
        </w:rPr>
        <w:t>. Efforts to reduce NPS pollution</w:t>
      </w:r>
      <w:r>
        <w:rPr>
          <w:rFonts w:cstheme="minorHAnsi"/>
        </w:rPr>
        <w:t>, including TMDL implementation,</w:t>
      </w:r>
      <w:r w:rsidRPr="00334520">
        <w:rPr>
          <w:rFonts w:cstheme="minorHAnsi"/>
        </w:rPr>
        <w:t xml:space="preserve"> in Virginia have been undertaken by federal, state, regional, and local government agencies, as well as by citizen action. In many cases the activities are cooperatively performed and funded. Nonpoint Source reduction activities (projects)</w:t>
      </w:r>
      <w:r>
        <w:rPr>
          <w:rFonts w:cstheme="minorHAnsi"/>
        </w:rPr>
        <w:t>, including progress summaries for implementation projects,</w:t>
      </w:r>
      <w:r w:rsidRPr="00334520">
        <w:rPr>
          <w:rFonts w:cstheme="minorHAnsi"/>
        </w:rPr>
        <w:t xml:space="preserve"> can be found on the</w:t>
      </w:r>
      <w:r w:rsidR="00D83EF3">
        <w:rPr>
          <w:rFonts w:cstheme="minorHAnsi"/>
        </w:rPr>
        <w:t xml:space="preserve"> DEQ Implementation Projects webpage,</w:t>
      </w:r>
      <w:r w:rsidRPr="00334520">
        <w:rPr>
          <w:rFonts w:cstheme="minorHAnsi"/>
        </w:rPr>
        <w:t xml:space="preserve"> and in the corresponding </w:t>
      </w:r>
      <w:r w:rsidRPr="004E282D">
        <w:rPr>
          <w:rFonts w:cstheme="minorHAnsi"/>
        </w:rPr>
        <w:t>2019 NPS Pollution Management Program Plan document</w:t>
      </w:r>
      <w:r w:rsidRPr="00334520">
        <w:rPr>
          <w:rFonts w:cstheme="minorHAnsi"/>
        </w:rPr>
        <w:t xml:space="preserve"> updated every five years. </w:t>
      </w:r>
      <w:r>
        <w:rPr>
          <w:rFonts w:cstheme="minorHAnsi"/>
        </w:rPr>
        <w:t>T</w:t>
      </w:r>
      <w:r w:rsidRPr="00334520">
        <w:rPr>
          <w:rFonts w:cstheme="minorHAnsi"/>
        </w:rPr>
        <w:t xml:space="preserve">hese efforts target </w:t>
      </w:r>
      <w:r w:rsidR="001028E3" w:rsidRPr="00334520">
        <w:rPr>
          <w:rFonts w:cstheme="minorHAnsi"/>
        </w:rPr>
        <w:t>watersheds</w:t>
      </w:r>
      <w:r w:rsidRPr="00334520">
        <w:rPr>
          <w:rFonts w:cstheme="minorHAnsi"/>
        </w:rPr>
        <w:t xml:space="preserve">, including TMDL studies and </w:t>
      </w:r>
      <w:r>
        <w:rPr>
          <w:rFonts w:cstheme="minorHAnsi"/>
        </w:rPr>
        <w:t>i</w:t>
      </w:r>
      <w:r w:rsidRPr="00334520">
        <w:rPr>
          <w:rFonts w:cstheme="minorHAnsi"/>
        </w:rPr>
        <w:t xml:space="preserve">mplementation </w:t>
      </w:r>
      <w:r>
        <w:rPr>
          <w:rFonts w:cstheme="minorHAnsi"/>
        </w:rPr>
        <w:t>plans, n</w:t>
      </w:r>
      <w:r w:rsidRPr="00334520">
        <w:rPr>
          <w:rFonts w:cstheme="minorHAnsi"/>
        </w:rPr>
        <w:t xml:space="preserve">utrient </w:t>
      </w:r>
      <w:r>
        <w:rPr>
          <w:rFonts w:cstheme="minorHAnsi"/>
        </w:rPr>
        <w:t>m</w:t>
      </w:r>
      <w:r w:rsidRPr="00334520">
        <w:rPr>
          <w:rFonts w:cstheme="minorHAnsi"/>
        </w:rPr>
        <w:t xml:space="preserve">anagement, </w:t>
      </w:r>
      <w:r>
        <w:rPr>
          <w:rFonts w:cstheme="minorHAnsi"/>
        </w:rPr>
        <w:t>a</w:t>
      </w:r>
      <w:r w:rsidRPr="00334520">
        <w:rPr>
          <w:rFonts w:cstheme="minorHAnsi"/>
        </w:rPr>
        <w:t xml:space="preserve">gricultural </w:t>
      </w:r>
      <w:r>
        <w:rPr>
          <w:rFonts w:cstheme="minorHAnsi"/>
        </w:rPr>
        <w:t>c</w:t>
      </w:r>
      <w:r w:rsidRPr="00334520">
        <w:rPr>
          <w:rFonts w:cstheme="minorHAnsi"/>
        </w:rPr>
        <w:t>ost-</w:t>
      </w:r>
      <w:r>
        <w:rPr>
          <w:rFonts w:cstheme="minorHAnsi"/>
        </w:rPr>
        <w:t>s</w:t>
      </w:r>
      <w:r w:rsidRPr="00334520">
        <w:rPr>
          <w:rFonts w:cstheme="minorHAnsi"/>
        </w:rPr>
        <w:t>hare incentive programs for BMP installations, and incentives for the set-aside of agricultural land.</w:t>
      </w:r>
      <w:r>
        <w:rPr>
          <w:rFonts w:cstheme="minorHAnsi"/>
        </w:rPr>
        <w:t xml:space="preserve"> </w:t>
      </w:r>
      <w:r w:rsidRPr="00334520">
        <w:rPr>
          <w:rFonts w:cstheme="minorHAnsi"/>
          <w:szCs w:val="24"/>
        </w:rPr>
        <w:t xml:space="preserve">The status of implementation projects is documented in Table </w:t>
      </w:r>
      <w:r w:rsidR="00904543">
        <w:rPr>
          <w:rFonts w:cstheme="minorHAnsi"/>
          <w:szCs w:val="24"/>
        </w:rPr>
        <w:t>6</w:t>
      </w:r>
      <w:r w:rsidRPr="00334520">
        <w:rPr>
          <w:rFonts w:cstheme="minorHAnsi"/>
          <w:szCs w:val="24"/>
        </w:rPr>
        <w:t>.</w:t>
      </w:r>
      <w:r w:rsidR="00904543">
        <w:rPr>
          <w:rFonts w:cstheme="minorHAnsi"/>
          <w:szCs w:val="24"/>
        </w:rPr>
        <w:t>3</w:t>
      </w:r>
      <w:r>
        <w:rPr>
          <w:rFonts w:cstheme="minorHAnsi"/>
          <w:szCs w:val="24"/>
        </w:rPr>
        <w:t>-</w:t>
      </w:r>
      <w:r w:rsidRPr="00334520">
        <w:rPr>
          <w:rFonts w:cstheme="minorHAnsi"/>
          <w:szCs w:val="24"/>
        </w:rPr>
        <w:t xml:space="preserve">1 and is shown spatially in Figure </w:t>
      </w:r>
      <w:r w:rsidR="00980259">
        <w:rPr>
          <w:rFonts w:cstheme="minorHAnsi"/>
          <w:szCs w:val="24"/>
        </w:rPr>
        <w:t>6.3</w:t>
      </w:r>
      <w:r>
        <w:rPr>
          <w:rFonts w:cstheme="minorHAnsi"/>
          <w:szCs w:val="24"/>
        </w:rPr>
        <w:t>-</w:t>
      </w:r>
      <w:r w:rsidR="00980259">
        <w:rPr>
          <w:rFonts w:cstheme="minorHAnsi"/>
          <w:szCs w:val="24"/>
        </w:rPr>
        <w:t>2</w:t>
      </w:r>
      <w:r w:rsidRPr="00334520">
        <w:rPr>
          <w:rFonts w:cstheme="minorHAnsi"/>
        </w:rPr>
        <w:t xml:space="preserve">. </w:t>
      </w:r>
      <w:r>
        <w:rPr>
          <w:rFonts w:cstheme="minorHAnsi"/>
          <w:szCs w:val="24"/>
        </w:rPr>
        <w:t>F</w:t>
      </w:r>
      <w:r w:rsidRPr="00334520">
        <w:rPr>
          <w:rFonts w:cstheme="minorHAnsi"/>
          <w:szCs w:val="24"/>
        </w:rPr>
        <w:t>unding opportunities for implementing an approved IP can be found on the</w:t>
      </w:r>
      <w:r w:rsidR="003443CE">
        <w:rPr>
          <w:rFonts w:cstheme="minorHAnsi"/>
          <w:szCs w:val="24"/>
        </w:rPr>
        <w:t xml:space="preserve"> DEQ NPS Funding, Grant, and Project Resources webpage.</w:t>
      </w:r>
    </w:p>
    <w:p w14:paraId="174DE84A" w14:textId="77777777" w:rsidR="00320909" w:rsidRDefault="00320909" w:rsidP="00F9439D">
      <w:pPr>
        <w:tabs>
          <w:tab w:val="left" w:pos="0"/>
          <w:tab w:val="left" w:pos="540"/>
          <w:tab w:val="left" w:pos="1440"/>
          <w:tab w:val="left" w:pos="2160"/>
          <w:tab w:val="left" w:pos="2700"/>
          <w:tab w:val="left" w:pos="3600"/>
          <w:tab w:val="left" w:pos="4320"/>
          <w:tab w:val="left" w:pos="5040"/>
          <w:tab w:val="left" w:pos="5760"/>
          <w:tab w:val="left" w:pos="6480"/>
          <w:tab w:val="left" w:pos="7200"/>
          <w:tab w:val="left" w:pos="7920"/>
          <w:tab w:val="left" w:pos="8640"/>
          <w:tab w:val="left" w:pos="9360"/>
        </w:tabs>
        <w:rPr>
          <w:rFonts w:cstheme="minorHAnsi"/>
          <w:szCs w:val="24"/>
        </w:rPr>
      </w:pPr>
    </w:p>
    <w:p w14:paraId="66F9B961" w14:textId="77777777" w:rsidR="00320909" w:rsidRDefault="00320909">
      <w:pPr>
        <w:widowControl/>
        <w:spacing w:after="160" w:line="259" w:lineRule="auto"/>
        <w:rPr>
          <w:rFonts w:cstheme="minorHAnsi"/>
          <w:szCs w:val="24"/>
        </w:rPr>
      </w:pPr>
      <w:r>
        <w:rPr>
          <w:rFonts w:cstheme="minorHAnsi"/>
          <w:szCs w:val="24"/>
        </w:rPr>
        <w:br w:type="page"/>
      </w:r>
    </w:p>
    <w:p w14:paraId="2C58F329" w14:textId="52E38A84" w:rsidR="00985D49" w:rsidRPr="00D237D4" w:rsidRDefault="0057435D" w:rsidP="00985D49">
      <w:pPr>
        <w:pStyle w:val="Caption"/>
        <w:keepNext/>
      </w:pPr>
      <w:bookmarkStart w:id="415" w:name="_Toc164175242"/>
      <w:r>
        <w:lastRenderedPageBreak/>
        <w:t xml:space="preserve">Table </w:t>
      </w:r>
      <w:r w:rsidR="004F13BA">
        <w:fldChar w:fldCharType="begin"/>
      </w:r>
      <w:r w:rsidR="004F13BA">
        <w:instrText xml:space="preserve"> STYLEREF 2 \s </w:instrText>
      </w:r>
      <w:r w:rsidR="004F13BA">
        <w:fldChar w:fldCharType="separate"/>
      </w:r>
      <w:r w:rsidR="00CD06AE">
        <w:rPr>
          <w:noProof/>
        </w:rPr>
        <w:t>6.3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1</w:t>
      </w:r>
      <w:r w:rsidR="004F13BA">
        <w:rPr>
          <w:noProof/>
        </w:rPr>
        <w:fldChar w:fldCharType="end"/>
      </w:r>
      <w:r>
        <w:t xml:space="preserve">. </w:t>
      </w:r>
      <w:r w:rsidRPr="001746E2">
        <w:t>Implementation projects</w:t>
      </w:r>
      <w:bookmarkEnd w:id="415"/>
      <w:r>
        <w:t xml:space="preserve"> funded with federal 319(h) and/or state funds VNRCF and/or WQIF during FY20-22.</w:t>
      </w:r>
    </w:p>
    <w:tbl>
      <w:tblPr>
        <w:tblW w:w="9810"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Table of Implementation projects"/>
        <w:tblDescription w:val="Implementation projects funded with federal 319(h) and/or state funds VNRCF and/or WQIF during FY20-22."/>
      </w:tblPr>
      <w:tblGrid>
        <w:gridCol w:w="4680"/>
        <w:gridCol w:w="1440"/>
        <w:gridCol w:w="3690"/>
      </w:tblGrid>
      <w:tr w:rsidR="0057435D" w:rsidRPr="00334520" w14:paraId="3E270E6E" w14:textId="77777777" w:rsidTr="002A7ED3">
        <w:trPr>
          <w:cantSplit/>
          <w:trHeight w:val="255"/>
          <w:tblHeader/>
        </w:trPr>
        <w:tc>
          <w:tcPr>
            <w:tcW w:w="4680" w:type="dxa"/>
            <w:shd w:val="clear" w:color="auto" w:fill="FFFFFF" w:themeFill="background1"/>
            <w:vAlign w:val="center"/>
            <w:hideMark/>
          </w:tcPr>
          <w:p w14:paraId="6B75480E" w14:textId="77777777" w:rsidR="0057435D" w:rsidRPr="006C2585" w:rsidRDefault="0057435D">
            <w:pPr>
              <w:jc w:val="center"/>
              <w:rPr>
                <w:rFonts w:cstheme="minorHAnsi"/>
                <w:b/>
                <w:bCs/>
                <w:color w:val="000000"/>
                <w:sz w:val="22"/>
                <w:szCs w:val="22"/>
              </w:rPr>
            </w:pPr>
            <w:r w:rsidRPr="006C2585">
              <w:rPr>
                <w:rFonts w:cstheme="minorHAnsi"/>
                <w:b/>
                <w:bCs/>
                <w:color w:val="000000"/>
                <w:sz w:val="22"/>
                <w:szCs w:val="22"/>
              </w:rPr>
              <w:t>Watershed Area</w:t>
            </w:r>
          </w:p>
        </w:tc>
        <w:tc>
          <w:tcPr>
            <w:tcW w:w="1440" w:type="dxa"/>
            <w:shd w:val="clear" w:color="auto" w:fill="FFFFFF" w:themeFill="background1"/>
            <w:vAlign w:val="center"/>
            <w:hideMark/>
          </w:tcPr>
          <w:p w14:paraId="0D5A2AF7" w14:textId="77777777" w:rsidR="0057435D" w:rsidRPr="006C2585" w:rsidRDefault="0057435D">
            <w:pPr>
              <w:jc w:val="center"/>
              <w:rPr>
                <w:rFonts w:cstheme="minorHAnsi"/>
                <w:b/>
                <w:bCs/>
                <w:color w:val="000000"/>
                <w:sz w:val="22"/>
                <w:szCs w:val="22"/>
              </w:rPr>
            </w:pPr>
            <w:r w:rsidRPr="006C2585">
              <w:rPr>
                <w:rFonts w:cstheme="minorHAnsi"/>
                <w:b/>
                <w:bCs/>
                <w:color w:val="000000"/>
                <w:sz w:val="22"/>
                <w:szCs w:val="22"/>
              </w:rPr>
              <w:t>TMDL Segment</w:t>
            </w:r>
          </w:p>
        </w:tc>
        <w:tc>
          <w:tcPr>
            <w:tcW w:w="3690" w:type="dxa"/>
            <w:shd w:val="clear" w:color="auto" w:fill="FFFFFF" w:themeFill="background1"/>
            <w:vAlign w:val="center"/>
            <w:hideMark/>
          </w:tcPr>
          <w:p w14:paraId="572EEC2B" w14:textId="77777777" w:rsidR="0057435D" w:rsidRPr="006C2585" w:rsidRDefault="0057435D">
            <w:pPr>
              <w:jc w:val="center"/>
              <w:rPr>
                <w:rFonts w:cstheme="minorHAnsi"/>
                <w:b/>
                <w:bCs/>
                <w:color w:val="000000"/>
                <w:sz w:val="22"/>
                <w:szCs w:val="22"/>
              </w:rPr>
            </w:pPr>
            <w:r w:rsidRPr="006C2585">
              <w:rPr>
                <w:rFonts w:cstheme="minorHAnsi"/>
                <w:b/>
                <w:bCs/>
                <w:color w:val="000000"/>
                <w:sz w:val="22"/>
                <w:szCs w:val="22"/>
              </w:rPr>
              <w:t>Years of Implementation and Funding Source</w:t>
            </w:r>
            <w:r w:rsidRPr="006C2585">
              <w:rPr>
                <w:rStyle w:val="FootnoteReference"/>
                <w:rFonts w:cstheme="minorHAnsi"/>
                <w:bCs/>
                <w:color w:val="000000"/>
                <w:sz w:val="22"/>
                <w:szCs w:val="22"/>
                <w:vertAlign w:val="superscript"/>
              </w:rPr>
              <w:footnoteReference w:id="18"/>
            </w:r>
          </w:p>
        </w:tc>
      </w:tr>
      <w:tr w:rsidR="0057435D" w:rsidRPr="00334520" w14:paraId="3465DD18" w14:textId="77777777" w:rsidTr="002A7ED3">
        <w:trPr>
          <w:cantSplit/>
          <w:trHeight w:val="510"/>
        </w:trPr>
        <w:tc>
          <w:tcPr>
            <w:tcW w:w="4680" w:type="dxa"/>
            <w:shd w:val="clear" w:color="auto" w:fill="auto"/>
            <w:vAlign w:val="center"/>
          </w:tcPr>
          <w:p w14:paraId="7B615F82" w14:textId="77777777" w:rsidR="0057435D" w:rsidRPr="006C2585" w:rsidRDefault="0057435D">
            <w:pPr>
              <w:rPr>
                <w:rFonts w:cstheme="minorHAnsi"/>
                <w:color w:val="000000"/>
                <w:sz w:val="22"/>
                <w:szCs w:val="22"/>
              </w:rPr>
            </w:pPr>
            <w:r w:rsidRPr="006C2585">
              <w:rPr>
                <w:rFonts w:cstheme="minorHAnsi"/>
                <w:color w:val="000000"/>
                <w:sz w:val="22"/>
                <w:szCs w:val="22"/>
              </w:rPr>
              <w:t>Banister and Winn Creeks IP: Lower Banister River and Terrible Creek</w:t>
            </w:r>
          </w:p>
        </w:tc>
        <w:tc>
          <w:tcPr>
            <w:tcW w:w="1440" w:type="dxa"/>
            <w:shd w:val="clear" w:color="auto" w:fill="auto"/>
            <w:vAlign w:val="center"/>
          </w:tcPr>
          <w:p w14:paraId="6199FE5A" w14:textId="77777777" w:rsidR="0057435D" w:rsidRPr="006C2585" w:rsidRDefault="0057435D">
            <w:pPr>
              <w:rPr>
                <w:rFonts w:cstheme="minorHAnsi"/>
                <w:color w:val="000000"/>
                <w:sz w:val="22"/>
                <w:szCs w:val="22"/>
              </w:rPr>
            </w:pPr>
            <w:r w:rsidRPr="006C2585">
              <w:rPr>
                <w:rFonts w:cstheme="minorHAnsi"/>
                <w:color w:val="000000"/>
                <w:sz w:val="22"/>
                <w:szCs w:val="22"/>
              </w:rPr>
              <w:t>VAC-L67R, VAC-L70-71R</w:t>
            </w:r>
          </w:p>
        </w:tc>
        <w:tc>
          <w:tcPr>
            <w:tcW w:w="3690" w:type="dxa"/>
            <w:shd w:val="clear" w:color="auto" w:fill="auto"/>
            <w:vAlign w:val="center"/>
          </w:tcPr>
          <w:p w14:paraId="6BBFB3E9" w14:textId="77777777" w:rsidR="0057435D" w:rsidRPr="006C2585" w:rsidRDefault="0057435D">
            <w:pPr>
              <w:rPr>
                <w:rFonts w:cstheme="minorHAnsi"/>
                <w:color w:val="000000"/>
                <w:sz w:val="22"/>
                <w:szCs w:val="22"/>
              </w:rPr>
            </w:pPr>
            <w:r w:rsidRPr="006C2585">
              <w:rPr>
                <w:rFonts w:cstheme="minorHAnsi"/>
                <w:color w:val="000000"/>
                <w:sz w:val="22"/>
                <w:szCs w:val="22"/>
              </w:rPr>
              <w:t>§319(h): 2018-2022</w:t>
            </w:r>
          </w:p>
        </w:tc>
      </w:tr>
      <w:tr w:rsidR="0057435D" w:rsidRPr="00334520" w14:paraId="460CA70D" w14:textId="77777777" w:rsidTr="002A7ED3">
        <w:trPr>
          <w:cantSplit/>
          <w:trHeight w:val="510"/>
        </w:trPr>
        <w:tc>
          <w:tcPr>
            <w:tcW w:w="4680" w:type="dxa"/>
            <w:shd w:val="clear" w:color="auto" w:fill="auto"/>
            <w:vAlign w:val="center"/>
          </w:tcPr>
          <w:p w14:paraId="42DFA77A" w14:textId="77777777" w:rsidR="0057435D" w:rsidRPr="006C2585" w:rsidRDefault="0057435D">
            <w:pPr>
              <w:rPr>
                <w:rFonts w:cstheme="minorHAnsi"/>
                <w:color w:val="000000"/>
                <w:sz w:val="22"/>
                <w:szCs w:val="22"/>
              </w:rPr>
            </w:pPr>
            <w:r w:rsidRPr="006C2585">
              <w:rPr>
                <w:rFonts w:cstheme="minorHAnsi"/>
                <w:color w:val="000000"/>
                <w:sz w:val="22"/>
                <w:szCs w:val="22"/>
              </w:rPr>
              <w:t>Birch Creek and Dan River</w:t>
            </w:r>
          </w:p>
        </w:tc>
        <w:tc>
          <w:tcPr>
            <w:tcW w:w="1440" w:type="dxa"/>
            <w:shd w:val="clear" w:color="auto" w:fill="auto"/>
            <w:vAlign w:val="center"/>
          </w:tcPr>
          <w:p w14:paraId="1928D148" w14:textId="77777777" w:rsidR="0057435D" w:rsidRPr="006C2585" w:rsidRDefault="0057435D">
            <w:pPr>
              <w:rPr>
                <w:rFonts w:cstheme="minorHAnsi"/>
                <w:color w:val="000000"/>
                <w:sz w:val="22"/>
                <w:szCs w:val="22"/>
              </w:rPr>
            </w:pPr>
            <w:r w:rsidRPr="006C2585">
              <w:rPr>
                <w:rFonts w:cstheme="minorHAnsi"/>
                <w:color w:val="000000"/>
                <w:sz w:val="22"/>
                <w:szCs w:val="22"/>
              </w:rPr>
              <w:t>AC-L58-59R, VAC-L61-64R, VAW-L42R</w:t>
            </w:r>
          </w:p>
        </w:tc>
        <w:tc>
          <w:tcPr>
            <w:tcW w:w="3690" w:type="dxa"/>
            <w:shd w:val="clear" w:color="auto" w:fill="auto"/>
            <w:vAlign w:val="center"/>
          </w:tcPr>
          <w:p w14:paraId="4DF18874" w14:textId="77777777" w:rsidR="0057435D" w:rsidRPr="006C2585" w:rsidRDefault="0057435D">
            <w:pPr>
              <w:rPr>
                <w:rFonts w:cstheme="minorHAnsi"/>
                <w:color w:val="000000"/>
                <w:sz w:val="22"/>
                <w:szCs w:val="22"/>
              </w:rPr>
            </w:pPr>
            <w:r w:rsidRPr="006C2585">
              <w:rPr>
                <w:rFonts w:cstheme="minorHAnsi"/>
                <w:color w:val="000000"/>
                <w:sz w:val="22"/>
                <w:szCs w:val="22"/>
              </w:rPr>
              <w:t>§319(h): 2020-2023 (agriculture only)</w:t>
            </w:r>
          </w:p>
        </w:tc>
      </w:tr>
      <w:tr w:rsidR="0057435D" w:rsidRPr="00334520" w14:paraId="7B48697C" w14:textId="77777777" w:rsidTr="002A7ED3">
        <w:trPr>
          <w:cantSplit/>
          <w:trHeight w:val="510"/>
        </w:trPr>
        <w:tc>
          <w:tcPr>
            <w:tcW w:w="4680" w:type="dxa"/>
            <w:shd w:val="clear" w:color="auto" w:fill="auto"/>
            <w:vAlign w:val="center"/>
          </w:tcPr>
          <w:p w14:paraId="6E71808D" w14:textId="77777777" w:rsidR="0057435D" w:rsidRPr="006C2585" w:rsidRDefault="0057435D">
            <w:pPr>
              <w:rPr>
                <w:rFonts w:cstheme="minorHAnsi"/>
                <w:color w:val="000000"/>
                <w:sz w:val="22"/>
                <w:szCs w:val="22"/>
              </w:rPr>
            </w:pPr>
            <w:r w:rsidRPr="006C2585">
              <w:rPr>
                <w:rFonts w:cstheme="minorHAnsi"/>
                <w:color w:val="000000"/>
                <w:sz w:val="22"/>
                <w:szCs w:val="22"/>
              </w:rPr>
              <w:t xml:space="preserve">Briery, Little Sandy, Spring, </w:t>
            </w:r>
            <w:proofErr w:type="spellStart"/>
            <w:r w:rsidRPr="006C2585">
              <w:rPr>
                <w:rFonts w:cstheme="minorHAnsi"/>
                <w:color w:val="000000"/>
                <w:sz w:val="22"/>
                <w:szCs w:val="22"/>
              </w:rPr>
              <w:t>Saylers</w:t>
            </w:r>
            <w:proofErr w:type="spellEnd"/>
            <w:r w:rsidRPr="006C2585">
              <w:rPr>
                <w:rFonts w:cstheme="minorHAnsi"/>
                <w:color w:val="000000"/>
                <w:sz w:val="22"/>
                <w:szCs w:val="22"/>
              </w:rPr>
              <w:t xml:space="preserve"> Creeks and Bush River</w:t>
            </w:r>
          </w:p>
        </w:tc>
        <w:tc>
          <w:tcPr>
            <w:tcW w:w="1440" w:type="dxa"/>
            <w:shd w:val="clear" w:color="auto" w:fill="auto"/>
            <w:vAlign w:val="center"/>
          </w:tcPr>
          <w:p w14:paraId="135D9178" w14:textId="77777777" w:rsidR="0057435D" w:rsidRPr="006C2585" w:rsidRDefault="0057435D">
            <w:pPr>
              <w:rPr>
                <w:rFonts w:cstheme="minorHAnsi"/>
                <w:color w:val="000000"/>
                <w:sz w:val="22"/>
                <w:szCs w:val="22"/>
              </w:rPr>
            </w:pPr>
            <w:r w:rsidRPr="006C2585">
              <w:rPr>
                <w:rFonts w:cstheme="minorHAnsi"/>
                <w:color w:val="000000"/>
                <w:sz w:val="22"/>
                <w:szCs w:val="22"/>
              </w:rPr>
              <w:t>VAC-J02- J06R</w:t>
            </w:r>
          </w:p>
        </w:tc>
        <w:tc>
          <w:tcPr>
            <w:tcW w:w="3690" w:type="dxa"/>
            <w:shd w:val="clear" w:color="auto" w:fill="auto"/>
            <w:vAlign w:val="center"/>
          </w:tcPr>
          <w:p w14:paraId="07A25FF8"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2016-2023; WQIF/VNRCF: 2007-2015– Agriculture only; CWA Section 319(h): 2020-2024</w:t>
            </w:r>
          </w:p>
        </w:tc>
      </w:tr>
      <w:tr w:rsidR="0057435D" w:rsidRPr="00334520" w14:paraId="73906AB1" w14:textId="77777777" w:rsidTr="002A7ED3">
        <w:trPr>
          <w:cantSplit/>
          <w:trHeight w:val="255"/>
        </w:trPr>
        <w:tc>
          <w:tcPr>
            <w:tcW w:w="4680" w:type="dxa"/>
            <w:shd w:val="clear" w:color="auto" w:fill="auto"/>
            <w:vAlign w:val="center"/>
            <w:hideMark/>
          </w:tcPr>
          <w:p w14:paraId="2403A353" w14:textId="77777777" w:rsidR="0057435D" w:rsidRPr="006C2585" w:rsidRDefault="0057435D">
            <w:pPr>
              <w:rPr>
                <w:rFonts w:cstheme="minorHAnsi"/>
                <w:color w:val="000000"/>
                <w:sz w:val="22"/>
                <w:szCs w:val="22"/>
              </w:rPr>
            </w:pPr>
            <w:r w:rsidRPr="006C2585">
              <w:rPr>
                <w:rFonts w:cstheme="minorHAnsi"/>
                <w:color w:val="000000"/>
                <w:sz w:val="22"/>
                <w:szCs w:val="22"/>
              </w:rPr>
              <w:t>Buffalo Creek, Colliers Creek and Cedar Creek</w:t>
            </w:r>
          </w:p>
        </w:tc>
        <w:tc>
          <w:tcPr>
            <w:tcW w:w="1440" w:type="dxa"/>
            <w:shd w:val="clear" w:color="auto" w:fill="auto"/>
            <w:noWrap/>
            <w:vAlign w:val="bottom"/>
            <w:hideMark/>
          </w:tcPr>
          <w:p w14:paraId="3A9D6292" w14:textId="77777777" w:rsidR="0057435D" w:rsidRPr="006C2585" w:rsidRDefault="0057435D">
            <w:pPr>
              <w:rPr>
                <w:rFonts w:cstheme="minorHAnsi"/>
                <w:color w:val="000000"/>
                <w:sz w:val="22"/>
                <w:szCs w:val="22"/>
              </w:rPr>
            </w:pPr>
            <w:r w:rsidRPr="006C2585">
              <w:rPr>
                <w:rFonts w:cstheme="minorHAnsi"/>
                <w:color w:val="000000"/>
                <w:sz w:val="22"/>
                <w:szCs w:val="22"/>
              </w:rPr>
              <w:t>VAV-I38R</w:t>
            </w:r>
          </w:p>
        </w:tc>
        <w:tc>
          <w:tcPr>
            <w:tcW w:w="3690" w:type="dxa"/>
            <w:shd w:val="clear" w:color="auto" w:fill="auto"/>
            <w:vAlign w:val="center"/>
            <w:hideMark/>
          </w:tcPr>
          <w:p w14:paraId="42DB5674"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2018-2020</w:t>
            </w:r>
          </w:p>
        </w:tc>
      </w:tr>
      <w:tr w:rsidR="0057435D" w:rsidRPr="00334520" w14:paraId="739D161F" w14:textId="77777777" w:rsidTr="002A7ED3">
        <w:trPr>
          <w:cantSplit/>
          <w:trHeight w:val="255"/>
        </w:trPr>
        <w:tc>
          <w:tcPr>
            <w:tcW w:w="4680" w:type="dxa"/>
            <w:shd w:val="clear" w:color="auto" w:fill="auto"/>
            <w:vAlign w:val="center"/>
          </w:tcPr>
          <w:p w14:paraId="0659FE3E" w14:textId="77777777" w:rsidR="0057435D" w:rsidRPr="006C2585" w:rsidRDefault="0057435D">
            <w:pPr>
              <w:rPr>
                <w:rFonts w:cstheme="minorHAnsi"/>
                <w:color w:val="000000"/>
                <w:sz w:val="22"/>
                <w:szCs w:val="22"/>
              </w:rPr>
            </w:pPr>
            <w:r w:rsidRPr="006C2585">
              <w:rPr>
                <w:rFonts w:cstheme="minorHAnsi"/>
                <w:color w:val="000000"/>
                <w:sz w:val="22"/>
                <w:szCs w:val="22"/>
              </w:rPr>
              <w:t>Chestnut Creek</w:t>
            </w:r>
          </w:p>
        </w:tc>
        <w:tc>
          <w:tcPr>
            <w:tcW w:w="1440" w:type="dxa"/>
            <w:shd w:val="clear" w:color="auto" w:fill="auto"/>
            <w:noWrap/>
            <w:vAlign w:val="bottom"/>
          </w:tcPr>
          <w:p w14:paraId="457B4067" w14:textId="77777777" w:rsidR="0057435D" w:rsidRPr="006C2585" w:rsidRDefault="0057435D">
            <w:pPr>
              <w:rPr>
                <w:rFonts w:cstheme="minorHAnsi"/>
                <w:color w:val="000000"/>
                <w:sz w:val="22"/>
                <w:szCs w:val="22"/>
              </w:rPr>
            </w:pPr>
            <w:r w:rsidRPr="006C2585">
              <w:rPr>
                <w:rFonts w:cstheme="minorHAnsi"/>
                <w:color w:val="000000"/>
                <w:sz w:val="22"/>
                <w:szCs w:val="22"/>
              </w:rPr>
              <w:t>VAS-N06R</w:t>
            </w:r>
          </w:p>
        </w:tc>
        <w:tc>
          <w:tcPr>
            <w:tcW w:w="3690" w:type="dxa"/>
            <w:shd w:val="clear" w:color="auto" w:fill="auto"/>
            <w:vAlign w:val="center"/>
          </w:tcPr>
          <w:p w14:paraId="24628BE2"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2020-2023</w:t>
            </w:r>
          </w:p>
        </w:tc>
      </w:tr>
      <w:tr w:rsidR="0057435D" w:rsidRPr="00334520" w14:paraId="5C3B84B3" w14:textId="77777777" w:rsidTr="002A7ED3">
        <w:trPr>
          <w:cantSplit/>
          <w:trHeight w:val="255"/>
        </w:trPr>
        <w:tc>
          <w:tcPr>
            <w:tcW w:w="4680" w:type="dxa"/>
            <w:shd w:val="clear" w:color="auto" w:fill="auto"/>
            <w:vAlign w:val="center"/>
            <w:hideMark/>
          </w:tcPr>
          <w:p w14:paraId="6C6685DD" w14:textId="77777777" w:rsidR="0057435D" w:rsidRPr="006C2585" w:rsidRDefault="0057435D">
            <w:pPr>
              <w:rPr>
                <w:rFonts w:cstheme="minorHAnsi"/>
                <w:color w:val="000000"/>
                <w:sz w:val="22"/>
                <w:szCs w:val="22"/>
              </w:rPr>
            </w:pPr>
            <w:r w:rsidRPr="006C2585">
              <w:rPr>
                <w:rFonts w:cstheme="minorHAnsi"/>
                <w:color w:val="000000"/>
                <w:sz w:val="22"/>
                <w:szCs w:val="22"/>
              </w:rPr>
              <w:t>Clinch Cove and Tributaries: Copper and Moll Creeks</w:t>
            </w:r>
          </w:p>
        </w:tc>
        <w:tc>
          <w:tcPr>
            <w:tcW w:w="1440" w:type="dxa"/>
            <w:shd w:val="clear" w:color="auto" w:fill="auto"/>
            <w:noWrap/>
            <w:vAlign w:val="bottom"/>
            <w:hideMark/>
          </w:tcPr>
          <w:p w14:paraId="342A70FD" w14:textId="77777777" w:rsidR="0057435D" w:rsidRPr="006C2585" w:rsidRDefault="0057435D">
            <w:pPr>
              <w:rPr>
                <w:rFonts w:cstheme="minorHAnsi"/>
                <w:color w:val="000000"/>
                <w:sz w:val="22"/>
                <w:szCs w:val="22"/>
              </w:rPr>
            </w:pPr>
            <w:r w:rsidRPr="006C2585">
              <w:rPr>
                <w:rFonts w:cstheme="minorHAnsi"/>
                <w:color w:val="000000"/>
                <w:sz w:val="22"/>
                <w:szCs w:val="22"/>
              </w:rPr>
              <w:t>VAS-P13-P16R</w:t>
            </w:r>
          </w:p>
        </w:tc>
        <w:tc>
          <w:tcPr>
            <w:tcW w:w="3690" w:type="dxa"/>
            <w:shd w:val="clear" w:color="auto" w:fill="auto"/>
            <w:vAlign w:val="center"/>
            <w:hideMark/>
          </w:tcPr>
          <w:p w14:paraId="5B3D5D92"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2018-2025</w:t>
            </w:r>
          </w:p>
        </w:tc>
      </w:tr>
      <w:tr w:rsidR="0057435D" w:rsidRPr="00334520" w14:paraId="2C83C173" w14:textId="77777777" w:rsidTr="002A7ED3">
        <w:trPr>
          <w:cantSplit/>
          <w:trHeight w:val="510"/>
        </w:trPr>
        <w:tc>
          <w:tcPr>
            <w:tcW w:w="4680" w:type="dxa"/>
            <w:shd w:val="clear" w:color="auto" w:fill="auto"/>
            <w:vAlign w:val="center"/>
          </w:tcPr>
          <w:p w14:paraId="725EBEFC" w14:textId="77777777" w:rsidR="0057435D" w:rsidRPr="006C2585" w:rsidRDefault="0057435D">
            <w:pPr>
              <w:rPr>
                <w:rFonts w:cstheme="minorHAnsi"/>
                <w:color w:val="000000"/>
                <w:sz w:val="22"/>
                <w:szCs w:val="22"/>
              </w:rPr>
            </w:pPr>
            <w:r w:rsidRPr="006C2585">
              <w:rPr>
                <w:rFonts w:cstheme="minorHAnsi"/>
                <w:color w:val="000000"/>
                <w:sz w:val="22"/>
                <w:szCs w:val="22"/>
              </w:rPr>
              <w:t>Crab Creek</w:t>
            </w:r>
          </w:p>
        </w:tc>
        <w:tc>
          <w:tcPr>
            <w:tcW w:w="1440" w:type="dxa"/>
            <w:shd w:val="clear" w:color="auto" w:fill="auto"/>
            <w:vAlign w:val="center"/>
          </w:tcPr>
          <w:p w14:paraId="37D1C255" w14:textId="77777777" w:rsidR="0057435D" w:rsidRPr="006C2585" w:rsidRDefault="0057435D">
            <w:pPr>
              <w:rPr>
                <w:rFonts w:cstheme="minorHAnsi"/>
                <w:color w:val="000000"/>
                <w:sz w:val="22"/>
                <w:szCs w:val="22"/>
              </w:rPr>
            </w:pPr>
          </w:p>
        </w:tc>
        <w:tc>
          <w:tcPr>
            <w:tcW w:w="3690" w:type="dxa"/>
            <w:shd w:val="clear" w:color="auto" w:fill="auto"/>
            <w:vAlign w:val="center"/>
          </w:tcPr>
          <w:p w14:paraId="0519093B"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2021-2023</w:t>
            </w:r>
          </w:p>
        </w:tc>
      </w:tr>
      <w:tr w:rsidR="0057435D" w:rsidRPr="00334520" w14:paraId="4AF56CB4" w14:textId="77777777" w:rsidTr="002A7ED3">
        <w:trPr>
          <w:cantSplit/>
          <w:trHeight w:val="510"/>
        </w:trPr>
        <w:tc>
          <w:tcPr>
            <w:tcW w:w="4680" w:type="dxa"/>
            <w:shd w:val="clear" w:color="auto" w:fill="auto"/>
            <w:vAlign w:val="center"/>
            <w:hideMark/>
          </w:tcPr>
          <w:p w14:paraId="55A12846" w14:textId="77777777" w:rsidR="0057435D" w:rsidRPr="006C2585" w:rsidRDefault="0057435D">
            <w:pPr>
              <w:rPr>
                <w:rFonts w:cstheme="minorHAnsi"/>
                <w:color w:val="000000"/>
                <w:sz w:val="22"/>
                <w:szCs w:val="22"/>
              </w:rPr>
            </w:pPr>
            <w:r w:rsidRPr="006C2585">
              <w:rPr>
                <w:rFonts w:cstheme="minorHAnsi"/>
                <w:color w:val="000000"/>
                <w:sz w:val="22"/>
                <w:szCs w:val="22"/>
              </w:rPr>
              <w:t>Flat, Nibbs, Deep and West Creeks</w:t>
            </w:r>
          </w:p>
        </w:tc>
        <w:tc>
          <w:tcPr>
            <w:tcW w:w="1440" w:type="dxa"/>
            <w:shd w:val="clear" w:color="auto" w:fill="auto"/>
            <w:vAlign w:val="center"/>
            <w:hideMark/>
          </w:tcPr>
          <w:p w14:paraId="2292FAEB" w14:textId="77777777" w:rsidR="0057435D" w:rsidRPr="006C2585" w:rsidRDefault="0057435D">
            <w:pPr>
              <w:rPr>
                <w:rFonts w:cstheme="minorHAnsi"/>
                <w:color w:val="000000"/>
                <w:sz w:val="22"/>
                <w:szCs w:val="22"/>
              </w:rPr>
            </w:pPr>
            <w:r w:rsidRPr="006C2585">
              <w:rPr>
                <w:rFonts w:cstheme="minorHAnsi"/>
                <w:color w:val="000000"/>
                <w:sz w:val="22"/>
                <w:szCs w:val="22"/>
              </w:rPr>
              <w:t>VAP-J08-09R, J11R</w:t>
            </w:r>
          </w:p>
        </w:tc>
        <w:tc>
          <w:tcPr>
            <w:tcW w:w="3690" w:type="dxa"/>
            <w:shd w:val="clear" w:color="auto" w:fill="auto"/>
            <w:vAlign w:val="center"/>
            <w:hideMark/>
          </w:tcPr>
          <w:p w14:paraId="7BB0DC04"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2015-2022 (septic only); WQIF/VNRCF: 2007-2015– Agriculture only; CWA Section 319(h): 2020-2026</w:t>
            </w:r>
          </w:p>
        </w:tc>
      </w:tr>
      <w:tr w:rsidR="0057435D" w:rsidRPr="00334520" w14:paraId="4BED7F63" w14:textId="77777777" w:rsidTr="002A7ED3">
        <w:trPr>
          <w:cantSplit/>
          <w:trHeight w:val="510"/>
        </w:trPr>
        <w:tc>
          <w:tcPr>
            <w:tcW w:w="4680" w:type="dxa"/>
            <w:shd w:val="clear" w:color="auto" w:fill="auto"/>
            <w:vAlign w:val="center"/>
            <w:hideMark/>
          </w:tcPr>
          <w:p w14:paraId="44581AEB" w14:textId="77777777" w:rsidR="0057435D" w:rsidRPr="006C2585" w:rsidRDefault="0057435D">
            <w:pPr>
              <w:rPr>
                <w:rFonts w:cstheme="minorHAnsi"/>
                <w:color w:val="000000"/>
                <w:sz w:val="22"/>
                <w:szCs w:val="22"/>
              </w:rPr>
            </w:pPr>
            <w:r w:rsidRPr="006C2585">
              <w:rPr>
                <w:rFonts w:cstheme="minorHAnsi"/>
                <w:color w:val="000000"/>
                <w:sz w:val="22"/>
                <w:szCs w:val="22"/>
              </w:rPr>
              <w:t xml:space="preserve">Gulf, Barlow, </w:t>
            </w:r>
            <w:proofErr w:type="spellStart"/>
            <w:r w:rsidRPr="006C2585">
              <w:rPr>
                <w:rFonts w:cstheme="minorHAnsi"/>
                <w:color w:val="000000"/>
                <w:sz w:val="22"/>
                <w:szCs w:val="22"/>
              </w:rPr>
              <w:t>Mattawoman</w:t>
            </w:r>
            <w:proofErr w:type="spellEnd"/>
            <w:r w:rsidRPr="006C2585">
              <w:rPr>
                <w:rFonts w:cstheme="minorHAnsi"/>
                <w:color w:val="000000"/>
                <w:sz w:val="22"/>
                <w:szCs w:val="22"/>
              </w:rPr>
              <w:t xml:space="preserve">, Jacobus and </w:t>
            </w:r>
            <w:proofErr w:type="spellStart"/>
            <w:r w:rsidRPr="006C2585">
              <w:rPr>
                <w:rFonts w:cstheme="minorHAnsi"/>
                <w:color w:val="000000"/>
                <w:sz w:val="22"/>
                <w:szCs w:val="22"/>
              </w:rPr>
              <w:t>Hungars</w:t>
            </w:r>
            <w:proofErr w:type="spellEnd"/>
            <w:r w:rsidRPr="006C2585">
              <w:rPr>
                <w:rFonts w:cstheme="minorHAnsi"/>
                <w:color w:val="000000"/>
                <w:sz w:val="22"/>
                <w:szCs w:val="22"/>
              </w:rPr>
              <w:t xml:space="preserve"> Creeks</w:t>
            </w:r>
          </w:p>
        </w:tc>
        <w:tc>
          <w:tcPr>
            <w:tcW w:w="1440" w:type="dxa"/>
            <w:shd w:val="clear" w:color="auto" w:fill="auto"/>
            <w:vAlign w:val="center"/>
            <w:hideMark/>
          </w:tcPr>
          <w:p w14:paraId="030D87EF" w14:textId="77777777" w:rsidR="0057435D" w:rsidRPr="006C2585" w:rsidRDefault="0057435D">
            <w:pPr>
              <w:rPr>
                <w:rFonts w:cstheme="minorHAnsi"/>
                <w:color w:val="000000"/>
                <w:sz w:val="22"/>
                <w:szCs w:val="22"/>
              </w:rPr>
            </w:pPr>
            <w:r w:rsidRPr="006C2585">
              <w:rPr>
                <w:rFonts w:cstheme="minorHAnsi"/>
                <w:color w:val="000000"/>
                <w:sz w:val="22"/>
                <w:szCs w:val="22"/>
              </w:rPr>
              <w:t>VAT-C14E</w:t>
            </w:r>
          </w:p>
        </w:tc>
        <w:tc>
          <w:tcPr>
            <w:tcW w:w="3690" w:type="dxa"/>
            <w:shd w:val="clear" w:color="auto" w:fill="auto"/>
            <w:vAlign w:val="center"/>
            <w:hideMark/>
          </w:tcPr>
          <w:p w14:paraId="39249824"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2019-2022</w:t>
            </w:r>
          </w:p>
        </w:tc>
      </w:tr>
      <w:tr w:rsidR="0057435D" w:rsidRPr="00334520" w14:paraId="6471105E" w14:textId="77777777" w:rsidTr="002A7ED3">
        <w:trPr>
          <w:cantSplit/>
          <w:trHeight w:val="255"/>
        </w:trPr>
        <w:tc>
          <w:tcPr>
            <w:tcW w:w="4680" w:type="dxa"/>
            <w:shd w:val="clear" w:color="auto" w:fill="auto"/>
            <w:vAlign w:val="center"/>
            <w:hideMark/>
          </w:tcPr>
          <w:p w14:paraId="713CCF6E" w14:textId="77777777" w:rsidR="0057435D" w:rsidRPr="006C2585" w:rsidRDefault="0057435D">
            <w:pPr>
              <w:rPr>
                <w:rFonts w:cstheme="minorHAnsi"/>
                <w:color w:val="000000"/>
                <w:sz w:val="22"/>
                <w:szCs w:val="22"/>
              </w:rPr>
            </w:pPr>
            <w:r w:rsidRPr="006C2585">
              <w:rPr>
                <w:rFonts w:cstheme="minorHAnsi"/>
                <w:color w:val="000000"/>
                <w:sz w:val="22"/>
                <w:szCs w:val="22"/>
              </w:rPr>
              <w:t>Hardware and North Hardware River</w:t>
            </w:r>
            <w:r>
              <w:rPr>
                <w:rFonts w:cstheme="minorHAnsi"/>
                <w:color w:val="000000"/>
                <w:sz w:val="22"/>
                <w:szCs w:val="22"/>
              </w:rPr>
              <w:t>s</w:t>
            </w:r>
          </w:p>
        </w:tc>
        <w:tc>
          <w:tcPr>
            <w:tcW w:w="1440" w:type="dxa"/>
            <w:shd w:val="clear" w:color="auto" w:fill="auto"/>
            <w:vAlign w:val="center"/>
            <w:hideMark/>
          </w:tcPr>
          <w:p w14:paraId="44EEA054" w14:textId="77777777" w:rsidR="0057435D" w:rsidRPr="006C2585" w:rsidRDefault="0057435D">
            <w:pPr>
              <w:rPr>
                <w:rFonts w:cstheme="minorHAnsi"/>
                <w:color w:val="000000"/>
                <w:sz w:val="22"/>
                <w:szCs w:val="22"/>
              </w:rPr>
            </w:pPr>
            <w:r w:rsidRPr="006C2585">
              <w:rPr>
                <w:rFonts w:cstheme="minorHAnsi"/>
                <w:color w:val="000000"/>
                <w:sz w:val="22"/>
                <w:szCs w:val="22"/>
              </w:rPr>
              <w:t>VAV-H18R &amp; H19R</w:t>
            </w:r>
          </w:p>
        </w:tc>
        <w:tc>
          <w:tcPr>
            <w:tcW w:w="3690" w:type="dxa"/>
            <w:shd w:val="clear" w:color="auto" w:fill="auto"/>
            <w:vAlign w:val="center"/>
            <w:hideMark/>
          </w:tcPr>
          <w:p w14:paraId="1189899D"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2015-2021; CWA Section 319(h): 2022-2024</w:t>
            </w:r>
          </w:p>
        </w:tc>
      </w:tr>
      <w:tr w:rsidR="0057435D" w:rsidRPr="00334520" w14:paraId="649FE7AB" w14:textId="77777777" w:rsidTr="002A7ED3">
        <w:trPr>
          <w:cantSplit/>
          <w:trHeight w:val="64"/>
        </w:trPr>
        <w:tc>
          <w:tcPr>
            <w:tcW w:w="4680" w:type="dxa"/>
            <w:shd w:val="clear" w:color="auto" w:fill="auto"/>
            <w:vAlign w:val="center"/>
          </w:tcPr>
          <w:p w14:paraId="608DD929" w14:textId="77777777" w:rsidR="0057435D" w:rsidRPr="006C2585" w:rsidRDefault="0057435D">
            <w:pPr>
              <w:rPr>
                <w:rFonts w:cstheme="minorHAnsi"/>
                <w:color w:val="000000"/>
                <w:sz w:val="22"/>
                <w:szCs w:val="22"/>
              </w:rPr>
            </w:pPr>
          </w:p>
        </w:tc>
        <w:tc>
          <w:tcPr>
            <w:tcW w:w="1440" w:type="dxa"/>
            <w:shd w:val="clear" w:color="auto" w:fill="auto"/>
            <w:vAlign w:val="center"/>
          </w:tcPr>
          <w:p w14:paraId="3CD0F321" w14:textId="77777777" w:rsidR="0057435D" w:rsidRPr="006C2585" w:rsidRDefault="0057435D">
            <w:pPr>
              <w:rPr>
                <w:rFonts w:cstheme="minorHAnsi"/>
                <w:color w:val="000000"/>
                <w:sz w:val="22"/>
                <w:szCs w:val="22"/>
              </w:rPr>
            </w:pPr>
          </w:p>
        </w:tc>
        <w:tc>
          <w:tcPr>
            <w:tcW w:w="3690" w:type="dxa"/>
            <w:shd w:val="clear" w:color="auto" w:fill="auto"/>
            <w:vAlign w:val="center"/>
          </w:tcPr>
          <w:p w14:paraId="370C0EC8" w14:textId="77777777" w:rsidR="0057435D" w:rsidRPr="006C2585" w:rsidRDefault="0057435D">
            <w:pPr>
              <w:rPr>
                <w:rFonts w:cstheme="minorHAnsi"/>
                <w:color w:val="000000"/>
                <w:sz w:val="22"/>
                <w:szCs w:val="22"/>
              </w:rPr>
            </w:pPr>
          </w:p>
        </w:tc>
      </w:tr>
      <w:tr w:rsidR="0057435D" w:rsidRPr="00334520" w14:paraId="0BE2F653" w14:textId="77777777" w:rsidTr="002A7ED3">
        <w:trPr>
          <w:cantSplit/>
          <w:trHeight w:val="314"/>
        </w:trPr>
        <w:tc>
          <w:tcPr>
            <w:tcW w:w="4680" w:type="dxa"/>
            <w:shd w:val="clear" w:color="auto" w:fill="auto"/>
            <w:vAlign w:val="center"/>
          </w:tcPr>
          <w:p w14:paraId="6587833B" w14:textId="77777777" w:rsidR="0057435D" w:rsidRPr="006C2585" w:rsidRDefault="0057435D">
            <w:pPr>
              <w:rPr>
                <w:rFonts w:cstheme="minorHAnsi"/>
                <w:color w:val="000000"/>
                <w:sz w:val="22"/>
                <w:szCs w:val="22"/>
              </w:rPr>
            </w:pPr>
            <w:r w:rsidRPr="006C2585">
              <w:rPr>
                <w:rFonts w:cstheme="minorHAnsi"/>
                <w:color w:val="000000"/>
                <w:sz w:val="22"/>
                <w:szCs w:val="22"/>
              </w:rPr>
              <w:t>James River and Tributaries</w:t>
            </w:r>
          </w:p>
        </w:tc>
        <w:tc>
          <w:tcPr>
            <w:tcW w:w="1440" w:type="dxa"/>
            <w:shd w:val="clear" w:color="auto" w:fill="auto"/>
            <w:vAlign w:val="center"/>
          </w:tcPr>
          <w:p w14:paraId="1AC24ECB" w14:textId="77777777" w:rsidR="0057435D" w:rsidRPr="006C2585" w:rsidRDefault="0057435D">
            <w:pPr>
              <w:rPr>
                <w:rFonts w:cstheme="minorHAnsi"/>
                <w:color w:val="000000"/>
                <w:sz w:val="22"/>
                <w:szCs w:val="22"/>
              </w:rPr>
            </w:pPr>
          </w:p>
        </w:tc>
        <w:tc>
          <w:tcPr>
            <w:tcW w:w="3690" w:type="dxa"/>
            <w:shd w:val="clear" w:color="auto" w:fill="auto"/>
            <w:vAlign w:val="center"/>
          </w:tcPr>
          <w:p w14:paraId="2B558BDA"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2022-2025</w:t>
            </w:r>
          </w:p>
        </w:tc>
      </w:tr>
      <w:tr w:rsidR="0057435D" w:rsidRPr="00334520" w14:paraId="4BF04485" w14:textId="77777777" w:rsidTr="002A7ED3">
        <w:trPr>
          <w:cantSplit/>
          <w:trHeight w:val="255"/>
        </w:trPr>
        <w:tc>
          <w:tcPr>
            <w:tcW w:w="4680" w:type="dxa"/>
            <w:shd w:val="clear" w:color="auto" w:fill="auto"/>
            <w:vAlign w:val="center"/>
            <w:hideMark/>
          </w:tcPr>
          <w:p w14:paraId="1D10969C" w14:textId="77777777" w:rsidR="0057435D" w:rsidRPr="006C2585" w:rsidRDefault="0057435D">
            <w:pPr>
              <w:rPr>
                <w:rFonts w:cstheme="minorHAnsi"/>
                <w:color w:val="000000"/>
                <w:sz w:val="22"/>
                <w:szCs w:val="22"/>
              </w:rPr>
            </w:pPr>
            <w:r w:rsidRPr="006C2585">
              <w:rPr>
                <w:rFonts w:cstheme="minorHAnsi"/>
                <w:color w:val="000000"/>
                <w:sz w:val="22"/>
                <w:szCs w:val="22"/>
              </w:rPr>
              <w:t xml:space="preserve">Linville Creek </w:t>
            </w:r>
          </w:p>
        </w:tc>
        <w:tc>
          <w:tcPr>
            <w:tcW w:w="1440" w:type="dxa"/>
            <w:shd w:val="clear" w:color="auto" w:fill="auto"/>
            <w:vAlign w:val="center"/>
            <w:hideMark/>
          </w:tcPr>
          <w:p w14:paraId="206EAAF3" w14:textId="77777777" w:rsidR="0057435D" w:rsidRPr="006C2585" w:rsidRDefault="0057435D">
            <w:pPr>
              <w:rPr>
                <w:rFonts w:cstheme="minorHAnsi"/>
                <w:color w:val="000000"/>
                <w:sz w:val="22"/>
                <w:szCs w:val="22"/>
              </w:rPr>
            </w:pPr>
            <w:r w:rsidRPr="006C2585">
              <w:rPr>
                <w:rFonts w:cstheme="minorHAnsi"/>
                <w:color w:val="000000"/>
                <w:sz w:val="22"/>
                <w:szCs w:val="22"/>
              </w:rPr>
              <w:t>VAV-B46R</w:t>
            </w:r>
          </w:p>
        </w:tc>
        <w:tc>
          <w:tcPr>
            <w:tcW w:w="3690" w:type="dxa"/>
            <w:shd w:val="clear" w:color="auto" w:fill="auto"/>
            <w:vAlign w:val="center"/>
            <w:hideMark/>
          </w:tcPr>
          <w:p w14:paraId="50A102AB"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2015-2020</w:t>
            </w:r>
          </w:p>
        </w:tc>
      </w:tr>
      <w:tr w:rsidR="0057435D" w:rsidRPr="00334520" w14:paraId="06F0A116" w14:textId="77777777" w:rsidTr="002A7ED3">
        <w:trPr>
          <w:cantSplit/>
          <w:trHeight w:val="255"/>
        </w:trPr>
        <w:tc>
          <w:tcPr>
            <w:tcW w:w="4680" w:type="dxa"/>
            <w:shd w:val="clear" w:color="auto" w:fill="auto"/>
            <w:vAlign w:val="center"/>
          </w:tcPr>
          <w:p w14:paraId="5B817975" w14:textId="77777777" w:rsidR="0057435D" w:rsidRPr="006C2585" w:rsidRDefault="0057435D">
            <w:pPr>
              <w:rPr>
                <w:rFonts w:cstheme="minorHAnsi"/>
                <w:color w:val="000000"/>
                <w:sz w:val="22"/>
                <w:szCs w:val="22"/>
              </w:rPr>
            </w:pPr>
            <w:r w:rsidRPr="006C2585">
              <w:rPr>
                <w:rFonts w:cstheme="minorHAnsi"/>
                <w:color w:val="000000"/>
                <w:sz w:val="22"/>
                <w:szCs w:val="22"/>
              </w:rPr>
              <w:t xml:space="preserve">Little </w:t>
            </w:r>
            <w:proofErr w:type="spellStart"/>
            <w:r w:rsidRPr="006C2585">
              <w:rPr>
                <w:rFonts w:cstheme="minorHAnsi"/>
                <w:color w:val="000000"/>
                <w:sz w:val="22"/>
                <w:szCs w:val="22"/>
              </w:rPr>
              <w:t>Calfpasture</w:t>
            </w:r>
            <w:proofErr w:type="spellEnd"/>
            <w:r w:rsidRPr="006C2585">
              <w:rPr>
                <w:rFonts w:cstheme="minorHAnsi"/>
                <w:color w:val="000000"/>
                <w:sz w:val="22"/>
                <w:szCs w:val="22"/>
              </w:rPr>
              <w:t xml:space="preserve"> River</w:t>
            </w:r>
          </w:p>
        </w:tc>
        <w:tc>
          <w:tcPr>
            <w:tcW w:w="1440" w:type="dxa"/>
            <w:shd w:val="clear" w:color="auto" w:fill="auto"/>
            <w:vAlign w:val="center"/>
          </w:tcPr>
          <w:p w14:paraId="111D60DD" w14:textId="77777777" w:rsidR="0057435D" w:rsidRPr="006C2585" w:rsidRDefault="0057435D">
            <w:pPr>
              <w:rPr>
                <w:rFonts w:cstheme="minorHAnsi"/>
                <w:color w:val="000000"/>
                <w:sz w:val="22"/>
                <w:szCs w:val="22"/>
              </w:rPr>
            </w:pPr>
          </w:p>
        </w:tc>
        <w:tc>
          <w:tcPr>
            <w:tcW w:w="3690" w:type="dxa"/>
            <w:shd w:val="clear" w:color="auto" w:fill="auto"/>
            <w:vAlign w:val="center"/>
          </w:tcPr>
          <w:p w14:paraId="2F19AC38"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2022-2024</w:t>
            </w:r>
          </w:p>
        </w:tc>
      </w:tr>
      <w:tr w:rsidR="0057435D" w:rsidRPr="00334520" w14:paraId="3EAB6375" w14:textId="77777777" w:rsidTr="002A7ED3">
        <w:trPr>
          <w:cantSplit/>
          <w:trHeight w:val="255"/>
        </w:trPr>
        <w:tc>
          <w:tcPr>
            <w:tcW w:w="4680" w:type="dxa"/>
            <w:shd w:val="clear" w:color="auto" w:fill="auto"/>
            <w:vAlign w:val="center"/>
            <w:hideMark/>
          </w:tcPr>
          <w:p w14:paraId="58607A12" w14:textId="77777777" w:rsidR="0057435D" w:rsidRPr="006C2585" w:rsidRDefault="0057435D">
            <w:pPr>
              <w:rPr>
                <w:rFonts w:cstheme="minorHAnsi"/>
                <w:color w:val="000000"/>
                <w:sz w:val="22"/>
                <w:szCs w:val="22"/>
              </w:rPr>
            </w:pPr>
            <w:r w:rsidRPr="006C2585">
              <w:rPr>
                <w:rFonts w:cstheme="minorHAnsi"/>
                <w:color w:val="000000"/>
                <w:sz w:val="22"/>
                <w:szCs w:val="22"/>
              </w:rPr>
              <w:t>Little Dark Run and Robinson River</w:t>
            </w:r>
          </w:p>
        </w:tc>
        <w:tc>
          <w:tcPr>
            <w:tcW w:w="1440" w:type="dxa"/>
            <w:shd w:val="clear" w:color="auto" w:fill="auto"/>
            <w:vAlign w:val="center"/>
            <w:hideMark/>
          </w:tcPr>
          <w:p w14:paraId="0837DD68" w14:textId="77777777" w:rsidR="0057435D" w:rsidRPr="006C2585" w:rsidRDefault="0057435D">
            <w:pPr>
              <w:rPr>
                <w:rFonts w:cstheme="minorHAnsi"/>
                <w:color w:val="000000"/>
                <w:sz w:val="22"/>
                <w:szCs w:val="22"/>
              </w:rPr>
            </w:pPr>
            <w:r w:rsidRPr="006C2585">
              <w:rPr>
                <w:rFonts w:cstheme="minorHAnsi"/>
                <w:color w:val="000000"/>
                <w:sz w:val="22"/>
                <w:szCs w:val="22"/>
              </w:rPr>
              <w:t>VAN-E14R &amp; E15R</w:t>
            </w:r>
          </w:p>
        </w:tc>
        <w:tc>
          <w:tcPr>
            <w:tcW w:w="3690" w:type="dxa"/>
            <w:shd w:val="clear" w:color="auto" w:fill="auto"/>
            <w:vAlign w:val="center"/>
            <w:hideMark/>
          </w:tcPr>
          <w:p w14:paraId="6235A297"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2015-2023</w:t>
            </w:r>
          </w:p>
        </w:tc>
      </w:tr>
      <w:tr w:rsidR="0057435D" w:rsidRPr="00334520" w14:paraId="724DCDB5" w14:textId="77777777" w:rsidTr="002A7ED3">
        <w:trPr>
          <w:cantSplit/>
          <w:trHeight w:val="510"/>
        </w:trPr>
        <w:tc>
          <w:tcPr>
            <w:tcW w:w="4680" w:type="dxa"/>
            <w:shd w:val="clear" w:color="auto" w:fill="auto"/>
            <w:vAlign w:val="center"/>
            <w:hideMark/>
          </w:tcPr>
          <w:p w14:paraId="501348DC" w14:textId="77777777" w:rsidR="0057435D" w:rsidRPr="006C2585" w:rsidRDefault="0057435D">
            <w:pPr>
              <w:rPr>
                <w:rFonts w:cstheme="minorHAnsi"/>
                <w:color w:val="000000"/>
                <w:sz w:val="22"/>
                <w:szCs w:val="22"/>
              </w:rPr>
            </w:pPr>
            <w:r w:rsidRPr="006C2585">
              <w:rPr>
                <w:rFonts w:cstheme="minorHAnsi"/>
                <w:color w:val="000000"/>
                <w:sz w:val="22"/>
                <w:szCs w:val="22"/>
              </w:rPr>
              <w:t>Lower Banister &amp; Winn Creeks IP: Lower Banister and Terrible Creek</w:t>
            </w:r>
          </w:p>
        </w:tc>
        <w:tc>
          <w:tcPr>
            <w:tcW w:w="1440" w:type="dxa"/>
            <w:shd w:val="clear" w:color="auto" w:fill="auto"/>
            <w:vAlign w:val="center"/>
            <w:hideMark/>
          </w:tcPr>
          <w:p w14:paraId="0EDEF318" w14:textId="77777777" w:rsidR="0057435D" w:rsidRPr="006C2585" w:rsidRDefault="0057435D">
            <w:pPr>
              <w:rPr>
                <w:rFonts w:cstheme="minorHAnsi"/>
                <w:color w:val="000000"/>
                <w:sz w:val="22"/>
                <w:szCs w:val="22"/>
              </w:rPr>
            </w:pPr>
            <w:r w:rsidRPr="006C2585">
              <w:rPr>
                <w:rFonts w:cstheme="minorHAnsi"/>
                <w:color w:val="000000"/>
                <w:sz w:val="22"/>
                <w:szCs w:val="22"/>
              </w:rPr>
              <w:t>VAC-L71R and L72R</w:t>
            </w:r>
          </w:p>
        </w:tc>
        <w:tc>
          <w:tcPr>
            <w:tcW w:w="3690" w:type="dxa"/>
            <w:shd w:val="clear" w:color="auto" w:fill="auto"/>
            <w:vAlign w:val="center"/>
            <w:hideMark/>
          </w:tcPr>
          <w:p w14:paraId="1A20AB06"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2018-2021</w:t>
            </w:r>
          </w:p>
        </w:tc>
      </w:tr>
      <w:tr w:rsidR="0057435D" w:rsidRPr="00334520" w14:paraId="14E6786F" w14:textId="77777777" w:rsidTr="002A7ED3">
        <w:trPr>
          <w:cantSplit/>
          <w:trHeight w:val="255"/>
        </w:trPr>
        <w:tc>
          <w:tcPr>
            <w:tcW w:w="4680" w:type="dxa"/>
            <w:shd w:val="clear" w:color="auto" w:fill="auto"/>
            <w:vAlign w:val="center"/>
          </w:tcPr>
          <w:p w14:paraId="2DD9925D" w14:textId="77777777" w:rsidR="0057435D" w:rsidRPr="006C2585" w:rsidRDefault="0057435D">
            <w:pPr>
              <w:rPr>
                <w:rFonts w:cstheme="minorHAnsi"/>
                <w:color w:val="000000"/>
                <w:sz w:val="22"/>
                <w:szCs w:val="22"/>
              </w:rPr>
            </w:pPr>
            <w:r w:rsidRPr="006C2585">
              <w:rPr>
                <w:rFonts w:cstheme="minorHAnsi"/>
                <w:color w:val="000000"/>
                <w:sz w:val="22"/>
                <w:szCs w:val="22"/>
              </w:rPr>
              <w:t>Mattaponi River Watershed</w:t>
            </w:r>
          </w:p>
        </w:tc>
        <w:tc>
          <w:tcPr>
            <w:tcW w:w="1440" w:type="dxa"/>
            <w:shd w:val="clear" w:color="auto" w:fill="auto"/>
            <w:noWrap/>
            <w:vAlign w:val="bottom"/>
          </w:tcPr>
          <w:p w14:paraId="0ED0CC22" w14:textId="77777777" w:rsidR="0057435D" w:rsidRPr="006C2585" w:rsidRDefault="0057435D">
            <w:pPr>
              <w:rPr>
                <w:rFonts w:cstheme="minorHAnsi"/>
                <w:color w:val="000000"/>
                <w:sz w:val="22"/>
                <w:szCs w:val="22"/>
              </w:rPr>
            </w:pPr>
          </w:p>
        </w:tc>
        <w:tc>
          <w:tcPr>
            <w:tcW w:w="3690" w:type="dxa"/>
            <w:shd w:val="clear" w:color="auto" w:fill="auto"/>
            <w:vAlign w:val="center"/>
          </w:tcPr>
          <w:p w14:paraId="7B33FFBA"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2022-2023</w:t>
            </w:r>
          </w:p>
        </w:tc>
      </w:tr>
      <w:tr w:rsidR="0057435D" w:rsidRPr="00334520" w14:paraId="2B7AF3B4" w14:textId="77777777" w:rsidTr="002A7ED3">
        <w:trPr>
          <w:cantSplit/>
          <w:trHeight w:val="255"/>
        </w:trPr>
        <w:tc>
          <w:tcPr>
            <w:tcW w:w="4680" w:type="dxa"/>
            <w:shd w:val="clear" w:color="auto" w:fill="auto"/>
            <w:vAlign w:val="center"/>
          </w:tcPr>
          <w:p w14:paraId="68A70985" w14:textId="77777777" w:rsidR="0057435D" w:rsidRPr="006C2585" w:rsidRDefault="0057435D">
            <w:pPr>
              <w:rPr>
                <w:rFonts w:cstheme="minorHAnsi"/>
                <w:color w:val="000000"/>
                <w:sz w:val="22"/>
                <w:szCs w:val="22"/>
              </w:rPr>
            </w:pPr>
            <w:r w:rsidRPr="006C2585">
              <w:rPr>
                <w:rFonts w:cstheme="minorHAnsi"/>
                <w:color w:val="000000"/>
                <w:sz w:val="22"/>
                <w:szCs w:val="22"/>
              </w:rPr>
              <w:t>Middle Clinch River</w:t>
            </w:r>
          </w:p>
        </w:tc>
        <w:tc>
          <w:tcPr>
            <w:tcW w:w="1440" w:type="dxa"/>
            <w:shd w:val="clear" w:color="auto" w:fill="auto"/>
            <w:noWrap/>
            <w:vAlign w:val="bottom"/>
          </w:tcPr>
          <w:p w14:paraId="6B25334B" w14:textId="77777777" w:rsidR="0057435D" w:rsidRPr="006C2585" w:rsidRDefault="0057435D">
            <w:pPr>
              <w:rPr>
                <w:rFonts w:cstheme="minorHAnsi"/>
                <w:color w:val="000000"/>
                <w:sz w:val="22"/>
                <w:szCs w:val="22"/>
              </w:rPr>
            </w:pPr>
          </w:p>
        </w:tc>
        <w:tc>
          <w:tcPr>
            <w:tcW w:w="3690" w:type="dxa"/>
            <w:shd w:val="clear" w:color="auto" w:fill="auto"/>
            <w:vAlign w:val="center"/>
          </w:tcPr>
          <w:p w14:paraId="0D2DA761"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2021-2024</w:t>
            </w:r>
          </w:p>
        </w:tc>
      </w:tr>
      <w:tr w:rsidR="0057435D" w:rsidRPr="00334520" w14:paraId="31CCB724" w14:textId="77777777" w:rsidTr="002A7ED3">
        <w:trPr>
          <w:cantSplit/>
          <w:trHeight w:val="255"/>
        </w:trPr>
        <w:tc>
          <w:tcPr>
            <w:tcW w:w="4680" w:type="dxa"/>
            <w:shd w:val="clear" w:color="auto" w:fill="auto"/>
            <w:vAlign w:val="center"/>
            <w:hideMark/>
          </w:tcPr>
          <w:p w14:paraId="26E41476" w14:textId="77777777" w:rsidR="0057435D" w:rsidRPr="006C2585" w:rsidRDefault="0057435D">
            <w:pPr>
              <w:rPr>
                <w:rFonts w:cstheme="minorHAnsi"/>
                <w:color w:val="000000"/>
                <w:sz w:val="22"/>
                <w:szCs w:val="22"/>
              </w:rPr>
            </w:pPr>
            <w:r w:rsidRPr="006C2585">
              <w:rPr>
                <w:rFonts w:cstheme="minorHAnsi"/>
                <w:color w:val="000000"/>
                <w:sz w:val="22"/>
                <w:szCs w:val="22"/>
              </w:rPr>
              <w:t>North Fork Holston River: Scott County</w:t>
            </w:r>
          </w:p>
        </w:tc>
        <w:tc>
          <w:tcPr>
            <w:tcW w:w="1440" w:type="dxa"/>
            <w:shd w:val="clear" w:color="auto" w:fill="auto"/>
            <w:noWrap/>
            <w:vAlign w:val="bottom"/>
            <w:hideMark/>
          </w:tcPr>
          <w:p w14:paraId="16F1C511" w14:textId="77777777" w:rsidR="0057435D" w:rsidRPr="006C2585" w:rsidRDefault="0057435D">
            <w:pPr>
              <w:rPr>
                <w:rFonts w:cstheme="minorHAnsi"/>
                <w:color w:val="000000"/>
                <w:sz w:val="22"/>
                <w:szCs w:val="22"/>
              </w:rPr>
            </w:pPr>
            <w:r w:rsidRPr="006C2585">
              <w:rPr>
                <w:rFonts w:cstheme="minorHAnsi"/>
                <w:color w:val="000000"/>
                <w:sz w:val="22"/>
                <w:szCs w:val="22"/>
              </w:rPr>
              <w:t>VAS-O10R, VAC-O12-13R</w:t>
            </w:r>
          </w:p>
        </w:tc>
        <w:tc>
          <w:tcPr>
            <w:tcW w:w="3690" w:type="dxa"/>
            <w:shd w:val="clear" w:color="auto" w:fill="auto"/>
            <w:vAlign w:val="center"/>
            <w:hideMark/>
          </w:tcPr>
          <w:p w14:paraId="5421DA9E"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2017-2020 (Residential Only)</w:t>
            </w:r>
          </w:p>
        </w:tc>
      </w:tr>
      <w:tr w:rsidR="0057435D" w:rsidRPr="00334520" w14:paraId="6B87862A" w14:textId="77777777" w:rsidTr="002A7ED3">
        <w:trPr>
          <w:cantSplit/>
          <w:trHeight w:val="255"/>
        </w:trPr>
        <w:tc>
          <w:tcPr>
            <w:tcW w:w="4680" w:type="dxa"/>
            <w:shd w:val="clear" w:color="auto" w:fill="auto"/>
            <w:vAlign w:val="center"/>
            <w:hideMark/>
          </w:tcPr>
          <w:p w14:paraId="159AAE75" w14:textId="77777777" w:rsidR="0057435D" w:rsidRPr="006C2585" w:rsidRDefault="0057435D">
            <w:pPr>
              <w:rPr>
                <w:rFonts w:cstheme="minorHAnsi"/>
                <w:color w:val="000000"/>
                <w:sz w:val="22"/>
                <w:szCs w:val="22"/>
              </w:rPr>
            </w:pPr>
            <w:r w:rsidRPr="006C2585">
              <w:rPr>
                <w:rFonts w:cstheme="minorHAnsi"/>
                <w:color w:val="000000"/>
                <w:sz w:val="22"/>
                <w:szCs w:val="22"/>
              </w:rPr>
              <w:t>North Fork Holston River: Smyth County</w:t>
            </w:r>
          </w:p>
        </w:tc>
        <w:tc>
          <w:tcPr>
            <w:tcW w:w="1440" w:type="dxa"/>
            <w:shd w:val="clear" w:color="auto" w:fill="auto"/>
            <w:noWrap/>
            <w:vAlign w:val="bottom"/>
            <w:hideMark/>
          </w:tcPr>
          <w:p w14:paraId="6A2371D4" w14:textId="77777777" w:rsidR="0057435D" w:rsidRPr="006C2585" w:rsidRDefault="0057435D">
            <w:pPr>
              <w:rPr>
                <w:rFonts w:cstheme="minorHAnsi"/>
                <w:color w:val="000000"/>
                <w:sz w:val="22"/>
                <w:szCs w:val="22"/>
              </w:rPr>
            </w:pPr>
            <w:r w:rsidRPr="006C2585">
              <w:rPr>
                <w:rFonts w:cstheme="minorHAnsi"/>
                <w:color w:val="000000"/>
                <w:sz w:val="22"/>
                <w:szCs w:val="22"/>
              </w:rPr>
              <w:t>VAS-O9R-O11R</w:t>
            </w:r>
          </w:p>
        </w:tc>
        <w:tc>
          <w:tcPr>
            <w:tcW w:w="3690" w:type="dxa"/>
            <w:shd w:val="clear" w:color="auto" w:fill="auto"/>
            <w:vAlign w:val="center"/>
            <w:hideMark/>
          </w:tcPr>
          <w:p w14:paraId="6CD2BC1D"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2018-2022</w:t>
            </w:r>
          </w:p>
        </w:tc>
      </w:tr>
      <w:tr w:rsidR="0057435D" w:rsidRPr="00334520" w14:paraId="0CB5538C" w14:textId="77777777" w:rsidTr="002A7ED3">
        <w:trPr>
          <w:cantSplit/>
          <w:trHeight w:val="255"/>
        </w:trPr>
        <w:tc>
          <w:tcPr>
            <w:tcW w:w="4680" w:type="dxa"/>
            <w:shd w:val="clear" w:color="auto" w:fill="auto"/>
            <w:vAlign w:val="center"/>
            <w:hideMark/>
          </w:tcPr>
          <w:p w14:paraId="4932ED2C" w14:textId="77777777" w:rsidR="0057435D" w:rsidRPr="006C2585" w:rsidRDefault="0057435D">
            <w:pPr>
              <w:rPr>
                <w:rFonts w:cstheme="minorHAnsi"/>
                <w:color w:val="000000"/>
                <w:sz w:val="22"/>
                <w:szCs w:val="22"/>
              </w:rPr>
            </w:pPr>
            <w:r w:rsidRPr="006C2585">
              <w:rPr>
                <w:rFonts w:cstheme="minorHAnsi"/>
                <w:color w:val="000000"/>
                <w:sz w:val="22"/>
                <w:szCs w:val="22"/>
              </w:rPr>
              <w:lastRenderedPageBreak/>
              <w:t>North Fork Holston River: Washington County</w:t>
            </w:r>
          </w:p>
        </w:tc>
        <w:tc>
          <w:tcPr>
            <w:tcW w:w="1440" w:type="dxa"/>
            <w:shd w:val="clear" w:color="auto" w:fill="auto"/>
            <w:noWrap/>
            <w:vAlign w:val="bottom"/>
            <w:hideMark/>
          </w:tcPr>
          <w:p w14:paraId="41C18AD3" w14:textId="77777777" w:rsidR="0057435D" w:rsidRPr="006C2585" w:rsidRDefault="0057435D">
            <w:pPr>
              <w:rPr>
                <w:rFonts w:cstheme="minorHAnsi"/>
                <w:color w:val="000000"/>
                <w:sz w:val="22"/>
                <w:szCs w:val="22"/>
              </w:rPr>
            </w:pPr>
            <w:r w:rsidRPr="006C2585">
              <w:rPr>
                <w:rFonts w:cstheme="minorHAnsi"/>
                <w:color w:val="000000"/>
                <w:sz w:val="22"/>
                <w:szCs w:val="22"/>
              </w:rPr>
              <w:t>VAS-O9R-O12R, VAS-O14R</w:t>
            </w:r>
          </w:p>
        </w:tc>
        <w:tc>
          <w:tcPr>
            <w:tcW w:w="3690" w:type="dxa"/>
            <w:shd w:val="clear" w:color="auto" w:fill="auto"/>
            <w:vAlign w:val="center"/>
            <w:hideMark/>
          </w:tcPr>
          <w:p w14:paraId="38F79253"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2017-2024</w:t>
            </w:r>
          </w:p>
        </w:tc>
      </w:tr>
      <w:tr w:rsidR="0057435D" w:rsidRPr="00334520" w14:paraId="1C2406DB" w14:textId="77777777" w:rsidTr="002A7ED3">
        <w:trPr>
          <w:cantSplit/>
          <w:trHeight w:val="255"/>
        </w:trPr>
        <w:tc>
          <w:tcPr>
            <w:tcW w:w="4680" w:type="dxa"/>
            <w:shd w:val="clear" w:color="auto" w:fill="auto"/>
            <w:vAlign w:val="center"/>
          </w:tcPr>
          <w:p w14:paraId="2352C9B9" w14:textId="77777777" w:rsidR="0057435D" w:rsidRPr="006C2585" w:rsidRDefault="0057435D">
            <w:pPr>
              <w:rPr>
                <w:rFonts w:cstheme="minorHAnsi"/>
                <w:color w:val="000000"/>
                <w:sz w:val="22"/>
                <w:szCs w:val="22"/>
              </w:rPr>
            </w:pPr>
            <w:r w:rsidRPr="006C2585">
              <w:rPr>
                <w:rFonts w:cstheme="minorHAnsi"/>
                <w:color w:val="000000"/>
                <w:sz w:val="22"/>
                <w:szCs w:val="22"/>
              </w:rPr>
              <w:t>North Fork Roanoke River, South Fork Roanoke River</w:t>
            </w:r>
          </w:p>
        </w:tc>
        <w:tc>
          <w:tcPr>
            <w:tcW w:w="1440" w:type="dxa"/>
            <w:shd w:val="clear" w:color="auto" w:fill="auto"/>
            <w:vAlign w:val="center"/>
          </w:tcPr>
          <w:p w14:paraId="3A1189F6" w14:textId="77777777" w:rsidR="0057435D" w:rsidRPr="006C2585" w:rsidRDefault="0057435D">
            <w:pPr>
              <w:rPr>
                <w:rFonts w:cstheme="minorHAnsi"/>
                <w:color w:val="000000"/>
                <w:sz w:val="22"/>
                <w:szCs w:val="22"/>
              </w:rPr>
            </w:pPr>
          </w:p>
        </w:tc>
        <w:tc>
          <w:tcPr>
            <w:tcW w:w="3690" w:type="dxa"/>
            <w:shd w:val="clear" w:color="auto" w:fill="auto"/>
            <w:vAlign w:val="center"/>
          </w:tcPr>
          <w:p w14:paraId="4DE66E58"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2022-2025</w:t>
            </w:r>
          </w:p>
        </w:tc>
      </w:tr>
      <w:tr w:rsidR="0057435D" w:rsidRPr="00334520" w14:paraId="4E138461" w14:textId="77777777" w:rsidTr="002A7ED3">
        <w:trPr>
          <w:cantSplit/>
          <w:trHeight w:val="255"/>
        </w:trPr>
        <w:tc>
          <w:tcPr>
            <w:tcW w:w="4680" w:type="dxa"/>
            <w:shd w:val="clear" w:color="auto" w:fill="auto"/>
            <w:vAlign w:val="center"/>
          </w:tcPr>
          <w:p w14:paraId="2D27ADB7" w14:textId="77777777" w:rsidR="0057435D" w:rsidRPr="006C2585" w:rsidRDefault="0057435D">
            <w:pPr>
              <w:rPr>
                <w:rFonts w:cstheme="minorHAnsi"/>
                <w:color w:val="000000"/>
                <w:sz w:val="22"/>
                <w:szCs w:val="22"/>
              </w:rPr>
            </w:pPr>
            <w:proofErr w:type="spellStart"/>
            <w:r w:rsidRPr="006C2585">
              <w:rPr>
                <w:rFonts w:cstheme="minorHAnsi"/>
                <w:color w:val="000000"/>
                <w:sz w:val="22"/>
                <w:szCs w:val="22"/>
              </w:rPr>
              <w:t>Piankatank</w:t>
            </w:r>
            <w:proofErr w:type="spellEnd"/>
            <w:r w:rsidRPr="006C2585">
              <w:rPr>
                <w:rFonts w:cstheme="minorHAnsi"/>
                <w:color w:val="000000"/>
                <w:sz w:val="22"/>
                <w:szCs w:val="22"/>
              </w:rPr>
              <w:t xml:space="preserve"> River Watershed</w:t>
            </w:r>
          </w:p>
        </w:tc>
        <w:tc>
          <w:tcPr>
            <w:tcW w:w="1440" w:type="dxa"/>
            <w:shd w:val="clear" w:color="auto" w:fill="auto"/>
            <w:vAlign w:val="center"/>
          </w:tcPr>
          <w:p w14:paraId="66401B1F" w14:textId="77777777" w:rsidR="0057435D" w:rsidRPr="006C2585" w:rsidRDefault="0057435D">
            <w:pPr>
              <w:rPr>
                <w:rFonts w:cstheme="minorHAnsi"/>
                <w:color w:val="000000"/>
                <w:sz w:val="22"/>
                <w:szCs w:val="22"/>
              </w:rPr>
            </w:pPr>
          </w:p>
        </w:tc>
        <w:tc>
          <w:tcPr>
            <w:tcW w:w="3690" w:type="dxa"/>
            <w:shd w:val="clear" w:color="auto" w:fill="auto"/>
            <w:vAlign w:val="center"/>
          </w:tcPr>
          <w:p w14:paraId="445D65B4"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2021-2024</w:t>
            </w:r>
          </w:p>
        </w:tc>
      </w:tr>
      <w:tr w:rsidR="0057435D" w:rsidRPr="00334520" w14:paraId="7298AE9A" w14:textId="77777777" w:rsidTr="002A7ED3">
        <w:trPr>
          <w:cantSplit/>
          <w:trHeight w:val="255"/>
        </w:trPr>
        <w:tc>
          <w:tcPr>
            <w:tcW w:w="4680" w:type="dxa"/>
            <w:shd w:val="clear" w:color="auto" w:fill="auto"/>
            <w:vAlign w:val="center"/>
            <w:hideMark/>
          </w:tcPr>
          <w:p w14:paraId="5DCA5CD8" w14:textId="77777777" w:rsidR="0057435D" w:rsidRPr="006C2585" w:rsidRDefault="0057435D">
            <w:pPr>
              <w:rPr>
                <w:rFonts w:cstheme="minorHAnsi"/>
                <w:color w:val="000000"/>
                <w:sz w:val="22"/>
                <w:szCs w:val="22"/>
              </w:rPr>
            </w:pPr>
            <w:r w:rsidRPr="006C2585">
              <w:rPr>
                <w:rFonts w:cstheme="minorHAnsi"/>
                <w:color w:val="000000"/>
                <w:sz w:val="22"/>
                <w:szCs w:val="22"/>
              </w:rPr>
              <w:t>Slate River and Rock Island Creek</w:t>
            </w:r>
          </w:p>
        </w:tc>
        <w:tc>
          <w:tcPr>
            <w:tcW w:w="1440" w:type="dxa"/>
            <w:shd w:val="clear" w:color="auto" w:fill="auto"/>
            <w:vAlign w:val="center"/>
            <w:hideMark/>
          </w:tcPr>
          <w:p w14:paraId="3758C1FB" w14:textId="77777777" w:rsidR="0057435D" w:rsidRPr="006C2585" w:rsidRDefault="0057435D">
            <w:pPr>
              <w:rPr>
                <w:rFonts w:cstheme="minorHAnsi"/>
                <w:color w:val="000000"/>
                <w:sz w:val="22"/>
                <w:szCs w:val="22"/>
              </w:rPr>
            </w:pPr>
            <w:r w:rsidRPr="006C2585">
              <w:rPr>
                <w:rFonts w:cstheme="minorHAnsi"/>
                <w:color w:val="000000"/>
                <w:sz w:val="22"/>
                <w:szCs w:val="22"/>
              </w:rPr>
              <w:t>VAC-H17R, H21R, H22R</w:t>
            </w:r>
          </w:p>
        </w:tc>
        <w:tc>
          <w:tcPr>
            <w:tcW w:w="3690" w:type="dxa"/>
            <w:shd w:val="clear" w:color="auto" w:fill="auto"/>
            <w:vAlign w:val="center"/>
            <w:hideMark/>
          </w:tcPr>
          <w:p w14:paraId="63168928"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2010-2023; 2022-2025</w:t>
            </w:r>
          </w:p>
        </w:tc>
      </w:tr>
      <w:tr w:rsidR="0057435D" w:rsidRPr="00334520" w14:paraId="4E1F8120" w14:textId="77777777" w:rsidTr="002A7ED3">
        <w:trPr>
          <w:cantSplit/>
          <w:trHeight w:val="510"/>
        </w:trPr>
        <w:tc>
          <w:tcPr>
            <w:tcW w:w="4680" w:type="dxa"/>
            <w:shd w:val="clear" w:color="auto" w:fill="auto"/>
            <w:vAlign w:val="center"/>
            <w:hideMark/>
          </w:tcPr>
          <w:p w14:paraId="666F3970" w14:textId="77777777" w:rsidR="0057435D" w:rsidRPr="006C2585" w:rsidRDefault="0057435D">
            <w:pPr>
              <w:rPr>
                <w:rFonts w:cstheme="minorHAnsi"/>
                <w:color w:val="000000"/>
                <w:sz w:val="22"/>
                <w:szCs w:val="22"/>
              </w:rPr>
            </w:pPr>
            <w:r w:rsidRPr="006C2585">
              <w:rPr>
                <w:rFonts w:cstheme="minorHAnsi"/>
                <w:color w:val="000000"/>
                <w:sz w:val="22"/>
                <w:szCs w:val="22"/>
              </w:rPr>
              <w:t>Smith River and Mayo River IP: Smith River and Blackberry Creek</w:t>
            </w:r>
          </w:p>
        </w:tc>
        <w:tc>
          <w:tcPr>
            <w:tcW w:w="1440" w:type="dxa"/>
            <w:shd w:val="clear" w:color="auto" w:fill="auto"/>
            <w:noWrap/>
            <w:vAlign w:val="bottom"/>
            <w:hideMark/>
          </w:tcPr>
          <w:p w14:paraId="53FB6251" w14:textId="77777777" w:rsidR="0057435D" w:rsidRPr="006C2585" w:rsidRDefault="0057435D">
            <w:pPr>
              <w:rPr>
                <w:rFonts w:cstheme="minorHAnsi"/>
                <w:color w:val="000000"/>
                <w:sz w:val="22"/>
                <w:szCs w:val="22"/>
              </w:rPr>
            </w:pPr>
            <w:r w:rsidRPr="006C2585">
              <w:rPr>
                <w:rFonts w:cstheme="minorHAnsi"/>
                <w:color w:val="000000"/>
                <w:sz w:val="22"/>
                <w:szCs w:val="22"/>
              </w:rPr>
              <w:t xml:space="preserve">VAW-L43R, VAW-L46R, VAW-L52R, VAW-L56R </w:t>
            </w:r>
          </w:p>
        </w:tc>
        <w:tc>
          <w:tcPr>
            <w:tcW w:w="3690" w:type="dxa"/>
            <w:shd w:val="clear" w:color="auto" w:fill="auto"/>
            <w:vAlign w:val="center"/>
            <w:hideMark/>
          </w:tcPr>
          <w:p w14:paraId="6DF79517"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2015-2019, 2018-2020 (Residential Only)</w:t>
            </w:r>
          </w:p>
        </w:tc>
      </w:tr>
      <w:tr w:rsidR="0057435D" w:rsidRPr="00334520" w14:paraId="6297AADF" w14:textId="77777777" w:rsidTr="002A7ED3">
        <w:trPr>
          <w:cantSplit/>
          <w:trHeight w:val="255"/>
        </w:trPr>
        <w:tc>
          <w:tcPr>
            <w:tcW w:w="4680" w:type="dxa"/>
            <w:shd w:val="clear" w:color="auto" w:fill="auto"/>
            <w:vAlign w:val="center"/>
            <w:hideMark/>
          </w:tcPr>
          <w:p w14:paraId="29A98683" w14:textId="77777777" w:rsidR="0057435D" w:rsidRPr="006C2585" w:rsidRDefault="0057435D">
            <w:pPr>
              <w:rPr>
                <w:rFonts w:cstheme="minorHAnsi"/>
                <w:color w:val="000000"/>
                <w:sz w:val="22"/>
                <w:szCs w:val="22"/>
              </w:rPr>
            </w:pPr>
            <w:r w:rsidRPr="006C2585">
              <w:rPr>
                <w:rFonts w:cstheme="minorHAnsi"/>
                <w:color w:val="000000"/>
                <w:sz w:val="22"/>
                <w:szCs w:val="22"/>
              </w:rPr>
              <w:t>South River and Christians Creek</w:t>
            </w:r>
          </w:p>
        </w:tc>
        <w:tc>
          <w:tcPr>
            <w:tcW w:w="1440" w:type="dxa"/>
            <w:shd w:val="clear" w:color="auto" w:fill="auto"/>
            <w:noWrap/>
            <w:vAlign w:val="bottom"/>
            <w:hideMark/>
          </w:tcPr>
          <w:p w14:paraId="679A19EB" w14:textId="77777777" w:rsidR="0057435D" w:rsidRPr="006C2585" w:rsidRDefault="0057435D">
            <w:pPr>
              <w:rPr>
                <w:rFonts w:cstheme="minorHAnsi"/>
                <w:color w:val="000000"/>
                <w:sz w:val="22"/>
                <w:szCs w:val="22"/>
              </w:rPr>
            </w:pPr>
            <w:r w:rsidRPr="006C2585">
              <w:rPr>
                <w:rFonts w:cstheme="minorHAnsi"/>
                <w:color w:val="000000"/>
                <w:sz w:val="22"/>
                <w:szCs w:val="22"/>
              </w:rPr>
              <w:t>VAV-B14R, VAV-B30R, VAV-B32R</w:t>
            </w:r>
          </w:p>
        </w:tc>
        <w:tc>
          <w:tcPr>
            <w:tcW w:w="3690" w:type="dxa"/>
            <w:shd w:val="clear" w:color="auto" w:fill="auto"/>
            <w:vAlign w:val="center"/>
            <w:hideMark/>
          </w:tcPr>
          <w:p w14:paraId="1DE12D68"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2018-2020 (Agriculture Only)</w:t>
            </w:r>
          </w:p>
        </w:tc>
      </w:tr>
      <w:tr w:rsidR="0057435D" w:rsidRPr="00334520" w14:paraId="33E91404" w14:textId="77777777" w:rsidTr="002A7ED3">
        <w:trPr>
          <w:cantSplit/>
          <w:trHeight w:val="255"/>
        </w:trPr>
        <w:tc>
          <w:tcPr>
            <w:tcW w:w="4680" w:type="dxa"/>
            <w:shd w:val="clear" w:color="auto" w:fill="auto"/>
            <w:vAlign w:val="center"/>
            <w:hideMark/>
          </w:tcPr>
          <w:p w14:paraId="6F8320C6" w14:textId="77777777" w:rsidR="0057435D" w:rsidRPr="006C2585" w:rsidRDefault="0057435D">
            <w:pPr>
              <w:rPr>
                <w:rFonts w:cstheme="minorHAnsi"/>
                <w:color w:val="000000"/>
                <w:sz w:val="22"/>
                <w:szCs w:val="22"/>
              </w:rPr>
            </w:pPr>
            <w:r w:rsidRPr="006C2585">
              <w:rPr>
                <w:rFonts w:cstheme="minorHAnsi"/>
                <w:color w:val="000000"/>
                <w:sz w:val="22"/>
                <w:szCs w:val="22"/>
              </w:rPr>
              <w:t>Tye River, Hat Creek, Rucker Run, and Piney River</w:t>
            </w:r>
          </w:p>
        </w:tc>
        <w:tc>
          <w:tcPr>
            <w:tcW w:w="1440" w:type="dxa"/>
            <w:shd w:val="clear" w:color="auto" w:fill="auto"/>
            <w:vAlign w:val="center"/>
            <w:hideMark/>
          </w:tcPr>
          <w:p w14:paraId="148D3E20" w14:textId="77777777" w:rsidR="0057435D" w:rsidRPr="006C2585" w:rsidRDefault="0057435D">
            <w:pPr>
              <w:rPr>
                <w:rFonts w:cstheme="minorHAnsi"/>
                <w:color w:val="000000"/>
                <w:sz w:val="22"/>
                <w:szCs w:val="22"/>
              </w:rPr>
            </w:pPr>
            <w:r w:rsidRPr="006C2585">
              <w:rPr>
                <w:rFonts w:cstheme="minorHAnsi"/>
                <w:color w:val="000000"/>
                <w:sz w:val="22"/>
                <w:szCs w:val="22"/>
              </w:rPr>
              <w:t>VAV-H09R, H10R &amp; H13R</w:t>
            </w:r>
          </w:p>
        </w:tc>
        <w:tc>
          <w:tcPr>
            <w:tcW w:w="3690" w:type="dxa"/>
            <w:shd w:val="clear" w:color="auto" w:fill="auto"/>
            <w:vAlign w:val="center"/>
            <w:hideMark/>
          </w:tcPr>
          <w:p w14:paraId="0994FE36"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2015-2023</w:t>
            </w:r>
          </w:p>
        </w:tc>
      </w:tr>
      <w:tr w:rsidR="0057435D" w:rsidRPr="00334520" w14:paraId="38FCBAAF" w14:textId="77777777" w:rsidTr="002A7ED3">
        <w:trPr>
          <w:cantSplit/>
          <w:trHeight w:val="255"/>
        </w:trPr>
        <w:tc>
          <w:tcPr>
            <w:tcW w:w="4680" w:type="dxa"/>
            <w:shd w:val="clear" w:color="auto" w:fill="auto"/>
            <w:vAlign w:val="center"/>
            <w:hideMark/>
          </w:tcPr>
          <w:p w14:paraId="0FB1B25A" w14:textId="77777777" w:rsidR="0057435D" w:rsidRPr="006C2585" w:rsidRDefault="0057435D">
            <w:pPr>
              <w:rPr>
                <w:rFonts w:cstheme="minorHAnsi"/>
                <w:color w:val="000000"/>
                <w:sz w:val="22"/>
                <w:szCs w:val="22"/>
              </w:rPr>
            </w:pPr>
            <w:r w:rsidRPr="006C2585">
              <w:rPr>
                <w:rFonts w:cstheme="minorHAnsi"/>
                <w:color w:val="000000"/>
                <w:sz w:val="22"/>
                <w:szCs w:val="22"/>
              </w:rPr>
              <w:t>Upper Clinch River Watershed</w:t>
            </w:r>
          </w:p>
        </w:tc>
        <w:tc>
          <w:tcPr>
            <w:tcW w:w="1440" w:type="dxa"/>
            <w:shd w:val="clear" w:color="auto" w:fill="auto"/>
            <w:vAlign w:val="center"/>
            <w:hideMark/>
          </w:tcPr>
          <w:p w14:paraId="2F13D274" w14:textId="77777777" w:rsidR="0057435D" w:rsidRPr="006C2585" w:rsidRDefault="0057435D">
            <w:pPr>
              <w:rPr>
                <w:rFonts w:cstheme="minorHAnsi"/>
                <w:color w:val="000000"/>
                <w:sz w:val="22"/>
                <w:szCs w:val="22"/>
              </w:rPr>
            </w:pPr>
            <w:r w:rsidRPr="006C2585">
              <w:rPr>
                <w:rFonts w:cstheme="minorHAnsi"/>
                <w:color w:val="000000"/>
                <w:sz w:val="22"/>
                <w:szCs w:val="22"/>
              </w:rPr>
              <w:t>VAS-P01R</w:t>
            </w:r>
          </w:p>
        </w:tc>
        <w:tc>
          <w:tcPr>
            <w:tcW w:w="3690" w:type="dxa"/>
            <w:shd w:val="clear" w:color="auto" w:fill="auto"/>
            <w:vAlign w:val="center"/>
            <w:hideMark/>
          </w:tcPr>
          <w:p w14:paraId="267D88FB"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2016-2025</w:t>
            </w:r>
          </w:p>
        </w:tc>
      </w:tr>
      <w:tr w:rsidR="0057435D" w:rsidRPr="00334520" w14:paraId="4989C6A2" w14:textId="77777777" w:rsidTr="002A7ED3">
        <w:trPr>
          <w:cantSplit/>
          <w:trHeight w:val="255"/>
        </w:trPr>
        <w:tc>
          <w:tcPr>
            <w:tcW w:w="4680" w:type="dxa"/>
            <w:shd w:val="clear" w:color="auto" w:fill="auto"/>
            <w:vAlign w:val="center"/>
            <w:hideMark/>
          </w:tcPr>
          <w:p w14:paraId="52929993" w14:textId="77777777" w:rsidR="0057435D" w:rsidRPr="006C2585" w:rsidRDefault="0057435D">
            <w:pPr>
              <w:rPr>
                <w:rFonts w:cstheme="minorHAnsi"/>
                <w:color w:val="000000"/>
                <w:sz w:val="22"/>
                <w:szCs w:val="22"/>
              </w:rPr>
            </w:pPr>
            <w:r w:rsidRPr="006C2585">
              <w:rPr>
                <w:rFonts w:cstheme="minorHAnsi"/>
                <w:color w:val="000000"/>
                <w:sz w:val="22"/>
                <w:szCs w:val="22"/>
              </w:rPr>
              <w:t>Upper Goose Creek</w:t>
            </w:r>
          </w:p>
        </w:tc>
        <w:tc>
          <w:tcPr>
            <w:tcW w:w="1440" w:type="dxa"/>
            <w:shd w:val="clear" w:color="auto" w:fill="auto"/>
            <w:vAlign w:val="center"/>
            <w:hideMark/>
          </w:tcPr>
          <w:p w14:paraId="5D1A799D" w14:textId="77777777" w:rsidR="0057435D" w:rsidRPr="006C2585" w:rsidRDefault="0057435D">
            <w:pPr>
              <w:rPr>
                <w:rFonts w:cstheme="minorHAnsi"/>
                <w:color w:val="000000"/>
                <w:sz w:val="22"/>
                <w:szCs w:val="22"/>
              </w:rPr>
            </w:pPr>
            <w:r w:rsidRPr="006C2585">
              <w:rPr>
                <w:rFonts w:cstheme="minorHAnsi"/>
                <w:color w:val="000000"/>
                <w:sz w:val="22"/>
                <w:szCs w:val="22"/>
              </w:rPr>
              <w:t>VAN-A05R, VAN-A08R</w:t>
            </w:r>
          </w:p>
        </w:tc>
        <w:tc>
          <w:tcPr>
            <w:tcW w:w="3690" w:type="dxa"/>
            <w:shd w:val="clear" w:color="auto" w:fill="auto"/>
            <w:vAlign w:val="center"/>
            <w:hideMark/>
          </w:tcPr>
          <w:p w14:paraId="5BB85460"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2018-2022</w:t>
            </w:r>
          </w:p>
        </w:tc>
      </w:tr>
      <w:tr w:rsidR="0057435D" w:rsidRPr="00334520" w14:paraId="3C56BB40" w14:textId="77777777" w:rsidTr="002A7ED3">
        <w:trPr>
          <w:cantSplit/>
          <w:trHeight w:val="255"/>
        </w:trPr>
        <w:tc>
          <w:tcPr>
            <w:tcW w:w="4680" w:type="dxa"/>
            <w:shd w:val="clear" w:color="auto" w:fill="auto"/>
            <w:vAlign w:val="center"/>
            <w:hideMark/>
          </w:tcPr>
          <w:p w14:paraId="459613F0" w14:textId="77777777" w:rsidR="0057435D" w:rsidRPr="006C2585" w:rsidRDefault="0057435D">
            <w:pPr>
              <w:rPr>
                <w:rFonts w:cstheme="minorHAnsi"/>
                <w:color w:val="000000"/>
                <w:sz w:val="22"/>
                <w:szCs w:val="22"/>
              </w:rPr>
            </w:pPr>
            <w:r w:rsidRPr="006C2585">
              <w:rPr>
                <w:rFonts w:cstheme="minorHAnsi"/>
                <w:color w:val="000000"/>
                <w:sz w:val="22"/>
                <w:szCs w:val="22"/>
              </w:rPr>
              <w:t>Upper Hazel River, Hughes, Rush, and Thornton Rivers</w:t>
            </w:r>
          </w:p>
        </w:tc>
        <w:tc>
          <w:tcPr>
            <w:tcW w:w="1440" w:type="dxa"/>
            <w:shd w:val="clear" w:color="auto" w:fill="auto"/>
            <w:vAlign w:val="center"/>
            <w:hideMark/>
          </w:tcPr>
          <w:p w14:paraId="2987A4EC" w14:textId="77777777" w:rsidR="0057435D" w:rsidRPr="006C2585" w:rsidRDefault="0057435D">
            <w:pPr>
              <w:rPr>
                <w:rFonts w:cstheme="minorHAnsi"/>
                <w:color w:val="000000"/>
                <w:sz w:val="22"/>
                <w:szCs w:val="22"/>
              </w:rPr>
            </w:pPr>
            <w:r w:rsidRPr="006C2585">
              <w:rPr>
                <w:rFonts w:cstheme="minorHAnsi"/>
                <w:color w:val="000000"/>
                <w:sz w:val="22"/>
                <w:szCs w:val="22"/>
              </w:rPr>
              <w:t>VAN-E03- 05R</w:t>
            </w:r>
          </w:p>
        </w:tc>
        <w:tc>
          <w:tcPr>
            <w:tcW w:w="3690" w:type="dxa"/>
            <w:shd w:val="clear" w:color="auto" w:fill="auto"/>
            <w:vAlign w:val="center"/>
            <w:hideMark/>
          </w:tcPr>
          <w:p w14:paraId="53CEB731" w14:textId="77777777" w:rsidR="0057435D" w:rsidRPr="006C2585" w:rsidRDefault="0057435D">
            <w:pPr>
              <w:rPr>
                <w:rFonts w:cstheme="minorHAnsi"/>
                <w:color w:val="000000"/>
                <w:sz w:val="22"/>
                <w:szCs w:val="22"/>
              </w:rPr>
            </w:pPr>
            <w:r w:rsidRPr="006C2585">
              <w:rPr>
                <w:rFonts w:cstheme="minorHAnsi"/>
                <w:color w:val="000000"/>
                <w:sz w:val="22"/>
                <w:szCs w:val="22"/>
              </w:rPr>
              <w:t>CWA Section 319(h):2009-2024, VNRCF: 2011-2015, WQIF RFP: 2007-2009</w:t>
            </w:r>
          </w:p>
        </w:tc>
      </w:tr>
      <w:tr w:rsidR="0057435D" w:rsidRPr="00334520" w14:paraId="1591498C" w14:textId="77777777" w:rsidTr="002A7ED3">
        <w:trPr>
          <w:cantSplit/>
          <w:trHeight w:val="255"/>
        </w:trPr>
        <w:tc>
          <w:tcPr>
            <w:tcW w:w="4680" w:type="dxa"/>
            <w:shd w:val="clear" w:color="auto" w:fill="auto"/>
            <w:vAlign w:val="center"/>
            <w:hideMark/>
          </w:tcPr>
          <w:p w14:paraId="665A6808" w14:textId="77777777" w:rsidR="0057435D" w:rsidRPr="006C2585" w:rsidRDefault="0057435D">
            <w:pPr>
              <w:rPr>
                <w:rFonts w:cstheme="minorHAnsi"/>
                <w:color w:val="000000"/>
                <w:sz w:val="22"/>
                <w:szCs w:val="22"/>
              </w:rPr>
            </w:pPr>
            <w:r w:rsidRPr="006C2585">
              <w:rPr>
                <w:rFonts w:cstheme="minorHAnsi"/>
                <w:color w:val="000000"/>
                <w:sz w:val="22"/>
                <w:szCs w:val="22"/>
              </w:rPr>
              <w:t>Upper Rapidan River</w:t>
            </w:r>
          </w:p>
        </w:tc>
        <w:tc>
          <w:tcPr>
            <w:tcW w:w="1440" w:type="dxa"/>
            <w:shd w:val="clear" w:color="auto" w:fill="auto"/>
            <w:vAlign w:val="center"/>
            <w:hideMark/>
          </w:tcPr>
          <w:p w14:paraId="3555D652" w14:textId="77777777" w:rsidR="0057435D" w:rsidRPr="006C2585" w:rsidRDefault="0057435D">
            <w:pPr>
              <w:rPr>
                <w:rFonts w:cstheme="minorHAnsi"/>
                <w:color w:val="000000"/>
                <w:sz w:val="22"/>
                <w:szCs w:val="22"/>
              </w:rPr>
            </w:pPr>
            <w:r w:rsidRPr="006C2585">
              <w:rPr>
                <w:rFonts w:cstheme="minorHAnsi"/>
                <w:color w:val="000000"/>
                <w:sz w:val="22"/>
                <w:szCs w:val="22"/>
              </w:rPr>
              <w:t>VAN-E11R, E12R &amp; E13R</w:t>
            </w:r>
          </w:p>
        </w:tc>
        <w:tc>
          <w:tcPr>
            <w:tcW w:w="3690" w:type="dxa"/>
            <w:shd w:val="clear" w:color="auto" w:fill="auto"/>
            <w:vAlign w:val="center"/>
            <w:hideMark/>
          </w:tcPr>
          <w:p w14:paraId="390BD258"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2016-2024</w:t>
            </w:r>
          </w:p>
        </w:tc>
      </w:tr>
      <w:tr w:rsidR="0057435D" w:rsidRPr="00334520" w14:paraId="71FED924" w14:textId="77777777" w:rsidTr="002A7ED3">
        <w:trPr>
          <w:cantSplit/>
          <w:trHeight w:val="255"/>
        </w:trPr>
        <w:tc>
          <w:tcPr>
            <w:tcW w:w="4680" w:type="dxa"/>
            <w:shd w:val="clear" w:color="auto" w:fill="auto"/>
            <w:vAlign w:val="center"/>
            <w:hideMark/>
          </w:tcPr>
          <w:p w14:paraId="01BF2F98" w14:textId="77777777" w:rsidR="0057435D" w:rsidRPr="006C2585" w:rsidRDefault="0057435D">
            <w:pPr>
              <w:rPr>
                <w:rFonts w:cstheme="minorHAnsi"/>
                <w:color w:val="000000"/>
                <w:sz w:val="22"/>
                <w:szCs w:val="22"/>
              </w:rPr>
            </w:pPr>
            <w:r w:rsidRPr="006C2585">
              <w:rPr>
                <w:rFonts w:cstheme="minorHAnsi"/>
                <w:color w:val="000000"/>
                <w:sz w:val="22"/>
                <w:szCs w:val="22"/>
              </w:rPr>
              <w:t>Upper Roanoke River Part 1: Glade and Tinker Creeks</w:t>
            </w:r>
          </w:p>
        </w:tc>
        <w:tc>
          <w:tcPr>
            <w:tcW w:w="1440" w:type="dxa"/>
            <w:shd w:val="clear" w:color="auto" w:fill="auto"/>
            <w:vAlign w:val="center"/>
            <w:hideMark/>
          </w:tcPr>
          <w:p w14:paraId="1E918262" w14:textId="77777777" w:rsidR="0057435D" w:rsidRPr="006C2585" w:rsidRDefault="0057435D">
            <w:pPr>
              <w:rPr>
                <w:rFonts w:cstheme="minorHAnsi"/>
                <w:color w:val="000000"/>
                <w:sz w:val="22"/>
                <w:szCs w:val="22"/>
              </w:rPr>
            </w:pPr>
            <w:r w:rsidRPr="006C2585">
              <w:rPr>
                <w:rFonts w:cstheme="minorHAnsi"/>
                <w:color w:val="000000"/>
                <w:sz w:val="22"/>
                <w:szCs w:val="22"/>
              </w:rPr>
              <w:t>VAW-L04R</w:t>
            </w:r>
          </w:p>
        </w:tc>
        <w:tc>
          <w:tcPr>
            <w:tcW w:w="3690" w:type="dxa"/>
            <w:shd w:val="clear" w:color="auto" w:fill="auto"/>
            <w:vAlign w:val="center"/>
            <w:hideMark/>
          </w:tcPr>
          <w:p w14:paraId="4F43AADE"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2018-2024</w:t>
            </w:r>
          </w:p>
        </w:tc>
      </w:tr>
      <w:tr w:rsidR="0057435D" w:rsidRPr="00334520" w14:paraId="3A496D96" w14:textId="77777777" w:rsidTr="002A7ED3">
        <w:trPr>
          <w:cantSplit/>
          <w:trHeight w:val="255"/>
        </w:trPr>
        <w:tc>
          <w:tcPr>
            <w:tcW w:w="4680" w:type="dxa"/>
            <w:shd w:val="clear" w:color="auto" w:fill="auto"/>
            <w:vAlign w:val="center"/>
            <w:hideMark/>
          </w:tcPr>
          <w:p w14:paraId="58DD39C1" w14:textId="77777777" w:rsidR="0057435D" w:rsidRPr="006C2585" w:rsidRDefault="0057435D">
            <w:pPr>
              <w:rPr>
                <w:rFonts w:cstheme="minorHAnsi"/>
                <w:color w:val="000000"/>
                <w:sz w:val="22"/>
                <w:szCs w:val="22"/>
              </w:rPr>
            </w:pPr>
            <w:r w:rsidRPr="006C2585">
              <w:rPr>
                <w:rFonts w:cstheme="minorHAnsi"/>
                <w:color w:val="000000"/>
                <w:sz w:val="22"/>
                <w:szCs w:val="22"/>
              </w:rPr>
              <w:t xml:space="preserve">Upper Roanoke River Part 1: </w:t>
            </w:r>
            <w:proofErr w:type="spellStart"/>
            <w:r w:rsidRPr="006C2585">
              <w:rPr>
                <w:rFonts w:cstheme="minorHAnsi"/>
                <w:color w:val="000000"/>
                <w:sz w:val="22"/>
                <w:szCs w:val="22"/>
              </w:rPr>
              <w:t>Mudlick</w:t>
            </w:r>
            <w:proofErr w:type="spellEnd"/>
            <w:r w:rsidRPr="006C2585">
              <w:rPr>
                <w:rFonts w:cstheme="minorHAnsi"/>
                <w:color w:val="000000"/>
                <w:sz w:val="22"/>
                <w:szCs w:val="22"/>
              </w:rPr>
              <w:t xml:space="preserve"> and Glade</w:t>
            </w:r>
          </w:p>
        </w:tc>
        <w:tc>
          <w:tcPr>
            <w:tcW w:w="1440" w:type="dxa"/>
            <w:shd w:val="clear" w:color="auto" w:fill="auto"/>
            <w:vAlign w:val="center"/>
            <w:hideMark/>
          </w:tcPr>
          <w:p w14:paraId="39FD8EBC" w14:textId="77777777" w:rsidR="0057435D" w:rsidRPr="006C2585" w:rsidRDefault="0057435D">
            <w:pPr>
              <w:rPr>
                <w:rFonts w:cstheme="minorHAnsi"/>
                <w:color w:val="000000"/>
                <w:sz w:val="22"/>
                <w:szCs w:val="22"/>
              </w:rPr>
            </w:pPr>
            <w:r w:rsidRPr="006C2585">
              <w:rPr>
                <w:rFonts w:cstheme="minorHAnsi"/>
                <w:color w:val="000000"/>
                <w:sz w:val="22"/>
                <w:szCs w:val="22"/>
              </w:rPr>
              <w:t>VAW-L04R</w:t>
            </w:r>
          </w:p>
        </w:tc>
        <w:tc>
          <w:tcPr>
            <w:tcW w:w="3690" w:type="dxa"/>
            <w:shd w:val="clear" w:color="auto" w:fill="auto"/>
            <w:vAlign w:val="center"/>
            <w:hideMark/>
          </w:tcPr>
          <w:p w14:paraId="4F59922B" w14:textId="77777777" w:rsidR="0057435D" w:rsidRPr="006C2585" w:rsidRDefault="0057435D">
            <w:pPr>
              <w:rPr>
                <w:rFonts w:cstheme="minorHAnsi"/>
                <w:color w:val="000000"/>
                <w:sz w:val="22"/>
                <w:szCs w:val="22"/>
              </w:rPr>
            </w:pPr>
            <w:r w:rsidRPr="006C2585">
              <w:rPr>
                <w:rFonts w:cstheme="minorHAnsi"/>
                <w:color w:val="000000"/>
                <w:sz w:val="22"/>
                <w:szCs w:val="22"/>
              </w:rPr>
              <w:t>CWA Section 319(h): 2018-2024</w:t>
            </w:r>
          </w:p>
        </w:tc>
      </w:tr>
      <w:tr w:rsidR="0057435D" w:rsidRPr="00334520" w14:paraId="07A472DB" w14:textId="77777777" w:rsidTr="002A7ED3">
        <w:trPr>
          <w:cantSplit/>
          <w:trHeight w:val="255"/>
        </w:trPr>
        <w:tc>
          <w:tcPr>
            <w:tcW w:w="4680" w:type="dxa"/>
            <w:shd w:val="clear" w:color="auto" w:fill="auto"/>
            <w:vAlign w:val="center"/>
            <w:hideMark/>
          </w:tcPr>
          <w:p w14:paraId="2DFDF7E6" w14:textId="77777777" w:rsidR="0057435D" w:rsidRPr="006C2585" w:rsidRDefault="0057435D">
            <w:pPr>
              <w:rPr>
                <w:rFonts w:cstheme="minorHAnsi"/>
                <w:color w:val="000000"/>
                <w:sz w:val="22"/>
                <w:szCs w:val="22"/>
              </w:rPr>
            </w:pPr>
            <w:r w:rsidRPr="006C2585">
              <w:rPr>
                <w:rFonts w:cstheme="minorHAnsi"/>
                <w:color w:val="000000"/>
                <w:sz w:val="22"/>
                <w:szCs w:val="22"/>
              </w:rPr>
              <w:t>Upper York River (Orange and Louisa Counties)</w:t>
            </w:r>
          </w:p>
        </w:tc>
        <w:tc>
          <w:tcPr>
            <w:tcW w:w="1440" w:type="dxa"/>
            <w:shd w:val="clear" w:color="auto" w:fill="auto"/>
            <w:vAlign w:val="center"/>
            <w:hideMark/>
          </w:tcPr>
          <w:p w14:paraId="031BF552" w14:textId="77777777" w:rsidR="0057435D" w:rsidRPr="006C2585" w:rsidRDefault="0057435D">
            <w:pPr>
              <w:rPr>
                <w:rFonts w:cstheme="minorHAnsi"/>
                <w:color w:val="000000"/>
                <w:sz w:val="22"/>
                <w:szCs w:val="22"/>
              </w:rPr>
            </w:pPr>
            <w:r w:rsidRPr="006C2585">
              <w:rPr>
                <w:rFonts w:cstheme="minorHAnsi"/>
                <w:color w:val="000000"/>
                <w:sz w:val="22"/>
                <w:szCs w:val="22"/>
              </w:rPr>
              <w:t>VAN-F06R, F07R</w:t>
            </w:r>
          </w:p>
        </w:tc>
        <w:tc>
          <w:tcPr>
            <w:tcW w:w="3690" w:type="dxa"/>
            <w:shd w:val="clear" w:color="auto" w:fill="auto"/>
            <w:vAlign w:val="center"/>
            <w:hideMark/>
          </w:tcPr>
          <w:p w14:paraId="629EF832" w14:textId="73E055CB" w:rsidR="0057435D" w:rsidRPr="006C2585" w:rsidRDefault="0057435D">
            <w:pPr>
              <w:rPr>
                <w:rFonts w:cstheme="minorHAnsi"/>
                <w:color w:val="000000"/>
                <w:sz w:val="22"/>
                <w:szCs w:val="22"/>
              </w:rPr>
            </w:pPr>
            <w:r w:rsidRPr="006C2585">
              <w:rPr>
                <w:rFonts w:cstheme="minorHAnsi"/>
                <w:color w:val="000000"/>
                <w:sz w:val="22"/>
                <w:szCs w:val="22"/>
              </w:rPr>
              <w:t>CWA Section 319(h): 2012-</w:t>
            </w:r>
            <w:r w:rsidR="002A7ED3" w:rsidRPr="006C2585">
              <w:rPr>
                <w:rFonts w:cstheme="minorHAnsi"/>
                <w:color w:val="000000"/>
                <w:sz w:val="22"/>
                <w:szCs w:val="22"/>
              </w:rPr>
              <w:t>2023, VNRCF</w:t>
            </w:r>
            <w:r w:rsidRPr="006C2585">
              <w:rPr>
                <w:rFonts w:cstheme="minorHAnsi"/>
                <w:color w:val="000000"/>
                <w:sz w:val="22"/>
                <w:szCs w:val="22"/>
              </w:rPr>
              <w:t>: 2012-2015:</w:t>
            </w:r>
          </w:p>
        </w:tc>
      </w:tr>
    </w:tbl>
    <w:p w14:paraId="75A64D79" w14:textId="77777777" w:rsidR="008A3973" w:rsidRPr="008A3973" w:rsidRDefault="008A3973" w:rsidP="008A3973"/>
    <w:p w14:paraId="4AD6FA20" w14:textId="1B600510" w:rsidR="0057435D" w:rsidRPr="00593B59" w:rsidRDefault="0057435D" w:rsidP="0057435D">
      <w:pPr>
        <w:pStyle w:val="Heading3"/>
      </w:pPr>
      <w:r w:rsidRPr="7D1B9DC1">
        <w:t>No-Discharge Zones</w:t>
      </w:r>
    </w:p>
    <w:p w14:paraId="34466ACD" w14:textId="081D0D8C" w:rsidR="0057435D" w:rsidRPr="0081489E" w:rsidRDefault="0057435D" w:rsidP="0A5BE548">
      <w:pPr>
        <w:rPr>
          <w:rFonts w:cstheme="minorBidi"/>
          <w:color w:val="000000" w:themeColor="text1"/>
        </w:rPr>
      </w:pPr>
      <w:hyperlink r:id="rId234">
        <w:r w:rsidRPr="0A5BE548">
          <w:rPr>
            <w:rStyle w:val="Hyperlink"/>
            <w:rFonts w:cstheme="minorBidi"/>
            <w:color w:val="000000" w:themeColor="text1"/>
          </w:rPr>
          <w:t>No Discharge Zones (NDZs)</w:t>
        </w:r>
      </w:hyperlink>
      <w:r w:rsidRPr="0A5BE548">
        <w:rPr>
          <w:rFonts w:cstheme="minorBidi"/>
          <w:color w:val="000000" w:themeColor="text1"/>
        </w:rPr>
        <w:t xml:space="preserve"> are another implementation tool for addressing bacterial contamination and nutrient loads, particularly in the Chesapeake Bay and the tidal tributaries of the Bay and the Atlantic Ocean. Under the Clean Water Act, discharge of </w:t>
      </w:r>
      <w:r w:rsidRPr="0A5BE548">
        <w:rPr>
          <w:rFonts w:cstheme="minorBidi"/>
          <w:color w:val="000000" w:themeColor="text1"/>
          <w:u w:val="single"/>
        </w:rPr>
        <w:t>untreated</w:t>
      </w:r>
      <w:r w:rsidRPr="0A5BE548">
        <w:rPr>
          <w:rFonts w:cstheme="minorBidi"/>
          <w:color w:val="000000" w:themeColor="text1"/>
        </w:rPr>
        <w:t xml:space="preserve"> sewage is illegal. NDZs are federally designated areas where this prohibition is extended to the discharge of </w:t>
      </w:r>
      <w:r w:rsidRPr="0A5BE548">
        <w:rPr>
          <w:rFonts w:cstheme="minorBidi"/>
          <w:color w:val="000000" w:themeColor="text1"/>
          <w:u w:val="single"/>
        </w:rPr>
        <w:t>treated</w:t>
      </w:r>
      <w:r w:rsidRPr="0A5BE548">
        <w:rPr>
          <w:rFonts w:cstheme="minorBidi"/>
          <w:color w:val="000000" w:themeColor="text1"/>
        </w:rPr>
        <w:t xml:space="preserve"> vessel sewage. There are three mechanisms by which States may seek this designation as provided in 33 U.S.C. 1322(f)(3), 33 U.S.C. 1322(f)(4)(a), and 33 U.S.C. 1322(f)(4)(b). The most used mechanism is 33 U.S.C. 1322(f)(3), under which a state must demonstrate to EPA that adequate local vessel sewage disposal alternatives (such as marina-based pump-outs) are reasonably </w:t>
      </w:r>
      <w:r w:rsidR="7D95BBBA" w:rsidRPr="0A5BE548">
        <w:rPr>
          <w:rFonts w:cstheme="minorBidi"/>
          <w:color w:val="000000" w:themeColor="text1"/>
        </w:rPr>
        <w:t>available,</w:t>
      </w:r>
      <w:r w:rsidRPr="0A5BE548">
        <w:rPr>
          <w:rFonts w:cstheme="minorBidi"/>
          <w:color w:val="000000" w:themeColor="text1"/>
        </w:rPr>
        <w:t xml:space="preserve"> and that the designation protects natural resources. In Virginia, DEQ is the coordinating agency for the preparation of NDZ applications and their submittal to EPA.</w:t>
      </w:r>
    </w:p>
    <w:p w14:paraId="0C7C17C3" w14:textId="00484BC1" w:rsidR="0057435D" w:rsidRPr="0081489E" w:rsidRDefault="0057435D" w:rsidP="0057435D">
      <w:pPr>
        <w:rPr>
          <w:rFonts w:cstheme="minorHAnsi"/>
          <w:color w:val="000000" w:themeColor="text1"/>
          <w:szCs w:val="24"/>
        </w:rPr>
      </w:pPr>
    </w:p>
    <w:p w14:paraId="0FA84CCA" w14:textId="3FCA3600" w:rsidR="0057435D" w:rsidRPr="0081489E" w:rsidRDefault="0057435D" w:rsidP="0057435D">
      <w:pPr>
        <w:rPr>
          <w:rFonts w:cstheme="minorHAnsi"/>
          <w:color w:val="000000" w:themeColor="text1"/>
          <w:szCs w:val="24"/>
        </w:rPr>
      </w:pPr>
      <w:r w:rsidRPr="0081489E">
        <w:rPr>
          <w:rFonts w:cstheme="minorHAnsi"/>
          <w:color w:val="000000" w:themeColor="text1"/>
          <w:szCs w:val="24"/>
        </w:rPr>
        <w:t>The Code of Virginia (</w:t>
      </w:r>
      <w:hyperlink r:id="rId235">
        <w:r w:rsidRPr="0081489E">
          <w:rPr>
            <w:rStyle w:val="Hyperlink"/>
            <w:rFonts w:cstheme="minorHAnsi"/>
            <w:color w:val="000000" w:themeColor="text1"/>
            <w:szCs w:val="24"/>
          </w:rPr>
          <w:t>§ 62.1-44.33</w:t>
        </w:r>
      </w:hyperlink>
      <w:r w:rsidRPr="0081489E">
        <w:rPr>
          <w:rFonts w:cstheme="minorHAnsi"/>
          <w:color w:val="000000" w:themeColor="text1"/>
          <w:szCs w:val="24"/>
        </w:rPr>
        <w:t xml:space="preserve">) establishes all tidal creeks of the </w:t>
      </w:r>
      <w:r>
        <w:rPr>
          <w:rFonts w:cstheme="minorHAnsi"/>
          <w:color w:val="000000" w:themeColor="text1"/>
          <w:szCs w:val="24"/>
        </w:rPr>
        <w:t>C</w:t>
      </w:r>
      <w:r w:rsidRPr="0081489E">
        <w:rPr>
          <w:rFonts w:cstheme="minorHAnsi"/>
          <w:color w:val="000000" w:themeColor="text1"/>
          <w:szCs w:val="24"/>
        </w:rPr>
        <w:t xml:space="preserve">ommonwealth as NDZs where vessels may be prohibited from discharging treated or untreated waste into Virginia’s waters. The </w:t>
      </w:r>
      <w:proofErr w:type="gramStart"/>
      <w:r w:rsidRPr="0081489E">
        <w:rPr>
          <w:rFonts w:cstheme="minorHAnsi"/>
          <w:color w:val="000000" w:themeColor="text1"/>
          <w:szCs w:val="24"/>
        </w:rPr>
        <w:t>Code further</w:t>
      </w:r>
      <w:proofErr w:type="gramEnd"/>
      <w:r w:rsidRPr="0081489E">
        <w:rPr>
          <w:rFonts w:cstheme="minorHAnsi"/>
          <w:color w:val="000000" w:themeColor="text1"/>
          <w:szCs w:val="24"/>
        </w:rPr>
        <w:t xml:space="preserve"> states that the establishment of an NDZ is to be premised on the improvement of impaired tidal creeks. Additionally, the Phase III Chesapeake Bay Watershed Implementation Plan Initiative #10 calls for V</w:t>
      </w:r>
      <w:r w:rsidR="00384B3B">
        <w:rPr>
          <w:rFonts w:cstheme="minorHAnsi"/>
          <w:color w:val="000000" w:themeColor="text1"/>
          <w:szCs w:val="24"/>
        </w:rPr>
        <w:t>irginia</w:t>
      </w:r>
      <w:r w:rsidRPr="0081489E">
        <w:rPr>
          <w:rFonts w:cstheme="minorHAnsi"/>
          <w:color w:val="000000" w:themeColor="text1"/>
          <w:szCs w:val="24"/>
        </w:rPr>
        <w:t xml:space="preserve"> to consider establishing additional NDZs in all or portions of the Chesapeake Bay and its tidal tributaries. NDZ applications may be initiated by individuals, organizations, state, or local governments. The application process includes coordination with other state agencies, analyses to estimate peak-season vessel traffic for the area under evaluation, and an assessment of the existence and adequacy of all available vessel sewage disposal alternatives. The process also includes intensive public outreach to seek input and to solicit and strengthen local support to elevate awareness of the importance of controlling bacteria and nutrient sources. Once established, the designation is indicated by prominent signage and will be included in nautical navigation charts.</w:t>
      </w:r>
    </w:p>
    <w:p w14:paraId="469696A8" w14:textId="77777777" w:rsidR="0057435D" w:rsidRPr="0081489E" w:rsidRDefault="0057435D" w:rsidP="0057435D">
      <w:pPr>
        <w:rPr>
          <w:rFonts w:cstheme="minorHAnsi"/>
          <w:b/>
          <w:bCs/>
          <w:color w:val="000000" w:themeColor="text1"/>
          <w:szCs w:val="24"/>
        </w:rPr>
      </w:pPr>
    </w:p>
    <w:p w14:paraId="1A1E8A7E" w14:textId="708EDA17" w:rsidR="0057435D" w:rsidRDefault="0057435D" w:rsidP="0057435D">
      <w:pPr>
        <w:rPr>
          <w:rFonts w:ascii="Open Sans" w:eastAsia="Open Sans" w:hAnsi="Open Sans" w:cs="Open Sans"/>
          <w:b/>
          <w:bCs/>
          <w:sz w:val="26"/>
          <w:szCs w:val="26"/>
        </w:rPr>
      </w:pPr>
      <w:r w:rsidRPr="0081489E">
        <w:rPr>
          <w:rFonts w:cstheme="minorHAnsi"/>
          <w:color w:val="000000" w:themeColor="text1"/>
          <w:szCs w:val="24"/>
        </w:rPr>
        <w:t>Currently, No Discharge Zones have been established in Smith Mountain Lake (Bedford, Franklin, Pittsylvania Counties), Lynnhaven River (City of Virginia Beach), Broad and Jackson Creeks and Fishing Bay (Middlesex County).</w:t>
      </w:r>
    </w:p>
    <w:p w14:paraId="20B3C6FD" w14:textId="77777777" w:rsidR="0057435D" w:rsidRPr="00334520" w:rsidRDefault="0057435D" w:rsidP="0057435D">
      <w:pPr>
        <w:rPr>
          <w:rFonts w:cstheme="minorHAnsi"/>
        </w:rPr>
      </w:pPr>
    </w:p>
    <w:p w14:paraId="2BE588C4" w14:textId="77777777" w:rsidR="0057435D" w:rsidRPr="00334520" w:rsidRDefault="0057435D" w:rsidP="0057435D">
      <w:pPr>
        <w:pStyle w:val="Heading3"/>
      </w:pPr>
      <w:r>
        <w:t>Water Quality</w:t>
      </w:r>
      <w:r w:rsidRPr="00334520">
        <w:t xml:space="preserve"> Success Stories</w:t>
      </w:r>
    </w:p>
    <w:p w14:paraId="7A2C872A" w14:textId="77777777" w:rsidR="003700BD" w:rsidRPr="00334520" w:rsidRDefault="003700BD" w:rsidP="003700BD">
      <w:pPr>
        <w:rPr>
          <w:rFonts w:cstheme="minorHAnsi"/>
        </w:rPr>
      </w:pPr>
      <w:r w:rsidRPr="00334520">
        <w:rPr>
          <w:rFonts w:cstheme="minorHAnsi"/>
        </w:rPr>
        <w:t xml:space="preserve">To measure NPS pollution management success, DEQ tracks BMP installations </w:t>
      </w:r>
      <w:r>
        <w:rPr>
          <w:rFonts w:cstheme="minorHAnsi"/>
        </w:rPr>
        <w:t xml:space="preserve">and actions, </w:t>
      </w:r>
      <w:r w:rsidRPr="00334520">
        <w:rPr>
          <w:rFonts w:cstheme="minorHAnsi"/>
        </w:rPr>
        <w:t xml:space="preserve">and monitors water quality improvements related to NPS implementation. In addition, implementation of the Chesapeake Bay Phase III Watershed Implementation Plan (WIP) is a key element of Virginia’s overall NPS Management Program and guides many of the NPS management activities. </w:t>
      </w:r>
    </w:p>
    <w:p w14:paraId="194A526B" w14:textId="77777777" w:rsidR="003700BD" w:rsidRPr="00334520" w:rsidRDefault="003700BD" w:rsidP="003700BD">
      <w:pPr>
        <w:rPr>
          <w:rFonts w:cstheme="minorHAnsi"/>
        </w:rPr>
      </w:pPr>
    </w:p>
    <w:p w14:paraId="19B85571" w14:textId="64E05A3C" w:rsidR="0057435D" w:rsidRPr="00334520" w:rsidRDefault="003700BD" w:rsidP="003700BD">
      <w:pPr>
        <w:rPr>
          <w:rFonts w:cstheme="minorHAnsi"/>
        </w:rPr>
      </w:pPr>
      <w:r w:rsidRPr="00334520">
        <w:rPr>
          <w:rFonts w:cstheme="minorHAnsi"/>
          <w:szCs w:val="24"/>
        </w:rPr>
        <w:t xml:space="preserve">Since 2002, Virginia’s Nonpoint Source Management Program and its partners have written </w:t>
      </w:r>
      <w:r>
        <w:rPr>
          <w:rFonts w:cstheme="minorHAnsi"/>
          <w:szCs w:val="24"/>
        </w:rPr>
        <w:t>NPS S</w:t>
      </w:r>
      <w:r w:rsidRPr="00334520">
        <w:rPr>
          <w:rFonts w:cstheme="minorHAnsi"/>
          <w:szCs w:val="24"/>
        </w:rPr>
        <w:t xml:space="preserve">uccess </w:t>
      </w:r>
      <w:r>
        <w:rPr>
          <w:rFonts w:cstheme="minorHAnsi"/>
          <w:szCs w:val="24"/>
        </w:rPr>
        <w:t>S</w:t>
      </w:r>
      <w:r w:rsidRPr="00334520">
        <w:rPr>
          <w:rFonts w:cstheme="minorHAnsi"/>
          <w:szCs w:val="24"/>
        </w:rPr>
        <w:t xml:space="preserve">tories </w:t>
      </w:r>
      <w:r>
        <w:rPr>
          <w:rFonts w:cstheme="minorHAnsi"/>
          <w:szCs w:val="24"/>
        </w:rPr>
        <w:t>to document</w:t>
      </w:r>
      <w:r w:rsidRPr="00334520">
        <w:rPr>
          <w:rFonts w:cstheme="minorHAnsi"/>
          <w:szCs w:val="24"/>
        </w:rPr>
        <w:t xml:space="preserve"> delisting and/or water quality improvement of impaired stream segments. These stories are classified into two types: Type 1 stories are related to partial or full restoration (delisting of impairments), Type 2 indicates significant water quality improvement. Figure </w:t>
      </w:r>
      <w:r w:rsidR="00B25C09">
        <w:rPr>
          <w:rFonts w:cstheme="minorHAnsi"/>
          <w:szCs w:val="24"/>
        </w:rPr>
        <w:t>6.3-2</w:t>
      </w:r>
      <w:r w:rsidRPr="00334520">
        <w:rPr>
          <w:rFonts w:cstheme="minorHAnsi"/>
          <w:szCs w:val="24"/>
        </w:rPr>
        <w:t xml:space="preserve"> shows spatially where success stories have been </w:t>
      </w:r>
      <w:proofErr w:type="gramStart"/>
      <w:r w:rsidRPr="00334520">
        <w:rPr>
          <w:rFonts w:cstheme="minorHAnsi"/>
          <w:szCs w:val="24"/>
        </w:rPr>
        <w:t>completed</w:t>
      </w:r>
      <w:proofErr w:type="gramEnd"/>
      <w:r w:rsidRPr="00334520">
        <w:rPr>
          <w:rFonts w:cstheme="minorHAnsi"/>
          <w:szCs w:val="24"/>
        </w:rPr>
        <w:t xml:space="preserve"> and Table </w:t>
      </w:r>
      <w:r w:rsidR="004E7DB5">
        <w:rPr>
          <w:rFonts w:cstheme="minorHAnsi"/>
          <w:szCs w:val="24"/>
        </w:rPr>
        <w:t>6.3</w:t>
      </w:r>
      <w:r>
        <w:rPr>
          <w:rFonts w:cstheme="minorHAnsi"/>
          <w:szCs w:val="24"/>
        </w:rPr>
        <w:t>-</w:t>
      </w:r>
      <w:r w:rsidR="004E7DB5">
        <w:rPr>
          <w:rFonts w:cstheme="minorHAnsi"/>
          <w:szCs w:val="24"/>
        </w:rPr>
        <w:t>2</w:t>
      </w:r>
      <w:r w:rsidRPr="00334520">
        <w:rPr>
          <w:rFonts w:cstheme="minorHAnsi"/>
          <w:szCs w:val="24"/>
        </w:rPr>
        <w:t xml:space="preserve"> lists all success stories completed up to 2022. </w:t>
      </w:r>
      <w:r w:rsidR="0057435D" w:rsidRPr="00334520">
        <w:rPr>
          <w:rFonts w:cstheme="minorHAnsi"/>
          <w:szCs w:val="24"/>
        </w:rPr>
        <w:t xml:space="preserve">For more information on Virginia’s NPS Success Stories, visit </w:t>
      </w:r>
      <w:proofErr w:type="gramStart"/>
      <w:r w:rsidR="00F07D2E">
        <w:rPr>
          <w:rFonts w:cstheme="minorHAnsi"/>
          <w:szCs w:val="24"/>
        </w:rPr>
        <w:t>DEQ</w:t>
      </w:r>
      <w:proofErr w:type="gramEnd"/>
      <w:r w:rsidR="00F07D2E">
        <w:rPr>
          <w:rFonts w:cstheme="minorHAnsi"/>
          <w:szCs w:val="24"/>
        </w:rPr>
        <w:t xml:space="preserve"> Water Quality Success Stories webpage</w:t>
      </w:r>
      <w:r w:rsidR="0057435D" w:rsidRPr="00334520">
        <w:rPr>
          <w:rFonts w:cstheme="minorHAnsi"/>
          <w:szCs w:val="24"/>
        </w:rPr>
        <w:t>.</w:t>
      </w:r>
    </w:p>
    <w:p w14:paraId="4FB27D9B" w14:textId="77777777" w:rsidR="0057435D" w:rsidRPr="00334520" w:rsidRDefault="0057435D" w:rsidP="0057435D">
      <w:pPr>
        <w:rPr>
          <w:rFonts w:cstheme="minorHAnsi"/>
          <w:highlight w:val="yellow"/>
        </w:rPr>
      </w:pPr>
    </w:p>
    <w:p w14:paraId="0D898DEF" w14:textId="77777777" w:rsidR="0057435D" w:rsidRDefault="0057435D" w:rsidP="0057435D">
      <w:pPr>
        <w:keepNext/>
      </w:pPr>
      <w:r w:rsidRPr="00334520">
        <w:rPr>
          <w:rFonts w:cstheme="minorHAnsi"/>
          <w:noProof/>
        </w:rPr>
        <w:lastRenderedPageBreak/>
        <w:drawing>
          <wp:inline distT="0" distB="0" distL="0" distR="0" wp14:anchorId="44AF2B79" wp14:editId="20192587">
            <wp:extent cx="5943600" cy="4592954"/>
            <wp:effectExtent l="0" t="0" r="0" b="0"/>
            <wp:docPr id="2056388950" name="Picture 2056388950" descr="Map of Virginia&#10;&#10;TMDL implementation watersheds active as of June 30,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346619" name="Picture 1837346619" descr="Map of Virginia&#10;&#10;TMDL implementation watersheds active as of June 30, 2022."/>
                    <pic:cNvPicPr/>
                  </pic:nvPicPr>
                  <pic:blipFill>
                    <a:blip r:embed="rId236" cstate="print">
                      <a:extLst>
                        <a:ext uri="{28A0092B-C50C-407E-A947-70E740481C1C}">
                          <a14:useLocalDpi xmlns:a14="http://schemas.microsoft.com/office/drawing/2010/main"/>
                        </a:ext>
                      </a:extLst>
                    </a:blip>
                    <a:stretch>
                      <a:fillRect/>
                    </a:stretch>
                  </pic:blipFill>
                  <pic:spPr>
                    <a:xfrm>
                      <a:off x="0" y="0"/>
                      <a:ext cx="5943600" cy="4592954"/>
                    </a:xfrm>
                    <a:prstGeom prst="rect">
                      <a:avLst/>
                    </a:prstGeom>
                  </pic:spPr>
                </pic:pic>
              </a:graphicData>
            </a:graphic>
          </wp:inline>
        </w:drawing>
      </w:r>
    </w:p>
    <w:p w14:paraId="7116CF81" w14:textId="6E786619" w:rsidR="0057435D" w:rsidRPr="00391B5B" w:rsidRDefault="0057435D" w:rsidP="0057435D">
      <w:pPr>
        <w:pStyle w:val="Caption"/>
      </w:pPr>
      <w:bookmarkStart w:id="416" w:name="_Toc164175142"/>
      <w:r>
        <w:t xml:space="preserve">Figure </w:t>
      </w:r>
      <w:r w:rsidR="004F13BA">
        <w:fldChar w:fldCharType="begin"/>
      </w:r>
      <w:r w:rsidR="004F13BA">
        <w:instrText xml:space="preserve"> STYLEREF 2 \s </w:instrText>
      </w:r>
      <w:r w:rsidR="004F13BA">
        <w:fldChar w:fldCharType="separate"/>
      </w:r>
      <w:r w:rsidR="00E429BB">
        <w:rPr>
          <w:noProof/>
        </w:rPr>
        <w:t>6.3</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w:t>
      </w:r>
      <w:r w:rsidR="004F13BA">
        <w:rPr>
          <w:noProof/>
        </w:rPr>
        <w:fldChar w:fldCharType="end"/>
      </w:r>
      <w:r>
        <w:t xml:space="preserve">. </w:t>
      </w:r>
      <w:r w:rsidRPr="00C77542">
        <w:t>TMDL implementation watersheds active as of June 30, 2022</w:t>
      </w:r>
      <w:r>
        <w:t>.</w:t>
      </w:r>
      <w:bookmarkEnd w:id="416"/>
    </w:p>
    <w:p w14:paraId="13238539" w14:textId="3351A04A" w:rsidR="002A7ED3" w:rsidRDefault="002A7ED3">
      <w:pPr>
        <w:widowControl/>
        <w:spacing w:after="160" w:line="259" w:lineRule="auto"/>
      </w:pPr>
      <w:r>
        <w:br w:type="page"/>
      </w:r>
    </w:p>
    <w:p w14:paraId="4AE72B69" w14:textId="34B4A942" w:rsidR="00756FA0" w:rsidRPr="00D237D4" w:rsidRDefault="0057435D" w:rsidP="00756FA0">
      <w:pPr>
        <w:pStyle w:val="Caption"/>
        <w:keepNext/>
      </w:pPr>
      <w:bookmarkStart w:id="417" w:name="_Toc164175243"/>
      <w:r>
        <w:lastRenderedPageBreak/>
        <w:t xml:space="preserve">Table </w:t>
      </w:r>
      <w:r w:rsidR="004F13BA">
        <w:fldChar w:fldCharType="begin"/>
      </w:r>
      <w:r w:rsidR="004F13BA">
        <w:instrText xml:space="preserve"> STYLEREF 2 \s </w:instrText>
      </w:r>
      <w:r w:rsidR="004F13BA">
        <w:fldChar w:fldCharType="separate"/>
      </w:r>
      <w:r w:rsidR="00CD06AE">
        <w:rPr>
          <w:noProof/>
        </w:rPr>
        <w:t>6.3</w:t>
      </w:r>
      <w:r w:rsidR="004F13BA">
        <w:rPr>
          <w:noProof/>
        </w:rPr>
        <w:fldChar w:fldCharType="end"/>
      </w:r>
      <w:r w:rsidR="00CD06AE">
        <w:noBreakHyphen/>
      </w:r>
      <w:r w:rsidR="004F13BA">
        <w:fldChar w:fldCharType="begin"/>
      </w:r>
      <w:r w:rsidR="004F13BA">
        <w:instrText xml:space="preserve"> SEQ Table \* ARABIC \s 2 </w:instrText>
      </w:r>
      <w:r w:rsidR="004F13BA">
        <w:fldChar w:fldCharType="separate"/>
      </w:r>
      <w:r w:rsidR="00CD06AE">
        <w:rPr>
          <w:noProof/>
        </w:rPr>
        <w:t>2</w:t>
      </w:r>
      <w:r w:rsidR="004F13BA">
        <w:rPr>
          <w:noProof/>
        </w:rPr>
        <w:fldChar w:fldCharType="end"/>
      </w:r>
      <w:r>
        <w:t xml:space="preserve">. Section 319(h) </w:t>
      </w:r>
      <w:r w:rsidR="004E78BC">
        <w:t>n</w:t>
      </w:r>
      <w:r>
        <w:t xml:space="preserve">onpoint </w:t>
      </w:r>
      <w:r w:rsidR="004E78BC">
        <w:t>s</w:t>
      </w:r>
      <w:r>
        <w:t xml:space="preserve">ource </w:t>
      </w:r>
      <w:r w:rsidR="004E78BC">
        <w:t>s</w:t>
      </w:r>
      <w:r>
        <w:t xml:space="preserve">uccess </w:t>
      </w:r>
      <w:r w:rsidR="004E78BC">
        <w:t>s</w:t>
      </w:r>
      <w:r>
        <w:t xml:space="preserve">tories </w:t>
      </w:r>
      <w:r w:rsidR="004E78BC">
        <w:t>t</w:t>
      </w:r>
      <w:r>
        <w:t>hrough 2022</w:t>
      </w:r>
      <w:bookmarkEnd w:id="417"/>
      <w:r>
        <w:t xml:space="preserve"> quantified as the number of segments delisted or with improved water quality, arranged in chronological order. 1 = Submitted to EPA in 2020 and approved and published by EPA in 2021, 2</w:t>
      </w:r>
      <w:r w:rsidR="006C43CF">
        <w:t xml:space="preserve"> </w:t>
      </w:r>
      <w:r>
        <w:t xml:space="preserve">= </w:t>
      </w:r>
      <w:r w:rsidR="006C43CF">
        <w:t>s</w:t>
      </w:r>
      <w:r>
        <w:t>ubmitted to EPA in 2020 and under review by EPA, TMDL-Imp represents TMDL implementation.</w:t>
      </w:r>
    </w:p>
    <w:tbl>
      <w:tblPr>
        <w:tblW w:w="9828" w:type="dxa"/>
        <w:shd w:val="clear" w:color="auto" w:fill="FFFFFF"/>
        <w:tblLook w:val="04A0" w:firstRow="1" w:lastRow="0" w:firstColumn="1" w:lastColumn="0" w:noHBand="0" w:noVBand="1"/>
        <w:tblCaption w:val="Table of Section 319(h) Nonpoint Source Success Stories Through 2022 quantified as the number of segments delisted or with improved water quality, arranged in chronological order. 1 = Submitted to EPA in 2020 and approved and published by EPA in 2021, 2= Submitted to EPA in 2020 and under review by EPA, TMDL-Imp represents TMDL implementation."/>
        <w:tblDescription w:val="Section 319(h) Nonpoint Source Success Stories Through 2022 quantified as the number of segments delisted or with improved water quality, arranged in chronological order. 1 = Submitted to EPA in 2020 and approved and published by EPA in 2021, 2= Submitted to EPA in 2020 and under review by EPA, TMDL-Imp represents TMDL implementation."/>
      </w:tblPr>
      <w:tblGrid>
        <w:gridCol w:w="779"/>
        <w:gridCol w:w="1188"/>
        <w:gridCol w:w="4701"/>
        <w:gridCol w:w="1512"/>
        <w:gridCol w:w="1648"/>
      </w:tblGrid>
      <w:tr w:rsidR="0057435D" w:rsidRPr="00334520" w14:paraId="3265D27A" w14:textId="77777777">
        <w:trPr>
          <w:trHeight w:val="610"/>
        </w:trPr>
        <w:tc>
          <w:tcPr>
            <w:tcW w:w="779" w:type="dxa"/>
            <w:tcBorders>
              <w:top w:val="single" w:sz="12" w:space="0" w:color="auto"/>
              <w:bottom w:val="single" w:sz="4" w:space="0" w:color="auto"/>
            </w:tcBorders>
            <w:shd w:val="clear" w:color="auto" w:fill="FFFFFF" w:themeFill="background1"/>
            <w:vAlign w:val="center"/>
            <w:hideMark/>
          </w:tcPr>
          <w:p w14:paraId="2179300A" w14:textId="77777777" w:rsidR="0057435D" w:rsidRPr="00750434" w:rsidRDefault="0057435D">
            <w:pPr>
              <w:jc w:val="center"/>
              <w:rPr>
                <w:rFonts w:cstheme="minorHAnsi"/>
                <w:sz w:val="22"/>
                <w:szCs w:val="22"/>
              </w:rPr>
            </w:pPr>
            <w:r w:rsidRPr="00750434">
              <w:rPr>
                <w:rStyle w:val="contentpasted0"/>
                <w:rFonts w:cstheme="minorHAnsi"/>
                <w:b/>
                <w:bCs/>
                <w:color w:val="000000"/>
                <w:sz w:val="22"/>
                <w:szCs w:val="22"/>
                <w:bdr w:val="none" w:sz="0" w:space="0" w:color="auto" w:frame="1"/>
              </w:rPr>
              <w:t>Type</w:t>
            </w:r>
            <w:r w:rsidRPr="00750434">
              <w:rPr>
                <w:rFonts w:cstheme="minorHAnsi"/>
                <w:color w:val="242424"/>
                <w:sz w:val="22"/>
                <w:szCs w:val="22"/>
              </w:rPr>
              <w:t> </w:t>
            </w:r>
          </w:p>
        </w:tc>
        <w:tc>
          <w:tcPr>
            <w:tcW w:w="1188" w:type="dxa"/>
            <w:tcBorders>
              <w:top w:val="single" w:sz="12" w:space="0" w:color="auto"/>
              <w:bottom w:val="single" w:sz="4" w:space="0" w:color="auto"/>
            </w:tcBorders>
            <w:shd w:val="clear" w:color="auto" w:fill="FFFFFF" w:themeFill="background1"/>
            <w:vAlign w:val="center"/>
            <w:hideMark/>
          </w:tcPr>
          <w:p w14:paraId="4134C1C1" w14:textId="77777777" w:rsidR="0057435D" w:rsidRPr="00750434" w:rsidRDefault="0057435D">
            <w:pPr>
              <w:jc w:val="center"/>
              <w:rPr>
                <w:rFonts w:cstheme="minorHAnsi"/>
                <w:sz w:val="22"/>
                <w:szCs w:val="22"/>
              </w:rPr>
            </w:pPr>
            <w:r w:rsidRPr="00750434">
              <w:rPr>
                <w:rStyle w:val="contentpasted0"/>
                <w:rFonts w:cstheme="minorHAnsi"/>
                <w:b/>
                <w:bCs/>
                <w:color w:val="000000"/>
                <w:sz w:val="22"/>
                <w:szCs w:val="22"/>
                <w:bdr w:val="none" w:sz="0" w:space="0" w:color="auto" w:frame="1"/>
              </w:rPr>
              <w:t xml:space="preserve">Segments </w:t>
            </w:r>
          </w:p>
        </w:tc>
        <w:tc>
          <w:tcPr>
            <w:tcW w:w="4701" w:type="dxa"/>
            <w:tcBorders>
              <w:top w:val="single" w:sz="12" w:space="0" w:color="auto"/>
              <w:bottom w:val="single" w:sz="4" w:space="0" w:color="auto"/>
            </w:tcBorders>
            <w:shd w:val="clear" w:color="auto" w:fill="FFFFFF" w:themeFill="background1"/>
            <w:vAlign w:val="center"/>
            <w:hideMark/>
          </w:tcPr>
          <w:p w14:paraId="1FF9E5F4" w14:textId="77777777" w:rsidR="0057435D" w:rsidRPr="00750434" w:rsidRDefault="0057435D">
            <w:pPr>
              <w:jc w:val="center"/>
              <w:rPr>
                <w:rFonts w:cstheme="minorHAnsi"/>
                <w:sz w:val="22"/>
                <w:szCs w:val="22"/>
              </w:rPr>
            </w:pPr>
            <w:r w:rsidRPr="00750434">
              <w:rPr>
                <w:rStyle w:val="contentpasted0"/>
                <w:rFonts w:cstheme="minorHAnsi"/>
                <w:b/>
                <w:bCs/>
                <w:color w:val="000000"/>
                <w:sz w:val="22"/>
                <w:szCs w:val="22"/>
                <w:bdr w:val="none" w:sz="0" w:space="0" w:color="auto" w:frame="1"/>
              </w:rPr>
              <w:t>Name of Success Story</w:t>
            </w:r>
            <w:r w:rsidRPr="00750434">
              <w:rPr>
                <w:rFonts w:cstheme="minorHAnsi"/>
                <w:color w:val="242424"/>
                <w:sz w:val="22"/>
                <w:szCs w:val="22"/>
              </w:rPr>
              <w:t> </w:t>
            </w:r>
          </w:p>
        </w:tc>
        <w:tc>
          <w:tcPr>
            <w:tcW w:w="1512" w:type="dxa"/>
            <w:tcBorders>
              <w:top w:val="single" w:sz="12" w:space="0" w:color="auto"/>
              <w:bottom w:val="single" w:sz="4" w:space="0" w:color="auto"/>
            </w:tcBorders>
            <w:shd w:val="clear" w:color="auto" w:fill="FFFFFF" w:themeFill="background1"/>
            <w:vAlign w:val="center"/>
            <w:hideMark/>
          </w:tcPr>
          <w:p w14:paraId="50F77724" w14:textId="77777777" w:rsidR="0057435D" w:rsidRPr="00750434" w:rsidRDefault="0057435D">
            <w:pPr>
              <w:jc w:val="center"/>
              <w:rPr>
                <w:rFonts w:cstheme="minorHAnsi"/>
                <w:sz w:val="22"/>
                <w:szCs w:val="22"/>
              </w:rPr>
            </w:pPr>
            <w:r w:rsidRPr="00750434">
              <w:rPr>
                <w:rStyle w:val="contentpasted0"/>
                <w:rFonts w:cstheme="minorHAnsi"/>
                <w:b/>
                <w:bCs/>
                <w:color w:val="000000"/>
                <w:sz w:val="22"/>
                <w:szCs w:val="22"/>
                <w:bdr w:val="none" w:sz="0" w:space="0" w:color="auto" w:frame="1"/>
              </w:rPr>
              <w:t>Year Approved</w:t>
            </w:r>
          </w:p>
        </w:tc>
        <w:tc>
          <w:tcPr>
            <w:tcW w:w="1648" w:type="dxa"/>
            <w:tcBorders>
              <w:top w:val="single" w:sz="12" w:space="0" w:color="auto"/>
              <w:bottom w:val="single" w:sz="4" w:space="0" w:color="auto"/>
            </w:tcBorders>
            <w:shd w:val="clear" w:color="auto" w:fill="FFFFFF" w:themeFill="background1"/>
            <w:vAlign w:val="center"/>
            <w:hideMark/>
          </w:tcPr>
          <w:p w14:paraId="40A26E14" w14:textId="77777777" w:rsidR="0057435D" w:rsidRPr="00750434" w:rsidRDefault="0057435D">
            <w:pPr>
              <w:jc w:val="center"/>
              <w:rPr>
                <w:rFonts w:cstheme="minorHAnsi"/>
                <w:sz w:val="22"/>
                <w:szCs w:val="22"/>
              </w:rPr>
            </w:pPr>
            <w:r w:rsidRPr="00750434">
              <w:rPr>
                <w:rStyle w:val="contentpasted0"/>
                <w:rFonts w:cstheme="minorHAnsi"/>
                <w:b/>
                <w:bCs/>
                <w:color w:val="000000"/>
                <w:sz w:val="22"/>
                <w:szCs w:val="22"/>
                <w:bdr w:val="none" w:sz="0" w:space="0" w:color="auto" w:frame="1"/>
              </w:rPr>
              <w:t>Topic</w:t>
            </w:r>
            <w:r w:rsidRPr="00750434">
              <w:rPr>
                <w:rFonts w:cstheme="minorHAnsi"/>
                <w:color w:val="242424"/>
                <w:sz w:val="22"/>
                <w:szCs w:val="22"/>
              </w:rPr>
              <w:t> </w:t>
            </w:r>
          </w:p>
        </w:tc>
      </w:tr>
      <w:tr w:rsidR="0057435D" w:rsidRPr="00334520" w14:paraId="11DEE001" w14:textId="77777777">
        <w:trPr>
          <w:trHeight w:val="288"/>
        </w:trPr>
        <w:tc>
          <w:tcPr>
            <w:tcW w:w="779" w:type="dxa"/>
            <w:tcBorders>
              <w:top w:val="single" w:sz="4" w:space="0" w:color="auto"/>
            </w:tcBorders>
            <w:shd w:val="clear" w:color="auto" w:fill="FFFFFF"/>
            <w:vAlign w:val="center"/>
            <w:hideMark/>
          </w:tcPr>
          <w:p w14:paraId="07486AAA"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1188" w:type="dxa"/>
            <w:tcBorders>
              <w:top w:val="single" w:sz="4" w:space="0" w:color="auto"/>
            </w:tcBorders>
            <w:shd w:val="clear" w:color="auto" w:fill="FFFFFF"/>
            <w:vAlign w:val="center"/>
            <w:hideMark/>
          </w:tcPr>
          <w:p w14:paraId="0030B528"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tcBorders>
              <w:top w:val="single" w:sz="4" w:space="0" w:color="auto"/>
            </w:tcBorders>
            <w:shd w:val="clear" w:color="auto" w:fill="FFFFFF"/>
            <w:vAlign w:val="center"/>
            <w:hideMark/>
          </w:tcPr>
          <w:p w14:paraId="67A27840"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Cabin Branch Mine Orphaned Land Project</w:t>
            </w:r>
            <w:r w:rsidRPr="00750434">
              <w:rPr>
                <w:rFonts w:cstheme="minorHAnsi"/>
                <w:color w:val="242424"/>
                <w:sz w:val="22"/>
                <w:szCs w:val="22"/>
              </w:rPr>
              <w:t> </w:t>
            </w:r>
          </w:p>
        </w:tc>
        <w:tc>
          <w:tcPr>
            <w:tcW w:w="1512" w:type="dxa"/>
            <w:tcBorders>
              <w:top w:val="single" w:sz="4" w:space="0" w:color="auto"/>
            </w:tcBorders>
            <w:shd w:val="clear" w:color="auto" w:fill="FFFFFF"/>
            <w:vAlign w:val="center"/>
            <w:hideMark/>
          </w:tcPr>
          <w:p w14:paraId="5EEC1C58"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2001</w:t>
            </w:r>
            <w:r w:rsidRPr="00750434">
              <w:rPr>
                <w:rFonts w:cstheme="minorHAnsi"/>
                <w:color w:val="242424"/>
                <w:sz w:val="22"/>
                <w:szCs w:val="22"/>
              </w:rPr>
              <w:t> </w:t>
            </w:r>
          </w:p>
        </w:tc>
        <w:tc>
          <w:tcPr>
            <w:tcW w:w="1648" w:type="dxa"/>
            <w:tcBorders>
              <w:top w:val="single" w:sz="4" w:space="0" w:color="auto"/>
            </w:tcBorders>
            <w:shd w:val="clear" w:color="auto" w:fill="FFFFFF"/>
            <w:vAlign w:val="center"/>
            <w:hideMark/>
          </w:tcPr>
          <w:p w14:paraId="2308562E"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Mining</w:t>
            </w:r>
            <w:r w:rsidRPr="00750434">
              <w:rPr>
                <w:rFonts w:cstheme="minorHAnsi"/>
                <w:color w:val="242424"/>
                <w:sz w:val="22"/>
                <w:szCs w:val="22"/>
              </w:rPr>
              <w:t> </w:t>
            </w:r>
          </w:p>
        </w:tc>
      </w:tr>
      <w:tr w:rsidR="0057435D" w:rsidRPr="00334520" w14:paraId="7B2B472A" w14:textId="77777777">
        <w:trPr>
          <w:trHeight w:val="288"/>
        </w:trPr>
        <w:tc>
          <w:tcPr>
            <w:tcW w:w="779" w:type="dxa"/>
            <w:shd w:val="clear" w:color="auto" w:fill="FFFFFF"/>
            <w:vAlign w:val="center"/>
            <w:hideMark/>
          </w:tcPr>
          <w:p w14:paraId="2E44502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1188" w:type="dxa"/>
            <w:shd w:val="clear" w:color="auto" w:fill="FFFFFF"/>
            <w:vAlign w:val="center"/>
            <w:hideMark/>
          </w:tcPr>
          <w:p w14:paraId="0DC4583E"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4079F51A" w14:textId="77777777" w:rsidR="0057435D" w:rsidRPr="00750434" w:rsidRDefault="0057435D">
            <w:pPr>
              <w:jc w:val="center"/>
              <w:rPr>
                <w:rFonts w:cstheme="minorHAnsi"/>
                <w:sz w:val="22"/>
                <w:szCs w:val="22"/>
              </w:rPr>
            </w:pPr>
            <w:proofErr w:type="spellStart"/>
            <w:r w:rsidRPr="00750434">
              <w:rPr>
                <w:rStyle w:val="contentpasted0"/>
                <w:rFonts w:cstheme="minorHAnsi"/>
                <w:color w:val="000000"/>
                <w:sz w:val="22"/>
                <w:szCs w:val="22"/>
                <w:bdr w:val="none" w:sz="0" w:space="0" w:color="auto" w:frame="1"/>
              </w:rPr>
              <w:t>Toncrae</w:t>
            </w:r>
            <w:proofErr w:type="spellEnd"/>
            <w:r w:rsidRPr="00750434">
              <w:rPr>
                <w:rStyle w:val="contentpasted0"/>
                <w:rFonts w:cstheme="minorHAnsi"/>
                <w:color w:val="000000"/>
                <w:sz w:val="22"/>
                <w:szCs w:val="22"/>
                <w:bdr w:val="none" w:sz="0" w:space="0" w:color="auto" w:frame="1"/>
              </w:rPr>
              <w:t xml:space="preserve"> Mine Orphaned Land Project</w:t>
            </w:r>
            <w:r w:rsidRPr="00750434">
              <w:rPr>
                <w:rFonts w:cstheme="minorHAnsi"/>
                <w:color w:val="242424"/>
                <w:sz w:val="22"/>
                <w:szCs w:val="22"/>
              </w:rPr>
              <w:t> </w:t>
            </w:r>
          </w:p>
        </w:tc>
        <w:tc>
          <w:tcPr>
            <w:tcW w:w="1512" w:type="dxa"/>
            <w:shd w:val="clear" w:color="auto" w:fill="FFFFFF"/>
            <w:vAlign w:val="center"/>
            <w:hideMark/>
          </w:tcPr>
          <w:p w14:paraId="21BCB13A"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2002</w:t>
            </w:r>
            <w:r w:rsidRPr="00750434">
              <w:rPr>
                <w:rFonts w:cstheme="minorHAnsi"/>
                <w:color w:val="242424"/>
                <w:sz w:val="22"/>
                <w:szCs w:val="22"/>
              </w:rPr>
              <w:t> </w:t>
            </w:r>
          </w:p>
        </w:tc>
        <w:tc>
          <w:tcPr>
            <w:tcW w:w="1648" w:type="dxa"/>
            <w:shd w:val="clear" w:color="auto" w:fill="FFFFFF"/>
            <w:vAlign w:val="center"/>
            <w:hideMark/>
          </w:tcPr>
          <w:p w14:paraId="5EE7BC2F"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Mining</w:t>
            </w:r>
            <w:r w:rsidRPr="00750434">
              <w:rPr>
                <w:rFonts w:cstheme="minorHAnsi"/>
                <w:color w:val="242424"/>
                <w:sz w:val="22"/>
                <w:szCs w:val="22"/>
              </w:rPr>
              <w:t> </w:t>
            </w:r>
          </w:p>
        </w:tc>
      </w:tr>
      <w:tr w:rsidR="0057435D" w:rsidRPr="00334520" w14:paraId="5A9B881F" w14:textId="77777777">
        <w:trPr>
          <w:trHeight w:val="288"/>
        </w:trPr>
        <w:tc>
          <w:tcPr>
            <w:tcW w:w="779" w:type="dxa"/>
            <w:shd w:val="clear" w:color="auto" w:fill="FFFFFF"/>
            <w:vAlign w:val="center"/>
            <w:hideMark/>
          </w:tcPr>
          <w:p w14:paraId="46560C45"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1188" w:type="dxa"/>
            <w:shd w:val="clear" w:color="auto" w:fill="FFFFFF"/>
            <w:vAlign w:val="center"/>
            <w:hideMark/>
          </w:tcPr>
          <w:p w14:paraId="6E219033"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18A5EC44"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Middle Fork Holston River (Three Creeks)</w:t>
            </w:r>
            <w:r w:rsidRPr="00750434">
              <w:rPr>
                <w:rFonts w:cstheme="minorHAnsi"/>
                <w:color w:val="242424"/>
                <w:sz w:val="22"/>
                <w:szCs w:val="22"/>
              </w:rPr>
              <w:t> </w:t>
            </w:r>
          </w:p>
        </w:tc>
        <w:tc>
          <w:tcPr>
            <w:tcW w:w="1512" w:type="dxa"/>
            <w:shd w:val="clear" w:color="auto" w:fill="FFFFFF"/>
            <w:vAlign w:val="center"/>
            <w:hideMark/>
          </w:tcPr>
          <w:p w14:paraId="3065AA5F"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2005</w:t>
            </w:r>
            <w:r w:rsidRPr="00750434">
              <w:rPr>
                <w:rFonts w:cstheme="minorHAnsi"/>
                <w:color w:val="242424"/>
                <w:sz w:val="22"/>
                <w:szCs w:val="22"/>
              </w:rPr>
              <w:t> </w:t>
            </w:r>
          </w:p>
        </w:tc>
        <w:tc>
          <w:tcPr>
            <w:tcW w:w="1648" w:type="dxa"/>
            <w:shd w:val="clear" w:color="auto" w:fill="FFFFFF"/>
            <w:vAlign w:val="center"/>
            <w:hideMark/>
          </w:tcPr>
          <w:p w14:paraId="4745C4C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2D0039A4" w14:textId="77777777">
        <w:trPr>
          <w:trHeight w:val="288"/>
        </w:trPr>
        <w:tc>
          <w:tcPr>
            <w:tcW w:w="779" w:type="dxa"/>
            <w:shd w:val="clear" w:color="auto" w:fill="FFFFFF"/>
            <w:vAlign w:val="center"/>
            <w:hideMark/>
          </w:tcPr>
          <w:p w14:paraId="1BC1E814"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1188" w:type="dxa"/>
            <w:shd w:val="clear" w:color="auto" w:fill="FFFFFF"/>
            <w:vAlign w:val="center"/>
            <w:hideMark/>
          </w:tcPr>
          <w:p w14:paraId="78F1006F"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4701" w:type="dxa"/>
            <w:shd w:val="clear" w:color="auto" w:fill="FFFFFF"/>
            <w:vAlign w:val="center"/>
            <w:hideMark/>
          </w:tcPr>
          <w:p w14:paraId="50AA92DE"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Muddy Creek and Lower Dry River</w:t>
            </w:r>
            <w:r w:rsidRPr="00750434">
              <w:rPr>
                <w:rFonts w:cstheme="minorHAnsi"/>
                <w:color w:val="242424"/>
                <w:sz w:val="22"/>
                <w:szCs w:val="22"/>
              </w:rPr>
              <w:t> </w:t>
            </w:r>
          </w:p>
        </w:tc>
        <w:tc>
          <w:tcPr>
            <w:tcW w:w="1512" w:type="dxa"/>
            <w:shd w:val="clear" w:color="auto" w:fill="FFFFFF"/>
            <w:vAlign w:val="center"/>
            <w:hideMark/>
          </w:tcPr>
          <w:p w14:paraId="3AD121E5"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2007</w:t>
            </w:r>
            <w:r w:rsidRPr="00750434">
              <w:rPr>
                <w:rFonts w:cstheme="minorHAnsi"/>
                <w:color w:val="242424"/>
                <w:sz w:val="22"/>
                <w:szCs w:val="22"/>
              </w:rPr>
              <w:t> </w:t>
            </w:r>
          </w:p>
        </w:tc>
        <w:tc>
          <w:tcPr>
            <w:tcW w:w="1648" w:type="dxa"/>
            <w:shd w:val="clear" w:color="auto" w:fill="FFFFFF"/>
            <w:vAlign w:val="center"/>
            <w:hideMark/>
          </w:tcPr>
          <w:p w14:paraId="040E207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3F910508" w14:textId="77777777">
        <w:trPr>
          <w:trHeight w:val="288"/>
        </w:trPr>
        <w:tc>
          <w:tcPr>
            <w:tcW w:w="779" w:type="dxa"/>
            <w:shd w:val="clear" w:color="auto" w:fill="FFFFFF"/>
            <w:vAlign w:val="center"/>
            <w:hideMark/>
          </w:tcPr>
          <w:p w14:paraId="7CB01C32"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0B369F48"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49893D09"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Batie Creek</w:t>
            </w:r>
            <w:r w:rsidRPr="00750434">
              <w:rPr>
                <w:rFonts w:cstheme="minorHAnsi"/>
                <w:color w:val="242424"/>
                <w:sz w:val="22"/>
                <w:szCs w:val="22"/>
              </w:rPr>
              <w:t> </w:t>
            </w:r>
          </w:p>
        </w:tc>
        <w:tc>
          <w:tcPr>
            <w:tcW w:w="1512" w:type="dxa"/>
            <w:shd w:val="clear" w:color="auto" w:fill="FFFFFF"/>
            <w:vAlign w:val="center"/>
            <w:hideMark/>
          </w:tcPr>
          <w:p w14:paraId="30F75EB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2008</w:t>
            </w:r>
            <w:r w:rsidRPr="00750434">
              <w:rPr>
                <w:rFonts w:cstheme="minorHAnsi"/>
                <w:color w:val="242424"/>
                <w:sz w:val="22"/>
                <w:szCs w:val="22"/>
              </w:rPr>
              <w:t> </w:t>
            </w:r>
          </w:p>
        </w:tc>
        <w:tc>
          <w:tcPr>
            <w:tcW w:w="1648" w:type="dxa"/>
            <w:shd w:val="clear" w:color="auto" w:fill="FFFFFF"/>
            <w:vAlign w:val="center"/>
            <w:hideMark/>
          </w:tcPr>
          <w:p w14:paraId="1CFA0B52"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Karst Program</w:t>
            </w:r>
            <w:r w:rsidRPr="00750434">
              <w:rPr>
                <w:rFonts w:cstheme="minorHAnsi"/>
                <w:color w:val="242424"/>
                <w:sz w:val="22"/>
                <w:szCs w:val="22"/>
              </w:rPr>
              <w:t> </w:t>
            </w:r>
          </w:p>
        </w:tc>
      </w:tr>
      <w:tr w:rsidR="0057435D" w:rsidRPr="00334520" w14:paraId="2DC2BD09" w14:textId="77777777">
        <w:trPr>
          <w:trHeight w:val="288"/>
        </w:trPr>
        <w:tc>
          <w:tcPr>
            <w:tcW w:w="779" w:type="dxa"/>
            <w:shd w:val="clear" w:color="auto" w:fill="FFFFFF"/>
            <w:vAlign w:val="center"/>
            <w:hideMark/>
          </w:tcPr>
          <w:p w14:paraId="397ADF3F"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39D33779"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3</w:t>
            </w:r>
            <w:r w:rsidRPr="00750434">
              <w:rPr>
                <w:rFonts w:cstheme="minorHAnsi"/>
                <w:color w:val="242424"/>
                <w:sz w:val="22"/>
                <w:szCs w:val="22"/>
              </w:rPr>
              <w:t> </w:t>
            </w:r>
          </w:p>
        </w:tc>
        <w:tc>
          <w:tcPr>
            <w:tcW w:w="4701" w:type="dxa"/>
            <w:shd w:val="clear" w:color="auto" w:fill="FFFFFF"/>
            <w:vAlign w:val="center"/>
            <w:hideMark/>
          </w:tcPr>
          <w:p w14:paraId="7703F0A6"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Lynnhaven, Broad and Linkhorn Bays</w:t>
            </w:r>
            <w:r w:rsidRPr="00750434">
              <w:rPr>
                <w:rFonts w:cstheme="minorHAnsi"/>
                <w:color w:val="242424"/>
                <w:sz w:val="22"/>
                <w:szCs w:val="22"/>
              </w:rPr>
              <w:t> </w:t>
            </w:r>
          </w:p>
        </w:tc>
        <w:tc>
          <w:tcPr>
            <w:tcW w:w="1512" w:type="dxa"/>
            <w:shd w:val="clear" w:color="auto" w:fill="FFFFFF"/>
            <w:vAlign w:val="center"/>
            <w:hideMark/>
          </w:tcPr>
          <w:p w14:paraId="6D340C62"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2009</w:t>
            </w:r>
            <w:r w:rsidRPr="00750434">
              <w:rPr>
                <w:rFonts w:cstheme="minorHAnsi"/>
                <w:color w:val="242424"/>
                <w:sz w:val="22"/>
                <w:szCs w:val="22"/>
              </w:rPr>
              <w:t> </w:t>
            </w:r>
          </w:p>
        </w:tc>
        <w:tc>
          <w:tcPr>
            <w:tcW w:w="1648" w:type="dxa"/>
            <w:shd w:val="clear" w:color="auto" w:fill="FFFFFF"/>
            <w:vAlign w:val="center"/>
            <w:hideMark/>
          </w:tcPr>
          <w:p w14:paraId="00CC0404"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Shellfish</w:t>
            </w:r>
            <w:r w:rsidRPr="00750434">
              <w:rPr>
                <w:rFonts w:cstheme="minorHAnsi"/>
                <w:color w:val="242424"/>
                <w:sz w:val="22"/>
                <w:szCs w:val="22"/>
              </w:rPr>
              <w:t> </w:t>
            </w:r>
          </w:p>
        </w:tc>
      </w:tr>
      <w:tr w:rsidR="0057435D" w:rsidRPr="00334520" w14:paraId="065625A8" w14:textId="77777777">
        <w:trPr>
          <w:trHeight w:val="288"/>
        </w:trPr>
        <w:tc>
          <w:tcPr>
            <w:tcW w:w="779" w:type="dxa"/>
            <w:shd w:val="clear" w:color="auto" w:fill="FFFFFF"/>
            <w:vAlign w:val="center"/>
            <w:hideMark/>
          </w:tcPr>
          <w:p w14:paraId="22DAC2DC"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1188" w:type="dxa"/>
            <w:shd w:val="clear" w:color="auto" w:fill="FFFFFF"/>
            <w:vAlign w:val="center"/>
            <w:hideMark/>
          </w:tcPr>
          <w:p w14:paraId="3D7246EE"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6417E1DA" w14:textId="77777777" w:rsidR="0057435D" w:rsidRPr="00750434" w:rsidRDefault="0057435D">
            <w:pPr>
              <w:jc w:val="center"/>
              <w:rPr>
                <w:rFonts w:cstheme="minorHAnsi"/>
                <w:sz w:val="22"/>
                <w:szCs w:val="22"/>
              </w:rPr>
            </w:pPr>
            <w:proofErr w:type="spellStart"/>
            <w:r w:rsidRPr="00750434">
              <w:rPr>
                <w:rStyle w:val="contentpasted0"/>
                <w:rFonts w:cstheme="minorHAnsi"/>
                <w:color w:val="000000"/>
                <w:sz w:val="22"/>
                <w:szCs w:val="22"/>
                <w:bdr w:val="none" w:sz="0" w:space="0" w:color="auto" w:frame="1"/>
              </w:rPr>
              <w:t>Valzinco</w:t>
            </w:r>
            <w:proofErr w:type="spellEnd"/>
            <w:r w:rsidRPr="00750434">
              <w:rPr>
                <w:rStyle w:val="contentpasted0"/>
                <w:rFonts w:cstheme="minorHAnsi"/>
                <w:color w:val="000000"/>
                <w:sz w:val="22"/>
                <w:szCs w:val="22"/>
                <w:bdr w:val="none" w:sz="0" w:space="0" w:color="auto" w:frame="1"/>
              </w:rPr>
              <w:t xml:space="preserve"> Mine Orphaned Land Project</w:t>
            </w:r>
            <w:r w:rsidRPr="00750434">
              <w:rPr>
                <w:rFonts w:cstheme="minorHAnsi"/>
                <w:color w:val="242424"/>
                <w:sz w:val="22"/>
                <w:szCs w:val="22"/>
              </w:rPr>
              <w:t> </w:t>
            </w:r>
          </w:p>
        </w:tc>
        <w:tc>
          <w:tcPr>
            <w:tcW w:w="1512" w:type="dxa"/>
            <w:shd w:val="clear" w:color="auto" w:fill="FFFFFF"/>
            <w:vAlign w:val="center"/>
            <w:hideMark/>
          </w:tcPr>
          <w:p w14:paraId="03405200"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2008</w:t>
            </w:r>
            <w:r w:rsidRPr="00750434">
              <w:rPr>
                <w:rFonts w:cstheme="minorHAnsi"/>
                <w:color w:val="242424"/>
                <w:sz w:val="22"/>
                <w:szCs w:val="22"/>
              </w:rPr>
              <w:t> </w:t>
            </w:r>
          </w:p>
        </w:tc>
        <w:tc>
          <w:tcPr>
            <w:tcW w:w="1648" w:type="dxa"/>
            <w:shd w:val="clear" w:color="auto" w:fill="FFFFFF"/>
            <w:vAlign w:val="center"/>
            <w:hideMark/>
          </w:tcPr>
          <w:p w14:paraId="55966965"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Mining</w:t>
            </w:r>
            <w:r w:rsidRPr="00750434">
              <w:rPr>
                <w:rFonts w:cstheme="minorHAnsi"/>
                <w:color w:val="242424"/>
                <w:sz w:val="22"/>
                <w:szCs w:val="22"/>
              </w:rPr>
              <w:t> </w:t>
            </w:r>
          </w:p>
        </w:tc>
      </w:tr>
      <w:tr w:rsidR="0057435D" w:rsidRPr="00334520" w14:paraId="553A534C" w14:textId="77777777">
        <w:trPr>
          <w:trHeight w:val="288"/>
        </w:trPr>
        <w:tc>
          <w:tcPr>
            <w:tcW w:w="779" w:type="dxa"/>
            <w:shd w:val="clear" w:color="auto" w:fill="FFFFFF"/>
            <w:vAlign w:val="center"/>
            <w:hideMark/>
          </w:tcPr>
          <w:p w14:paraId="31EF5FF8"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474180F0"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3</w:t>
            </w:r>
            <w:r w:rsidRPr="00750434">
              <w:rPr>
                <w:rFonts w:cstheme="minorHAnsi"/>
                <w:color w:val="242424"/>
                <w:sz w:val="22"/>
                <w:szCs w:val="22"/>
              </w:rPr>
              <w:t> </w:t>
            </w:r>
          </w:p>
        </w:tc>
        <w:tc>
          <w:tcPr>
            <w:tcW w:w="4701" w:type="dxa"/>
            <w:shd w:val="clear" w:color="auto" w:fill="FFFFFF"/>
            <w:vAlign w:val="center"/>
            <w:hideMark/>
          </w:tcPr>
          <w:p w14:paraId="36FC5AD8"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Willis River</w:t>
            </w:r>
            <w:r w:rsidRPr="00750434">
              <w:rPr>
                <w:rFonts w:cstheme="minorHAnsi"/>
                <w:color w:val="242424"/>
                <w:sz w:val="22"/>
                <w:szCs w:val="22"/>
              </w:rPr>
              <w:t> </w:t>
            </w:r>
          </w:p>
        </w:tc>
        <w:tc>
          <w:tcPr>
            <w:tcW w:w="1512" w:type="dxa"/>
            <w:shd w:val="clear" w:color="auto" w:fill="FFFFFF"/>
            <w:vAlign w:val="center"/>
            <w:hideMark/>
          </w:tcPr>
          <w:p w14:paraId="0A35DA4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2010</w:t>
            </w:r>
            <w:r w:rsidRPr="00750434">
              <w:rPr>
                <w:rFonts w:cstheme="minorHAnsi"/>
                <w:color w:val="242424"/>
                <w:sz w:val="22"/>
                <w:szCs w:val="22"/>
              </w:rPr>
              <w:t> </w:t>
            </w:r>
          </w:p>
        </w:tc>
        <w:tc>
          <w:tcPr>
            <w:tcW w:w="1648" w:type="dxa"/>
            <w:shd w:val="clear" w:color="auto" w:fill="FFFFFF"/>
            <w:vAlign w:val="center"/>
            <w:hideMark/>
          </w:tcPr>
          <w:p w14:paraId="4F03860C"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0074AF60" w14:textId="77777777">
        <w:trPr>
          <w:trHeight w:val="288"/>
        </w:trPr>
        <w:tc>
          <w:tcPr>
            <w:tcW w:w="779" w:type="dxa"/>
            <w:shd w:val="clear" w:color="auto" w:fill="FFFFFF"/>
            <w:vAlign w:val="center"/>
            <w:hideMark/>
          </w:tcPr>
          <w:p w14:paraId="399A7BC0"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768A593A"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348DF62A"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Middle Creek</w:t>
            </w:r>
            <w:r w:rsidRPr="00750434">
              <w:rPr>
                <w:rFonts w:cstheme="minorHAnsi"/>
                <w:color w:val="242424"/>
                <w:sz w:val="22"/>
                <w:szCs w:val="22"/>
              </w:rPr>
              <w:t> </w:t>
            </w:r>
          </w:p>
        </w:tc>
        <w:tc>
          <w:tcPr>
            <w:tcW w:w="1512" w:type="dxa"/>
            <w:shd w:val="clear" w:color="auto" w:fill="FFFFFF"/>
            <w:vAlign w:val="center"/>
            <w:hideMark/>
          </w:tcPr>
          <w:p w14:paraId="452978E8"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2012</w:t>
            </w:r>
            <w:r w:rsidRPr="00750434">
              <w:rPr>
                <w:rFonts w:cstheme="minorHAnsi"/>
                <w:color w:val="242424"/>
                <w:sz w:val="22"/>
                <w:szCs w:val="22"/>
              </w:rPr>
              <w:t> </w:t>
            </w:r>
          </w:p>
        </w:tc>
        <w:tc>
          <w:tcPr>
            <w:tcW w:w="1648" w:type="dxa"/>
            <w:shd w:val="clear" w:color="auto" w:fill="FFFFFF"/>
            <w:vAlign w:val="center"/>
            <w:hideMark/>
          </w:tcPr>
          <w:p w14:paraId="6310395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Mining</w:t>
            </w:r>
            <w:r w:rsidRPr="00750434">
              <w:rPr>
                <w:rFonts w:cstheme="minorHAnsi"/>
                <w:color w:val="242424"/>
                <w:sz w:val="22"/>
                <w:szCs w:val="22"/>
              </w:rPr>
              <w:t> </w:t>
            </w:r>
          </w:p>
        </w:tc>
      </w:tr>
      <w:tr w:rsidR="0057435D" w:rsidRPr="00334520" w14:paraId="575DC1B3" w14:textId="77777777">
        <w:trPr>
          <w:trHeight w:val="288"/>
        </w:trPr>
        <w:tc>
          <w:tcPr>
            <w:tcW w:w="779" w:type="dxa"/>
            <w:shd w:val="clear" w:color="auto" w:fill="FFFFFF"/>
            <w:vAlign w:val="center"/>
            <w:hideMark/>
          </w:tcPr>
          <w:p w14:paraId="1778B784"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1188" w:type="dxa"/>
            <w:shd w:val="clear" w:color="auto" w:fill="FFFFFF"/>
            <w:vAlign w:val="center"/>
            <w:hideMark/>
          </w:tcPr>
          <w:p w14:paraId="0D24FAEE"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5EBB2F60"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Black Creek</w:t>
            </w:r>
            <w:r w:rsidRPr="00750434">
              <w:rPr>
                <w:rFonts w:cstheme="minorHAnsi"/>
                <w:color w:val="242424"/>
                <w:sz w:val="22"/>
                <w:szCs w:val="22"/>
              </w:rPr>
              <w:t> </w:t>
            </w:r>
          </w:p>
        </w:tc>
        <w:tc>
          <w:tcPr>
            <w:tcW w:w="1512" w:type="dxa"/>
            <w:shd w:val="clear" w:color="auto" w:fill="FFFFFF"/>
            <w:vAlign w:val="center"/>
            <w:hideMark/>
          </w:tcPr>
          <w:p w14:paraId="4E154CD4"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2012</w:t>
            </w:r>
            <w:r w:rsidRPr="00750434">
              <w:rPr>
                <w:rFonts w:cstheme="minorHAnsi"/>
                <w:color w:val="242424"/>
                <w:sz w:val="22"/>
                <w:szCs w:val="22"/>
              </w:rPr>
              <w:t> </w:t>
            </w:r>
          </w:p>
        </w:tc>
        <w:tc>
          <w:tcPr>
            <w:tcW w:w="1648" w:type="dxa"/>
            <w:shd w:val="clear" w:color="auto" w:fill="FFFFFF"/>
            <w:vAlign w:val="center"/>
            <w:hideMark/>
          </w:tcPr>
          <w:p w14:paraId="2231462C"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Mining</w:t>
            </w:r>
            <w:r w:rsidRPr="00750434">
              <w:rPr>
                <w:rFonts w:cstheme="minorHAnsi"/>
                <w:color w:val="242424"/>
                <w:sz w:val="22"/>
                <w:szCs w:val="22"/>
              </w:rPr>
              <w:t> </w:t>
            </w:r>
          </w:p>
        </w:tc>
      </w:tr>
      <w:tr w:rsidR="0057435D" w:rsidRPr="00334520" w14:paraId="1FE295C3" w14:textId="77777777">
        <w:trPr>
          <w:trHeight w:val="288"/>
        </w:trPr>
        <w:tc>
          <w:tcPr>
            <w:tcW w:w="779" w:type="dxa"/>
            <w:shd w:val="clear" w:color="auto" w:fill="FFFFFF"/>
            <w:vAlign w:val="center"/>
            <w:hideMark/>
          </w:tcPr>
          <w:p w14:paraId="42DCE750"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2FA2C87F"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12F28136"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Muddy Creek</w:t>
            </w:r>
            <w:r w:rsidRPr="00750434">
              <w:rPr>
                <w:rFonts w:cstheme="minorHAnsi"/>
                <w:color w:val="242424"/>
                <w:sz w:val="22"/>
                <w:szCs w:val="22"/>
              </w:rPr>
              <w:t> </w:t>
            </w:r>
          </w:p>
        </w:tc>
        <w:tc>
          <w:tcPr>
            <w:tcW w:w="1512" w:type="dxa"/>
            <w:shd w:val="clear" w:color="auto" w:fill="FFFFFF"/>
            <w:vAlign w:val="center"/>
            <w:hideMark/>
          </w:tcPr>
          <w:p w14:paraId="7C53BC9F"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2012</w:t>
            </w:r>
            <w:r w:rsidRPr="00750434">
              <w:rPr>
                <w:rFonts w:cstheme="minorHAnsi"/>
                <w:color w:val="242424"/>
                <w:sz w:val="22"/>
                <w:szCs w:val="22"/>
              </w:rPr>
              <w:t> </w:t>
            </w:r>
          </w:p>
        </w:tc>
        <w:tc>
          <w:tcPr>
            <w:tcW w:w="1648" w:type="dxa"/>
            <w:shd w:val="clear" w:color="auto" w:fill="FFFFFF"/>
            <w:vAlign w:val="center"/>
            <w:hideMark/>
          </w:tcPr>
          <w:p w14:paraId="33780EF5"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2041B046" w14:textId="77777777">
        <w:trPr>
          <w:trHeight w:val="288"/>
        </w:trPr>
        <w:tc>
          <w:tcPr>
            <w:tcW w:w="779" w:type="dxa"/>
            <w:shd w:val="clear" w:color="auto" w:fill="FFFFFF"/>
            <w:vAlign w:val="center"/>
            <w:hideMark/>
          </w:tcPr>
          <w:p w14:paraId="52981BA0"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1188" w:type="dxa"/>
            <w:shd w:val="clear" w:color="auto" w:fill="FFFFFF"/>
            <w:vAlign w:val="center"/>
            <w:hideMark/>
          </w:tcPr>
          <w:p w14:paraId="3068B566"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3C03CF9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Carter Run</w:t>
            </w:r>
            <w:r w:rsidRPr="00750434">
              <w:rPr>
                <w:rFonts w:cstheme="minorHAnsi"/>
                <w:color w:val="242424"/>
                <w:sz w:val="22"/>
                <w:szCs w:val="22"/>
              </w:rPr>
              <w:t> </w:t>
            </w:r>
          </w:p>
        </w:tc>
        <w:tc>
          <w:tcPr>
            <w:tcW w:w="1512" w:type="dxa"/>
            <w:shd w:val="clear" w:color="auto" w:fill="FFFFFF"/>
            <w:vAlign w:val="center"/>
            <w:hideMark/>
          </w:tcPr>
          <w:p w14:paraId="793F9CE8"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2013</w:t>
            </w:r>
            <w:r w:rsidRPr="00750434">
              <w:rPr>
                <w:rFonts w:cstheme="minorHAnsi"/>
                <w:color w:val="242424"/>
                <w:sz w:val="22"/>
                <w:szCs w:val="22"/>
              </w:rPr>
              <w:t> </w:t>
            </w:r>
          </w:p>
        </w:tc>
        <w:tc>
          <w:tcPr>
            <w:tcW w:w="1648" w:type="dxa"/>
            <w:shd w:val="clear" w:color="auto" w:fill="FFFFFF"/>
            <w:vAlign w:val="center"/>
            <w:hideMark/>
          </w:tcPr>
          <w:p w14:paraId="1873744F"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7F679EF6" w14:textId="77777777">
        <w:trPr>
          <w:trHeight w:val="288"/>
        </w:trPr>
        <w:tc>
          <w:tcPr>
            <w:tcW w:w="779" w:type="dxa"/>
            <w:shd w:val="clear" w:color="auto" w:fill="FFFFFF"/>
            <w:vAlign w:val="center"/>
            <w:hideMark/>
          </w:tcPr>
          <w:p w14:paraId="1314426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1188" w:type="dxa"/>
            <w:shd w:val="clear" w:color="auto" w:fill="FFFFFF"/>
            <w:vAlign w:val="center"/>
            <w:hideMark/>
          </w:tcPr>
          <w:p w14:paraId="0B441C26"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4EF89028"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Flat Creek</w:t>
            </w:r>
            <w:r w:rsidRPr="00750434">
              <w:rPr>
                <w:rFonts w:cstheme="minorHAnsi"/>
                <w:color w:val="242424"/>
                <w:sz w:val="22"/>
                <w:szCs w:val="22"/>
              </w:rPr>
              <w:t> </w:t>
            </w:r>
          </w:p>
        </w:tc>
        <w:tc>
          <w:tcPr>
            <w:tcW w:w="1512" w:type="dxa"/>
            <w:shd w:val="clear" w:color="auto" w:fill="FFFFFF"/>
            <w:vAlign w:val="center"/>
            <w:hideMark/>
          </w:tcPr>
          <w:p w14:paraId="30BF2AC5"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2013</w:t>
            </w:r>
            <w:r w:rsidRPr="00750434">
              <w:rPr>
                <w:rFonts w:cstheme="minorHAnsi"/>
                <w:color w:val="242424"/>
                <w:sz w:val="22"/>
                <w:szCs w:val="22"/>
              </w:rPr>
              <w:t> </w:t>
            </w:r>
          </w:p>
        </w:tc>
        <w:tc>
          <w:tcPr>
            <w:tcW w:w="1648" w:type="dxa"/>
            <w:shd w:val="clear" w:color="auto" w:fill="FFFFFF"/>
            <w:vAlign w:val="center"/>
            <w:hideMark/>
          </w:tcPr>
          <w:p w14:paraId="30D8920C"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75F9E992" w14:textId="77777777">
        <w:trPr>
          <w:trHeight w:val="288"/>
        </w:trPr>
        <w:tc>
          <w:tcPr>
            <w:tcW w:w="779" w:type="dxa"/>
            <w:shd w:val="clear" w:color="auto" w:fill="FFFFFF"/>
            <w:vAlign w:val="center"/>
            <w:hideMark/>
          </w:tcPr>
          <w:p w14:paraId="454A43F2"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4D1D6910"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7C5475F5"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Upper Clinch River</w:t>
            </w:r>
            <w:r w:rsidRPr="00750434">
              <w:rPr>
                <w:rFonts w:cstheme="minorHAnsi"/>
                <w:color w:val="242424"/>
                <w:sz w:val="22"/>
                <w:szCs w:val="22"/>
              </w:rPr>
              <w:t> </w:t>
            </w:r>
          </w:p>
        </w:tc>
        <w:tc>
          <w:tcPr>
            <w:tcW w:w="1512" w:type="dxa"/>
            <w:shd w:val="clear" w:color="auto" w:fill="FFFFFF"/>
            <w:vAlign w:val="center"/>
            <w:hideMark/>
          </w:tcPr>
          <w:p w14:paraId="4F3E2E7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2014</w:t>
            </w:r>
            <w:r w:rsidRPr="00750434">
              <w:rPr>
                <w:rFonts w:cstheme="minorHAnsi"/>
                <w:color w:val="242424"/>
                <w:sz w:val="22"/>
                <w:szCs w:val="22"/>
              </w:rPr>
              <w:t> </w:t>
            </w:r>
          </w:p>
        </w:tc>
        <w:tc>
          <w:tcPr>
            <w:tcW w:w="1648" w:type="dxa"/>
            <w:shd w:val="clear" w:color="auto" w:fill="FFFFFF"/>
            <w:vAlign w:val="center"/>
            <w:hideMark/>
          </w:tcPr>
          <w:p w14:paraId="1F896BD1"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2B89A855" w14:textId="77777777">
        <w:trPr>
          <w:trHeight w:val="288"/>
        </w:trPr>
        <w:tc>
          <w:tcPr>
            <w:tcW w:w="779" w:type="dxa"/>
            <w:shd w:val="clear" w:color="auto" w:fill="FFFFFF"/>
            <w:vAlign w:val="center"/>
            <w:hideMark/>
          </w:tcPr>
          <w:p w14:paraId="0F826C2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197C774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4701" w:type="dxa"/>
            <w:shd w:val="clear" w:color="auto" w:fill="FFFFFF"/>
            <w:vAlign w:val="center"/>
            <w:hideMark/>
          </w:tcPr>
          <w:p w14:paraId="56F8A779"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Cub Creek</w:t>
            </w:r>
            <w:r w:rsidRPr="00750434">
              <w:rPr>
                <w:rFonts w:cstheme="minorHAnsi"/>
                <w:color w:val="242424"/>
                <w:sz w:val="22"/>
                <w:szCs w:val="22"/>
              </w:rPr>
              <w:t> </w:t>
            </w:r>
          </w:p>
        </w:tc>
        <w:tc>
          <w:tcPr>
            <w:tcW w:w="1512" w:type="dxa"/>
            <w:shd w:val="clear" w:color="auto" w:fill="FFFFFF"/>
            <w:vAlign w:val="center"/>
            <w:hideMark/>
          </w:tcPr>
          <w:p w14:paraId="1C3DAE24"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2014</w:t>
            </w:r>
            <w:r w:rsidRPr="00750434">
              <w:rPr>
                <w:rFonts w:cstheme="minorHAnsi"/>
                <w:color w:val="242424"/>
                <w:sz w:val="22"/>
                <w:szCs w:val="22"/>
              </w:rPr>
              <w:t> </w:t>
            </w:r>
          </w:p>
        </w:tc>
        <w:tc>
          <w:tcPr>
            <w:tcW w:w="1648" w:type="dxa"/>
            <w:shd w:val="clear" w:color="auto" w:fill="FFFFFF"/>
            <w:vAlign w:val="center"/>
            <w:hideMark/>
          </w:tcPr>
          <w:p w14:paraId="054E651C"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3A08C2E9" w14:textId="77777777">
        <w:trPr>
          <w:trHeight w:val="288"/>
        </w:trPr>
        <w:tc>
          <w:tcPr>
            <w:tcW w:w="779" w:type="dxa"/>
            <w:shd w:val="clear" w:color="auto" w:fill="FFFFFF"/>
            <w:vAlign w:val="center"/>
            <w:hideMark/>
          </w:tcPr>
          <w:p w14:paraId="5B0B9174"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65D8016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4701" w:type="dxa"/>
            <w:shd w:val="clear" w:color="auto" w:fill="FFFFFF"/>
            <w:vAlign w:val="center"/>
            <w:hideMark/>
          </w:tcPr>
          <w:p w14:paraId="2ABACCB2"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Byers and Hutton Creeks</w:t>
            </w:r>
            <w:r w:rsidRPr="00750434">
              <w:rPr>
                <w:rFonts w:cstheme="minorHAnsi"/>
                <w:color w:val="242424"/>
                <w:sz w:val="22"/>
                <w:szCs w:val="22"/>
              </w:rPr>
              <w:t> </w:t>
            </w:r>
          </w:p>
        </w:tc>
        <w:tc>
          <w:tcPr>
            <w:tcW w:w="1512" w:type="dxa"/>
            <w:shd w:val="clear" w:color="auto" w:fill="FFFFFF"/>
            <w:vAlign w:val="center"/>
            <w:hideMark/>
          </w:tcPr>
          <w:p w14:paraId="5B4BA14E"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2015</w:t>
            </w:r>
            <w:r w:rsidRPr="00750434">
              <w:rPr>
                <w:rFonts w:cstheme="minorHAnsi"/>
                <w:color w:val="242424"/>
                <w:sz w:val="22"/>
                <w:szCs w:val="22"/>
              </w:rPr>
              <w:t> </w:t>
            </w:r>
          </w:p>
        </w:tc>
        <w:tc>
          <w:tcPr>
            <w:tcW w:w="1648" w:type="dxa"/>
            <w:shd w:val="clear" w:color="auto" w:fill="FFFFFF"/>
            <w:vAlign w:val="center"/>
            <w:hideMark/>
          </w:tcPr>
          <w:p w14:paraId="7F78029A"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0A29B5B3" w14:textId="77777777">
        <w:trPr>
          <w:trHeight w:val="288"/>
        </w:trPr>
        <w:tc>
          <w:tcPr>
            <w:tcW w:w="779" w:type="dxa"/>
            <w:shd w:val="clear" w:color="auto" w:fill="FFFFFF"/>
            <w:vAlign w:val="center"/>
            <w:hideMark/>
          </w:tcPr>
          <w:p w14:paraId="7D2A2CF2"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560B4AF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0A485DD2"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Little Sandy Creek</w:t>
            </w:r>
            <w:r w:rsidRPr="00750434">
              <w:rPr>
                <w:rFonts w:cstheme="minorHAnsi"/>
                <w:color w:val="242424"/>
                <w:sz w:val="22"/>
                <w:szCs w:val="22"/>
              </w:rPr>
              <w:t> </w:t>
            </w:r>
          </w:p>
        </w:tc>
        <w:tc>
          <w:tcPr>
            <w:tcW w:w="1512" w:type="dxa"/>
            <w:shd w:val="clear" w:color="auto" w:fill="FFFFFF"/>
            <w:vAlign w:val="center"/>
            <w:hideMark/>
          </w:tcPr>
          <w:p w14:paraId="15440494"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2015</w:t>
            </w:r>
            <w:r w:rsidRPr="00750434">
              <w:rPr>
                <w:rFonts w:cstheme="minorHAnsi"/>
                <w:color w:val="242424"/>
                <w:sz w:val="22"/>
                <w:szCs w:val="22"/>
              </w:rPr>
              <w:t> </w:t>
            </w:r>
          </w:p>
        </w:tc>
        <w:tc>
          <w:tcPr>
            <w:tcW w:w="1648" w:type="dxa"/>
            <w:shd w:val="clear" w:color="auto" w:fill="FFFFFF"/>
            <w:vAlign w:val="center"/>
            <w:hideMark/>
          </w:tcPr>
          <w:p w14:paraId="6D705996"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139B1B71" w14:textId="77777777">
        <w:trPr>
          <w:trHeight w:val="288"/>
        </w:trPr>
        <w:tc>
          <w:tcPr>
            <w:tcW w:w="779" w:type="dxa"/>
            <w:shd w:val="clear" w:color="auto" w:fill="FFFFFF"/>
            <w:vAlign w:val="center"/>
            <w:hideMark/>
          </w:tcPr>
          <w:p w14:paraId="7D2C3E35"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255B8193"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4701" w:type="dxa"/>
            <w:shd w:val="clear" w:color="auto" w:fill="FFFFFF"/>
            <w:vAlign w:val="center"/>
            <w:hideMark/>
          </w:tcPr>
          <w:p w14:paraId="4286A3DE"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Blackwater River</w:t>
            </w:r>
            <w:r w:rsidRPr="00750434">
              <w:rPr>
                <w:rFonts w:cstheme="minorHAnsi"/>
                <w:color w:val="242424"/>
                <w:sz w:val="22"/>
                <w:szCs w:val="22"/>
              </w:rPr>
              <w:t> </w:t>
            </w:r>
          </w:p>
        </w:tc>
        <w:tc>
          <w:tcPr>
            <w:tcW w:w="1512" w:type="dxa"/>
            <w:shd w:val="clear" w:color="auto" w:fill="FFFFFF"/>
            <w:vAlign w:val="center"/>
            <w:hideMark/>
          </w:tcPr>
          <w:p w14:paraId="42494FB8"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2016</w:t>
            </w:r>
            <w:r w:rsidRPr="00750434">
              <w:rPr>
                <w:rFonts w:cstheme="minorHAnsi"/>
                <w:color w:val="242424"/>
                <w:sz w:val="22"/>
                <w:szCs w:val="22"/>
              </w:rPr>
              <w:t> </w:t>
            </w:r>
          </w:p>
        </w:tc>
        <w:tc>
          <w:tcPr>
            <w:tcW w:w="1648" w:type="dxa"/>
            <w:shd w:val="clear" w:color="auto" w:fill="FFFFFF"/>
            <w:vAlign w:val="center"/>
            <w:hideMark/>
          </w:tcPr>
          <w:p w14:paraId="1184180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05CEE19C" w14:textId="77777777">
        <w:trPr>
          <w:trHeight w:val="288"/>
        </w:trPr>
        <w:tc>
          <w:tcPr>
            <w:tcW w:w="779" w:type="dxa"/>
            <w:shd w:val="clear" w:color="auto" w:fill="FFFFFF"/>
            <w:vAlign w:val="center"/>
            <w:hideMark/>
          </w:tcPr>
          <w:p w14:paraId="40786F6E"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67579D55"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273BC5EF"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Big Chestnut Creek</w:t>
            </w:r>
            <w:r w:rsidRPr="00750434">
              <w:rPr>
                <w:rFonts w:cstheme="minorHAnsi"/>
                <w:color w:val="242424"/>
                <w:sz w:val="22"/>
                <w:szCs w:val="22"/>
              </w:rPr>
              <w:t> </w:t>
            </w:r>
          </w:p>
        </w:tc>
        <w:tc>
          <w:tcPr>
            <w:tcW w:w="1512" w:type="dxa"/>
            <w:shd w:val="clear" w:color="auto" w:fill="FFFFFF"/>
            <w:vAlign w:val="center"/>
            <w:hideMark/>
          </w:tcPr>
          <w:p w14:paraId="3B25258F"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2016</w:t>
            </w:r>
            <w:r w:rsidRPr="00750434">
              <w:rPr>
                <w:rFonts w:cstheme="minorHAnsi"/>
                <w:color w:val="242424"/>
                <w:sz w:val="22"/>
                <w:szCs w:val="22"/>
              </w:rPr>
              <w:t> </w:t>
            </w:r>
          </w:p>
        </w:tc>
        <w:tc>
          <w:tcPr>
            <w:tcW w:w="1648" w:type="dxa"/>
            <w:shd w:val="clear" w:color="auto" w:fill="FFFFFF"/>
            <w:vAlign w:val="center"/>
            <w:hideMark/>
          </w:tcPr>
          <w:p w14:paraId="1B1EC095"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3A2055DF" w14:textId="77777777">
        <w:trPr>
          <w:trHeight w:val="288"/>
        </w:trPr>
        <w:tc>
          <w:tcPr>
            <w:tcW w:w="779" w:type="dxa"/>
            <w:shd w:val="clear" w:color="auto" w:fill="FFFFFF"/>
            <w:vAlign w:val="center"/>
            <w:hideMark/>
          </w:tcPr>
          <w:p w14:paraId="6CB1CA1A"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7BA33CA1"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3</w:t>
            </w:r>
            <w:r w:rsidRPr="00750434">
              <w:rPr>
                <w:rFonts w:cstheme="minorHAnsi"/>
                <w:color w:val="242424"/>
                <w:sz w:val="22"/>
                <w:szCs w:val="22"/>
              </w:rPr>
              <w:t> </w:t>
            </w:r>
          </w:p>
        </w:tc>
        <w:tc>
          <w:tcPr>
            <w:tcW w:w="4701" w:type="dxa"/>
            <w:shd w:val="clear" w:color="auto" w:fill="FFFFFF"/>
            <w:vAlign w:val="center"/>
            <w:hideMark/>
          </w:tcPr>
          <w:p w14:paraId="4059EFFD"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Upper Robinson River</w:t>
            </w:r>
            <w:r w:rsidRPr="00750434">
              <w:rPr>
                <w:rFonts w:cstheme="minorHAnsi"/>
                <w:color w:val="242424"/>
                <w:sz w:val="22"/>
                <w:szCs w:val="22"/>
              </w:rPr>
              <w:t> </w:t>
            </w:r>
          </w:p>
        </w:tc>
        <w:tc>
          <w:tcPr>
            <w:tcW w:w="1512" w:type="dxa"/>
            <w:shd w:val="clear" w:color="auto" w:fill="FFFFFF"/>
            <w:vAlign w:val="center"/>
            <w:hideMark/>
          </w:tcPr>
          <w:p w14:paraId="55588E5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2017</w:t>
            </w:r>
            <w:r w:rsidRPr="00750434">
              <w:rPr>
                <w:rFonts w:cstheme="minorHAnsi"/>
                <w:color w:val="242424"/>
                <w:sz w:val="22"/>
                <w:szCs w:val="22"/>
              </w:rPr>
              <w:t> </w:t>
            </w:r>
          </w:p>
        </w:tc>
        <w:tc>
          <w:tcPr>
            <w:tcW w:w="1648" w:type="dxa"/>
            <w:shd w:val="clear" w:color="auto" w:fill="FFFFFF"/>
            <w:vAlign w:val="center"/>
            <w:hideMark/>
          </w:tcPr>
          <w:p w14:paraId="415A23E8"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5A11E9C3" w14:textId="77777777">
        <w:trPr>
          <w:trHeight w:val="288"/>
        </w:trPr>
        <w:tc>
          <w:tcPr>
            <w:tcW w:w="779" w:type="dxa"/>
            <w:shd w:val="clear" w:color="auto" w:fill="FFFFFF"/>
            <w:vAlign w:val="center"/>
            <w:hideMark/>
          </w:tcPr>
          <w:p w14:paraId="058B16A5"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43F0681F"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4701" w:type="dxa"/>
            <w:shd w:val="clear" w:color="auto" w:fill="FFFFFF"/>
            <w:vAlign w:val="center"/>
            <w:hideMark/>
          </w:tcPr>
          <w:p w14:paraId="78D73F3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Mountain Run</w:t>
            </w:r>
            <w:r w:rsidRPr="00750434">
              <w:rPr>
                <w:rFonts w:cstheme="minorHAnsi"/>
                <w:color w:val="242424"/>
                <w:sz w:val="22"/>
                <w:szCs w:val="22"/>
              </w:rPr>
              <w:t> </w:t>
            </w:r>
          </w:p>
        </w:tc>
        <w:tc>
          <w:tcPr>
            <w:tcW w:w="1512" w:type="dxa"/>
            <w:shd w:val="clear" w:color="auto" w:fill="FFFFFF"/>
            <w:vAlign w:val="center"/>
            <w:hideMark/>
          </w:tcPr>
          <w:p w14:paraId="74A1AFB2"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2017</w:t>
            </w:r>
            <w:r w:rsidRPr="00750434">
              <w:rPr>
                <w:rFonts w:cstheme="minorHAnsi"/>
                <w:color w:val="242424"/>
                <w:sz w:val="22"/>
                <w:szCs w:val="22"/>
              </w:rPr>
              <w:t> </w:t>
            </w:r>
          </w:p>
        </w:tc>
        <w:tc>
          <w:tcPr>
            <w:tcW w:w="1648" w:type="dxa"/>
            <w:shd w:val="clear" w:color="auto" w:fill="FFFFFF"/>
            <w:vAlign w:val="center"/>
            <w:hideMark/>
          </w:tcPr>
          <w:p w14:paraId="79DE23D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09E76AE0" w14:textId="77777777">
        <w:trPr>
          <w:trHeight w:val="288"/>
        </w:trPr>
        <w:tc>
          <w:tcPr>
            <w:tcW w:w="779" w:type="dxa"/>
            <w:shd w:val="clear" w:color="auto" w:fill="FFFFFF"/>
            <w:vAlign w:val="center"/>
            <w:hideMark/>
          </w:tcPr>
          <w:p w14:paraId="7C41C503"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023008DE"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07D0DB08"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Stone Creek</w:t>
            </w:r>
            <w:r w:rsidRPr="00750434">
              <w:rPr>
                <w:rFonts w:cstheme="minorHAnsi"/>
                <w:color w:val="242424"/>
                <w:sz w:val="22"/>
                <w:szCs w:val="22"/>
              </w:rPr>
              <w:t> </w:t>
            </w:r>
          </w:p>
        </w:tc>
        <w:tc>
          <w:tcPr>
            <w:tcW w:w="1512" w:type="dxa"/>
            <w:shd w:val="clear" w:color="auto" w:fill="FFFFFF"/>
            <w:vAlign w:val="center"/>
            <w:hideMark/>
          </w:tcPr>
          <w:p w14:paraId="726F861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2018</w:t>
            </w:r>
            <w:r w:rsidRPr="00750434">
              <w:rPr>
                <w:rFonts w:cstheme="minorHAnsi"/>
                <w:color w:val="242424"/>
                <w:sz w:val="22"/>
                <w:szCs w:val="22"/>
              </w:rPr>
              <w:t> </w:t>
            </w:r>
          </w:p>
        </w:tc>
        <w:tc>
          <w:tcPr>
            <w:tcW w:w="1648" w:type="dxa"/>
            <w:shd w:val="clear" w:color="auto" w:fill="FFFFFF"/>
            <w:vAlign w:val="center"/>
            <w:hideMark/>
          </w:tcPr>
          <w:p w14:paraId="3B781C6E"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Mining</w:t>
            </w:r>
            <w:r w:rsidRPr="00750434">
              <w:rPr>
                <w:rFonts w:cstheme="minorHAnsi"/>
                <w:color w:val="242424"/>
                <w:sz w:val="22"/>
                <w:szCs w:val="22"/>
              </w:rPr>
              <w:t> </w:t>
            </w:r>
          </w:p>
        </w:tc>
      </w:tr>
      <w:tr w:rsidR="0057435D" w:rsidRPr="00334520" w14:paraId="69989600" w14:textId="77777777">
        <w:trPr>
          <w:trHeight w:val="288"/>
        </w:trPr>
        <w:tc>
          <w:tcPr>
            <w:tcW w:w="779" w:type="dxa"/>
            <w:shd w:val="clear" w:color="auto" w:fill="FFFFFF"/>
            <w:vAlign w:val="center"/>
            <w:hideMark/>
          </w:tcPr>
          <w:p w14:paraId="0DFBCEB9"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10363D4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w:t>
            </w:r>
            <w:r w:rsidRPr="00750434">
              <w:rPr>
                <w:rFonts w:cstheme="minorHAnsi"/>
                <w:color w:val="242424"/>
                <w:sz w:val="22"/>
                <w:szCs w:val="22"/>
              </w:rPr>
              <w:t> </w:t>
            </w:r>
          </w:p>
        </w:tc>
        <w:tc>
          <w:tcPr>
            <w:tcW w:w="4701" w:type="dxa"/>
            <w:shd w:val="clear" w:color="auto" w:fill="FFFFFF"/>
            <w:vAlign w:val="center"/>
            <w:hideMark/>
          </w:tcPr>
          <w:p w14:paraId="0BDA0E90"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Willis River</w:t>
            </w:r>
            <w:r w:rsidRPr="00750434">
              <w:rPr>
                <w:rFonts w:cstheme="minorHAnsi"/>
                <w:color w:val="242424"/>
                <w:sz w:val="22"/>
                <w:szCs w:val="22"/>
              </w:rPr>
              <w:t> </w:t>
            </w:r>
          </w:p>
        </w:tc>
        <w:tc>
          <w:tcPr>
            <w:tcW w:w="1512" w:type="dxa"/>
            <w:shd w:val="clear" w:color="auto" w:fill="FFFFFF"/>
            <w:vAlign w:val="center"/>
            <w:hideMark/>
          </w:tcPr>
          <w:p w14:paraId="476D5326"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2018</w:t>
            </w:r>
            <w:r w:rsidRPr="00750434">
              <w:rPr>
                <w:rFonts w:cstheme="minorHAnsi"/>
                <w:color w:val="242424"/>
                <w:sz w:val="22"/>
                <w:szCs w:val="22"/>
              </w:rPr>
              <w:t> </w:t>
            </w:r>
          </w:p>
        </w:tc>
        <w:tc>
          <w:tcPr>
            <w:tcW w:w="1648" w:type="dxa"/>
            <w:shd w:val="clear" w:color="auto" w:fill="FFFFFF"/>
            <w:vAlign w:val="center"/>
            <w:hideMark/>
          </w:tcPr>
          <w:p w14:paraId="481BB26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2EA7B953" w14:textId="77777777">
        <w:trPr>
          <w:trHeight w:val="288"/>
        </w:trPr>
        <w:tc>
          <w:tcPr>
            <w:tcW w:w="779" w:type="dxa"/>
            <w:shd w:val="clear" w:color="auto" w:fill="FFFFFF"/>
            <w:vAlign w:val="center"/>
            <w:hideMark/>
          </w:tcPr>
          <w:p w14:paraId="1DBF63C1"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5262B03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2F0F044D"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Slate River – Rock Island Creek</w:t>
            </w:r>
            <w:r w:rsidRPr="00750434">
              <w:rPr>
                <w:rFonts w:cstheme="minorHAnsi"/>
                <w:color w:val="242424"/>
                <w:sz w:val="22"/>
                <w:szCs w:val="22"/>
              </w:rPr>
              <w:t> </w:t>
            </w:r>
          </w:p>
        </w:tc>
        <w:tc>
          <w:tcPr>
            <w:tcW w:w="1512" w:type="dxa"/>
            <w:shd w:val="clear" w:color="auto" w:fill="FFFFFF"/>
            <w:vAlign w:val="center"/>
            <w:hideMark/>
          </w:tcPr>
          <w:p w14:paraId="6E24BB09"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2019</w:t>
            </w:r>
            <w:r w:rsidRPr="00750434">
              <w:rPr>
                <w:rFonts w:cstheme="minorHAnsi"/>
                <w:color w:val="242424"/>
                <w:sz w:val="22"/>
                <w:szCs w:val="22"/>
              </w:rPr>
              <w:t> </w:t>
            </w:r>
          </w:p>
        </w:tc>
        <w:tc>
          <w:tcPr>
            <w:tcW w:w="1648" w:type="dxa"/>
            <w:shd w:val="clear" w:color="auto" w:fill="FFFFFF"/>
            <w:vAlign w:val="center"/>
            <w:hideMark/>
          </w:tcPr>
          <w:p w14:paraId="122849E6"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6EBB1C61" w14:textId="77777777">
        <w:trPr>
          <w:trHeight w:val="288"/>
        </w:trPr>
        <w:tc>
          <w:tcPr>
            <w:tcW w:w="779" w:type="dxa"/>
            <w:shd w:val="clear" w:color="auto" w:fill="FFFFFF"/>
            <w:vAlign w:val="center"/>
            <w:hideMark/>
          </w:tcPr>
          <w:p w14:paraId="737D648A"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2C86F599"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5088C4F9"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Dumps Creek</w:t>
            </w:r>
            <w:r w:rsidRPr="00750434">
              <w:rPr>
                <w:rFonts w:cstheme="minorHAnsi"/>
                <w:color w:val="242424"/>
                <w:sz w:val="22"/>
                <w:szCs w:val="22"/>
              </w:rPr>
              <w:t> </w:t>
            </w:r>
          </w:p>
        </w:tc>
        <w:tc>
          <w:tcPr>
            <w:tcW w:w="1512" w:type="dxa"/>
            <w:shd w:val="clear" w:color="auto" w:fill="FFFFFF"/>
            <w:vAlign w:val="center"/>
            <w:hideMark/>
          </w:tcPr>
          <w:p w14:paraId="29F96ED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2019</w:t>
            </w:r>
            <w:r w:rsidRPr="00750434">
              <w:rPr>
                <w:rFonts w:cstheme="minorHAnsi"/>
                <w:color w:val="242424"/>
                <w:sz w:val="22"/>
                <w:szCs w:val="22"/>
              </w:rPr>
              <w:t> </w:t>
            </w:r>
          </w:p>
        </w:tc>
        <w:tc>
          <w:tcPr>
            <w:tcW w:w="1648" w:type="dxa"/>
            <w:shd w:val="clear" w:color="auto" w:fill="FFFFFF"/>
            <w:vAlign w:val="center"/>
            <w:hideMark/>
          </w:tcPr>
          <w:p w14:paraId="611E9EB3"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Mining</w:t>
            </w:r>
            <w:r w:rsidRPr="00750434">
              <w:rPr>
                <w:rFonts w:cstheme="minorHAnsi"/>
                <w:color w:val="242424"/>
                <w:sz w:val="22"/>
                <w:szCs w:val="22"/>
              </w:rPr>
              <w:t> </w:t>
            </w:r>
          </w:p>
        </w:tc>
      </w:tr>
      <w:tr w:rsidR="0057435D" w:rsidRPr="00334520" w14:paraId="4A20E335" w14:textId="77777777">
        <w:trPr>
          <w:trHeight w:val="288"/>
        </w:trPr>
        <w:tc>
          <w:tcPr>
            <w:tcW w:w="779" w:type="dxa"/>
            <w:shd w:val="clear" w:color="auto" w:fill="FFFFFF"/>
            <w:vAlign w:val="center"/>
            <w:hideMark/>
          </w:tcPr>
          <w:p w14:paraId="1B3CAFE6"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0234CB5F"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3E6AB38F"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Deep Creek</w:t>
            </w:r>
            <w:r w:rsidRPr="00750434">
              <w:rPr>
                <w:rFonts w:cstheme="minorHAnsi"/>
                <w:color w:val="242424"/>
                <w:sz w:val="22"/>
                <w:szCs w:val="22"/>
              </w:rPr>
              <w:t> </w:t>
            </w:r>
          </w:p>
        </w:tc>
        <w:tc>
          <w:tcPr>
            <w:tcW w:w="1512" w:type="dxa"/>
            <w:shd w:val="clear" w:color="auto" w:fill="FFFFFF"/>
            <w:vAlign w:val="center"/>
            <w:hideMark/>
          </w:tcPr>
          <w:p w14:paraId="1E7749B3"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2020</w:t>
            </w:r>
            <w:r w:rsidRPr="00750434">
              <w:rPr>
                <w:rFonts w:cstheme="minorHAnsi"/>
                <w:color w:val="242424"/>
                <w:sz w:val="22"/>
                <w:szCs w:val="22"/>
              </w:rPr>
              <w:t> </w:t>
            </w:r>
          </w:p>
        </w:tc>
        <w:tc>
          <w:tcPr>
            <w:tcW w:w="1648" w:type="dxa"/>
            <w:shd w:val="clear" w:color="auto" w:fill="FFFFFF"/>
            <w:vAlign w:val="center"/>
            <w:hideMark/>
          </w:tcPr>
          <w:p w14:paraId="61530CDA"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26E7169B" w14:textId="77777777">
        <w:trPr>
          <w:trHeight w:val="288"/>
        </w:trPr>
        <w:tc>
          <w:tcPr>
            <w:tcW w:w="779" w:type="dxa"/>
            <w:shd w:val="clear" w:color="auto" w:fill="FFFFFF"/>
            <w:vAlign w:val="center"/>
            <w:hideMark/>
          </w:tcPr>
          <w:p w14:paraId="6AB94430"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6079E0C5"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3EB0BEA8"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Middle River</w:t>
            </w:r>
            <w:r w:rsidRPr="00750434">
              <w:rPr>
                <w:rFonts w:cstheme="minorHAnsi"/>
                <w:color w:val="242424"/>
                <w:sz w:val="22"/>
                <w:szCs w:val="22"/>
              </w:rPr>
              <w:t> </w:t>
            </w:r>
          </w:p>
        </w:tc>
        <w:tc>
          <w:tcPr>
            <w:tcW w:w="1512" w:type="dxa"/>
            <w:shd w:val="clear" w:color="auto" w:fill="FFFFFF"/>
            <w:vAlign w:val="center"/>
            <w:hideMark/>
          </w:tcPr>
          <w:p w14:paraId="1D8F0BC0"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2020</w:t>
            </w:r>
            <w:r w:rsidRPr="00750434">
              <w:rPr>
                <w:rFonts w:cstheme="minorHAnsi"/>
                <w:color w:val="242424"/>
                <w:sz w:val="22"/>
                <w:szCs w:val="22"/>
              </w:rPr>
              <w:t> </w:t>
            </w:r>
          </w:p>
        </w:tc>
        <w:tc>
          <w:tcPr>
            <w:tcW w:w="1648" w:type="dxa"/>
            <w:shd w:val="clear" w:color="auto" w:fill="FFFFFF"/>
            <w:vAlign w:val="center"/>
            <w:hideMark/>
          </w:tcPr>
          <w:p w14:paraId="13C27AA0"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44F38DC7" w14:textId="77777777">
        <w:trPr>
          <w:trHeight w:val="288"/>
        </w:trPr>
        <w:tc>
          <w:tcPr>
            <w:tcW w:w="779" w:type="dxa"/>
            <w:shd w:val="clear" w:color="auto" w:fill="FFFFFF"/>
            <w:vAlign w:val="center"/>
            <w:hideMark/>
          </w:tcPr>
          <w:p w14:paraId="0A5B00EB"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603EEB38"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w:t>
            </w:r>
            <w:r w:rsidRPr="00750434">
              <w:rPr>
                <w:rFonts w:cstheme="minorHAnsi"/>
                <w:color w:val="242424"/>
                <w:sz w:val="22"/>
                <w:szCs w:val="22"/>
              </w:rPr>
              <w:t> </w:t>
            </w:r>
          </w:p>
        </w:tc>
        <w:tc>
          <w:tcPr>
            <w:tcW w:w="4701" w:type="dxa"/>
            <w:shd w:val="clear" w:color="auto" w:fill="FFFFFF"/>
            <w:vAlign w:val="center"/>
            <w:hideMark/>
          </w:tcPr>
          <w:p w14:paraId="68D2B7DB"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Little Cub Creek</w:t>
            </w:r>
            <w:r w:rsidRPr="00750434">
              <w:rPr>
                <w:rFonts w:cstheme="minorHAnsi"/>
                <w:color w:val="242424"/>
                <w:sz w:val="22"/>
                <w:szCs w:val="22"/>
              </w:rPr>
              <w:t> </w:t>
            </w:r>
          </w:p>
        </w:tc>
        <w:tc>
          <w:tcPr>
            <w:tcW w:w="1512" w:type="dxa"/>
            <w:shd w:val="clear" w:color="auto" w:fill="FFFFFF"/>
            <w:vAlign w:val="center"/>
            <w:hideMark/>
          </w:tcPr>
          <w:p w14:paraId="76E437B4"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2020</w:t>
            </w:r>
            <w:r w:rsidRPr="00750434">
              <w:rPr>
                <w:rFonts w:cstheme="minorHAnsi"/>
                <w:color w:val="242424"/>
                <w:sz w:val="22"/>
                <w:szCs w:val="22"/>
              </w:rPr>
              <w:t> </w:t>
            </w:r>
          </w:p>
        </w:tc>
        <w:tc>
          <w:tcPr>
            <w:tcW w:w="1648" w:type="dxa"/>
            <w:shd w:val="clear" w:color="auto" w:fill="FFFFFF"/>
            <w:vAlign w:val="center"/>
            <w:hideMark/>
          </w:tcPr>
          <w:p w14:paraId="2C39EADB"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3AD7E9F5" w14:textId="77777777">
        <w:trPr>
          <w:trHeight w:val="288"/>
        </w:trPr>
        <w:tc>
          <w:tcPr>
            <w:tcW w:w="779" w:type="dxa"/>
            <w:shd w:val="clear" w:color="auto" w:fill="FFFFFF"/>
            <w:vAlign w:val="center"/>
            <w:hideMark/>
          </w:tcPr>
          <w:p w14:paraId="4E92EA4D"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75337219"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2</w:t>
            </w:r>
            <w:r w:rsidRPr="00750434">
              <w:rPr>
                <w:rFonts w:cstheme="minorHAnsi"/>
                <w:color w:val="242424"/>
                <w:sz w:val="22"/>
                <w:szCs w:val="22"/>
              </w:rPr>
              <w:t> </w:t>
            </w:r>
          </w:p>
        </w:tc>
        <w:tc>
          <w:tcPr>
            <w:tcW w:w="4701" w:type="dxa"/>
            <w:shd w:val="clear" w:color="auto" w:fill="FFFFFF"/>
            <w:vAlign w:val="center"/>
            <w:hideMark/>
          </w:tcPr>
          <w:p w14:paraId="51AD1906"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South Fork Back Creek</w:t>
            </w:r>
            <w:r w:rsidRPr="00750434">
              <w:rPr>
                <w:rFonts w:cstheme="minorHAnsi"/>
                <w:color w:val="242424"/>
                <w:sz w:val="22"/>
                <w:szCs w:val="22"/>
              </w:rPr>
              <w:t> </w:t>
            </w:r>
          </w:p>
        </w:tc>
        <w:tc>
          <w:tcPr>
            <w:tcW w:w="1512" w:type="dxa"/>
            <w:shd w:val="clear" w:color="auto" w:fill="FFFFFF"/>
            <w:vAlign w:val="center"/>
            <w:hideMark/>
          </w:tcPr>
          <w:p w14:paraId="78A5E367"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2021 </w:t>
            </w:r>
          </w:p>
        </w:tc>
        <w:tc>
          <w:tcPr>
            <w:tcW w:w="1648" w:type="dxa"/>
            <w:shd w:val="clear" w:color="auto" w:fill="FFFFFF"/>
            <w:vAlign w:val="center"/>
            <w:hideMark/>
          </w:tcPr>
          <w:p w14:paraId="0F11D9A9"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1FA4CE10" w14:textId="77777777">
        <w:trPr>
          <w:trHeight w:val="288"/>
        </w:trPr>
        <w:tc>
          <w:tcPr>
            <w:tcW w:w="779" w:type="dxa"/>
            <w:shd w:val="clear" w:color="auto" w:fill="FFFFFF"/>
            <w:vAlign w:val="center"/>
            <w:hideMark/>
          </w:tcPr>
          <w:p w14:paraId="08373360"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48BA9568"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2</w:t>
            </w:r>
            <w:r w:rsidRPr="00750434">
              <w:rPr>
                <w:rFonts w:cstheme="minorHAnsi"/>
                <w:color w:val="242424"/>
                <w:sz w:val="22"/>
                <w:szCs w:val="22"/>
              </w:rPr>
              <w:t> </w:t>
            </w:r>
          </w:p>
        </w:tc>
        <w:tc>
          <w:tcPr>
            <w:tcW w:w="4701" w:type="dxa"/>
            <w:shd w:val="clear" w:color="auto" w:fill="FFFFFF"/>
            <w:vAlign w:val="center"/>
            <w:hideMark/>
          </w:tcPr>
          <w:p w14:paraId="3902A514"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Indian Creek</w:t>
            </w:r>
            <w:r w:rsidRPr="00750434">
              <w:rPr>
                <w:rFonts w:cstheme="minorHAnsi"/>
                <w:color w:val="242424"/>
                <w:sz w:val="22"/>
                <w:szCs w:val="22"/>
              </w:rPr>
              <w:t> </w:t>
            </w:r>
          </w:p>
        </w:tc>
        <w:tc>
          <w:tcPr>
            <w:tcW w:w="1512" w:type="dxa"/>
            <w:shd w:val="clear" w:color="auto" w:fill="FFFFFF"/>
            <w:vAlign w:val="center"/>
            <w:hideMark/>
          </w:tcPr>
          <w:p w14:paraId="3583B221"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2021</w:t>
            </w:r>
            <w:r w:rsidRPr="00750434">
              <w:rPr>
                <w:rFonts w:cstheme="minorHAnsi"/>
                <w:color w:val="242424"/>
                <w:sz w:val="22"/>
                <w:szCs w:val="22"/>
              </w:rPr>
              <w:t> </w:t>
            </w:r>
          </w:p>
        </w:tc>
        <w:tc>
          <w:tcPr>
            <w:tcW w:w="1648" w:type="dxa"/>
            <w:shd w:val="clear" w:color="auto" w:fill="FFFFFF"/>
            <w:vAlign w:val="center"/>
            <w:hideMark/>
          </w:tcPr>
          <w:p w14:paraId="185568DE"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5CB76819" w14:textId="77777777">
        <w:trPr>
          <w:trHeight w:val="288"/>
        </w:trPr>
        <w:tc>
          <w:tcPr>
            <w:tcW w:w="779" w:type="dxa"/>
            <w:shd w:val="clear" w:color="auto" w:fill="FFFFFF"/>
            <w:vAlign w:val="center"/>
            <w:hideMark/>
          </w:tcPr>
          <w:p w14:paraId="1082053F"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w:t>
            </w:r>
            <w:r w:rsidRPr="00750434">
              <w:rPr>
                <w:rFonts w:cstheme="minorHAnsi"/>
                <w:color w:val="242424"/>
                <w:sz w:val="22"/>
                <w:szCs w:val="22"/>
              </w:rPr>
              <w:t> </w:t>
            </w:r>
          </w:p>
        </w:tc>
        <w:tc>
          <w:tcPr>
            <w:tcW w:w="1188" w:type="dxa"/>
            <w:shd w:val="clear" w:color="auto" w:fill="FFFFFF"/>
            <w:vAlign w:val="center"/>
            <w:hideMark/>
          </w:tcPr>
          <w:p w14:paraId="670FF5A9"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2</w:t>
            </w:r>
            <w:r w:rsidRPr="00750434">
              <w:rPr>
                <w:rFonts w:cstheme="minorHAnsi"/>
                <w:color w:val="242424"/>
                <w:sz w:val="22"/>
                <w:szCs w:val="22"/>
              </w:rPr>
              <w:t> </w:t>
            </w:r>
          </w:p>
        </w:tc>
        <w:tc>
          <w:tcPr>
            <w:tcW w:w="4701" w:type="dxa"/>
            <w:shd w:val="clear" w:color="auto" w:fill="FFFFFF"/>
            <w:vAlign w:val="center"/>
            <w:hideMark/>
          </w:tcPr>
          <w:p w14:paraId="6A5041F0"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Buffalo Creek-North Fork</w:t>
            </w:r>
            <w:r w:rsidRPr="00750434">
              <w:rPr>
                <w:rFonts w:cstheme="minorHAnsi"/>
                <w:color w:val="242424"/>
                <w:sz w:val="22"/>
                <w:szCs w:val="22"/>
              </w:rPr>
              <w:t> </w:t>
            </w:r>
          </w:p>
        </w:tc>
        <w:tc>
          <w:tcPr>
            <w:tcW w:w="1512" w:type="dxa"/>
            <w:shd w:val="clear" w:color="auto" w:fill="FFFFFF"/>
            <w:vAlign w:val="center"/>
            <w:hideMark/>
          </w:tcPr>
          <w:p w14:paraId="23FE8375"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2022</w:t>
            </w:r>
            <w:r w:rsidRPr="00750434">
              <w:rPr>
                <w:rFonts w:cstheme="minorHAnsi"/>
                <w:color w:val="242424"/>
                <w:sz w:val="22"/>
                <w:szCs w:val="22"/>
              </w:rPr>
              <w:t> </w:t>
            </w:r>
          </w:p>
        </w:tc>
        <w:tc>
          <w:tcPr>
            <w:tcW w:w="1648" w:type="dxa"/>
            <w:shd w:val="clear" w:color="auto" w:fill="FFFFFF"/>
            <w:vAlign w:val="center"/>
            <w:hideMark/>
          </w:tcPr>
          <w:p w14:paraId="7605EF3A"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15F2D859" w14:textId="77777777">
        <w:trPr>
          <w:trHeight w:val="288"/>
        </w:trPr>
        <w:tc>
          <w:tcPr>
            <w:tcW w:w="779" w:type="dxa"/>
            <w:shd w:val="clear" w:color="auto" w:fill="FFFFFF"/>
            <w:vAlign w:val="center"/>
            <w:hideMark/>
          </w:tcPr>
          <w:p w14:paraId="032173CF"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1 </w:t>
            </w:r>
          </w:p>
        </w:tc>
        <w:tc>
          <w:tcPr>
            <w:tcW w:w="1188" w:type="dxa"/>
            <w:shd w:val="clear" w:color="auto" w:fill="FFFFFF"/>
            <w:vAlign w:val="center"/>
            <w:hideMark/>
          </w:tcPr>
          <w:p w14:paraId="35646ED1"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4 </w:t>
            </w:r>
          </w:p>
        </w:tc>
        <w:tc>
          <w:tcPr>
            <w:tcW w:w="4701" w:type="dxa"/>
            <w:shd w:val="clear" w:color="auto" w:fill="FFFFFF"/>
            <w:vAlign w:val="center"/>
            <w:hideMark/>
          </w:tcPr>
          <w:p w14:paraId="68FC1E9E"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Powell River </w:t>
            </w:r>
          </w:p>
        </w:tc>
        <w:tc>
          <w:tcPr>
            <w:tcW w:w="1512" w:type="dxa"/>
            <w:shd w:val="clear" w:color="auto" w:fill="FFFFFF"/>
            <w:vAlign w:val="center"/>
            <w:hideMark/>
          </w:tcPr>
          <w:p w14:paraId="2B2F8A50"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2022 </w:t>
            </w:r>
          </w:p>
        </w:tc>
        <w:tc>
          <w:tcPr>
            <w:tcW w:w="1648" w:type="dxa"/>
            <w:shd w:val="clear" w:color="auto" w:fill="FFFFFF"/>
            <w:vAlign w:val="center"/>
            <w:hideMark/>
          </w:tcPr>
          <w:p w14:paraId="59D9DCA7"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334520" w14:paraId="66C47574" w14:textId="77777777">
        <w:trPr>
          <w:trHeight w:val="288"/>
        </w:trPr>
        <w:tc>
          <w:tcPr>
            <w:tcW w:w="779" w:type="dxa"/>
            <w:tcBorders>
              <w:bottom w:val="single" w:sz="4" w:space="0" w:color="auto"/>
            </w:tcBorders>
            <w:shd w:val="clear" w:color="auto" w:fill="FFFFFF"/>
            <w:vAlign w:val="center"/>
            <w:hideMark/>
          </w:tcPr>
          <w:p w14:paraId="20629478"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1 </w:t>
            </w:r>
          </w:p>
        </w:tc>
        <w:tc>
          <w:tcPr>
            <w:tcW w:w="1188" w:type="dxa"/>
            <w:tcBorders>
              <w:bottom w:val="single" w:sz="4" w:space="0" w:color="auto"/>
            </w:tcBorders>
            <w:shd w:val="clear" w:color="auto" w:fill="FFFFFF"/>
            <w:vAlign w:val="center"/>
            <w:hideMark/>
          </w:tcPr>
          <w:p w14:paraId="00E673AC"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1 </w:t>
            </w:r>
          </w:p>
        </w:tc>
        <w:tc>
          <w:tcPr>
            <w:tcW w:w="4701" w:type="dxa"/>
            <w:tcBorders>
              <w:bottom w:val="single" w:sz="4" w:space="0" w:color="auto"/>
            </w:tcBorders>
            <w:shd w:val="clear" w:color="auto" w:fill="FFFFFF"/>
            <w:vAlign w:val="center"/>
            <w:hideMark/>
          </w:tcPr>
          <w:p w14:paraId="23F04A2E"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Deep Creek </w:t>
            </w:r>
          </w:p>
        </w:tc>
        <w:tc>
          <w:tcPr>
            <w:tcW w:w="1512" w:type="dxa"/>
            <w:tcBorders>
              <w:bottom w:val="single" w:sz="4" w:space="0" w:color="auto"/>
            </w:tcBorders>
            <w:shd w:val="clear" w:color="auto" w:fill="FFFFFF"/>
            <w:vAlign w:val="center"/>
            <w:hideMark/>
          </w:tcPr>
          <w:p w14:paraId="545A7F22" w14:textId="77777777" w:rsidR="0057435D" w:rsidRPr="00750434" w:rsidRDefault="0057435D">
            <w:pPr>
              <w:jc w:val="center"/>
              <w:rPr>
                <w:rFonts w:cstheme="minorHAnsi"/>
                <w:sz w:val="22"/>
                <w:szCs w:val="22"/>
              </w:rPr>
            </w:pPr>
            <w:r w:rsidRPr="00750434">
              <w:rPr>
                <w:rStyle w:val="contentpasted0"/>
                <w:rFonts w:cstheme="minorHAnsi"/>
                <w:color w:val="242424"/>
                <w:sz w:val="22"/>
                <w:szCs w:val="22"/>
                <w:bdr w:val="none" w:sz="0" w:space="0" w:color="auto" w:frame="1"/>
              </w:rPr>
              <w:t>2022 </w:t>
            </w:r>
          </w:p>
        </w:tc>
        <w:tc>
          <w:tcPr>
            <w:tcW w:w="1648" w:type="dxa"/>
            <w:tcBorders>
              <w:bottom w:val="single" w:sz="4" w:space="0" w:color="auto"/>
            </w:tcBorders>
            <w:shd w:val="clear" w:color="auto" w:fill="FFFFFF"/>
            <w:vAlign w:val="center"/>
            <w:hideMark/>
          </w:tcPr>
          <w:p w14:paraId="2ECC1814" w14:textId="77777777" w:rsidR="0057435D" w:rsidRPr="00750434" w:rsidRDefault="0057435D">
            <w:pPr>
              <w:jc w:val="center"/>
              <w:rPr>
                <w:rFonts w:cstheme="minorHAnsi"/>
                <w:sz w:val="22"/>
                <w:szCs w:val="22"/>
              </w:rPr>
            </w:pPr>
            <w:r w:rsidRPr="00750434">
              <w:rPr>
                <w:rStyle w:val="contentpasted0"/>
                <w:rFonts w:cstheme="minorHAnsi"/>
                <w:color w:val="000000"/>
                <w:sz w:val="22"/>
                <w:szCs w:val="22"/>
                <w:bdr w:val="none" w:sz="0" w:space="0" w:color="auto" w:frame="1"/>
              </w:rPr>
              <w:t>TMDL-Imp</w:t>
            </w:r>
          </w:p>
        </w:tc>
      </w:tr>
      <w:tr w:rsidR="0057435D" w:rsidRPr="00BA4282" w14:paraId="574F94C7" w14:textId="77777777">
        <w:trPr>
          <w:trHeight w:val="288"/>
        </w:trPr>
        <w:tc>
          <w:tcPr>
            <w:tcW w:w="779" w:type="dxa"/>
            <w:tcBorders>
              <w:top w:val="single" w:sz="4" w:space="0" w:color="auto"/>
              <w:bottom w:val="single" w:sz="12" w:space="0" w:color="auto"/>
            </w:tcBorders>
            <w:shd w:val="clear" w:color="auto" w:fill="FFFFFF" w:themeFill="background1"/>
            <w:vAlign w:val="center"/>
            <w:hideMark/>
          </w:tcPr>
          <w:p w14:paraId="19DADA34" w14:textId="77777777" w:rsidR="0057435D" w:rsidRPr="00BA4282" w:rsidRDefault="0057435D">
            <w:pPr>
              <w:jc w:val="center"/>
              <w:rPr>
                <w:rFonts w:cstheme="minorHAnsi"/>
                <w:b/>
                <w:bCs/>
                <w:sz w:val="22"/>
                <w:szCs w:val="22"/>
              </w:rPr>
            </w:pPr>
            <w:r w:rsidRPr="00BA4282">
              <w:rPr>
                <w:rStyle w:val="contentpasted0"/>
                <w:rFonts w:cstheme="minorHAnsi"/>
                <w:b/>
                <w:bCs/>
                <w:color w:val="000000"/>
                <w:sz w:val="22"/>
                <w:szCs w:val="22"/>
                <w:bdr w:val="none" w:sz="0" w:space="0" w:color="auto" w:frame="1"/>
              </w:rPr>
              <w:t>Total</w:t>
            </w:r>
            <w:r w:rsidRPr="00BA4282">
              <w:rPr>
                <w:rFonts w:cstheme="minorHAnsi"/>
                <w:b/>
                <w:bCs/>
                <w:color w:val="242424"/>
                <w:sz w:val="22"/>
                <w:szCs w:val="22"/>
              </w:rPr>
              <w:t> </w:t>
            </w:r>
          </w:p>
        </w:tc>
        <w:tc>
          <w:tcPr>
            <w:tcW w:w="1188" w:type="dxa"/>
            <w:tcBorders>
              <w:top w:val="single" w:sz="4" w:space="0" w:color="auto"/>
              <w:bottom w:val="single" w:sz="12" w:space="0" w:color="auto"/>
            </w:tcBorders>
            <w:shd w:val="clear" w:color="auto" w:fill="FFFFFF" w:themeFill="background1"/>
            <w:vAlign w:val="center"/>
            <w:hideMark/>
          </w:tcPr>
          <w:p w14:paraId="7BF1C86A" w14:textId="77777777" w:rsidR="0057435D" w:rsidRPr="00BA4282" w:rsidRDefault="0057435D">
            <w:pPr>
              <w:jc w:val="center"/>
              <w:rPr>
                <w:rFonts w:cstheme="minorHAnsi"/>
                <w:b/>
                <w:bCs/>
                <w:sz w:val="22"/>
                <w:szCs w:val="22"/>
              </w:rPr>
            </w:pPr>
            <w:r w:rsidRPr="00BA4282">
              <w:rPr>
                <w:rStyle w:val="contentpasted0"/>
                <w:rFonts w:cstheme="minorHAnsi"/>
                <w:b/>
                <w:bCs/>
                <w:color w:val="242424"/>
                <w:sz w:val="22"/>
                <w:szCs w:val="22"/>
              </w:rPr>
              <w:t>51 </w:t>
            </w:r>
          </w:p>
        </w:tc>
        <w:tc>
          <w:tcPr>
            <w:tcW w:w="4701" w:type="dxa"/>
            <w:tcBorders>
              <w:top w:val="single" w:sz="4" w:space="0" w:color="auto"/>
              <w:bottom w:val="single" w:sz="12" w:space="0" w:color="auto"/>
            </w:tcBorders>
            <w:shd w:val="clear" w:color="auto" w:fill="FFFFFF" w:themeFill="background1"/>
            <w:vAlign w:val="center"/>
            <w:hideMark/>
          </w:tcPr>
          <w:p w14:paraId="05A28E50" w14:textId="77777777" w:rsidR="0057435D" w:rsidRPr="00BA4282" w:rsidRDefault="0057435D">
            <w:pPr>
              <w:jc w:val="center"/>
              <w:rPr>
                <w:rFonts w:cstheme="minorHAnsi"/>
                <w:b/>
                <w:bCs/>
                <w:sz w:val="22"/>
                <w:szCs w:val="22"/>
              </w:rPr>
            </w:pPr>
            <w:r w:rsidRPr="00BA4282">
              <w:rPr>
                <w:rStyle w:val="contentpasted0"/>
                <w:rFonts w:cstheme="minorHAnsi"/>
                <w:b/>
                <w:bCs/>
                <w:color w:val="000000"/>
                <w:sz w:val="22"/>
                <w:szCs w:val="22"/>
                <w:bdr w:val="none" w:sz="0" w:space="0" w:color="auto" w:frame="1"/>
              </w:rPr>
              <w:t> </w:t>
            </w:r>
          </w:p>
        </w:tc>
        <w:tc>
          <w:tcPr>
            <w:tcW w:w="1512" w:type="dxa"/>
            <w:tcBorders>
              <w:top w:val="single" w:sz="4" w:space="0" w:color="auto"/>
              <w:bottom w:val="single" w:sz="12" w:space="0" w:color="auto"/>
            </w:tcBorders>
            <w:shd w:val="clear" w:color="auto" w:fill="FFFFFF" w:themeFill="background1"/>
            <w:vAlign w:val="center"/>
            <w:hideMark/>
          </w:tcPr>
          <w:p w14:paraId="483A33A8" w14:textId="77777777" w:rsidR="0057435D" w:rsidRPr="00BA4282" w:rsidRDefault="0057435D">
            <w:pPr>
              <w:jc w:val="center"/>
              <w:rPr>
                <w:rFonts w:cstheme="minorHAnsi"/>
                <w:b/>
                <w:bCs/>
                <w:sz w:val="22"/>
                <w:szCs w:val="22"/>
              </w:rPr>
            </w:pPr>
            <w:r w:rsidRPr="00BA4282">
              <w:rPr>
                <w:rStyle w:val="contentpasted0"/>
                <w:rFonts w:cstheme="minorHAnsi"/>
                <w:b/>
                <w:bCs/>
                <w:color w:val="000000"/>
                <w:sz w:val="22"/>
                <w:szCs w:val="22"/>
                <w:bdr w:val="none" w:sz="0" w:space="0" w:color="auto" w:frame="1"/>
              </w:rPr>
              <w:t> </w:t>
            </w:r>
          </w:p>
        </w:tc>
        <w:tc>
          <w:tcPr>
            <w:tcW w:w="1648" w:type="dxa"/>
            <w:tcBorders>
              <w:top w:val="single" w:sz="4" w:space="0" w:color="auto"/>
              <w:bottom w:val="single" w:sz="12" w:space="0" w:color="auto"/>
            </w:tcBorders>
            <w:shd w:val="clear" w:color="auto" w:fill="FFFFFF" w:themeFill="background1"/>
            <w:vAlign w:val="center"/>
            <w:hideMark/>
          </w:tcPr>
          <w:p w14:paraId="7BDC8E64" w14:textId="77777777" w:rsidR="0057435D" w:rsidRPr="00BA4282" w:rsidRDefault="0057435D">
            <w:pPr>
              <w:jc w:val="center"/>
              <w:rPr>
                <w:rFonts w:cstheme="minorHAnsi"/>
                <w:b/>
                <w:bCs/>
                <w:sz w:val="22"/>
                <w:szCs w:val="22"/>
              </w:rPr>
            </w:pPr>
            <w:r w:rsidRPr="00BA4282">
              <w:rPr>
                <w:rStyle w:val="contentpasted0"/>
                <w:rFonts w:cstheme="minorHAnsi"/>
                <w:b/>
                <w:bCs/>
                <w:color w:val="000000"/>
                <w:sz w:val="22"/>
                <w:szCs w:val="22"/>
                <w:bdr w:val="none" w:sz="0" w:space="0" w:color="auto" w:frame="1"/>
              </w:rPr>
              <w:t> </w:t>
            </w:r>
          </w:p>
        </w:tc>
      </w:tr>
    </w:tbl>
    <w:p w14:paraId="230B7946" w14:textId="77777777" w:rsidR="0057435D" w:rsidRDefault="0057435D" w:rsidP="0057435D"/>
    <w:p w14:paraId="0A384A40" w14:textId="77777777" w:rsidR="0057435D" w:rsidRDefault="0057435D" w:rsidP="0057435D"/>
    <w:p w14:paraId="50BB9CC8" w14:textId="77777777" w:rsidR="0057435D" w:rsidRPr="0057435D" w:rsidRDefault="0057435D" w:rsidP="0057435D"/>
    <w:p w14:paraId="11BF43D6" w14:textId="77777777" w:rsidR="006C607C" w:rsidRDefault="006C607C" w:rsidP="006C607C"/>
    <w:p w14:paraId="7393ED79" w14:textId="3E212542" w:rsidR="00CD297C" w:rsidRDefault="00CD297C" w:rsidP="006C607C">
      <w:pPr>
        <w:sectPr w:rsidR="00CD297C" w:rsidSect="009079C4">
          <w:pgSz w:w="12240" w:h="15840"/>
          <w:pgMar w:top="1440" w:right="1440" w:bottom="1440" w:left="1440" w:header="720" w:footer="720" w:gutter="0"/>
          <w:cols w:space="720"/>
          <w:docGrid w:linePitch="360"/>
        </w:sectPr>
      </w:pPr>
    </w:p>
    <w:p w14:paraId="1D84131C" w14:textId="72300981" w:rsidR="007C2579" w:rsidRPr="004B2D35" w:rsidRDefault="0088791A" w:rsidP="004B2D35">
      <w:pPr>
        <w:pStyle w:val="Heading2"/>
      </w:pPr>
      <w:bookmarkStart w:id="418" w:name="_Toc152763326"/>
      <w:bookmarkStart w:id="419" w:name="_Toc155771970"/>
      <w:bookmarkStart w:id="420" w:name="_Toc191900449"/>
      <w:r w:rsidRPr="004B2D35">
        <w:lastRenderedPageBreak/>
        <w:t xml:space="preserve">Pollution Prevention and Environmental Management </w:t>
      </w:r>
      <w:r w:rsidR="00DC707B" w:rsidRPr="004B2D35">
        <w:t>Systems</w:t>
      </w:r>
      <w:bookmarkEnd w:id="418"/>
      <w:bookmarkEnd w:id="419"/>
      <w:bookmarkEnd w:id="420"/>
    </w:p>
    <w:p w14:paraId="6EDDEC0A" w14:textId="7670530D" w:rsidR="007C2579" w:rsidRPr="00CD54BC" w:rsidRDefault="007C2579" w:rsidP="00CD54BC">
      <w:pPr>
        <w:pStyle w:val="Heading3"/>
      </w:pPr>
      <w:r w:rsidRPr="00CD54BC">
        <w:t>Pollution Prevention</w:t>
      </w:r>
    </w:p>
    <w:p w14:paraId="0D2A197A" w14:textId="77777777" w:rsidR="007C2579" w:rsidRPr="00ED0808" w:rsidRDefault="007C2579" w:rsidP="0032427D">
      <w:pPr>
        <w:rPr>
          <w:rFonts w:cstheme="minorHAnsi"/>
          <w:szCs w:val="24"/>
        </w:rPr>
      </w:pPr>
      <w:r w:rsidRPr="00ED0808">
        <w:rPr>
          <w:rFonts w:cstheme="minorHAnsi"/>
          <w:szCs w:val="24"/>
        </w:rPr>
        <w:t xml:space="preserve">Pollution prevention (P2) is recognized by the US EPA as the most cost-effective form of environmental protection because it is an environmental management strategy that emphasizes the elimination or reduction of </w:t>
      </w:r>
      <w:proofErr w:type="gramStart"/>
      <w:r w:rsidRPr="00ED0808">
        <w:rPr>
          <w:rFonts w:cstheme="minorHAnsi"/>
          <w:szCs w:val="24"/>
        </w:rPr>
        <w:t>wastes</w:t>
      </w:r>
      <w:proofErr w:type="gramEnd"/>
      <w:r w:rsidRPr="00ED0808">
        <w:rPr>
          <w:rFonts w:cstheme="minorHAnsi"/>
          <w:szCs w:val="24"/>
        </w:rPr>
        <w:t xml:space="preserve"> at the source of generation. Traditional waste management techniques such as treatment, disposal, and recycling concentrate on managing </w:t>
      </w:r>
      <w:proofErr w:type="gramStart"/>
      <w:r w:rsidRPr="00ED0808">
        <w:rPr>
          <w:rFonts w:cstheme="minorHAnsi"/>
          <w:szCs w:val="24"/>
        </w:rPr>
        <w:t>wastes</w:t>
      </w:r>
      <w:proofErr w:type="gramEnd"/>
      <w:r w:rsidRPr="00ED0808">
        <w:rPr>
          <w:rFonts w:cstheme="minorHAnsi"/>
          <w:szCs w:val="24"/>
        </w:rPr>
        <w:t xml:space="preserve"> after they are generated. P2 focuses on the avoidance of waste generation. </w:t>
      </w:r>
    </w:p>
    <w:p w14:paraId="23200FAD" w14:textId="77777777" w:rsidR="007C2579" w:rsidRPr="00ED0808" w:rsidRDefault="007C2579" w:rsidP="007C2579">
      <w:pPr>
        <w:rPr>
          <w:rFonts w:cstheme="minorHAnsi"/>
          <w:szCs w:val="24"/>
        </w:rPr>
      </w:pPr>
    </w:p>
    <w:p w14:paraId="200615B9" w14:textId="37D5BD9D" w:rsidR="007C2579" w:rsidRPr="00ED0808" w:rsidRDefault="007C2579" w:rsidP="007C2579">
      <w:pPr>
        <w:rPr>
          <w:rFonts w:cstheme="minorHAnsi"/>
          <w:szCs w:val="24"/>
        </w:rPr>
      </w:pPr>
      <w:r w:rsidRPr="00ED0808">
        <w:rPr>
          <w:rFonts w:cstheme="minorHAnsi"/>
          <w:szCs w:val="24"/>
        </w:rPr>
        <w:t>P</w:t>
      </w:r>
      <w:r w:rsidR="00FA35E5">
        <w:rPr>
          <w:rFonts w:cstheme="minorHAnsi"/>
          <w:szCs w:val="24"/>
        </w:rPr>
        <w:t>ollution prevention</w:t>
      </w:r>
      <w:r w:rsidRPr="00ED0808">
        <w:rPr>
          <w:rFonts w:cstheme="minorHAnsi"/>
          <w:szCs w:val="24"/>
        </w:rPr>
        <w:t xml:space="preserve"> efforts strive to identify opportunities to conserve and use materials as efficiently as possible. In addition, P2 stresses the reduction of toxicity and prevention of spills and raw material/product losses whenever possible. Pollution prevention is distinguished from recycling and reuse efforts because these management techniques involve waste handling, </w:t>
      </w:r>
      <w:proofErr w:type="gramStart"/>
      <w:r w:rsidRPr="00ED0808">
        <w:rPr>
          <w:rFonts w:cstheme="minorHAnsi"/>
          <w:szCs w:val="24"/>
        </w:rPr>
        <w:t>collection</w:t>
      </w:r>
      <w:proofErr w:type="gramEnd"/>
      <w:r w:rsidRPr="00ED0808">
        <w:rPr>
          <w:rFonts w:cstheme="minorHAnsi"/>
          <w:szCs w:val="24"/>
        </w:rPr>
        <w:t xml:space="preserve">, and reprocessing into a new raw material or </w:t>
      </w:r>
      <w:proofErr w:type="gramStart"/>
      <w:r w:rsidRPr="00ED0808">
        <w:rPr>
          <w:rFonts w:cstheme="minorHAnsi"/>
          <w:szCs w:val="24"/>
        </w:rPr>
        <w:t>useable</w:t>
      </w:r>
      <w:proofErr w:type="gramEnd"/>
      <w:r w:rsidRPr="00ED0808">
        <w:rPr>
          <w:rFonts w:cstheme="minorHAnsi"/>
          <w:szCs w:val="24"/>
        </w:rPr>
        <w:t xml:space="preserve"> product. P2, which is often referred to as source reduction, eliminates or reduces the need for additional waste handling and the costs associated with that process. As such, P2 can result in significant cost savings while reducing overall environmental impacts and liabilities and facilitating compliance with environmental regulations.</w:t>
      </w:r>
    </w:p>
    <w:p w14:paraId="247C24B0" w14:textId="77777777" w:rsidR="007C2579" w:rsidRPr="00ED0808" w:rsidRDefault="007C2579" w:rsidP="007C2579">
      <w:pPr>
        <w:jc w:val="both"/>
        <w:rPr>
          <w:rFonts w:cstheme="minorHAnsi"/>
          <w:b/>
          <w:szCs w:val="24"/>
        </w:rPr>
      </w:pPr>
    </w:p>
    <w:p w14:paraId="49983C8B" w14:textId="248B8420" w:rsidR="007C2579" w:rsidRPr="00CD54BC" w:rsidRDefault="007C2579" w:rsidP="00CD54BC">
      <w:pPr>
        <w:pStyle w:val="Heading3"/>
      </w:pPr>
      <w:r w:rsidRPr="00CD54BC">
        <w:t xml:space="preserve">Environmental Management Systems </w:t>
      </w:r>
    </w:p>
    <w:p w14:paraId="2C176A21" w14:textId="77777777" w:rsidR="00502380" w:rsidRPr="00ED0808" w:rsidRDefault="00502380" w:rsidP="00502380">
      <w:pPr>
        <w:rPr>
          <w:rFonts w:cstheme="minorHAnsi"/>
          <w:szCs w:val="24"/>
        </w:rPr>
      </w:pPr>
      <w:r w:rsidRPr="00ED0808">
        <w:rPr>
          <w:rFonts w:cstheme="minorHAnsi"/>
          <w:szCs w:val="24"/>
        </w:rPr>
        <w:t xml:space="preserve">Many </w:t>
      </w:r>
      <w:r>
        <w:rPr>
          <w:rFonts w:cstheme="minorHAnsi"/>
          <w:szCs w:val="24"/>
        </w:rPr>
        <w:t>organizations</w:t>
      </w:r>
      <w:r w:rsidRPr="00ED0808">
        <w:rPr>
          <w:rFonts w:cstheme="minorHAnsi"/>
          <w:szCs w:val="24"/>
        </w:rPr>
        <w:t xml:space="preserve"> that understand the value of P2 realize that the environmental impacts of their operations</w:t>
      </w:r>
      <w:r>
        <w:rPr>
          <w:rFonts w:cstheme="minorHAnsi"/>
          <w:szCs w:val="24"/>
        </w:rPr>
        <w:t>, including but not limited to personnel training, facility management and</w:t>
      </w:r>
      <w:r w:rsidRPr="00ED0808">
        <w:rPr>
          <w:rFonts w:cstheme="minorHAnsi"/>
          <w:szCs w:val="24"/>
        </w:rPr>
        <w:t xml:space="preserve"> </w:t>
      </w:r>
      <w:r>
        <w:rPr>
          <w:rFonts w:cstheme="minorHAnsi"/>
          <w:szCs w:val="24"/>
        </w:rPr>
        <w:t xml:space="preserve">new construction, </w:t>
      </w:r>
      <w:r w:rsidRPr="00ED0808">
        <w:rPr>
          <w:rFonts w:cstheme="minorHAnsi"/>
          <w:szCs w:val="24"/>
        </w:rPr>
        <w:t>are not just a by-product of what they do, but an integral part of their business model that affects the very success or failure of their organization. The</w:t>
      </w:r>
      <w:r>
        <w:rPr>
          <w:rFonts w:cstheme="minorHAnsi"/>
          <w:szCs w:val="24"/>
        </w:rPr>
        <w:t>y</w:t>
      </w:r>
      <w:r w:rsidRPr="00ED0808">
        <w:rPr>
          <w:rFonts w:cstheme="minorHAnsi"/>
          <w:szCs w:val="24"/>
        </w:rPr>
        <w:t xml:space="preserve"> embraced the development of an environmental management system (EMS) to </w:t>
      </w:r>
      <w:r>
        <w:rPr>
          <w:rFonts w:cstheme="minorHAnsi"/>
          <w:szCs w:val="24"/>
        </w:rPr>
        <w:t xml:space="preserve">promote environmental considerations </w:t>
      </w:r>
      <w:r w:rsidRPr="00ED0808">
        <w:rPr>
          <w:rFonts w:cstheme="minorHAnsi"/>
          <w:szCs w:val="24"/>
        </w:rPr>
        <w:t xml:space="preserve">in all facets of the company’s operations. A successful EMS sets goals for </w:t>
      </w:r>
      <w:proofErr w:type="gramStart"/>
      <w:r w:rsidRPr="00ED0808">
        <w:rPr>
          <w:rFonts w:cstheme="minorHAnsi"/>
          <w:szCs w:val="24"/>
        </w:rPr>
        <w:t>implementation</w:t>
      </w:r>
      <w:proofErr w:type="gramEnd"/>
      <w:r w:rsidRPr="00ED0808">
        <w:rPr>
          <w:rFonts w:cstheme="minorHAnsi"/>
          <w:szCs w:val="24"/>
        </w:rPr>
        <w:t xml:space="preserve"> of P2 and other projects that will enable continuous </w:t>
      </w:r>
      <w:proofErr w:type="gramStart"/>
      <w:r w:rsidRPr="00ED0808">
        <w:rPr>
          <w:rFonts w:cstheme="minorHAnsi"/>
          <w:szCs w:val="24"/>
        </w:rPr>
        <w:t>improvements</w:t>
      </w:r>
      <w:proofErr w:type="gramEnd"/>
      <w:r w:rsidRPr="00ED0808">
        <w:rPr>
          <w:rFonts w:cstheme="minorHAnsi"/>
          <w:szCs w:val="24"/>
        </w:rPr>
        <w:t xml:space="preserve"> </w:t>
      </w:r>
      <w:r>
        <w:rPr>
          <w:rFonts w:cstheme="minorHAnsi"/>
          <w:szCs w:val="24"/>
        </w:rPr>
        <w:t>an organization</w:t>
      </w:r>
      <w:r w:rsidRPr="00ED0808">
        <w:rPr>
          <w:rFonts w:cstheme="minorHAnsi"/>
          <w:szCs w:val="24"/>
        </w:rPr>
        <w:t xml:space="preserve">’s environmental performance year after year. Compliance with environmental regulations </w:t>
      </w:r>
      <w:r>
        <w:rPr>
          <w:rFonts w:cstheme="minorHAnsi"/>
          <w:szCs w:val="24"/>
        </w:rPr>
        <w:t xml:space="preserve">is </w:t>
      </w:r>
      <w:r w:rsidRPr="00ED0808">
        <w:rPr>
          <w:rFonts w:cstheme="minorHAnsi"/>
          <w:szCs w:val="24"/>
        </w:rPr>
        <w:t xml:space="preserve">a starting point for </w:t>
      </w:r>
      <w:r>
        <w:rPr>
          <w:rFonts w:cstheme="minorHAnsi"/>
          <w:szCs w:val="24"/>
        </w:rPr>
        <w:t xml:space="preserve">organizations </w:t>
      </w:r>
      <w:r w:rsidRPr="00ED0808">
        <w:rPr>
          <w:rFonts w:cstheme="minorHAnsi"/>
          <w:szCs w:val="24"/>
        </w:rPr>
        <w:t>with an EMS to build on, and the EMS drives companies to focus on reducing environmental impacts rather than just maintaining compliance.</w:t>
      </w:r>
    </w:p>
    <w:p w14:paraId="3B5F29ED" w14:textId="77777777" w:rsidR="007C2579" w:rsidRPr="00ED0808" w:rsidRDefault="007C2579" w:rsidP="007C2579">
      <w:pPr>
        <w:jc w:val="both"/>
        <w:rPr>
          <w:rFonts w:cstheme="minorHAnsi"/>
          <w:szCs w:val="24"/>
        </w:rPr>
      </w:pPr>
    </w:p>
    <w:p w14:paraId="3E55CF58" w14:textId="6C9466F2" w:rsidR="00846A16" w:rsidRPr="00CD54BC" w:rsidRDefault="00846A16" w:rsidP="00CD54BC">
      <w:pPr>
        <w:pStyle w:val="Heading3"/>
      </w:pPr>
      <w:r w:rsidRPr="00CD54BC">
        <w:t>Office of Pollution Prevention</w:t>
      </w:r>
    </w:p>
    <w:p w14:paraId="4B1281A7" w14:textId="5953D8DF" w:rsidR="007C2579" w:rsidRPr="00ED0808" w:rsidRDefault="007C2579" w:rsidP="00647F3C">
      <w:pPr>
        <w:rPr>
          <w:rFonts w:cstheme="minorHAnsi"/>
          <w:szCs w:val="24"/>
        </w:rPr>
      </w:pPr>
      <w:r w:rsidRPr="00ED0808">
        <w:rPr>
          <w:rFonts w:cstheme="minorHAnsi"/>
          <w:szCs w:val="24"/>
        </w:rPr>
        <w:t xml:space="preserve">The P2 and EMS programs are good news for water quality as they offer cost-effective opportunities for reducing water contamination. </w:t>
      </w:r>
      <w:r w:rsidR="002977E1">
        <w:rPr>
          <w:rFonts w:cstheme="minorHAnsi"/>
          <w:szCs w:val="24"/>
        </w:rPr>
        <w:t xml:space="preserve">The </w:t>
      </w:r>
      <w:r w:rsidRPr="00ED0808">
        <w:rPr>
          <w:rFonts w:cstheme="minorHAnsi"/>
          <w:szCs w:val="24"/>
        </w:rPr>
        <w:t xml:space="preserve">P2 techniques offer excellent applications for reductions in water usage, chemical and nutrient inputs to wastewater, treatment, and stormwater minimization and management. </w:t>
      </w:r>
      <w:r w:rsidR="00C819DD">
        <w:rPr>
          <w:rFonts w:cstheme="minorHAnsi"/>
          <w:szCs w:val="24"/>
        </w:rPr>
        <w:t xml:space="preserve">The </w:t>
      </w:r>
      <w:r w:rsidRPr="00ED0808">
        <w:rPr>
          <w:rFonts w:cstheme="minorHAnsi"/>
          <w:szCs w:val="24"/>
        </w:rPr>
        <w:t>EMSs will ensure that P2 techniques are considered and employed whenever possible as part of the facility’s normal business process. Compliance with water quality standards will be the beginning point, and they will strive to continuously do better than those standards.</w:t>
      </w:r>
    </w:p>
    <w:p w14:paraId="7311BCF0" w14:textId="77777777" w:rsidR="007C2579" w:rsidRPr="00ED0808" w:rsidRDefault="007C2579" w:rsidP="007C25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2"/>
        <w:jc w:val="both"/>
        <w:rPr>
          <w:rFonts w:cstheme="minorHAnsi"/>
          <w:szCs w:val="24"/>
        </w:rPr>
      </w:pPr>
    </w:p>
    <w:p w14:paraId="0A8A26D9" w14:textId="659FDCB6" w:rsidR="007C2579" w:rsidRPr="00ED0808" w:rsidRDefault="007C2579" w:rsidP="00647F3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theme="minorHAnsi"/>
          <w:szCs w:val="24"/>
          <w:u w:val="single"/>
        </w:rPr>
      </w:pPr>
      <w:r w:rsidRPr="00F52DF7">
        <w:rPr>
          <w:rFonts w:cstheme="minorHAnsi"/>
          <w:szCs w:val="24"/>
        </w:rPr>
        <w:t xml:space="preserve">The </w:t>
      </w:r>
      <w:r w:rsidR="00420211">
        <w:rPr>
          <w:rFonts w:cstheme="minorHAnsi"/>
          <w:szCs w:val="24"/>
        </w:rPr>
        <w:t>agency’s</w:t>
      </w:r>
      <w:r w:rsidRPr="00ED0808">
        <w:rPr>
          <w:rFonts w:cstheme="minorHAnsi"/>
          <w:szCs w:val="24"/>
        </w:rPr>
        <w:t xml:space="preserve"> Office of Pollution Prevention (OPP) runs non-regulatory programs that promote the use of voluntary pollution prevention approaches and technologies and the use of EMSs. </w:t>
      </w:r>
      <w:r w:rsidRPr="00ED0808">
        <w:rPr>
          <w:rFonts w:cstheme="minorHAnsi"/>
          <w:szCs w:val="24"/>
        </w:rPr>
        <w:lastRenderedPageBreak/>
        <w:t xml:space="preserve">The OPP has developed a variety of voluntary programs, resources, and partnerships to encourage facilities that are interested in doing more than the minimum as required by regulations. These programs provide public recognition and award opportunities, </w:t>
      </w:r>
      <w:r w:rsidR="003C6485" w:rsidRPr="00ED0808">
        <w:rPr>
          <w:rFonts w:cstheme="minorHAnsi"/>
          <w:szCs w:val="24"/>
        </w:rPr>
        <w:t>assistance,</w:t>
      </w:r>
      <w:r w:rsidRPr="00ED0808">
        <w:rPr>
          <w:rFonts w:cstheme="minorHAnsi"/>
          <w:szCs w:val="24"/>
        </w:rPr>
        <w:t xml:space="preserve"> and even regulatory incentives for participating.</w:t>
      </w:r>
    </w:p>
    <w:p w14:paraId="7100F66C" w14:textId="77777777" w:rsidR="007C2579" w:rsidRPr="00ED0808" w:rsidRDefault="007C2579" w:rsidP="007C25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20"/>
        <w:rPr>
          <w:rFonts w:cstheme="minorHAnsi"/>
          <w:szCs w:val="24"/>
          <w:u w:val="single"/>
        </w:rPr>
      </w:pPr>
    </w:p>
    <w:p w14:paraId="4CFA71CA" w14:textId="77777777" w:rsidR="007C2579" w:rsidRPr="006B0254" w:rsidRDefault="007C2579" w:rsidP="006B0254">
      <w:pPr>
        <w:pStyle w:val="Heading4"/>
      </w:pPr>
      <w:r w:rsidRPr="006B0254">
        <w:t>Voluntary Programs</w:t>
      </w:r>
    </w:p>
    <w:p w14:paraId="3EEC233B" w14:textId="77777777" w:rsidR="007C2579" w:rsidRPr="00ED0808" w:rsidRDefault="007C2579" w:rsidP="007C25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cstheme="minorHAnsi"/>
          <w:szCs w:val="24"/>
        </w:rPr>
      </w:pPr>
    </w:p>
    <w:p w14:paraId="041067E7" w14:textId="32E186B2" w:rsidR="007C2579" w:rsidRPr="008A3973" w:rsidRDefault="007C2579" w:rsidP="007C2579">
      <w:pPr>
        <w:ind w:left="2160"/>
        <w:rPr>
          <w:rFonts w:cstheme="minorHAnsi"/>
          <w:szCs w:val="24"/>
        </w:rPr>
      </w:pPr>
      <w:r w:rsidRPr="00ED0808">
        <w:rPr>
          <w:rFonts w:cstheme="minorHAnsi"/>
          <w:noProof/>
          <w:szCs w:val="24"/>
        </w:rPr>
        <w:drawing>
          <wp:anchor distT="0" distB="0" distL="114300" distR="114300" simplePos="0" relativeHeight="251658241" behindDoc="1" locked="0" layoutInCell="1" allowOverlap="1" wp14:anchorId="2127F489" wp14:editId="15294E76">
            <wp:simplePos x="0" y="0"/>
            <wp:positionH relativeFrom="column">
              <wp:posOffset>-128905</wp:posOffset>
            </wp:positionH>
            <wp:positionV relativeFrom="paragraph">
              <wp:posOffset>45720</wp:posOffset>
            </wp:positionV>
            <wp:extent cx="1371600" cy="612140"/>
            <wp:effectExtent l="0" t="0" r="0" b="0"/>
            <wp:wrapTight wrapText="bothSides">
              <wp:wrapPolygon edited="0">
                <wp:start x="0" y="0"/>
                <wp:lineTo x="0" y="20838"/>
                <wp:lineTo x="21300" y="20838"/>
                <wp:lineTo x="21300" y="0"/>
                <wp:lineTo x="0" y="0"/>
              </wp:wrapPolygon>
            </wp:wrapTight>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1371600" cy="612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D0808">
        <w:rPr>
          <w:rFonts w:cstheme="minorHAnsi"/>
          <w:szCs w:val="24"/>
        </w:rPr>
        <w:t>The</w:t>
      </w:r>
      <w:r w:rsidRPr="00ED0808">
        <w:rPr>
          <w:rFonts w:cstheme="minorHAnsi"/>
          <w:b/>
          <w:szCs w:val="24"/>
        </w:rPr>
        <w:t xml:space="preserve"> </w:t>
      </w:r>
      <w:r w:rsidRPr="00ED0808">
        <w:rPr>
          <w:rFonts w:cstheme="minorHAnsi"/>
          <w:bCs/>
          <w:iCs/>
          <w:szCs w:val="24"/>
        </w:rPr>
        <w:t>Virginia Environmental Excellence Program (VEEP)</w:t>
      </w:r>
      <w:r w:rsidRPr="00ED0808">
        <w:rPr>
          <w:rFonts w:cstheme="minorHAnsi"/>
          <w:szCs w:val="24"/>
        </w:rPr>
        <w:t xml:space="preserve"> is DEQ’s program to promote the voluntary use of environmental management systems, pollution prevention and sustainability. The program offers recognition and regulatory incentives to encourage facilities to develop and implement </w:t>
      </w:r>
      <w:proofErr w:type="gramStart"/>
      <w:r w:rsidRPr="00ED0808">
        <w:rPr>
          <w:rFonts w:cstheme="minorHAnsi"/>
          <w:szCs w:val="24"/>
        </w:rPr>
        <w:t>an EMS</w:t>
      </w:r>
      <w:proofErr w:type="gramEnd"/>
      <w:r w:rsidRPr="00ED0808">
        <w:rPr>
          <w:rFonts w:cstheme="minorHAnsi"/>
          <w:szCs w:val="24"/>
        </w:rPr>
        <w:t xml:space="preserve">. For instance, facilities that participate in the VEEP’s EMS Track can receive a discount on certain annual permit fees. In addition, </w:t>
      </w:r>
      <w:proofErr w:type="gramStart"/>
      <w:r w:rsidRPr="00ED0808">
        <w:rPr>
          <w:rFonts w:cstheme="minorHAnsi"/>
          <w:szCs w:val="24"/>
        </w:rPr>
        <w:t>the VEEP</w:t>
      </w:r>
      <w:proofErr w:type="gramEnd"/>
      <w:r w:rsidRPr="00ED0808">
        <w:rPr>
          <w:rFonts w:cstheme="minorHAnsi"/>
          <w:szCs w:val="24"/>
        </w:rPr>
        <w:t xml:space="preserve"> Sustainability Partners are recognized for environmental sustainability efforts. For more information, see</w:t>
      </w:r>
      <w:r w:rsidR="00D00B6E">
        <w:rPr>
          <w:rFonts w:cstheme="minorHAnsi"/>
          <w:szCs w:val="24"/>
        </w:rPr>
        <w:t xml:space="preserve"> the DEQ Virginia Environmental Excellence Program webpage.</w:t>
      </w:r>
    </w:p>
    <w:p w14:paraId="046EB7C1" w14:textId="77777777" w:rsidR="007C2579" w:rsidRPr="00ED0808" w:rsidRDefault="007C2579" w:rsidP="007C2579">
      <w:pPr>
        <w:rPr>
          <w:rFonts w:cstheme="minorHAnsi"/>
          <w:szCs w:val="24"/>
        </w:rPr>
      </w:pPr>
    </w:p>
    <w:p w14:paraId="268C0862" w14:textId="244DBC06" w:rsidR="007C2579" w:rsidRPr="00ED0808" w:rsidRDefault="007C2579" w:rsidP="007C2579">
      <w:pPr>
        <w:ind w:left="2160"/>
        <w:rPr>
          <w:rFonts w:cstheme="minorHAnsi"/>
          <w:szCs w:val="24"/>
        </w:rPr>
      </w:pPr>
      <w:r w:rsidRPr="00ED0808">
        <w:rPr>
          <w:rFonts w:cstheme="minorHAnsi"/>
          <w:bCs/>
          <w:iCs/>
          <w:noProof/>
          <w:snapToGrid/>
          <w:szCs w:val="24"/>
        </w:rPr>
        <w:drawing>
          <wp:anchor distT="0" distB="0" distL="114300" distR="114300" simplePos="0" relativeHeight="251658242" behindDoc="1" locked="0" layoutInCell="1" allowOverlap="1" wp14:anchorId="7A44B059" wp14:editId="6CB3C933">
            <wp:simplePos x="0" y="0"/>
            <wp:positionH relativeFrom="margin">
              <wp:align>left</wp:align>
            </wp:positionH>
            <wp:positionV relativeFrom="paragraph">
              <wp:posOffset>123190</wp:posOffset>
            </wp:positionV>
            <wp:extent cx="1270000" cy="990600"/>
            <wp:effectExtent l="0" t="0" r="6350" b="0"/>
            <wp:wrapThrough wrapText="bothSides">
              <wp:wrapPolygon edited="0">
                <wp:start x="0" y="0"/>
                <wp:lineTo x="0" y="21185"/>
                <wp:lineTo x="21384" y="21185"/>
                <wp:lineTo x="21384" y="0"/>
                <wp:lineTo x="0" y="0"/>
              </wp:wrapPolygon>
            </wp:wrapThrough>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0" y="0"/>
                      <a:ext cx="1270000" cy="990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D0808">
        <w:rPr>
          <w:rFonts w:cstheme="minorHAnsi"/>
          <w:bCs/>
          <w:iCs/>
          <w:szCs w:val="24"/>
        </w:rPr>
        <w:t>Virginia Green</w:t>
      </w:r>
      <w:r w:rsidRPr="00ED0808">
        <w:rPr>
          <w:rFonts w:cstheme="minorHAnsi"/>
          <w:b/>
          <w:i/>
          <w:szCs w:val="24"/>
        </w:rPr>
        <w:t xml:space="preserve"> </w:t>
      </w:r>
      <w:r w:rsidRPr="00ED0808">
        <w:rPr>
          <w:rFonts w:cstheme="minorHAnsi"/>
          <w:szCs w:val="24"/>
        </w:rPr>
        <w:t xml:space="preserve">is the DEQ's voluntary initiative to promote pollution prevention </w:t>
      </w:r>
      <w:proofErr w:type="gramStart"/>
      <w:r w:rsidRPr="00ED0808">
        <w:rPr>
          <w:rFonts w:cstheme="minorHAnsi"/>
          <w:szCs w:val="24"/>
        </w:rPr>
        <w:t>practices</w:t>
      </w:r>
      <w:proofErr w:type="gramEnd"/>
      <w:r w:rsidRPr="00ED0808">
        <w:rPr>
          <w:rFonts w:cstheme="minorHAnsi"/>
          <w:szCs w:val="24"/>
        </w:rPr>
        <w:t xml:space="preserve"> all aspects of Virginia’s tourism industry. </w:t>
      </w:r>
      <w:r w:rsidRPr="00ED0808">
        <w:rPr>
          <w:rFonts w:cstheme="minorHAnsi"/>
          <w:iCs/>
          <w:szCs w:val="24"/>
        </w:rPr>
        <w:t>Virginia Green</w:t>
      </w:r>
      <w:r w:rsidRPr="00ED0808">
        <w:rPr>
          <w:rFonts w:cstheme="minorHAnsi"/>
          <w:i/>
          <w:szCs w:val="24"/>
        </w:rPr>
        <w:t xml:space="preserve"> </w:t>
      </w:r>
      <w:r w:rsidRPr="00ED0808">
        <w:rPr>
          <w:rFonts w:cstheme="minorHAnsi"/>
          <w:szCs w:val="24"/>
        </w:rPr>
        <w:t xml:space="preserve">is run in partnership with the Virginia Green Travel Alliance, Virginia Tourism </w:t>
      </w:r>
      <w:r w:rsidR="006B0254" w:rsidRPr="00ED0808">
        <w:rPr>
          <w:rFonts w:cstheme="minorHAnsi"/>
          <w:szCs w:val="24"/>
        </w:rPr>
        <w:t>Corporation,</w:t>
      </w:r>
      <w:r w:rsidRPr="00ED0808">
        <w:rPr>
          <w:rFonts w:cstheme="minorHAnsi"/>
          <w:szCs w:val="24"/>
        </w:rPr>
        <w:t xml:space="preserve"> and the Virginia Restaurant, Lodging and Travel Association. Virginia Green members commit to implementing practicing to reduce waste, conserve water and use energy efficiently. The DEQ provides informational resources for implementing green practices. </w:t>
      </w:r>
      <w:bookmarkStart w:id="421" w:name="_Hlk143074154"/>
      <w:r w:rsidRPr="00ED0808">
        <w:rPr>
          <w:rFonts w:cstheme="minorHAnsi"/>
          <w:szCs w:val="24"/>
        </w:rPr>
        <w:t>For more information, go to</w:t>
      </w:r>
      <w:r w:rsidR="00CC7403">
        <w:rPr>
          <w:rFonts w:cstheme="minorHAnsi"/>
          <w:szCs w:val="24"/>
        </w:rPr>
        <w:t xml:space="preserve"> the DEQ Virginia Green webpage</w:t>
      </w:r>
      <w:bookmarkEnd w:id="421"/>
      <w:r w:rsidR="00CC7403">
        <w:rPr>
          <w:rFonts w:cstheme="minorHAnsi"/>
          <w:szCs w:val="24"/>
        </w:rPr>
        <w:t>.</w:t>
      </w:r>
    </w:p>
    <w:p w14:paraId="652A63F4" w14:textId="77777777" w:rsidR="007C2579" w:rsidRPr="00ED0808" w:rsidRDefault="007C2579" w:rsidP="007C2579">
      <w:pPr>
        <w:widowControl/>
        <w:rPr>
          <w:rFonts w:cstheme="minorHAnsi"/>
          <w:b/>
          <w:i/>
          <w:szCs w:val="24"/>
        </w:rPr>
      </w:pPr>
    </w:p>
    <w:p w14:paraId="26496501" w14:textId="61167E6E" w:rsidR="007C2579" w:rsidRPr="00ED0808" w:rsidRDefault="007C2579" w:rsidP="007C2579">
      <w:pPr>
        <w:rPr>
          <w:rFonts w:cstheme="minorHAnsi"/>
          <w:szCs w:val="24"/>
        </w:rPr>
      </w:pPr>
      <w:r w:rsidRPr="00ED0808">
        <w:rPr>
          <w:rFonts w:cstheme="minorHAnsi"/>
          <w:szCs w:val="24"/>
        </w:rPr>
        <w:t>The OPP has compiled case studies to encourage companies and municipalities to adopt P2 practices. The case studies show real world examples and identify technologies and techniques that were successful. These examples showcase the effectiveness of P2 projects by quantifying pollution reduction, cost savings and other benefits. The highlighted success stories have improved environmental performance by going above and beyond the industry standard. For more information, go to</w:t>
      </w:r>
      <w:r w:rsidR="00D25FBD">
        <w:rPr>
          <w:rFonts w:cstheme="minorHAnsi"/>
          <w:szCs w:val="24"/>
        </w:rPr>
        <w:t xml:space="preserve"> the DEQ </w:t>
      </w:r>
      <w:r w:rsidR="00925A89">
        <w:rPr>
          <w:rFonts w:cstheme="minorHAnsi"/>
          <w:szCs w:val="24"/>
        </w:rPr>
        <w:t xml:space="preserve">Pollution Prevention </w:t>
      </w:r>
      <w:r w:rsidR="00D25FBD">
        <w:rPr>
          <w:rFonts w:cstheme="minorHAnsi"/>
          <w:szCs w:val="24"/>
        </w:rPr>
        <w:t xml:space="preserve">Case </w:t>
      </w:r>
      <w:r w:rsidR="00925A89">
        <w:rPr>
          <w:rFonts w:cstheme="minorHAnsi"/>
          <w:szCs w:val="24"/>
        </w:rPr>
        <w:t>Studies</w:t>
      </w:r>
      <w:r w:rsidR="00D25FBD">
        <w:rPr>
          <w:rFonts w:cstheme="minorHAnsi"/>
          <w:szCs w:val="24"/>
        </w:rPr>
        <w:t xml:space="preserve"> webpage.</w:t>
      </w:r>
    </w:p>
    <w:p w14:paraId="68B49746" w14:textId="77777777" w:rsidR="007C2579" w:rsidRPr="00ED0808" w:rsidRDefault="007C2579" w:rsidP="007C2579">
      <w:pPr>
        <w:rPr>
          <w:rFonts w:cstheme="minorHAnsi"/>
          <w:szCs w:val="24"/>
        </w:rPr>
      </w:pPr>
    </w:p>
    <w:p w14:paraId="2E40D7B8" w14:textId="104C09C4" w:rsidR="00C2360A" w:rsidRPr="00ED0808" w:rsidRDefault="007C2579" w:rsidP="00846A16">
      <w:pPr>
        <w:rPr>
          <w:rFonts w:cstheme="minorHAnsi"/>
          <w:szCs w:val="24"/>
        </w:rPr>
      </w:pPr>
      <w:r w:rsidRPr="00ED0808">
        <w:rPr>
          <w:rFonts w:cstheme="minorHAnsi"/>
          <w:szCs w:val="24"/>
        </w:rPr>
        <w:t xml:space="preserve">For more information on </w:t>
      </w:r>
      <w:proofErr w:type="gramStart"/>
      <w:r w:rsidRPr="00ED0808">
        <w:rPr>
          <w:rFonts w:cstheme="minorHAnsi"/>
          <w:szCs w:val="24"/>
        </w:rPr>
        <w:t>the DEQ’s</w:t>
      </w:r>
      <w:proofErr w:type="gramEnd"/>
      <w:r w:rsidRPr="00ED0808">
        <w:rPr>
          <w:rFonts w:cstheme="minorHAnsi"/>
          <w:szCs w:val="24"/>
        </w:rPr>
        <w:t xml:space="preserve"> P2 and EMS programs visit</w:t>
      </w:r>
      <w:r w:rsidR="00C748FA">
        <w:rPr>
          <w:rFonts w:cstheme="minorHAnsi"/>
          <w:szCs w:val="24"/>
        </w:rPr>
        <w:t xml:space="preserve"> the DEQ Pollution Prevention webpage.</w:t>
      </w:r>
      <w:r w:rsidRPr="00ED0808">
        <w:rPr>
          <w:rFonts w:cstheme="minorHAnsi"/>
          <w:szCs w:val="24"/>
        </w:rPr>
        <w:t xml:space="preserve"> </w:t>
      </w:r>
    </w:p>
    <w:p w14:paraId="22741F91" w14:textId="77777777" w:rsidR="00C02B5B" w:rsidRPr="00ED0808" w:rsidRDefault="00C02B5B" w:rsidP="00846A16">
      <w:pPr>
        <w:rPr>
          <w:rFonts w:cstheme="minorHAnsi"/>
          <w:szCs w:val="24"/>
        </w:rPr>
      </w:pPr>
    </w:p>
    <w:p w14:paraId="35C7ADC3" w14:textId="51144420" w:rsidR="0006771E" w:rsidRPr="006B0254" w:rsidRDefault="00DC707B" w:rsidP="006B0254">
      <w:pPr>
        <w:pStyle w:val="Heading2"/>
      </w:pPr>
      <w:bookmarkStart w:id="422" w:name="_Toc152763327"/>
      <w:bookmarkStart w:id="423" w:name="_Toc155771971"/>
      <w:bookmarkStart w:id="424" w:name="_Toc191900450"/>
      <w:r w:rsidRPr="006B0254">
        <w:t xml:space="preserve">Cost/Benefit Associated </w:t>
      </w:r>
      <w:r w:rsidR="00275416" w:rsidRPr="006B0254">
        <w:t>with</w:t>
      </w:r>
      <w:r w:rsidRPr="006B0254">
        <w:t xml:space="preserve"> the Clean Water</w:t>
      </w:r>
      <w:r w:rsidR="00FD3C7A" w:rsidRPr="006B0254">
        <w:t xml:space="preserve"> State Revolving Loan</w:t>
      </w:r>
      <w:bookmarkEnd w:id="422"/>
      <w:bookmarkEnd w:id="423"/>
      <w:bookmarkEnd w:id="424"/>
      <w:r w:rsidR="00FD3C7A" w:rsidRPr="006B0254">
        <w:t xml:space="preserve"> </w:t>
      </w:r>
    </w:p>
    <w:p w14:paraId="2FFDCF61" w14:textId="64924CD9" w:rsidR="00867E21" w:rsidRPr="00CD54BC" w:rsidRDefault="00867E21" w:rsidP="00CD54BC">
      <w:pPr>
        <w:pStyle w:val="Heading3"/>
      </w:pPr>
      <w:r w:rsidRPr="00CD54BC">
        <w:t>Gran</w:t>
      </w:r>
      <w:r w:rsidR="003D6C7C">
        <w:t>t</w:t>
      </w:r>
      <w:r w:rsidRPr="00CD54BC">
        <w:t>s and Funds</w:t>
      </w:r>
    </w:p>
    <w:p w14:paraId="4861DAE5" w14:textId="02FFF244" w:rsidR="0006771E" w:rsidRPr="006B0254" w:rsidRDefault="0006771E" w:rsidP="006B0254">
      <w:pPr>
        <w:pStyle w:val="Heading4"/>
      </w:pPr>
      <w:r w:rsidRPr="006B0254">
        <w:t>Construction Assistance Grants</w:t>
      </w:r>
    </w:p>
    <w:p w14:paraId="34EB66FC" w14:textId="77777777" w:rsidR="0006771E" w:rsidRPr="00ED0808" w:rsidRDefault="0006771E" w:rsidP="00451E96">
      <w:pPr>
        <w:widowControl/>
        <w:rPr>
          <w:rFonts w:cstheme="minorHAnsi"/>
          <w:szCs w:val="24"/>
        </w:rPr>
      </w:pPr>
      <w:r w:rsidRPr="00ED0808">
        <w:rPr>
          <w:rFonts w:cstheme="minorHAnsi"/>
          <w:szCs w:val="24"/>
        </w:rPr>
        <w:t xml:space="preserve">The federal construction grants program was initiated in 1958 to provide financial assistance to municipalities for the planning, design, and construction of publicly owned treatment works. </w:t>
      </w:r>
      <w:r w:rsidRPr="00ED0808">
        <w:rPr>
          <w:rFonts w:cstheme="minorHAnsi"/>
          <w:szCs w:val="24"/>
        </w:rPr>
        <w:lastRenderedPageBreak/>
        <w:t>Until 1988, the program was an essential element in pollution control efforts, without which many localities would have been unable to provide wastewater treatment systems.</w:t>
      </w:r>
    </w:p>
    <w:p w14:paraId="45DA98A7" w14:textId="77777777" w:rsidR="0006771E" w:rsidRPr="00ED0808" w:rsidRDefault="0006771E" w:rsidP="0006771E">
      <w:pPr>
        <w:widowControl/>
        <w:rPr>
          <w:rFonts w:cstheme="minorHAnsi"/>
          <w:szCs w:val="24"/>
        </w:rPr>
      </w:pPr>
    </w:p>
    <w:p w14:paraId="6E1F26F7" w14:textId="7D7DCD7C" w:rsidR="0006771E" w:rsidRPr="00ED0808" w:rsidRDefault="0006771E" w:rsidP="0006771E">
      <w:pPr>
        <w:widowControl/>
        <w:rPr>
          <w:rFonts w:cstheme="minorHAnsi"/>
          <w:szCs w:val="24"/>
        </w:rPr>
      </w:pPr>
      <w:r w:rsidRPr="00ED0808">
        <w:rPr>
          <w:rFonts w:cstheme="minorHAnsi"/>
          <w:szCs w:val="24"/>
        </w:rPr>
        <w:t xml:space="preserve">Through 1988, Virginia received approximately $1.2 billion in federal appropriations for construction grants. These federal funds financed up to 75 </w:t>
      </w:r>
      <w:r w:rsidR="006860A1" w:rsidRPr="00ED0808">
        <w:rPr>
          <w:rFonts w:cstheme="minorHAnsi"/>
          <w:szCs w:val="24"/>
        </w:rPr>
        <w:t xml:space="preserve">% </w:t>
      </w:r>
      <w:r w:rsidRPr="00ED0808">
        <w:rPr>
          <w:rFonts w:cstheme="minorHAnsi"/>
          <w:szCs w:val="24"/>
        </w:rPr>
        <w:t>of the total eligible cost of approximately 183 projects. The state contributed another $52.3 million toward project costs, with the remainder coming from local sources. Total local investment in these projects is estimated at $500 million.</w:t>
      </w:r>
    </w:p>
    <w:p w14:paraId="3C26CBF0" w14:textId="77777777" w:rsidR="0006771E" w:rsidRPr="00ED0808" w:rsidRDefault="0006771E" w:rsidP="0006771E">
      <w:pPr>
        <w:widowControl/>
        <w:jc w:val="both"/>
        <w:rPr>
          <w:rFonts w:cstheme="minorHAnsi"/>
          <w:szCs w:val="24"/>
        </w:rPr>
      </w:pPr>
    </w:p>
    <w:p w14:paraId="376A99EB" w14:textId="77777777" w:rsidR="0006771E" w:rsidRPr="006B0254" w:rsidRDefault="0006771E" w:rsidP="006B0254">
      <w:pPr>
        <w:pStyle w:val="Heading4"/>
      </w:pPr>
      <w:r w:rsidRPr="006B0254">
        <w:t>Virginia Clean Water Revolving Loan Fund</w:t>
      </w:r>
    </w:p>
    <w:p w14:paraId="795C66EF" w14:textId="7A4B25C1" w:rsidR="0006771E" w:rsidRPr="00ED0808" w:rsidRDefault="0006771E" w:rsidP="0006771E">
      <w:pPr>
        <w:widowControl/>
        <w:rPr>
          <w:rFonts w:cstheme="minorHAnsi"/>
          <w:szCs w:val="24"/>
        </w:rPr>
      </w:pPr>
      <w:r w:rsidRPr="00ED0808">
        <w:rPr>
          <w:rFonts w:cstheme="minorHAnsi"/>
          <w:szCs w:val="24"/>
        </w:rPr>
        <w:t xml:space="preserve">In 1988, a grant program was converted </w:t>
      </w:r>
      <w:proofErr w:type="gramStart"/>
      <w:r w:rsidRPr="00ED0808">
        <w:rPr>
          <w:rFonts w:cstheme="minorHAnsi"/>
          <w:szCs w:val="24"/>
        </w:rPr>
        <w:t>to</w:t>
      </w:r>
      <w:proofErr w:type="gramEnd"/>
      <w:r w:rsidRPr="00ED0808">
        <w:rPr>
          <w:rFonts w:cstheme="minorHAnsi"/>
          <w:szCs w:val="24"/>
        </w:rPr>
        <w:t xml:space="preserve"> a low-interest loan program to provide financial assistance for the planning, design</w:t>
      </w:r>
      <w:r w:rsidR="006B0254">
        <w:rPr>
          <w:rFonts w:cstheme="minorHAnsi"/>
          <w:szCs w:val="24"/>
        </w:rPr>
        <w:t>,</w:t>
      </w:r>
      <w:r w:rsidRPr="00ED0808">
        <w:rPr>
          <w:rFonts w:cstheme="minorHAnsi"/>
          <w:szCs w:val="24"/>
        </w:rPr>
        <w:t xml:space="preserve"> and construction of POTWs. The 1986 General Assembly created the Virginia Water Facilities Loan Fund, through which loans could be made to local governments at or below current market interest rates for wastewater treatment improvements. Principal and interest repaid into the fund could then be loaned again for additional projects. The Federal Water Quality Act of 1987 established a State Revolving Loan Fund Capitalization Grant Program that provided an avenue for states to convert federal grant monies into a State Revolving Loan Fund.</w:t>
      </w:r>
    </w:p>
    <w:p w14:paraId="68E5DE80" w14:textId="77777777" w:rsidR="0006771E" w:rsidRPr="00ED0808" w:rsidRDefault="0006771E" w:rsidP="0006771E">
      <w:pPr>
        <w:widowControl/>
        <w:rPr>
          <w:rFonts w:cstheme="minorHAnsi"/>
          <w:szCs w:val="24"/>
        </w:rPr>
      </w:pPr>
    </w:p>
    <w:p w14:paraId="5595C21E" w14:textId="77777777" w:rsidR="0006771E" w:rsidRPr="00ED0808" w:rsidRDefault="0006771E" w:rsidP="0006771E">
      <w:pPr>
        <w:widowControl/>
        <w:rPr>
          <w:rFonts w:cstheme="minorHAnsi"/>
          <w:szCs w:val="24"/>
        </w:rPr>
      </w:pPr>
      <w:r w:rsidRPr="00ED0808">
        <w:rPr>
          <w:rFonts w:cstheme="minorHAnsi"/>
          <w:szCs w:val="24"/>
        </w:rPr>
        <w:t>On June 10, 1988, Virginia became the first state in EPA Region III and the fifth state in the nation to receive authorization to administer a State Revolving Loan Program. As of June 30, 2023, Virginia has received federal capitalization grants totaling $1,155,205,207. In addition, Virginia has provided the required matching funds of $210,974,383 to the program.</w:t>
      </w:r>
    </w:p>
    <w:p w14:paraId="6D44EF22" w14:textId="77777777" w:rsidR="0006771E" w:rsidRPr="00ED0808" w:rsidRDefault="0006771E" w:rsidP="0006771E">
      <w:pPr>
        <w:widowControl/>
        <w:rPr>
          <w:rFonts w:cstheme="minorHAnsi"/>
          <w:szCs w:val="24"/>
        </w:rPr>
      </w:pPr>
    </w:p>
    <w:p w14:paraId="0896DD52" w14:textId="4863152E" w:rsidR="0006771E" w:rsidRPr="00ED0808" w:rsidRDefault="0006771E" w:rsidP="0006771E">
      <w:pPr>
        <w:widowControl/>
        <w:rPr>
          <w:rFonts w:cstheme="minorHAnsi"/>
          <w:szCs w:val="24"/>
        </w:rPr>
      </w:pPr>
      <w:r w:rsidRPr="00ED0808">
        <w:rPr>
          <w:rFonts w:cstheme="minorHAnsi"/>
          <w:szCs w:val="24"/>
        </w:rPr>
        <w:t xml:space="preserve">These funds, along with accrued interest earnings, repayments by loan recipients, and the implementation of a leveraging program in each of FY’s 1999, 2000, 2004, 2007 through 2013 (when demand exceeded available resources), 2021 and 2022 have enabled the </w:t>
      </w:r>
      <w:r w:rsidR="000304E3">
        <w:rPr>
          <w:rFonts w:cstheme="minorHAnsi"/>
          <w:szCs w:val="24"/>
        </w:rPr>
        <w:t>Virginia Revolving Loan Fund (</w:t>
      </w:r>
      <w:r w:rsidRPr="00ED0808">
        <w:rPr>
          <w:rFonts w:cstheme="minorHAnsi"/>
          <w:szCs w:val="24"/>
        </w:rPr>
        <w:t>VRLF</w:t>
      </w:r>
      <w:r w:rsidR="000304E3">
        <w:rPr>
          <w:rFonts w:cstheme="minorHAnsi"/>
          <w:szCs w:val="24"/>
        </w:rPr>
        <w:t>)</w:t>
      </w:r>
      <w:r w:rsidRPr="00ED0808">
        <w:rPr>
          <w:rFonts w:cstheme="minorHAnsi"/>
          <w:szCs w:val="24"/>
        </w:rPr>
        <w:t xml:space="preserve"> to provide loan assistance to 1,169 projects totaling over $3.91 billion. </w:t>
      </w:r>
    </w:p>
    <w:p w14:paraId="1EB550E8" w14:textId="77777777" w:rsidR="0006771E" w:rsidRPr="00ED0808" w:rsidRDefault="0006771E" w:rsidP="0006771E">
      <w:pPr>
        <w:widowControl/>
        <w:jc w:val="both"/>
        <w:rPr>
          <w:rFonts w:cstheme="minorHAnsi"/>
          <w:szCs w:val="24"/>
        </w:rPr>
      </w:pPr>
    </w:p>
    <w:p w14:paraId="6AE91916" w14:textId="1867815B" w:rsidR="00FE6A47" w:rsidRPr="00266045" w:rsidRDefault="00FE6A47" w:rsidP="00266045">
      <w:pPr>
        <w:pStyle w:val="Heading3"/>
      </w:pPr>
      <w:r w:rsidRPr="00266045">
        <w:t>Loan Programs</w:t>
      </w:r>
    </w:p>
    <w:p w14:paraId="2CED9E03" w14:textId="01401793" w:rsidR="0006771E" w:rsidRPr="006B0254" w:rsidRDefault="00E87845" w:rsidP="006B0254">
      <w:pPr>
        <w:pStyle w:val="Heading4"/>
      </w:pPr>
      <w:r w:rsidRPr="006B0254">
        <w:t>Ag</w:t>
      </w:r>
      <w:r>
        <w:t xml:space="preserve">ricultural Best Management Practice </w:t>
      </w:r>
      <w:r w:rsidR="0006771E" w:rsidRPr="006B0254">
        <w:t>Loan Program</w:t>
      </w:r>
    </w:p>
    <w:p w14:paraId="7CFD37B8" w14:textId="7C4D0B3B" w:rsidR="0006771E" w:rsidRPr="00ED0808" w:rsidRDefault="0006771E" w:rsidP="00451E96">
      <w:pPr>
        <w:rPr>
          <w:rFonts w:cstheme="minorHAnsi"/>
          <w:snapToGrid/>
          <w:szCs w:val="24"/>
        </w:rPr>
      </w:pPr>
      <w:r w:rsidRPr="00ED0808">
        <w:rPr>
          <w:rFonts w:cstheme="minorHAnsi"/>
          <w:snapToGrid/>
          <w:szCs w:val="24"/>
        </w:rPr>
        <w:t xml:space="preserve">The 1999 General Assembly amended Chapter 22 of the Code of Virginia, expanded the activities of Virginia’s Water Facilities (Clean Water) Revolving Fund, to allow low interest loan financing of specific </w:t>
      </w:r>
      <w:r w:rsidR="00E5016F">
        <w:rPr>
          <w:rFonts w:cstheme="minorHAnsi"/>
          <w:snapToGrid/>
          <w:szCs w:val="24"/>
        </w:rPr>
        <w:t>A</w:t>
      </w:r>
      <w:r w:rsidRPr="00ED0808">
        <w:rPr>
          <w:rFonts w:cstheme="minorHAnsi"/>
          <w:snapToGrid/>
          <w:szCs w:val="24"/>
        </w:rPr>
        <w:t xml:space="preserve">gricultural </w:t>
      </w:r>
      <w:r w:rsidR="00E5016F">
        <w:rPr>
          <w:rFonts w:cstheme="minorHAnsi"/>
          <w:snapToGrid/>
          <w:szCs w:val="24"/>
        </w:rPr>
        <w:t>B</w:t>
      </w:r>
      <w:r w:rsidRPr="00ED0808">
        <w:rPr>
          <w:rFonts w:cstheme="minorHAnsi"/>
          <w:snapToGrid/>
          <w:szCs w:val="24"/>
        </w:rPr>
        <w:t xml:space="preserve">est </w:t>
      </w:r>
      <w:r w:rsidR="00E5016F">
        <w:rPr>
          <w:rFonts w:cstheme="minorHAnsi"/>
          <w:snapToGrid/>
          <w:szCs w:val="24"/>
        </w:rPr>
        <w:t>M</w:t>
      </w:r>
      <w:r w:rsidRPr="00ED0808">
        <w:rPr>
          <w:rFonts w:cstheme="minorHAnsi"/>
          <w:snapToGrid/>
          <w:szCs w:val="24"/>
        </w:rPr>
        <w:t xml:space="preserve">anagement </w:t>
      </w:r>
      <w:r w:rsidR="00E5016F">
        <w:rPr>
          <w:rFonts w:cstheme="minorHAnsi"/>
          <w:snapToGrid/>
          <w:szCs w:val="24"/>
        </w:rPr>
        <w:t>P</w:t>
      </w:r>
      <w:r w:rsidRPr="00ED0808">
        <w:rPr>
          <w:rFonts w:cstheme="minorHAnsi"/>
          <w:snapToGrid/>
          <w:szCs w:val="24"/>
        </w:rPr>
        <w:t>ractices (</w:t>
      </w:r>
      <w:proofErr w:type="spellStart"/>
      <w:r w:rsidRPr="00ED0808">
        <w:rPr>
          <w:rFonts w:cstheme="minorHAnsi"/>
          <w:snapToGrid/>
          <w:szCs w:val="24"/>
        </w:rPr>
        <w:t>AgBMP</w:t>
      </w:r>
      <w:proofErr w:type="spellEnd"/>
      <w:r w:rsidRPr="00ED0808">
        <w:rPr>
          <w:rFonts w:cstheme="minorHAnsi"/>
          <w:snapToGrid/>
          <w:szCs w:val="24"/>
        </w:rPr>
        <w:t xml:space="preserve">). This legislation was amended to encourage the </w:t>
      </w:r>
      <w:r w:rsidR="002A7C98">
        <w:rPr>
          <w:rFonts w:cstheme="minorHAnsi"/>
          <w:snapToGrid/>
          <w:szCs w:val="24"/>
        </w:rPr>
        <w:t>C</w:t>
      </w:r>
      <w:r w:rsidRPr="00ED0808">
        <w:rPr>
          <w:rFonts w:cstheme="minorHAnsi"/>
          <w:snapToGrid/>
          <w:szCs w:val="24"/>
        </w:rPr>
        <w:t xml:space="preserve">ommonwealth’s farm communities to implement </w:t>
      </w:r>
      <w:proofErr w:type="gramStart"/>
      <w:r w:rsidRPr="00ED0808">
        <w:rPr>
          <w:rFonts w:cstheme="minorHAnsi"/>
          <w:snapToGrid/>
          <w:szCs w:val="24"/>
        </w:rPr>
        <w:t>best</w:t>
      </w:r>
      <w:proofErr w:type="gramEnd"/>
      <w:r w:rsidRPr="00ED0808">
        <w:rPr>
          <w:rFonts w:cstheme="minorHAnsi"/>
          <w:snapToGrid/>
          <w:szCs w:val="24"/>
        </w:rPr>
        <w:t xml:space="preserve"> management practices that reduce or eliminate agricultural non-point source pollution of Virginia’s waters. This funding initiative went into effect July 1, 1999. Agreements were reached with the Virginia Resources Authority and the State’s three Farm Credit Associations to allow them to perform necessary loan underwriting and execute and disburse loan proceeds to the recipients. </w:t>
      </w:r>
    </w:p>
    <w:p w14:paraId="7C338B98" w14:textId="77777777" w:rsidR="00630EE6" w:rsidRDefault="00630EE6" w:rsidP="0006771E">
      <w:pPr>
        <w:widowControl/>
        <w:rPr>
          <w:rFonts w:cstheme="minorHAnsi"/>
          <w:snapToGrid/>
          <w:szCs w:val="24"/>
        </w:rPr>
      </w:pPr>
    </w:p>
    <w:p w14:paraId="194F7E9D" w14:textId="00862638" w:rsidR="0006771E" w:rsidRPr="00ED0808" w:rsidRDefault="0006771E" w:rsidP="0006771E">
      <w:pPr>
        <w:widowControl/>
        <w:rPr>
          <w:rFonts w:cstheme="minorHAnsi"/>
          <w:snapToGrid/>
          <w:szCs w:val="24"/>
        </w:rPr>
      </w:pPr>
      <w:r w:rsidRPr="00ED0808">
        <w:rPr>
          <w:rFonts w:cstheme="minorHAnsi"/>
          <w:snapToGrid/>
          <w:szCs w:val="24"/>
        </w:rPr>
        <w:lastRenderedPageBreak/>
        <w:t xml:space="preserve">Virginia received its first request for low-interest loan assistance from its </w:t>
      </w:r>
      <w:proofErr w:type="spellStart"/>
      <w:r w:rsidRPr="00ED0808">
        <w:rPr>
          <w:rFonts w:cstheme="minorHAnsi"/>
          <w:snapToGrid/>
          <w:szCs w:val="24"/>
        </w:rPr>
        <w:t>AgBMP</w:t>
      </w:r>
      <w:proofErr w:type="spellEnd"/>
      <w:r w:rsidRPr="00ED0808">
        <w:rPr>
          <w:rFonts w:cstheme="minorHAnsi"/>
          <w:snapToGrid/>
          <w:szCs w:val="24"/>
        </w:rPr>
        <w:t xml:space="preserve"> program on January 14, 2000. Since then, DEQ has authorized more than $46 million in low-interest loan assistance to Virginia farmers for over 614 eligible BMP projects that would improve water quality in the </w:t>
      </w:r>
      <w:r w:rsidR="002A7C98">
        <w:rPr>
          <w:rFonts w:cstheme="minorHAnsi"/>
          <w:snapToGrid/>
          <w:szCs w:val="24"/>
        </w:rPr>
        <w:t>C</w:t>
      </w:r>
      <w:r w:rsidRPr="00ED0808">
        <w:rPr>
          <w:rFonts w:cstheme="minorHAnsi"/>
          <w:snapToGrid/>
          <w:szCs w:val="24"/>
        </w:rPr>
        <w:t xml:space="preserve">ommonwealth. In July 2016, this program was suspended for lack of interest and then updated, </w:t>
      </w:r>
      <w:r w:rsidR="00FE26D7" w:rsidRPr="00ED0808">
        <w:rPr>
          <w:rFonts w:cstheme="minorHAnsi"/>
          <w:snapToGrid/>
          <w:szCs w:val="24"/>
        </w:rPr>
        <w:t>expanded,</w:t>
      </w:r>
      <w:r w:rsidRPr="00ED0808">
        <w:rPr>
          <w:rFonts w:cstheme="minorHAnsi"/>
          <w:snapToGrid/>
          <w:szCs w:val="24"/>
        </w:rPr>
        <w:t xml:space="preserve"> and reinstituted in July 2019. Since restarting, the </w:t>
      </w:r>
      <w:proofErr w:type="spellStart"/>
      <w:r w:rsidRPr="00ED0808">
        <w:rPr>
          <w:rFonts w:cstheme="minorHAnsi"/>
          <w:snapToGrid/>
          <w:szCs w:val="24"/>
        </w:rPr>
        <w:t>AgBMP</w:t>
      </w:r>
      <w:proofErr w:type="spellEnd"/>
      <w:r w:rsidRPr="00ED0808">
        <w:rPr>
          <w:rFonts w:cstheme="minorHAnsi"/>
          <w:snapToGrid/>
          <w:szCs w:val="24"/>
        </w:rPr>
        <w:t xml:space="preserve"> program has authorized more than $35.7 million in interest-free loan assistance for 296 eligible BMP projects.</w:t>
      </w:r>
    </w:p>
    <w:p w14:paraId="19B90EC0" w14:textId="77777777" w:rsidR="0006771E" w:rsidRPr="00ED0808" w:rsidRDefault="0006771E" w:rsidP="0006771E">
      <w:pPr>
        <w:widowControl/>
        <w:jc w:val="both"/>
        <w:rPr>
          <w:rFonts w:cstheme="minorHAnsi"/>
          <w:snapToGrid/>
          <w:szCs w:val="24"/>
        </w:rPr>
      </w:pPr>
    </w:p>
    <w:p w14:paraId="6B779AB0" w14:textId="77777777" w:rsidR="0006771E" w:rsidRPr="006B0254" w:rsidRDefault="0006771E" w:rsidP="006B0254">
      <w:pPr>
        <w:pStyle w:val="Heading4"/>
      </w:pPr>
      <w:r w:rsidRPr="006B0254">
        <w:t>Brownfield Program</w:t>
      </w:r>
    </w:p>
    <w:p w14:paraId="61CD1CC2" w14:textId="4AC29032" w:rsidR="0006771E" w:rsidRPr="00ED0808" w:rsidRDefault="0006771E" w:rsidP="00326C7F">
      <w:pPr>
        <w:widowControl/>
        <w:rPr>
          <w:rFonts w:cstheme="minorHAnsi"/>
          <w:szCs w:val="24"/>
        </w:rPr>
      </w:pPr>
      <w:r w:rsidRPr="00ED0808">
        <w:rPr>
          <w:rFonts w:cstheme="minorHAnsi"/>
          <w:szCs w:val="24"/>
        </w:rPr>
        <w:t xml:space="preserve">The 2001 General Assembly amended the VRLF legislation to make loan assistance available for remediation of contaminated brownfield properties across the </w:t>
      </w:r>
      <w:r w:rsidR="002A7C98">
        <w:rPr>
          <w:rFonts w:cstheme="minorHAnsi"/>
          <w:szCs w:val="24"/>
        </w:rPr>
        <w:t>C</w:t>
      </w:r>
      <w:r w:rsidRPr="00ED0808">
        <w:rPr>
          <w:rFonts w:cstheme="minorHAnsi"/>
          <w:szCs w:val="24"/>
        </w:rPr>
        <w:t xml:space="preserve">ommonwealth. This funding initiative </w:t>
      </w:r>
      <w:r w:rsidR="00FE26D7" w:rsidRPr="00ED0808">
        <w:rPr>
          <w:rFonts w:cstheme="minorHAnsi"/>
          <w:szCs w:val="24"/>
        </w:rPr>
        <w:t>aids</w:t>
      </w:r>
      <w:r w:rsidRPr="00ED0808">
        <w:rPr>
          <w:rFonts w:cstheme="minorHAnsi"/>
          <w:szCs w:val="24"/>
        </w:rPr>
        <w:t xml:space="preserve"> eligible entities for activities that result from an approved site characterization and remediation plan and where the remediation effort results in an improvement to or protection of surface or groundwater. As of June 30, 2021, eight loans for brownfield projects have been closed totaling $6.12 million.</w:t>
      </w:r>
    </w:p>
    <w:p w14:paraId="14D526A1" w14:textId="77777777" w:rsidR="0006771E" w:rsidRPr="00ED0808" w:rsidRDefault="0006771E" w:rsidP="0006771E">
      <w:pPr>
        <w:widowControl/>
        <w:jc w:val="both"/>
        <w:rPr>
          <w:rFonts w:cstheme="minorHAnsi"/>
          <w:szCs w:val="24"/>
        </w:rPr>
      </w:pPr>
    </w:p>
    <w:p w14:paraId="5037B465" w14:textId="77777777" w:rsidR="0006771E" w:rsidRPr="006B0254" w:rsidRDefault="0006771E" w:rsidP="006B0254">
      <w:pPr>
        <w:pStyle w:val="Heading4"/>
      </w:pPr>
      <w:r w:rsidRPr="006B0254">
        <w:t>Land Conservation Loan Program</w:t>
      </w:r>
    </w:p>
    <w:p w14:paraId="0608D3EA" w14:textId="77777777" w:rsidR="0006771E" w:rsidRPr="00ED0808" w:rsidRDefault="0006771E" w:rsidP="00326C7F">
      <w:pPr>
        <w:widowControl/>
        <w:rPr>
          <w:rFonts w:cstheme="minorHAnsi"/>
          <w:szCs w:val="24"/>
        </w:rPr>
      </w:pPr>
      <w:r w:rsidRPr="00ED0808">
        <w:rPr>
          <w:rFonts w:cstheme="minorHAnsi"/>
          <w:szCs w:val="24"/>
        </w:rPr>
        <w:t xml:space="preserve">The 2003 General Assembly enacted legislation that expanded the activities of the fund by allowing Virginia to authorize low-interest loans for acquisition of title or other rights to real property when the Board was satisfied that the acquisition would protect or improve water quality and prevent pollution of state waters. The legislation </w:t>
      </w:r>
      <w:proofErr w:type="gramStart"/>
      <w:r w:rsidRPr="00ED0808">
        <w:rPr>
          <w:rFonts w:cstheme="minorHAnsi"/>
          <w:szCs w:val="24"/>
        </w:rPr>
        <w:t>provided that</w:t>
      </w:r>
      <w:proofErr w:type="gramEnd"/>
      <w:r w:rsidRPr="00ED0808">
        <w:rPr>
          <w:rFonts w:cstheme="minorHAnsi"/>
          <w:szCs w:val="24"/>
        </w:rPr>
        <w:t xml:space="preserve"> financing for land acquisition would be available only in those fiscal years when all other eligible loan requests from local governments had been satisfied. This program was included</w:t>
      </w:r>
      <w:r w:rsidRPr="00ED0808">
        <w:rPr>
          <w:rFonts w:cstheme="minorHAnsi"/>
          <w:b/>
          <w:szCs w:val="24"/>
        </w:rPr>
        <w:t xml:space="preserve"> </w:t>
      </w:r>
      <w:r w:rsidRPr="00ED0808">
        <w:rPr>
          <w:rFonts w:cstheme="minorHAnsi"/>
          <w:szCs w:val="24"/>
        </w:rPr>
        <w:t xml:space="preserve">in each of the FY 04 through FY 23 loan solicitations and 13 loans have been closed totaling $55 million. </w:t>
      </w:r>
    </w:p>
    <w:p w14:paraId="1BB66F4F" w14:textId="77777777" w:rsidR="0006771E" w:rsidRPr="00ED0808" w:rsidRDefault="0006771E" w:rsidP="0006771E">
      <w:pPr>
        <w:widowControl/>
        <w:rPr>
          <w:rFonts w:cstheme="minorHAnsi"/>
          <w:szCs w:val="24"/>
        </w:rPr>
      </w:pPr>
    </w:p>
    <w:p w14:paraId="40D8DF20" w14:textId="77777777" w:rsidR="0006771E" w:rsidRPr="006B0254" w:rsidRDefault="0006771E" w:rsidP="006B0254">
      <w:pPr>
        <w:pStyle w:val="Heading4"/>
      </w:pPr>
      <w:r w:rsidRPr="006B0254">
        <w:t>Stormwater Loan Program</w:t>
      </w:r>
    </w:p>
    <w:p w14:paraId="741E2F5C" w14:textId="6C939744" w:rsidR="0006771E" w:rsidRPr="00ED0808" w:rsidRDefault="0006771E" w:rsidP="00326C7F">
      <w:pPr>
        <w:widowControl/>
        <w:rPr>
          <w:rFonts w:cstheme="minorHAnsi"/>
          <w:szCs w:val="24"/>
        </w:rPr>
      </w:pPr>
      <w:r w:rsidRPr="00ED0808">
        <w:rPr>
          <w:rFonts w:cstheme="minorHAnsi"/>
          <w:szCs w:val="24"/>
        </w:rPr>
        <w:t>During their 2010 session, the Virginia General Assembly further expanded the activities of the Virginia Water Facilities Revolving Fund by allowing the State Water Control Board to authorize low interest loans from the Fund for construction of facilities or structures or implementation of best management practices that reduce or prevent pollution of state waters caused by stormwater runoff from impervious surfaces. According to the enabling legislation,</w:t>
      </w:r>
      <w:r w:rsidR="00F84545">
        <w:rPr>
          <w:rFonts w:cstheme="minorHAnsi"/>
          <w:szCs w:val="24"/>
        </w:rPr>
        <w:t xml:space="preserve"> the Virginia Clean</w:t>
      </w:r>
      <w:r w:rsidR="00991C53">
        <w:rPr>
          <w:rFonts w:cstheme="minorHAnsi"/>
          <w:szCs w:val="24"/>
        </w:rPr>
        <w:t xml:space="preserve"> Water Revolving Loan Fund</w:t>
      </w:r>
      <w:r w:rsidR="00F84545">
        <w:rPr>
          <w:rFonts w:cstheme="minorHAnsi"/>
          <w:szCs w:val="24"/>
        </w:rPr>
        <w:t xml:space="preserve"> </w:t>
      </w:r>
      <w:r w:rsidR="00991C53">
        <w:rPr>
          <w:rFonts w:cstheme="minorHAnsi"/>
          <w:szCs w:val="24"/>
        </w:rPr>
        <w:t>f</w:t>
      </w:r>
      <w:r w:rsidRPr="00ED0808">
        <w:rPr>
          <w:rFonts w:cstheme="minorHAnsi"/>
          <w:szCs w:val="24"/>
        </w:rPr>
        <w:t>inancing for stormwater projects can only be available in fiscal years when loan requests for eligible wastewater treatment facilities designed to meet the state’s water quality standards have first been satisfied, unless otherwise required by law. This program was included</w:t>
      </w:r>
      <w:r w:rsidRPr="00ED0808">
        <w:rPr>
          <w:rFonts w:cstheme="minorHAnsi"/>
          <w:b/>
          <w:szCs w:val="24"/>
        </w:rPr>
        <w:t xml:space="preserve"> </w:t>
      </w:r>
      <w:r w:rsidRPr="00ED0808">
        <w:rPr>
          <w:rFonts w:cstheme="minorHAnsi"/>
          <w:szCs w:val="24"/>
        </w:rPr>
        <w:t xml:space="preserve">in each of the FY 12 through FY 23 loan solicitations and 6 loans have been closed totaling $9.23 million. </w:t>
      </w:r>
    </w:p>
    <w:p w14:paraId="450BDAC0" w14:textId="77777777" w:rsidR="0006771E" w:rsidRPr="00ED0808" w:rsidRDefault="0006771E" w:rsidP="0006771E">
      <w:pPr>
        <w:widowControl/>
        <w:rPr>
          <w:rFonts w:cstheme="minorHAnsi"/>
          <w:szCs w:val="24"/>
        </w:rPr>
      </w:pPr>
    </w:p>
    <w:p w14:paraId="72D3DB2D" w14:textId="77777777" w:rsidR="0006771E" w:rsidRPr="006B0254" w:rsidRDefault="0006771E" w:rsidP="006B0254">
      <w:pPr>
        <w:pStyle w:val="Heading4"/>
      </w:pPr>
      <w:r w:rsidRPr="006B0254">
        <w:t>Living Shorelines Loan Program</w:t>
      </w:r>
    </w:p>
    <w:p w14:paraId="78CB633A" w14:textId="7E422430" w:rsidR="00BD0C95" w:rsidRPr="00B93490" w:rsidRDefault="0006771E" w:rsidP="00B93490">
      <w:pPr>
        <w:widowControl/>
        <w:rPr>
          <w:rFonts w:cstheme="minorHAnsi"/>
          <w:szCs w:val="24"/>
        </w:rPr>
      </w:pPr>
      <w:r w:rsidRPr="00ED0808">
        <w:rPr>
          <w:rFonts w:cstheme="minorHAnsi"/>
          <w:szCs w:val="24"/>
        </w:rPr>
        <w:t xml:space="preserve">During their 2015 session, the Virginia General Assembly further expanded the activities of the Virginia Water Facilities Revolving Fund by allowing the State Water Control Board to authorize low interest loans from the Fund to a local government for establishing living shorelines or to a local government that has developed a funding program to individual </w:t>
      </w:r>
      <w:r w:rsidR="002A0546">
        <w:rPr>
          <w:rFonts w:cstheme="minorHAnsi"/>
          <w:szCs w:val="24"/>
        </w:rPr>
        <w:t>res</w:t>
      </w:r>
      <w:r w:rsidR="003E0AEC">
        <w:rPr>
          <w:rFonts w:cstheme="minorHAnsi"/>
          <w:szCs w:val="24"/>
        </w:rPr>
        <w:t>idents</w:t>
      </w:r>
      <w:r w:rsidRPr="00ED0808">
        <w:rPr>
          <w:rFonts w:cstheme="minorHAnsi"/>
          <w:szCs w:val="24"/>
        </w:rPr>
        <w:t xml:space="preserve"> for the purpose </w:t>
      </w:r>
      <w:r w:rsidRPr="00ED0808">
        <w:rPr>
          <w:rFonts w:cstheme="minorHAnsi"/>
          <w:szCs w:val="24"/>
        </w:rPr>
        <w:lastRenderedPageBreak/>
        <w:t>of establishing living shorelines to protect or improve water quality. In the 2019 session, the code section was expanded to include small businesses as eligible applicants for funds from a local government that has developed a funding program. This program was included</w:t>
      </w:r>
      <w:r w:rsidRPr="00ED0808">
        <w:rPr>
          <w:rFonts w:cstheme="minorHAnsi"/>
          <w:b/>
          <w:szCs w:val="24"/>
        </w:rPr>
        <w:t xml:space="preserve"> </w:t>
      </w:r>
      <w:r w:rsidRPr="00ED0808">
        <w:rPr>
          <w:rFonts w:cstheme="minorHAnsi"/>
          <w:szCs w:val="24"/>
        </w:rPr>
        <w:t xml:space="preserve">in each of the FY 17 through FY 23 loan solicitations and 4 loans have been closed totaling $3.7 million. </w:t>
      </w:r>
    </w:p>
    <w:p w14:paraId="7E2A28EB" w14:textId="3AD68095" w:rsidR="00C02B5B" w:rsidRDefault="00C02B5B" w:rsidP="00846A16">
      <w:pPr>
        <w:rPr>
          <w:shd w:val="clear" w:color="auto" w:fill="FFFFFF"/>
        </w:rPr>
      </w:pPr>
    </w:p>
    <w:p w14:paraId="735698B2" w14:textId="6D97A78D" w:rsidR="0002724D" w:rsidRPr="0002724D" w:rsidRDefault="004D1892" w:rsidP="0002724D">
      <w:pPr>
        <w:pStyle w:val="Heading2"/>
        <w:rPr>
          <w:shd w:val="clear" w:color="auto" w:fill="FFFFFF"/>
        </w:rPr>
      </w:pPr>
      <w:bookmarkStart w:id="425" w:name="_Toc152763328"/>
      <w:bookmarkStart w:id="426" w:name="_Toc155771972"/>
      <w:bookmarkStart w:id="427" w:name="_Toc191900451"/>
      <w:r>
        <w:rPr>
          <w:shd w:val="clear" w:color="auto" w:fill="FFFFFF"/>
        </w:rPr>
        <w:t>Public Health and Aquatic Life Concerns</w:t>
      </w:r>
      <w:bookmarkEnd w:id="425"/>
      <w:bookmarkEnd w:id="426"/>
      <w:bookmarkEnd w:id="427"/>
    </w:p>
    <w:p w14:paraId="587AFBCA" w14:textId="41AF5D47" w:rsidR="0002724D" w:rsidRPr="0002724D" w:rsidRDefault="0002724D" w:rsidP="0002724D">
      <w:pPr>
        <w:rPr>
          <w:shd w:val="clear" w:color="auto" w:fill="FFFFFF"/>
        </w:rPr>
      </w:pPr>
      <w:r w:rsidRPr="0002724D">
        <w:rPr>
          <w:shd w:val="clear" w:color="auto" w:fill="FFFFFF"/>
        </w:rPr>
        <w:t>DEQ continues to address the role toxicants play in reducing water quality in state waters and supports programs to monitor, evaluate, and reduce toxicity to aquatic life and human health. Many of the programs in place at DEQ that address toxicity in state waters are described and discussed throughout this</w:t>
      </w:r>
      <w:r w:rsidR="00347E4E">
        <w:rPr>
          <w:shd w:val="clear" w:color="auto" w:fill="FFFFFF"/>
        </w:rPr>
        <w:t xml:space="preserve"> and previous</w:t>
      </w:r>
      <w:r w:rsidRPr="0002724D">
        <w:rPr>
          <w:shd w:val="clear" w:color="auto" w:fill="FFFFFF"/>
        </w:rPr>
        <w:t xml:space="preserve"> </w:t>
      </w:r>
      <w:r w:rsidR="00FA7C76">
        <w:rPr>
          <w:shd w:val="clear" w:color="auto" w:fill="FFFFFF"/>
        </w:rPr>
        <w:t>section</w:t>
      </w:r>
      <w:r w:rsidR="00347E4E">
        <w:rPr>
          <w:shd w:val="clear" w:color="auto" w:fill="FFFFFF"/>
        </w:rPr>
        <w:t>s</w:t>
      </w:r>
      <w:r w:rsidR="00F3440E">
        <w:rPr>
          <w:shd w:val="clear" w:color="auto" w:fill="FFFFFF"/>
        </w:rPr>
        <w:t xml:space="preserve"> of this report</w:t>
      </w:r>
      <w:r w:rsidRPr="0002724D">
        <w:rPr>
          <w:shd w:val="clear" w:color="auto" w:fill="FFFFFF"/>
        </w:rPr>
        <w:t>. VDH programs that address human health are also discussed.</w:t>
      </w:r>
      <w:r w:rsidR="00B93490">
        <w:rPr>
          <w:shd w:val="clear" w:color="auto" w:fill="FFFFFF"/>
        </w:rPr>
        <w:t xml:space="preserve"> </w:t>
      </w:r>
      <w:r w:rsidRPr="0002724D">
        <w:rPr>
          <w:shd w:val="clear" w:color="auto" w:fill="FFFFFF"/>
        </w:rPr>
        <w:t>The toxic pollutants that were monitored during the reporting period include toxic organics, metals, and pesticides. Results of this monitoring for toxics in water column, fish tissue, and sediment are provided in Chapter 4 of this report. </w:t>
      </w:r>
    </w:p>
    <w:p w14:paraId="011A63A8" w14:textId="77777777" w:rsidR="0002724D" w:rsidRPr="0002724D" w:rsidRDefault="0002724D" w:rsidP="0002724D">
      <w:pPr>
        <w:rPr>
          <w:shd w:val="clear" w:color="auto" w:fill="FFFFFF"/>
        </w:rPr>
      </w:pPr>
      <w:r w:rsidRPr="0002724D">
        <w:rPr>
          <w:shd w:val="clear" w:color="auto" w:fill="FFFFFF"/>
        </w:rPr>
        <w:t> </w:t>
      </w:r>
    </w:p>
    <w:p w14:paraId="4B6D595C" w14:textId="6E03B9D7" w:rsidR="0002724D" w:rsidRPr="008F7BA5" w:rsidRDefault="0002724D" w:rsidP="0002724D">
      <w:pPr>
        <w:pStyle w:val="Heading3"/>
        <w:rPr>
          <w:shd w:val="clear" w:color="auto" w:fill="FFFFFF"/>
        </w:rPr>
      </w:pPr>
      <w:r w:rsidRPr="0002724D">
        <w:rPr>
          <w:shd w:val="clear" w:color="auto" w:fill="FFFFFF"/>
        </w:rPr>
        <w:t>DEQ Fish Tissue and Sediment Monitoring Program</w:t>
      </w:r>
    </w:p>
    <w:p w14:paraId="79C0EEE3" w14:textId="2CC6FD89" w:rsidR="003B15D5" w:rsidRPr="003B15D5" w:rsidRDefault="0002724D" w:rsidP="003B15D5">
      <w:pPr>
        <w:rPr>
          <w:shd w:val="clear" w:color="auto" w:fill="FFFFFF"/>
        </w:rPr>
      </w:pPr>
      <w:r w:rsidRPr="0002724D">
        <w:rPr>
          <w:shd w:val="clear" w:color="auto" w:fill="FFFFFF"/>
        </w:rPr>
        <w:t>DEQ has sampled approximately 500 stations for fish tissue and sediment through its routine rotational river basin monitoring program (including follow-up monitoring) since 1995. The stations selected for monitoring during the 202</w:t>
      </w:r>
      <w:r w:rsidR="00CA0B5F">
        <w:rPr>
          <w:shd w:val="clear" w:color="auto" w:fill="FFFFFF"/>
        </w:rPr>
        <w:t>4</w:t>
      </w:r>
      <w:r w:rsidRPr="0002724D">
        <w:rPr>
          <w:shd w:val="clear" w:color="auto" w:fill="FFFFFF"/>
        </w:rPr>
        <w:t xml:space="preserve"> IR window were not randomly selected. </w:t>
      </w:r>
      <w:r w:rsidR="003B15D5" w:rsidRPr="003B15D5">
        <w:rPr>
          <w:shd w:val="clear" w:color="auto" w:fill="FFFFFF"/>
        </w:rPr>
        <w:t xml:space="preserve">Instead, stations were selected based on input from residents and partner agencies (e.g., DWR, EPA) on locations where fish are commonly caught and consumed by recreation and subsistence anglers, or where past contaminant levels indicated that follow up investigations were needed to inform DEQ assessments, TMDLs, or other regulatory </w:t>
      </w:r>
      <w:proofErr w:type="gramStart"/>
      <w:r w:rsidR="003B15D5" w:rsidRPr="003B15D5">
        <w:rPr>
          <w:shd w:val="clear" w:color="auto" w:fill="FFFFFF"/>
        </w:rPr>
        <w:t>process</w:t>
      </w:r>
      <w:proofErr w:type="gramEnd"/>
      <w:r w:rsidR="003B15D5" w:rsidRPr="003B15D5">
        <w:rPr>
          <w:shd w:val="clear" w:color="auto" w:fill="FFFFFF"/>
        </w:rPr>
        <w:t xml:space="preserve"> or to inform VDH advisory decisions.</w:t>
      </w:r>
    </w:p>
    <w:p w14:paraId="3DF93E89" w14:textId="3D3A6528" w:rsidR="0002724D" w:rsidRPr="0002724D" w:rsidRDefault="0002724D" w:rsidP="003B15D5">
      <w:pPr>
        <w:rPr>
          <w:shd w:val="clear" w:color="auto" w:fill="FFFFFF"/>
        </w:rPr>
      </w:pPr>
    </w:p>
    <w:p w14:paraId="1DE0D69B" w14:textId="1FFD636B" w:rsidR="0002724D" w:rsidRPr="0002724D" w:rsidRDefault="0002724D" w:rsidP="0002724D">
      <w:pPr>
        <w:rPr>
          <w:shd w:val="clear" w:color="auto" w:fill="FFFFFF"/>
        </w:rPr>
      </w:pPr>
      <w:r w:rsidRPr="0002724D">
        <w:rPr>
          <w:shd w:val="clear" w:color="auto" w:fill="FFFFFF"/>
        </w:rPr>
        <w:t xml:space="preserve">Historical fish tissue and sediment monitoring data can be found on the DEQ </w:t>
      </w:r>
      <w:r w:rsidR="00D94511">
        <w:rPr>
          <w:shd w:val="clear" w:color="auto" w:fill="FFFFFF"/>
        </w:rPr>
        <w:t xml:space="preserve">fish tissues monitoring webpage. </w:t>
      </w:r>
      <w:r w:rsidRPr="0002724D">
        <w:rPr>
          <w:shd w:val="clear" w:color="auto" w:fill="FFFFFF"/>
        </w:rPr>
        <w:t>The results are tabulated with the number of exceedances of human health screening values for those routine monitoring stations where there were exceedances for one or more contaminants in edible fish fillets or shellfish. Contaminant screening values are computed using EPA risk assessment techniques for non-carcinogenic and carcinogenic effects and are based on the same fish tissue concentrations that are the basis for the numerical water quality criteria that are designed to prevent fish contamination.</w:t>
      </w:r>
    </w:p>
    <w:p w14:paraId="5595A916" w14:textId="77777777" w:rsidR="0002724D" w:rsidRPr="0002724D" w:rsidRDefault="0002724D" w:rsidP="0002724D">
      <w:pPr>
        <w:rPr>
          <w:shd w:val="clear" w:color="auto" w:fill="FFFFFF"/>
        </w:rPr>
      </w:pPr>
      <w:r w:rsidRPr="0002724D">
        <w:rPr>
          <w:shd w:val="clear" w:color="auto" w:fill="FFFFFF"/>
        </w:rPr>
        <w:t> </w:t>
      </w:r>
    </w:p>
    <w:p w14:paraId="1E3BEEA1" w14:textId="56DBD284" w:rsidR="0002724D" w:rsidRPr="0002724D" w:rsidRDefault="0002724D" w:rsidP="0002724D">
      <w:pPr>
        <w:pStyle w:val="Heading3"/>
        <w:rPr>
          <w:shd w:val="clear" w:color="auto" w:fill="FFFFFF"/>
        </w:rPr>
      </w:pPr>
      <w:r w:rsidRPr="0002724D">
        <w:rPr>
          <w:shd w:val="clear" w:color="auto" w:fill="FFFFFF"/>
        </w:rPr>
        <w:t>Fish Tissue Sampling Summary</w:t>
      </w:r>
    </w:p>
    <w:p w14:paraId="20503188" w14:textId="06F298B1" w:rsidR="0002724D" w:rsidRDefault="0002724D" w:rsidP="0002724D">
      <w:pPr>
        <w:rPr>
          <w:shd w:val="clear" w:color="auto" w:fill="FFFFFF"/>
        </w:rPr>
      </w:pPr>
      <w:r w:rsidRPr="0002724D">
        <w:rPr>
          <w:shd w:val="clear" w:color="auto" w:fill="FFFFFF"/>
        </w:rPr>
        <w:t xml:space="preserve">The data evaluated for this report was collected from 2017 through 2021. During this period DEQ and the VDH were able to complete risk evaluations at several sites reported for ongoing or future evaluation in previous editions of this report. These decisions are included in this report </w:t>
      </w:r>
      <w:r w:rsidR="00B317D3" w:rsidRPr="0002724D">
        <w:rPr>
          <w:shd w:val="clear" w:color="auto" w:fill="FFFFFF"/>
        </w:rPr>
        <w:t>to</w:t>
      </w:r>
      <w:r w:rsidRPr="0002724D">
        <w:rPr>
          <w:shd w:val="clear" w:color="auto" w:fill="FFFFFF"/>
        </w:rPr>
        <w:t xml:space="preserve"> finalize the information on previously reported potential human health concerns. This report does not highlight station exceedances where VDH determined, at the time of data review, that no further action was needed unless these stations were monitored as a follow-up to a VDH request for additional sampling.</w:t>
      </w:r>
      <w:r w:rsidR="002A7ED3">
        <w:rPr>
          <w:shd w:val="clear" w:color="auto" w:fill="FFFFFF"/>
        </w:rPr>
        <w:t xml:space="preserve"> </w:t>
      </w:r>
      <w:r w:rsidRPr="00B317D3">
        <w:rPr>
          <w:shd w:val="clear" w:color="auto" w:fill="FFFFFF"/>
        </w:rPr>
        <w:t xml:space="preserve">Below is a listing of </w:t>
      </w:r>
      <w:r w:rsidR="00CC60EE">
        <w:rPr>
          <w:shd w:val="clear" w:color="auto" w:fill="FFFFFF"/>
        </w:rPr>
        <w:t xml:space="preserve">river basins and targeted </w:t>
      </w:r>
      <w:r w:rsidRPr="00B317D3">
        <w:rPr>
          <w:shd w:val="clear" w:color="auto" w:fill="FFFFFF"/>
        </w:rPr>
        <w:t xml:space="preserve">sites sampled by year from 2017 through 2021 (i.e., the </w:t>
      </w:r>
      <w:r w:rsidR="00A0137A" w:rsidRPr="00B317D3">
        <w:rPr>
          <w:shd w:val="clear" w:color="auto" w:fill="FFFFFF"/>
        </w:rPr>
        <w:t xml:space="preserve">2024 </w:t>
      </w:r>
      <w:r w:rsidRPr="00B317D3">
        <w:rPr>
          <w:shd w:val="clear" w:color="auto" w:fill="FFFFFF"/>
        </w:rPr>
        <w:t>IR window).</w:t>
      </w:r>
    </w:p>
    <w:p w14:paraId="64A98684" w14:textId="77777777" w:rsidR="00B23647" w:rsidRPr="0002724D" w:rsidRDefault="00B23647" w:rsidP="0002724D">
      <w:pPr>
        <w:rPr>
          <w:shd w:val="clear" w:color="auto" w:fill="FFFFFF"/>
        </w:rPr>
      </w:pPr>
    </w:p>
    <w:p w14:paraId="3F88F943" w14:textId="2D475AB8" w:rsidR="0002724D" w:rsidRPr="0002724D" w:rsidRDefault="0002724D" w:rsidP="0002724D">
      <w:pPr>
        <w:rPr>
          <w:shd w:val="clear" w:color="auto" w:fill="FFFFFF"/>
        </w:rPr>
      </w:pPr>
      <w:r w:rsidRPr="0002724D">
        <w:rPr>
          <w:shd w:val="clear" w:color="auto" w:fill="FFFFFF"/>
        </w:rPr>
        <w:t xml:space="preserve">2017 - Upper James River Basin (Maury River and Jackson River watersheds), Chowan River </w:t>
      </w:r>
      <w:r w:rsidRPr="0002724D">
        <w:rPr>
          <w:shd w:val="clear" w:color="auto" w:fill="FFFFFF"/>
        </w:rPr>
        <w:lastRenderedPageBreak/>
        <w:t xml:space="preserve">Basin (Meherrin River, Nottoway </w:t>
      </w:r>
      <w:r w:rsidR="00436D83" w:rsidRPr="0002724D">
        <w:rPr>
          <w:shd w:val="clear" w:color="auto" w:fill="FFFFFF"/>
        </w:rPr>
        <w:t>River,</w:t>
      </w:r>
      <w:r w:rsidRPr="0002724D">
        <w:rPr>
          <w:shd w:val="clear" w:color="auto" w:fill="FFFFFF"/>
        </w:rPr>
        <w:t xml:space="preserve"> and Blackwater River watersheds), the York River Basin (Lake Anna watershed) and from two impoundments (Lake Gordonsville and Motts Run Reservoir). Special monitoring studies were also conducted for fish tissue metals: one in the Potomac </w:t>
      </w:r>
      <w:proofErr w:type="spellStart"/>
      <w:r w:rsidRPr="0002724D">
        <w:rPr>
          <w:shd w:val="clear" w:color="auto" w:fill="FFFFFF"/>
        </w:rPr>
        <w:t>Embayments</w:t>
      </w:r>
      <w:proofErr w:type="spellEnd"/>
      <w:r w:rsidRPr="0002724D">
        <w:rPr>
          <w:shd w:val="clear" w:color="auto" w:fill="FFFFFF"/>
        </w:rPr>
        <w:t xml:space="preserve"> and a second on the Dan River. </w:t>
      </w:r>
    </w:p>
    <w:p w14:paraId="04CF446D" w14:textId="2570134C" w:rsidR="0002724D" w:rsidRPr="0002724D" w:rsidRDefault="0002724D" w:rsidP="0002724D">
      <w:pPr>
        <w:rPr>
          <w:shd w:val="clear" w:color="auto" w:fill="FFFFFF"/>
        </w:rPr>
      </w:pPr>
    </w:p>
    <w:p w14:paraId="1E80CF35" w14:textId="57A104E7" w:rsidR="0002724D" w:rsidRPr="0002724D" w:rsidRDefault="0002724D" w:rsidP="0002724D">
      <w:pPr>
        <w:rPr>
          <w:shd w:val="clear" w:color="auto" w:fill="FFFFFF"/>
        </w:rPr>
      </w:pPr>
      <w:r w:rsidRPr="0002724D">
        <w:rPr>
          <w:shd w:val="clear" w:color="auto" w:fill="FFFFFF"/>
        </w:rPr>
        <w:t xml:space="preserve">2018 - Rappahannock River, watershed, lower Potomac River, tributaries of the James River, 9 impoundments and from selected sites in </w:t>
      </w:r>
      <w:proofErr w:type="spellStart"/>
      <w:r w:rsidRPr="0002724D">
        <w:rPr>
          <w:shd w:val="clear" w:color="auto" w:fill="FFFFFF"/>
        </w:rPr>
        <w:t>embayments</w:t>
      </w:r>
      <w:proofErr w:type="spellEnd"/>
      <w:r w:rsidRPr="0002724D">
        <w:rPr>
          <w:shd w:val="clear" w:color="auto" w:fill="FFFFFF"/>
        </w:rPr>
        <w:t xml:space="preserve"> of the Potomac River (northern snakehead) and Nottoway River (blue catfish). Special monitoring studies were also conducted on the Dan River and Roanoke River watershed.</w:t>
      </w:r>
    </w:p>
    <w:p w14:paraId="4E99F447" w14:textId="43F51C31" w:rsidR="0002724D" w:rsidRPr="0002724D" w:rsidRDefault="0002724D" w:rsidP="0002724D">
      <w:pPr>
        <w:rPr>
          <w:shd w:val="clear" w:color="auto" w:fill="FFFFFF"/>
        </w:rPr>
      </w:pPr>
    </w:p>
    <w:p w14:paraId="033D2156" w14:textId="3243EE33" w:rsidR="0002724D" w:rsidRPr="0002724D" w:rsidRDefault="0002724D" w:rsidP="0002724D">
      <w:pPr>
        <w:rPr>
          <w:shd w:val="clear" w:color="auto" w:fill="FFFFFF"/>
        </w:rPr>
      </w:pPr>
      <w:r w:rsidRPr="0002724D">
        <w:rPr>
          <w:shd w:val="clear" w:color="auto" w:fill="FFFFFF"/>
        </w:rPr>
        <w:t>2019 - York River (Mattaponi River and Pamunkey River watersheds), the small coastal streams and tributaries of the Chesapeake Bay (</w:t>
      </w:r>
      <w:proofErr w:type="spellStart"/>
      <w:r w:rsidRPr="0002724D">
        <w:rPr>
          <w:shd w:val="clear" w:color="auto" w:fill="FFFFFF"/>
        </w:rPr>
        <w:t>Piankatank</w:t>
      </w:r>
      <w:proofErr w:type="spellEnd"/>
      <w:r w:rsidRPr="0002724D">
        <w:rPr>
          <w:shd w:val="clear" w:color="auto" w:fill="FFFFFF"/>
        </w:rPr>
        <w:t xml:space="preserve"> River, Mobjack River, etc.), and from selected sites on the Maury River (smallmouth bass), the upper James River (carp), and </w:t>
      </w:r>
      <w:proofErr w:type="spellStart"/>
      <w:r w:rsidRPr="0002724D">
        <w:rPr>
          <w:shd w:val="clear" w:color="auto" w:fill="FFFFFF"/>
        </w:rPr>
        <w:t>embayments</w:t>
      </w:r>
      <w:proofErr w:type="spellEnd"/>
      <w:r w:rsidRPr="0002724D">
        <w:rPr>
          <w:shd w:val="clear" w:color="auto" w:fill="FFFFFF"/>
        </w:rPr>
        <w:t xml:space="preserve"> of the Potomac River (northern snakehead). Special monitoring studies were also conducted for fish tissue metals: one in the Potomac </w:t>
      </w:r>
      <w:proofErr w:type="spellStart"/>
      <w:r w:rsidRPr="0002724D">
        <w:rPr>
          <w:shd w:val="clear" w:color="auto" w:fill="FFFFFF"/>
        </w:rPr>
        <w:t>Embayments</w:t>
      </w:r>
      <w:proofErr w:type="spellEnd"/>
      <w:r w:rsidRPr="0002724D">
        <w:rPr>
          <w:shd w:val="clear" w:color="auto" w:fill="FFFFFF"/>
        </w:rPr>
        <w:t xml:space="preserve"> and a second on the Dan River and Roanoke River watersheds.</w:t>
      </w:r>
    </w:p>
    <w:p w14:paraId="5B34960A" w14:textId="7315E47B" w:rsidR="0002724D" w:rsidRPr="0002724D" w:rsidRDefault="0002724D" w:rsidP="0002724D">
      <w:pPr>
        <w:rPr>
          <w:shd w:val="clear" w:color="auto" w:fill="FFFFFF"/>
        </w:rPr>
      </w:pPr>
    </w:p>
    <w:p w14:paraId="0B6CE783" w14:textId="29EB273D" w:rsidR="0002724D" w:rsidRPr="0002724D" w:rsidRDefault="0002724D" w:rsidP="0002724D">
      <w:pPr>
        <w:rPr>
          <w:shd w:val="clear" w:color="auto" w:fill="FFFFFF"/>
        </w:rPr>
      </w:pPr>
      <w:r w:rsidRPr="0002724D">
        <w:rPr>
          <w:shd w:val="clear" w:color="auto" w:fill="FFFFFF"/>
        </w:rPr>
        <w:t>2020 - Shenandoah River (mainstem, North Fork, South Fork watersheds), Tennessee River (Clinch River, Powell River, and Holston River watersheds), Chesapeake Bay and its small coastal streams and tributaries (Mobjack, Pocomoke, etc.) and a selected site on the Maury River (smallmouth bass). Special monitoring studies were also conducted in the Dan River and Roanoke River watersheds.</w:t>
      </w:r>
    </w:p>
    <w:p w14:paraId="3E51FE87" w14:textId="77777777" w:rsidR="006455E9" w:rsidRDefault="006455E9" w:rsidP="0002724D">
      <w:pPr>
        <w:rPr>
          <w:shd w:val="clear" w:color="auto" w:fill="FFFFFF"/>
        </w:rPr>
      </w:pPr>
    </w:p>
    <w:p w14:paraId="7CC3C6D1" w14:textId="0FF17045" w:rsidR="00371FD2" w:rsidRPr="007826B5" w:rsidRDefault="0002724D" w:rsidP="002A7ED3">
      <w:pPr>
        <w:pStyle w:val="paragraph"/>
        <w:shd w:val="clear" w:color="auto" w:fill="FFFFFF"/>
        <w:spacing w:before="0" w:beforeAutospacing="0" w:after="0" w:afterAutospacing="0"/>
        <w:textAlignment w:val="baseline"/>
        <w:rPr>
          <w:rFonts w:asciiTheme="minorHAnsi" w:hAnsiTheme="minorHAnsi" w:cstheme="minorHAnsi"/>
          <w:sz w:val="18"/>
          <w:szCs w:val="18"/>
        </w:rPr>
      </w:pPr>
      <w:r w:rsidRPr="007826B5">
        <w:rPr>
          <w:rFonts w:asciiTheme="minorHAnsi" w:hAnsiTheme="minorHAnsi" w:cstheme="minorHAnsi"/>
          <w:shd w:val="clear" w:color="auto" w:fill="FFFFFF"/>
        </w:rPr>
        <w:t xml:space="preserve">2021 </w:t>
      </w:r>
      <w:r w:rsidR="00371FD2" w:rsidRPr="007826B5">
        <w:rPr>
          <w:rFonts w:asciiTheme="minorHAnsi" w:hAnsiTheme="minorHAnsi" w:cstheme="minorHAnsi"/>
          <w:shd w:val="clear" w:color="auto" w:fill="FFFFFF"/>
        </w:rPr>
        <w:t>- James</w:t>
      </w:r>
      <w:r w:rsidR="00371FD2" w:rsidRPr="007826B5">
        <w:rPr>
          <w:rStyle w:val="normaltextrun"/>
          <w:rFonts w:asciiTheme="minorHAnsi" w:hAnsiTheme="minorHAnsi" w:cstheme="minorHAnsi"/>
        </w:rPr>
        <w:t xml:space="preserve"> River (mainstem - non tidal and tidal, Elizabeth River, Chickahominy River, etc.),</w:t>
      </w:r>
      <w:r w:rsidR="002A7ED3">
        <w:rPr>
          <w:rStyle w:val="normaltextrun"/>
          <w:rFonts w:asciiTheme="minorHAnsi" w:hAnsiTheme="minorHAnsi" w:cstheme="minorHAnsi"/>
        </w:rPr>
        <w:t xml:space="preserve"> </w:t>
      </w:r>
      <w:r w:rsidR="00371FD2" w:rsidRPr="007826B5">
        <w:rPr>
          <w:rStyle w:val="normaltextrun"/>
          <w:rFonts w:asciiTheme="minorHAnsi" w:hAnsiTheme="minorHAnsi" w:cstheme="minorHAnsi"/>
        </w:rPr>
        <w:t xml:space="preserve">New River (mainstem, Claytor Lake, etc.), Roanoke River (Smith Mountain Lake, Leesville Lake, Kerr Reservoir, Lake Gaston, etc.), Tennessee River impoundments (Big Cherry, Hungry Mother and Laurel Bed). Special monitoring studies were also conducted in the Dan River and Roanoke River watersheds plus </w:t>
      </w:r>
      <w:proofErr w:type="spellStart"/>
      <w:r w:rsidR="00371FD2" w:rsidRPr="007826B5">
        <w:rPr>
          <w:rStyle w:val="normaltextrun"/>
          <w:rFonts w:asciiTheme="minorHAnsi" w:hAnsiTheme="minorHAnsi" w:cstheme="minorHAnsi"/>
        </w:rPr>
        <w:t>Lovills</w:t>
      </w:r>
      <w:proofErr w:type="spellEnd"/>
      <w:r w:rsidR="00371FD2" w:rsidRPr="007826B5">
        <w:rPr>
          <w:rStyle w:val="normaltextrun"/>
          <w:rFonts w:asciiTheme="minorHAnsi" w:hAnsiTheme="minorHAnsi" w:cstheme="minorHAnsi"/>
        </w:rPr>
        <w:t xml:space="preserve"> Creek Lake.</w:t>
      </w:r>
    </w:p>
    <w:p w14:paraId="6C5A2F6A" w14:textId="77777777" w:rsidR="0002724D" w:rsidRPr="0002724D" w:rsidRDefault="0002724D" w:rsidP="0002724D">
      <w:pPr>
        <w:rPr>
          <w:shd w:val="clear" w:color="auto" w:fill="FFFFFF"/>
        </w:rPr>
      </w:pPr>
    </w:p>
    <w:p w14:paraId="5C9B00F0" w14:textId="3C6CD36B" w:rsidR="0002724D" w:rsidRPr="00D43A80" w:rsidRDefault="0002724D" w:rsidP="00D43A80">
      <w:pPr>
        <w:pStyle w:val="Heading3"/>
      </w:pPr>
      <w:r w:rsidRPr="00D43A80">
        <w:t>Fish Consumption Advisories and Restrictions</w:t>
      </w:r>
    </w:p>
    <w:p w14:paraId="417FDE84" w14:textId="08719FA8" w:rsidR="0002724D" w:rsidRPr="0002724D" w:rsidRDefault="0002724D" w:rsidP="0002724D">
      <w:pPr>
        <w:rPr>
          <w:shd w:val="clear" w:color="auto" w:fill="FFFFFF"/>
        </w:rPr>
      </w:pPr>
      <w:r w:rsidRPr="0002724D">
        <w:rPr>
          <w:shd w:val="clear" w:color="auto" w:fill="FFFFFF"/>
        </w:rPr>
        <w:t xml:space="preserve">Virginia’s fish consumption advisories are reviewed annually by the Virginia Department of Health (VDH). </w:t>
      </w:r>
      <w:r w:rsidR="00842A9E">
        <w:rPr>
          <w:shd w:val="clear" w:color="auto" w:fill="FFFFFF"/>
        </w:rPr>
        <w:t xml:space="preserve">As of </w:t>
      </w:r>
      <w:r w:rsidR="00115AEE">
        <w:rPr>
          <w:shd w:val="clear" w:color="auto" w:fill="FFFFFF"/>
        </w:rPr>
        <w:t>November 2023</w:t>
      </w:r>
      <w:r w:rsidR="00142564">
        <w:rPr>
          <w:shd w:val="clear" w:color="auto" w:fill="FFFFFF"/>
        </w:rPr>
        <w:t xml:space="preserve">, </w:t>
      </w:r>
      <w:r w:rsidRPr="0002724D">
        <w:rPr>
          <w:shd w:val="clear" w:color="auto" w:fill="FFFFFF"/>
        </w:rPr>
        <w:t xml:space="preserve">VDH has 65 health advisories in effect </w:t>
      </w:r>
      <w:r w:rsidR="00A0137A">
        <w:rPr>
          <w:shd w:val="clear" w:color="auto" w:fill="FFFFFF"/>
        </w:rPr>
        <w:t>based on data collected through</w:t>
      </w:r>
      <w:r w:rsidRPr="0002724D">
        <w:rPr>
          <w:shd w:val="clear" w:color="auto" w:fill="FFFFFF"/>
        </w:rPr>
        <w:t xml:space="preserve"> 2021</w:t>
      </w:r>
      <w:r w:rsidR="00A96CCC">
        <w:rPr>
          <w:shd w:val="clear" w:color="auto" w:fill="FFFFFF"/>
        </w:rPr>
        <w:t xml:space="preserve"> (Figure </w:t>
      </w:r>
      <w:r w:rsidR="00424511">
        <w:rPr>
          <w:shd w:val="clear" w:color="auto" w:fill="FFFFFF"/>
        </w:rPr>
        <w:t>7.5-1)</w:t>
      </w:r>
      <w:r w:rsidRPr="0002724D">
        <w:rPr>
          <w:shd w:val="clear" w:color="auto" w:fill="FFFFFF"/>
        </w:rPr>
        <w:t xml:space="preserve">. A health advisory warns of potentially dangerous levels of contamination found in fish tissues in an affected area and, in most cases, </w:t>
      </w:r>
      <w:r w:rsidR="003E42A3">
        <w:rPr>
          <w:shd w:val="clear" w:color="auto" w:fill="FFFFFF"/>
        </w:rPr>
        <w:t xml:space="preserve">advises </w:t>
      </w:r>
      <w:r w:rsidRPr="0002724D">
        <w:rPr>
          <w:shd w:val="clear" w:color="auto" w:fill="FFFFFF"/>
        </w:rPr>
        <w:t>limit</w:t>
      </w:r>
      <w:r w:rsidR="003E42A3">
        <w:rPr>
          <w:shd w:val="clear" w:color="auto" w:fill="FFFFFF"/>
        </w:rPr>
        <w:t>ed</w:t>
      </w:r>
      <w:r w:rsidRPr="0002724D">
        <w:rPr>
          <w:shd w:val="clear" w:color="auto" w:fill="FFFFFF"/>
        </w:rPr>
        <w:t xml:space="preserve"> consumption but does not prohibit it. Under health advisories, the population </w:t>
      </w:r>
      <w:proofErr w:type="gramStart"/>
      <w:r w:rsidRPr="0002724D">
        <w:rPr>
          <w:shd w:val="clear" w:color="auto" w:fill="FFFFFF"/>
        </w:rPr>
        <w:t>at</w:t>
      </w:r>
      <w:proofErr w:type="gramEnd"/>
      <w:r w:rsidRPr="0002724D">
        <w:rPr>
          <w:shd w:val="clear" w:color="auto" w:fill="FFFFFF"/>
        </w:rPr>
        <w:t xml:space="preserve"> risk and a safe maximum consumption rate may be specified. All VDH fish consumption advisories for mercury and PCBs caution that women who are pregnant or may become pregnant, nursing mothers and young children should not eat any fish from affected waters to avoid ingesting contaminants. Contamination of fish by three toxic pollutants – (</w:t>
      </w:r>
      <w:proofErr w:type="spellStart"/>
      <w:r w:rsidRPr="0002724D">
        <w:rPr>
          <w:shd w:val="clear" w:color="auto" w:fill="FFFFFF"/>
        </w:rPr>
        <w:t>kepone</w:t>
      </w:r>
      <w:proofErr w:type="spellEnd"/>
      <w:r w:rsidRPr="0002724D">
        <w:rPr>
          <w:shd w:val="clear" w:color="auto" w:fill="FFFFFF"/>
        </w:rPr>
        <w:t>, mercury, and polychlorinated biphenyls (PCBs) - have been the causes of the health advisories that are currently in place throughout the state. Four of the health advisories (</w:t>
      </w:r>
      <w:proofErr w:type="spellStart"/>
      <w:r w:rsidRPr="0002724D">
        <w:rPr>
          <w:shd w:val="clear" w:color="auto" w:fill="FFFFFF"/>
        </w:rPr>
        <w:t>kepone</w:t>
      </w:r>
      <w:proofErr w:type="spellEnd"/>
      <w:r w:rsidRPr="0002724D">
        <w:rPr>
          <w:shd w:val="clear" w:color="auto" w:fill="FFFFFF"/>
        </w:rPr>
        <w:t xml:space="preserve"> in the lower James River, mercury in the North Fork Holston River, mercury in the South River and sections of the Shenandoah River, and PCBs in the South Fork Shenandoah River, North Fork </w:t>
      </w:r>
      <w:r w:rsidRPr="0002724D">
        <w:rPr>
          <w:shd w:val="clear" w:color="auto" w:fill="FFFFFF"/>
        </w:rPr>
        <w:lastRenderedPageBreak/>
        <w:t>Shenandoah River and Shenandoah River) were the result of industrial releases of toxic contaminants to the aquatic environment, while the contributing sources of contamination for the remainder of the advisories remain under investigation, primarily through TMDL studies and subsequent activities. The history of the four known industrial releases and general historical information about the fish consumption advisories can be found on the DEQ Fish Tissue Monitoring web</w:t>
      </w:r>
      <w:r w:rsidR="0044363A">
        <w:rPr>
          <w:shd w:val="clear" w:color="auto" w:fill="FFFFFF"/>
        </w:rPr>
        <w:t xml:space="preserve">page. </w:t>
      </w:r>
      <w:r w:rsidRPr="0002724D">
        <w:rPr>
          <w:shd w:val="clear" w:color="auto" w:fill="FFFFFF"/>
        </w:rPr>
        <w:t>The current advisories</w:t>
      </w:r>
      <w:r w:rsidR="00CC4CB2">
        <w:rPr>
          <w:shd w:val="clear" w:color="auto" w:fill="FFFFFF"/>
        </w:rPr>
        <w:t xml:space="preserve">, </w:t>
      </w:r>
      <w:r w:rsidRPr="0002724D">
        <w:rPr>
          <w:shd w:val="clear" w:color="auto" w:fill="FFFFFF"/>
        </w:rPr>
        <w:t>affected watersheds</w:t>
      </w:r>
      <w:r w:rsidR="00CC4CB2">
        <w:rPr>
          <w:shd w:val="clear" w:color="auto" w:fill="FFFFFF"/>
        </w:rPr>
        <w:t>, and VDH contacts</w:t>
      </w:r>
      <w:r w:rsidRPr="0002724D">
        <w:rPr>
          <w:shd w:val="clear" w:color="auto" w:fill="FFFFFF"/>
        </w:rPr>
        <w:t xml:space="preserve"> can be found </w:t>
      </w:r>
      <w:r w:rsidR="0097717B">
        <w:rPr>
          <w:shd w:val="clear" w:color="auto" w:fill="FFFFFF"/>
        </w:rPr>
        <w:t>at</w:t>
      </w:r>
      <w:r w:rsidR="00CC7CA9">
        <w:rPr>
          <w:shd w:val="clear" w:color="auto" w:fill="FFFFFF"/>
        </w:rPr>
        <w:t xml:space="preserve"> VDH Fish Consumption Advisory webpage</w:t>
      </w:r>
      <w:r w:rsidR="009C61AC">
        <w:rPr>
          <w:shd w:val="clear" w:color="auto" w:fill="FFFFFF"/>
        </w:rPr>
        <w:t>.</w:t>
      </w:r>
    </w:p>
    <w:p w14:paraId="618833EF" w14:textId="35F78D3C" w:rsidR="0002724D" w:rsidRPr="0002724D" w:rsidRDefault="0002724D" w:rsidP="0002724D">
      <w:pPr>
        <w:rPr>
          <w:shd w:val="clear" w:color="auto" w:fill="FFFFFF"/>
        </w:rPr>
      </w:pPr>
    </w:p>
    <w:p w14:paraId="7FEE64FE" w14:textId="77777777" w:rsidR="00A424A3" w:rsidRDefault="0002724D" w:rsidP="00A424A3">
      <w:pPr>
        <w:keepNext/>
        <w:jc w:val="center"/>
      </w:pPr>
      <w:r w:rsidRPr="0002724D">
        <w:rPr>
          <w:noProof/>
          <w:shd w:val="clear" w:color="auto" w:fill="FFFFFF"/>
        </w:rPr>
        <w:drawing>
          <wp:inline distT="0" distB="0" distL="0" distR="0" wp14:anchorId="68CC43C9" wp14:editId="7F546BB8">
            <wp:extent cx="6199632" cy="2816352"/>
            <wp:effectExtent l="0" t="0" r="0" b="3175"/>
            <wp:docPr id="38230615" name="Picture 38230615" descr="Map&#10;&#10;Figure 6.6-1 Map of current fish consumption advisories and impairments across Virg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0615" name="Picture 38230615" descr="Map&#10;&#10;Figure 6.6-1 Map of current fish consumption advisories and impairments across Virginia"/>
                    <pic:cNvPicPr>
                      <a:picLocks noChangeAspect="1" noChangeArrowheads="1"/>
                    </pic:cNvPicPr>
                  </pic:nvPicPr>
                  <pic:blipFill>
                    <a:blip r:embed="rId239"/>
                    <a:stretch>
                      <a:fillRect/>
                    </a:stretch>
                  </pic:blipFill>
                  <pic:spPr bwMode="auto">
                    <a:xfrm>
                      <a:off x="0" y="0"/>
                      <a:ext cx="6199632" cy="2816352"/>
                    </a:xfrm>
                    <a:prstGeom prst="rect">
                      <a:avLst/>
                    </a:prstGeom>
                    <a:noFill/>
                    <a:ln>
                      <a:noFill/>
                    </a:ln>
                  </pic:spPr>
                </pic:pic>
              </a:graphicData>
            </a:graphic>
          </wp:inline>
        </w:drawing>
      </w:r>
    </w:p>
    <w:p w14:paraId="77A55FAD" w14:textId="3969607E" w:rsidR="00A424A3" w:rsidRDefault="00A424A3" w:rsidP="00EE5B8C">
      <w:pPr>
        <w:pStyle w:val="Caption"/>
      </w:pPr>
      <w:bookmarkStart w:id="428" w:name="_Toc152766320"/>
      <w:bookmarkStart w:id="429" w:name="_Toc164175143"/>
      <w:r>
        <w:t xml:space="preserve">Figure </w:t>
      </w:r>
      <w:r w:rsidR="004F13BA">
        <w:fldChar w:fldCharType="begin"/>
      </w:r>
      <w:r w:rsidR="004F13BA">
        <w:instrText xml:space="preserve"> STYLEREF 2 \s </w:instrText>
      </w:r>
      <w:r w:rsidR="004F13BA">
        <w:fldChar w:fldCharType="separate"/>
      </w:r>
      <w:r w:rsidR="00E429BB">
        <w:rPr>
          <w:noProof/>
        </w:rPr>
        <w:t>6.6</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xml:space="preserve">. </w:t>
      </w:r>
      <w:r w:rsidRPr="00A424A3">
        <w:t>Map of current fish consumption advisories</w:t>
      </w:r>
      <w:bookmarkEnd w:id="428"/>
      <w:bookmarkEnd w:id="429"/>
    </w:p>
    <w:p w14:paraId="4F2D53F8" w14:textId="211B80A1" w:rsidR="00A424A3" w:rsidRPr="0002724D" w:rsidRDefault="00A424A3" w:rsidP="0002724D">
      <w:pPr>
        <w:rPr>
          <w:shd w:val="clear" w:color="auto" w:fill="FFFFFF"/>
        </w:rPr>
      </w:pPr>
    </w:p>
    <w:p w14:paraId="1FDAA7A6" w14:textId="6B9DD5AF" w:rsidR="0002724D" w:rsidRDefault="0002724D" w:rsidP="0002724D">
      <w:pPr>
        <w:rPr>
          <w:shd w:val="clear" w:color="auto" w:fill="FFFFFF"/>
        </w:rPr>
      </w:pPr>
      <w:r w:rsidRPr="0002724D">
        <w:rPr>
          <w:shd w:val="clear" w:color="auto" w:fill="FFFFFF"/>
        </w:rPr>
        <w:t>For general questions about fishing regulations in Virginia, please visit the Division of Wildlife Resources website</w:t>
      </w:r>
      <w:r w:rsidR="00494186">
        <w:rPr>
          <w:shd w:val="clear" w:color="auto" w:fill="FFFFFF"/>
        </w:rPr>
        <w:t xml:space="preserve">. </w:t>
      </w:r>
      <w:r w:rsidRPr="0002724D">
        <w:rPr>
          <w:shd w:val="clear" w:color="auto" w:fill="FFFFFF"/>
        </w:rPr>
        <w:t xml:space="preserve">For further information regarding the fish tissue sampling and analysis processes, please visit the </w:t>
      </w:r>
      <w:r w:rsidR="00494186">
        <w:rPr>
          <w:shd w:val="clear" w:color="auto" w:fill="FFFFFF"/>
        </w:rPr>
        <w:t>DEQ Fish Tissue Monitoring webpage</w:t>
      </w:r>
      <w:r w:rsidR="00223CF4" w:rsidRPr="0002724D">
        <w:rPr>
          <w:shd w:val="clear" w:color="auto" w:fill="FFFFFF"/>
        </w:rPr>
        <w:t>.</w:t>
      </w:r>
      <w:r w:rsidR="00223CF4">
        <w:rPr>
          <w:shd w:val="clear" w:color="auto" w:fill="FFFFFF"/>
        </w:rPr>
        <w:t xml:space="preserve"> </w:t>
      </w:r>
      <w:r w:rsidRPr="0002724D">
        <w:rPr>
          <w:shd w:val="clear" w:color="auto" w:fill="FFFFFF"/>
        </w:rPr>
        <w:t>Based on a review of all available data for this assessment window, VDH has not issued any new or revised fish consumption advisories since the 202</w:t>
      </w:r>
      <w:r w:rsidR="002F6885">
        <w:rPr>
          <w:shd w:val="clear" w:color="auto" w:fill="FFFFFF"/>
        </w:rPr>
        <w:t>0</w:t>
      </w:r>
      <w:r w:rsidRPr="0002724D">
        <w:rPr>
          <w:shd w:val="clear" w:color="auto" w:fill="FFFFFF"/>
        </w:rPr>
        <w:t xml:space="preserve"> IR.</w:t>
      </w:r>
    </w:p>
    <w:p w14:paraId="64C48D0D" w14:textId="77777777" w:rsidR="000928F0" w:rsidRPr="0002724D" w:rsidRDefault="000928F0" w:rsidP="0002724D">
      <w:pPr>
        <w:rPr>
          <w:shd w:val="clear" w:color="auto" w:fill="FFFFFF"/>
        </w:rPr>
      </w:pPr>
    </w:p>
    <w:p w14:paraId="1478D1E2" w14:textId="37226EA4" w:rsidR="0002724D" w:rsidRPr="0002724D" w:rsidRDefault="0002724D" w:rsidP="00565ECD">
      <w:pPr>
        <w:pStyle w:val="Heading4"/>
        <w:rPr>
          <w:shd w:val="clear" w:color="auto" w:fill="FFFFFF"/>
        </w:rPr>
      </w:pPr>
      <w:r w:rsidRPr="0002724D">
        <w:rPr>
          <w:shd w:val="clear" w:color="auto" w:fill="FFFFFF"/>
        </w:rPr>
        <w:t>Fish consumption advisories due to mercury contamination of fish</w:t>
      </w:r>
    </w:p>
    <w:p w14:paraId="47FDEF8D" w14:textId="3EFB4E5D" w:rsidR="0002724D" w:rsidRPr="0002724D" w:rsidRDefault="0002724D" w:rsidP="0002724D">
      <w:pPr>
        <w:rPr>
          <w:shd w:val="clear" w:color="auto" w:fill="FFFFFF"/>
        </w:rPr>
      </w:pPr>
      <w:r w:rsidRPr="0002724D">
        <w:rPr>
          <w:shd w:val="clear" w:color="auto" w:fill="FFFFFF"/>
        </w:rPr>
        <w:t>As of 202</w:t>
      </w:r>
      <w:r w:rsidR="006455E9">
        <w:rPr>
          <w:shd w:val="clear" w:color="auto" w:fill="FFFFFF"/>
        </w:rPr>
        <w:t>1</w:t>
      </w:r>
      <w:r w:rsidRPr="0002724D">
        <w:rPr>
          <w:shd w:val="clear" w:color="auto" w:fill="FFFFFF"/>
        </w:rPr>
        <w:t>, there are 27 health advisories that have been issued by the VDH due to mercury contamination of fish throughout the state.</w:t>
      </w:r>
      <w:r w:rsidR="000733C4">
        <w:rPr>
          <w:shd w:val="clear" w:color="auto" w:fill="FFFFFF"/>
        </w:rPr>
        <w:t xml:space="preserve"> </w:t>
      </w:r>
      <w:r w:rsidRPr="0002724D">
        <w:rPr>
          <w:shd w:val="clear" w:color="auto" w:fill="FFFFFF"/>
        </w:rPr>
        <w:t>Mercury is released into the environment by both natural sources and pollution. Biological processes transform mercury in the water into more toxic methylmercury. Fish absorb methylmercury directly from water, sediment and from eating smaller aquatic organisms that contain methylmercury.</w:t>
      </w:r>
    </w:p>
    <w:p w14:paraId="73DBD148" w14:textId="49FA15E2" w:rsidR="0002724D" w:rsidRPr="0002724D" w:rsidRDefault="0002724D" w:rsidP="0002724D">
      <w:pPr>
        <w:rPr>
          <w:shd w:val="clear" w:color="auto" w:fill="FFFFFF"/>
        </w:rPr>
      </w:pPr>
    </w:p>
    <w:p w14:paraId="52F8A7EC" w14:textId="1A265F9D" w:rsidR="0002724D" w:rsidRPr="0002724D" w:rsidRDefault="0002724D" w:rsidP="0002724D">
      <w:pPr>
        <w:rPr>
          <w:shd w:val="clear" w:color="auto" w:fill="FFFFFF"/>
        </w:rPr>
      </w:pPr>
      <w:r w:rsidRPr="0002724D">
        <w:rPr>
          <w:shd w:val="clear" w:color="auto" w:fill="FFFFFF"/>
        </w:rPr>
        <w:t xml:space="preserve">Prior to 2001, VDH followed guidelines developed by the FDA that considered methylmercury levels higher than 1.0 ppm in exceedance of safety guidelines. In 2001, VDH began to use a concentration of 0.5 ppm methylmercury in fish tissue as the guideline for issuing a fish consumption advisory statewide. The revised fish consumption guidelines for mercury contamination were based on an extensive review of literature by the National Academy of </w:t>
      </w:r>
      <w:r w:rsidRPr="0002724D">
        <w:rPr>
          <w:shd w:val="clear" w:color="auto" w:fill="FFFFFF"/>
        </w:rPr>
        <w:lastRenderedPageBreak/>
        <w:t>Sciences which indicated that lowering the amount of mercury recommended for fish consumption would provide more protection for the public. This lower concentration of 0.5 ppm is also based on assuming a consumption rate of two eight-ounce meals per month as an exposure rate for triggering a fish consumption advisory. This new, lower concentration of concern for mercury used by the VDH has increased the number of watersheds subject to fish consumption advisories due to mercury contamination.</w:t>
      </w:r>
    </w:p>
    <w:p w14:paraId="284EF0D0" w14:textId="4D2EBBB6" w:rsidR="0002724D" w:rsidRPr="0002724D" w:rsidRDefault="0002724D" w:rsidP="0002724D">
      <w:pPr>
        <w:rPr>
          <w:shd w:val="clear" w:color="auto" w:fill="FFFFFF"/>
        </w:rPr>
      </w:pPr>
    </w:p>
    <w:p w14:paraId="7BFA9084" w14:textId="14E41F5E" w:rsidR="0002724D" w:rsidRPr="0002724D" w:rsidRDefault="0002724D" w:rsidP="00565ECD">
      <w:pPr>
        <w:pStyle w:val="Heading4"/>
        <w:rPr>
          <w:shd w:val="clear" w:color="auto" w:fill="FFFFFF"/>
        </w:rPr>
      </w:pPr>
      <w:r w:rsidRPr="0002724D">
        <w:rPr>
          <w:shd w:val="clear" w:color="auto" w:fill="FFFFFF"/>
        </w:rPr>
        <w:t>Fish consumption advisories due to polychlorinated biphenyls (PCBs) contamination</w:t>
      </w:r>
    </w:p>
    <w:p w14:paraId="379B9D99" w14:textId="0E94225B" w:rsidR="002B7E0F" w:rsidRPr="00FA6643" w:rsidRDefault="0002724D" w:rsidP="0002724D">
      <w:pPr>
        <w:rPr>
          <w:shd w:val="clear" w:color="auto" w:fill="FFFFFF"/>
        </w:rPr>
      </w:pPr>
      <w:r w:rsidRPr="0002724D">
        <w:rPr>
          <w:shd w:val="clear" w:color="auto" w:fill="FFFFFF"/>
        </w:rPr>
        <w:t>As of 202</w:t>
      </w:r>
      <w:r w:rsidR="0083716F">
        <w:rPr>
          <w:shd w:val="clear" w:color="auto" w:fill="FFFFFF"/>
        </w:rPr>
        <w:t>1</w:t>
      </w:r>
      <w:r w:rsidRPr="0002724D">
        <w:rPr>
          <w:shd w:val="clear" w:color="auto" w:fill="FFFFFF"/>
        </w:rPr>
        <w:t>, there are 44 health advisories that have been issued by the VDH due to contamination of fish by PCBs throughout the state. Historically, Virginia has steadily lowered the levels of PCBs considered acceptable in fish. Prior to 1980, VDH followed guidelines developed by the FDA that considered PCB levels higher than 5,000 parts per billion (ppb) in exceedance of safety guidelines. In 1984, the FDA reduced the level to 2,000 ppb. In 1998, VDH developed its own fish consumption advisory guidelines and set its levels of concern for PCBs in fish to no more than 600 ppb. This limit was lowered to 50 ppb in 2004. The latest guidelines</w:t>
      </w:r>
      <w:r w:rsidRPr="0002724D">
        <w:rPr>
          <w:shd w:val="clear" w:color="auto" w:fill="FFFFFF"/>
          <w:vertAlign w:val="superscript"/>
        </w:rPr>
        <w:t>1</w:t>
      </w:r>
      <w:r w:rsidRPr="0002724D">
        <w:rPr>
          <w:shd w:val="clear" w:color="auto" w:fill="FFFFFF"/>
        </w:rPr>
        <w:t xml:space="preserve"> announced by VDH in 2012 increased that level to 100 ppb. The change reflects VDH’s adoption of the updated exposure factors (such as average body weight</w:t>
      </w:r>
      <w:r w:rsidR="002F6885" w:rsidRPr="0002724D">
        <w:rPr>
          <w:shd w:val="clear" w:color="auto" w:fill="FFFFFF"/>
        </w:rPr>
        <w:t>),</w:t>
      </w:r>
      <w:r w:rsidRPr="0002724D">
        <w:rPr>
          <w:shd w:val="clear" w:color="auto" w:fill="FFFFFF"/>
        </w:rPr>
        <w:t xml:space="preserve"> and human behavior-related assumptions recommended by EPA. This change does not affect previously issued consumption advisories or current impairment listings.</w:t>
      </w:r>
    </w:p>
    <w:p w14:paraId="58532531" w14:textId="63F6C24A" w:rsidR="00A06468" w:rsidRPr="005B0EC6" w:rsidRDefault="00A06468" w:rsidP="0002724D">
      <w:pPr>
        <w:rPr>
          <w:rStyle w:val="CommentReference"/>
          <w:sz w:val="24"/>
          <w:szCs w:val="20"/>
          <w:shd w:val="clear" w:color="auto" w:fill="FFFFFF"/>
        </w:rPr>
      </w:pPr>
    </w:p>
    <w:p w14:paraId="45064FDB" w14:textId="7B85AD0B" w:rsidR="000433DF" w:rsidRPr="000433DF" w:rsidRDefault="000433DF" w:rsidP="000433DF">
      <w:pPr>
        <w:pStyle w:val="Heading3"/>
        <w:rPr>
          <w:rFonts w:eastAsia="Times New Roman"/>
        </w:rPr>
      </w:pPr>
      <w:r w:rsidRPr="000433DF">
        <w:rPr>
          <w:rFonts w:eastAsia="Times New Roman"/>
        </w:rPr>
        <w:t>Evaluating Fish Tissue Monitoring Service to Environmental Justice Communities</w:t>
      </w:r>
    </w:p>
    <w:p w14:paraId="1E326A63" w14:textId="0C888ACB" w:rsidR="000433DF" w:rsidRPr="000433DF" w:rsidRDefault="000433DF" w:rsidP="000433DF">
      <w:pPr>
        <w:pBdr>
          <w:top w:val="nil"/>
          <w:left w:val="nil"/>
          <w:bottom w:val="nil"/>
          <w:right w:val="nil"/>
          <w:between w:val="nil"/>
        </w:pBdr>
        <w:rPr>
          <w:rFonts w:cstheme="minorHAnsi"/>
          <w:bCs/>
          <w:color w:val="000000"/>
        </w:rPr>
      </w:pPr>
      <w:r w:rsidRPr="000433DF">
        <w:rPr>
          <w:rFonts w:cstheme="minorHAnsi"/>
          <w:bCs/>
          <w:color w:val="000000"/>
        </w:rPr>
        <w:t xml:space="preserve">Virginia DEQ is working in collaboration with EPA Region 3 to evaluate the service provided by the fish tissue monitoring program to communities that may be underserved or underrepresented, as indicated by a series of environmental and demographic measures. The study, entitled </w:t>
      </w:r>
      <w:r w:rsidRPr="000433DF">
        <w:rPr>
          <w:rFonts w:cstheme="minorHAnsi"/>
          <w:bCs/>
          <w:i/>
          <w:iCs/>
          <w:color w:val="000000"/>
        </w:rPr>
        <w:t>A new method for evaluating water quality monitoring effort in service of environmental justice communities</w:t>
      </w:r>
      <w:r w:rsidRPr="000433DF">
        <w:rPr>
          <w:rFonts w:cstheme="minorHAnsi"/>
          <w:bCs/>
          <w:color w:val="000000"/>
        </w:rPr>
        <w:t xml:space="preserve"> includes a review of nearly 29 years (1991-2019) of data from the program. The objective of the study is to develop a tool with which agencies can evaluate their environmental monitoring programs to determine the degree to which they serve areas of potential Environmental Justice (EJ) concern.</w:t>
      </w:r>
    </w:p>
    <w:p w14:paraId="0F282C0A" w14:textId="77777777" w:rsidR="000433DF" w:rsidRPr="000433DF" w:rsidRDefault="000433DF" w:rsidP="000433DF">
      <w:pPr>
        <w:pBdr>
          <w:top w:val="nil"/>
          <w:left w:val="nil"/>
          <w:bottom w:val="nil"/>
          <w:right w:val="nil"/>
          <w:between w:val="nil"/>
        </w:pBdr>
        <w:rPr>
          <w:rFonts w:cstheme="minorHAnsi"/>
          <w:bCs/>
          <w:color w:val="000000"/>
        </w:rPr>
      </w:pPr>
    </w:p>
    <w:p w14:paraId="132E2778" w14:textId="72928FE1" w:rsidR="000433DF" w:rsidRPr="000433DF" w:rsidRDefault="000433DF" w:rsidP="000433DF">
      <w:pPr>
        <w:pBdr>
          <w:top w:val="nil"/>
          <w:left w:val="nil"/>
          <w:bottom w:val="nil"/>
          <w:right w:val="nil"/>
          <w:between w:val="nil"/>
        </w:pBdr>
        <w:rPr>
          <w:rFonts w:cstheme="minorHAnsi"/>
          <w:bCs/>
          <w:color w:val="000000"/>
        </w:rPr>
      </w:pPr>
      <w:r w:rsidRPr="000433DF">
        <w:rPr>
          <w:rFonts w:cstheme="minorHAnsi"/>
          <w:bCs/>
          <w:color w:val="000000"/>
        </w:rPr>
        <w:t xml:space="preserve">The research team has developed an empirical method for determining the monitoring effort of the program that occurred in EJ waters, in proportion to the total effort of the program. The study included data from two open-source tools; US EPA’s EJSCREEN and the Virginia DEQ’s EJSCREEN+ to classify Virginia waters based on the following commonly used EJ metrics: populations of color and low-income populations (as defined in Virginia State Code), linguistically isolated populations, and an integrated metric of environmental indicators. Each EJ metric was evaluated in a separate analysis to compare the results and to demonstrate the utility of the method for evaluating a variety of EJ metrics. In general, the monitoring effort in EJ waters, as a proportion of total monitoring effort, was higher than the total proportion of EJ waters in the state, however, results varied among EJ metrics and among the monitoring periods evaluated. In years where </w:t>
      </w:r>
      <w:proofErr w:type="gramStart"/>
      <w:r w:rsidRPr="000433DF">
        <w:rPr>
          <w:rFonts w:cstheme="minorHAnsi"/>
          <w:bCs/>
          <w:color w:val="000000"/>
        </w:rPr>
        <w:t>overall</w:t>
      </w:r>
      <w:proofErr w:type="gramEnd"/>
      <w:r w:rsidRPr="000433DF">
        <w:rPr>
          <w:rFonts w:cstheme="minorHAnsi"/>
          <w:bCs/>
          <w:color w:val="000000"/>
        </w:rPr>
        <w:t xml:space="preserve"> monitoring effort was low, the service (i.e., monitoring effort) to EJ communities was disproportionately low, relative to the service provided statewide.</w:t>
      </w:r>
    </w:p>
    <w:p w14:paraId="6CACE408" w14:textId="77777777" w:rsidR="000433DF" w:rsidRPr="000433DF" w:rsidRDefault="000433DF" w:rsidP="000433DF">
      <w:pPr>
        <w:pBdr>
          <w:top w:val="nil"/>
          <w:left w:val="nil"/>
          <w:bottom w:val="nil"/>
          <w:right w:val="nil"/>
          <w:between w:val="nil"/>
        </w:pBdr>
        <w:rPr>
          <w:rFonts w:cstheme="minorHAnsi"/>
          <w:bCs/>
          <w:color w:val="000000"/>
        </w:rPr>
      </w:pPr>
    </w:p>
    <w:p w14:paraId="5B419D1F" w14:textId="6FC3B9FF" w:rsidR="000433DF" w:rsidRPr="000433DF" w:rsidRDefault="000433DF" w:rsidP="000433DF">
      <w:pPr>
        <w:pBdr>
          <w:top w:val="nil"/>
          <w:left w:val="nil"/>
          <w:bottom w:val="nil"/>
          <w:right w:val="nil"/>
          <w:between w:val="nil"/>
        </w:pBdr>
        <w:rPr>
          <w:rFonts w:cstheme="minorHAnsi"/>
          <w:bCs/>
          <w:color w:val="000000"/>
        </w:rPr>
      </w:pPr>
      <w:r w:rsidRPr="000433DF">
        <w:rPr>
          <w:rFonts w:cstheme="minorHAnsi"/>
          <w:bCs/>
          <w:color w:val="000000"/>
        </w:rPr>
        <w:t xml:space="preserve">Future work may include additional statistics used to evaluate EJ effort, other types of monitoring data, additional EJ metrics, and enhanced spatial analysis. In addition, whereas the current study directly evaluates the service provided in relation to equality; the methods can be extended to conduct an evaluation based on weighted prioritization for monitoring service, based on EJ information. A complete project report detailing the results of the study is expected in late 2024. </w:t>
      </w:r>
    </w:p>
    <w:p w14:paraId="4CE7F2BC" w14:textId="77777777" w:rsidR="0002724D" w:rsidRPr="0002724D" w:rsidRDefault="0002724D" w:rsidP="0002724D">
      <w:pPr>
        <w:rPr>
          <w:shd w:val="clear" w:color="auto" w:fill="FFFFFF"/>
        </w:rPr>
      </w:pPr>
      <w:r w:rsidRPr="0002724D">
        <w:rPr>
          <w:shd w:val="clear" w:color="auto" w:fill="FFFFFF"/>
        </w:rPr>
        <w:t> </w:t>
      </w:r>
    </w:p>
    <w:p w14:paraId="40983E60" w14:textId="021B245A" w:rsidR="0002724D" w:rsidRPr="0002724D" w:rsidRDefault="0002724D" w:rsidP="0078045F">
      <w:pPr>
        <w:pStyle w:val="Heading3"/>
        <w:rPr>
          <w:shd w:val="clear" w:color="auto" w:fill="FFFFFF"/>
        </w:rPr>
      </w:pPr>
      <w:r w:rsidRPr="0002724D">
        <w:rPr>
          <w:shd w:val="clear" w:color="auto" w:fill="FFFFFF"/>
        </w:rPr>
        <w:t>Shellfish Condemnations </w:t>
      </w:r>
    </w:p>
    <w:p w14:paraId="3C9A3559" w14:textId="64D809A0" w:rsidR="002153BC" w:rsidRPr="002153BC" w:rsidRDefault="002153BC" w:rsidP="002153BC">
      <w:pPr>
        <w:pBdr>
          <w:top w:val="nil"/>
          <w:left w:val="nil"/>
          <w:bottom w:val="nil"/>
          <w:right w:val="nil"/>
          <w:between w:val="nil"/>
        </w:pBdr>
        <w:rPr>
          <w:rFonts w:cstheme="minorHAnsi"/>
        </w:rPr>
      </w:pPr>
      <w:r w:rsidRPr="002153BC">
        <w:rPr>
          <w:rFonts w:cstheme="minorHAnsi"/>
        </w:rPr>
        <w:t xml:space="preserve">VDH has prohibited and/or restricted harvest of shellfish in some areas in the waters of Virginia. These areas </w:t>
      </w:r>
      <w:r w:rsidR="003B7FEB" w:rsidRPr="002153BC">
        <w:rPr>
          <w:rFonts w:cstheme="minorHAnsi"/>
        </w:rPr>
        <w:t>are in</w:t>
      </w:r>
      <w:r w:rsidRPr="002153BC">
        <w:rPr>
          <w:rFonts w:cstheme="minorHAnsi"/>
        </w:rPr>
        <w:t xml:space="preserve"> </w:t>
      </w:r>
      <w:proofErr w:type="gramStart"/>
      <w:r w:rsidRPr="002153BC">
        <w:rPr>
          <w:rFonts w:cstheme="minorHAnsi"/>
        </w:rPr>
        <w:t>the Chesapeake</w:t>
      </w:r>
      <w:proofErr w:type="gramEnd"/>
      <w:r w:rsidRPr="002153BC">
        <w:rPr>
          <w:rFonts w:cstheme="minorHAnsi"/>
        </w:rPr>
        <w:t xml:space="preserve"> Bay and its tidal tributaries and in the coastal bays of the Eastern Shore. A significant portion of the “Administratively Prohibited” or “Restricted” areas are waters surrounding certain point source discharges or other concerns, with a smaller relative portion of area “Condemned” due to elevated fecal coliform bacteria concentrations that exceed national standards.</w:t>
      </w:r>
    </w:p>
    <w:p w14:paraId="02FD6975" w14:textId="77777777" w:rsidR="002153BC" w:rsidRPr="002153BC" w:rsidRDefault="002153BC" w:rsidP="002153BC">
      <w:pPr>
        <w:pBdr>
          <w:top w:val="nil"/>
          <w:left w:val="nil"/>
          <w:bottom w:val="nil"/>
          <w:right w:val="nil"/>
          <w:between w:val="nil"/>
        </w:pBdr>
        <w:rPr>
          <w:rFonts w:cstheme="minorHAnsi"/>
        </w:rPr>
      </w:pPr>
      <w:r w:rsidRPr="002153BC">
        <w:rPr>
          <w:rFonts w:cstheme="minorHAnsi"/>
        </w:rPr>
        <w:t xml:space="preserve"> </w:t>
      </w:r>
    </w:p>
    <w:p w14:paraId="2E211C36" w14:textId="6548E8EB" w:rsidR="0002724D" w:rsidRPr="000F3D0E" w:rsidRDefault="002153BC" w:rsidP="000F3D0E">
      <w:pPr>
        <w:pBdr>
          <w:top w:val="nil"/>
          <w:left w:val="nil"/>
          <w:bottom w:val="nil"/>
          <w:right w:val="nil"/>
          <w:between w:val="nil"/>
        </w:pBdr>
        <w:rPr>
          <w:rFonts w:cstheme="minorHAnsi"/>
        </w:rPr>
      </w:pPr>
      <w:r w:rsidRPr="002153BC">
        <w:rPr>
          <w:rFonts w:cstheme="minorHAnsi"/>
        </w:rPr>
        <w:t xml:space="preserve">In recent years, VDH has been actively looking for areas with more predictable patterns of elevated bacteria counts and expanding the use of conditional classifications to manage around those predictable periods. Using these refined methods, some of these areas have been termed as conditionally managed areas that are closed only after a rain event that </w:t>
      </w:r>
      <w:proofErr w:type="gramStart"/>
      <w:r w:rsidRPr="002153BC">
        <w:rPr>
          <w:rFonts w:cstheme="minorHAnsi"/>
        </w:rPr>
        <w:t>exceed</w:t>
      </w:r>
      <w:proofErr w:type="gramEnd"/>
      <w:r w:rsidRPr="002153BC">
        <w:rPr>
          <w:rFonts w:cstheme="minorHAnsi"/>
        </w:rPr>
        <w:t xml:space="preserve"> a threshold value. An additional portion of waters are conditionally managed based on seasonal patterns of elevated bacterial levels (November 1 through March 31, but some are closed starting September 1). Finally, another portion of waters are seasonally closed due to seasonal boating activity (November 1 through March 31). Shellfish may be harvested from the most restricted areas; however, they must first be relayed to harvest “approved” waters for depuration for 15 days before marketing. Relaying is only allowed when the water temperature is above 50°F. Shellfish closures and advisories can be found on the VDH Division of Shellfish Safety and Waterborne Hazards website</w:t>
      </w:r>
      <w:r w:rsidR="00331952">
        <w:rPr>
          <w:rFonts w:cstheme="minorHAnsi"/>
        </w:rPr>
        <w:t>.</w:t>
      </w:r>
    </w:p>
    <w:p w14:paraId="47440601" w14:textId="03382452" w:rsidR="0002724D" w:rsidRPr="0002724D" w:rsidRDefault="0002724D" w:rsidP="0002724D">
      <w:pPr>
        <w:rPr>
          <w:shd w:val="clear" w:color="auto" w:fill="FFFFFF"/>
        </w:rPr>
      </w:pPr>
    </w:p>
    <w:p w14:paraId="034296F7" w14:textId="725AC46A" w:rsidR="0002724D" w:rsidRPr="0002724D" w:rsidRDefault="001743AB" w:rsidP="0078045F">
      <w:pPr>
        <w:pStyle w:val="Heading3"/>
        <w:rPr>
          <w:shd w:val="clear" w:color="auto" w:fill="FFFFFF"/>
        </w:rPr>
      </w:pPr>
      <w:r>
        <w:rPr>
          <w:shd w:val="clear" w:color="auto" w:fill="FFFFFF"/>
        </w:rPr>
        <w:t xml:space="preserve">Harmful Algal Blooms (HABs) </w:t>
      </w:r>
      <w:r w:rsidR="003E0901">
        <w:rPr>
          <w:shd w:val="clear" w:color="auto" w:fill="FFFFFF"/>
        </w:rPr>
        <w:t>and Filamentous Algae</w:t>
      </w:r>
    </w:p>
    <w:p w14:paraId="41556A15" w14:textId="77777777" w:rsidR="006C0075" w:rsidRPr="00206F38" w:rsidRDefault="006C0075" w:rsidP="006C0075">
      <w:pPr>
        <w:pBdr>
          <w:top w:val="nil"/>
          <w:left w:val="nil"/>
          <w:bottom w:val="nil"/>
          <w:right w:val="nil"/>
          <w:between w:val="nil"/>
        </w:pBdr>
        <w:rPr>
          <w:rFonts w:cstheme="minorHAnsi"/>
          <w:color w:val="000000"/>
        </w:rPr>
      </w:pPr>
      <w:r w:rsidRPr="00206F38">
        <w:rPr>
          <w:rFonts w:cstheme="minorHAnsi"/>
          <w:color w:val="000000"/>
        </w:rPr>
        <w:t xml:space="preserve">DEQ serves as a partner agency on the Harmful Algal Bloom (HAB) Task Force, along with Old Dominion University </w:t>
      </w:r>
      <w:r w:rsidRPr="00206F38">
        <w:rPr>
          <w:rFonts w:cstheme="minorHAnsi"/>
        </w:rPr>
        <w:t>(ODU)</w:t>
      </w:r>
      <w:r w:rsidRPr="00206F38">
        <w:rPr>
          <w:rFonts w:cstheme="minorHAnsi"/>
          <w:color w:val="000000"/>
        </w:rPr>
        <w:t xml:space="preserve">, Virginia Institute of Marine Science (VIMS) and the Virginia Department of Health (VDH). The HAB Task Force responds to public complaints, conducts scientific investigations </w:t>
      </w:r>
      <w:proofErr w:type="gramStart"/>
      <w:r w:rsidRPr="00206F38">
        <w:rPr>
          <w:rFonts w:cstheme="minorHAnsi"/>
          <w:color w:val="000000"/>
        </w:rPr>
        <w:t>on</w:t>
      </w:r>
      <w:proofErr w:type="gramEnd"/>
      <w:r w:rsidRPr="00206F38">
        <w:rPr>
          <w:rFonts w:cstheme="minorHAnsi"/>
          <w:color w:val="000000"/>
        </w:rPr>
        <w:t xml:space="preserve"> potential HAB events that inform decisions by VDH on the issuance of health advisories, and provides information to the public on HAB events and their associated health risks.</w:t>
      </w:r>
    </w:p>
    <w:p w14:paraId="04D37A34" w14:textId="77777777" w:rsidR="006C0075" w:rsidRPr="00206F38" w:rsidRDefault="006C0075" w:rsidP="006C0075">
      <w:pPr>
        <w:pBdr>
          <w:top w:val="nil"/>
          <w:left w:val="nil"/>
          <w:bottom w:val="nil"/>
          <w:right w:val="nil"/>
          <w:between w:val="nil"/>
        </w:pBdr>
        <w:rPr>
          <w:rFonts w:cstheme="minorHAnsi"/>
          <w:color w:val="000000"/>
        </w:rPr>
      </w:pPr>
    </w:p>
    <w:p w14:paraId="4003D6CF" w14:textId="77777777" w:rsidR="006C0075" w:rsidRPr="00206F38" w:rsidRDefault="006C0075" w:rsidP="006C0075">
      <w:pPr>
        <w:pBdr>
          <w:top w:val="nil"/>
          <w:left w:val="nil"/>
          <w:bottom w:val="nil"/>
          <w:right w:val="nil"/>
          <w:between w:val="nil"/>
        </w:pBdr>
        <w:rPr>
          <w:rFonts w:cstheme="minorHAnsi"/>
          <w:color w:val="000000"/>
        </w:rPr>
      </w:pPr>
      <w:r w:rsidRPr="00206F38">
        <w:rPr>
          <w:rFonts w:cstheme="minorHAnsi"/>
          <w:color w:val="000000"/>
        </w:rPr>
        <w:t xml:space="preserve">HABs have occurred in both fresh and salt waters in the Commonwealth. HABs can produce toxins which may cause skin, eye, and digestive tract irritation, kidney and liver damage and neurotoxic effects. Health effects depend on the exposure route, concentration, and specific toxin encountered. The severity of symptoms ranges from mild irritation to death (though the latter is rare). Exposure of animals and humans to algal toxins can occur from consumption of contaminated water, consumption of contaminated fish or shellfish, dermal contact with </w:t>
      </w:r>
      <w:r w:rsidRPr="00206F38">
        <w:rPr>
          <w:rFonts w:cstheme="minorHAnsi"/>
          <w:color w:val="000000"/>
        </w:rPr>
        <w:lastRenderedPageBreak/>
        <w:t xml:space="preserve">contaminated water and (in rare cases) inhalation of airborne toxins. </w:t>
      </w:r>
    </w:p>
    <w:p w14:paraId="6E54ACB2" w14:textId="77777777" w:rsidR="006C0075" w:rsidRPr="00206F38" w:rsidRDefault="006C0075" w:rsidP="006C0075">
      <w:pPr>
        <w:pBdr>
          <w:top w:val="nil"/>
          <w:left w:val="nil"/>
          <w:bottom w:val="nil"/>
          <w:right w:val="nil"/>
          <w:between w:val="nil"/>
        </w:pBdr>
        <w:rPr>
          <w:rFonts w:cstheme="minorHAnsi"/>
          <w:color w:val="000000"/>
        </w:rPr>
      </w:pPr>
    </w:p>
    <w:p w14:paraId="41721F47" w14:textId="6D415586" w:rsidR="006C0075" w:rsidRPr="00206F38" w:rsidRDefault="006C0075" w:rsidP="006C0075">
      <w:pPr>
        <w:pBdr>
          <w:top w:val="nil"/>
          <w:left w:val="nil"/>
          <w:bottom w:val="nil"/>
          <w:right w:val="nil"/>
          <w:between w:val="nil"/>
        </w:pBdr>
        <w:rPr>
          <w:rFonts w:cstheme="minorHAnsi"/>
          <w:color w:val="000000"/>
        </w:rPr>
      </w:pPr>
      <w:r w:rsidRPr="00206F38">
        <w:rPr>
          <w:rFonts w:cstheme="minorHAnsi"/>
          <w:color w:val="000000"/>
        </w:rPr>
        <w:t>DEQ conducts most initial field investigations associated with potential HABs in fresh waters. The agency also conducts many investigations in estuarine and marine waters in conjunction with field crews from other agencies (</w:t>
      </w:r>
      <w:r w:rsidR="00A45E65" w:rsidRPr="00206F38">
        <w:rPr>
          <w:rFonts w:cstheme="minorHAnsi"/>
          <w:color w:val="000000"/>
        </w:rPr>
        <w:t>e.g.,</w:t>
      </w:r>
      <w:r w:rsidRPr="00206F38">
        <w:rPr>
          <w:rFonts w:cstheme="minorHAnsi"/>
          <w:color w:val="000000"/>
        </w:rPr>
        <w:t xml:space="preserve"> VIMS participates in many marine investigations). In response to complaints from the public, which are typically made by way of the online HAB reporting form, HAB Task Force partners such as DEQ mobilize to potential HAB sites, make observations of initial site conditions that may indicate HABs (e.g. surface scum or mats, elevated dissolved oxygen or pH) and, if necessary collect water samples for lab analysis to determine cell counts of HAB species and to quantitatively analyze for HAB toxins. Lab verified sample data on HAB cell counts, and toxin concentrations, and the observations made on site by field crews are evaluated by the VDH Division of Shellfish Safety and Wat</w:t>
      </w:r>
      <w:r w:rsidRPr="00206F38">
        <w:rPr>
          <w:rFonts w:cstheme="minorHAnsi"/>
        </w:rPr>
        <w:t>erborne Hazards</w:t>
      </w:r>
      <w:r w:rsidRPr="00206F38">
        <w:rPr>
          <w:rFonts w:cstheme="minorHAnsi"/>
          <w:color w:val="000000"/>
        </w:rPr>
        <w:t xml:space="preserve"> (DSSWH).</w:t>
      </w:r>
    </w:p>
    <w:p w14:paraId="5226AEF3" w14:textId="77777777" w:rsidR="006C0075" w:rsidRPr="00206F38" w:rsidRDefault="006C0075" w:rsidP="006C0075">
      <w:pPr>
        <w:pBdr>
          <w:top w:val="nil"/>
          <w:left w:val="nil"/>
          <w:bottom w:val="nil"/>
          <w:right w:val="nil"/>
          <w:between w:val="nil"/>
        </w:pBdr>
        <w:rPr>
          <w:rFonts w:cstheme="minorHAnsi"/>
        </w:rPr>
      </w:pPr>
    </w:p>
    <w:p w14:paraId="3112770C" w14:textId="2CE9377C" w:rsidR="006C0075" w:rsidRPr="00206F38" w:rsidRDefault="006C0075" w:rsidP="006C0075">
      <w:pPr>
        <w:pBdr>
          <w:top w:val="nil"/>
          <w:left w:val="nil"/>
          <w:bottom w:val="nil"/>
          <w:right w:val="nil"/>
          <w:between w:val="nil"/>
        </w:pBdr>
        <w:rPr>
          <w:rFonts w:cstheme="minorHAnsi"/>
          <w:color w:val="000000"/>
        </w:rPr>
      </w:pPr>
      <w:r w:rsidRPr="00206F38">
        <w:rPr>
          <w:rFonts w:cstheme="minorHAnsi"/>
          <w:color w:val="000000"/>
        </w:rPr>
        <w:t>Based on these evaluations, DSSW</w:t>
      </w:r>
      <w:r w:rsidRPr="00206F38">
        <w:rPr>
          <w:rFonts w:cstheme="minorHAnsi"/>
        </w:rPr>
        <w:t>H</w:t>
      </w:r>
      <w:r w:rsidRPr="00206F38">
        <w:rPr>
          <w:rFonts w:cstheme="minorHAnsi"/>
          <w:color w:val="000000"/>
        </w:rPr>
        <w:t xml:space="preserve"> makes recommendations to local health districts regarding the issuance of health advisories and alerts. Notifications to the public regarding health advisories and alerts include an indication that HAB species are present, and that </w:t>
      </w:r>
      <w:proofErr w:type="gramStart"/>
      <w:r w:rsidRPr="00206F38">
        <w:rPr>
          <w:rFonts w:cstheme="minorHAnsi"/>
          <w:color w:val="000000"/>
        </w:rPr>
        <w:t>a health</w:t>
      </w:r>
      <w:proofErr w:type="gramEnd"/>
      <w:r w:rsidRPr="00206F38">
        <w:rPr>
          <w:rFonts w:cstheme="minorHAnsi"/>
          <w:color w:val="000000"/>
        </w:rPr>
        <w:t xml:space="preserve"> risk exists. Health advisories may be issued due to algal cell counts or toxin concentrations above thresholds finalized by EPA in May 2019, </w:t>
      </w:r>
      <w:r w:rsidRPr="00206F38">
        <w:rPr>
          <w:rFonts w:cstheme="minorHAnsi"/>
        </w:rPr>
        <w:t xml:space="preserve">by criteria within VDH’s Guidance for </w:t>
      </w:r>
      <w:proofErr w:type="gramStart"/>
      <w:r w:rsidRPr="00206F38">
        <w:rPr>
          <w:rFonts w:cstheme="minorHAnsi"/>
        </w:rPr>
        <w:t>Cyanobacteria Bloom</w:t>
      </w:r>
      <w:proofErr w:type="gramEnd"/>
      <w:r w:rsidRPr="00206F38">
        <w:rPr>
          <w:rFonts w:cstheme="minorHAnsi"/>
        </w:rPr>
        <w:t xml:space="preserve"> Recreational Advisory Management</w:t>
      </w:r>
      <w:r w:rsidRPr="00206F38">
        <w:rPr>
          <w:rFonts w:cstheme="minorHAnsi"/>
          <w:color w:val="000000"/>
        </w:rPr>
        <w:t>. Advisories carry an explicit recommendation that use of the water body should be limited (</w:t>
      </w:r>
      <w:r w:rsidR="005B0EC6" w:rsidRPr="00206F38">
        <w:rPr>
          <w:rFonts w:cstheme="minorHAnsi"/>
          <w:color w:val="000000"/>
        </w:rPr>
        <w:t>e.g.,</w:t>
      </w:r>
      <w:r w:rsidRPr="00206F38">
        <w:rPr>
          <w:rFonts w:cstheme="minorHAnsi"/>
          <w:color w:val="000000"/>
        </w:rPr>
        <w:t xml:space="preserve"> no swimming). Algal alerts may be issued following observations of cyanobacteria mats as directed in the Cyanobacteria Bloom Response Job Aid. Algal Alerts prompt water users to exercise caution to avoid algal mats which may be present while swimming and to limit the access of children and pets as they may be more likely to ingest water or mats.</w:t>
      </w:r>
    </w:p>
    <w:p w14:paraId="2C6DC7E0" w14:textId="77777777" w:rsidR="006C0075" w:rsidRPr="00206F38" w:rsidRDefault="006C0075" w:rsidP="006C0075">
      <w:pPr>
        <w:pBdr>
          <w:top w:val="nil"/>
          <w:left w:val="nil"/>
          <w:bottom w:val="nil"/>
          <w:right w:val="nil"/>
          <w:between w:val="nil"/>
        </w:pBdr>
        <w:rPr>
          <w:rFonts w:cstheme="minorHAnsi"/>
          <w:color w:val="000000"/>
        </w:rPr>
      </w:pPr>
    </w:p>
    <w:p w14:paraId="0A999EEA" w14:textId="0F9AA9EA" w:rsidR="006C0075" w:rsidRPr="00EE6D2C" w:rsidRDefault="006C0075" w:rsidP="006C0075">
      <w:pPr>
        <w:pBdr>
          <w:top w:val="nil"/>
          <w:left w:val="nil"/>
          <w:bottom w:val="nil"/>
          <w:right w:val="nil"/>
          <w:between w:val="nil"/>
        </w:pBdr>
        <w:rPr>
          <w:rFonts w:cstheme="minorHAnsi"/>
          <w:color w:val="000000"/>
        </w:rPr>
      </w:pPr>
      <w:r w:rsidRPr="00206F38">
        <w:rPr>
          <w:rFonts w:cstheme="minorHAnsi"/>
          <w:color w:val="000000"/>
        </w:rPr>
        <w:t>The HAB task force member agencies including DEQ conduct follow-up visits as resources allow and collect additional samples at sites for which advisories have been issued in accordance with established protocols. Based on information collected in these follow-up visits, DSSWH makes recommendations to local health districts, which, in turn, modify, lift, or continue the advisories and alerts. Although decisions regarding the issuance or modification of advisories/alerts are ultimately made by VDH and the local health districts, whereby DEQ, ODU, and VIMS often provide technical advice on issues surrounding advisories/alerts. For example, DEQ may make recommendations on the spatial limits over which an advisory should apply based on field observations, or on the frequency and study design of follow-up investigations conducted once it is issued. For further information on HAB investigations, recreational advisories, and follow-up investigations, see the HAB Task Force Recreational Advisory Guidance</w:t>
      </w:r>
      <w:r w:rsidR="00EE6D2C">
        <w:rPr>
          <w:rFonts w:cstheme="minorHAnsi"/>
          <w:color w:val="000000"/>
        </w:rPr>
        <w:t>.</w:t>
      </w:r>
    </w:p>
    <w:p w14:paraId="427235DF" w14:textId="77777777" w:rsidR="006C0075" w:rsidRPr="00206F38" w:rsidRDefault="006C0075" w:rsidP="006C0075">
      <w:pPr>
        <w:pBdr>
          <w:top w:val="nil"/>
          <w:left w:val="nil"/>
          <w:bottom w:val="nil"/>
          <w:right w:val="nil"/>
          <w:between w:val="nil"/>
        </w:pBdr>
        <w:rPr>
          <w:rFonts w:cstheme="minorHAnsi"/>
          <w:color w:val="000000"/>
        </w:rPr>
      </w:pPr>
    </w:p>
    <w:p w14:paraId="32899510" w14:textId="20F10F25" w:rsidR="006C0075" w:rsidRPr="00206F38" w:rsidRDefault="006C0075" w:rsidP="006C0075">
      <w:pPr>
        <w:pBdr>
          <w:top w:val="nil"/>
          <w:left w:val="nil"/>
          <w:bottom w:val="nil"/>
          <w:right w:val="nil"/>
          <w:between w:val="nil"/>
        </w:pBdr>
        <w:rPr>
          <w:rFonts w:cstheme="minorHAnsi"/>
        </w:rPr>
      </w:pPr>
      <w:r w:rsidRPr="00206F38">
        <w:rPr>
          <w:rFonts w:cstheme="minorHAnsi"/>
        </w:rPr>
        <w:t xml:space="preserve">There are no routine monitoring programs for inland waters and freshwater HABs (cyanobacteria). Instead, these blooms are managed using a reporting and response plan. Reports of HABs can be made by members of the public as well as agencies (including DEQ, VDH, DCR, etc.) that observe a potential HAB through the VDH maintained HAB Hotline: 1-888-238-6154 and the </w:t>
      </w:r>
      <w:r w:rsidR="00EE6D2C">
        <w:rPr>
          <w:rFonts w:cstheme="minorHAnsi"/>
        </w:rPr>
        <w:t xml:space="preserve">VDH </w:t>
      </w:r>
      <w:r w:rsidRPr="00EE6D2C">
        <w:rPr>
          <w:rFonts w:cstheme="minorHAnsi"/>
        </w:rPr>
        <w:t>HAB Online Report Form</w:t>
      </w:r>
      <w:r w:rsidRPr="00206F38">
        <w:rPr>
          <w:rFonts w:cstheme="minorHAnsi"/>
        </w:rPr>
        <w:t xml:space="preserve">. The HAB Hotline was initiated in response to Pfiesteria, however the HAB Online Report Form was created in 2017 to facilitate potential HAB </w:t>
      </w:r>
      <w:r w:rsidRPr="00206F38">
        <w:rPr>
          <w:rFonts w:cstheme="minorHAnsi"/>
        </w:rPr>
        <w:lastRenderedPageBreak/>
        <w:t>reporting to the website and streamline response.</w:t>
      </w:r>
    </w:p>
    <w:p w14:paraId="6328539D" w14:textId="77777777" w:rsidR="006C0075" w:rsidRPr="00206F38" w:rsidRDefault="006C0075" w:rsidP="006C0075">
      <w:pPr>
        <w:pBdr>
          <w:top w:val="nil"/>
          <w:left w:val="nil"/>
          <w:bottom w:val="nil"/>
          <w:right w:val="nil"/>
          <w:between w:val="nil"/>
        </w:pBdr>
        <w:rPr>
          <w:rFonts w:cstheme="minorHAnsi"/>
        </w:rPr>
      </w:pPr>
    </w:p>
    <w:p w14:paraId="1D1C8ED8" w14:textId="52B11FCD" w:rsidR="006C0075" w:rsidRDefault="006C0075" w:rsidP="006C0075">
      <w:pPr>
        <w:pBdr>
          <w:top w:val="nil"/>
          <w:left w:val="nil"/>
          <w:bottom w:val="nil"/>
          <w:right w:val="nil"/>
          <w:between w:val="nil"/>
        </w:pBdr>
        <w:rPr>
          <w:rFonts w:cstheme="minorHAnsi"/>
        </w:rPr>
      </w:pPr>
      <w:r w:rsidRPr="00206F38">
        <w:rPr>
          <w:rFonts w:cstheme="minorHAnsi"/>
        </w:rPr>
        <w:t>Potential HABs have been submitted from across the Commonwealth, from a total of 53 counties and cities from 2017-202</w:t>
      </w:r>
      <w:r w:rsidR="00B403A5">
        <w:rPr>
          <w:rFonts w:cstheme="minorHAnsi"/>
        </w:rPr>
        <w:t>2</w:t>
      </w:r>
      <w:r w:rsidRPr="00206F38">
        <w:rPr>
          <w:rFonts w:cstheme="minorHAnsi"/>
        </w:rPr>
        <w:t xml:space="preserve">. Over this time, the waterbody with the largest number of bloom reports has been Lake Anna which is split by Louisa, </w:t>
      </w:r>
      <w:r w:rsidR="00025F74" w:rsidRPr="00206F38">
        <w:rPr>
          <w:rFonts w:cstheme="minorHAnsi"/>
        </w:rPr>
        <w:t>Spotsylvania,</w:t>
      </w:r>
      <w:r w:rsidRPr="00206F38">
        <w:rPr>
          <w:rFonts w:cstheme="minorHAnsi"/>
        </w:rPr>
        <w:t xml:space="preserve"> and Orange counties. Based on the results of the HAB response sample and analyses, recreational swimming advisories and alerts are issued as necessary to protect public health. VDH DSSWH regularly updates the list of existing health advisories associated with HABS on its online </w:t>
      </w:r>
      <w:r w:rsidR="003259AD">
        <w:rPr>
          <w:rFonts w:cstheme="minorHAnsi"/>
        </w:rPr>
        <w:t>algal bloom surveillance</w:t>
      </w:r>
      <w:r w:rsidRPr="00206F38">
        <w:rPr>
          <w:rFonts w:cstheme="minorHAnsi"/>
        </w:rPr>
        <w:t xml:space="preserve"> map</w:t>
      </w:r>
      <w:r w:rsidR="003259AD">
        <w:rPr>
          <w:rFonts w:cstheme="minorHAnsi"/>
        </w:rPr>
        <w:t>.</w:t>
      </w:r>
    </w:p>
    <w:p w14:paraId="7CD6D561" w14:textId="77777777" w:rsidR="00946474" w:rsidRDefault="00946474" w:rsidP="006C0075">
      <w:pPr>
        <w:pBdr>
          <w:top w:val="nil"/>
          <w:left w:val="nil"/>
          <w:bottom w:val="nil"/>
          <w:right w:val="nil"/>
          <w:between w:val="nil"/>
        </w:pBdr>
        <w:rPr>
          <w:rFonts w:cstheme="minorHAnsi"/>
        </w:rPr>
      </w:pPr>
    </w:p>
    <w:p w14:paraId="69D0CB5A" w14:textId="0AAA7F81" w:rsidR="00DF29C3" w:rsidRPr="00FD5877" w:rsidRDefault="00DF29C3" w:rsidP="00DF29C3">
      <w:pPr>
        <w:rPr>
          <w:rFonts w:cstheme="minorHAnsi"/>
          <w:bCs/>
          <w:szCs w:val="24"/>
        </w:rPr>
      </w:pPr>
      <w:r w:rsidRPr="00FD5877">
        <w:rPr>
          <w:rFonts w:cstheme="minorHAnsi"/>
          <w:bCs/>
          <w:szCs w:val="24"/>
        </w:rPr>
        <w:t xml:space="preserve">Data used by the Virginia Department of Health to make swimming advisory decisions due to potential harmful algal blooms (HABs) is available by using the contact form on the VDH </w:t>
      </w:r>
      <w:r w:rsidR="00403518" w:rsidRPr="00FD5877">
        <w:rPr>
          <w:rFonts w:cstheme="minorHAnsi"/>
          <w:bCs/>
          <w:szCs w:val="24"/>
        </w:rPr>
        <w:t xml:space="preserve">Waterborne Hazards Control Program </w:t>
      </w:r>
      <w:r w:rsidR="00D8004D" w:rsidRPr="00FD5877">
        <w:rPr>
          <w:rFonts w:cstheme="minorHAnsi"/>
          <w:bCs/>
          <w:szCs w:val="24"/>
        </w:rPr>
        <w:t>c</w:t>
      </w:r>
      <w:r w:rsidR="00403518" w:rsidRPr="00FD5877">
        <w:rPr>
          <w:rFonts w:cstheme="minorHAnsi"/>
          <w:bCs/>
          <w:szCs w:val="24"/>
        </w:rPr>
        <w:t xml:space="preserve">ontact </w:t>
      </w:r>
      <w:r w:rsidRPr="00FD5877">
        <w:rPr>
          <w:rFonts w:cstheme="minorHAnsi"/>
          <w:bCs/>
          <w:szCs w:val="24"/>
        </w:rPr>
        <w:t>website</w:t>
      </w:r>
      <w:r w:rsidR="00D8004D" w:rsidRPr="00FD5877">
        <w:rPr>
          <w:rFonts w:cstheme="minorHAnsi"/>
          <w:bCs/>
          <w:szCs w:val="24"/>
        </w:rPr>
        <w:t>.</w:t>
      </w:r>
    </w:p>
    <w:p w14:paraId="0A162067" w14:textId="77777777" w:rsidR="00DF29C3" w:rsidRPr="00FD5877" w:rsidRDefault="00DF29C3" w:rsidP="00DF29C3">
      <w:pPr>
        <w:rPr>
          <w:rFonts w:cstheme="minorHAnsi"/>
          <w:bCs/>
          <w:szCs w:val="24"/>
        </w:rPr>
      </w:pPr>
    </w:p>
    <w:p w14:paraId="0DE5C7B1" w14:textId="08F00371" w:rsidR="00DF29C3" w:rsidRDefault="00DF29C3" w:rsidP="00DF29C3">
      <w:pPr>
        <w:rPr>
          <w:rFonts w:cstheme="minorHAnsi"/>
          <w:bCs/>
          <w:szCs w:val="24"/>
        </w:rPr>
      </w:pPr>
      <w:r w:rsidRPr="00FD5877">
        <w:rPr>
          <w:rFonts w:cstheme="minorHAnsi"/>
          <w:bCs/>
          <w:szCs w:val="24"/>
        </w:rPr>
        <w:t xml:space="preserve">More resources related to underlying drivers and details about </w:t>
      </w:r>
      <w:r w:rsidR="005A094F" w:rsidRPr="00FD5877">
        <w:rPr>
          <w:rFonts w:cstheme="minorHAnsi"/>
          <w:bCs/>
          <w:szCs w:val="24"/>
        </w:rPr>
        <w:t xml:space="preserve">HAB </w:t>
      </w:r>
      <w:r w:rsidRPr="00FD5877">
        <w:rPr>
          <w:rFonts w:cstheme="minorHAnsi"/>
          <w:bCs/>
          <w:szCs w:val="24"/>
        </w:rPr>
        <w:t>impairments can be found on the DEQ Harmful Algal Blooms website</w:t>
      </w:r>
      <w:r w:rsidR="005A094F" w:rsidRPr="00FD5877">
        <w:rPr>
          <w:rFonts w:cstheme="minorHAnsi"/>
          <w:bCs/>
          <w:szCs w:val="24"/>
        </w:rPr>
        <w:t>.</w:t>
      </w:r>
    </w:p>
    <w:p w14:paraId="306FC719" w14:textId="77777777" w:rsidR="002A7ED3" w:rsidRDefault="002A7ED3" w:rsidP="00DF29C3">
      <w:pPr>
        <w:rPr>
          <w:rFonts w:cstheme="minorHAnsi"/>
          <w:bCs/>
          <w:szCs w:val="24"/>
        </w:rPr>
      </w:pPr>
    </w:p>
    <w:p w14:paraId="5130ECFD" w14:textId="1D14E6B0" w:rsidR="005A094F" w:rsidRPr="00214322" w:rsidRDefault="00FD4F49" w:rsidP="00214322">
      <w:pPr>
        <w:rPr>
          <w:rFonts w:cstheme="minorHAnsi"/>
          <w:bCs/>
          <w:szCs w:val="24"/>
        </w:rPr>
      </w:pPr>
      <w:r w:rsidRPr="00FD5877">
        <w:rPr>
          <w:rFonts w:cstheme="minorHAnsi"/>
          <w:bCs/>
          <w:szCs w:val="24"/>
        </w:rPr>
        <w:t>Waterbody s</w:t>
      </w:r>
      <w:r w:rsidR="007E478A" w:rsidRPr="00FD5877">
        <w:rPr>
          <w:rFonts w:cstheme="minorHAnsi"/>
          <w:bCs/>
          <w:szCs w:val="24"/>
        </w:rPr>
        <w:t xml:space="preserve">egments where benthic chlorophyll-a data was </w:t>
      </w:r>
      <w:r w:rsidR="007F5EF5" w:rsidRPr="00FD5877">
        <w:rPr>
          <w:rFonts w:cstheme="minorHAnsi"/>
          <w:bCs/>
          <w:szCs w:val="24"/>
        </w:rPr>
        <w:t>available</w:t>
      </w:r>
      <w:r w:rsidR="007E478A" w:rsidRPr="00FD5877">
        <w:rPr>
          <w:rFonts w:cstheme="minorHAnsi"/>
          <w:bCs/>
          <w:szCs w:val="24"/>
        </w:rPr>
        <w:t xml:space="preserve"> to be assessed in the Shenandoah River Basin was reported to EPA through the Draft IR submittal process. This parameter-specific detailed information can also be found in comments provided by DEQ assessment staff through </w:t>
      </w:r>
      <w:r w:rsidR="00F53F27" w:rsidRPr="00FD5877">
        <w:rPr>
          <w:rFonts w:cstheme="minorHAnsi"/>
          <w:bCs/>
          <w:szCs w:val="24"/>
        </w:rPr>
        <w:t xml:space="preserve">DEQ’s </w:t>
      </w:r>
      <w:r w:rsidR="007E478A" w:rsidRPr="00FD5877">
        <w:rPr>
          <w:rFonts w:cstheme="minorHAnsi"/>
          <w:bCs/>
          <w:szCs w:val="24"/>
        </w:rPr>
        <w:t>Environmental Data Mapper</w:t>
      </w:r>
      <w:r w:rsidR="00757E4E" w:rsidRPr="00FD5877">
        <w:rPr>
          <w:rFonts w:cstheme="minorHAnsi"/>
          <w:bCs/>
          <w:szCs w:val="24"/>
        </w:rPr>
        <w:t>.</w:t>
      </w:r>
      <w:r w:rsidR="007E478A" w:rsidRPr="00FD5877">
        <w:rPr>
          <w:rFonts w:cstheme="minorHAnsi"/>
          <w:bCs/>
          <w:szCs w:val="24"/>
        </w:rPr>
        <w:t xml:space="preserve"> Monitoring between 2017-2022 did not indicate any segments as impaired for the recreation use where the criteria apply. DEQ will continue to monitor segments during the growing season (May through October) and report statuses in future IRs. Once the 2024 IR is</w:t>
      </w:r>
      <w:r w:rsidR="00347F8A" w:rsidRPr="00FD5877">
        <w:rPr>
          <w:rFonts w:cstheme="minorHAnsi"/>
          <w:bCs/>
          <w:szCs w:val="24"/>
        </w:rPr>
        <w:t xml:space="preserve"> approved by EPA</w:t>
      </w:r>
      <w:r w:rsidR="007E478A" w:rsidRPr="00FD5877">
        <w:rPr>
          <w:rFonts w:cstheme="minorHAnsi"/>
          <w:bCs/>
          <w:szCs w:val="24"/>
        </w:rPr>
        <w:t xml:space="preserve"> assessment information for parameters reported as supporting or insufficient will be available through EPA’s How’s My Waterway application</w:t>
      </w:r>
      <w:r w:rsidR="00757E4E" w:rsidRPr="00FD5877">
        <w:rPr>
          <w:rFonts w:cstheme="minorHAnsi"/>
          <w:bCs/>
          <w:szCs w:val="24"/>
        </w:rPr>
        <w:t>.</w:t>
      </w:r>
    </w:p>
    <w:p w14:paraId="479C36C9" w14:textId="49EA1EC0" w:rsidR="0002724D" w:rsidRPr="0002724D" w:rsidRDefault="0002724D" w:rsidP="0002724D">
      <w:pPr>
        <w:rPr>
          <w:shd w:val="clear" w:color="auto" w:fill="FFFFFF"/>
        </w:rPr>
      </w:pPr>
    </w:p>
    <w:p w14:paraId="4EEEAB3D" w14:textId="6D66CBA3" w:rsidR="0002724D" w:rsidRPr="00B06A53" w:rsidRDefault="0002724D" w:rsidP="00B06A53">
      <w:pPr>
        <w:pStyle w:val="Heading3"/>
      </w:pPr>
      <w:r w:rsidRPr="00B06A53">
        <w:t>Emerging Contaminants: Per- and Polyfluoroalkyl Substances (PFAS) </w:t>
      </w:r>
    </w:p>
    <w:p w14:paraId="14C45BBD" w14:textId="77777777" w:rsidR="002A7ED3" w:rsidRDefault="0002724D" w:rsidP="0002724D">
      <w:pPr>
        <w:rPr>
          <w:shd w:val="clear" w:color="auto" w:fill="FFFFFF"/>
        </w:rPr>
      </w:pPr>
      <w:r w:rsidRPr="0002724D">
        <w:rPr>
          <w:shd w:val="clear" w:color="auto" w:fill="FFFFFF"/>
        </w:rPr>
        <w:t xml:space="preserve">Per- and polyfluoroalkyl substances (PFAS) are a group of human-made chemicals that were created for a variety of household and industrial uses. Some of the more commonly known PFAS are </w:t>
      </w:r>
      <w:proofErr w:type="spellStart"/>
      <w:r w:rsidRPr="0002724D">
        <w:rPr>
          <w:shd w:val="clear" w:color="auto" w:fill="FFFFFF"/>
        </w:rPr>
        <w:t>perfluorooctane</w:t>
      </w:r>
      <w:proofErr w:type="spellEnd"/>
      <w:r w:rsidRPr="0002724D">
        <w:rPr>
          <w:shd w:val="clear" w:color="auto" w:fill="FFFFFF"/>
        </w:rPr>
        <w:t xml:space="preserve"> sulfonic acid (PFOS) and perfluorooctanoic acid (PFOA). Most PFAS (including PFOA and PFOS) do not readily break down, so they remain in the environment for a very long time. This is why PFAS are termed "forever chemicals." Because of their widespread use and their persistence in the environment, PFAS can be found in water, soil, air, and human blood all over the world. Some PFAS can accumulate in people and animals with repeated exposure, which may have adverse human health effects. These compounds are considered emerging contaminants as the science behind how they act in the environment continues to evolve.</w:t>
      </w:r>
    </w:p>
    <w:p w14:paraId="797DEDDE" w14:textId="4C001044" w:rsidR="0002724D" w:rsidRPr="0002724D" w:rsidRDefault="0002724D" w:rsidP="0002724D">
      <w:pPr>
        <w:rPr>
          <w:shd w:val="clear" w:color="auto" w:fill="FFFFFF"/>
        </w:rPr>
      </w:pPr>
    </w:p>
    <w:p w14:paraId="6F1B450C" w14:textId="397CD9CB" w:rsidR="0002724D" w:rsidRPr="0002724D" w:rsidRDefault="0002724D" w:rsidP="0002724D">
      <w:pPr>
        <w:rPr>
          <w:shd w:val="clear" w:color="auto" w:fill="FFFFFF"/>
        </w:rPr>
      </w:pPr>
      <w:r w:rsidRPr="0002724D">
        <w:rPr>
          <w:shd w:val="clear" w:color="auto" w:fill="FFFFFF"/>
        </w:rPr>
        <w:t xml:space="preserve">In October of 2021, Newport News Waterworks alerted DEQ to elevated PFAS concentrations in the Middle Chickahominy River watershed and pinpointed the White Oak Swamp watershed as the possible origin of the PFAS. DEQ, the Virginia Department of Health (VDH), and Henrico County immediately formed a team effort process—a Unified Command—to develop a joint </w:t>
      </w:r>
      <w:r w:rsidRPr="0002724D">
        <w:rPr>
          <w:shd w:val="clear" w:color="auto" w:fill="FFFFFF"/>
        </w:rPr>
        <w:lastRenderedPageBreak/>
        <w:t>response focused on identifying any potential risks to public health. DEQ contracted with the United States Geological Survey (USGS) to complete a study of PFAS in the Middle Chickahominy River watershed. Fish tissue, sediment and surface water samples were collected at locations throughout the watershed, including in Chickahominy Lake, to understand the possible exposure pathways for human health.</w:t>
      </w:r>
    </w:p>
    <w:p w14:paraId="0434D0AE" w14:textId="05BC1977" w:rsidR="0002724D" w:rsidRPr="0002724D" w:rsidRDefault="0002724D" w:rsidP="0002724D">
      <w:pPr>
        <w:rPr>
          <w:shd w:val="clear" w:color="auto" w:fill="FFFFFF"/>
        </w:rPr>
      </w:pPr>
    </w:p>
    <w:p w14:paraId="7936454D" w14:textId="1C29A01B" w:rsidR="0002724D" w:rsidRPr="0002724D" w:rsidRDefault="0002724D" w:rsidP="0002724D">
      <w:pPr>
        <w:rPr>
          <w:shd w:val="clear" w:color="auto" w:fill="FFFFFF"/>
        </w:rPr>
      </w:pPr>
      <w:r w:rsidRPr="0002724D">
        <w:rPr>
          <w:shd w:val="clear" w:color="auto" w:fill="FFFFFF"/>
        </w:rPr>
        <w:t>In 2022, DEQ worked with VDH and the Western Virginia Water Authority (WVWA) on a second special study to investigate the source of GenX, a PFAS chemical that was detected in the Roanoke River, Spring Hollow Reservoir, and associated drinking water supply that serves portions of Roanoke, Franklin, and Botetourt Counties. Fish tissue and surface water samples were collected at locations throughout the watershed, including in Spring Hollow Reservoir, to understand the possible exposure pathways for human health.</w:t>
      </w:r>
    </w:p>
    <w:p w14:paraId="320D8D9D" w14:textId="03EFF64B" w:rsidR="0002724D" w:rsidRPr="0002724D" w:rsidRDefault="0002724D" w:rsidP="0002724D">
      <w:pPr>
        <w:rPr>
          <w:shd w:val="clear" w:color="auto" w:fill="FFFFFF"/>
        </w:rPr>
      </w:pPr>
    </w:p>
    <w:p w14:paraId="2A5ABA81" w14:textId="77777777" w:rsidR="004A466E" w:rsidRDefault="0002724D" w:rsidP="00436AE8">
      <w:pPr>
        <w:rPr>
          <w:shd w:val="clear" w:color="auto" w:fill="FFFFFF"/>
        </w:rPr>
      </w:pPr>
      <w:r w:rsidRPr="0002724D">
        <w:rPr>
          <w:shd w:val="clear" w:color="auto" w:fill="FFFFFF"/>
        </w:rPr>
        <w:t xml:space="preserve">Since 2021, DEQ has been monitoring PFAS in streams, rivers, and reservoirs across the Commonwealth to understand the prevalence of these substances and to identify potential locations where PFAS concentrations are elevated relative to baseline concentrations. Beginning in 2023, DEQ </w:t>
      </w:r>
      <w:r w:rsidRPr="005E57B9">
        <w:rPr>
          <w:shd w:val="clear" w:color="auto" w:fill="FFFFFF"/>
        </w:rPr>
        <w:t>added</w:t>
      </w:r>
      <w:r w:rsidRPr="0002724D">
        <w:rPr>
          <w:shd w:val="clear" w:color="auto" w:fill="FFFFFF"/>
        </w:rPr>
        <w:t xml:space="preserve"> PFAS to a portion of the samples collected as part of the routine fish tissue monitoring program.</w:t>
      </w:r>
    </w:p>
    <w:p w14:paraId="5F7F015D" w14:textId="77777777" w:rsidR="004A466E" w:rsidRDefault="004A466E" w:rsidP="00436AE8">
      <w:pPr>
        <w:rPr>
          <w:shd w:val="clear" w:color="auto" w:fill="FFFFFF"/>
        </w:rPr>
      </w:pPr>
    </w:p>
    <w:p w14:paraId="6FE072F1" w14:textId="12DA99DB" w:rsidR="00436AE8" w:rsidRPr="007F269D" w:rsidRDefault="004A466E" w:rsidP="00436AE8">
      <w:pPr>
        <w:rPr>
          <w:rFonts w:cstheme="minorHAnsi"/>
          <w:szCs w:val="24"/>
        </w:rPr>
      </w:pPr>
      <w:r w:rsidRPr="007F269D">
        <w:rPr>
          <w:rFonts w:cstheme="minorHAnsi"/>
          <w:szCs w:val="24"/>
        </w:rPr>
        <w:t>T</w:t>
      </w:r>
      <w:r w:rsidR="00436AE8" w:rsidRPr="007F269D">
        <w:rPr>
          <w:rFonts w:cstheme="minorHAnsi"/>
          <w:szCs w:val="24"/>
        </w:rPr>
        <w:t>he 2024 Virginia General Assembly enacted legislation, effective July 1, 2024 as Virginia Code § 62.1-44.34:29 through 33, requiring monitoring and self-reporting of certain discharges, as well as the interagency transfer of data, with a goal to assess and reduce the occurrence of Per- and Polyfluoroalkyl Substances (PFAS) in the Commonwealth’s public water supplies.</w:t>
      </w:r>
      <w:r w:rsidR="00436AE8" w:rsidRPr="007F269D">
        <w:rPr>
          <w:rStyle w:val="FootnoteReference"/>
          <w:rFonts w:cstheme="minorHAnsi"/>
          <w:szCs w:val="24"/>
          <w:vertAlign w:val="superscript"/>
        </w:rPr>
        <w:footnoteReference w:id="19"/>
      </w:r>
      <w:r w:rsidR="00436AE8" w:rsidRPr="007F269D">
        <w:rPr>
          <w:rFonts w:cstheme="minorHAnsi"/>
          <w:szCs w:val="24"/>
          <w:vertAlign w:val="superscript"/>
        </w:rPr>
        <w:t xml:space="preserve"> </w:t>
      </w:r>
      <w:r w:rsidR="00A71D10" w:rsidRPr="007F269D">
        <w:rPr>
          <w:rFonts w:cstheme="minorHAnsi"/>
          <w:szCs w:val="24"/>
          <w:vertAlign w:val="superscript"/>
        </w:rPr>
        <w:t xml:space="preserve"> </w:t>
      </w:r>
      <w:r w:rsidR="00436AE8" w:rsidRPr="007F269D">
        <w:rPr>
          <w:rFonts w:cstheme="minorHAnsi"/>
          <w:szCs w:val="24"/>
        </w:rPr>
        <w:t>To support Virginian’s access to safe drinking water, the legislation charges DEQ to:</w:t>
      </w:r>
    </w:p>
    <w:p w14:paraId="1C5532C2" w14:textId="77777777" w:rsidR="00436AE8" w:rsidRPr="007F269D" w:rsidRDefault="00436AE8" w:rsidP="00436AE8">
      <w:pPr>
        <w:rPr>
          <w:rFonts w:cstheme="minorHAnsi"/>
          <w:szCs w:val="24"/>
        </w:rPr>
      </w:pPr>
    </w:p>
    <w:p w14:paraId="10A68D00" w14:textId="77777777" w:rsidR="00436AE8" w:rsidRPr="007F269D" w:rsidRDefault="00436AE8" w:rsidP="00436AE8">
      <w:pPr>
        <w:pStyle w:val="ListParagraph"/>
        <w:widowControl/>
        <w:numPr>
          <w:ilvl w:val="0"/>
          <w:numId w:val="69"/>
        </w:numPr>
        <w:spacing w:before="0" w:after="0"/>
        <w:rPr>
          <w:rFonts w:cstheme="minorHAnsi"/>
          <w:szCs w:val="24"/>
        </w:rPr>
      </w:pPr>
      <w:r w:rsidRPr="007F269D">
        <w:rPr>
          <w:rFonts w:cstheme="minorHAnsi"/>
          <w:szCs w:val="24"/>
        </w:rPr>
        <w:t>Accept all validated monitoring data from VDH that indicate PFAS maximum containment level exceedance</w:t>
      </w:r>
    </w:p>
    <w:p w14:paraId="607BFFCE" w14:textId="77777777" w:rsidR="00436AE8" w:rsidRPr="007F269D" w:rsidRDefault="00436AE8" w:rsidP="00436AE8">
      <w:pPr>
        <w:pStyle w:val="ListParagraph"/>
        <w:widowControl/>
        <w:numPr>
          <w:ilvl w:val="0"/>
          <w:numId w:val="69"/>
        </w:numPr>
        <w:spacing w:before="0" w:after="0"/>
        <w:rPr>
          <w:rFonts w:cstheme="minorHAnsi"/>
          <w:szCs w:val="24"/>
        </w:rPr>
      </w:pPr>
      <w:r w:rsidRPr="007F269D">
        <w:rPr>
          <w:rFonts w:cstheme="minorHAnsi"/>
          <w:szCs w:val="24"/>
        </w:rPr>
        <w:t xml:space="preserve">Develop a prioritization plan for identifying the significant sources of PFAS in source </w:t>
      </w:r>
      <w:proofErr w:type="gramStart"/>
      <w:r w:rsidRPr="007F269D">
        <w:rPr>
          <w:rFonts w:cstheme="minorHAnsi"/>
          <w:szCs w:val="24"/>
        </w:rPr>
        <w:t>water of</w:t>
      </w:r>
      <w:proofErr w:type="gramEnd"/>
      <w:r w:rsidRPr="007F269D">
        <w:rPr>
          <w:rFonts w:cstheme="minorHAnsi"/>
          <w:szCs w:val="24"/>
        </w:rPr>
        <w:t xml:space="preserve"> systems with a maximum containment level exceedance within six months of the receiving the initial monitoring data from VDH</w:t>
      </w:r>
    </w:p>
    <w:p w14:paraId="101174A1" w14:textId="77777777" w:rsidR="00436AE8" w:rsidRPr="007F269D" w:rsidRDefault="00436AE8" w:rsidP="00436AE8">
      <w:pPr>
        <w:pStyle w:val="ListParagraph"/>
        <w:widowControl/>
        <w:numPr>
          <w:ilvl w:val="0"/>
          <w:numId w:val="69"/>
        </w:numPr>
        <w:spacing w:before="0" w:after="0"/>
        <w:rPr>
          <w:rFonts w:cstheme="minorHAnsi"/>
          <w:szCs w:val="24"/>
        </w:rPr>
      </w:pPr>
      <w:r w:rsidRPr="007F269D">
        <w:rPr>
          <w:rFonts w:cstheme="minorHAnsi"/>
          <w:szCs w:val="24"/>
        </w:rPr>
        <w:t xml:space="preserve">Require potentially significant sources of PFAS report their use or manufacture of PFAS, and </w:t>
      </w:r>
    </w:p>
    <w:p w14:paraId="08B40275" w14:textId="77777777" w:rsidR="00436AE8" w:rsidRPr="007F269D" w:rsidRDefault="00436AE8" w:rsidP="00436AE8">
      <w:pPr>
        <w:pStyle w:val="ListParagraph"/>
        <w:widowControl/>
        <w:numPr>
          <w:ilvl w:val="0"/>
          <w:numId w:val="69"/>
        </w:numPr>
        <w:spacing w:before="0" w:after="0"/>
        <w:rPr>
          <w:rFonts w:cstheme="minorHAnsi"/>
          <w:szCs w:val="24"/>
        </w:rPr>
      </w:pPr>
      <w:r w:rsidRPr="007F269D">
        <w:rPr>
          <w:rFonts w:cstheme="minorHAnsi"/>
          <w:szCs w:val="24"/>
        </w:rPr>
        <w:t>Require quarterly discharge monitoring of potentially significant sources of PFAS.</w:t>
      </w:r>
    </w:p>
    <w:p w14:paraId="7CCEFE4B" w14:textId="77777777" w:rsidR="00436AE8" w:rsidRPr="007F269D" w:rsidRDefault="00436AE8" w:rsidP="00436AE8">
      <w:pPr>
        <w:rPr>
          <w:rFonts w:cstheme="minorHAnsi"/>
          <w:szCs w:val="24"/>
        </w:rPr>
      </w:pPr>
    </w:p>
    <w:p w14:paraId="2BFE8180" w14:textId="136FFCD2" w:rsidR="00436AE8" w:rsidRPr="007F269D" w:rsidRDefault="00D2132C" w:rsidP="00436AE8">
      <w:pPr>
        <w:rPr>
          <w:rFonts w:cstheme="minorBidi"/>
          <w:szCs w:val="24"/>
        </w:rPr>
      </w:pPr>
      <w:r w:rsidRPr="007F269D">
        <w:rPr>
          <w:rFonts w:cstheme="minorBidi"/>
          <w:szCs w:val="24"/>
        </w:rPr>
        <w:t>T</w:t>
      </w:r>
      <w:r w:rsidR="00436AE8" w:rsidRPr="007F269D">
        <w:rPr>
          <w:rFonts w:cstheme="minorBidi"/>
          <w:szCs w:val="24"/>
        </w:rPr>
        <w:t xml:space="preserve">he legislation directs </w:t>
      </w:r>
      <w:r w:rsidR="00436AE8" w:rsidRPr="007F269D">
        <w:rPr>
          <w:szCs w:val="24"/>
        </w:rPr>
        <w:t xml:space="preserve">DEQ </w:t>
      </w:r>
      <w:r w:rsidR="00436AE8" w:rsidRPr="007F269D">
        <w:rPr>
          <w:rFonts w:cstheme="minorBidi"/>
          <w:szCs w:val="24"/>
        </w:rPr>
        <w:t>to establish the PFAS Expert Advisory Committee, which will assist DEQ and the Department of Health (VDH) in developing solutions to reduce and eliminate the discharge of PFAS.</w:t>
      </w:r>
      <w:r w:rsidR="00D75933" w:rsidRPr="007F269D">
        <w:rPr>
          <w:rFonts w:cstheme="minorBidi"/>
          <w:szCs w:val="24"/>
        </w:rPr>
        <w:t xml:space="preserve"> Additionally, § 62.1-44.34:33 of the Code of Virginia requires DEQ to annually report by October 1 on activities related to PFAS assessments, self-reporting, and discharge monitoring to the Governor and the General Assembly.</w:t>
      </w:r>
    </w:p>
    <w:p w14:paraId="7C064C66" w14:textId="77777777" w:rsidR="00436AE8" w:rsidRPr="007F269D" w:rsidRDefault="00436AE8" w:rsidP="00436AE8">
      <w:pPr>
        <w:rPr>
          <w:szCs w:val="24"/>
        </w:rPr>
      </w:pPr>
    </w:p>
    <w:p w14:paraId="5DE37DBC" w14:textId="27C83D7D" w:rsidR="0002724D" w:rsidRPr="007F269D" w:rsidRDefault="00436AE8" w:rsidP="0002724D">
      <w:pPr>
        <w:rPr>
          <w:rFonts w:cstheme="minorHAnsi"/>
          <w:szCs w:val="24"/>
        </w:rPr>
      </w:pPr>
      <w:r w:rsidRPr="007F269D">
        <w:rPr>
          <w:rFonts w:cstheme="minorHAnsi"/>
          <w:szCs w:val="24"/>
        </w:rPr>
        <w:t xml:space="preserve">This legislation seeks to create a cost-effective solution to PFAS in drinking water for the average consumer. Under the EPA’s recently established regulations under the National </w:t>
      </w:r>
      <w:r w:rsidRPr="007F269D">
        <w:rPr>
          <w:rFonts w:cstheme="minorHAnsi"/>
          <w:szCs w:val="24"/>
        </w:rPr>
        <w:lastRenderedPageBreak/>
        <w:t xml:space="preserve">Primary Drinking Water Regulation, each drinking water supplier exceeding an established PFAS Maximum Contaminant Level (MCL) is expected to take on the cost of treating the </w:t>
      </w:r>
      <w:proofErr w:type="gramStart"/>
      <w:r w:rsidRPr="007F269D">
        <w:rPr>
          <w:rFonts w:cstheme="minorHAnsi"/>
          <w:szCs w:val="24"/>
        </w:rPr>
        <w:t>water</w:t>
      </w:r>
      <w:proofErr w:type="gramEnd"/>
      <w:r w:rsidRPr="007F269D">
        <w:rPr>
          <w:rFonts w:cstheme="minorHAnsi"/>
          <w:szCs w:val="24"/>
        </w:rPr>
        <w:t xml:space="preserve"> which may include sizeable initial capital expenditures along with continued maintenance costs which would undoubtedly be shared by the customers.</w:t>
      </w:r>
    </w:p>
    <w:p w14:paraId="1242C057" w14:textId="77777777" w:rsidR="003B3AC9" w:rsidRPr="007F269D" w:rsidRDefault="003B3AC9" w:rsidP="0002724D">
      <w:pPr>
        <w:rPr>
          <w:shd w:val="clear" w:color="auto" w:fill="FFFFFF"/>
        </w:rPr>
      </w:pPr>
    </w:p>
    <w:p w14:paraId="03A7FA9B" w14:textId="34CBCBCA" w:rsidR="001C7F31" w:rsidRPr="007F269D" w:rsidRDefault="004A466E" w:rsidP="0002724D">
      <w:pPr>
        <w:rPr>
          <w:shd w:val="clear" w:color="auto" w:fill="FFFFFF"/>
        </w:rPr>
      </w:pPr>
      <w:r w:rsidRPr="007F269D">
        <w:rPr>
          <w:shd w:val="clear" w:color="auto" w:fill="FFFFFF"/>
        </w:rPr>
        <w:t>Since the publication of the draft 2024 IR</w:t>
      </w:r>
      <w:r w:rsidR="00576383" w:rsidRPr="007F269D">
        <w:rPr>
          <w:shd w:val="clear" w:color="auto" w:fill="FFFFFF"/>
        </w:rPr>
        <w:t xml:space="preserve"> in April of 2024</w:t>
      </w:r>
      <w:r w:rsidRPr="007F269D">
        <w:rPr>
          <w:shd w:val="clear" w:color="auto" w:fill="FFFFFF"/>
        </w:rPr>
        <w:t xml:space="preserve">, VDH identified </w:t>
      </w:r>
      <w:proofErr w:type="spellStart"/>
      <w:r w:rsidRPr="007F269D">
        <w:rPr>
          <w:shd w:val="clear" w:color="auto" w:fill="FFFFFF"/>
        </w:rPr>
        <w:t>perfluorooctane</w:t>
      </w:r>
      <w:proofErr w:type="spellEnd"/>
      <w:r w:rsidRPr="007F269D">
        <w:rPr>
          <w:shd w:val="clear" w:color="auto" w:fill="FFFFFF"/>
        </w:rPr>
        <w:t xml:space="preserve"> sulfonate (PFOS), which is one of many PFAS, as a contaminant of concern in a few species of fish collected from the Chickahominy River and White Oak Swamp. VDH initiated a risk assessment pertaining to the consumption of fish from the affected waterbodies. </w:t>
      </w:r>
      <w:r w:rsidR="00C92CF8" w:rsidRPr="007F269D">
        <w:rPr>
          <w:shd w:val="clear" w:color="auto" w:fill="FFFFFF"/>
        </w:rPr>
        <w:t xml:space="preserve">On October 4, 2024, VDH released to the Virginia Regulatory Townhall a fish consumption advisory guideline for PFOS. </w:t>
      </w:r>
      <w:r w:rsidR="00D65694" w:rsidRPr="007F269D">
        <w:rPr>
          <w:rFonts w:ascii="Calibri" w:eastAsia="Calibri" w:hAnsi="Calibri" w:cs="Calibri"/>
          <w:color w:val="000000" w:themeColor="text1"/>
          <w:szCs w:val="24"/>
        </w:rPr>
        <w:t>Should</w:t>
      </w:r>
      <w:r w:rsidR="4956A079" w:rsidRPr="007F269D">
        <w:rPr>
          <w:rFonts w:ascii="Calibri" w:eastAsia="Calibri" w:hAnsi="Calibri" w:cs="Calibri"/>
          <w:color w:val="000000" w:themeColor="text1"/>
          <w:szCs w:val="24"/>
        </w:rPr>
        <w:t xml:space="preserve"> the VDH PFOS Guideline become effective, a</w:t>
      </w:r>
      <w:r w:rsidR="00742BFA" w:rsidRPr="007F269D">
        <w:rPr>
          <w:shd w:val="clear" w:color="auto" w:fill="FFFFFF"/>
        </w:rPr>
        <w:t xml:space="preserve">ny resulting </w:t>
      </w:r>
      <w:r w:rsidR="009928A3" w:rsidRPr="007F269D">
        <w:rPr>
          <w:shd w:val="clear" w:color="auto" w:fill="FFFFFF"/>
        </w:rPr>
        <w:t xml:space="preserve">fish consumption advisories </w:t>
      </w:r>
      <w:r w:rsidR="00A10AEF" w:rsidRPr="007F269D">
        <w:rPr>
          <w:shd w:val="clear" w:color="auto" w:fill="FFFFFF"/>
        </w:rPr>
        <w:t>w</w:t>
      </w:r>
      <w:r w:rsidR="002E049A" w:rsidRPr="007F269D">
        <w:rPr>
          <w:shd w:val="clear" w:color="auto" w:fill="FFFFFF"/>
        </w:rPr>
        <w:t>ill</w:t>
      </w:r>
      <w:r w:rsidR="00A10AEF" w:rsidRPr="007F269D">
        <w:rPr>
          <w:shd w:val="clear" w:color="auto" w:fill="FFFFFF"/>
        </w:rPr>
        <w:t xml:space="preserve"> be </w:t>
      </w:r>
      <w:r w:rsidR="008C1C29" w:rsidRPr="007F269D">
        <w:rPr>
          <w:shd w:val="clear" w:color="auto" w:fill="FFFFFF"/>
        </w:rPr>
        <w:t xml:space="preserve">used to </w:t>
      </w:r>
      <w:r w:rsidR="002E049A" w:rsidRPr="007F269D">
        <w:rPr>
          <w:shd w:val="clear" w:color="auto" w:fill="FFFFFF"/>
        </w:rPr>
        <w:t xml:space="preserve">assess </w:t>
      </w:r>
      <w:proofErr w:type="gramStart"/>
      <w:r w:rsidR="002E049A" w:rsidRPr="007F269D">
        <w:rPr>
          <w:shd w:val="clear" w:color="auto" w:fill="FFFFFF"/>
        </w:rPr>
        <w:t>waters</w:t>
      </w:r>
      <w:proofErr w:type="gramEnd"/>
      <w:r w:rsidR="002E049A" w:rsidRPr="007F269D">
        <w:rPr>
          <w:shd w:val="clear" w:color="auto" w:fill="FFFFFF"/>
        </w:rPr>
        <w:t xml:space="preserve"> in subsequent Integrated Reports.</w:t>
      </w:r>
    </w:p>
    <w:p w14:paraId="3326675A" w14:textId="77777777" w:rsidR="001C7F31" w:rsidRPr="007F269D" w:rsidRDefault="001C7F31" w:rsidP="0002724D">
      <w:pPr>
        <w:rPr>
          <w:shd w:val="clear" w:color="auto" w:fill="FFFFFF"/>
        </w:rPr>
      </w:pPr>
    </w:p>
    <w:p w14:paraId="51F78338" w14:textId="43E83964" w:rsidR="00A6198D" w:rsidRPr="007F269D" w:rsidRDefault="00A6198D" w:rsidP="00A6198D">
      <w:pPr>
        <w:rPr>
          <w:shd w:val="clear" w:color="auto" w:fill="FFFFFF"/>
        </w:rPr>
      </w:pPr>
      <w:r w:rsidRPr="007F269D">
        <w:rPr>
          <w:shd w:val="clear" w:color="auto" w:fill="FFFFFF"/>
        </w:rPr>
        <w:t xml:space="preserve">In December 2024, EPA published </w:t>
      </w:r>
      <w:proofErr w:type="gramStart"/>
      <w:r w:rsidRPr="007F269D">
        <w:rPr>
          <w:shd w:val="clear" w:color="auto" w:fill="FFFFFF"/>
        </w:rPr>
        <w:t>draft</w:t>
      </w:r>
      <w:proofErr w:type="gramEnd"/>
      <w:r w:rsidRPr="007F269D">
        <w:rPr>
          <w:shd w:val="clear" w:color="auto" w:fill="FFFFFF"/>
        </w:rPr>
        <w:t xml:space="preserve"> recommended water quality criteria protective of</w:t>
      </w:r>
      <w:r w:rsidR="002A7ED3">
        <w:rPr>
          <w:shd w:val="clear" w:color="auto" w:fill="FFFFFF"/>
        </w:rPr>
        <w:t xml:space="preserve"> </w:t>
      </w:r>
      <w:r w:rsidRPr="007F269D">
        <w:rPr>
          <w:shd w:val="clear" w:color="auto" w:fill="FFFFFF"/>
        </w:rPr>
        <w:t>human</w:t>
      </w:r>
      <w:r w:rsidR="002A7ED3">
        <w:rPr>
          <w:shd w:val="clear" w:color="auto" w:fill="FFFFFF"/>
        </w:rPr>
        <w:t xml:space="preserve"> </w:t>
      </w:r>
      <w:r w:rsidRPr="007F269D">
        <w:rPr>
          <w:shd w:val="clear" w:color="auto" w:fill="FFFFFF"/>
        </w:rPr>
        <w:t>health</w:t>
      </w:r>
      <w:r w:rsidR="002A7ED3">
        <w:rPr>
          <w:shd w:val="clear" w:color="auto" w:fill="FFFFFF"/>
        </w:rPr>
        <w:t xml:space="preserve"> </w:t>
      </w:r>
      <w:r w:rsidRPr="007F269D">
        <w:rPr>
          <w:shd w:val="clear" w:color="auto" w:fill="FFFFFF"/>
        </w:rPr>
        <w:t>for PFOA, PFOS,</w:t>
      </w:r>
      <w:r w:rsidR="002A7ED3">
        <w:rPr>
          <w:shd w:val="clear" w:color="auto" w:fill="FFFFFF"/>
        </w:rPr>
        <w:t xml:space="preserve"> </w:t>
      </w:r>
      <w:r w:rsidRPr="007F269D">
        <w:rPr>
          <w:shd w:val="clear" w:color="auto" w:fill="FFFFFF"/>
        </w:rPr>
        <w:t>and PFBS.</w:t>
      </w:r>
      <w:r w:rsidR="002A7ED3">
        <w:rPr>
          <w:shd w:val="clear" w:color="auto" w:fill="FFFFFF"/>
        </w:rPr>
        <w:t xml:space="preserve"> </w:t>
      </w:r>
      <w:r w:rsidRPr="007F269D">
        <w:rPr>
          <w:shd w:val="clear" w:color="auto" w:fill="FFFFFF"/>
        </w:rPr>
        <w:t xml:space="preserve">These criteria are designed specifically to protect public water supplies and fish consumption and reflect a lifetime exposure duration of 70 years. These criteria will not be considered for adoption in Virginia's </w:t>
      </w:r>
      <w:r w:rsidR="00E771A2" w:rsidRPr="007F269D">
        <w:rPr>
          <w:shd w:val="clear" w:color="auto" w:fill="FFFFFF"/>
        </w:rPr>
        <w:t>W</w:t>
      </w:r>
      <w:r w:rsidRPr="007F269D">
        <w:rPr>
          <w:shd w:val="clear" w:color="auto" w:fill="FFFFFF"/>
        </w:rPr>
        <w:t xml:space="preserve">ater </w:t>
      </w:r>
      <w:r w:rsidR="00E771A2" w:rsidRPr="007F269D">
        <w:rPr>
          <w:shd w:val="clear" w:color="auto" w:fill="FFFFFF"/>
        </w:rPr>
        <w:t>Q</w:t>
      </w:r>
      <w:r w:rsidRPr="007F269D">
        <w:rPr>
          <w:shd w:val="clear" w:color="auto" w:fill="FFFFFF"/>
        </w:rPr>
        <w:t xml:space="preserve">uality </w:t>
      </w:r>
      <w:r w:rsidR="00E771A2" w:rsidRPr="007F269D">
        <w:rPr>
          <w:shd w:val="clear" w:color="auto" w:fill="FFFFFF"/>
        </w:rPr>
        <w:t>S</w:t>
      </w:r>
      <w:r w:rsidRPr="007F269D">
        <w:rPr>
          <w:shd w:val="clear" w:color="auto" w:fill="FFFFFF"/>
        </w:rPr>
        <w:t>tandards</w:t>
      </w:r>
      <w:r w:rsidR="00E771A2" w:rsidRPr="007F269D">
        <w:rPr>
          <w:shd w:val="clear" w:color="auto" w:fill="FFFFFF"/>
        </w:rPr>
        <w:t xml:space="preserve"> regulation</w:t>
      </w:r>
      <w:r w:rsidRPr="007F269D">
        <w:rPr>
          <w:shd w:val="clear" w:color="auto" w:fill="FFFFFF"/>
        </w:rPr>
        <w:t xml:space="preserve"> until they are finalized by EPA. Once effective they would be used to assess waters in subsequent Integrated Reports.</w:t>
      </w:r>
    </w:p>
    <w:p w14:paraId="64A34888" w14:textId="77777777" w:rsidR="004A466E" w:rsidRPr="0002724D" w:rsidRDefault="004A466E" w:rsidP="0002724D">
      <w:pPr>
        <w:rPr>
          <w:shd w:val="clear" w:color="auto" w:fill="FFFFFF"/>
        </w:rPr>
      </w:pPr>
    </w:p>
    <w:p w14:paraId="3BB867DC" w14:textId="58078BD8" w:rsidR="00C02B5B" w:rsidRDefault="0002724D" w:rsidP="00846A16">
      <w:pPr>
        <w:rPr>
          <w:shd w:val="clear" w:color="auto" w:fill="FFFFFF"/>
        </w:rPr>
      </w:pPr>
      <w:r w:rsidRPr="0002724D">
        <w:rPr>
          <w:shd w:val="clear" w:color="auto" w:fill="FFFFFF"/>
        </w:rPr>
        <w:t xml:space="preserve">More information on DEQ’s PFAS monitoring activities, plus a dashboard containing all available data, are posted to </w:t>
      </w:r>
      <w:r w:rsidR="005443A9">
        <w:rPr>
          <w:shd w:val="clear" w:color="auto" w:fill="FFFFFF"/>
        </w:rPr>
        <w:t xml:space="preserve">the DEQ </w:t>
      </w:r>
      <w:r w:rsidR="005443A9" w:rsidRPr="005443A9">
        <w:rPr>
          <w:shd w:val="clear" w:color="auto" w:fill="FFFFFF"/>
        </w:rPr>
        <w:t>Per- and Polyfluoroalkyl Substances (PFAS)</w:t>
      </w:r>
      <w:r w:rsidR="00B2359A">
        <w:rPr>
          <w:shd w:val="clear" w:color="auto" w:fill="FFFFFF"/>
        </w:rPr>
        <w:t xml:space="preserve"> webpage.</w:t>
      </w:r>
    </w:p>
    <w:p w14:paraId="4C46AB3F" w14:textId="77777777" w:rsidR="006C607C" w:rsidRDefault="006C607C" w:rsidP="00846A16">
      <w:pPr>
        <w:rPr>
          <w:shd w:val="clear" w:color="auto" w:fill="FFFFFF"/>
        </w:rPr>
      </w:pPr>
    </w:p>
    <w:p w14:paraId="1FFE72A3" w14:textId="128AA897" w:rsidR="004F3513" w:rsidRPr="00B06A53" w:rsidRDefault="00C44D07" w:rsidP="00B06A53">
      <w:pPr>
        <w:pStyle w:val="Heading2"/>
      </w:pPr>
      <w:bookmarkStart w:id="430" w:name="_Toc191900452"/>
      <w:bookmarkStart w:id="431" w:name="_Toc152763329"/>
      <w:bookmarkStart w:id="432" w:name="_Toc155771973"/>
      <w:r w:rsidRPr="00B06A53">
        <w:t>Coastal Resources Management Program</w:t>
      </w:r>
      <w:bookmarkEnd w:id="430"/>
      <w:r w:rsidRPr="00B06A53">
        <w:t xml:space="preserve"> </w:t>
      </w:r>
      <w:bookmarkEnd w:id="431"/>
      <w:bookmarkEnd w:id="432"/>
    </w:p>
    <w:p w14:paraId="2911220C" w14:textId="77777777" w:rsidR="00714613" w:rsidRPr="00B06A53" w:rsidRDefault="00714613" w:rsidP="00B06A53">
      <w:pPr>
        <w:pStyle w:val="Heading3"/>
      </w:pPr>
      <w:bookmarkStart w:id="433" w:name="_Hlk150848308"/>
      <w:r w:rsidRPr="00B06A53">
        <w:t xml:space="preserve">Description of the Virginia Coastal Zone Management Program </w:t>
      </w:r>
    </w:p>
    <w:p w14:paraId="59ECABFF" w14:textId="416C4B17" w:rsidR="00714613" w:rsidRPr="003A102D" w:rsidRDefault="00714613" w:rsidP="00AE7B49">
      <w:pPr>
        <w:pStyle w:val="BodyTextIndent2"/>
        <w:spacing w:after="0" w:line="240" w:lineRule="auto"/>
        <w:ind w:left="0"/>
        <w:rPr>
          <w:rFonts w:cstheme="minorHAnsi"/>
          <w:szCs w:val="24"/>
        </w:rPr>
      </w:pPr>
      <w:r w:rsidRPr="003A102D">
        <w:rPr>
          <w:rFonts w:cstheme="minorHAnsi"/>
          <w:szCs w:val="24"/>
        </w:rPr>
        <w:t>Virginia’s coastal zone encompasses all of Virginia’s Atlantic coast watershed as well as parts of the Chesapeake Bay and Albemarle/Pamlico Estuary watersheds</w:t>
      </w:r>
      <w:r w:rsidR="00524991">
        <w:rPr>
          <w:rFonts w:cstheme="minorHAnsi"/>
          <w:szCs w:val="24"/>
        </w:rPr>
        <w:t xml:space="preserve"> (Figure </w:t>
      </w:r>
      <w:r w:rsidR="00F7099C">
        <w:rPr>
          <w:rFonts w:cstheme="minorHAnsi"/>
          <w:szCs w:val="24"/>
        </w:rPr>
        <w:t>6</w:t>
      </w:r>
      <w:r w:rsidR="006D427F">
        <w:rPr>
          <w:rFonts w:cstheme="minorHAnsi"/>
          <w:szCs w:val="24"/>
        </w:rPr>
        <w:t>.</w:t>
      </w:r>
      <w:r w:rsidR="00F7099C">
        <w:rPr>
          <w:rFonts w:cstheme="minorHAnsi"/>
          <w:szCs w:val="24"/>
        </w:rPr>
        <w:t>7</w:t>
      </w:r>
      <w:r w:rsidR="006D427F">
        <w:rPr>
          <w:rFonts w:cstheme="minorHAnsi"/>
          <w:szCs w:val="24"/>
        </w:rPr>
        <w:t>-1)</w:t>
      </w:r>
      <w:r w:rsidRPr="003A102D">
        <w:rPr>
          <w:rFonts w:cstheme="minorHAnsi"/>
          <w:szCs w:val="24"/>
        </w:rPr>
        <w:t>. This coastal zone area, also known as Tidewater, Virginia, includes 29 counties, 15 cities</w:t>
      </w:r>
      <w:r w:rsidR="00AD243C">
        <w:rPr>
          <w:rFonts w:cstheme="minorHAnsi"/>
          <w:szCs w:val="24"/>
        </w:rPr>
        <w:t>,</w:t>
      </w:r>
      <w:r w:rsidRPr="003A102D">
        <w:rPr>
          <w:rFonts w:cstheme="minorHAnsi"/>
          <w:szCs w:val="24"/>
        </w:rPr>
        <w:t xml:space="preserve"> and 42 towns as well as all </w:t>
      </w:r>
      <w:proofErr w:type="gramStart"/>
      <w:r w:rsidRPr="003A102D">
        <w:rPr>
          <w:rFonts w:cstheme="minorHAnsi"/>
          <w:szCs w:val="24"/>
        </w:rPr>
        <w:t>waters</w:t>
      </w:r>
      <w:proofErr w:type="gramEnd"/>
      <w:r w:rsidRPr="003A102D">
        <w:rPr>
          <w:rFonts w:cstheme="minorHAnsi"/>
          <w:szCs w:val="24"/>
        </w:rPr>
        <w:t xml:space="preserve"> within and out to the three-mile Territorial Sea boundary.</w:t>
      </w:r>
    </w:p>
    <w:p w14:paraId="07C2DF38" w14:textId="77777777" w:rsidR="00714613" w:rsidRPr="003A102D" w:rsidRDefault="00714613" w:rsidP="00AE7B49">
      <w:pPr>
        <w:rPr>
          <w:rFonts w:cstheme="minorHAnsi"/>
          <w:szCs w:val="24"/>
        </w:rPr>
      </w:pPr>
    </w:p>
    <w:p w14:paraId="51545747" w14:textId="77777777" w:rsidR="00C833BF" w:rsidRDefault="00A45C54" w:rsidP="00C833BF">
      <w:pPr>
        <w:keepNext/>
      </w:pPr>
      <w:r>
        <w:rPr>
          <w:rFonts w:cstheme="minorHAnsi"/>
          <w:noProof/>
          <w:szCs w:val="24"/>
        </w:rPr>
        <w:lastRenderedPageBreak/>
        <w:drawing>
          <wp:inline distT="0" distB="0" distL="0" distR="0" wp14:anchorId="1B524CCA" wp14:editId="6FD9B7AA">
            <wp:extent cx="3352800" cy="4270853"/>
            <wp:effectExtent l="0" t="0" r="0" b="0"/>
            <wp:docPr id="1678065400" name="Picture 1678065400" descr="Map of Virginia’s Coastal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65400" name="Picture 1" descr="Map of Virginia’s Coastal Zone"/>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3354634" cy="4273189"/>
                    </a:xfrm>
                    <a:prstGeom prst="rect">
                      <a:avLst/>
                    </a:prstGeom>
                    <a:noFill/>
                  </pic:spPr>
                </pic:pic>
              </a:graphicData>
            </a:graphic>
          </wp:inline>
        </w:drawing>
      </w:r>
    </w:p>
    <w:p w14:paraId="470E6E07" w14:textId="5A426ED6" w:rsidR="00714613" w:rsidRPr="00C833BF" w:rsidRDefault="00C833BF" w:rsidP="00C833BF">
      <w:pPr>
        <w:pStyle w:val="Caption"/>
        <w:rPr>
          <w:rFonts w:cstheme="minorHAnsi"/>
          <w:sz w:val="24"/>
          <w:szCs w:val="24"/>
        </w:rPr>
      </w:pPr>
      <w:bookmarkStart w:id="434" w:name="_Toc152766321"/>
      <w:bookmarkStart w:id="435" w:name="_Toc164175144"/>
      <w:r>
        <w:t xml:space="preserve">Figure </w:t>
      </w:r>
      <w:r w:rsidR="004F13BA">
        <w:fldChar w:fldCharType="begin"/>
      </w:r>
      <w:r w:rsidR="004F13BA">
        <w:instrText xml:space="preserve"> STYLEREF 2 \s </w:instrText>
      </w:r>
      <w:r w:rsidR="004F13BA">
        <w:fldChar w:fldCharType="separate"/>
      </w:r>
      <w:r w:rsidR="00E429BB">
        <w:rPr>
          <w:noProof/>
        </w:rPr>
        <w:t>6.7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xml:space="preserve">. </w:t>
      </w:r>
      <w:r w:rsidRPr="00C52806">
        <w:t>Map of Virginia’s Coastal Zone</w:t>
      </w:r>
      <w:bookmarkEnd w:id="434"/>
      <w:bookmarkEnd w:id="435"/>
    </w:p>
    <w:p w14:paraId="2CB50978" w14:textId="1BD60E92" w:rsidR="00714613" w:rsidRPr="00AE7B49" w:rsidRDefault="008E65CF" w:rsidP="00BB283A">
      <w:pPr>
        <w:rPr>
          <w:sz w:val="32"/>
        </w:rPr>
      </w:pPr>
      <w:r>
        <w:br/>
      </w:r>
      <w:r w:rsidR="00714613" w:rsidRPr="003A102D">
        <w:t xml:space="preserve">The Virginia Coastal Zone Management (CZM) Program was established in 1986 to protect and enhance Virginia’s coastal resources. The Virginia CZM Program is a network of state agencies and Tidewater local governments and the Virginia CZM laws and policies they implement. Through this network, the program manages sand dunes, wetlands, underwater lands, fisheries, point and nonpoint source air and water pollution, shoreline sanitation and a variety of other </w:t>
      </w:r>
      <w:r w:rsidR="00714613" w:rsidRPr="00BB283A">
        <w:t xml:space="preserve">areas of particular concern such as ocean planning, marine debris, climate resilience, coastal wildlife habitats, public access, waterfront redevelopment and underwater historic sites. See </w:t>
      </w:r>
      <w:hyperlink r:id="rId241" w:history="1">
        <w:r w:rsidR="00714613" w:rsidRPr="00BB283A">
          <w:t>https://www.deq.virginia.gov/our-programs/coastal-zone-management</w:t>
        </w:r>
      </w:hyperlink>
      <w:r w:rsidR="00714613" w:rsidRPr="00BB283A">
        <w:t xml:space="preserve"> for more details about the laws and policies that define the program.</w:t>
      </w:r>
      <w:r w:rsidR="00BB283A" w:rsidRPr="00BB283A">
        <w:br/>
      </w:r>
      <w:r w:rsidR="00BB283A" w:rsidRPr="00BB283A">
        <w:br/>
      </w:r>
      <w:r w:rsidR="00714613" w:rsidRPr="00BB283A">
        <w:t>In September 2018, Governor Ralph Northam submitted to the National Oceanic and Atmospheric</w:t>
      </w:r>
      <w:r w:rsidR="00714613" w:rsidRPr="003A102D">
        <w:t xml:space="preserve"> Administration a “Letter to Continue the Virginia Coastal Zone Management Program in Perpetuity.” As with previous Executive Orders signed by previous administrations, this letter directs all state agencies to carry out their legally established duties consistent with this Program in a manner that promotes coordination among all government agencies. It is through this coordination that the Virginia CZM Program has been able to achieve great strides in achieving its goals and objectives.”</w:t>
      </w:r>
    </w:p>
    <w:p w14:paraId="3839115E" w14:textId="77777777" w:rsidR="00714613" w:rsidRPr="003A102D" w:rsidRDefault="00714613" w:rsidP="00AE7B49">
      <w:pPr>
        <w:jc w:val="both"/>
        <w:rPr>
          <w:rFonts w:cstheme="minorHAnsi"/>
          <w:szCs w:val="24"/>
        </w:rPr>
      </w:pPr>
    </w:p>
    <w:p w14:paraId="005C2126" w14:textId="48B591A9" w:rsidR="00714613" w:rsidRPr="003A102D" w:rsidRDefault="00714613" w:rsidP="005B7605">
      <w:pPr>
        <w:rPr>
          <w:color w:val="000000" w:themeColor="text1"/>
        </w:rPr>
      </w:pPr>
      <w:r w:rsidRPr="003A102D">
        <w:t xml:space="preserve">Core regulatory agencies in the Virginia CZM Program network include the Marine Resources </w:t>
      </w:r>
      <w:r w:rsidRPr="003A102D">
        <w:lastRenderedPageBreak/>
        <w:t xml:space="preserve">Commission (VMRC), the Department of Environmental Quality (DEQ), the Department of Wildlife Resources (DWR), the Department of Conservation and Recreation (DCR), and the Department of Health (VDH). Other agencies assisting with the Program include the Department of Historic Resources (DHR), Department of Forestry (DOF), Department of Agriculture and Consumer Services (VDACS), Virginia Energy, the Virginia Institute of Marine Science (VIMS), the Department of Emergency Management (VDEM), and the Department of Transportation (VDOT). DEQ serves as the lead agency for Virginia’s networked CZM Program and helps agencies and localities to develop and implement coordinated coastal policies. </w:t>
      </w:r>
      <w:r w:rsidRPr="003A102D">
        <w:rPr>
          <w:color w:val="000000" w:themeColor="text1"/>
          <w:shd w:val="clear" w:color="auto" w:fill="FFFFFF"/>
        </w:rPr>
        <w:t>Facilitating cooperation among these agencies is the Coastal Policy Team (CPT). The mission of the CPT is to: i</w:t>
      </w:r>
      <w:r w:rsidRPr="003A102D">
        <w:rPr>
          <w:color w:val="000000" w:themeColor="text1"/>
        </w:rPr>
        <w:t xml:space="preserve">dentify coastal policy issues that cut across agency jurisdictions and develop policy recommendations; and, to guide the development of measures or indicators to analyze the effectiveness of Virginia's CZM Program and current health and status of our coastal resources and guides the future activities of the Program. For a list of CPT members, visit </w:t>
      </w:r>
      <w:r w:rsidR="0050461A">
        <w:rPr>
          <w:color w:val="000000" w:themeColor="text1"/>
        </w:rPr>
        <w:t xml:space="preserve">the DEQ Virginia Coastal Policy Team webpage. </w:t>
      </w:r>
      <w:r w:rsidR="00BB283A">
        <w:rPr>
          <w:color w:val="000000" w:themeColor="text1"/>
        </w:rPr>
        <w:br/>
      </w:r>
    </w:p>
    <w:p w14:paraId="69707071" w14:textId="7DF9B408" w:rsidR="00714613" w:rsidRPr="003A102D" w:rsidRDefault="00714613" w:rsidP="00AE7B49">
      <w:pPr>
        <w:rPr>
          <w:rFonts w:cstheme="minorHAnsi"/>
          <w:szCs w:val="24"/>
        </w:rPr>
      </w:pPr>
      <w:r w:rsidRPr="003A102D">
        <w:rPr>
          <w:rFonts w:cstheme="minorHAnsi"/>
          <w:szCs w:val="24"/>
        </w:rPr>
        <w:t>By virtue of having a federally approved coastal zone management Program, Virginia also has the authority to require that federal actions, including federally funded or permitted actions, within the coastal zone be consistent with Virginia’s CZM Program. Environmental impact review staff at DEQ review federal actions in the coastal zone for consistency with Virginia’s CZM Program laws and policies.</w:t>
      </w:r>
    </w:p>
    <w:p w14:paraId="19967D64" w14:textId="77777777" w:rsidR="00714613" w:rsidRPr="003A102D" w:rsidRDefault="00714613" w:rsidP="00AE7B49">
      <w:pPr>
        <w:rPr>
          <w:rFonts w:cstheme="minorHAnsi"/>
          <w:szCs w:val="24"/>
        </w:rPr>
      </w:pPr>
    </w:p>
    <w:p w14:paraId="3D551B21" w14:textId="77777777" w:rsidR="00714613" w:rsidRPr="00B06A53" w:rsidRDefault="00714613" w:rsidP="00B06A53">
      <w:pPr>
        <w:pStyle w:val="Heading3"/>
      </w:pPr>
      <w:r w:rsidRPr="00B06A53">
        <w:t>Coastal Zone Management Act Funding Received by Virginia</w:t>
      </w:r>
    </w:p>
    <w:p w14:paraId="04FE8481" w14:textId="1924D290" w:rsidR="00714613" w:rsidRPr="003A102D" w:rsidRDefault="00714613" w:rsidP="00AE7B49">
      <w:pPr>
        <w:rPr>
          <w:rFonts w:cstheme="minorHAnsi"/>
          <w:szCs w:val="24"/>
        </w:rPr>
      </w:pPr>
      <w:r w:rsidRPr="003A102D">
        <w:rPr>
          <w:rFonts w:cstheme="minorHAnsi"/>
          <w:szCs w:val="24"/>
        </w:rPr>
        <w:t xml:space="preserve">In addition to providing a forum for development and coordination of cross-cutting coastal issues, the Virginia CZM Program provides grant assistance to state agencies and local governments. Having a federally approved coastal zone management program qualifies Virginia to receive just over $3 million per year in federal funds under a formula allocation based on miles of shoreline and coastal zone population. The Office for Coastal Management at the National Oceanic and Atmospheric Administration (NOAA) allocates these funds under the Coastal Zone Management Act (CZMA). </w:t>
      </w:r>
      <w:proofErr w:type="gramStart"/>
      <w:r w:rsidRPr="003A102D">
        <w:rPr>
          <w:rFonts w:cstheme="minorHAnsi"/>
          <w:szCs w:val="24"/>
        </w:rPr>
        <w:t>The majority of</w:t>
      </w:r>
      <w:proofErr w:type="gramEnd"/>
      <w:r w:rsidRPr="003A102D">
        <w:rPr>
          <w:rFonts w:cstheme="minorHAnsi"/>
          <w:szCs w:val="24"/>
        </w:rPr>
        <w:t xml:space="preserve"> these grant funds are 50 percent matched by Virginia’s state agencies and local governments.</w:t>
      </w:r>
      <w:r w:rsidR="000102D0">
        <w:rPr>
          <w:rFonts w:cstheme="minorHAnsi"/>
          <w:szCs w:val="24"/>
        </w:rPr>
        <w:br/>
      </w:r>
    </w:p>
    <w:p w14:paraId="6609B69B" w14:textId="77777777" w:rsidR="00A76E3F" w:rsidRDefault="00714613" w:rsidP="00AE7B49">
      <w:pPr>
        <w:keepNext/>
      </w:pPr>
      <w:r w:rsidRPr="003A102D">
        <w:rPr>
          <w:rFonts w:cstheme="minorHAnsi"/>
          <w:noProof/>
        </w:rPr>
        <w:lastRenderedPageBreak/>
        <w:drawing>
          <wp:inline distT="0" distB="0" distL="0" distR="0" wp14:anchorId="6F5EFD81" wp14:editId="3F3BE374">
            <wp:extent cx="4533900" cy="3091868"/>
            <wp:effectExtent l="0" t="0" r="0" b="0"/>
            <wp:docPr id="1431119085" name="Picture 1431119085" descr="Bar plot of Virginia CZM Program Funding (1986-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19085" name="Picture 1" descr="Bar plot of Virginia CZM Program Funding (1986-2023)."/>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4538389" cy="3094929"/>
                    </a:xfrm>
                    <a:prstGeom prst="rect">
                      <a:avLst/>
                    </a:prstGeom>
                    <a:noFill/>
                    <a:ln>
                      <a:noFill/>
                    </a:ln>
                  </pic:spPr>
                </pic:pic>
              </a:graphicData>
            </a:graphic>
          </wp:inline>
        </w:drawing>
      </w:r>
    </w:p>
    <w:p w14:paraId="332DEF3A" w14:textId="4A10D9C6" w:rsidR="00714613" w:rsidRPr="003A102D" w:rsidRDefault="00A76E3F" w:rsidP="00AE7B49">
      <w:pPr>
        <w:pStyle w:val="Caption"/>
        <w:spacing w:after="0"/>
        <w:rPr>
          <w:rFonts w:cstheme="minorHAnsi"/>
          <w:sz w:val="24"/>
          <w:szCs w:val="24"/>
        </w:rPr>
      </w:pPr>
      <w:bookmarkStart w:id="436" w:name="_Toc152766322"/>
      <w:bookmarkStart w:id="437" w:name="_Toc164175145"/>
      <w:r>
        <w:t xml:space="preserve">Figure </w:t>
      </w:r>
      <w:r w:rsidR="004F13BA">
        <w:fldChar w:fldCharType="begin"/>
      </w:r>
      <w:r w:rsidR="004F13BA">
        <w:instrText xml:space="preserve"> STYLEREF 2 \s </w:instrText>
      </w:r>
      <w:r w:rsidR="004F13BA">
        <w:fldChar w:fldCharType="separate"/>
      </w:r>
      <w:r w:rsidR="00E429BB">
        <w:rPr>
          <w:noProof/>
        </w:rPr>
        <w:t>6.7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2</w:t>
      </w:r>
      <w:r w:rsidR="004F13BA">
        <w:rPr>
          <w:noProof/>
        </w:rPr>
        <w:fldChar w:fldCharType="end"/>
      </w:r>
      <w:r>
        <w:t xml:space="preserve">. </w:t>
      </w:r>
      <w:r w:rsidRPr="00A31F23">
        <w:t>Virginia CZM Program Funding (1986-2023)</w:t>
      </w:r>
      <w:r w:rsidR="00511AFC">
        <w:t>.</w:t>
      </w:r>
      <w:bookmarkEnd w:id="436"/>
      <w:bookmarkEnd w:id="437"/>
    </w:p>
    <w:p w14:paraId="0E028552" w14:textId="77777777" w:rsidR="00714613" w:rsidRPr="003A102D" w:rsidRDefault="00714613" w:rsidP="00AE7B49">
      <w:pPr>
        <w:rPr>
          <w:rFonts w:cstheme="minorHAnsi"/>
          <w:color w:val="000000"/>
          <w:szCs w:val="24"/>
        </w:rPr>
      </w:pPr>
    </w:p>
    <w:p w14:paraId="11C14DD2" w14:textId="6F7C8233" w:rsidR="00714613" w:rsidRPr="003A102D" w:rsidRDefault="00714613" w:rsidP="00AE7B49">
      <w:pPr>
        <w:rPr>
          <w:rFonts w:cstheme="minorHAnsi"/>
          <w:szCs w:val="24"/>
        </w:rPr>
      </w:pPr>
      <w:r w:rsidRPr="003A102D">
        <w:rPr>
          <w:rFonts w:cstheme="minorHAnsi"/>
          <w:szCs w:val="24"/>
        </w:rPr>
        <w:t>Since 1986, Virginia has received almost $96 million dollars in federal CZMA funds, matched by over $78 million in state and local funds</w:t>
      </w:r>
      <w:r w:rsidR="00D77E4C">
        <w:rPr>
          <w:rFonts w:cstheme="minorHAnsi"/>
          <w:szCs w:val="24"/>
        </w:rPr>
        <w:t xml:space="preserve"> (Figure </w:t>
      </w:r>
      <w:r w:rsidR="00F7099C">
        <w:rPr>
          <w:rFonts w:cstheme="minorHAnsi"/>
          <w:szCs w:val="24"/>
        </w:rPr>
        <w:t>6</w:t>
      </w:r>
      <w:r w:rsidR="003F6BDB">
        <w:rPr>
          <w:rFonts w:cstheme="minorHAnsi"/>
          <w:szCs w:val="24"/>
        </w:rPr>
        <w:t>.</w:t>
      </w:r>
      <w:r w:rsidR="00A24435">
        <w:rPr>
          <w:rFonts w:cstheme="minorHAnsi"/>
          <w:szCs w:val="24"/>
        </w:rPr>
        <w:t>7</w:t>
      </w:r>
      <w:r w:rsidR="003F6BDB">
        <w:rPr>
          <w:rFonts w:cstheme="minorHAnsi"/>
          <w:szCs w:val="24"/>
        </w:rPr>
        <w:t>-2)</w:t>
      </w:r>
      <w:r w:rsidRPr="003A102D">
        <w:rPr>
          <w:rFonts w:cstheme="minorHAnsi"/>
          <w:szCs w:val="24"/>
        </w:rPr>
        <w:t xml:space="preserve">. This includes match from the </w:t>
      </w:r>
      <w:r w:rsidRPr="003651C0">
        <w:rPr>
          <w:rFonts w:cstheme="minorHAnsi"/>
          <w:szCs w:val="24"/>
          <w:bdr w:val="none" w:sz="0" w:space="0" w:color="auto" w:frame="1"/>
          <w:shd w:val="clear" w:color="auto" w:fill="FFFFFF"/>
        </w:rPr>
        <w:t>Virginia Water Quality Improvement Fund</w:t>
      </w:r>
      <w:r w:rsidRPr="003A102D">
        <w:rPr>
          <w:rFonts w:cstheme="minorHAnsi"/>
          <w:szCs w:val="24"/>
        </w:rPr>
        <w:t xml:space="preserve"> which f</w:t>
      </w:r>
      <w:r w:rsidRPr="003A102D">
        <w:rPr>
          <w:rFonts w:cstheme="minorHAnsi"/>
          <w:szCs w:val="24"/>
          <w:shd w:val="clear" w:color="auto" w:fill="FFFFFF"/>
        </w:rPr>
        <w:t>inances nutrient reduction technology at publicly owned wastewater treatment plants and local projects funded through the Stormwater Local Assistance Fund (SLAF).</w:t>
      </w:r>
      <w:r w:rsidRPr="003A102D">
        <w:rPr>
          <w:rFonts w:cstheme="minorHAnsi"/>
          <w:szCs w:val="24"/>
        </w:rPr>
        <w:t xml:space="preserve"> Together these funds are used to implement the Virginia CZM Program and to carry out a broad scope of state and local projects in the areas of coastal technical assistance, enforcement, environmental management, habitat monitoring and restoration, land acquisition, local government planning and comprehensive plans, public access planning and construction, public education, shoreline management, special area management planning, wetlands surveys and policy, and water quality monitoring/protection and improvements.</w:t>
      </w:r>
    </w:p>
    <w:p w14:paraId="3FD31927" w14:textId="77777777" w:rsidR="00714613" w:rsidRPr="003A102D" w:rsidRDefault="00714613" w:rsidP="00AE7B49">
      <w:pPr>
        <w:jc w:val="both"/>
        <w:rPr>
          <w:rFonts w:cstheme="minorHAnsi"/>
          <w:szCs w:val="24"/>
        </w:rPr>
      </w:pPr>
    </w:p>
    <w:p w14:paraId="2078B8EC" w14:textId="77777777" w:rsidR="00714613" w:rsidRPr="00B06A53" w:rsidRDefault="00714613" w:rsidP="00B06A53">
      <w:pPr>
        <w:pStyle w:val="Heading3"/>
      </w:pPr>
      <w:bookmarkStart w:id="438" w:name="strategies"/>
      <w:bookmarkEnd w:id="438"/>
      <w:r w:rsidRPr="00B06A53">
        <w:t>Virginia Coastal Zone Management Program Initiatives Benefiting Water Quality</w:t>
      </w:r>
    </w:p>
    <w:p w14:paraId="085D8401" w14:textId="2E32BCC3" w:rsidR="00714613" w:rsidRPr="003A102D" w:rsidRDefault="00714613" w:rsidP="005B7605">
      <w:r w:rsidRPr="003A102D">
        <w:t xml:space="preserve">Several initiatives exemplify the Virginia CZM Program’s unique opportunity to fund and support projects that protect the </w:t>
      </w:r>
      <w:r w:rsidR="002A7C98">
        <w:t>C</w:t>
      </w:r>
      <w:r w:rsidRPr="003A102D">
        <w:t xml:space="preserve">ommonwealth’s coastal resources, while encouraging intergovernmental coordination and partnerships with a broad constituency. Highlighted below are Virginia CZM Program initiatives that address water quality and focus on education, </w:t>
      </w:r>
      <w:r w:rsidR="00F019C4" w:rsidRPr="003A102D">
        <w:t>monitoring,</w:t>
      </w:r>
      <w:r w:rsidRPr="003A102D">
        <w:t xml:space="preserve"> and restoration of living resources to improve water quality in Virginia’s coastal waters.</w:t>
      </w:r>
    </w:p>
    <w:p w14:paraId="069DC886" w14:textId="77777777" w:rsidR="00714613" w:rsidRPr="003A102D" w:rsidRDefault="00714613" w:rsidP="00AE7B49">
      <w:pPr>
        <w:rPr>
          <w:rFonts w:cstheme="minorHAnsi"/>
          <w:i/>
          <w:szCs w:val="24"/>
        </w:rPr>
      </w:pPr>
    </w:p>
    <w:p w14:paraId="39948772" w14:textId="5FB41A8A" w:rsidR="00714613" w:rsidRPr="00B06A53" w:rsidRDefault="00714613" w:rsidP="00B06A53">
      <w:pPr>
        <w:pStyle w:val="Heading3"/>
      </w:pPr>
      <w:r w:rsidRPr="00B06A53">
        <w:t xml:space="preserve">Virginia CZM Program GIS-Mapping Efforts: Coastal GEMS and Coastal VEVA </w:t>
      </w:r>
    </w:p>
    <w:p w14:paraId="121CFA8E" w14:textId="77777777" w:rsidR="00714613" w:rsidRPr="00B06A53" w:rsidRDefault="00714613" w:rsidP="00B06A53">
      <w:pPr>
        <w:pStyle w:val="Heading4"/>
      </w:pPr>
      <w:r w:rsidRPr="00B06A53">
        <w:t xml:space="preserve">Virginia Coastal Geospatial and Educational Mapping System (GEMS) </w:t>
      </w:r>
    </w:p>
    <w:p w14:paraId="27EFAE79" w14:textId="24D5AF37" w:rsidR="00714613" w:rsidRPr="003A102D" w:rsidRDefault="00714613" w:rsidP="00AE7B49">
      <w:pPr>
        <w:rPr>
          <w:rFonts w:cstheme="minorHAnsi"/>
          <w:szCs w:val="24"/>
        </w:rPr>
      </w:pPr>
      <w:r w:rsidRPr="003A102D">
        <w:rPr>
          <w:rFonts w:cstheme="minorHAnsi"/>
          <w:szCs w:val="24"/>
        </w:rPr>
        <w:t xml:space="preserve">In February 2007, the Virginia CZM Program launched “Coastal GEMS” (Coastal Geospatial and Educational Mapping System). Coastal GEMS integrates and provides access to a wide range of coastal resource data, fact sheets, relevant projects, regulatory information, and important </w:t>
      </w:r>
      <w:r w:rsidRPr="003A102D">
        <w:rPr>
          <w:rFonts w:cstheme="minorHAnsi"/>
          <w:szCs w:val="24"/>
        </w:rPr>
        <w:lastRenderedPageBreak/>
        <w:t>Web links. Coastal GEMS is a robust, one-stop, data gateway for federal, state, and local government decision makers. It facilitates data sharing among governments, NGOs, and the public and promotes standards for environmental data management within the region. Coastal GEMS allows its users to explore and describe patterns and relationships among water and land ecosystem elements across broad (i.e., landscape-level) spatial scales.</w:t>
      </w:r>
    </w:p>
    <w:p w14:paraId="3B60996A" w14:textId="77777777" w:rsidR="00714613" w:rsidRPr="003A102D" w:rsidRDefault="00714613" w:rsidP="00DA465F">
      <w:pPr>
        <w:rPr>
          <w:rFonts w:cstheme="minorHAnsi"/>
          <w:color w:val="000000"/>
          <w:szCs w:val="24"/>
        </w:rPr>
      </w:pPr>
    </w:p>
    <w:p w14:paraId="03EA4ECE" w14:textId="77777777" w:rsidR="00714613" w:rsidRDefault="00714613" w:rsidP="005B7605">
      <w:r w:rsidRPr="003A102D">
        <w:t>The development of Coastal GEMS was a large-scale, multi-partner effort to create a “vision” or map of the ecologically and economically significant aquatic (marine and freshwater) and terrestrial resources found within Virginia’s Coastal Zone. Although spatially displayed data for aquatic and terrestrial ecosystems are becoming more and more accessible through the Internet, often these data are sequestered in different agency and organization websites and are not joined into one central application to allow all users equal and efficient access. The vision was to build this type of access. Seeing the resources in one big picture could simplify the task of connecting local land use planning decisions to state and federal water use policies. A stronger understanding of how activities on the land and in the water affect one another would enable everyone to better protect and manage coastal resources in a logical and sustainable fashion - something critically needed considering today’s increasing development pressures.</w:t>
      </w:r>
    </w:p>
    <w:p w14:paraId="5F219084" w14:textId="77777777" w:rsidR="002A7ED3" w:rsidRDefault="002A7ED3" w:rsidP="005B7605"/>
    <w:p w14:paraId="2FEA1079" w14:textId="77777777" w:rsidR="00714613" w:rsidRPr="003A102D" w:rsidRDefault="00714613" w:rsidP="00AE7B49">
      <w:pPr>
        <w:rPr>
          <w:rFonts w:cstheme="minorHAnsi"/>
          <w:szCs w:val="24"/>
        </w:rPr>
      </w:pPr>
      <w:r w:rsidRPr="003A102D">
        <w:rPr>
          <w:rFonts w:cstheme="minorHAnsi"/>
          <w:szCs w:val="24"/>
        </w:rPr>
        <w:t>The data, which are being incorporated into Coastal GEMS, have been the result of collaborative discussions and data-sharing efforts between many state and local agencies with a vested interest in Virginia’s coastal zone and the Virginia CZM Program will continue to explore opportunities to include additional data layers from partner agencies as they are developed. The Virginia CZM Program has also funded many data development projects, which are represented in Coastal GEMS data layers.</w:t>
      </w:r>
    </w:p>
    <w:p w14:paraId="4186B372" w14:textId="34AFA01B" w:rsidR="00714613" w:rsidRPr="003A102D" w:rsidRDefault="00714613" w:rsidP="00AE7B49">
      <w:pPr>
        <w:rPr>
          <w:rFonts w:cstheme="minorHAnsi"/>
          <w:color w:val="000000"/>
        </w:rPr>
      </w:pPr>
    </w:p>
    <w:p w14:paraId="679EECCF" w14:textId="509DFE74" w:rsidR="00714613" w:rsidRPr="003A102D" w:rsidRDefault="00714613" w:rsidP="00AE7B49">
      <w:pPr>
        <w:rPr>
          <w:rFonts w:cstheme="minorHAnsi"/>
          <w:szCs w:val="24"/>
        </w:rPr>
      </w:pPr>
      <w:r w:rsidRPr="003A102D">
        <w:rPr>
          <w:rFonts w:cstheme="minorHAnsi"/>
          <w:color w:val="000000"/>
          <w:szCs w:val="24"/>
        </w:rPr>
        <w:t xml:space="preserve">The </w:t>
      </w:r>
      <w:r w:rsidRPr="003A102D">
        <w:rPr>
          <w:rFonts w:cstheme="minorHAnsi"/>
          <w:szCs w:val="24"/>
        </w:rPr>
        <w:t xml:space="preserve">availability of adequate coastal resource data is essential to improving decision-making at the state and local level. By </w:t>
      </w:r>
      <w:r w:rsidRPr="003A102D">
        <w:rPr>
          <w:rFonts w:cstheme="minorHAnsi"/>
          <w:color w:val="000000"/>
          <w:szCs w:val="24"/>
        </w:rPr>
        <w:t xml:space="preserve">mapping the best remaining blue and green infrastructure in coastal Virginia, the Virginia CZM Program’s Coastal GEMS website provides an easy-to-access, visual reference for localities where vital coastal resources are located. </w:t>
      </w:r>
      <w:r w:rsidRPr="003A102D">
        <w:rPr>
          <w:rFonts w:cstheme="minorHAnsi"/>
          <w:szCs w:val="24"/>
        </w:rPr>
        <w:t xml:space="preserve">The Virginia CZM Program continues to work closely with the Center for Environmental Studies at Virginia Commonwealth University and all its data-sharing partners to enhance the interface, tools, data, and information within Coastal GEMS. Coastal GEMS is now a dynamic Internet mapping application with aerial imagery, reference data layers such as roads and streams, and over 80 data layers of land and water coastal resources, </w:t>
      </w:r>
      <w:r w:rsidR="007F372D" w:rsidRPr="003A102D">
        <w:rPr>
          <w:rFonts w:cstheme="minorHAnsi"/>
          <w:szCs w:val="24"/>
        </w:rPr>
        <w:t>models,</w:t>
      </w:r>
      <w:r w:rsidRPr="003A102D">
        <w:rPr>
          <w:rFonts w:cstheme="minorHAnsi"/>
          <w:szCs w:val="24"/>
        </w:rPr>
        <w:t xml:space="preserve"> and examples for conservation planning. Unique selection tools allow you to generate tables of coastal resource information for a selected area and mapping tools allow you to easily investigate and navigate through the coastal zone and create maps that can be exported or printed for further use and analysis.</w:t>
      </w:r>
    </w:p>
    <w:p w14:paraId="56EFBD94" w14:textId="77777777" w:rsidR="00714613" w:rsidRPr="003A102D" w:rsidRDefault="00714613" w:rsidP="00AE7B49">
      <w:pPr>
        <w:jc w:val="both"/>
        <w:rPr>
          <w:rFonts w:cstheme="minorHAnsi"/>
          <w:szCs w:val="24"/>
        </w:rPr>
      </w:pPr>
    </w:p>
    <w:p w14:paraId="70AE5952" w14:textId="0B33941C" w:rsidR="00714613" w:rsidRPr="00543280" w:rsidRDefault="00714613" w:rsidP="00543280">
      <w:pPr>
        <w:rPr>
          <w:rFonts w:cstheme="minorHAnsi"/>
          <w:color w:val="000000"/>
          <w:szCs w:val="24"/>
        </w:rPr>
      </w:pPr>
      <w:r w:rsidRPr="003A102D">
        <w:rPr>
          <w:rFonts w:cstheme="minorHAnsi"/>
          <w:szCs w:val="24"/>
        </w:rPr>
        <w:t xml:space="preserve">The divisions of state and local management of Virginia’s coastal resources are complex and difficult for the </w:t>
      </w:r>
      <w:r w:rsidR="000102D0" w:rsidRPr="003A102D">
        <w:rPr>
          <w:rFonts w:cstheme="minorHAnsi"/>
          <w:szCs w:val="24"/>
        </w:rPr>
        <w:t>public</w:t>
      </w:r>
      <w:r w:rsidRPr="003A102D">
        <w:rPr>
          <w:rFonts w:cstheme="minorHAnsi"/>
          <w:szCs w:val="24"/>
        </w:rPr>
        <w:t xml:space="preserve"> to understand. In addition to the mapping component of Coastal GEMS, the Virginia CZM Program created “fact sheets” for each data layer to break down the complexity of coastal resource management. </w:t>
      </w:r>
      <w:r w:rsidRPr="003A102D">
        <w:rPr>
          <w:rFonts w:cstheme="minorHAnsi"/>
          <w:color w:val="000000"/>
          <w:szCs w:val="24"/>
        </w:rPr>
        <w:t>The fact sheets provide brief information and links to in-depth information on:</w:t>
      </w:r>
    </w:p>
    <w:p w14:paraId="6BA58045" w14:textId="77777777" w:rsidR="00714613" w:rsidRPr="003A102D" w:rsidRDefault="00714613">
      <w:pPr>
        <w:pStyle w:val="ListParagraph"/>
        <w:numPr>
          <w:ilvl w:val="0"/>
          <w:numId w:val="22"/>
        </w:numPr>
      </w:pPr>
      <w:r w:rsidRPr="003A102D">
        <w:lastRenderedPageBreak/>
        <w:t xml:space="preserve">The value of the resource (ecological, economic, and social). </w:t>
      </w:r>
    </w:p>
    <w:p w14:paraId="4736BD0B" w14:textId="77777777" w:rsidR="00714613" w:rsidRPr="003A102D" w:rsidRDefault="00714613">
      <w:pPr>
        <w:pStyle w:val="ListParagraph"/>
        <w:numPr>
          <w:ilvl w:val="0"/>
          <w:numId w:val="22"/>
        </w:numPr>
      </w:pPr>
      <w:r w:rsidRPr="003A102D">
        <w:t xml:space="preserve">Management of the </w:t>
      </w:r>
      <w:proofErr w:type="gramStart"/>
      <w:r w:rsidRPr="003A102D">
        <w:t>resource</w:t>
      </w:r>
      <w:proofErr w:type="gramEnd"/>
      <w:r w:rsidRPr="003A102D">
        <w:t xml:space="preserve"> (at local, state, and federal levels). </w:t>
      </w:r>
    </w:p>
    <w:p w14:paraId="19FF3114" w14:textId="77777777" w:rsidR="00714613" w:rsidRPr="003A102D" w:rsidRDefault="00714613">
      <w:pPr>
        <w:pStyle w:val="ListParagraph"/>
        <w:numPr>
          <w:ilvl w:val="0"/>
          <w:numId w:val="22"/>
        </w:numPr>
      </w:pPr>
      <w:r w:rsidRPr="003A102D">
        <w:t xml:space="preserve">Why and how the data was developed. </w:t>
      </w:r>
    </w:p>
    <w:p w14:paraId="6E0A9D30" w14:textId="77777777" w:rsidR="00714613" w:rsidRPr="003A102D" w:rsidRDefault="00714613">
      <w:pPr>
        <w:pStyle w:val="ListParagraph"/>
        <w:numPr>
          <w:ilvl w:val="0"/>
          <w:numId w:val="22"/>
        </w:numPr>
      </w:pPr>
      <w:r w:rsidRPr="003A102D">
        <w:t xml:space="preserve">How to directly download the data or who to contact to obtain the dataset. </w:t>
      </w:r>
    </w:p>
    <w:p w14:paraId="283D1ADF" w14:textId="77777777" w:rsidR="00714613" w:rsidRPr="003A102D" w:rsidRDefault="00714613">
      <w:pPr>
        <w:pStyle w:val="ListParagraph"/>
        <w:numPr>
          <w:ilvl w:val="0"/>
          <w:numId w:val="22"/>
        </w:numPr>
      </w:pPr>
      <w:r w:rsidRPr="003A102D">
        <w:t xml:space="preserve">Future directions if the data is associated with a long-term funded project. </w:t>
      </w:r>
    </w:p>
    <w:p w14:paraId="4B3CAE29" w14:textId="7D2F4F22" w:rsidR="00714613" w:rsidRPr="003A102D" w:rsidRDefault="00714613">
      <w:pPr>
        <w:pStyle w:val="ListParagraph"/>
        <w:numPr>
          <w:ilvl w:val="0"/>
          <w:numId w:val="22"/>
        </w:numPr>
      </w:pPr>
      <w:r w:rsidRPr="003A102D">
        <w:t xml:space="preserve">Frequently asked questions received from the </w:t>
      </w:r>
      <w:r w:rsidR="000102D0" w:rsidRPr="003A102D">
        <w:t>public</w:t>
      </w:r>
      <w:r w:rsidRPr="003A102D">
        <w:t xml:space="preserve">. </w:t>
      </w:r>
    </w:p>
    <w:p w14:paraId="71F229DE" w14:textId="77777777" w:rsidR="00714613" w:rsidRPr="003A102D" w:rsidRDefault="00714613" w:rsidP="00AE7B49">
      <w:pPr>
        <w:rPr>
          <w:rFonts w:cstheme="minorHAnsi"/>
          <w:color w:val="000000"/>
          <w:szCs w:val="24"/>
        </w:rPr>
      </w:pPr>
    </w:p>
    <w:p w14:paraId="723D14B8" w14:textId="7E03E71D" w:rsidR="00714613" w:rsidRPr="00B06A53" w:rsidRDefault="00714613" w:rsidP="00B06A53">
      <w:pPr>
        <w:pStyle w:val="Heading4"/>
      </w:pPr>
      <w:r w:rsidRPr="00B06A53">
        <w:t>Coastal GEMS Version 4 Now Available</w:t>
      </w:r>
    </w:p>
    <w:p w14:paraId="18E2C0DE" w14:textId="797D01A9" w:rsidR="00714613" w:rsidRPr="009B5FF2" w:rsidRDefault="00714613" w:rsidP="009B5FF2">
      <w:pPr>
        <w:rPr>
          <w:rFonts w:cstheme="minorHAnsi"/>
          <w:szCs w:val="24"/>
        </w:rPr>
      </w:pPr>
      <w:r w:rsidRPr="003A102D">
        <w:rPr>
          <w:rFonts w:cstheme="minorHAnsi"/>
          <w:szCs w:val="24"/>
        </w:rPr>
        <w:t xml:space="preserve">Since its inception, Coastal GEMS was always more than just a map. The launch of Coastal GEMS version 4 takes this concept to a new level. The mapping application is still the focus, and v4 includes an entirely new mapping interface with powerful new functionalities that we will cover later in this article. The v4 mapping application </w:t>
      </w:r>
      <w:r w:rsidR="00CC41F6">
        <w:rPr>
          <w:rFonts w:cstheme="minorHAnsi"/>
          <w:szCs w:val="24"/>
        </w:rPr>
        <w:t>can be accessed at</w:t>
      </w:r>
      <w:r w:rsidR="0057617A">
        <w:rPr>
          <w:rFonts w:cstheme="minorHAnsi"/>
          <w:szCs w:val="24"/>
        </w:rPr>
        <w:t xml:space="preserve"> the DEQ Coastal GEMS webpage</w:t>
      </w:r>
      <w:r w:rsidRPr="003A102D">
        <w:rPr>
          <w:rFonts w:cstheme="minorHAnsi"/>
          <w:szCs w:val="24"/>
        </w:rPr>
        <w:t xml:space="preserve">, where you can launch the mapping application, explore our growing collection of story maps, or browse the new Coastal GEMS data library. Together these new products have transformed Coastal GEMS into a full-fledged data portal. </w:t>
      </w:r>
      <w:r w:rsidR="00930FC7">
        <w:rPr>
          <w:rFonts w:cstheme="minorHAnsi"/>
          <w:szCs w:val="24"/>
        </w:rPr>
        <w:t xml:space="preserve">More information including a </w:t>
      </w:r>
      <w:r w:rsidR="009B5FF2">
        <w:rPr>
          <w:rFonts w:cstheme="minorHAnsi"/>
          <w:szCs w:val="24"/>
        </w:rPr>
        <w:t xml:space="preserve">Coastal GEMS v4 fact sheet can be found on the </w:t>
      </w:r>
      <w:r w:rsidR="00624FAF">
        <w:rPr>
          <w:rFonts w:cstheme="minorHAnsi"/>
          <w:szCs w:val="24"/>
        </w:rPr>
        <w:t xml:space="preserve">DEQ </w:t>
      </w:r>
      <w:r w:rsidR="009B5FF2">
        <w:rPr>
          <w:rFonts w:cstheme="minorHAnsi"/>
          <w:szCs w:val="24"/>
        </w:rPr>
        <w:t xml:space="preserve">Mapping Virginia’s Coastal </w:t>
      </w:r>
      <w:r w:rsidR="00624FAF">
        <w:rPr>
          <w:rFonts w:cstheme="minorHAnsi"/>
          <w:szCs w:val="24"/>
        </w:rPr>
        <w:t>R</w:t>
      </w:r>
      <w:r w:rsidR="009B5FF2">
        <w:rPr>
          <w:rFonts w:cstheme="minorHAnsi"/>
          <w:szCs w:val="24"/>
        </w:rPr>
        <w:t>esources webpage</w:t>
      </w:r>
      <w:r w:rsidR="00624FAF">
        <w:rPr>
          <w:rFonts w:cstheme="minorHAnsi"/>
          <w:szCs w:val="24"/>
        </w:rPr>
        <w:t>.</w:t>
      </w:r>
      <w:r w:rsidRPr="003A102D">
        <w:rPr>
          <w:rFonts w:cstheme="minorHAnsi"/>
          <w:szCs w:val="24"/>
        </w:rPr>
        <w:br/>
      </w:r>
    </w:p>
    <w:p w14:paraId="000FAD48" w14:textId="3505BB01" w:rsidR="00714613" w:rsidRPr="00B06A53" w:rsidRDefault="00714613" w:rsidP="00B06A53">
      <w:pPr>
        <w:pStyle w:val="Heading4"/>
      </w:pPr>
      <w:r w:rsidRPr="00B06A53">
        <w:t>Coastal Virginia Ecological Value Assessment (VEVA)</w:t>
      </w:r>
    </w:p>
    <w:p w14:paraId="6142A04B" w14:textId="2C256D3F" w:rsidR="00F90442" w:rsidRDefault="00714613" w:rsidP="00AE7B49">
      <w:pPr>
        <w:rPr>
          <w:rFonts w:cstheme="minorHAnsi"/>
          <w:szCs w:val="24"/>
        </w:rPr>
      </w:pPr>
      <w:r w:rsidRPr="003A102D">
        <w:rPr>
          <w:rFonts w:cstheme="minorHAnsi"/>
          <w:szCs w:val="24"/>
        </w:rPr>
        <w:t xml:space="preserve">Many years ago, the Virginia CZM Program envisioned a comprehensive planning tool that would streamline </w:t>
      </w:r>
      <w:proofErr w:type="gramStart"/>
      <w:r w:rsidRPr="003A102D">
        <w:rPr>
          <w:rFonts w:cstheme="minorHAnsi"/>
          <w:szCs w:val="24"/>
        </w:rPr>
        <w:t>use</w:t>
      </w:r>
      <w:proofErr w:type="gramEnd"/>
      <w:r w:rsidRPr="003A102D">
        <w:rPr>
          <w:rFonts w:cstheme="minorHAnsi"/>
          <w:szCs w:val="24"/>
        </w:rPr>
        <w:t xml:space="preserve"> of all state natural resource information into a single data set facilitating regional and local land-use management and conservation planning in the coastal zone. A collaborative effort led and funded by Virginia CZM culminated in FY 2010. This effort included key natural resource agencies and resulted in the Coastal Virginia Ecological Value Assessment (VEVA). Coastal VEVA integrates elements of more than 40 different data sets funded by the Virginia CZM Program alone, totaling approximately $1.3M.</w:t>
      </w:r>
      <w:r w:rsidR="00F90442">
        <w:rPr>
          <w:rFonts w:cstheme="minorHAnsi"/>
          <w:szCs w:val="24"/>
        </w:rPr>
        <w:br/>
      </w:r>
    </w:p>
    <w:p w14:paraId="6487A17A" w14:textId="2A898176" w:rsidR="00F90442" w:rsidRPr="00F90442" w:rsidRDefault="00714613" w:rsidP="00AE7B49">
      <w:pPr>
        <w:rPr>
          <w:rFonts w:cstheme="minorHAnsi"/>
          <w:szCs w:val="24"/>
        </w:rPr>
      </w:pPr>
      <w:r w:rsidRPr="003A102D">
        <w:rPr>
          <w:rFonts w:cstheme="minorHAnsi"/>
          <w:noProof/>
          <w:color w:val="000000"/>
          <w:szCs w:val="24"/>
        </w:rPr>
        <w:lastRenderedPageBreak/>
        <w:drawing>
          <wp:inline distT="0" distB="0" distL="0" distR="0" wp14:anchorId="44103AA7" wp14:editId="30BEBB03">
            <wp:extent cx="3613709" cy="4617516"/>
            <wp:effectExtent l="0" t="0" r="6350" b="0"/>
            <wp:docPr id="1271347975" name="Picture 1271347975" descr="Coastal VEVA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47975" name="Picture 1271347975" descr="Coastal VEVA screenshot"/>
                    <pic:cNvPicPr/>
                  </pic:nvPicPr>
                  <pic:blipFill>
                    <a:blip r:embed="rId243" cstate="print">
                      <a:extLst>
                        <a:ext uri="{28A0092B-C50C-407E-A947-70E740481C1C}">
                          <a14:useLocalDpi xmlns:a14="http://schemas.microsoft.com/office/drawing/2010/main"/>
                        </a:ext>
                      </a:extLst>
                    </a:blip>
                    <a:stretch>
                      <a:fillRect/>
                    </a:stretch>
                  </pic:blipFill>
                  <pic:spPr>
                    <a:xfrm>
                      <a:off x="0" y="0"/>
                      <a:ext cx="3641559" cy="4653102"/>
                    </a:xfrm>
                    <a:prstGeom prst="rect">
                      <a:avLst/>
                    </a:prstGeom>
                  </pic:spPr>
                </pic:pic>
              </a:graphicData>
            </a:graphic>
          </wp:inline>
        </w:drawing>
      </w:r>
    </w:p>
    <w:p w14:paraId="0D90B77E" w14:textId="1D698613" w:rsidR="00714613" w:rsidRPr="003A102D" w:rsidRDefault="00F90442" w:rsidP="00AE7B49">
      <w:pPr>
        <w:pStyle w:val="Caption"/>
        <w:spacing w:after="0"/>
        <w:rPr>
          <w:rFonts w:cstheme="minorHAnsi"/>
          <w:color w:val="000000"/>
          <w:sz w:val="24"/>
          <w:szCs w:val="24"/>
        </w:rPr>
      </w:pPr>
      <w:bookmarkStart w:id="439" w:name="_Toc152766324"/>
      <w:bookmarkStart w:id="440" w:name="_Toc164175146"/>
      <w:r>
        <w:t xml:space="preserve">Figure </w:t>
      </w:r>
      <w:r w:rsidR="004F13BA">
        <w:fldChar w:fldCharType="begin"/>
      </w:r>
      <w:r w:rsidR="004F13BA">
        <w:instrText xml:space="preserve"> STYLEREF 2 \s </w:instrText>
      </w:r>
      <w:r w:rsidR="004F13BA">
        <w:fldChar w:fldCharType="separate"/>
      </w:r>
      <w:r w:rsidR="00E429BB">
        <w:rPr>
          <w:noProof/>
        </w:rPr>
        <w:t>6.7</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3</w:t>
      </w:r>
      <w:r w:rsidR="004F13BA">
        <w:rPr>
          <w:noProof/>
        </w:rPr>
        <w:fldChar w:fldCharType="end"/>
      </w:r>
      <w:r>
        <w:t xml:space="preserve">. </w:t>
      </w:r>
      <w:r w:rsidRPr="006A1471">
        <w:t>Coastal VEVA Screenshot</w:t>
      </w:r>
      <w:r w:rsidR="00F019C4">
        <w:t>.</w:t>
      </w:r>
      <w:bookmarkEnd w:id="439"/>
      <w:bookmarkEnd w:id="440"/>
    </w:p>
    <w:p w14:paraId="2B06A8D5" w14:textId="77777777" w:rsidR="00714613" w:rsidRPr="003A102D" w:rsidRDefault="00714613" w:rsidP="00D12BB6"/>
    <w:p w14:paraId="3987AE93" w14:textId="6944F3ED" w:rsidR="00714613" w:rsidRPr="003A102D" w:rsidRDefault="00714613" w:rsidP="00AE7B49">
      <w:pPr>
        <w:pStyle w:val="NormalWeb"/>
        <w:spacing w:before="0" w:beforeAutospacing="0" w:after="0" w:afterAutospacing="0"/>
        <w:rPr>
          <w:rFonts w:asciiTheme="minorHAnsi" w:hAnsiTheme="minorHAnsi" w:cstheme="minorHAnsi"/>
          <w:color w:val="000000"/>
        </w:rPr>
      </w:pPr>
      <w:r w:rsidRPr="003A102D">
        <w:rPr>
          <w:rFonts w:asciiTheme="minorHAnsi" w:hAnsiTheme="minorHAnsi" w:cstheme="minorHAnsi"/>
          <w:color w:val="000000"/>
        </w:rPr>
        <w:t xml:space="preserve">Research and data collection that ultimately became the foundation for VEVA began in 1988 with CZM funded conservation planning in Virginia’s Lower Peninsula. Following this effort and throughout the 1990’s, Virginia CZM funded natural heritage inventories </w:t>
      </w:r>
      <w:r w:rsidRPr="003A102D">
        <w:rPr>
          <w:rFonts w:asciiTheme="minorHAnsi" w:hAnsiTheme="minorHAnsi" w:cstheme="minorHAnsi"/>
        </w:rPr>
        <w:t xml:space="preserve">in the lower Chickahominy watershed, </w:t>
      </w:r>
      <w:r w:rsidRPr="003A102D">
        <w:rPr>
          <w:rFonts w:asciiTheme="minorHAnsi" w:hAnsiTheme="minorHAnsi" w:cstheme="minorHAnsi"/>
          <w:color w:val="000000"/>
        </w:rPr>
        <w:t>Virginia Beach, the Albemarle-Pamlico Estuarine region and Northampton County as well as an interstate study of the Neotropical Migratory songbird corridor in New Jersey, Delaware, Maryland</w:t>
      </w:r>
      <w:r w:rsidR="00F90442">
        <w:rPr>
          <w:rFonts w:asciiTheme="minorHAnsi" w:hAnsiTheme="minorHAnsi" w:cstheme="minorHAnsi"/>
          <w:color w:val="000000"/>
        </w:rPr>
        <w:t>,</w:t>
      </w:r>
      <w:r w:rsidRPr="003A102D">
        <w:rPr>
          <w:rFonts w:asciiTheme="minorHAnsi" w:hAnsiTheme="minorHAnsi" w:cstheme="minorHAnsi"/>
          <w:color w:val="000000"/>
        </w:rPr>
        <w:t xml:space="preserve"> and Virginia.</w:t>
      </w:r>
    </w:p>
    <w:p w14:paraId="254103E9" w14:textId="77777777" w:rsidR="00714613" w:rsidRPr="003A102D" w:rsidRDefault="00714613" w:rsidP="00AE7B49">
      <w:pPr>
        <w:jc w:val="both"/>
        <w:rPr>
          <w:rFonts w:cstheme="minorHAnsi"/>
          <w:szCs w:val="24"/>
        </w:rPr>
      </w:pPr>
    </w:p>
    <w:p w14:paraId="4A3FD890" w14:textId="697FD82A" w:rsidR="00714613" w:rsidRPr="003A102D" w:rsidRDefault="00714613" w:rsidP="00AE7B49">
      <w:pPr>
        <w:rPr>
          <w:rFonts w:cstheme="minorHAnsi"/>
          <w:szCs w:val="24"/>
        </w:rPr>
      </w:pPr>
      <w:r w:rsidRPr="003A102D">
        <w:rPr>
          <w:rFonts w:cstheme="minorHAnsi"/>
          <w:szCs w:val="24"/>
        </w:rPr>
        <w:t xml:space="preserve">The idea of creating a synthesis of the multitude of this and other contributing state natural resource data layers was brought up at a 2001 Coastal Partners Workshop. Participants agreed that the Virginia CZM Program should create a map of the best remaining coastal lands and waters, in other words the best remaining “green” and “blue” infrastructure. In response, the Virginia CZM Program crafted a Section 309 strategy beginning in FY 2003 that focused on data collection and data synthesis. Grants were awarded to DCR/Natural Heritage for priority conservation areas, to VCU for in-stream assessments, and to VIMS for blue infrastructure maps. In 2008 work began on synthesizing the blue and green infrastructure layers. The Virginia Department of Wildlife Resources (DWR), Virginia Department of Conservation and Recreation – Division of Natural Heritage (DCR-DNH), and Virginia Commonwealth University – Center for </w:t>
      </w:r>
      <w:r w:rsidRPr="003A102D">
        <w:rPr>
          <w:rFonts w:cstheme="minorHAnsi"/>
          <w:szCs w:val="24"/>
        </w:rPr>
        <w:lastRenderedPageBreak/>
        <w:t>Environmental Studies (VCU-CES) collaborated to combine conservation information and priorities into a unified dataset of priority conservation areas. While the PCA assessed priorities on land, incorporating both stream and watershed health, it did not include all ecologically valuable regions within Virginia’s tidal waters. Coastal VEVA builds on the PCA and incorporates an assessment of estuarine natural resources recognizing that ecological value of Virginia’s coastal lands and waters are inextricably linked—with land use decisions on the upland ultimately affecting water quality and habitat health in receiving waters</w:t>
      </w:r>
      <w:r w:rsidR="00253803">
        <w:rPr>
          <w:rFonts w:cstheme="minorHAnsi"/>
          <w:szCs w:val="24"/>
        </w:rPr>
        <w:t xml:space="preserve"> </w:t>
      </w:r>
      <w:r w:rsidR="00647660">
        <w:rPr>
          <w:rFonts w:cstheme="minorHAnsi"/>
          <w:szCs w:val="24"/>
        </w:rPr>
        <w:t>(Figure 6.7-4)</w:t>
      </w:r>
      <w:r w:rsidRPr="003A102D">
        <w:rPr>
          <w:rFonts w:cstheme="minorHAnsi"/>
          <w:szCs w:val="24"/>
        </w:rPr>
        <w:t>. The estuarine component was produced by VIMS College of William and Mary Center for Coastal Resource Management through a series of grants. Coastal VEVA is defined as lands, aquatic resources and surface waters identified as important for conservation of Virginia's wildlife, plants, and aquatic and natural communities. The identified lands, aquatic resources and waters can be used to prioritize areas for preservation, protection</w:t>
      </w:r>
      <w:r w:rsidR="00B06A53">
        <w:rPr>
          <w:rFonts w:cstheme="minorHAnsi"/>
          <w:szCs w:val="24"/>
        </w:rPr>
        <w:t>,</w:t>
      </w:r>
      <w:r w:rsidRPr="003A102D">
        <w:rPr>
          <w:rFonts w:cstheme="minorHAnsi"/>
          <w:szCs w:val="24"/>
        </w:rPr>
        <w:t xml:space="preserve"> or specific management action.</w:t>
      </w:r>
    </w:p>
    <w:p w14:paraId="0E63DAC4" w14:textId="77777777" w:rsidR="00714613" w:rsidRPr="003A102D" w:rsidRDefault="00714613" w:rsidP="00AE7B49">
      <w:pPr>
        <w:jc w:val="both"/>
        <w:rPr>
          <w:rFonts w:cstheme="minorHAnsi"/>
          <w:szCs w:val="24"/>
        </w:rPr>
      </w:pPr>
    </w:p>
    <w:p w14:paraId="734B4AF1" w14:textId="77777777" w:rsidR="000102D0" w:rsidRDefault="00714613" w:rsidP="00AE7B49">
      <w:pPr>
        <w:rPr>
          <w:rFonts w:cstheme="minorHAnsi"/>
          <w:szCs w:val="24"/>
        </w:rPr>
      </w:pPr>
      <w:r w:rsidRPr="003A102D">
        <w:rPr>
          <w:rFonts w:cstheme="minorHAnsi"/>
          <w:szCs w:val="24"/>
        </w:rPr>
        <w:t xml:space="preserve">An update to Coastal VEVA was completed in 2017 through Virginia CZM Program funding to DCR-DNH, DWR, and VCU CES. DCR-DNH updated their Virginia Natural Landscape Assessment (using the 2011 NLCD and much more extensive fragmentation layers) and DWR updated their Priority Wildlife Diversity Conservation Areas synthesis (including updates to their Anadromous Fish Use Waters and Unique Terrestrial and Aquatic Areas datasets as well as the inclusion of new Terrestrial and Aquatic Potential Habitats data from the North Atlantic Landscape Conservation Cooperative). VCU CES updated their Aquatic Resource Integrity Layer and worked with VIMS staff to update the Aquatic Priority Conservation Areas layer (including updated data for SAV, Shellfish Vulnerability, and Sea Turtle Nests). VCU CES then compiled </w:t>
      </w:r>
      <w:proofErr w:type="gramStart"/>
      <w:r w:rsidRPr="003A102D">
        <w:rPr>
          <w:rFonts w:cstheme="minorHAnsi"/>
          <w:szCs w:val="24"/>
        </w:rPr>
        <w:t>all of</w:t>
      </w:r>
      <w:proofErr w:type="gramEnd"/>
      <w:r w:rsidRPr="003A102D">
        <w:rPr>
          <w:rFonts w:cstheme="minorHAnsi"/>
          <w:szCs w:val="24"/>
        </w:rPr>
        <w:t xml:space="preserve"> the data and ran the VEVA model update. All partners agreed to retain the 30m resolution of the 2017 Coastal VEVA instead of 100m used in previous version. The 30m version does not reveal sensitive areas as previously thought and will be a more useful product for local scale conservation planning.</w:t>
      </w:r>
    </w:p>
    <w:p w14:paraId="14346D26" w14:textId="77777777" w:rsidR="000102D0" w:rsidRDefault="000102D0" w:rsidP="00AE7B49">
      <w:pPr>
        <w:rPr>
          <w:rFonts w:cstheme="minorHAnsi"/>
          <w:szCs w:val="24"/>
        </w:rPr>
      </w:pPr>
    </w:p>
    <w:p w14:paraId="1099D6F8" w14:textId="5C4C6A1B" w:rsidR="00554621" w:rsidRDefault="00554621" w:rsidP="00554621">
      <w:pPr>
        <w:pStyle w:val="Heading3"/>
      </w:pPr>
      <w:r>
        <w:t>Virginia Coastal Nonpoint Source Pollution Program</w:t>
      </w:r>
    </w:p>
    <w:p w14:paraId="225D0574" w14:textId="0FF4CE30" w:rsidR="00714613" w:rsidRPr="00554621" w:rsidRDefault="00BD551F" w:rsidP="00E27C11">
      <w:pPr>
        <w:rPr>
          <w:rFonts w:cstheme="minorHAnsi"/>
          <w:szCs w:val="24"/>
        </w:rPr>
      </w:pPr>
      <w:r w:rsidRPr="00554621">
        <w:t>I</w:t>
      </w:r>
      <w:r w:rsidR="00714613" w:rsidRPr="00554621">
        <w:t>n 2001, Virginia became the sixth state to receive full approval of its Coastal Nonpoint Pollution Control Program from NOAA and EPA. Development of the program was initiated in the fall of 1992 in response to Section 6217 of the Coastal Zone Management Act Reauthorization Amendments of 1990. Section 6217 of the Act requires that states with an approved coastal zone management program, develop a Coastal Nonpoint Source Pollution Control Program. The statute is meant to restore and protect coastal water quality through the application of economically achievable "best management practices" implemented through enforceable state policies and mechanisms. The federal government defines state enforceable policies and mechanisms as state and local regulatory controls and/or non-regulatory incentive programs combined with state enforcement authority.</w:t>
      </w:r>
    </w:p>
    <w:p w14:paraId="65A6F154" w14:textId="169BE2EE" w:rsidR="00714613" w:rsidRPr="003A102D" w:rsidRDefault="00714613" w:rsidP="00E1595A">
      <w:pPr>
        <w:rPr>
          <w:rFonts w:cstheme="minorHAnsi"/>
          <w:szCs w:val="24"/>
        </w:rPr>
      </w:pPr>
    </w:p>
    <w:p w14:paraId="50851A93" w14:textId="755D766F" w:rsidR="00714613" w:rsidRPr="003A102D" w:rsidRDefault="00714613" w:rsidP="00AE7B49">
      <w:pPr>
        <w:rPr>
          <w:rFonts w:cstheme="minorHAnsi"/>
          <w:szCs w:val="24"/>
        </w:rPr>
      </w:pPr>
      <w:r w:rsidRPr="003A102D">
        <w:rPr>
          <w:rFonts w:cstheme="minorHAnsi"/>
          <w:szCs w:val="24"/>
        </w:rPr>
        <w:t xml:space="preserve">There are 56 management measures contained in the </w:t>
      </w:r>
      <w:r w:rsidRPr="003A102D">
        <w:rPr>
          <w:rFonts w:cstheme="minorHAnsi"/>
          <w:i/>
          <w:color w:val="000000"/>
          <w:szCs w:val="24"/>
        </w:rPr>
        <w:t>Guidance Specifying Management Measures for Sources of Nonpoint Pollution in Coastal Waters</w:t>
      </w:r>
      <w:r w:rsidRPr="003A102D">
        <w:rPr>
          <w:rFonts w:cstheme="minorHAnsi"/>
          <w:szCs w:val="24"/>
        </w:rPr>
        <w:t xml:space="preserve">, a comprehensive technical document issued by EPA on methods to abate and control nonpoint pollution in coastal areas. </w:t>
      </w:r>
      <w:r w:rsidRPr="003A102D">
        <w:rPr>
          <w:rFonts w:cstheme="minorHAnsi"/>
          <w:szCs w:val="24"/>
        </w:rPr>
        <w:lastRenderedPageBreak/>
        <w:t xml:space="preserve">The chapters include management measures in the following areas: agriculture, forestry, urban areas, </w:t>
      </w:r>
      <w:r w:rsidR="005E01DC" w:rsidRPr="003A102D">
        <w:rPr>
          <w:rFonts w:cstheme="minorHAnsi"/>
          <w:szCs w:val="24"/>
        </w:rPr>
        <w:t>marinas,</w:t>
      </w:r>
      <w:r w:rsidRPr="003A102D">
        <w:rPr>
          <w:rFonts w:cstheme="minorHAnsi"/>
          <w:szCs w:val="24"/>
        </w:rPr>
        <w:t xml:space="preserve"> and recreational boating, and hydromodification (channelization and channel modification, dams and streambank and shoreline erosion).</w:t>
      </w:r>
    </w:p>
    <w:p w14:paraId="1D596B4C" w14:textId="77777777" w:rsidR="00714613" w:rsidRPr="003A102D" w:rsidRDefault="00714613" w:rsidP="00AE7B49">
      <w:pPr>
        <w:rPr>
          <w:rFonts w:cstheme="minorHAnsi"/>
          <w:color w:val="000000"/>
          <w:szCs w:val="24"/>
        </w:rPr>
      </w:pPr>
    </w:p>
    <w:p w14:paraId="0A75F9AF" w14:textId="77777777" w:rsidR="00714613" w:rsidRPr="003A102D" w:rsidRDefault="00714613" w:rsidP="00AE7B49">
      <w:pPr>
        <w:rPr>
          <w:rFonts w:cstheme="minorHAnsi"/>
          <w:color w:val="000000"/>
          <w:szCs w:val="24"/>
        </w:rPr>
      </w:pPr>
      <w:r w:rsidRPr="003A102D">
        <w:rPr>
          <w:rFonts w:cstheme="minorHAnsi"/>
          <w:color w:val="000000"/>
          <w:szCs w:val="24"/>
        </w:rPr>
        <w:t>To gain approval of its Coastal Nonpoint Pollution Control Program, Virginia was required to show that:</w:t>
      </w:r>
    </w:p>
    <w:p w14:paraId="6AF87574" w14:textId="5DFAA278" w:rsidR="00714613" w:rsidRPr="003A102D" w:rsidRDefault="00714613">
      <w:pPr>
        <w:pStyle w:val="ListParagraph"/>
        <w:numPr>
          <w:ilvl w:val="0"/>
          <w:numId w:val="24"/>
        </w:numPr>
      </w:pPr>
      <w:r w:rsidRPr="003A102D">
        <w:t xml:space="preserve">State programs include appropriate management measures (defined in the above guidance) to control NPS </w:t>
      </w:r>
      <w:proofErr w:type="gramStart"/>
      <w:r w:rsidRPr="003A102D">
        <w:t>pollution;</w:t>
      </w:r>
      <w:proofErr w:type="gramEnd"/>
    </w:p>
    <w:p w14:paraId="58BEDCE6" w14:textId="06792CD6" w:rsidR="00714613" w:rsidRPr="003A102D" w:rsidRDefault="00714613">
      <w:pPr>
        <w:pStyle w:val="ListParagraph"/>
        <w:numPr>
          <w:ilvl w:val="0"/>
          <w:numId w:val="24"/>
        </w:numPr>
      </w:pPr>
      <w:r w:rsidRPr="003A102D">
        <w:t xml:space="preserve">The state has a means of implementing the management measures, </w:t>
      </w:r>
      <w:proofErr w:type="gramStart"/>
      <w:r w:rsidRPr="003A102D">
        <w:t>and;</w:t>
      </w:r>
      <w:proofErr w:type="gramEnd"/>
    </w:p>
    <w:p w14:paraId="2D2D43D7" w14:textId="71B9BE38" w:rsidR="00714613" w:rsidRPr="003A102D" w:rsidRDefault="00714613">
      <w:pPr>
        <w:pStyle w:val="ListParagraph"/>
        <w:numPr>
          <w:ilvl w:val="0"/>
          <w:numId w:val="24"/>
        </w:numPr>
      </w:pPr>
      <w:r w:rsidRPr="003A102D">
        <w:t>The state has sufficient statutory authority and enforcement capabilities to ensure implementation of management measures to reduce NPS pollution impacts on coastal resources.</w:t>
      </w:r>
    </w:p>
    <w:p w14:paraId="3C90523E" w14:textId="77777777" w:rsidR="00714613" w:rsidRPr="003A102D" w:rsidRDefault="00714613" w:rsidP="00F57CC3"/>
    <w:p w14:paraId="01E84804" w14:textId="051CB81B" w:rsidR="00714613" w:rsidRPr="00A7133E" w:rsidRDefault="00714613" w:rsidP="00A7133E">
      <w:r w:rsidRPr="003A102D">
        <w:t xml:space="preserve">With approval of its Coastal Nonpoint Pollution Control Program, Virginia remains eligible for full funding under the Coastal Zone Management Act and Section 319 of the Clean Water Act. </w:t>
      </w:r>
    </w:p>
    <w:p w14:paraId="471F6AE3" w14:textId="77777777" w:rsidR="00714613" w:rsidRPr="003A102D" w:rsidRDefault="00714613" w:rsidP="00AE7B49">
      <w:pPr>
        <w:rPr>
          <w:rFonts w:cstheme="minorHAnsi"/>
          <w:szCs w:val="24"/>
        </w:rPr>
      </w:pPr>
      <w:proofErr w:type="gramStart"/>
      <w:r w:rsidRPr="003A102D">
        <w:rPr>
          <w:rFonts w:cstheme="minorHAnsi"/>
          <w:szCs w:val="24"/>
        </w:rPr>
        <w:t>Following</w:t>
      </w:r>
      <w:proofErr w:type="gramEnd"/>
      <w:r w:rsidRPr="003A102D">
        <w:rPr>
          <w:rFonts w:cstheme="minorHAnsi"/>
          <w:szCs w:val="24"/>
        </w:rPr>
        <w:t xml:space="preserve"> </w:t>
      </w:r>
      <w:proofErr w:type="gramStart"/>
      <w:r w:rsidRPr="003A102D">
        <w:rPr>
          <w:rFonts w:cstheme="minorHAnsi"/>
          <w:szCs w:val="24"/>
        </w:rPr>
        <w:t>are</w:t>
      </w:r>
      <w:proofErr w:type="gramEnd"/>
      <w:r w:rsidRPr="003A102D">
        <w:rPr>
          <w:rFonts w:cstheme="minorHAnsi"/>
          <w:szCs w:val="24"/>
        </w:rPr>
        <w:t xml:space="preserve"> some of the projects that contributed to the approval of Virginia’s Program:</w:t>
      </w:r>
    </w:p>
    <w:p w14:paraId="1B547178" w14:textId="77777777" w:rsidR="00714613" w:rsidRPr="003A102D" w:rsidRDefault="00714613">
      <w:pPr>
        <w:pStyle w:val="ListParagraph"/>
        <w:numPr>
          <w:ilvl w:val="0"/>
          <w:numId w:val="23"/>
        </w:numPr>
      </w:pPr>
      <w:r w:rsidRPr="003A102D">
        <w:t xml:space="preserve">A series of workshops on the proper use of irrigation systems and development of informational material on irrigation best management </w:t>
      </w:r>
      <w:proofErr w:type="gramStart"/>
      <w:r w:rsidRPr="003A102D">
        <w:t>practices;</w:t>
      </w:r>
      <w:proofErr w:type="gramEnd"/>
    </w:p>
    <w:p w14:paraId="1191BB66" w14:textId="77777777" w:rsidR="00714613" w:rsidRPr="003A102D" w:rsidRDefault="00714613">
      <w:pPr>
        <w:pStyle w:val="ListParagraph"/>
        <w:numPr>
          <w:ilvl w:val="0"/>
          <w:numId w:val="23"/>
        </w:numPr>
      </w:pPr>
      <w:r w:rsidRPr="003A102D">
        <w:t xml:space="preserve">Development of a web-enabled database for use by local government to track erosion &amp; sediment control activities; development of a model local stormwater ordinance; and an economic evaluation of incorporating BMPs into site </w:t>
      </w:r>
      <w:proofErr w:type="gramStart"/>
      <w:r w:rsidRPr="003A102D">
        <w:t>design;</w:t>
      </w:r>
      <w:proofErr w:type="gramEnd"/>
    </w:p>
    <w:p w14:paraId="1ECEF161" w14:textId="77777777" w:rsidR="00714613" w:rsidRPr="003A102D" w:rsidRDefault="00714613">
      <w:pPr>
        <w:pStyle w:val="ListParagraph"/>
        <w:numPr>
          <w:ilvl w:val="0"/>
          <w:numId w:val="23"/>
        </w:numPr>
      </w:pPr>
      <w:r w:rsidRPr="003A102D">
        <w:t xml:space="preserve">Development of shore lands planning protocol for use by local governments to enhance planning capabilities for areas adjacent to shore </w:t>
      </w:r>
      <w:proofErr w:type="gramStart"/>
      <w:r w:rsidRPr="003A102D">
        <w:t>lands;</w:t>
      </w:r>
      <w:proofErr w:type="gramEnd"/>
    </w:p>
    <w:p w14:paraId="040EC7FF" w14:textId="77777777" w:rsidR="00714613" w:rsidRPr="003A102D" w:rsidRDefault="00714613">
      <w:pPr>
        <w:pStyle w:val="ListParagraph"/>
        <w:numPr>
          <w:ilvl w:val="0"/>
          <w:numId w:val="23"/>
        </w:numPr>
      </w:pPr>
      <w:r w:rsidRPr="003A102D">
        <w:t xml:space="preserve">A statistical analysis of the impact of channelization activities and dams in Tidewater Virginia on in-stream &amp; riparian </w:t>
      </w:r>
      <w:proofErr w:type="gramStart"/>
      <w:r w:rsidRPr="003A102D">
        <w:t>habitat;</w:t>
      </w:r>
      <w:proofErr w:type="gramEnd"/>
    </w:p>
    <w:p w14:paraId="461B2620" w14:textId="77777777" w:rsidR="00714613" w:rsidRPr="003A102D" w:rsidRDefault="00714613">
      <w:pPr>
        <w:pStyle w:val="ListParagraph"/>
        <w:numPr>
          <w:ilvl w:val="0"/>
          <w:numId w:val="23"/>
        </w:numPr>
      </w:pPr>
      <w:r w:rsidRPr="003A102D">
        <w:t xml:space="preserve">A plasticulture guidebook for local government and farmers recommending practices to protect water quality for operations using plastic </w:t>
      </w:r>
      <w:proofErr w:type="gramStart"/>
      <w:r w:rsidRPr="003A102D">
        <w:t>mulch;</w:t>
      </w:r>
      <w:proofErr w:type="gramEnd"/>
    </w:p>
    <w:p w14:paraId="0207EF84" w14:textId="349459B2" w:rsidR="00714613" w:rsidRPr="00A7133E" w:rsidRDefault="00714613">
      <w:pPr>
        <w:pStyle w:val="ListParagraph"/>
        <w:numPr>
          <w:ilvl w:val="0"/>
          <w:numId w:val="23"/>
        </w:numPr>
      </w:pPr>
      <w:r w:rsidRPr="003A102D">
        <w:t>Development of the Virginia Clean Marina Program to provide technical assistance to marinas and recreational boaters.</w:t>
      </w:r>
    </w:p>
    <w:p w14:paraId="0B611495" w14:textId="07FFAA52" w:rsidR="00714613" w:rsidRPr="001558DF" w:rsidRDefault="00714613" w:rsidP="001558DF">
      <w:pPr>
        <w:rPr>
          <w:rFonts w:eastAsia="Calibri"/>
        </w:rPr>
      </w:pPr>
      <w:r w:rsidRPr="003A102D">
        <w:rPr>
          <w:rFonts w:eastAsia="Calibri"/>
        </w:rPr>
        <w:t>Virginia’s Coastal Nonpoint Source (NPS) Program is facilitated through</w:t>
      </w:r>
      <w:r w:rsidR="008B588D">
        <w:rPr>
          <w:rFonts w:eastAsia="Calibri"/>
        </w:rPr>
        <w:t xml:space="preserve"> </w:t>
      </w:r>
      <w:r w:rsidRPr="003A102D">
        <w:rPr>
          <w:rFonts w:eastAsia="Calibri"/>
        </w:rPr>
        <w:t>Virginia CZM but implemented by DEQ with state and federal grants including Section 319 funding.</w:t>
      </w:r>
      <w:r w:rsidR="008B588D">
        <w:rPr>
          <w:rFonts w:eastAsia="Calibri"/>
        </w:rPr>
        <w:t xml:space="preserve"> </w:t>
      </w:r>
      <w:r w:rsidRPr="003A102D">
        <w:rPr>
          <w:rFonts w:eastAsia="Calibri"/>
        </w:rPr>
        <w:t>Virginia CZM in particular focuses on pollution prevention and encourages efforts at a regional and local level, particularly improvements to land use planning and zoning practices to protect coastal water quality</w:t>
      </w:r>
      <w:r w:rsidR="008B588D">
        <w:rPr>
          <w:rFonts w:eastAsia="Calibri"/>
        </w:rPr>
        <w:t xml:space="preserve"> </w:t>
      </w:r>
      <w:r w:rsidRPr="003A102D">
        <w:rPr>
          <w:rFonts w:eastAsia="Calibri"/>
        </w:rPr>
        <w:t>through its Section</w:t>
      </w:r>
      <w:r w:rsidR="008B588D">
        <w:rPr>
          <w:rFonts w:eastAsia="Calibri"/>
        </w:rPr>
        <w:t xml:space="preserve"> </w:t>
      </w:r>
      <w:r w:rsidRPr="003A102D">
        <w:rPr>
          <w:rFonts w:eastAsia="Calibri"/>
        </w:rPr>
        <w:t>309 Coastal Zone Enhancement Strategies (FY2016-2020 and FY2021-2025) and FY2020-2022 Focal Area grants. Additionally, CZM’s past (FY2016-2020) and current (FY2021-2025) Section 309 Marine Debris Strategies include initiatives to update and implement the</w:t>
      </w:r>
      <w:r w:rsidR="008B588D">
        <w:rPr>
          <w:rFonts w:eastAsia="Calibri"/>
        </w:rPr>
        <w:t xml:space="preserve"> </w:t>
      </w:r>
      <w:r w:rsidRPr="003A102D">
        <w:rPr>
          <w:rFonts w:eastAsia="Calibri"/>
        </w:rPr>
        <w:t xml:space="preserve">Virginia Marine Debris Reduction Plan to better align with the Mid-Atlantic Marine </w:t>
      </w:r>
      <w:proofErr w:type="gramStart"/>
      <w:r w:rsidRPr="003A102D">
        <w:rPr>
          <w:rFonts w:eastAsia="Calibri"/>
        </w:rPr>
        <w:t>Debris Reduction</w:t>
      </w:r>
      <w:proofErr w:type="gramEnd"/>
      <w:r w:rsidRPr="003A102D">
        <w:rPr>
          <w:rFonts w:eastAsia="Calibri"/>
        </w:rPr>
        <w:t xml:space="preserve"> Plan. Major goals of the Plan include addressing Abandoned &amp; Derelict Vessels, Derelict Fishing Gear, Consumer-Based Debris, and Microplastics/Microfibers. (See more details on marine debris reduction efforts below.)</w:t>
      </w:r>
      <w:r w:rsidR="001558DF">
        <w:rPr>
          <w:rFonts w:eastAsia="Calibri"/>
        </w:rPr>
        <w:t xml:space="preserve"> </w:t>
      </w:r>
      <w:r w:rsidRPr="003A102D">
        <w:rPr>
          <w:rFonts w:eastAsia="Calibri" w:cstheme="minorHAnsi"/>
          <w:color w:val="000000" w:themeColor="text1"/>
          <w:szCs w:val="24"/>
        </w:rPr>
        <w:t xml:space="preserve">The FY2020 Section 309 Project of Special Merit team (Virginia Coastal Policy Center, Virginia Institute of Marine Science, and DEQ) completed draft guidance to localities on how to integrate adaptations to recurrent </w:t>
      </w:r>
      <w:r w:rsidRPr="003A102D">
        <w:rPr>
          <w:rFonts w:eastAsia="Calibri" w:cstheme="minorHAnsi"/>
          <w:color w:val="000000" w:themeColor="text1"/>
          <w:szCs w:val="24"/>
        </w:rPr>
        <w:lastRenderedPageBreak/>
        <w:t xml:space="preserve">flooding with water quality improvements. The guidance will accompany recent regulatory changes to the Chesapeake Bay Preservation Act required by the 2020 General Assembly. </w:t>
      </w:r>
      <w:r w:rsidR="00B06A53">
        <w:rPr>
          <w:rFonts w:eastAsia="Calibri" w:cstheme="minorHAnsi"/>
          <w:color w:val="000000" w:themeColor="text1"/>
          <w:szCs w:val="24"/>
        </w:rPr>
        <w:br/>
      </w:r>
    </w:p>
    <w:p w14:paraId="265F3E8F" w14:textId="54C49373" w:rsidR="00714613" w:rsidRPr="003A102D" w:rsidRDefault="00714613" w:rsidP="00F57CC3">
      <w:pPr>
        <w:rPr>
          <w:rFonts w:eastAsia="Calibri"/>
        </w:rPr>
      </w:pPr>
      <w:r w:rsidRPr="003A102D">
        <w:rPr>
          <w:rFonts w:eastAsia="Calibri"/>
        </w:rPr>
        <w:t>Another Component of the Virginia CZM’s Section 309 Cumulative and Secondary Impacts (CSI) Strategy for FY2016-2020 focused on addressing development pressure in the Lower Chickahominy River Watershed by bringing local governments and Virginia Indian Tribes together to foster dialogue about shared visions for land use, sustainable development, and cultural resource preservation. These entities signed a Watershed Collaborative MOU in November 2021 to solidify consultation and coordination on the issues. Virginia CZM staff will continue to support collaborative efforts going forward.</w:t>
      </w:r>
      <w:r w:rsidR="00B06A53">
        <w:rPr>
          <w:rFonts w:eastAsia="Calibri"/>
        </w:rPr>
        <w:br/>
      </w:r>
    </w:p>
    <w:p w14:paraId="3F78925F" w14:textId="545C3707" w:rsidR="00714613" w:rsidRPr="001558DF" w:rsidRDefault="00714613" w:rsidP="001558DF">
      <w:pPr>
        <w:rPr>
          <w:rFonts w:eastAsia="Calibri"/>
        </w:rPr>
      </w:pPr>
      <w:r w:rsidRPr="003A102D">
        <w:rPr>
          <w:rFonts w:eastAsia="Calibri"/>
        </w:rPr>
        <w:t xml:space="preserve">Since 2015, CZM has continued to provide funding to the Dept. of Conservation &amp; Recreation (DCR) to administer and expand the Healthy Waters Program, which includes a delivery of tools and products from the DCR Natural Heritage Program (NHP) such as the Virginia Ecological Values Assessment (VEVA), Element Occurrences (EOs), Stream Conservation Units (SCUs), INSTAR data, Coastal GEMS, and </w:t>
      </w:r>
      <w:proofErr w:type="spellStart"/>
      <w:r w:rsidRPr="003A102D">
        <w:rPr>
          <w:rFonts w:eastAsia="Calibri"/>
        </w:rPr>
        <w:t>ConservationVision</w:t>
      </w:r>
      <w:proofErr w:type="spellEnd"/>
      <w:r w:rsidRPr="003A102D">
        <w:rPr>
          <w:rFonts w:eastAsia="Calibri"/>
        </w:rPr>
        <w:t xml:space="preserve"> Watershed Model. These expanded and updated datasets allow DCR staff to prioritize areas for restoration projects using Virginia CZM or other funds, while aligning with the Commonwealth’s new </w:t>
      </w:r>
      <w:proofErr w:type="spellStart"/>
      <w:r w:rsidRPr="003A102D">
        <w:rPr>
          <w:rFonts w:eastAsia="Calibri"/>
        </w:rPr>
        <w:t>ConserveVirginia</w:t>
      </w:r>
      <w:proofErr w:type="spellEnd"/>
      <w:r w:rsidRPr="003A102D">
        <w:rPr>
          <w:rFonts w:eastAsia="Calibri"/>
        </w:rPr>
        <w:t xml:space="preserve"> 2.0 program for land conservation, launched in 2019.</w:t>
      </w:r>
      <w:r w:rsidR="001558DF">
        <w:rPr>
          <w:rFonts w:eastAsia="Calibri"/>
        </w:rPr>
        <w:t xml:space="preserve"> </w:t>
      </w:r>
      <w:r w:rsidRPr="003A102D">
        <w:rPr>
          <w:rFonts w:eastAsia="Calibri" w:cstheme="minorHAnsi"/>
          <w:color w:val="000000" w:themeColor="text1"/>
          <w:szCs w:val="24"/>
        </w:rPr>
        <w:t>Since 2018, DEQ’s Stormwater Local Assistance Fund (SLAF) has provided matching funds for several localities for projects to improve stream habitat and reduce nutrient loads including:</w:t>
      </w:r>
    </w:p>
    <w:p w14:paraId="0F941C4F" w14:textId="77777777" w:rsidR="00714613" w:rsidRPr="003A102D" w:rsidRDefault="00714613">
      <w:pPr>
        <w:pStyle w:val="ListParagraph"/>
        <w:numPr>
          <w:ilvl w:val="0"/>
          <w:numId w:val="25"/>
        </w:numPr>
        <w:rPr>
          <w:rFonts w:eastAsia="Calibri"/>
        </w:rPr>
      </w:pPr>
      <w:r w:rsidRPr="003A102D">
        <w:rPr>
          <w:rFonts w:eastAsia="Calibri"/>
        </w:rPr>
        <w:t xml:space="preserve">Fairfax County for the </w:t>
      </w:r>
      <w:proofErr w:type="spellStart"/>
      <w:r w:rsidRPr="003A102D">
        <w:rPr>
          <w:rFonts w:eastAsia="Calibri"/>
        </w:rPr>
        <w:t>Flatlick</w:t>
      </w:r>
      <w:proofErr w:type="spellEnd"/>
      <w:r w:rsidRPr="003A102D">
        <w:rPr>
          <w:rFonts w:eastAsia="Calibri"/>
        </w:rPr>
        <w:t xml:space="preserve"> Branch Stream Restoration Phase III (FY2018)</w:t>
      </w:r>
    </w:p>
    <w:p w14:paraId="400EB55A" w14:textId="77777777" w:rsidR="00714613" w:rsidRPr="003A102D" w:rsidRDefault="00714613">
      <w:pPr>
        <w:pStyle w:val="ListParagraph"/>
        <w:numPr>
          <w:ilvl w:val="0"/>
          <w:numId w:val="25"/>
        </w:numPr>
        <w:rPr>
          <w:rFonts w:eastAsia="Calibri"/>
        </w:rPr>
      </w:pPr>
      <w:r w:rsidRPr="003A102D">
        <w:rPr>
          <w:rFonts w:eastAsia="Calibri"/>
        </w:rPr>
        <w:t>Fairfax County for the Turkey Run Stream Restoration project (FY2019)</w:t>
      </w:r>
    </w:p>
    <w:p w14:paraId="0F500F72" w14:textId="77777777" w:rsidR="00714613" w:rsidRPr="003A102D" w:rsidRDefault="00714613">
      <w:pPr>
        <w:pStyle w:val="ListParagraph"/>
        <w:numPr>
          <w:ilvl w:val="0"/>
          <w:numId w:val="25"/>
        </w:numPr>
        <w:rPr>
          <w:rFonts w:eastAsia="Calibri"/>
        </w:rPr>
      </w:pPr>
      <w:r w:rsidRPr="003A102D">
        <w:rPr>
          <w:rFonts w:eastAsia="Calibri"/>
        </w:rPr>
        <w:t>Town of Vienna for the Pike Branch Stream Restoration project (FY2020)</w:t>
      </w:r>
    </w:p>
    <w:p w14:paraId="0D6D4269" w14:textId="77777777" w:rsidR="00714613" w:rsidRPr="003A102D" w:rsidRDefault="00714613">
      <w:pPr>
        <w:pStyle w:val="ListParagraph"/>
        <w:numPr>
          <w:ilvl w:val="0"/>
          <w:numId w:val="25"/>
        </w:numPr>
        <w:rPr>
          <w:rFonts w:eastAsia="Calibri"/>
        </w:rPr>
      </w:pPr>
      <w:r w:rsidRPr="003A102D">
        <w:rPr>
          <w:rFonts w:eastAsia="Calibri"/>
        </w:rPr>
        <w:t>Hanover County for the Cherrydale Pond BMP Retrofit project (FY2021)</w:t>
      </w:r>
    </w:p>
    <w:p w14:paraId="33998040" w14:textId="590381A2" w:rsidR="00714613" w:rsidRPr="003A102D" w:rsidRDefault="00714613">
      <w:pPr>
        <w:pStyle w:val="ListParagraph"/>
        <w:numPr>
          <w:ilvl w:val="0"/>
          <w:numId w:val="25"/>
        </w:numPr>
        <w:spacing w:before="0" w:after="0"/>
        <w:rPr>
          <w:rFonts w:eastAsia="Calibri"/>
        </w:rPr>
      </w:pPr>
      <w:r w:rsidRPr="003A102D">
        <w:rPr>
          <w:rFonts w:eastAsia="Calibri"/>
        </w:rPr>
        <w:t xml:space="preserve">Fairfax County for the </w:t>
      </w:r>
      <w:proofErr w:type="spellStart"/>
      <w:r w:rsidRPr="003A102D">
        <w:rPr>
          <w:rFonts w:eastAsia="Calibri"/>
        </w:rPr>
        <w:t>Accotink</w:t>
      </w:r>
      <w:proofErr w:type="spellEnd"/>
      <w:r w:rsidRPr="003A102D">
        <w:rPr>
          <w:rFonts w:eastAsia="Calibri"/>
        </w:rPr>
        <w:t xml:space="preserve"> Tributary at Danbury Forest Stream Restoration project (FY2022)</w:t>
      </w:r>
      <w:r w:rsidR="001558DF">
        <w:rPr>
          <w:rFonts w:eastAsia="Calibri"/>
        </w:rPr>
        <w:br/>
      </w:r>
    </w:p>
    <w:p w14:paraId="22D9E361" w14:textId="77777777" w:rsidR="00714613" w:rsidRPr="003A102D" w:rsidRDefault="00714613" w:rsidP="00AE7B49">
      <w:pPr>
        <w:pStyle w:val="BodyText"/>
        <w:tabs>
          <w:tab w:val="left" w:pos="360"/>
        </w:tabs>
        <w:spacing w:after="0"/>
        <w:rPr>
          <w:rFonts w:eastAsia="Calibri" w:cstheme="minorHAnsi"/>
          <w:color w:val="000000" w:themeColor="text1"/>
          <w:szCs w:val="24"/>
        </w:rPr>
      </w:pPr>
      <w:r w:rsidRPr="003A102D">
        <w:rPr>
          <w:rFonts w:eastAsia="Calibri" w:cstheme="minorHAnsi"/>
          <w:color w:val="000000" w:themeColor="text1"/>
          <w:szCs w:val="24"/>
        </w:rPr>
        <w:t xml:space="preserve">Note that match funds for FY2015-2018 were provided by the state’s Water Quality Improvement Fund (WQIF) but were associated with wastewater treatment plants (WWTP), which are </w:t>
      </w:r>
      <w:r w:rsidRPr="003A102D">
        <w:rPr>
          <w:rFonts w:eastAsia="Calibri" w:cstheme="minorHAnsi"/>
          <w:i/>
          <w:color w:val="000000" w:themeColor="text1"/>
          <w:szCs w:val="24"/>
        </w:rPr>
        <w:t>point</w:t>
      </w:r>
      <w:r w:rsidRPr="003A102D">
        <w:rPr>
          <w:rFonts w:eastAsia="Calibri" w:cstheme="minorHAnsi"/>
          <w:color w:val="000000" w:themeColor="text1"/>
          <w:szCs w:val="24"/>
        </w:rPr>
        <w:t xml:space="preserve"> sources of nutrient pollution.</w:t>
      </w:r>
    </w:p>
    <w:p w14:paraId="1BF4C8B2" w14:textId="7635C58E" w:rsidR="00714613" w:rsidRPr="003A102D" w:rsidRDefault="006F28F9" w:rsidP="00AE7B49">
      <w:pPr>
        <w:pStyle w:val="BodyText"/>
        <w:tabs>
          <w:tab w:val="left" w:pos="360"/>
        </w:tabs>
        <w:spacing w:after="0"/>
        <w:rPr>
          <w:rFonts w:eastAsia="Calibri" w:cstheme="minorHAnsi"/>
          <w:color w:val="000000" w:themeColor="text1"/>
          <w:szCs w:val="24"/>
        </w:rPr>
      </w:pPr>
      <w:r>
        <w:rPr>
          <w:rFonts w:eastAsia="Calibri" w:cstheme="minorHAnsi"/>
          <w:i/>
          <w:color w:val="000000" w:themeColor="text1"/>
          <w:szCs w:val="24"/>
        </w:rPr>
        <w:br/>
      </w:r>
      <w:r w:rsidR="00714613" w:rsidRPr="003A102D">
        <w:rPr>
          <w:rFonts w:eastAsia="Calibri" w:cstheme="minorHAnsi"/>
          <w:i/>
          <w:color w:val="000000" w:themeColor="text1"/>
          <w:szCs w:val="24"/>
        </w:rPr>
        <w:t>Locality Stormwater Management:</w:t>
      </w:r>
      <w:r w:rsidR="00714613" w:rsidRPr="003A102D">
        <w:rPr>
          <w:rFonts w:eastAsia="Calibri" w:cstheme="minorHAnsi"/>
          <w:color w:val="000000" w:themeColor="text1"/>
          <w:szCs w:val="24"/>
        </w:rPr>
        <w:t xml:space="preserve"> Since 2015, several coastal Planning District Commissions (PDCs) have continued to use Virginia CZM funding for FY2022 grants to convene quarterly meetings of locality stormwater managers and conduct outreach campaigns to educate the public on water quality issues associated with non-point source pollution.</w:t>
      </w:r>
    </w:p>
    <w:p w14:paraId="18C420F2" w14:textId="6F76CE25" w:rsidR="00714613" w:rsidRPr="003A102D" w:rsidRDefault="006F28F9" w:rsidP="003D0769">
      <w:pPr>
        <w:pStyle w:val="BodyText"/>
        <w:tabs>
          <w:tab w:val="left" w:pos="360"/>
        </w:tabs>
        <w:spacing w:after="0"/>
        <w:rPr>
          <w:rFonts w:eastAsia="Calibri" w:cstheme="minorHAnsi"/>
          <w:color w:val="000000" w:themeColor="text1"/>
          <w:szCs w:val="24"/>
        </w:rPr>
      </w:pPr>
      <w:r>
        <w:rPr>
          <w:rFonts w:eastAsia="Calibri" w:cstheme="minorHAnsi"/>
          <w:i/>
          <w:color w:val="000000" w:themeColor="text1"/>
          <w:szCs w:val="24"/>
        </w:rPr>
        <w:br/>
      </w:r>
      <w:r w:rsidR="00714613" w:rsidRPr="003A102D">
        <w:rPr>
          <w:rFonts w:eastAsia="Calibri" w:cstheme="minorHAnsi"/>
          <w:i/>
          <w:color w:val="000000" w:themeColor="text1"/>
          <w:szCs w:val="24"/>
        </w:rPr>
        <w:t>DEQ Regulatory Review:</w:t>
      </w:r>
      <w:r w:rsidR="00714613" w:rsidRPr="003A102D">
        <w:rPr>
          <w:rFonts w:eastAsia="Calibri" w:cstheme="minorHAnsi"/>
          <w:color w:val="000000" w:themeColor="text1"/>
          <w:szCs w:val="24"/>
        </w:rPr>
        <w:t xml:space="preserve"> Virginia CZM continued to review NPS pollution aspects of projects as part of their Federal consistency/EIR review process. This effort will continue in 2023.</w:t>
      </w:r>
    </w:p>
    <w:p w14:paraId="373093F2" w14:textId="77777777" w:rsidR="00714613" w:rsidRPr="003A102D" w:rsidRDefault="00714613" w:rsidP="00AE7B49">
      <w:pPr>
        <w:jc w:val="both"/>
        <w:rPr>
          <w:rFonts w:cstheme="minorHAnsi"/>
          <w:i/>
          <w:szCs w:val="24"/>
        </w:rPr>
      </w:pPr>
    </w:p>
    <w:p w14:paraId="21B5376C" w14:textId="798140B7" w:rsidR="00714613" w:rsidRPr="00B06A53" w:rsidRDefault="00714613" w:rsidP="00B06A53">
      <w:pPr>
        <w:pStyle w:val="Heading3"/>
      </w:pPr>
      <w:r w:rsidRPr="00B06A53">
        <w:lastRenderedPageBreak/>
        <w:t>Increasing the Availability and Use of Virginia Native Plants</w:t>
      </w:r>
    </w:p>
    <w:p w14:paraId="401BE73A" w14:textId="77777777" w:rsidR="00714613" w:rsidRPr="003A102D" w:rsidRDefault="00714613" w:rsidP="00AE7B49">
      <w:pPr>
        <w:jc w:val="both"/>
        <w:rPr>
          <w:rFonts w:cstheme="minorHAnsi"/>
          <w:b/>
          <w:szCs w:val="24"/>
        </w:rPr>
      </w:pPr>
      <w:r w:rsidRPr="003A102D">
        <w:rPr>
          <w:rFonts w:cstheme="minorHAnsi"/>
          <w:b/>
          <w:noProof/>
          <w:szCs w:val="24"/>
        </w:rPr>
        <w:drawing>
          <wp:inline distT="0" distB="0" distL="0" distR="0" wp14:anchorId="45F7B653" wp14:editId="6BDC9F94">
            <wp:extent cx="5943600" cy="3063875"/>
            <wp:effectExtent l="0" t="0" r="0" b="3175"/>
            <wp:docPr id="307282828" name="Picture 307282828" descr="Map showing Boundaries of Regional Native Plant Marke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82828" name="Picture 5" descr="Map showing Boundaries of Regional Native Plant Marketing "/>
                    <pic:cNvPicPr/>
                  </pic:nvPicPr>
                  <pic:blipFill>
                    <a:blip r:embed="rId244" cstate="screen">
                      <a:extLst>
                        <a:ext uri="{28A0092B-C50C-407E-A947-70E740481C1C}">
                          <a14:useLocalDpi xmlns:a14="http://schemas.microsoft.com/office/drawing/2010/main"/>
                        </a:ext>
                      </a:extLst>
                    </a:blip>
                    <a:stretch>
                      <a:fillRect/>
                    </a:stretch>
                  </pic:blipFill>
                  <pic:spPr>
                    <a:xfrm>
                      <a:off x="0" y="0"/>
                      <a:ext cx="5943600" cy="3063875"/>
                    </a:xfrm>
                    <a:prstGeom prst="rect">
                      <a:avLst/>
                    </a:prstGeom>
                  </pic:spPr>
                </pic:pic>
              </a:graphicData>
            </a:graphic>
          </wp:inline>
        </w:drawing>
      </w:r>
    </w:p>
    <w:p w14:paraId="0982705E" w14:textId="5401113C" w:rsidR="00714613" w:rsidRPr="003A102D" w:rsidRDefault="00714613" w:rsidP="0A5BE548">
      <w:pPr>
        <w:pStyle w:val="NormalWeb"/>
        <w:spacing w:before="0" w:beforeAutospacing="0" w:after="0" w:afterAutospacing="0"/>
        <w:rPr>
          <w:rFonts w:asciiTheme="minorHAnsi" w:hAnsiTheme="minorHAnsi" w:cstheme="minorBidi"/>
          <w:color w:val="000000"/>
          <w:sz w:val="20"/>
          <w:szCs w:val="20"/>
        </w:rPr>
      </w:pPr>
      <w:r w:rsidRPr="0A5BE548">
        <w:rPr>
          <w:rFonts w:asciiTheme="minorHAnsi" w:hAnsiTheme="minorHAnsi" w:cstheme="minorBidi"/>
          <w:color w:val="000000" w:themeColor="text1"/>
          <w:sz w:val="20"/>
          <w:szCs w:val="20"/>
        </w:rPr>
        <w:t xml:space="preserve">Figure 7.6-5 Map showing </w:t>
      </w:r>
      <w:r w:rsidR="76507192" w:rsidRPr="0A5BE548">
        <w:rPr>
          <w:rFonts w:asciiTheme="minorHAnsi" w:hAnsiTheme="minorHAnsi" w:cstheme="minorBidi"/>
          <w:color w:val="000000" w:themeColor="text1"/>
          <w:sz w:val="20"/>
          <w:szCs w:val="20"/>
        </w:rPr>
        <w:t>b</w:t>
      </w:r>
      <w:r w:rsidRPr="0A5BE548">
        <w:rPr>
          <w:rFonts w:asciiTheme="minorHAnsi" w:hAnsiTheme="minorHAnsi" w:cstheme="minorBidi"/>
          <w:color w:val="000000" w:themeColor="text1"/>
          <w:sz w:val="20"/>
          <w:szCs w:val="20"/>
        </w:rPr>
        <w:t xml:space="preserve">oundaries of </w:t>
      </w:r>
      <w:r w:rsidR="22D7B95B" w:rsidRPr="0A5BE548">
        <w:rPr>
          <w:rFonts w:asciiTheme="minorHAnsi" w:hAnsiTheme="minorHAnsi" w:cstheme="minorBidi"/>
          <w:color w:val="000000" w:themeColor="text1"/>
          <w:sz w:val="20"/>
          <w:szCs w:val="20"/>
        </w:rPr>
        <w:t>r</w:t>
      </w:r>
      <w:r w:rsidRPr="0A5BE548">
        <w:rPr>
          <w:rFonts w:asciiTheme="minorHAnsi" w:hAnsiTheme="minorHAnsi" w:cstheme="minorBidi"/>
          <w:color w:val="000000" w:themeColor="text1"/>
          <w:sz w:val="20"/>
          <w:szCs w:val="20"/>
        </w:rPr>
        <w:t xml:space="preserve">egional </w:t>
      </w:r>
      <w:r w:rsidR="0C02AB3A" w:rsidRPr="0A5BE548">
        <w:rPr>
          <w:rFonts w:asciiTheme="minorHAnsi" w:hAnsiTheme="minorHAnsi" w:cstheme="minorBidi"/>
          <w:color w:val="000000" w:themeColor="text1"/>
          <w:sz w:val="20"/>
          <w:szCs w:val="20"/>
        </w:rPr>
        <w:t>n</w:t>
      </w:r>
      <w:r w:rsidRPr="0A5BE548">
        <w:rPr>
          <w:rFonts w:asciiTheme="minorHAnsi" w:hAnsiTheme="minorHAnsi" w:cstheme="minorBidi"/>
          <w:color w:val="000000" w:themeColor="text1"/>
          <w:sz w:val="20"/>
          <w:szCs w:val="20"/>
        </w:rPr>
        <w:t xml:space="preserve">ative </w:t>
      </w:r>
      <w:r w:rsidR="532E234F" w:rsidRPr="0A5BE548">
        <w:rPr>
          <w:rFonts w:asciiTheme="minorHAnsi" w:hAnsiTheme="minorHAnsi" w:cstheme="minorBidi"/>
          <w:color w:val="000000" w:themeColor="text1"/>
          <w:sz w:val="20"/>
          <w:szCs w:val="20"/>
        </w:rPr>
        <w:t>p</w:t>
      </w:r>
      <w:r w:rsidRPr="0A5BE548">
        <w:rPr>
          <w:rFonts w:asciiTheme="minorHAnsi" w:hAnsiTheme="minorHAnsi" w:cstheme="minorBidi"/>
          <w:color w:val="000000" w:themeColor="text1"/>
          <w:sz w:val="20"/>
          <w:szCs w:val="20"/>
        </w:rPr>
        <w:t xml:space="preserve">lant </w:t>
      </w:r>
      <w:r w:rsidR="60F29F5E" w:rsidRPr="0A5BE548">
        <w:rPr>
          <w:rFonts w:asciiTheme="minorHAnsi" w:hAnsiTheme="minorHAnsi" w:cstheme="minorBidi"/>
          <w:color w:val="000000" w:themeColor="text1"/>
          <w:sz w:val="20"/>
          <w:szCs w:val="20"/>
        </w:rPr>
        <w:t>m</w:t>
      </w:r>
      <w:r w:rsidRPr="0A5BE548">
        <w:rPr>
          <w:rFonts w:asciiTheme="minorHAnsi" w:hAnsiTheme="minorHAnsi" w:cstheme="minorBidi"/>
          <w:color w:val="000000" w:themeColor="text1"/>
          <w:sz w:val="20"/>
          <w:szCs w:val="20"/>
        </w:rPr>
        <w:t xml:space="preserve">arketing </w:t>
      </w:r>
    </w:p>
    <w:p w14:paraId="6C1D86E2" w14:textId="77777777" w:rsidR="00714613" w:rsidRPr="003A102D" w:rsidRDefault="00714613" w:rsidP="00AE7B49">
      <w:pPr>
        <w:rPr>
          <w:rFonts w:cstheme="minorHAnsi"/>
          <w:szCs w:val="24"/>
        </w:rPr>
      </w:pPr>
      <w:r w:rsidRPr="003A102D">
        <w:rPr>
          <w:rFonts w:cstheme="minorHAnsi"/>
          <w:szCs w:val="24"/>
        </w:rPr>
        <w:br/>
        <w:t xml:space="preserve">Virginians are hearing that planting natives will help improve the environment – especially habitat for declining pollinator and bird populations as well as to improve water quality – but many are not sure where to start. </w:t>
      </w:r>
    </w:p>
    <w:p w14:paraId="43CC89E8" w14:textId="77777777" w:rsidR="00714613" w:rsidRPr="003A102D" w:rsidRDefault="00714613" w:rsidP="00AE7B49">
      <w:pPr>
        <w:rPr>
          <w:rFonts w:cstheme="minorHAnsi"/>
          <w:szCs w:val="24"/>
        </w:rPr>
      </w:pPr>
    </w:p>
    <w:p w14:paraId="18D36239" w14:textId="355EBBCA" w:rsidR="00714613" w:rsidRPr="003A102D" w:rsidRDefault="00714613" w:rsidP="00AE7B49">
      <w:pPr>
        <w:rPr>
          <w:rFonts w:cstheme="minorHAnsi"/>
          <w:szCs w:val="24"/>
        </w:rPr>
      </w:pPr>
      <w:r w:rsidRPr="003A102D">
        <w:rPr>
          <w:rFonts w:cstheme="minorHAnsi"/>
          <w:szCs w:val="24"/>
        </w:rPr>
        <w:t xml:space="preserve">In 2021, the Plant Virginia Natives initiative offered </w:t>
      </w:r>
      <w:proofErr w:type="gramStart"/>
      <w:r w:rsidRPr="003A102D">
        <w:rPr>
          <w:rFonts w:cstheme="minorHAnsi"/>
          <w:szCs w:val="24"/>
        </w:rPr>
        <w:t>a Landscaping</w:t>
      </w:r>
      <w:proofErr w:type="gramEnd"/>
      <w:r w:rsidRPr="003A102D">
        <w:rPr>
          <w:rFonts w:cstheme="minorHAnsi"/>
          <w:szCs w:val="24"/>
        </w:rPr>
        <w:t xml:space="preserve"> with Virginia Natives webinar series with over 3,000 attendees across the state. Hundreds more have watched the recordings now available on</w:t>
      </w:r>
      <w:r w:rsidR="002A6702">
        <w:rPr>
          <w:rFonts w:cstheme="minorHAnsi"/>
          <w:szCs w:val="24"/>
        </w:rPr>
        <w:t xml:space="preserve"> Plant Virginia Natives website</w:t>
      </w:r>
      <w:r w:rsidR="0099376A">
        <w:rPr>
          <w:rFonts w:cstheme="minorHAnsi"/>
          <w:szCs w:val="24"/>
        </w:rPr>
        <w:t xml:space="preserve">, </w:t>
      </w:r>
      <w:r w:rsidRPr="003A102D">
        <w:rPr>
          <w:rFonts w:cstheme="minorHAnsi"/>
          <w:szCs w:val="24"/>
        </w:rPr>
        <w:t>which now also includes a section on landscaping with Virginia natives.</w:t>
      </w:r>
    </w:p>
    <w:p w14:paraId="006BEF7D" w14:textId="77777777" w:rsidR="00714613" w:rsidRPr="003A102D" w:rsidRDefault="00714613" w:rsidP="00AE7B49">
      <w:pPr>
        <w:rPr>
          <w:rFonts w:cstheme="minorHAnsi"/>
          <w:szCs w:val="24"/>
        </w:rPr>
      </w:pPr>
    </w:p>
    <w:p w14:paraId="47CF4C87" w14:textId="60DEB199" w:rsidR="00714613" w:rsidRPr="003A102D" w:rsidRDefault="00714613" w:rsidP="00AE7B49">
      <w:pPr>
        <w:rPr>
          <w:rFonts w:cstheme="minorHAnsi"/>
          <w:szCs w:val="24"/>
        </w:rPr>
      </w:pPr>
      <w:r w:rsidRPr="003A102D">
        <w:rPr>
          <w:rFonts w:cstheme="minorHAnsi"/>
          <w:szCs w:val="24"/>
        </w:rPr>
        <w:t>Plant Virginia Natives is a collaborative network of partners engaged in statewide and regional strategies to increase the knowledge, use and availability of native plants. The Virginia CZM Program, a network of state agencies and coastal localities, introduced, coordinates</w:t>
      </w:r>
      <w:r w:rsidR="00AF06F4">
        <w:rPr>
          <w:rFonts w:cstheme="minorHAnsi"/>
          <w:szCs w:val="24"/>
        </w:rPr>
        <w:t>,</w:t>
      </w:r>
      <w:r w:rsidRPr="003A102D">
        <w:rPr>
          <w:rFonts w:cstheme="minorHAnsi"/>
          <w:szCs w:val="24"/>
        </w:rPr>
        <w:t xml:space="preserve"> and has funded the initiative since 2008</w:t>
      </w:r>
      <w:r w:rsidR="004D7BD2">
        <w:rPr>
          <w:rFonts w:cstheme="minorHAnsi"/>
          <w:szCs w:val="24"/>
        </w:rPr>
        <w:t xml:space="preserve">. More information can be found </w:t>
      </w:r>
      <w:proofErr w:type="gramStart"/>
      <w:r w:rsidR="004D7BD2">
        <w:rPr>
          <w:rFonts w:cstheme="minorHAnsi"/>
          <w:szCs w:val="24"/>
        </w:rPr>
        <w:t>at</w:t>
      </w:r>
      <w:proofErr w:type="gramEnd"/>
      <w:r w:rsidR="009271E4">
        <w:rPr>
          <w:rFonts w:cstheme="minorHAnsi"/>
          <w:szCs w:val="24"/>
        </w:rPr>
        <w:t xml:space="preserve"> </w:t>
      </w:r>
      <w:r w:rsidR="00F02E33">
        <w:rPr>
          <w:rFonts w:cstheme="minorHAnsi"/>
          <w:szCs w:val="24"/>
        </w:rPr>
        <w:t xml:space="preserve">the </w:t>
      </w:r>
      <w:r w:rsidR="009271E4">
        <w:rPr>
          <w:rFonts w:cstheme="minorHAnsi"/>
          <w:szCs w:val="24"/>
        </w:rPr>
        <w:t>DEQ Virginia Native Plant Marketing webpage.</w:t>
      </w:r>
      <w:r w:rsidR="004D7BD2">
        <w:rPr>
          <w:rFonts w:cstheme="minorHAnsi"/>
          <w:szCs w:val="24"/>
        </w:rPr>
        <w:t xml:space="preserve"> </w:t>
      </w:r>
      <w:r w:rsidR="004D7BD2">
        <w:br/>
      </w:r>
    </w:p>
    <w:p w14:paraId="76B7A0C5" w14:textId="0B13AC3C" w:rsidR="00714613" w:rsidRPr="003A102D" w:rsidRDefault="00714613" w:rsidP="00AE7B49">
      <w:pPr>
        <w:rPr>
          <w:rFonts w:cstheme="minorHAnsi"/>
          <w:szCs w:val="24"/>
        </w:rPr>
      </w:pPr>
      <w:r w:rsidRPr="003A102D">
        <w:rPr>
          <w:rFonts w:cstheme="minorHAnsi"/>
          <w:szCs w:val="24"/>
        </w:rPr>
        <w:t xml:space="preserve">Plant Virginia Natives identifies opportunities to collaborate and partner on Virginia native plant communication and marketing efforts and </w:t>
      </w:r>
      <w:proofErr w:type="gramStart"/>
      <w:r w:rsidRPr="003A102D">
        <w:rPr>
          <w:rFonts w:cstheme="minorHAnsi"/>
          <w:szCs w:val="24"/>
        </w:rPr>
        <w:t>form</w:t>
      </w:r>
      <w:proofErr w:type="gramEnd"/>
      <w:r w:rsidRPr="003A102D">
        <w:rPr>
          <w:rFonts w:cstheme="minorHAnsi"/>
          <w:szCs w:val="24"/>
        </w:rPr>
        <w:t xml:space="preserve"> a cohesive and coordinated strategy to encourage the use of native plants statewide for their many benefits and help meet Virginia’s habitat restoration and water quality goals.</w:t>
      </w:r>
      <w:r w:rsidR="0043408C">
        <w:rPr>
          <w:rFonts w:cstheme="minorHAnsi"/>
          <w:szCs w:val="24"/>
        </w:rPr>
        <w:t xml:space="preserve"> They </w:t>
      </w:r>
      <w:r w:rsidR="006C29B1">
        <w:rPr>
          <w:rFonts w:cstheme="minorHAnsi"/>
          <w:szCs w:val="24"/>
        </w:rPr>
        <w:t>produced</w:t>
      </w:r>
      <w:r w:rsidR="0043408C">
        <w:rPr>
          <w:rFonts w:cstheme="minorHAnsi"/>
          <w:szCs w:val="24"/>
        </w:rPr>
        <w:t xml:space="preserve"> a regional map indicating which </w:t>
      </w:r>
      <w:r w:rsidR="006C29B1">
        <w:rPr>
          <w:rFonts w:cstheme="minorHAnsi"/>
          <w:szCs w:val="24"/>
        </w:rPr>
        <w:t xml:space="preserve">native plants to </w:t>
      </w:r>
      <w:r w:rsidR="00F02E33">
        <w:rPr>
          <w:rFonts w:cstheme="minorHAnsi"/>
          <w:szCs w:val="24"/>
        </w:rPr>
        <w:t>use</w:t>
      </w:r>
      <w:r w:rsidR="006C29B1">
        <w:rPr>
          <w:rFonts w:cstheme="minorHAnsi"/>
          <w:szCs w:val="24"/>
        </w:rPr>
        <w:t xml:space="preserve"> for a given zone</w:t>
      </w:r>
      <w:r w:rsidR="009B272C">
        <w:rPr>
          <w:rFonts w:cstheme="minorHAnsi"/>
          <w:szCs w:val="24"/>
        </w:rPr>
        <w:t xml:space="preserve"> (Figure 7.6-5).</w:t>
      </w:r>
      <w:r w:rsidRPr="003A102D">
        <w:rPr>
          <w:rFonts w:cstheme="minorHAnsi"/>
          <w:szCs w:val="24"/>
        </w:rPr>
        <w:br/>
      </w:r>
    </w:p>
    <w:p w14:paraId="7D9FA70A" w14:textId="287A3BC5" w:rsidR="00714613" w:rsidRPr="003A102D" w:rsidRDefault="00714613" w:rsidP="00AE7B49">
      <w:pPr>
        <w:rPr>
          <w:rFonts w:cstheme="minorHAnsi"/>
          <w:szCs w:val="24"/>
        </w:rPr>
      </w:pPr>
      <w:r w:rsidRPr="003A102D">
        <w:rPr>
          <w:rFonts w:cstheme="minorHAnsi"/>
          <w:szCs w:val="24"/>
        </w:rPr>
        <w:t xml:space="preserve">The Plant Virginia Natives initiative advances the shared goals of the partners, outlined in an Action Plan (downloadable </w:t>
      </w:r>
      <w:r w:rsidR="00CC2E7E">
        <w:rPr>
          <w:rFonts w:cstheme="minorHAnsi"/>
          <w:szCs w:val="24"/>
        </w:rPr>
        <w:t>at</w:t>
      </w:r>
      <w:r w:rsidR="0099376A">
        <w:t xml:space="preserve"> the Plant Virginia Natives website</w:t>
      </w:r>
      <w:r w:rsidRPr="003A102D">
        <w:rPr>
          <w:rFonts w:cstheme="minorHAnsi"/>
          <w:szCs w:val="24"/>
        </w:rPr>
        <w:t xml:space="preserve">): </w:t>
      </w:r>
      <w:r w:rsidRPr="003A102D">
        <w:rPr>
          <w:rFonts w:cstheme="minorHAnsi"/>
          <w:szCs w:val="24"/>
        </w:rPr>
        <w:br/>
      </w:r>
    </w:p>
    <w:p w14:paraId="70D82609" w14:textId="1EEA9E17" w:rsidR="00714613" w:rsidRPr="003A102D" w:rsidRDefault="00714613" w:rsidP="00AE7B49">
      <w:pPr>
        <w:rPr>
          <w:rFonts w:cstheme="minorHAnsi"/>
          <w:szCs w:val="24"/>
        </w:rPr>
      </w:pPr>
      <w:r w:rsidRPr="003A102D">
        <w:rPr>
          <w:rFonts w:cstheme="minorHAnsi"/>
          <w:b/>
          <w:bCs/>
          <w:szCs w:val="24"/>
        </w:rPr>
        <w:lastRenderedPageBreak/>
        <w:t xml:space="preserve">Goal 1: </w:t>
      </w:r>
      <w:r w:rsidRPr="003A102D">
        <w:rPr>
          <w:rFonts w:cstheme="minorHAnsi"/>
          <w:szCs w:val="24"/>
        </w:rPr>
        <w:t>Continue to encourage and increase collaboration and coordination among partners engaged in native plant education, communication, and marketing.</w:t>
      </w:r>
      <w:r w:rsidRPr="003A102D">
        <w:rPr>
          <w:rFonts w:cstheme="minorHAnsi"/>
          <w:b/>
          <w:bCs/>
          <w:szCs w:val="24"/>
        </w:rPr>
        <w:br/>
        <w:t>Goal 2:</w:t>
      </w:r>
      <w:r w:rsidRPr="003A102D">
        <w:rPr>
          <w:rFonts w:cstheme="minorHAnsi"/>
          <w:szCs w:val="24"/>
        </w:rPr>
        <w:t xml:space="preserve"> Enhance knowledge of the value of native plants. </w:t>
      </w:r>
    </w:p>
    <w:p w14:paraId="2F382DC4" w14:textId="29BF90C7" w:rsidR="00714613" w:rsidRPr="003A102D" w:rsidRDefault="00714613" w:rsidP="00AE7B49">
      <w:pPr>
        <w:rPr>
          <w:rFonts w:cstheme="minorHAnsi"/>
          <w:szCs w:val="24"/>
        </w:rPr>
      </w:pPr>
      <w:r w:rsidRPr="003A102D">
        <w:rPr>
          <w:rFonts w:cstheme="minorHAnsi"/>
          <w:b/>
          <w:bCs/>
          <w:szCs w:val="24"/>
        </w:rPr>
        <w:t xml:space="preserve">Goal 3: </w:t>
      </w:r>
      <w:r w:rsidRPr="003A102D">
        <w:rPr>
          <w:rFonts w:cstheme="minorHAnsi"/>
          <w:szCs w:val="24"/>
        </w:rPr>
        <w:t>Increase Virginia grown native stock, and consumer access to native plants.</w:t>
      </w:r>
    </w:p>
    <w:p w14:paraId="194093D8" w14:textId="77777777" w:rsidR="00714613" w:rsidRPr="003A102D" w:rsidRDefault="00714613" w:rsidP="00AE7B49">
      <w:pPr>
        <w:rPr>
          <w:rFonts w:cstheme="minorHAnsi"/>
          <w:szCs w:val="24"/>
        </w:rPr>
      </w:pPr>
      <w:r w:rsidRPr="003A102D">
        <w:rPr>
          <w:rFonts w:cstheme="minorHAnsi"/>
          <w:b/>
          <w:bCs/>
          <w:szCs w:val="24"/>
        </w:rPr>
        <w:t>Goal 4:</w:t>
      </w:r>
      <w:r w:rsidRPr="003A102D">
        <w:rPr>
          <w:rFonts w:cstheme="minorHAnsi"/>
          <w:szCs w:val="24"/>
        </w:rPr>
        <w:t xml:space="preserve"> Increase demand and use of plants native to Virginia by: </w:t>
      </w:r>
    </w:p>
    <w:p w14:paraId="5D747E90" w14:textId="77777777" w:rsidR="00714613" w:rsidRPr="003A102D" w:rsidRDefault="00714613">
      <w:pPr>
        <w:pStyle w:val="ListParagraph"/>
        <w:numPr>
          <w:ilvl w:val="0"/>
          <w:numId w:val="26"/>
        </w:numPr>
      </w:pPr>
      <w:r w:rsidRPr="003A102D">
        <w:t>Landscape and land use professions (including engineers, L.A.’s, anyone who specify for land development/use)</w:t>
      </w:r>
    </w:p>
    <w:p w14:paraId="592843E3" w14:textId="77777777" w:rsidR="00714613" w:rsidRPr="003A102D" w:rsidRDefault="00714613">
      <w:pPr>
        <w:pStyle w:val="ListParagraph"/>
        <w:numPr>
          <w:ilvl w:val="0"/>
          <w:numId w:val="26"/>
        </w:numPr>
      </w:pPr>
      <w:r w:rsidRPr="003A102D">
        <w:t xml:space="preserve">Homeowners </w:t>
      </w:r>
    </w:p>
    <w:p w14:paraId="78C132AE" w14:textId="5A48BCD8" w:rsidR="00714613" w:rsidRPr="003A102D" w:rsidRDefault="00714613">
      <w:pPr>
        <w:pStyle w:val="ListParagraph"/>
        <w:numPr>
          <w:ilvl w:val="0"/>
          <w:numId w:val="26"/>
        </w:numPr>
        <w:spacing w:before="0" w:after="0"/>
      </w:pPr>
      <w:r w:rsidRPr="003A102D">
        <w:t xml:space="preserve">Landscaping and demonstration restoration projects on public and (state, federal) and private (landowners or non-profit ownership) </w:t>
      </w:r>
      <w:r w:rsidR="006F28F9">
        <w:br/>
      </w:r>
    </w:p>
    <w:p w14:paraId="26C22789" w14:textId="4E825584" w:rsidR="00714613" w:rsidRDefault="00714613" w:rsidP="00AE7B49">
      <w:pPr>
        <w:rPr>
          <w:rFonts w:cstheme="minorHAnsi"/>
          <w:szCs w:val="24"/>
        </w:rPr>
      </w:pPr>
      <w:r w:rsidRPr="003A102D">
        <w:rPr>
          <w:rFonts w:cstheme="minorHAnsi"/>
          <w:szCs w:val="24"/>
        </w:rPr>
        <w:t xml:space="preserve">One of the facets of the initiative is a regional native plant marketing </w:t>
      </w:r>
      <w:proofErr w:type="gramStart"/>
      <w:r w:rsidRPr="003A102D">
        <w:rPr>
          <w:rFonts w:cstheme="minorHAnsi"/>
          <w:szCs w:val="24"/>
        </w:rPr>
        <w:t>campaigns</w:t>
      </w:r>
      <w:proofErr w:type="gramEnd"/>
      <w:r w:rsidRPr="003A102D">
        <w:rPr>
          <w:rFonts w:cstheme="minorHAnsi"/>
          <w:szCs w:val="24"/>
        </w:rPr>
        <w:t xml:space="preserve"> throughout the coastal zone, across </w:t>
      </w:r>
      <w:proofErr w:type="gramStart"/>
      <w:r w:rsidRPr="003A102D">
        <w:rPr>
          <w:rFonts w:cstheme="minorHAnsi"/>
          <w:szCs w:val="24"/>
        </w:rPr>
        <w:t>the Piedmont</w:t>
      </w:r>
      <w:proofErr w:type="gramEnd"/>
      <w:r w:rsidRPr="003A102D">
        <w:rPr>
          <w:rFonts w:cstheme="minorHAnsi"/>
          <w:szCs w:val="24"/>
        </w:rPr>
        <w:t xml:space="preserve"> and into the mountains. There are now ten regional campaigns in Virginia, engaging over 200 state, regional and local partners.</w:t>
      </w:r>
    </w:p>
    <w:p w14:paraId="172F49D7" w14:textId="77777777" w:rsidR="00F02E33" w:rsidRDefault="00F02E33" w:rsidP="00AE7B49">
      <w:pPr>
        <w:rPr>
          <w:rFonts w:cstheme="minorHAnsi"/>
          <w:szCs w:val="24"/>
        </w:rPr>
      </w:pPr>
    </w:p>
    <w:p w14:paraId="52FE65A8" w14:textId="77777777" w:rsidR="00F02E33" w:rsidRDefault="00714613" w:rsidP="00AE7B49">
      <w:pPr>
        <w:rPr>
          <w:rFonts w:cstheme="minorHAnsi"/>
          <w:szCs w:val="24"/>
        </w:rPr>
      </w:pPr>
      <w:r w:rsidRPr="003A102D">
        <w:rPr>
          <w:rFonts w:cstheme="minorHAnsi"/>
          <w:szCs w:val="24"/>
        </w:rPr>
        <w:t>The regional native plant marketing campaigns help meet the goals of the initiative by focusing on helping landowners learn more about their property and the ecological benefits of a native plant landscape; and recruiting local garden centers and other providers to promote and increase the supply and variety of the native plants they carry. The campaigns also work with local jurisdictions to strengthen policies that favor native plant landscaping.</w:t>
      </w:r>
    </w:p>
    <w:p w14:paraId="72F14F04" w14:textId="77777777" w:rsidR="00F02E33" w:rsidRDefault="00F02E33" w:rsidP="00AE7B49">
      <w:pPr>
        <w:rPr>
          <w:rFonts w:cstheme="minorHAnsi"/>
          <w:szCs w:val="24"/>
        </w:rPr>
      </w:pPr>
    </w:p>
    <w:p w14:paraId="31B4CC28" w14:textId="00A0BE81" w:rsidR="00714613" w:rsidRPr="003A102D" w:rsidRDefault="00714613" w:rsidP="00AE7B49">
      <w:pPr>
        <w:rPr>
          <w:rFonts w:cstheme="minorHAnsi"/>
          <w:szCs w:val="24"/>
        </w:rPr>
      </w:pPr>
      <w:r w:rsidRPr="003A102D">
        <w:rPr>
          <w:rFonts w:cstheme="minorHAnsi"/>
          <w:szCs w:val="24"/>
        </w:rPr>
        <w:t xml:space="preserve">The regional native plant campaign model has three main components. The campaigns remove the lack of knowledge barrier through </w:t>
      </w:r>
      <w:proofErr w:type="gramStart"/>
      <w:r w:rsidRPr="003A102D">
        <w:rPr>
          <w:rFonts w:cstheme="minorHAnsi"/>
          <w:szCs w:val="24"/>
        </w:rPr>
        <w:t>use</w:t>
      </w:r>
      <w:proofErr w:type="gramEnd"/>
      <w:r w:rsidRPr="003A102D">
        <w:rPr>
          <w:rFonts w:cstheme="minorHAnsi"/>
          <w:szCs w:val="24"/>
        </w:rPr>
        <w:t xml:space="preserve"> of captivating communications to convey the benefits and to increase knowledge of native plants. Regional native plant guides have been the most popular resource. Nine guides have been published, including six coastal guides designed and funded by Virginia CZM - Eastern Shore, Northern Neck, Northern Virginia, Central Rappahannock, Virginia Capital region, Southeast Virginia, and a guide for the Northern Piedmont, Ridge and Valley and Southwest Virginia. A guide for the Southern Piedmont is in production. Campaigns collect commitments or pledges to plant natives such as signatures during public events. A decal reminds people of their pledge. By displaying this decal in a publicly visible way, those who pledge also help spread the campaign’s message within their community. Finally, the campaigns work with local and regional native plant providers on point-of-sale materials to help customers find native plants such as signage and plant tags, which encourages both the demand and supply of native plants. Over 100,000 full-color guides have been distributed.</w:t>
      </w:r>
    </w:p>
    <w:p w14:paraId="0008FB0B" w14:textId="77777777" w:rsidR="00714613" w:rsidRPr="003A102D" w:rsidRDefault="00714613" w:rsidP="00AE7B49">
      <w:pPr>
        <w:rPr>
          <w:rFonts w:cstheme="minorHAnsi"/>
          <w:szCs w:val="24"/>
        </w:rPr>
      </w:pPr>
    </w:p>
    <w:p w14:paraId="739386AC" w14:textId="31B8F923" w:rsidR="00714613" w:rsidRPr="003A102D" w:rsidRDefault="00714613" w:rsidP="00AE7B49">
      <w:pPr>
        <w:rPr>
          <w:rFonts w:cstheme="minorHAnsi"/>
          <w:szCs w:val="24"/>
        </w:rPr>
      </w:pPr>
      <w:r w:rsidRPr="003A102D">
        <w:rPr>
          <w:rFonts w:cstheme="minorHAnsi"/>
          <w:szCs w:val="24"/>
        </w:rPr>
        <w:t>Each of these full-color guides highlight 100 or so species of flowering perennials, ferns, vines, grasses, shrubs and trees with a photo, description, symbols for light and moisture requirements and wildlife value (butterfly, caterpillar, bird), and interesting facts. Indices list hundreds of additional species. The guides include sections on conservation landscaping; right plants for right places; native plant demonstration gardens; additional resources about native plants and landscaping with native plants. Each regional guide also highlights invasive plants of particular concern in the region and native alternatives.</w:t>
      </w:r>
    </w:p>
    <w:p w14:paraId="7DA25EBB" w14:textId="77777777" w:rsidR="00714613" w:rsidRPr="003A102D" w:rsidRDefault="00714613" w:rsidP="00AE7B49">
      <w:pPr>
        <w:rPr>
          <w:rFonts w:cstheme="minorHAnsi"/>
          <w:szCs w:val="24"/>
        </w:rPr>
      </w:pPr>
    </w:p>
    <w:p w14:paraId="3551D161" w14:textId="7DC9069F" w:rsidR="00714613" w:rsidRPr="003A102D" w:rsidRDefault="00714613" w:rsidP="00AE7B49">
      <w:pPr>
        <w:rPr>
          <w:rFonts w:cstheme="minorHAnsi"/>
          <w:szCs w:val="24"/>
        </w:rPr>
      </w:pPr>
      <w:r w:rsidRPr="003A102D">
        <w:rPr>
          <w:rFonts w:cstheme="minorHAnsi"/>
          <w:szCs w:val="24"/>
        </w:rPr>
        <w:t>Encouraging landowners and gardeners everywhere to choose plants native to Virginia reduces the risk of invasive plants escaping and</w:t>
      </w:r>
      <w:r w:rsidR="008B588D">
        <w:rPr>
          <w:rFonts w:cstheme="minorHAnsi"/>
          <w:szCs w:val="24"/>
        </w:rPr>
        <w:t xml:space="preserve"> </w:t>
      </w:r>
      <w:r w:rsidRPr="003A102D">
        <w:rPr>
          <w:rFonts w:cstheme="minorHAnsi"/>
          <w:szCs w:val="24"/>
        </w:rPr>
        <w:t>impacting our forests, fields, parks, waterways, and backyards.</w:t>
      </w:r>
      <w:r w:rsidR="0024125C">
        <w:rPr>
          <w:rFonts w:cstheme="minorHAnsi"/>
          <w:szCs w:val="24"/>
        </w:rPr>
        <w:t xml:space="preserve"> </w:t>
      </w:r>
      <w:r w:rsidRPr="003A102D">
        <w:rPr>
          <w:rFonts w:cstheme="minorHAnsi"/>
          <w:szCs w:val="24"/>
        </w:rPr>
        <w:t xml:space="preserve">The benefit of working together is a proven strategy modeled </w:t>
      </w:r>
      <w:proofErr w:type="gramStart"/>
      <w:r w:rsidRPr="003A102D">
        <w:rPr>
          <w:rFonts w:cstheme="minorHAnsi"/>
          <w:szCs w:val="24"/>
        </w:rPr>
        <w:t>by</w:t>
      </w:r>
      <w:proofErr w:type="gramEnd"/>
      <w:r w:rsidRPr="003A102D">
        <w:rPr>
          <w:rFonts w:cstheme="minorHAnsi"/>
          <w:szCs w:val="24"/>
        </w:rPr>
        <w:t xml:space="preserve"> the Plant Virginia Natives initiative. Collaboration among many partners helps us reach into all corners of the state with our shared message about the numerous benefits of Virginia’s native plants.</w:t>
      </w:r>
    </w:p>
    <w:p w14:paraId="1EDA3362" w14:textId="77777777" w:rsidR="00714613" w:rsidRPr="003A102D" w:rsidRDefault="00714613" w:rsidP="00AE7B49">
      <w:pPr>
        <w:rPr>
          <w:rFonts w:cstheme="minorHAnsi"/>
        </w:rPr>
      </w:pPr>
    </w:p>
    <w:p w14:paraId="63EFC473" w14:textId="2CA172A7" w:rsidR="00714613" w:rsidRPr="00B06A53" w:rsidRDefault="00714613" w:rsidP="00B06A53">
      <w:pPr>
        <w:pStyle w:val="Heading3"/>
      </w:pPr>
      <w:r w:rsidRPr="00B06A53">
        <w:t>Virginia Coastal Needs Assessments and Strategies</w:t>
      </w:r>
    </w:p>
    <w:p w14:paraId="6FD9752F" w14:textId="77777777" w:rsidR="00F02E33" w:rsidRDefault="00714613" w:rsidP="0099376A">
      <w:pPr>
        <w:pStyle w:val="NormalWeb"/>
        <w:shd w:val="clear" w:color="auto" w:fill="FFFFFF"/>
        <w:spacing w:before="0" w:beforeAutospacing="0" w:after="0" w:afterAutospacing="0"/>
        <w:rPr>
          <w:rFonts w:asciiTheme="minorHAnsi" w:hAnsiTheme="minorHAnsi" w:cstheme="minorHAnsi"/>
          <w:color w:val="000000" w:themeColor="text1"/>
        </w:rPr>
      </w:pPr>
      <w:r w:rsidRPr="00C35235">
        <w:rPr>
          <w:rFonts w:asciiTheme="minorHAnsi" w:hAnsiTheme="minorHAnsi" w:cstheme="minorHAnsi"/>
          <w:color w:val="000000" w:themeColor="text1"/>
        </w:rPr>
        <w:t>Population growth along Virginia's coast brings new challenges to managing the Commonwealth's coastal resources.</w:t>
      </w:r>
      <w:r w:rsidR="00C35235" w:rsidRPr="00C35235">
        <w:rPr>
          <w:rFonts w:asciiTheme="minorHAnsi" w:hAnsiTheme="minorHAnsi" w:cstheme="minorHAnsi"/>
          <w:color w:val="000000" w:themeColor="text1"/>
        </w:rPr>
        <w:t xml:space="preserve"> </w:t>
      </w:r>
      <w:r w:rsidRPr="00C35235">
        <w:rPr>
          <w:rFonts w:asciiTheme="minorHAnsi" w:hAnsiTheme="minorHAnsi" w:cstheme="minorHAnsi"/>
          <w:color w:val="000000" w:themeColor="text1"/>
        </w:rPr>
        <w:t>Every five years the Virginia CZM Program assesses the status of Virginia’s coastal resources and management efforts to identify coastal enhancement areas of high priority need.</w:t>
      </w:r>
    </w:p>
    <w:p w14:paraId="0FFD558D" w14:textId="77777777" w:rsidR="00F02E33" w:rsidRDefault="00F02E33" w:rsidP="0099376A">
      <w:pPr>
        <w:pStyle w:val="NormalWeb"/>
        <w:shd w:val="clear" w:color="auto" w:fill="FFFFFF"/>
        <w:spacing w:before="0" w:beforeAutospacing="0" w:after="0" w:afterAutospacing="0"/>
        <w:rPr>
          <w:rFonts w:asciiTheme="minorHAnsi" w:hAnsiTheme="minorHAnsi" w:cstheme="minorHAnsi"/>
          <w:color w:val="000000" w:themeColor="text1"/>
        </w:rPr>
      </w:pPr>
    </w:p>
    <w:p w14:paraId="768DAD6D" w14:textId="7C560869" w:rsidR="00714613" w:rsidRPr="00C35235" w:rsidRDefault="00714613" w:rsidP="0099376A">
      <w:pPr>
        <w:pStyle w:val="NormalWeb"/>
        <w:shd w:val="clear" w:color="auto" w:fill="FFFFFF"/>
        <w:spacing w:before="0" w:beforeAutospacing="0" w:after="0" w:afterAutospacing="0"/>
        <w:rPr>
          <w:rFonts w:asciiTheme="minorHAnsi" w:hAnsiTheme="minorHAnsi" w:cstheme="minorHAnsi"/>
          <w:color w:val="000000" w:themeColor="text1"/>
        </w:rPr>
      </w:pPr>
      <w:r w:rsidRPr="00C35235">
        <w:rPr>
          <w:rFonts w:asciiTheme="minorHAnsi" w:hAnsiTheme="minorHAnsi" w:cstheme="minorHAnsi"/>
          <w:color w:val="000000" w:themeColor="text1"/>
        </w:rPr>
        <w:t>Working with state agencies, local governments and other stakeholders, Virginia CZM Program staff then draft five-year grant strategies to develop enforceable policies to better manage these high priority areas.</w:t>
      </w:r>
      <w:r w:rsidR="008B588D">
        <w:rPr>
          <w:rFonts w:asciiTheme="minorHAnsi" w:hAnsiTheme="minorHAnsi" w:cstheme="minorHAnsi"/>
          <w:color w:val="000000" w:themeColor="text1"/>
        </w:rPr>
        <w:t xml:space="preserve"> </w:t>
      </w:r>
      <w:r w:rsidRPr="00C35235">
        <w:rPr>
          <w:rFonts w:asciiTheme="minorHAnsi" w:hAnsiTheme="minorHAnsi" w:cstheme="minorHAnsi"/>
          <w:color w:val="000000" w:themeColor="text1"/>
          <w:shd w:val="clear" w:color="auto" w:fill="FFFFFF"/>
        </w:rPr>
        <w:t>When the federal</w:t>
      </w:r>
      <w:r w:rsidR="008B588D">
        <w:rPr>
          <w:rFonts w:asciiTheme="minorHAnsi" w:hAnsiTheme="minorHAnsi" w:cstheme="minorHAnsi"/>
          <w:color w:val="000000" w:themeColor="text1"/>
          <w:shd w:val="clear" w:color="auto" w:fill="FFFFFF"/>
        </w:rPr>
        <w:t xml:space="preserve"> </w:t>
      </w:r>
      <w:r w:rsidRPr="00C35235">
        <w:rPr>
          <w:rFonts w:asciiTheme="minorHAnsi" w:hAnsiTheme="minorHAnsi" w:cstheme="minorHAnsi"/>
          <w:shd w:val="clear" w:color="auto" w:fill="FFFFFF"/>
        </w:rPr>
        <w:t>Coastal Zone Management Act</w:t>
      </w:r>
      <w:r w:rsidR="008B588D">
        <w:rPr>
          <w:rFonts w:asciiTheme="minorHAnsi" w:hAnsiTheme="minorHAnsi" w:cstheme="minorHAnsi"/>
          <w:shd w:val="clear" w:color="auto" w:fill="FFFFFF"/>
        </w:rPr>
        <w:t xml:space="preserve"> </w:t>
      </w:r>
      <w:r w:rsidRPr="00C35235">
        <w:rPr>
          <w:rFonts w:asciiTheme="minorHAnsi" w:hAnsiTheme="minorHAnsi" w:cstheme="minorHAnsi"/>
          <w:shd w:val="clear" w:color="auto" w:fill="FFFFFF"/>
        </w:rPr>
        <w:t>(CZMA)</w:t>
      </w:r>
      <w:r w:rsidRPr="00C35235">
        <w:rPr>
          <w:rFonts w:asciiTheme="minorHAnsi" w:hAnsiTheme="minorHAnsi" w:cstheme="minorHAnsi"/>
          <w:color w:val="000000" w:themeColor="text1"/>
          <w:shd w:val="clear" w:color="auto" w:fill="FFFFFF"/>
        </w:rPr>
        <w:t xml:space="preserve"> was reauthorized in 1990, a new program was created to provide voluntary, match-free funding to coastal states to address needs in nine coastal areas, also known as "coastal enhancement areas":</w:t>
      </w:r>
    </w:p>
    <w:p w14:paraId="34431CD1" w14:textId="77777777" w:rsidR="00714613" w:rsidRPr="00C35235" w:rsidRDefault="00714613">
      <w:pPr>
        <w:pStyle w:val="ListParagraph"/>
        <w:numPr>
          <w:ilvl w:val="0"/>
          <w:numId w:val="27"/>
        </w:numPr>
        <w:rPr>
          <w:rFonts w:cstheme="minorHAnsi"/>
          <w:szCs w:val="24"/>
        </w:rPr>
      </w:pPr>
      <w:r w:rsidRPr="00C35235">
        <w:rPr>
          <w:rFonts w:cstheme="minorHAnsi"/>
          <w:szCs w:val="24"/>
        </w:rPr>
        <w:t>wetlands</w:t>
      </w:r>
    </w:p>
    <w:p w14:paraId="0DB55F43" w14:textId="77777777" w:rsidR="00714613" w:rsidRPr="00C35235" w:rsidRDefault="00714613">
      <w:pPr>
        <w:pStyle w:val="ListParagraph"/>
        <w:numPr>
          <w:ilvl w:val="0"/>
          <w:numId w:val="27"/>
        </w:numPr>
        <w:rPr>
          <w:rFonts w:cstheme="minorHAnsi"/>
          <w:szCs w:val="24"/>
        </w:rPr>
      </w:pPr>
      <w:r w:rsidRPr="00C35235">
        <w:rPr>
          <w:rFonts w:cstheme="minorHAnsi"/>
          <w:szCs w:val="24"/>
        </w:rPr>
        <w:t xml:space="preserve">coastal hazards </w:t>
      </w:r>
    </w:p>
    <w:p w14:paraId="02143EF2" w14:textId="77777777" w:rsidR="00714613" w:rsidRPr="00C35235" w:rsidRDefault="00714613">
      <w:pPr>
        <w:pStyle w:val="ListParagraph"/>
        <w:numPr>
          <w:ilvl w:val="0"/>
          <w:numId w:val="27"/>
        </w:numPr>
        <w:rPr>
          <w:rFonts w:cstheme="minorHAnsi"/>
          <w:szCs w:val="24"/>
        </w:rPr>
      </w:pPr>
      <w:r w:rsidRPr="00C35235">
        <w:rPr>
          <w:rFonts w:cstheme="minorHAnsi"/>
          <w:szCs w:val="24"/>
        </w:rPr>
        <w:t xml:space="preserve">public access </w:t>
      </w:r>
    </w:p>
    <w:p w14:paraId="5DBF86D4" w14:textId="77777777" w:rsidR="00714613" w:rsidRPr="00C35235" w:rsidRDefault="00714613">
      <w:pPr>
        <w:pStyle w:val="ListParagraph"/>
        <w:numPr>
          <w:ilvl w:val="0"/>
          <w:numId w:val="27"/>
        </w:numPr>
        <w:rPr>
          <w:rFonts w:cstheme="minorHAnsi"/>
          <w:szCs w:val="24"/>
        </w:rPr>
      </w:pPr>
      <w:r w:rsidRPr="00C35235">
        <w:rPr>
          <w:rFonts w:cstheme="minorHAnsi"/>
          <w:szCs w:val="24"/>
        </w:rPr>
        <w:t xml:space="preserve">marine debris </w:t>
      </w:r>
    </w:p>
    <w:p w14:paraId="17A466B6" w14:textId="77777777" w:rsidR="00714613" w:rsidRPr="00C35235" w:rsidRDefault="00714613">
      <w:pPr>
        <w:pStyle w:val="ListParagraph"/>
        <w:numPr>
          <w:ilvl w:val="0"/>
          <w:numId w:val="27"/>
        </w:numPr>
        <w:rPr>
          <w:rFonts w:cstheme="minorHAnsi"/>
          <w:szCs w:val="24"/>
        </w:rPr>
      </w:pPr>
      <w:r w:rsidRPr="00C35235">
        <w:rPr>
          <w:rFonts w:cstheme="minorHAnsi"/>
          <w:szCs w:val="24"/>
        </w:rPr>
        <w:t xml:space="preserve">cumulative and secondary impacts of growth and development (CSI) </w:t>
      </w:r>
    </w:p>
    <w:p w14:paraId="1905099E" w14:textId="77777777" w:rsidR="00714613" w:rsidRPr="00C35235" w:rsidRDefault="00714613">
      <w:pPr>
        <w:pStyle w:val="ListParagraph"/>
        <w:numPr>
          <w:ilvl w:val="0"/>
          <w:numId w:val="27"/>
        </w:numPr>
        <w:rPr>
          <w:rFonts w:cstheme="minorHAnsi"/>
          <w:szCs w:val="24"/>
        </w:rPr>
      </w:pPr>
      <w:r w:rsidRPr="00C35235">
        <w:rPr>
          <w:rFonts w:cstheme="minorHAnsi"/>
          <w:szCs w:val="24"/>
        </w:rPr>
        <w:t xml:space="preserve">special area management planning (SAMPs) </w:t>
      </w:r>
    </w:p>
    <w:p w14:paraId="714EC065" w14:textId="77777777" w:rsidR="00714613" w:rsidRPr="00C35235" w:rsidRDefault="00714613">
      <w:pPr>
        <w:pStyle w:val="ListParagraph"/>
        <w:numPr>
          <w:ilvl w:val="0"/>
          <w:numId w:val="27"/>
        </w:numPr>
        <w:rPr>
          <w:rFonts w:cstheme="minorHAnsi"/>
          <w:szCs w:val="24"/>
        </w:rPr>
      </w:pPr>
      <w:r w:rsidRPr="00C35235">
        <w:rPr>
          <w:rFonts w:cstheme="minorHAnsi"/>
          <w:szCs w:val="24"/>
        </w:rPr>
        <w:t xml:space="preserve">ocean resources </w:t>
      </w:r>
    </w:p>
    <w:p w14:paraId="7537E643" w14:textId="77777777" w:rsidR="00714613" w:rsidRPr="00C35235" w:rsidRDefault="00714613">
      <w:pPr>
        <w:pStyle w:val="ListParagraph"/>
        <w:numPr>
          <w:ilvl w:val="0"/>
          <w:numId w:val="27"/>
        </w:numPr>
        <w:rPr>
          <w:rFonts w:cstheme="minorHAnsi"/>
          <w:szCs w:val="24"/>
        </w:rPr>
      </w:pPr>
      <w:r w:rsidRPr="00C35235">
        <w:rPr>
          <w:rFonts w:cstheme="minorHAnsi"/>
          <w:szCs w:val="24"/>
        </w:rPr>
        <w:t xml:space="preserve">energy and government facility </w:t>
      </w:r>
      <w:proofErr w:type="gramStart"/>
      <w:r w:rsidRPr="00C35235">
        <w:rPr>
          <w:rFonts w:cstheme="minorHAnsi"/>
          <w:szCs w:val="24"/>
        </w:rPr>
        <w:t>siting</w:t>
      </w:r>
      <w:proofErr w:type="gramEnd"/>
      <w:r w:rsidRPr="00C35235">
        <w:rPr>
          <w:rFonts w:cstheme="minorHAnsi"/>
          <w:szCs w:val="24"/>
        </w:rPr>
        <w:t xml:space="preserve"> </w:t>
      </w:r>
    </w:p>
    <w:p w14:paraId="7C89970A" w14:textId="77777777" w:rsidR="00714613" w:rsidRPr="00C35235" w:rsidRDefault="00714613">
      <w:pPr>
        <w:pStyle w:val="ListParagraph"/>
        <w:numPr>
          <w:ilvl w:val="0"/>
          <w:numId w:val="27"/>
        </w:numPr>
        <w:rPr>
          <w:rFonts w:cstheme="minorHAnsi"/>
          <w:szCs w:val="24"/>
        </w:rPr>
      </w:pPr>
      <w:r w:rsidRPr="00C35235">
        <w:rPr>
          <w:rFonts w:cstheme="minorHAnsi"/>
          <w:szCs w:val="24"/>
        </w:rPr>
        <w:t xml:space="preserve">aquaculture </w:t>
      </w:r>
    </w:p>
    <w:p w14:paraId="60D98F36" w14:textId="77777777" w:rsidR="008B588D" w:rsidRDefault="00714613" w:rsidP="000055B2">
      <w:pPr>
        <w:widowControl/>
        <w:rPr>
          <w:rFonts w:cstheme="minorHAnsi"/>
          <w:color w:val="000000" w:themeColor="text1"/>
          <w:szCs w:val="24"/>
          <w:shd w:val="clear" w:color="auto" w:fill="FFFFFF"/>
        </w:rPr>
      </w:pPr>
      <w:r w:rsidRPr="00C35235">
        <w:rPr>
          <w:rFonts w:cstheme="minorHAnsi"/>
          <w:color w:val="000000" w:themeColor="text1"/>
          <w:szCs w:val="24"/>
          <w:shd w:val="clear" w:color="auto" w:fill="FFFFFF"/>
        </w:rPr>
        <w:t>The National Oceanic and Atmospheric Administration (NOAA) distributes CZMA funds and requires that coastal states assess changes, progress, and new issues in these areas every five years.</w:t>
      </w:r>
      <w:r w:rsidR="008B588D">
        <w:rPr>
          <w:rFonts w:cstheme="minorHAnsi"/>
          <w:color w:val="000000" w:themeColor="text1"/>
          <w:szCs w:val="24"/>
          <w:shd w:val="clear" w:color="auto" w:fill="FFFFFF"/>
        </w:rPr>
        <w:t xml:space="preserve"> </w:t>
      </w:r>
      <w:r w:rsidRPr="00C35235">
        <w:rPr>
          <w:rFonts w:cstheme="minorHAnsi"/>
          <w:color w:val="000000" w:themeColor="text1"/>
          <w:szCs w:val="24"/>
          <w:shd w:val="clear" w:color="auto" w:fill="FFFFFF"/>
        </w:rPr>
        <w:t xml:space="preserve">Visit the </w:t>
      </w:r>
      <w:r w:rsidR="000D6997" w:rsidRPr="00C35235">
        <w:rPr>
          <w:rFonts w:cstheme="minorHAnsi"/>
          <w:snapToGrid/>
          <w:color w:val="000000"/>
          <w:szCs w:val="24"/>
        </w:rPr>
        <w:t>NOAA The Coastal Zone Enhancement Program</w:t>
      </w:r>
      <w:r w:rsidR="000055B2" w:rsidRPr="00C35235">
        <w:rPr>
          <w:rFonts w:cstheme="minorHAnsi"/>
          <w:snapToGrid/>
          <w:color w:val="000000"/>
          <w:szCs w:val="24"/>
        </w:rPr>
        <w:t xml:space="preserve"> </w:t>
      </w:r>
      <w:r w:rsidRPr="00C35235">
        <w:rPr>
          <w:rFonts w:cstheme="minorHAnsi"/>
          <w:color w:val="000000" w:themeColor="text1"/>
          <w:szCs w:val="24"/>
          <w:shd w:val="clear" w:color="auto" w:fill="FFFFFF"/>
        </w:rPr>
        <w:t>webpage for more information.</w:t>
      </w:r>
    </w:p>
    <w:p w14:paraId="457460D4" w14:textId="155804C1" w:rsidR="00714613" w:rsidRPr="00C35235" w:rsidRDefault="00714613" w:rsidP="000055B2">
      <w:pPr>
        <w:widowControl/>
        <w:rPr>
          <w:rFonts w:cstheme="minorHAnsi"/>
          <w:snapToGrid/>
          <w:color w:val="000000"/>
          <w:szCs w:val="24"/>
        </w:rPr>
      </w:pPr>
    </w:p>
    <w:p w14:paraId="44D5E480" w14:textId="77777777" w:rsidR="008B588D" w:rsidRDefault="00714613" w:rsidP="00AE7B49">
      <w:pPr>
        <w:pStyle w:val="NormalWeb"/>
        <w:spacing w:before="0" w:beforeAutospacing="0" w:after="0" w:afterAutospacing="0"/>
        <w:rPr>
          <w:rFonts w:asciiTheme="minorHAnsi" w:hAnsiTheme="minorHAnsi" w:cstheme="minorHAnsi"/>
          <w:color w:val="000000" w:themeColor="text1"/>
        </w:rPr>
      </w:pPr>
      <w:r w:rsidRPr="00C35235">
        <w:rPr>
          <w:rFonts w:asciiTheme="minorHAnsi" w:hAnsiTheme="minorHAnsi" w:cstheme="minorHAnsi"/>
          <w:color w:val="000000" w:themeColor="text1"/>
          <w:shd w:val="clear" w:color="auto" w:fill="FFFFFF"/>
        </w:rPr>
        <w:t>The Virginia CZM Program's Coastal Policy Team (CPT) meets to review and prioritize the nine assessment areas (high, medium</w:t>
      </w:r>
      <w:r w:rsidR="00C201E3" w:rsidRPr="00C35235">
        <w:rPr>
          <w:rFonts w:asciiTheme="minorHAnsi" w:hAnsiTheme="minorHAnsi" w:cstheme="minorHAnsi"/>
          <w:color w:val="000000" w:themeColor="text1"/>
          <w:shd w:val="clear" w:color="auto" w:fill="FFFFFF"/>
        </w:rPr>
        <w:t>,</w:t>
      </w:r>
      <w:r w:rsidRPr="00C35235">
        <w:rPr>
          <w:rFonts w:asciiTheme="minorHAnsi" w:hAnsiTheme="minorHAnsi" w:cstheme="minorHAnsi"/>
          <w:color w:val="000000" w:themeColor="text1"/>
          <w:shd w:val="clear" w:color="auto" w:fill="FFFFFF"/>
        </w:rPr>
        <w:t xml:space="preserve"> or low). </w:t>
      </w:r>
      <w:proofErr w:type="gramStart"/>
      <w:r w:rsidRPr="00C35235">
        <w:rPr>
          <w:rFonts w:asciiTheme="minorHAnsi" w:hAnsiTheme="minorHAnsi" w:cstheme="minorHAnsi"/>
          <w:color w:val="000000" w:themeColor="text1"/>
          <w:shd w:val="clear" w:color="auto" w:fill="FFFFFF"/>
        </w:rPr>
        <w:t>The CPT</w:t>
      </w:r>
      <w:proofErr w:type="gramEnd"/>
      <w:r w:rsidRPr="00C35235">
        <w:rPr>
          <w:rFonts w:asciiTheme="minorHAnsi" w:hAnsiTheme="minorHAnsi" w:cstheme="minorHAnsi"/>
          <w:color w:val="000000" w:themeColor="text1"/>
          <w:shd w:val="clear" w:color="auto" w:fill="FFFFFF"/>
        </w:rPr>
        <w:t xml:space="preserve"> considers the criteria listed below to determine the priority for each area.</w:t>
      </w:r>
      <w:r w:rsidR="005A542C" w:rsidRPr="00C35235">
        <w:rPr>
          <w:rFonts w:asciiTheme="minorHAnsi" w:hAnsiTheme="minorHAnsi" w:cstheme="minorHAnsi"/>
          <w:color w:val="000000" w:themeColor="text1"/>
          <w:shd w:val="clear" w:color="auto" w:fill="FFFFFF"/>
        </w:rPr>
        <w:t xml:space="preserve"> </w:t>
      </w:r>
      <w:r w:rsidRPr="00C35235">
        <w:rPr>
          <w:rFonts w:asciiTheme="minorHAnsi" w:hAnsiTheme="minorHAnsi" w:cstheme="minorHAnsi"/>
          <w:color w:val="000000" w:themeColor="text1"/>
        </w:rPr>
        <w:t>Once the Virginia CZM Program has conducted its Coastal Needs Assessment, and prioritizes the areas, the program develops five-year Coastal Strategies to address improvements in the areas of high priority. These strategies are developed with input from the program's partners and constituencies through focus groups and strategy work group meetings.</w:t>
      </w:r>
    </w:p>
    <w:p w14:paraId="2EEDD406" w14:textId="5CABC9C1" w:rsidR="00714613" w:rsidRPr="005A542C" w:rsidRDefault="00714613" w:rsidP="00AE7B49">
      <w:pPr>
        <w:pStyle w:val="NormalWeb"/>
        <w:spacing w:before="0" w:beforeAutospacing="0" w:after="0" w:afterAutospacing="0"/>
        <w:rPr>
          <w:rFonts w:asciiTheme="minorHAnsi" w:hAnsiTheme="minorHAnsi" w:cstheme="minorHAnsi"/>
          <w:color w:val="000000" w:themeColor="text1"/>
          <w:shd w:val="clear" w:color="auto" w:fill="FFFFFF"/>
        </w:rPr>
      </w:pPr>
    </w:p>
    <w:p w14:paraId="47DB4850" w14:textId="77777777" w:rsidR="008B588D" w:rsidRDefault="00714613" w:rsidP="00AE7B49">
      <w:pPr>
        <w:pStyle w:val="NormalWeb"/>
        <w:shd w:val="clear" w:color="auto" w:fill="FFFFFF"/>
        <w:spacing w:before="0" w:beforeAutospacing="0" w:after="0" w:afterAutospacing="0"/>
        <w:rPr>
          <w:rFonts w:asciiTheme="minorHAnsi" w:hAnsiTheme="minorHAnsi" w:cstheme="minorHAnsi"/>
          <w:color w:val="000000" w:themeColor="text1"/>
        </w:rPr>
      </w:pPr>
      <w:r w:rsidRPr="003A102D">
        <w:rPr>
          <w:rFonts w:asciiTheme="minorHAnsi" w:hAnsiTheme="minorHAnsi" w:cstheme="minorHAnsi"/>
          <w:color w:val="000000" w:themeColor="text1"/>
        </w:rPr>
        <w:t>The completed Virginia Coastal Needs Assessment and Strategies document is made available for Public Comment on the Virginia CZM Program website. Virginia CZM Program staff then send the document to NOAA's</w:t>
      </w:r>
      <w:r w:rsidR="008B588D">
        <w:rPr>
          <w:rFonts w:asciiTheme="minorHAnsi" w:hAnsiTheme="minorHAnsi" w:cstheme="minorHAnsi"/>
          <w:color w:val="000000" w:themeColor="text1"/>
        </w:rPr>
        <w:t xml:space="preserve"> </w:t>
      </w:r>
      <w:r w:rsidRPr="005D4E43">
        <w:rPr>
          <w:rFonts w:asciiTheme="minorHAnsi" w:hAnsiTheme="minorHAnsi" w:cstheme="minorHAnsi"/>
        </w:rPr>
        <w:t>Office for Coastal Management</w:t>
      </w:r>
      <w:r w:rsidR="008B588D">
        <w:rPr>
          <w:rFonts w:asciiTheme="minorHAnsi" w:hAnsiTheme="minorHAnsi" w:cstheme="minorHAnsi"/>
        </w:rPr>
        <w:t xml:space="preserve"> </w:t>
      </w:r>
      <w:r w:rsidRPr="003A102D">
        <w:rPr>
          <w:rFonts w:asciiTheme="minorHAnsi" w:hAnsiTheme="minorHAnsi" w:cstheme="minorHAnsi"/>
          <w:color w:val="000000" w:themeColor="text1"/>
        </w:rPr>
        <w:t>for approval.</w:t>
      </w:r>
      <w:r w:rsidR="008B588D">
        <w:rPr>
          <w:rFonts w:asciiTheme="minorHAnsi" w:hAnsiTheme="minorHAnsi" w:cstheme="minorHAnsi"/>
          <w:color w:val="000000" w:themeColor="text1"/>
        </w:rPr>
        <w:t xml:space="preserve"> </w:t>
      </w:r>
      <w:r w:rsidRPr="003A102D">
        <w:rPr>
          <w:rFonts w:asciiTheme="minorHAnsi" w:hAnsiTheme="minorHAnsi" w:cstheme="minorHAnsi"/>
          <w:color w:val="000000" w:themeColor="text1"/>
        </w:rPr>
        <w:t xml:space="preserve">Once NOAA's </w:t>
      </w:r>
      <w:r w:rsidRPr="003A102D">
        <w:rPr>
          <w:rFonts w:asciiTheme="minorHAnsi" w:hAnsiTheme="minorHAnsi" w:cstheme="minorHAnsi"/>
          <w:color w:val="000000" w:themeColor="text1"/>
        </w:rPr>
        <w:lastRenderedPageBreak/>
        <w:t>approval is received, specific grant projects are developed to accomplish the strategies over the five-year period. The proposals for these projects are then approved</w:t>
      </w:r>
      <w:r w:rsidR="008B588D">
        <w:rPr>
          <w:rFonts w:asciiTheme="minorHAnsi" w:hAnsiTheme="minorHAnsi" w:cstheme="minorHAnsi"/>
          <w:color w:val="000000" w:themeColor="text1"/>
        </w:rPr>
        <w:t xml:space="preserve"> </w:t>
      </w:r>
      <w:r w:rsidRPr="003A102D">
        <w:rPr>
          <w:rStyle w:val="Emphasis"/>
          <w:rFonts w:asciiTheme="minorHAnsi" w:hAnsiTheme="minorHAnsi" w:cstheme="minorHAnsi"/>
          <w:color w:val="000000" w:themeColor="text1"/>
        </w:rPr>
        <w:t>annually</w:t>
      </w:r>
      <w:r w:rsidR="008B588D">
        <w:rPr>
          <w:rFonts w:asciiTheme="minorHAnsi" w:hAnsiTheme="minorHAnsi" w:cstheme="minorHAnsi"/>
          <w:color w:val="000000" w:themeColor="text1"/>
        </w:rPr>
        <w:t xml:space="preserve"> </w:t>
      </w:r>
      <w:r w:rsidRPr="003A102D">
        <w:rPr>
          <w:rFonts w:asciiTheme="minorHAnsi" w:hAnsiTheme="minorHAnsi" w:cstheme="minorHAnsi"/>
          <w:color w:val="000000" w:themeColor="text1"/>
        </w:rPr>
        <w:t>by NOAA's Office for Coastal Management.</w:t>
      </w:r>
      <w:r w:rsidR="008B588D">
        <w:rPr>
          <w:rFonts w:asciiTheme="minorHAnsi" w:hAnsiTheme="minorHAnsi" w:cstheme="minorHAnsi"/>
          <w:color w:val="000000" w:themeColor="text1"/>
        </w:rPr>
        <w:t xml:space="preserve"> </w:t>
      </w:r>
      <w:r w:rsidRPr="003A102D">
        <w:rPr>
          <w:rFonts w:asciiTheme="minorHAnsi" w:hAnsiTheme="minorHAnsi" w:cstheme="minorHAnsi"/>
          <w:color w:val="000000" w:themeColor="text1"/>
        </w:rPr>
        <w:t>Pending NOAA's approval of the proposals, the Virginia CZM Program receives approximately $520,000 - $540,000 each year over five years to implement its strategies.</w:t>
      </w:r>
    </w:p>
    <w:p w14:paraId="56D2F501" w14:textId="2B244BE4" w:rsidR="00714613" w:rsidRPr="003A102D" w:rsidRDefault="00714613" w:rsidP="00AE7B49">
      <w:pPr>
        <w:pStyle w:val="NormalWeb"/>
        <w:shd w:val="clear" w:color="auto" w:fill="FFFFFF"/>
        <w:spacing w:before="0" w:beforeAutospacing="0" w:after="0" w:afterAutospacing="0"/>
        <w:rPr>
          <w:rFonts w:asciiTheme="minorHAnsi" w:hAnsiTheme="minorHAnsi" w:cstheme="minorHAnsi"/>
          <w:color w:val="000000" w:themeColor="text1"/>
        </w:rPr>
      </w:pPr>
    </w:p>
    <w:p w14:paraId="760E1667" w14:textId="6B0B0896" w:rsidR="00714613" w:rsidRPr="003A102D" w:rsidRDefault="00714613" w:rsidP="00AE7B49">
      <w:pPr>
        <w:pStyle w:val="NormalWeb"/>
        <w:spacing w:before="0" w:beforeAutospacing="0" w:after="0" w:afterAutospacing="0"/>
        <w:rPr>
          <w:rFonts w:asciiTheme="minorHAnsi" w:hAnsiTheme="minorHAnsi" w:cstheme="minorHAnsi"/>
          <w:i/>
          <w:color w:val="000000"/>
        </w:rPr>
      </w:pPr>
      <w:r w:rsidRPr="003A102D">
        <w:rPr>
          <w:rFonts w:asciiTheme="minorHAnsi" w:hAnsiTheme="minorHAnsi" w:cstheme="minorHAnsi"/>
          <w:i/>
          <w:color w:val="000000"/>
        </w:rPr>
        <w:t>Virginia's 2020 Coastal Needs Assessment and FY2021 - FY2025 Strategies</w:t>
      </w:r>
    </w:p>
    <w:p w14:paraId="157E74F7" w14:textId="5927E863" w:rsidR="00714613" w:rsidRPr="003A102D" w:rsidRDefault="00714613" w:rsidP="00AE7B49">
      <w:pPr>
        <w:pStyle w:val="NormalWeb"/>
        <w:shd w:val="clear" w:color="auto" w:fill="FFFFFF"/>
        <w:spacing w:before="0" w:beforeAutospacing="0" w:after="0" w:afterAutospacing="0"/>
        <w:rPr>
          <w:rFonts w:asciiTheme="minorHAnsi" w:hAnsiTheme="minorHAnsi" w:cstheme="minorHAnsi"/>
          <w:color w:val="000000" w:themeColor="text1"/>
        </w:rPr>
      </w:pPr>
      <w:r w:rsidRPr="003A102D">
        <w:rPr>
          <w:rFonts w:asciiTheme="minorHAnsi" w:hAnsiTheme="minorHAnsi" w:cstheme="minorHAnsi"/>
          <w:color w:val="000000" w:themeColor="text1"/>
        </w:rPr>
        <w:t>Download all</w:t>
      </w:r>
      <w:r w:rsidR="008B588D">
        <w:rPr>
          <w:rFonts w:asciiTheme="minorHAnsi" w:hAnsiTheme="minorHAnsi" w:cstheme="minorHAnsi"/>
          <w:color w:val="000000" w:themeColor="text1"/>
        </w:rPr>
        <w:t xml:space="preserve"> </w:t>
      </w:r>
      <w:r w:rsidRPr="0047181A">
        <w:rPr>
          <w:rFonts w:asciiTheme="minorHAnsi" w:hAnsiTheme="minorHAnsi" w:cstheme="minorHAnsi"/>
        </w:rPr>
        <w:t>Virginia CZM Program 2020 Coastal Needs Assessments and FY2021-2025 Strategies</w:t>
      </w:r>
      <w:r w:rsidR="008B588D">
        <w:rPr>
          <w:rFonts w:asciiTheme="minorHAnsi" w:hAnsiTheme="minorHAnsi" w:cstheme="minorHAnsi"/>
        </w:rPr>
        <w:t xml:space="preserve"> </w:t>
      </w:r>
      <w:r w:rsidRPr="003A102D">
        <w:rPr>
          <w:rFonts w:asciiTheme="minorHAnsi" w:hAnsiTheme="minorHAnsi" w:cstheme="minorHAnsi"/>
          <w:color w:val="000000" w:themeColor="text1"/>
        </w:rPr>
        <w:t>(Section 309) or the separate strategies below:</w:t>
      </w:r>
    </w:p>
    <w:p w14:paraId="2F59F1D6" w14:textId="77777777" w:rsidR="00714613" w:rsidRPr="003A102D" w:rsidRDefault="00714613">
      <w:pPr>
        <w:pStyle w:val="ListParagraph"/>
        <w:numPr>
          <w:ilvl w:val="0"/>
          <w:numId w:val="28"/>
        </w:numPr>
      </w:pPr>
      <w:r w:rsidRPr="003A102D">
        <w:t>Coastal Hazards Strategy</w:t>
      </w:r>
    </w:p>
    <w:p w14:paraId="289F6ADF" w14:textId="77777777" w:rsidR="00714613" w:rsidRPr="003A102D" w:rsidRDefault="00714613">
      <w:pPr>
        <w:pStyle w:val="ListParagraph"/>
        <w:numPr>
          <w:ilvl w:val="0"/>
          <w:numId w:val="28"/>
        </w:numPr>
      </w:pPr>
      <w:r w:rsidRPr="003A102D">
        <w:t>Ocean Resources Strategy</w:t>
      </w:r>
    </w:p>
    <w:p w14:paraId="06D3B579" w14:textId="7FF0200D" w:rsidR="00714613" w:rsidRPr="003A102D" w:rsidRDefault="00714613">
      <w:pPr>
        <w:pStyle w:val="ListParagraph"/>
        <w:numPr>
          <w:ilvl w:val="0"/>
          <w:numId w:val="28"/>
        </w:numPr>
        <w:spacing w:before="0" w:after="0"/>
      </w:pPr>
      <w:r w:rsidRPr="003A102D">
        <w:t>Marine Debris Strategy</w:t>
      </w:r>
      <w:r w:rsidR="00541597">
        <w:br/>
      </w:r>
    </w:p>
    <w:p w14:paraId="02E588E0" w14:textId="21554E8A" w:rsidR="00714613" w:rsidRPr="003A102D" w:rsidRDefault="00714613" w:rsidP="00AE7B49">
      <w:pPr>
        <w:pStyle w:val="NormalWeb"/>
        <w:shd w:val="clear" w:color="auto" w:fill="FFFFFF"/>
        <w:spacing w:before="0" w:beforeAutospacing="0" w:after="0" w:afterAutospacing="0"/>
        <w:rPr>
          <w:rFonts w:asciiTheme="minorHAnsi" w:hAnsiTheme="minorHAnsi" w:cstheme="minorHAnsi"/>
          <w:color w:val="000000" w:themeColor="text1"/>
        </w:rPr>
      </w:pPr>
      <w:r w:rsidRPr="003A102D">
        <w:rPr>
          <w:rFonts w:asciiTheme="minorHAnsi" w:hAnsiTheme="minorHAnsi" w:cstheme="minorHAnsi"/>
          <w:color w:val="000000" w:themeColor="text1"/>
        </w:rPr>
        <w:t>In the fall of 2019, based on NOAA guidance, the Virginia CZM Program conducted a Phase I Coastal Needs Assessment as the first step in identifying the areas or topics of highest priority for FY2021-2025 Coastal Strategies (Section 309) funding from NOAA.</w:t>
      </w:r>
      <w:r w:rsidRPr="003A102D">
        <w:rPr>
          <w:rFonts w:asciiTheme="minorHAnsi" w:hAnsiTheme="minorHAnsi" w:cstheme="minorHAnsi"/>
          <w:color w:val="000000" w:themeColor="text1"/>
        </w:rPr>
        <w:br/>
      </w:r>
      <w:r w:rsidRPr="003A102D">
        <w:rPr>
          <w:rFonts w:asciiTheme="minorHAnsi" w:hAnsiTheme="minorHAnsi" w:cstheme="minorHAnsi"/>
          <w:color w:val="3C3C3C"/>
        </w:rPr>
        <w:br/>
      </w:r>
      <w:r w:rsidRPr="003A102D">
        <w:rPr>
          <w:rStyle w:val="Strong"/>
          <w:rFonts w:asciiTheme="minorHAnsi" w:hAnsiTheme="minorHAnsi" w:cstheme="minorHAnsi"/>
          <w:color w:val="000000" w:themeColor="text1"/>
        </w:rPr>
        <w:t>Ranking Results (Highest to Lowest):</w:t>
      </w:r>
    </w:p>
    <w:p w14:paraId="3AC0A968" w14:textId="77777777" w:rsidR="00714613" w:rsidRPr="003A102D" w:rsidRDefault="00714613">
      <w:pPr>
        <w:pStyle w:val="ListParagraph"/>
        <w:numPr>
          <w:ilvl w:val="0"/>
          <w:numId w:val="29"/>
        </w:numPr>
      </w:pPr>
      <w:r w:rsidRPr="003A102D">
        <w:t>Coastal Hazards</w:t>
      </w:r>
    </w:p>
    <w:p w14:paraId="0C2FBED2" w14:textId="77777777" w:rsidR="00714613" w:rsidRPr="003A102D" w:rsidRDefault="00714613">
      <w:pPr>
        <w:pStyle w:val="ListParagraph"/>
        <w:numPr>
          <w:ilvl w:val="0"/>
          <w:numId w:val="29"/>
        </w:numPr>
      </w:pPr>
      <w:r w:rsidRPr="003A102D">
        <w:t>Cumulative &amp; Secondary Impacts of Coastal Growth &amp; Development</w:t>
      </w:r>
    </w:p>
    <w:p w14:paraId="1EB84613" w14:textId="77777777" w:rsidR="00714613" w:rsidRPr="003A102D" w:rsidRDefault="00714613">
      <w:pPr>
        <w:pStyle w:val="ListParagraph"/>
        <w:numPr>
          <w:ilvl w:val="0"/>
          <w:numId w:val="29"/>
        </w:numPr>
      </w:pPr>
      <w:r w:rsidRPr="003A102D">
        <w:t>Ocean Resources</w:t>
      </w:r>
    </w:p>
    <w:p w14:paraId="1E64FAD4" w14:textId="77777777" w:rsidR="00714613" w:rsidRPr="003A102D" w:rsidRDefault="00714613">
      <w:pPr>
        <w:pStyle w:val="ListParagraph"/>
        <w:numPr>
          <w:ilvl w:val="0"/>
          <w:numId w:val="29"/>
        </w:numPr>
      </w:pPr>
      <w:r w:rsidRPr="003A102D">
        <w:t>Marine Debris</w:t>
      </w:r>
    </w:p>
    <w:p w14:paraId="22F76C23" w14:textId="77777777" w:rsidR="00714613" w:rsidRPr="003A102D" w:rsidRDefault="00714613">
      <w:pPr>
        <w:pStyle w:val="ListParagraph"/>
        <w:numPr>
          <w:ilvl w:val="0"/>
          <w:numId w:val="29"/>
        </w:numPr>
      </w:pPr>
      <w:r w:rsidRPr="003A102D">
        <w:t>Wetlands</w:t>
      </w:r>
    </w:p>
    <w:p w14:paraId="08FC3B62" w14:textId="77777777" w:rsidR="00714613" w:rsidRPr="003A102D" w:rsidRDefault="00714613">
      <w:pPr>
        <w:pStyle w:val="ListParagraph"/>
        <w:numPr>
          <w:ilvl w:val="0"/>
          <w:numId w:val="29"/>
        </w:numPr>
      </w:pPr>
      <w:r w:rsidRPr="003A102D">
        <w:t>Aquaculture</w:t>
      </w:r>
    </w:p>
    <w:p w14:paraId="4F7EC8B6" w14:textId="77777777" w:rsidR="00714613" w:rsidRPr="003A102D" w:rsidRDefault="00714613">
      <w:pPr>
        <w:pStyle w:val="ListParagraph"/>
        <w:numPr>
          <w:ilvl w:val="0"/>
          <w:numId w:val="29"/>
        </w:numPr>
      </w:pPr>
      <w:r w:rsidRPr="003A102D">
        <w:t>TIE - Energy &amp; Government Facility Siting and Special Area Management Plans</w:t>
      </w:r>
    </w:p>
    <w:p w14:paraId="4DE6CB1A" w14:textId="306462A2" w:rsidR="00714613" w:rsidRDefault="00714613">
      <w:pPr>
        <w:pStyle w:val="ListParagraph"/>
        <w:numPr>
          <w:ilvl w:val="0"/>
          <w:numId w:val="29"/>
        </w:numPr>
      </w:pPr>
      <w:r w:rsidRPr="003A102D">
        <w:t>Public Access</w:t>
      </w:r>
    </w:p>
    <w:p w14:paraId="31F3DC78" w14:textId="77777777" w:rsidR="004B03D4" w:rsidRPr="003A102D" w:rsidRDefault="004B03D4" w:rsidP="003D0769">
      <w:pPr>
        <w:ind w:left="1080"/>
      </w:pPr>
    </w:p>
    <w:p w14:paraId="2A0A8E3F" w14:textId="77777777" w:rsidR="00714613" w:rsidRPr="003A102D" w:rsidRDefault="00714613" w:rsidP="00AE7B49">
      <w:pPr>
        <w:pStyle w:val="NormalWeb"/>
        <w:shd w:val="clear" w:color="auto" w:fill="FFFFFF"/>
        <w:spacing w:before="0" w:beforeAutospacing="0" w:after="0" w:afterAutospacing="0"/>
        <w:rPr>
          <w:rFonts w:asciiTheme="minorHAnsi" w:hAnsiTheme="minorHAnsi" w:cstheme="minorHAnsi"/>
          <w:color w:val="000000" w:themeColor="text1"/>
        </w:rPr>
      </w:pPr>
      <w:r w:rsidRPr="003A102D">
        <w:rPr>
          <w:rFonts w:asciiTheme="minorHAnsi" w:hAnsiTheme="minorHAnsi" w:cstheme="minorHAnsi"/>
          <w:color w:val="000000" w:themeColor="text1"/>
        </w:rPr>
        <w:t>Virginia CZM Program posted the Phase I Assessment for public comments in March 2020. </w:t>
      </w:r>
    </w:p>
    <w:p w14:paraId="5E6F24F7" w14:textId="0FE863EC" w:rsidR="00714613" w:rsidRPr="003A102D" w:rsidRDefault="00714613" w:rsidP="004B03D4">
      <w:pPr>
        <w:rPr>
          <w:szCs w:val="24"/>
        </w:rPr>
      </w:pPr>
      <w:r w:rsidRPr="003A102D">
        <w:t>Virginia CZM Program staff presented the Phase I Assessment and recommendations to the</w:t>
      </w:r>
      <w:r w:rsidR="008B588D">
        <w:t xml:space="preserve"> </w:t>
      </w:r>
      <w:r w:rsidRPr="00CF173F">
        <w:rPr>
          <w:rFonts w:cstheme="minorHAnsi"/>
        </w:rPr>
        <w:t>Coastal Policy Team</w:t>
      </w:r>
      <w:r w:rsidR="008B588D">
        <w:rPr>
          <w:rFonts w:cstheme="minorHAnsi"/>
        </w:rPr>
        <w:t xml:space="preserve"> </w:t>
      </w:r>
      <w:r w:rsidRPr="003A102D">
        <w:t xml:space="preserve">(CPT) in January 2020. Based on the feasibility and importance of developing new enforceable policies, the members of </w:t>
      </w:r>
      <w:proofErr w:type="gramStart"/>
      <w:r w:rsidRPr="003A102D">
        <w:t>the CPT,</w:t>
      </w:r>
      <w:proofErr w:type="gramEnd"/>
      <w:r w:rsidRPr="003A102D">
        <w:t xml:space="preserve"> ranked the nine areas.</w:t>
      </w:r>
      <w:r w:rsidR="008B588D">
        <w:t xml:space="preserve"> </w:t>
      </w:r>
      <w:r w:rsidR="00CF173F">
        <w:t xml:space="preserve">See the DEQ Virginia Coastal Policy Team webpage for more information. </w:t>
      </w:r>
      <w:r w:rsidRPr="003A102D">
        <w:br/>
      </w:r>
      <w:r w:rsidRPr="003A102D">
        <w:br/>
        <w:t xml:space="preserve">Virginia CZM Program staff then conducted a Phase II Assessment of the four topics </w:t>
      </w:r>
      <w:proofErr w:type="gramStart"/>
      <w:r w:rsidRPr="003A102D">
        <w:t>ranked</w:t>
      </w:r>
      <w:proofErr w:type="gramEnd"/>
      <w:r w:rsidRPr="003A102D">
        <w:t xml:space="preserve"> highest priority:</w:t>
      </w:r>
      <w:r w:rsidR="00F02280">
        <w:t xml:space="preserve"> 1) </w:t>
      </w:r>
      <w:r w:rsidR="003D52AA" w:rsidRPr="003D52AA">
        <w:t>Coastal Hazards</w:t>
      </w:r>
      <w:r w:rsidR="00F02280">
        <w:t xml:space="preserve">, </w:t>
      </w:r>
      <w:r w:rsidR="004F1664">
        <w:t xml:space="preserve">2) </w:t>
      </w:r>
      <w:r w:rsidR="003D52AA" w:rsidRPr="003D52AA">
        <w:t>Cumulative &amp; Secondary Impacts of Coastal Growth &amp; Development</w:t>
      </w:r>
      <w:r w:rsidR="00D12280">
        <w:t xml:space="preserve">, 3) Ocean Resources, and 4) Marine Debris. </w:t>
      </w:r>
      <w:r w:rsidRPr="00541597">
        <w:t>Staff met with key stakeholders to complete the assessments as well as develop draft</w:t>
      </w:r>
      <w:r w:rsidR="008B588D">
        <w:t xml:space="preserve"> </w:t>
      </w:r>
      <w:r w:rsidRPr="00541597">
        <w:rPr>
          <w:rStyle w:val="Strong"/>
          <w:rFonts w:cstheme="minorHAnsi"/>
          <w:b w:val="0"/>
          <w:bCs w:val="0"/>
          <w:color w:val="000000" w:themeColor="text1"/>
        </w:rPr>
        <w:t>2021-2025</w:t>
      </w:r>
      <w:r w:rsidR="008B588D">
        <w:rPr>
          <w:rStyle w:val="Strong"/>
          <w:rFonts w:cstheme="minorHAnsi"/>
          <w:b w:val="0"/>
          <w:bCs w:val="0"/>
          <w:color w:val="000000" w:themeColor="text1"/>
        </w:rPr>
        <w:t xml:space="preserve"> </w:t>
      </w:r>
      <w:r w:rsidRPr="00541597">
        <w:rPr>
          <w:rStyle w:val="Strong"/>
          <w:rFonts w:cstheme="minorHAnsi"/>
          <w:b w:val="0"/>
          <w:bCs w:val="0"/>
          <w:color w:val="000000" w:themeColor="text1"/>
        </w:rPr>
        <w:t>Coastal Strategies</w:t>
      </w:r>
      <w:r w:rsidR="008B588D">
        <w:rPr>
          <w:rStyle w:val="Strong"/>
          <w:rFonts w:cstheme="minorHAnsi"/>
          <w:b w:val="0"/>
          <w:bCs w:val="0"/>
          <w:color w:val="000000" w:themeColor="text1"/>
        </w:rPr>
        <w:t xml:space="preserve"> </w:t>
      </w:r>
      <w:r w:rsidRPr="00541597">
        <w:t>for</w:t>
      </w:r>
      <w:r w:rsidR="00852AD0">
        <w:t>, c</w:t>
      </w:r>
      <w:r w:rsidRPr="003A102D">
        <w:rPr>
          <w:szCs w:val="24"/>
        </w:rPr>
        <w:t xml:space="preserve">oastal </w:t>
      </w:r>
      <w:r w:rsidR="00852AD0">
        <w:t>h</w:t>
      </w:r>
      <w:r w:rsidRPr="003A102D">
        <w:rPr>
          <w:szCs w:val="24"/>
        </w:rPr>
        <w:t>azards</w:t>
      </w:r>
      <w:r w:rsidR="00852AD0">
        <w:t>, o</w:t>
      </w:r>
      <w:r w:rsidRPr="003A102D">
        <w:rPr>
          <w:szCs w:val="24"/>
        </w:rPr>
        <w:t xml:space="preserve">cean </w:t>
      </w:r>
      <w:r w:rsidR="00852AD0">
        <w:t>r</w:t>
      </w:r>
      <w:r w:rsidRPr="003A102D">
        <w:rPr>
          <w:szCs w:val="24"/>
        </w:rPr>
        <w:t>esources</w:t>
      </w:r>
      <w:r w:rsidR="00852AD0">
        <w:t>, and m</w:t>
      </w:r>
      <w:r w:rsidRPr="003A102D">
        <w:rPr>
          <w:szCs w:val="24"/>
        </w:rPr>
        <w:t xml:space="preserve">arine </w:t>
      </w:r>
      <w:r w:rsidR="00852AD0">
        <w:t>d</w:t>
      </w:r>
      <w:r w:rsidRPr="003A102D">
        <w:rPr>
          <w:szCs w:val="24"/>
        </w:rPr>
        <w:t>ebris</w:t>
      </w:r>
      <w:r w:rsidR="00852AD0">
        <w:t>.</w:t>
      </w:r>
      <w:r w:rsidR="00F02280">
        <w:br/>
      </w:r>
    </w:p>
    <w:p w14:paraId="140AEF61" w14:textId="117FAA46" w:rsidR="00714613" w:rsidRPr="003A102D" w:rsidRDefault="00714613" w:rsidP="004B03D4">
      <w:r w:rsidRPr="003A102D">
        <w:t>The FY2020-2025 Coastal Needs Assessments and Strategies document was compiled by Virginia CZM Program staff and sent to NOAA for review. NOAA approved the strategies in February 2021. These strategies will be funded through the FY2021-2025 grant cycle (October 2021 - September 2026).</w:t>
      </w:r>
      <w:r w:rsidR="00465969">
        <w:t xml:space="preserve"> M</w:t>
      </w:r>
      <w:r w:rsidRPr="003A102D">
        <w:t>ore information on these strategies</w:t>
      </w:r>
      <w:r w:rsidR="00126EA4">
        <w:t>,</w:t>
      </w:r>
      <w:r w:rsidRPr="003A102D">
        <w:t xml:space="preserve"> projects,</w:t>
      </w:r>
      <w:r w:rsidR="00126EA4">
        <w:t xml:space="preserve"> and </w:t>
      </w:r>
      <w:r w:rsidRPr="003A102D">
        <w:t>contact</w:t>
      </w:r>
      <w:r w:rsidR="00126EA4">
        <w:t>s</w:t>
      </w:r>
      <w:r w:rsidR="00465969">
        <w:t xml:space="preserve"> can be </w:t>
      </w:r>
      <w:r w:rsidR="00465969">
        <w:lastRenderedPageBreak/>
        <w:t xml:space="preserve">found </w:t>
      </w:r>
      <w:proofErr w:type="gramStart"/>
      <w:r w:rsidR="00465969">
        <w:t>at</w:t>
      </w:r>
      <w:proofErr w:type="gramEnd"/>
      <w:r w:rsidR="00685386">
        <w:t xml:space="preserve"> the DEQ About CZM webpage.</w:t>
      </w:r>
      <w:r w:rsidR="00DD5861">
        <w:t xml:space="preserve"> </w:t>
      </w:r>
      <w:r w:rsidRPr="003A102D">
        <w:t>View the current and previous assessment and strategy reports and projects</w:t>
      </w:r>
      <w:r w:rsidR="00EE695C">
        <w:t xml:space="preserve"> at</w:t>
      </w:r>
      <w:r w:rsidR="00DD5861">
        <w:t xml:space="preserve"> the DEQ Strategic Planning and Funding webpage</w:t>
      </w:r>
      <w:r w:rsidR="00AC6B48">
        <w:br/>
      </w:r>
    </w:p>
    <w:p w14:paraId="028E127E" w14:textId="77777777" w:rsidR="00714613" w:rsidRPr="00AE7B49" w:rsidRDefault="00714613" w:rsidP="00AE7B49">
      <w:pPr>
        <w:pStyle w:val="Heading3"/>
      </w:pPr>
      <w:r w:rsidRPr="00AE7B49">
        <w:t xml:space="preserve">Virginia Marine Debris Reduction Efforts </w:t>
      </w:r>
    </w:p>
    <w:p w14:paraId="1F680C5F" w14:textId="0B8DADB7" w:rsidR="00714613" w:rsidRPr="003A102D" w:rsidRDefault="00714613" w:rsidP="004B03D4">
      <w:r>
        <w:t>Since the Virginia CZM Program began working on the issue of marine debris back in 2013, the topic has gained momentum. Concerns among local and state government officials have increased dramatically, the media has covered the issue extensively and often, and public awareness has been elevated far beyond previous Section 309 cycles. Some, but of course, not all, of this attention can be traced to Virginia CZM’s Section 309 efforts and its major grantee, Clean Virginia Waterways. The VA CZM Program has been at the forefront of the issue and provided leadership in developing the first state marine debris reduction plan on the Atlantic Coast in 2014 – and recently a revised plan published in December 2021, based on input from a large and diverse group of stakeholders. The revised VMDRP aligns with the major goals of the Mid-Atlantic Marine Debris Action Plan</w:t>
      </w:r>
      <w:r w:rsidR="00D54CDC">
        <w:t xml:space="preserve"> </w:t>
      </w:r>
      <w:r w:rsidR="732317D8">
        <w:t>(see</w:t>
      </w:r>
      <w:r w:rsidR="00D54CDC">
        <w:t xml:space="preserve"> the NOAA Mid-Atlantic Marine Debris Action Plan for more information)</w:t>
      </w:r>
      <w:r w:rsidR="009975C9">
        <w:t xml:space="preserve">. </w:t>
      </w:r>
      <w:r>
        <w:t>Virginia CZM also conducted likely the most in-depth monitoring, research</w:t>
      </w:r>
      <w:r w:rsidR="00C3408B">
        <w:t>,</w:t>
      </w:r>
      <w:r>
        <w:t xml:space="preserve"> and Community-Based Social Marketing campaign efforts to reduce balloon releases – one of the most harmful forms of marine debris for wildlife (see more detail under question 35).</w:t>
      </w:r>
    </w:p>
    <w:p w14:paraId="75AF4C83" w14:textId="77777777" w:rsidR="00714613" w:rsidRPr="003A102D" w:rsidRDefault="00714613" w:rsidP="00AE7B49">
      <w:pPr>
        <w:tabs>
          <w:tab w:val="left" w:pos="840"/>
        </w:tabs>
        <w:ind w:right="245"/>
        <w:rPr>
          <w:rFonts w:cstheme="minorHAnsi"/>
          <w:color w:val="000000" w:themeColor="text1"/>
          <w:szCs w:val="24"/>
        </w:rPr>
      </w:pPr>
    </w:p>
    <w:p w14:paraId="611730AE" w14:textId="77777777" w:rsidR="00714613" w:rsidRPr="003A102D" w:rsidRDefault="00714613" w:rsidP="00AE7B49">
      <w:pPr>
        <w:rPr>
          <w:rFonts w:cstheme="minorHAnsi"/>
          <w:color w:val="000000" w:themeColor="text1"/>
          <w:szCs w:val="24"/>
        </w:rPr>
      </w:pPr>
      <w:r w:rsidRPr="003A102D">
        <w:rPr>
          <w:rFonts w:cstheme="minorHAnsi"/>
          <w:color w:val="000000" w:themeColor="text1"/>
          <w:szCs w:val="24"/>
        </w:rPr>
        <w:t xml:space="preserve">Virginia CZM was able to ensure that reducing marine debris was a key action in the 2016 Mid-Atlantic Ocean Action Plan, and the Virginia CZM Program Manager has led the Mid-Atlantic Marine Debris Work Group established under that plan since 2016. That group has gone on to secure additional funding from NOAA’s Marine Debris Program to expand Virginia’s balloon release reduction campaign to the entire Mid-Atlantic, including significant work by Virginia CZM staff on pre-campaign research, design of the campaign strategy and development of multi-media materials. </w:t>
      </w:r>
    </w:p>
    <w:p w14:paraId="51B35D0D" w14:textId="77777777" w:rsidR="00714613" w:rsidRPr="003A102D" w:rsidRDefault="00714613" w:rsidP="00D54CDC">
      <w:pPr>
        <w:tabs>
          <w:tab w:val="left" w:pos="840"/>
        </w:tabs>
        <w:ind w:right="245"/>
        <w:rPr>
          <w:rFonts w:cstheme="minorHAnsi"/>
          <w:color w:val="000000" w:themeColor="text1"/>
          <w:szCs w:val="24"/>
        </w:rPr>
      </w:pPr>
    </w:p>
    <w:p w14:paraId="69058D64" w14:textId="77777777" w:rsidR="00714613" w:rsidRPr="003A102D" w:rsidRDefault="00714613" w:rsidP="00AE7B49">
      <w:pPr>
        <w:rPr>
          <w:rFonts w:cstheme="minorHAnsi"/>
          <w:color w:val="000000" w:themeColor="text1"/>
          <w:szCs w:val="24"/>
        </w:rPr>
      </w:pPr>
      <w:r w:rsidRPr="003A102D">
        <w:rPr>
          <w:rFonts w:cstheme="minorHAnsi"/>
          <w:color w:val="000000" w:themeColor="text1"/>
          <w:szCs w:val="24"/>
        </w:rPr>
        <w:t>Examples of increased collaboration include the Virginia Marine Debris Summit in 2016, the Mid-Atlantic Marine Debris Summit in 2019, the Virginia Marine Debris Summit in 2022, the creation of a Virginia Abandoned and Derelict Vessel Work Group, a Virginia Plastic Pollution Prevention Network (which meets monthly), and annual Stormwater and Litter Workshops.</w:t>
      </w:r>
    </w:p>
    <w:p w14:paraId="150E3515" w14:textId="77777777" w:rsidR="00714613" w:rsidRPr="003A102D" w:rsidRDefault="00714613" w:rsidP="00AE7B49">
      <w:pPr>
        <w:rPr>
          <w:rFonts w:cstheme="minorHAnsi"/>
          <w:color w:val="000000" w:themeColor="text1"/>
          <w:szCs w:val="24"/>
        </w:rPr>
      </w:pPr>
    </w:p>
    <w:p w14:paraId="5D1734DA" w14:textId="13B2E28A" w:rsidR="00714613" w:rsidRPr="003A102D" w:rsidRDefault="00714613" w:rsidP="00AE7B49">
      <w:pPr>
        <w:rPr>
          <w:rFonts w:cstheme="minorHAnsi"/>
          <w:color w:val="000000" w:themeColor="text1"/>
          <w:szCs w:val="24"/>
        </w:rPr>
      </w:pPr>
      <w:r w:rsidRPr="003A102D">
        <w:rPr>
          <w:rFonts w:cstheme="minorHAnsi"/>
          <w:szCs w:val="24"/>
        </w:rPr>
        <w:t xml:space="preserve">Virginia voters are concerned about plastic getting into our rivers, bays, and ocean, and they support action to decrease littered plastic bags, bottles, cups, food containers, and other plastic items, according to a new statewide survey released in September 2022 by Virginia CZM, CVW, and </w:t>
      </w:r>
      <w:proofErr w:type="spellStart"/>
      <w:r w:rsidRPr="003A102D">
        <w:rPr>
          <w:rFonts w:cstheme="minorHAnsi"/>
          <w:szCs w:val="24"/>
        </w:rPr>
        <w:t>OpinionWorks</w:t>
      </w:r>
      <w:proofErr w:type="spellEnd"/>
      <w:r w:rsidRPr="003A102D">
        <w:rPr>
          <w:rFonts w:cstheme="minorHAnsi"/>
          <w:szCs w:val="24"/>
        </w:rPr>
        <w:t xml:space="preserve">. The publication, Public Perception Survey: Plastic Pollution, explores the perceptions and attitudes of Virginia’s voters about several problems, and </w:t>
      </w:r>
      <w:proofErr w:type="gramStart"/>
      <w:r w:rsidRPr="003A102D">
        <w:rPr>
          <w:rFonts w:cstheme="minorHAnsi"/>
          <w:szCs w:val="24"/>
        </w:rPr>
        <w:t>measured</w:t>
      </w:r>
      <w:proofErr w:type="gramEnd"/>
      <w:r w:rsidRPr="003A102D">
        <w:rPr>
          <w:rFonts w:cstheme="minorHAnsi"/>
          <w:szCs w:val="24"/>
        </w:rPr>
        <w:t xml:space="preserve"> voters’ support for policies that have been adopted in other states. As a follow-up,</w:t>
      </w:r>
      <w:r w:rsidR="001C1EB7">
        <w:rPr>
          <w:rFonts w:cstheme="minorHAnsi"/>
          <w:szCs w:val="24"/>
        </w:rPr>
        <w:t xml:space="preserve"> </w:t>
      </w:r>
      <w:proofErr w:type="spellStart"/>
      <w:r w:rsidRPr="003A102D">
        <w:rPr>
          <w:rFonts w:cstheme="minorHAnsi"/>
          <w:szCs w:val="24"/>
        </w:rPr>
        <w:t>OpinionWorks</w:t>
      </w:r>
      <w:proofErr w:type="spellEnd"/>
      <w:r w:rsidRPr="003A102D">
        <w:rPr>
          <w:rFonts w:cstheme="minorHAnsi"/>
          <w:szCs w:val="24"/>
        </w:rPr>
        <w:t xml:space="preserve"> invited a cross-section of voters into deeper, one-on-one interviews to better understand their attitudes and reasoning around these issues. Data from this survey will assist in crafting successful behavior change campaigns as well as public policies. The survey can be downloaded from the Virginia CZM website at www.deq.virginia.gov/our-programs/coastal-zonemanagement/coastal-conservation/marine-debris.</w:t>
      </w:r>
    </w:p>
    <w:p w14:paraId="5E53814F" w14:textId="77777777" w:rsidR="00714613" w:rsidRPr="003A102D" w:rsidRDefault="00714613" w:rsidP="00AE7B49">
      <w:pPr>
        <w:rPr>
          <w:rFonts w:cstheme="minorHAnsi"/>
          <w:color w:val="000000" w:themeColor="text1"/>
          <w:szCs w:val="24"/>
        </w:rPr>
      </w:pPr>
    </w:p>
    <w:p w14:paraId="4494A60A" w14:textId="5059BD27" w:rsidR="00714613" w:rsidRPr="003A102D" w:rsidRDefault="00714613" w:rsidP="00AE7B49">
      <w:pPr>
        <w:rPr>
          <w:rFonts w:cstheme="minorHAnsi"/>
          <w:szCs w:val="24"/>
        </w:rPr>
      </w:pPr>
      <w:r w:rsidRPr="003A102D">
        <w:rPr>
          <w:rFonts w:cstheme="minorHAnsi"/>
          <w:szCs w:val="24"/>
        </w:rPr>
        <w:t>The 2021-2025 Virginia Marine Debris Reduction Plan can be downloaded from the Virginia CZM Program website at</w:t>
      </w:r>
      <w:r w:rsidR="00D54CDC">
        <w:rPr>
          <w:rFonts w:cstheme="minorHAnsi"/>
          <w:szCs w:val="24"/>
        </w:rPr>
        <w:t xml:space="preserve"> the Reducing Marine Debris in Virginia webpage</w:t>
      </w:r>
      <w:r w:rsidR="00076338">
        <w:rPr>
          <w:rFonts w:cstheme="minorHAnsi"/>
        </w:rPr>
        <w:t>.</w:t>
      </w:r>
    </w:p>
    <w:p w14:paraId="15B2AE85" w14:textId="77777777" w:rsidR="00714613" w:rsidRPr="003A102D" w:rsidRDefault="00714613" w:rsidP="00AE7B49">
      <w:pPr>
        <w:pStyle w:val="NormalWeb"/>
        <w:shd w:val="clear" w:color="auto" w:fill="FFFFFF"/>
        <w:spacing w:before="0" w:beforeAutospacing="0" w:after="0" w:afterAutospacing="0"/>
        <w:rPr>
          <w:rFonts w:asciiTheme="minorHAnsi" w:hAnsiTheme="minorHAnsi" w:cstheme="minorHAnsi"/>
          <w:color w:val="000000" w:themeColor="text1"/>
        </w:rPr>
      </w:pPr>
    </w:p>
    <w:p w14:paraId="02DDD27A" w14:textId="77777777" w:rsidR="00714613" w:rsidRPr="003A102D" w:rsidRDefault="00714613" w:rsidP="00AE7B49">
      <w:pPr>
        <w:pStyle w:val="BodyText"/>
        <w:tabs>
          <w:tab w:val="left" w:pos="840"/>
        </w:tabs>
        <w:spacing w:after="0"/>
        <w:rPr>
          <w:rFonts w:cstheme="minorHAnsi"/>
          <w:color w:val="000000" w:themeColor="text1"/>
          <w:szCs w:val="24"/>
        </w:rPr>
      </w:pPr>
      <w:r w:rsidRPr="003A102D">
        <w:rPr>
          <w:rFonts w:cstheme="minorHAnsi"/>
          <w:color w:val="000000" w:themeColor="text1"/>
          <w:szCs w:val="24"/>
        </w:rPr>
        <w:t xml:space="preserve">Legislation and policies enacted in Virginia in 2020 and 2021 target some common and harmful sources of marine debris. (See more on the program’s marine debris reduction projects in question 18 below.) </w:t>
      </w:r>
    </w:p>
    <w:p w14:paraId="12E0419A" w14:textId="2095C60B" w:rsidR="00714613" w:rsidRPr="003A102D" w:rsidRDefault="00714613">
      <w:pPr>
        <w:pStyle w:val="ListParagraph"/>
        <w:numPr>
          <w:ilvl w:val="0"/>
          <w:numId w:val="30"/>
        </w:numPr>
      </w:pPr>
      <w:r w:rsidRPr="003A102D">
        <w:rPr>
          <w:i/>
        </w:rPr>
        <w:t>Plastic bags:</w:t>
      </w:r>
      <w:r w:rsidRPr="003A102D">
        <w:t xml:space="preserve"> H.B. 534 allows local governments to place a 5-cent tax on plastic</w:t>
      </w:r>
    </w:p>
    <w:p w14:paraId="40417C07" w14:textId="2CDB575C" w:rsidR="00714613" w:rsidRPr="003A102D" w:rsidRDefault="00714613">
      <w:pPr>
        <w:pStyle w:val="ListParagraph"/>
        <w:numPr>
          <w:ilvl w:val="0"/>
          <w:numId w:val="30"/>
        </w:numPr>
      </w:pPr>
      <w:r w:rsidRPr="003A102D">
        <w:t xml:space="preserve">shopping bags. </w:t>
      </w:r>
    </w:p>
    <w:p w14:paraId="2B3FE32C" w14:textId="75B32335" w:rsidR="00714613" w:rsidRPr="003A102D" w:rsidRDefault="00714613">
      <w:pPr>
        <w:pStyle w:val="ListParagraph"/>
        <w:numPr>
          <w:ilvl w:val="0"/>
          <w:numId w:val="30"/>
        </w:numPr>
      </w:pPr>
      <w:r w:rsidRPr="003A102D">
        <w:rPr>
          <w:i/>
        </w:rPr>
        <w:t>Balloons:</w:t>
      </w:r>
      <w:r w:rsidRPr="003A102D">
        <w:t xml:space="preserve"> H.B. 2159 bans the intentional release of helium-filled balloons. </w:t>
      </w:r>
    </w:p>
    <w:p w14:paraId="4CFAE587" w14:textId="1E3E76E5" w:rsidR="00714613" w:rsidRPr="003A102D" w:rsidRDefault="00714613">
      <w:pPr>
        <w:pStyle w:val="ListParagraph"/>
        <w:numPr>
          <w:ilvl w:val="0"/>
          <w:numId w:val="30"/>
        </w:numPr>
      </w:pPr>
      <w:r w:rsidRPr="0A5BE548">
        <w:rPr>
          <w:i/>
          <w:iCs/>
        </w:rPr>
        <w:t>Polystyrene containers:</w:t>
      </w:r>
      <w:r>
        <w:t xml:space="preserve"> H.B. 1902 phases out the use of </w:t>
      </w:r>
      <w:proofErr w:type="gramStart"/>
      <w:r>
        <w:t>single-use</w:t>
      </w:r>
      <w:proofErr w:type="gramEnd"/>
      <w:r>
        <w:t xml:space="preserve"> expanded polystyrene (EPS, and sometimes called Styrofoam), as food service containers. Certain chain restaurants have until July 1, </w:t>
      </w:r>
      <w:r w:rsidR="5600E433">
        <w:t>2023,</w:t>
      </w:r>
      <w:r>
        <w:t xml:space="preserve"> to stop EPS use, and all other food vendors have until July 1, 2025.</w:t>
      </w:r>
    </w:p>
    <w:p w14:paraId="50443E04" w14:textId="77777777" w:rsidR="00714613" w:rsidRPr="003A102D" w:rsidRDefault="00714613">
      <w:pPr>
        <w:pStyle w:val="ListParagraph"/>
        <w:numPr>
          <w:ilvl w:val="0"/>
          <w:numId w:val="30"/>
        </w:numPr>
      </w:pPr>
      <w:r w:rsidRPr="003A102D">
        <w:rPr>
          <w:i/>
        </w:rPr>
        <w:t>Clam netting:</w:t>
      </w:r>
      <w:r w:rsidRPr="003A102D">
        <w:t xml:space="preserve"> In 2021 the Virginia CZM Program Manager drafted an agreement for addressing derelict clam netting. The Virginia Marine Resources Commission, the Shellfish Growers of Virginia, the Virginia CZM Program and Clean Virginia Waterways signed the agreement. Only loose netting is to be collected so as not to disturb tiger </w:t>
      </w:r>
      <w:proofErr w:type="gramStart"/>
      <w:r w:rsidRPr="003A102D">
        <w:t>beetle</w:t>
      </w:r>
      <w:proofErr w:type="gramEnd"/>
      <w:r w:rsidRPr="003A102D">
        <w:t xml:space="preserve"> and nesting shorebird habitat.</w:t>
      </w:r>
    </w:p>
    <w:p w14:paraId="650BEE5A" w14:textId="77777777" w:rsidR="00714613" w:rsidRPr="008B588D" w:rsidRDefault="00714613">
      <w:pPr>
        <w:pStyle w:val="ListParagraph"/>
        <w:numPr>
          <w:ilvl w:val="0"/>
          <w:numId w:val="30"/>
        </w:numPr>
        <w:rPr>
          <w:rFonts w:eastAsia="Calibri"/>
          <w:color w:val="5B9BD5"/>
          <w:sz w:val="22"/>
          <w:szCs w:val="22"/>
        </w:rPr>
      </w:pPr>
      <w:r w:rsidRPr="0095617A">
        <w:rPr>
          <w:i/>
          <w:iCs/>
        </w:rPr>
        <w:t>Virginia Litter Tax:</w:t>
      </w:r>
      <w:r w:rsidRPr="003A102D">
        <w:t xml:space="preserve"> In 2020, the Virginia Litter Tax was raised for the first time in 43 years – from $10 to $20 for businesses that manufacture, wholesale, distribute, or sell products from fourteen categories: food for human or pet consumption, groceries, tobacco products, soft drinks and carbonated water, alcoholic beverages, newspapers and magazines, motor vehicle parts, paper products, glass containers, metal containers, plastic or synthetic fibers, cleaning products, non-drugstore sundry products, and distilled spirits. An additional annual litter tax (for each location that manufactures, sells, or distributes groceries, soft drinks or beer) was raised from $15 to $30. Revenue from the Litter Tax (in addition to excise taxes on soft drinks, beer and wine coolers) are deposited into the Litter Control and Recycling Trust Fund and distributed by the Virginia Litter Control and Recycling Fund Advisory Board. Awareness of the need to raise this tax came about as part of research done in the development of the Virginia Marine Debris Reduction Plan. A fact sheet was developed and disseminated to key policy makers and groups that were interested in lobbying for the change.</w:t>
      </w:r>
    </w:p>
    <w:p w14:paraId="15C3D6CD" w14:textId="601B4C02" w:rsidR="00714613" w:rsidRPr="003A102D" w:rsidRDefault="00714613">
      <w:pPr>
        <w:pStyle w:val="ListParagraph"/>
        <w:numPr>
          <w:ilvl w:val="0"/>
          <w:numId w:val="30"/>
        </w:numPr>
        <w:spacing w:before="0" w:after="0"/>
        <w:rPr>
          <w:rFonts w:eastAsia="Calibri"/>
          <w:color w:val="5B9BD5"/>
          <w:sz w:val="22"/>
          <w:szCs w:val="22"/>
        </w:rPr>
      </w:pPr>
      <w:r w:rsidRPr="003A102D">
        <w:rPr>
          <w:i/>
          <w:iCs/>
        </w:rPr>
        <w:t>Abandoned and Derelict Vessel Removal</w:t>
      </w:r>
      <w:r w:rsidR="0095617A">
        <w:rPr>
          <w:i/>
          <w:iCs/>
        </w:rPr>
        <w:t>:</w:t>
      </w:r>
      <w:r w:rsidRPr="003A102D">
        <w:t xml:space="preserve"> H.</w:t>
      </w:r>
      <w:r w:rsidRPr="003A102D">
        <w:rPr>
          <w:rFonts w:eastAsia="Calibri"/>
        </w:rPr>
        <w:t>B. 30 provides $3M in funding to VMRC for FY2023-2024 from the general fund to support the removal of derelict boats from Virginia waterways. In 2023, VMRC created a new Abandoned or Derelict Vessel Program (https://mrc.virginia.gov/advgrant.shtm) to provide grant funds to localities with vessel removal ordinances as well as Tribes for vessel removal.</w:t>
      </w:r>
      <w:r w:rsidRPr="003A102D">
        <w:rPr>
          <w:rFonts w:eastAsia="Calibri"/>
        </w:rPr>
        <w:br/>
      </w:r>
    </w:p>
    <w:p w14:paraId="151443BA" w14:textId="63A33518" w:rsidR="00714613" w:rsidRPr="003A102D" w:rsidRDefault="00714613" w:rsidP="0095617A">
      <w:pPr>
        <w:rPr>
          <w:shd w:val="clear" w:color="auto" w:fill="FFFFFF"/>
        </w:rPr>
      </w:pPr>
      <w:r w:rsidRPr="003A102D">
        <w:rPr>
          <w:shd w:val="clear" w:color="auto" w:fill="FFFFFF"/>
        </w:rPr>
        <w:t>Having a Marine Debris Reduction Plan in place also</w:t>
      </w:r>
      <w:r w:rsidR="008B588D">
        <w:rPr>
          <w:shd w:val="clear" w:color="auto" w:fill="FFFFFF"/>
        </w:rPr>
        <w:t xml:space="preserve"> </w:t>
      </w:r>
      <w:r w:rsidRPr="003A102D">
        <w:rPr>
          <w:shd w:val="clear" w:color="auto" w:fill="FFFFFF"/>
        </w:rPr>
        <w:t>helps Virginia meet one of its</w:t>
      </w:r>
      <w:r w:rsidR="008B588D">
        <w:rPr>
          <w:shd w:val="clear" w:color="auto" w:fill="FFFFFF"/>
        </w:rPr>
        <w:t xml:space="preserve"> </w:t>
      </w:r>
      <w:r w:rsidRPr="003A102D">
        <w:rPr>
          <w:shd w:val="clear" w:color="auto" w:fill="FFFFFF"/>
        </w:rPr>
        <w:t>goals as a</w:t>
      </w:r>
      <w:r w:rsidR="008B588D">
        <w:rPr>
          <w:shd w:val="clear" w:color="auto" w:fill="FFFFFF"/>
        </w:rPr>
        <w:t xml:space="preserve"> </w:t>
      </w:r>
      <w:hyperlink r:id="rId245" w:tgtFrame="_blank" w:history="1">
        <w:r w:rsidRPr="003A102D">
          <w:rPr>
            <w:bdr w:val="none" w:sz="0" w:space="0" w:color="auto" w:frame="1"/>
            <w:shd w:val="clear" w:color="auto" w:fill="FFFFFF"/>
          </w:rPr>
          <w:t>member of the Mid-Atlantic Regional Counci</w:t>
        </w:r>
        <w:r w:rsidR="008B588D">
          <w:rPr>
            <w:bdr w:val="none" w:sz="0" w:space="0" w:color="auto" w:frame="1"/>
            <w:shd w:val="clear" w:color="auto" w:fill="FFFFFF"/>
          </w:rPr>
          <w:t xml:space="preserve">l </w:t>
        </w:r>
        <w:r w:rsidRPr="003A102D">
          <w:rPr>
            <w:bdr w:val="none" w:sz="0" w:space="0" w:color="auto" w:frame="1"/>
            <w:shd w:val="clear" w:color="auto" w:fill="FFFFFF"/>
          </w:rPr>
          <w:t>on the Ocean</w:t>
        </w:r>
      </w:hyperlink>
      <w:r w:rsidR="00353B2A">
        <w:rPr>
          <w:bdr w:val="none" w:sz="0" w:space="0" w:color="auto" w:frame="1"/>
          <w:shd w:val="clear" w:color="auto" w:fill="FFFFFF"/>
        </w:rPr>
        <w:t>.</w:t>
      </w:r>
      <w:r w:rsidRPr="003A102D">
        <w:rPr>
          <w:bdr w:val="none" w:sz="0" w:space="0" w:color="auto" w:frame="1"/>
          <w:shd w:val="clear" w:color="auto" w:fill="FFFFFF"/>
        </w:rPr>
        <w:t xml:space="preserve"> </w:t>
      </w:r>
      <w:r w:rsidRPr="003A102D">
        <w:rPr>
          <w:shd w:val="clear" w:color="auto" w:fill="FFFFFF"/>
        </w:rPr>
        <w:t>One of MARCO's water quality issues of concern is marine debris.</w:t>
      </w:r>
      <w:r w:rsidR="008B588D">
        <w:rPr>
          <w:shd w:val="clear" w:color="auto" w:fill="FFFFFF"/>
        </w:rPr>
        <w:t xml:space="preserve"> </w:t>
      </w:r>
      <w:r w:rsidR="009D72E7">
        <w:rPr>
          <w:shd w:val="clear" w:color="auto" w:fill="FFFFFF"/>
        </w:rPr>
        <w:t>Visit the MARCO website for more information.</w:t>
      </w:r>
    </w:p>
    <w:p w14:paraId="4576F476" w14:textId="77777777" w:rsidR="00714613" w:rsidRPr="003A102D" w:rsidRDefault="00714613" w:rsidP="00AE7B49">
      <w:pPr>
        <w:pStyle w:val="NormalWeb"/>
        <w:shd w:val="clear" w:color="auto" w:fill="FFFFFF"/>
        <w:spacing w:before="0" w:beforeAutospacing="0" w:after="0" w:afterAutospacing="0"/>
        <w:textAlignment w:val="baseline"/>
        <w:rPr>
          <w:rFonts w:asciiTheme="minorHAnsi" w:hAnsiTheme="minorHAnsi" w:cstheme="minorHAnsi"/>
          <w:shd w:val="clear" w:color="auto" w:fill="FFFFFF"/>
        </w:rPr>
      </w:pPr>
    </w:p>
    <w:p w14:paraId="662CAB19" w14:textId="68FE92B9" w:rsidR="00714613" w:rsidRPr="00AE7B49" w:rsidRDefault="00714613" w:rsidP="00AE7B49">
      <w:pPr>
        <w:pStyle w:val="Heading3"/>
      </w:pPr>
      <w:r w:rsidRPr="00AE7B49">
        <w:t>Virginia CZM Program Investments in Oyster and Eelgrass Restoration</w:t>
      </w:r>
    </w:p>
    <w:p w14:paraId="5AACBA05" w14:textId="77777777" w:rsidR="00714613" w:rsidRPr="00AE7B49" w:rsidRDefault="00714613" w:rsidP="00AE7B49">
      <w:pPr>
        <w:pStyle w:val="Heading4"/>
      </w:pPr>
      <w:r w:rsidRPr="00AE7B49">
        <w:t>Oysters</w:t>
      </w:r>
    </w:p>
    <w:p w14:paraId="7001C61B" w14:textId="1FA8AF7A" w:rsidR="00714613" w:rsidRPr="003A102D" w:rsidRDefault="00714613" w:rsidP="0095617A">
      <w:r w:rsidRPr="003A102D">
        <w:t>In the 1990s, serious consideration was given to listing our native oyster as endangered.</w:t>
      </w:r>
      <w:r w:rsidR="00CD1A14">
        <w:t xml:space="preserve"> </w:t>
      </w:r>
      <w:r w:rsidRPr="003A102D">
        <w:t>Thanks to advances in the science of breeding disease resistance, improved water quality, careful management practices and major restoration efforts, Virginia’s native oyster has made a brilliant come back.</w:t>
      </w:r>
      <w:r w:rsidR="00CD1A14">
        <w:br/>
      </w:r>
    </w:p>
    <w:p w14:paraId="726DF8B3" w14:textId="0540E87A" w:rsidR="00714613" w:rsidRPr="003A102D" w:rsidRDefault="00714613" w:rsidP="00DF3805">
      <w:pPr>
        <w:rPr>
          <w:rFonts w:cstheme="minorHAnsi"/>
          <w:color w:val="000000" w:themeColor="text1"/>
        </w:rPr>
      </w:pPr>
      <w:r w:rsidRPr="00D7420F">
        <w:rPr>
          <w:rStyle w:val="Strong"/>
          <w:rFonts w:cstheme="minorHAnsi"/>
          <w:b w:val="0"/>
          <w:bCs w:val="0"/>
          <w:color w:val="000000" w:themeColor="text1"/>
        </w:rPr>
        <w:t>In 1999, Virginia CZM jump-started large scale, 3-D oyster reef restoration with a $1.5 million project in the Rappahannock River and Seaside Eastern Shore.</w:t>
      </w:r>
      <w:r w:rsidR="008B588D">
        <w:rPr>
          <w:rStyle w:val="Strong"/>
          <w:rFonts w:cstheme="minorHAnsi"/>
          <w:b w:val="0"/>
          <w:bCs w:val="0"/>
          <w:color w:val="000000" w:themeColor="text1"/>
        </w:rPr>
        <w:t xml:space="preserve"> </w:t>
      </w:r>
      <w:r w:rsidRPr="00D7420F">
        <w:rPr>
          <w:rStyle w:val="Strong"/>
          <w:rFonts w:cstheme="minorHAnsi"/>
          <w:b w:val="0"/>
          <w:bCs w:val="0"/>
          <w:color w:val="000000" w:themeColor="text1"/>
        </w:rPr>
        <w:t>This paved the way for the then-novel technique.</w:t>
      </w:r>
      <w:r w:rsidR="008B588D">
        <w:rPr>
          <w:rStyle w:val="Strong"/>
          <w:rFonts w:cstheme="minorHAnsi"/>
          <w:b w:val="0"/>
          <w:bCs w:val="0"/>
          <w:color w:val="000000" w:themeColor="text1"/>
        </w:rPr>
        <w:t xml:space="preserve"> </w:t>
      </w:r>
      <w:r w:rsidR="00B00F83" w:rsidRPr="00D7420F">
        <w:rPr>
          <w:rFonts w:cstheme="minorHAnsi"/>
          <w:color w:val="000000" w:themeColor="text1"/>
        </w:rPr>
        <w:t>T</w:t>
      </w:r>
      <w:r w:rsidRPr="00D7420F">
        <w:rPr>
          <w:rFonts w:cstheme="minorHAnsi"/>
          <w:color w:val="000000" w:themeColor="text1"/>
        </w:rPr>
        <w:t>he Virginia CZM Program brought together state, federal and non-governmental organizations</w:t>
      </w:r>
      <w:r w:rsidRPr="003A102D">
        <w:rPr>
          <w:rFonts w:cstheme="minorHAnsi"/>
          <w:color w:val="000000" w:themeColor="text1"/>
        </w:rPr>
        <w:t>, and private oyster industry partners to focus on the Bay’s largest oyster restoration project. Virginia’s oyster harvest had been the lowest ever recorded that year.</w:t>
      </w:r>
      <w:r w:rsidR="008B588D">
        <w:rPr>
          <w:rFonts w:cstheme="minorHAnsi"/>
          <w:color w:val="000000" w:themeColor="text1"/>
        </w:rPr>
        <w:t xml:space="preserve"> </w:t>
      </w:r>
      <w:r w:rsidRPr="003A102D">
        <w:rPr>
          <w:rFonts w:cstheme="minorHAnsi"/>
          <w:color w:val="000000" w:themeColor="text1"/>
        </w:rPr>
        <w:t>But oysters are beginning to take hold once more.</w:t>
      </w:r>
      <w:r w:rsidR="00D7420F">
        <w:rPr>
          <w:rFonts w:cstheme="minorHAnsi"/>
          <w:color w:val="000000" w:themeColor="text1"/>
        </w:rPr>
        <w:br/>
      </w:r>
    </w:p>
    <w:p w14:paraId="7001C2C4" w14:textId="33FDA2FC" w:rsidR="00714613" w:rsidRDefault="00714613" w:rsidP="0095617A">
      <w:pPr>
        <w:rPr>
          <w:rFonts w:cstheme="minorHAnsi"/>
          <w:color w:val="000000" w:themeColor="text1"/>
        </w:rPr>
      </w:pPr>
      <w:r w:rsidRPr="003A102D">
        <w:rPr>
          <w:rFonts w:cstheme="minorHAnsi"/>
          <w:color w:val="000000" w:themeColor="text1"/>
        </w:rPr>
        <w:t>The Virginia CZM Program made a major $1.5 million dollar investment in the Oyster Heritage Program, which restored oyster reefs in the Rappahannock and Seaside Eastern Shore.</w:t>
      </w:r>
      <w:r w:rsidR="008B588D">
        <w:rPr>
          <w:rFonts w:cstheme="minorHAnsi"/>
          <w:color w:val="000000" w:themeColor="text1"/>
        </w:rPr>
        <w:t xml:space="preserve"> </w:t>
      </w:r>
      <w:r w:rsidRPr="003A102D">
        <w:rPr>
          <w:rFonts w:cstheme="minorHAnsi"/>
          <w:color w:val="000000" w:themeColor="text1"/>
        </w:rPr>
        <w:t>This effort catalyzed the practice of building 3-dimensional sanctuary reefs to “feed” nearby 2-D harvest reefs.</w:t>
      </w:r>
      <w:r w:rsidR="00B00F83">
        <w:rPr>
          <w:rFonts w:cstheme="minorHAnsi"/>
          <w:color w:val="000000" w:themeColor="text1"/>
        </w:rPr>
        <w:t xml:space="preserve"> </w:t>
      </w:r>
      <w:r w:rsidRPr="003A102D">
        <w:rPr>
          <w:rFonts w:cstheme="minorHAnsi"/>
          <w:color w:val="000000" w:themeColor="text1"/>
        </w:rPr>
        <w:t>Additional grants to the Marine Resources Commission (VMRC) and the Virginia Institute of Marine Science (VIMS) allowed for development of improved commercial aquaculture leasing and permitting and promotion of “oyster gardening” for private use.</w:t>
      </w:r>
    </w:p>
    <w:p w14:paraId="71D293E4" w14:textId="77777777" w:rsidR="008B588D" w:rsidRPr="003A102D" w:rsidRDefault="008B588D" w:rsidP="0095617A">
      <w:pPr>
        <w:rPr>
          <w:rFonts w:cstheme="minorHAnsi"/>
          <w:color w:val="000000" w:themeColor="text1"/>
        </w:rPr>
      </w:pPr>
    </w:p>
    <w:p w14:paraId="498F383E" w14:textId="77777777" w:rsidR="00F02E33" w:rsidRDefault="00714613" w:rsidP="0095617A">
      <w:pPr>
        <w:rPr>
          <w:rFonts w:cstheme="minorHAnsi"/>
          <w:color w:val="000000" w:themeColor="text1"/>
        </w:rPr>
      </w:pPr>
      <w:r w:rsidRPr="003A102D">
        <w:rPr>
          <w:rFonts w:cstheme="minorHAnsi"/>
          <w:color w:val="000000" w:themeColor="text1"/>
        </w:rPr>
        <w:t>Today, Virginia’s restaurants abound with oysters hailing from seven distinct Virginia regions.</w:t>
      </w:r>
      <w:r w:rsidR="008B588D">
        <w:rPr>
          <w:rFonts w:cstheme="minorHAnsi"/>
          <w:color w:val="000000" w:themeColor="text1"/>
        </w:rPr>
        <w:t xml:space="preserve"> </w:t>
      </w:r>
      <w:r w:rsidRPr="003A102D">
        <w:rPr>
          <w:rFonts w:cstheme="minorHAnsi"/>
          <w:color w:val="000000" w:themeColor="text1"/>
        </w:rPr>
        <w:t xml:space="preserve">Many also participate in the </w:t>
      </w:r>
      <w:r w:rsidRPr="00CB4E18">
        <w:rPr>
          <w:rFonts w:cstheme="minorHAnsi"/>
          <w:shd w:val="clear" w:color="auto" w:fill="FFFFFF"/>
        </w:rPr>
        <w:t>VCU Rice Center Oyster Shell Recycling Program</w:t>
      </w:r>
      <w:r w:rsidRPr="003A102D">
        <w:rPr>
          <w:rFonts w:cstheme="minorHAnsi"/>
          <w:color w:val="000000" w:themeColor="text1"/>
        </w:rPr>
        <w:t>, to which Virginia CZM also contributes, helping to return valuable oyster shells back to Chesapeake Bay as substrate for new oyster growth.</w:t>
      </w:r>
      <w:r w:rsidR="00B00F83">
        <w:rPr>
          <w:rFonts w:cstheme="minorHAnsi"/>
          <w:color w:val="000000" w:themeColor="text1"/>
        </w:rPr>
        <w:t xml:space="preserve"> </w:t>
      </w:r>
      <w:r w:rsidRPr="003A102D">
        <w:rPr>
          <w:rFonts w:cstheme="minorHAnsi"/>
          <w:color w:val="000000" w:themeColor="text1"/>
        </w:rPr>
        <w:t>The</w:t>
      </w:r>
      <w:r w:rsidR="008B588D">
        <w:rPr>
          <w:rFonts w:cstheme="minorHAnsi"/>
          <w:color w:val="000000" w:themeColor="text1"/>
        </w:rPr>
        <w:t xml:space="preserve"> </w:t>
      </w:r>
      <w:r w:rsidRPr="003A102D">
        <w:rPr>
          <w:rFonts w:cstheme="minorHAnsi"/>
          <w:color w:val="000000" w:themeColor="text1"/>
        </w:rPr>
        <w:t>NOAA Chesapeake Bay Office asked Virginia CZM to serve as the conduit for $575,000 in funding for reefs in the Lynnhaven River.</w:t>
      </w:r>
      <w:r w:rsidR="008B588D">
        <w:rPr>
          <w:rFonts w:cstheme="minorHAnsi"/>
          <w:color w:val="000000" w:themeColor="text1"/>
        </w:rPr>
        <w:t xml:space="preserve"> </w:t>
      </w:r>
      <w:r w:rsidRPr="003A102D">
        <w:rPr>
          <w:rFonts w:cstheme="minorHAnsi"/>
          <w:color w:val="000000" w:themeColor="text1"/>
        </w:rPr>
        <w:t>In October 2018, those funds were added to the annual Virginia CZM award and subcontracted to VMRC.</w:t>
      </w:r>
      <w:r w:rsidR="00F02E33">
        <w:rPr>
          <w:rFonts w:cstheme="minorHAnsi"/>
          <w:color w:val="000000" w:themeColor="text1"/>
        </w:rPr>
        <w:t xml:space="preserve"> </w:t>
      </w:r>
      <w:proofErr w:type="gramStart"/>
      <w:r w:rsidRPr="003A102D">
        <w:rPr>
          <w:rFonts w:cstheme="minorHAnsi"/>
          <w:color w:val="000000" w:themeColor="text1"/>
        </w:rPr>
        <w:t>The Lynnhaven</w:t>
      </w:r>
      <w:proofErr w:type="gramEnd"/>
      <w:r w:rsidRPr="003A102D">
        <w:rPr>
          <w:rFonts w:cstheme="minorHAnsi"/>
          <w:color w:val="000000" w:themeColor="text1"/>
        </w:rPr>
        <w:t xml:space="preserve"> is one of the tributaries included in the Chesapeake Bay Program’s goal of restoring oyster populations in ten tributaries by 2025. The target for restoration in </w:t>
      </w:r>
      <w:proofErr w:type="gramStart"/>
      <w:r w:rsidRPr="003A102D">
        <w:rPr>
          <w:rFonts w:cstheme="minorHAnsi"/>
          <w:color w:val="000000" w:themeColor="text1"/>
        </w:rPr>
        <w:t>the Lynnhaven</w:t>
      </w:r>
      <w:proofErr w:type="gramEnd"/>
      <w:r w:rsidRPr="003A102D">
        <w:rPr>
          <w:rFonts w:cstheme="minorHAnsi"/>
          <w:color w:val="000000" w:themeColor="text1"/>
        </w:rPr>
        <w:t xml:space="preserve"> is 60 acres.</w:t>
      </w:r>
      <w:r w:rsidR="00F02E33">
        <w:rPr>
          <w:rFonts w:cstheme="minorHAnsi"/>
          <w:color w:val="000000" w:themeColor="text1"/>
        </w:rPr>
        <w:t xml:space="preserve"> </w:t>
      </w:r>
      <w:r w:rsidRPr="003A102D">
        <w:rPr>
          <w:rFonts w:cstheme="minorHAnsi"/>
          <w:color w:val="000000" w:themeColor="text1"/>
        </w:rPr>
        <w:t>Through this grant and using a combination of shell, crushed concrete, stone, or other materials, VMRC restored 10 acres towards the Bay Program goal.</w:t>
      </w:r>
    </w:p>
    <w:p w14:paraId="04176D21" w14:textId="77777777" w:rsidR="00F02E33" w:rsidRDefault="00F02E33" w:rsidP="0095617A">
      <w:pPr>
        <w:rPr>
          <w:rFonts w:cstheme="minorHAnsi"/>
          <w:color w:val="000000" w:themeColor="text1"/>
        </w:rPr>
      </w:pPr>
    </w:p>
    <w:p w14:paraId="46B88A63" w14:textId="77777777" w:rsidR="00714613" w:rsidRPr="003A102D" w:rsidRDefault="00714613" w:rsidP="0095617A">
      <w:pPr>
        <w:rPr>
          <w:rFonts w:cstheme="minorHAnsi"/>
        </w:rPr>
      </w:pPr>
      <w:r w:rsidRPr="003A102D">
        <w:rPr>
          <w:rFonts w:cstheme="minorHAnsi"/>
        </w:rPr>
        <w:t xml:space="preserve">In April 2020, the Virginia Marine Resources Commission completed a $472,826 Virginia CZM grant to restore 14 acres of oyster reef in the Lynnhaven River. 3,800 tons of crushed stone were used to form the </w:t>
      </w:r>
      <w:proofErr w:type="gramStart"/>
      <w:r w:rsidRPr="003A102D">
        <w:rPr>
          <w:rFonts w:cstheme="minorHAnsi"/>
        </w:rPr>
        <w:t>substrate</w:t>
      </w:r>
      <w:proofErr w:type="gramEnd"/>
      <w:r w:rsidRPr="003A102D">
        <w:rPr>
          <w:rFonts w:cstheme="minorHAnsi"/>
        </w:rPr>
        <w:t xml:space="preserve"> and the stone was covered with about 15,000 bushels of oyster shell. In August 2022 they completed a $390,351 Virginia CZM grant to create 17.5 acres of oyster reef in the lower York River. About 4,300 tons of crushed granite were placed in the river to form a hard substrate for oyster settlement. These projects along with many others are helping ensure we meet the goal of restoring oyster populations in 10 tributaries of the Chesapeake Bay by 2025.</w:t>
      </w:r>
    </w:p>
    <w:p w14:paraId="30A1E3A3" w14:textId="77777777" w:rsidR="00714613" w:rsidRPr="003A102D" w:rsidRDefault="00714613" w:rsidP="0095617A">
      <w:pPr>
        <w:rPr>
          <w:rFonts w:cstheme="minorHAnsi"/>
        </w:rPr>
      </w:pPr>
    </w:p>
    <w:p w14:paraId="4DA6BEBA" w14:textId="77777777" w:rsidR="00714613" w:rsidRPr="003A102D" w:rsidRDefault="00714613" w:rsidP="0095617A">
      <w:pPr>
        <w:rPr>
          <w:rFonts w:cstheme="minorHAnsi"/>
        </w:rPr>
      </w:pPr>
      <w:r w:rsidRPr="003A102D">
        <w:rPr>
          <w:rFonts w:cstheme="minorHAnsi"/>
        </w:rPr>
        <w:t xml:space="preserve">In September 2023, the Middle Peninsula PDC restored the shoreline of Hog Island off the southeast corner of Gloucester County on Mobjack Bay with a $412,229 Virginia CZM grant to the PDC. Leveraged funds were provided through a grant from the National Fish and Wildlife Foundation. The restoration will use proprietary, innovative 3D concrete oyster structures specifically designed to meet the expected wave conditions of the site. About 514-800 linear feet of stacked oyster structures will be installed using </w:t>
      </w:r>
      <w:proofErr w:type="gramStart"/>
      <w:r w:rsidRPr="003A102D">
        <w:rPr>
          <w:rFonts w:cstheme="minorHAnsi"/>
        </w:rPr>
        <w:t>the Virginia</w:t>
      </w:r>
      <w:proofErr w:type="gramEnd"/>
      <w:r w:rsidRPr="003A102D">
        <w:rPr>
          <w:rFonts w:cstheme="minorHAnsi"/>
        </w:rPr>
        <w:t xml:space="preserve"> CZM funds. The project will have multiple benefits including decreased erosion and nutrient inputs to the adjacent waters, creation of natural habitat, enhanced oyster populations, and storm surge protection for the businesses and homes southwest of the island.</w:t>
      </w:r>
    </w:p>
    <w:p w14:paraId="10EFCF99" w14:textId="77777777" w:rsidR="00714613" w:rsidRPr="003A102D" w:rsidRDefault="00714613" w:rsidP="00AE7B49">
      <w:pPr>
        <w:pStyle w:val="NormalWeb"/>
        <w:shd w:val="clear" w:color="auto" w:fill="FFFFFF"/>
        <w:spacing w:before="0" w:beforeAutospacing="0" w:after="0" w:afterAutospacing="0"/>
        <w:textAlignment w:val="baseline"/>
        <w:rPr>
          <w:rFonts w:asciiTheme="minorHAnsi" w:hAnsiTheme="minorHAnsi" w:cstheme="minorHAnsi"/>
        </w:rPr>
      </w:pPr>
    </w:p>
    <w:p w14:paraId="5AFBD4E1" w14:textId="022511F5" w:rsidR="00714613" w:rsidRPr="00AE7B49" w:rsidRDefault="00714613" w:rsidP="00AE7B49">
      <w:pPr>
        <w:pStyle w:val="Heading4"/>
      </w:pPr>
      <w:r w:rsidRPr="00AE7B49">
        <w:t>Eelgrass Restoration</w:t>
      </w:r>
    </w:p>
    <w:p w14:paraId="0A22B3B4" w14:textId="17E862F0" w:rsidR="00714613" w:rsidRPr="00B00F83" w:rsidRDefault="00714613" w:rsidP="00AE7B49">
      <w:pPr>
        <w:pStyle w:val="NormalWeb"/>
        <w:shd w:val="clear" w:color="auto" w:fill="FFFFFF"/>
        <w:spacing w:before="0" w:beforeAutospacing="0" w:after="0" w:afterAutospacing="0"/>
        <w:rPr>
          <w:rFonts w:asciiTheme="minorHAnsi" w:hAnsiTheme="minorHAnsi" w:cstheme="minorHAnsi"/>
          <w:i/>
          <w:iCs/>
          <w:color w:val="000000" w:themeColor="text1"/>
        </w:rPr>
      </w:pPr>
      <w:r w:rsidRPr="00B00F83">
        <w:rPr>
          <w:rStyle w:val="Emphasis"/>
          <w:rFonts w:asciiTheme="minorHAnsi" w:hAnsiTheme="minorHAnsi" w:cstheme="minorHAnsi"/>
          <w:i w:val="0"/>
          <w:iCs w:val="0"/>
          <w:color w:val="000000" w:themeColor="text1"/>
        </w:rPr>
        <w:t>In the 1930’s, hurricanes and disease wiped out all the eelgrass on the Seaside of Virginia’s Eastern Shore.</w:t>
      </w:r>
      <w:r w:rsidR="00F02E33">
        <w:rPr>
          <w:rStyle w:val="Emphasis"/>
          <w:rFonts w:asciiTheme="minorHAnsi" w:hAnsiTheme="minorHAnsi" w:cstheme="minorHAnsi"/>
          <w:i w:val="0"/>
          <w:iCs w:val="0"/>
          <w:color w:val="000000" w:themeColor="text1"/>
        </w:rPr>
        <w:t xml:space="preserve"> </w:t>
      </w:r>
      <w:r w:rsidRPr="00B00F83">
        <w:rPr>
          <w:rStyle w:val="Emphasis"/>
          <w:rFonts w:asciiTheme="minorHAnsi" w:hAnsiTheme="minorHAnsi" w:cstheme="minorHAnsi"/>
          <w:i w:val="0"/>
          <w:iCs w:val="0"/>
          <w:color w:val="000000" w:themeColor="text1"/>
        </w:rPr>
        <w:t>As a result, the ecosystem of the bays between the mainland and the barrier islands nearly collapsed.</w:t>
      </w:r>
      <w:r w:rsidR="00F02E33">
        <w:rPr>
          <w:rStyle w:val="Emphasis"/>
          <w:rFonts w:asciiTheme="minorHAnsi" w:hAnsiTheme="minorHAnsi" w:cstheme="minorHAnsi"/>
          <w:i w:val="0"/>
          <w:iCs w:val="0"/>
          <w:color w:val="000000" w:themeColor="text1"/>
        </w:rPr>
        <w:t xml:space="preserve"> </w:t>
      </w:r>
      <w:r w:rsidRPr="00B00F83">
        <w:rPr>
          <w:rStyle w:val="Emphasis"/>
          <w:rFonts w:asciiTheme="minorHAnsi" w:hAnsiTheme="minorHAnsi" w:cstheme="minorHAnsi"/>
          <w:i w:val="0"/>
          <w:iCs w:val="0"/>
          <w:color w:val="000000" w:themeColor="text1"/>
        </w:rPr>
        <w:t>Bay scallops, which rely on eelgrass beds as habitat, disappeared and other finfish and crabs that also relied on the grass beds became scarce.</w:t>
      </w:r>
      <w:r w:rsidR="00F02E33">
        <w:rPr>
          <w:rStyle w:val="Emphasis"/>
          <w:rFonts w:asciiTheme="minorHAnsi" w:hAnsiTheme="minorHAnsi" w:cstheme="minorHAnsi"/>
          <w:i w:val="0"/>
          <w:iCs w:val="0"/>
          <w:color w:val="000000" w:themeColor="text1"/>
        </w:rPr>
        <w:t xml:space="preserve"> </w:t>
      </w:r>
      <w:r w:rsidRPr="00B00F83">
        <w:rPr>
          <w:rStyle w:val="Emphasis"/>
          <w:rFonts w:asciiTheme="minorHAnsi" w:hAnsiTheme="minorHAnsi" w:cstheme="minorHAnsi"/>
          <w:i w:val="0"/>
          <w:iCs w:val="0"/>
          <w:color w:val="000000" w:themeColor="text1"/>
        </w:rPr>
        <w:t>This was</w:t>
      </w:r>
      <w:r w:rsidR="00F02E33">
        <w:rPr>
          <w:rStyle w:val="Emphasis"/>
          <w:rFonts w:asciiTheme="minorHAnsi" w:hAnsiTheme="minorHAnsi" w:cstheme="minorHAnsi"/>
          <w:i w:val="0"/>
          <w:iCs w:val="0"/>
          <w:color w:val="000000" w:themeColor="text1"/>
        </w:rPr>
        <w:t xml:space="preserve"> a</w:t>
      </w:r>
      <w:r w:rsidRPr="00B00F83">
        <w:rPr>
          <w:rStyle w:val="Emphasis"/>
          <w:rFonts w:asciiTheme="minorHAnsi" w:hAnsiTheme="minorHAnsi" w:cstheme="minorHAnsi"/>
          <w:i w:val="0"/>
          <w:iCs w:val="0"/>
          <w:color w:val="000000" w:themeColor="text1"/>
        </w:rPr>
        <w:t xml:space="preserve"> major blow to the local economy.</w:t>
      </w:r>
      <w:r w:rsidR="00F02E33">
        <w:rPr>
          <w:rStyle w:val="Emphasis"/>
          <w:rFonts w:asciiTheme="minorHAnsi" w:hAnsiTheme="minorHAnsi" w:cstheme="minorHAnsi"/>
          <w:i w:val="0"/>
          <w:iCs w:val="0"/>
          <w:color w:val="000000" w:themeColor="text1"/>
        </w:rPr>
        <w:t xml:space="preserve"> </w:t>
      </w:r>
      <w:r w:rsidRPr="00B00F83">
        <w:rPr>
          <w:rStyle w:val="Emphasis"/>
          <w:rFonts w:asciiTheme="minorHAnsi" w:hAnsiTheme="minorHAnsi" w:cstheme="minorHAnsi"/>
          <w:i w:val="0"/>
          <w:iCs w:val="0"/>
          <w:color w:val="000000" w:themeColor="text1"/>
        </w:rPr>
        <w:t xml:space="preserve">This once abundant and diverse system was decimated and remained so for almost 80 years. The hypothesis as to why the system didn’t recover was that the storms had changed </w:t>
      </w:r>
      <w:proofErr w:type="gramStart"/>
      <w:r w:rsidRPr="00B00F83">
        <w:rPr>
          <w:rStyle w:val="Emphasis"/>
          <w:rFonts w:asciiTheme="minorHAnsi" w:hAnsiTheme="minorHAnsi" w:cstheme="minorHAnsi"/>
          <w:i w:val="0"/>
          <w:iCs w:val="0"/>
          <w:color w:val="000000" w:themeColor="text1"/>
        </w:rPr>
        <w:t>the geology</w:t>
      </w:r>
      <w:proofErr w:type="gramEnd"/>
      <w:r w:rsidRPr="00B00F83">
        <w:rPr>
          <w:rStyle w:val="Emphasis"/>
          <w:rFonts w:asciiTheme="minorHAnsi" w:hAnsiTheme="minorHAnsi" w:cstheme="minorHAnsi"/>
          <w:i w:val="0"/>
          <w:iCs w:val="0"/>
          <w:color w:val="000000" w:themeColor="text1"/>
        </w:rPr>
        <w:t xml:space="preserve"> and hydrodynamics such that the waters were too turbid for eelgrass to survive.</w:t>
      </w:r>
      <w:r w:rsidR="00CD1A14">
        <w:rPr>
          <w:rStyle w:val="Emphasis"/>
          <w:rFonts w:asciiTheme="minorHAnsi" w:hAnsiTheme="minorHAnsi" w:cstheme="minorHAnsi"/>
          <w:i w:val="0"/>
          <w:iCs w:val="0"/>
          <w:color w:val="000000" w:themeColor="text1"/>
        </w:rPr>
        <w:br/>
      </w:r>
    </w:p>
    <w:p w14:paraId="7B688A1F" w14:textId="64CD3541" w:rsidR="00714613" w:rsidRPr="00F02E33" w:rsidRDefault="00714613" w:rsidP="00AE7B49">
      <w:pPr>
        <w:pStyle w:val="NormalWeb"/>
        <w:shd w:val="clear" w:color="auto" w:fill="FFFFFF"/>
        <w:spacing w:before="0" w:beforeAutospacing="0" w:after="0" w:afterAutospacing="0"/>
        <w:rPr>
          <w:rFonts w:asciiTheme="minorHAnsi" w:hAnsiTheme="minorHAnsi" w:cstheme="minorHAnsi"/>
          <w:color w:val="000000" w:themeColor="text1"/>
        </w:rPr>
      </w:pPr>
      <w:r w:rsidRPr="00F02E33">
        <w:rPr>
          <w:rStyle w:val="Emphasis"/>
          <w:rFonts w:asciiTheme="minorHAnsi" w:hAnsiTheme="minorHAnsi" w:cstheme="minorHAnsi"/>
          <w:i w:val="0"/>
          <w:iCs w:val="0"/>
          <w:color w:val="000000" w:themeColor="text1"/>
        </w:rPr>
        <w:t>Today,</w:t>
      </w:r>
      <w:r w:rsidR="00F02E33" w:rsidRPr="00F02E33">
        <w:rPr>
          <w:rStyle w:val="Emphasis"/>
          <w:rFonts w:asciiTheme="minorHAnsi" w:hAnsiTheme="minorHAnsi" w:cstheme="minorHAnsi"/>
          <w:i w:val="0"/>
          <w:iCs w:val="0"/>
          <w:color w:val="000000" w:themeColor="text1"/>
        </w:rPr>
        <w:t xml:space="preserve"> </w:t>
      </w:r>
      <w:r w:rsidRPr="00F02E33">
        <w:rPr>
          <w:rStyle w:val="Emphasis"/>
          <w:rFonts w:asciiTheme="minorHAnsi" w:hAnsiTheme="minorHAnsi" w:cstheme="minorHAnsi"/>
          <w:i w:val="0"/>
          <w:iCs w:val="0"/>
          <w:color w:val="000000" w:themeColor="text1"/>
        </w:rPr>
        <w:t>eelgrass beds planted with Virginia CZM funding on the Seaside of Virginia's Eastern Shore have spread to over 9,000 acres and the bay scallop has been re-introduced.</w:t>
      </w:r>
      <w:r w:rsidR="00F02E33" w:rsidRPr="00F02E33">
        <w:rPr>
          <w:rStyle w:val="Emphasis"/>
          <w:rFonts w:asciiTheme="minorHAnsi" w:hAnsiTheme="minorHAnsi" w:cstheme="minorHAnsi"/>
          <w:i w:val="0"/>
          <w:iCs w:val="0"/>
          <w:color w:val="000000" w:themeColor="text1"/>
        </w:rPr>
        <w:t xml:space="preserve"> </w:t>
      </w:r>
      <w:r w:rsidRPr="00F02E33">
        <w:rPr>
          <w:rFonts w:asciiTheme="minorHAnsi" w:hAnsiTheme="minorHAnsi" w:cstheme="minorHAnsi"/>
          <w:color w:val="000000" w:themeColor="text1"/>
        </w:rPr>
        <w:t xml:space="preserve">In the late 1990’s, a scientist at the Virginia Institute of Marine Science, Dr. Robert Orth (now retired), had strong doubts about the hypothesis that seaside waters could not support </w:t>
      </w:r>
      <w:proofErr w:type="gramStart"/>
      <w:r w:rsidRPr="00F02E33">
        <w:rPr>
          <w:rFonts w:asciiTheme="minorHAnsi" w:hAnsiTheme="minorHAnsi" w:cstheme="minorHAnsi"/>
          <w:color w:val="000000" w:themeColor="text1"/>
        </w:rPr>
        <w:t>eelgrass</w:t>
      </w:r>
      <w:proofErr w:type="gramEnd"/>
      <w:r w:rsidRPr="00F02E33">
        <w:rPr>
          <w:rFonts w:asciiTheme="minorHAnsi" w:hAnsiTheme="minorHAnsi" w:cstheme="minorHAnsi"/>
          <w:color w:val="000000" w:themeColor="text1"/>
        </w:rPr>
        <w:t xml:space="preserve">. He observed that the water clarity was </w:t>
      </w:r>
      <w:r w:rsidR="00447046" w:rsidRPr="00F02E33">
        <w:rPr>
          <w:rFonts w:asciiTheme="minorHAnsi" w:hAnsiTheme="minorHAnsi" w:cstheme="minorHAnsi"/>
          <w:color w:val="000000" w:themeColor="text1"/>
        </w:rPr>
        <w:t>quite</w:t>
      </w:r>
      <w:r w:rsidRPr="00F02E33">
        <w:rPr>
          <w:rFonts w:asciiTheme="minorHAnsi" w:hAnsiTheme="minorHAnsi" w:cstheme="minorHAnsi"/>
          <w:color w:val="000000" w:themeColor="text1"/>
        </w:rPr>
        <w:t xml:space="preserve"> good, and he soon discovered a tiny patch of eelgrass in one of the seaside bays.</w:t>
      </w:r>
      <w:r w:rsidR="00F02E33" w:rsidRPr="00F02E33">
        <w:rPr>
          <w:rFonts w:asciiTheme="minorHAnsi" w:hAnsiTheme="minorHAnsi" w:cstheme="minorHAnsi"/>
          <w:color w:val="000000" w:themeColor="text1"/>
        </w:rPr>
        <w:t xml:space="preserve"> </w:t>
      </w:r>
      <w:r w:rsidRPr="00F02E33">
        <w:rPr>
          <w:rFonts w:asciiTheme="minorHAnsi" w:hAnsiTheme="minorHAnsi" w:cstheme="minorHAnsi"/>
          <w:color w:val="000000" w:themeColor="text1"/>
        </w:rPr>
        <w:t>Dr. Orth contacted the Virginia CZM Program and asked for funding to conduct exploratory research.</w:t>
      </w:r>
      <w:r w:rsidR="00F02E33" w:rsidRPr="00F02E33">
        <w:rPr>
          <w:rFonts w:asciiTheme="minorHAnsi" w:hAnsiTheme="minorHAnsi" w:cstheme="minorHAnsi"/>
          <w:color w:val="000000" w:themeColor="text1"/>
        </w:rPr>
        <w:t xml:space="preserve"> </w:t>
      </w:r>
      <w:r w:rsidRPr="00F02E33">
        <w:rPr>
          <w:rFonts w:asciiTheme="minorHAnsi" w:hAnsiTheme="minorHAnsi" w:cstheme="minorHAnsi"/>
          <w:color w:val="000000" w:themeColor="text1"/>
        </w:rPr>
        <w:t xml:space="preserve">In 1999, a small amount of CZM funding was provided to test the efficacy of harvesting seeds from plants in </w:t>
      </w:r>
      <w:proofErr w:type="gramStart"/>
      <w:r w:rsidRPr="00F02E33">
        <w:rPr>
          <w:rFonts w:asciiTheme="minorHAnsi" w:hAnsiTheme="minorHAnsi" w:cstheme="minorHAnsi"/>
          <w:color w:val="000000" w:themeColor="text1"/>
        </w:rPr>
        <w:t>the York</w:t>
      </w:r>
      <w:proofErr w:type="gramEnd"/>
      <w:r w:rsidRPr="00F02E33">
        <w:rPr>
          <w:rFonts w:asciiTheme="minorHAnsi" w:hAnsiTheme="minorHAnsi" w:cstheme="minorHAnsi"/>
          <w:color w:val="000000" w:themeColor="text1"/>
        </w:rPr>
        <w:t xml:space="preserve"> River and dispersing them in a </w:t>
      </w:r>
      <w:proofErr w:type="gramStart"/>
      <w:r w:rsidR="00E94B83" w:rsidRPr="00F02E33">
        <w:rPr>
          <w:rFonts w:asciiTheme="minorHAnsi" w:hAnsiTheme="minorHAnsi" w:cstheme="minorHAnsi"/>
          <w:color w:val="000000" w:themeColor="text1"/>
        </w:rPr>
        <w:t>s</w:t>
      </w:r>
      <w:r w:rsidRPr="00F02E33">
        <w:rPr>
          <w:rFonts w:asciiTheme="minorHAnsi" w:hAnsiTheme="minorHAnsi" w:cstheme="minorHAnsi"/>
          <w:color w:val="000000" w:themeColor="text1"/>
        </w:rPr>
        <w:t>ea</w:t>
      </w:r>
      <w:r w:rsidR="00E94B83" w:rsidRPr="00F02E33">
        <w:rPr>
          <w:rFonts w:asciiTheme="minorHAnsi" w:hAnsiTheme="minorHAnsi" w:cstheme="minorHAnsi"/>
          <w:color w:val="000000" w:themeColor="text1"/>
        </w:rPr>
        <w:t>-</w:t>
      </w:r>
      <w:r w:rsidRPr="00F02E33">
        <w:rPr>
          <w:rFonts w:asciiTheme="minorHAnsi" w:hAnsiTheme="minorHAnsi" w:cstheme="minorHAnsi"/>
          <w:color w:val="000000" w:themeColor="text1"/>
        </w:rPr>
        <w:t>side</w:t>
      </w:r>
      <w:proofErr w:type="gramEnd"/>
      <w:r w:rsidRPr="00F02E33">
        <w:rPr>
          <w:rFonts w:asciiTheme="minorHAnsi" w:hAnsiTheme="minorHAnsi" w:cstheme="minorHAnsi"/>
          <w:color w:val="000000" w:themeColor="text1"/>
        </w:rPr>
        <w:t xml:space="preserve"> bay.</w:t>
      </w:r>
      <w:r w:rsidR="00CD1A14" w:rsidRPr="00F02E33">
        <w:rPr>
          <w:rFonts w:asciiTheme="minorHAnsi" w:hAnsiTheme="minorHAnsi" w:cstheme="minorHAnsi"/>
          <w:color w:val="000000" w:themeColor="text1"/>
        </w:rPr>
        <w:br/>
      </w:r>
    </w:p>
    <w:p w14:paraId="5E4BD1CC" w14:textId="77777777" w:rsidR="00F02E33" w:rsidRPr="00F02E33" w:rsidRDefault="00714613" w:rsidP="00AE7B49">
      <w:pPr>
        <w:pStyle w:val="NormalWeb"/>
        <w:shd w:val="clear" w:color="auto" w:fill="FFFFFF"/>
        <w:spacing w:before="0" w:beforeAutospacing="0" w:after="0" w:afterAutospacing="0"/>
        <w:rPr>
          <w:rFonts w:asciiTheme="minorHAnsi" w:hAnsiTheme="minorHAnsi" w:cstheme="minorHAnsi"/>
          <w:color w:val="000000" w:themeColor="text1"/>
        </w:rPr>
      </w:pPr>
      <w:r w:rsidRPr="00F02E33">
        <w:rPr>
          <w:rFonts w:asciiTheme="minorHAnsi" w:hAnsiTheme="minorHAnsi" w:cstheme="minorHAnsi"/>
          <w:color w:val="000000" w:themeColor="text1"/>
        </w:rPr>
        <w:t>The seeds germinated and grew well, so Virginia CZM continued to fund the research, and in 2002 initiated a major restoration effort – the</w:t>
      </w:r>
      <w:r w:rsidR="00F02E33" w:rsidRPr="00F02E33">
        <w:rPr>
          <w:rFonts w:asciiTheme="minorHAnsi" w:hAnsiTheme="minorHAnsi" w:cstheme="minorHAnsi"/>
          <w:color w:val="000000" w:themeColor="text1"/>
        </w:rPr>
        <w:t xml:space="preserve"> </w:t>
      </w:r>
      <w:r w:rsidRPr="00F02E33">
        <w:rPr>
          <w:rStyle w:val="Emphasis"/>
          <w:rFonts w:asciiTheme="minorHAnsi" w:hAnsiTheme="minorHAnsi" w:cstheme="minorHAnsi"/>
          <w:i w:val="0"/>
          <w:iCs w:val="0"/>
          <w:color w:val="000000" w:themeColor="text1"/>
        </w:rPr>
        <w:t>Seaside Heritage Program</w:t>
      </w:r>
      <w:r w:rsidR="00F02E33" w:rsidRPr="00F02E33">
        <w:rPr>
          <w:rFonts w:asciiTheme="minorHAnsi" w:hAnsiTheme="minorHAnsi" w:cstheme="minorHAnsi"/>
          <w:color w:val="000000" w:themeColor="text1"/>
        </w:rPr>
        <w:t xml:space="preserve"> </w:t>
      </w:r>
      <w:r w:rsidRPr="00F02E33">
        <w:rPr>
          <w:rFonts w:asciiTheme="minorHAnsi" w:hAnsiTheme="minorHAnsi" w:cstheme="minorHAnsi"/>
          <w:color w:val="000000" w:themeColor="text1"/>
        </w:rPr>
        <w:t>to capitalize on the early positive results.</w:t>
      </w:r>
      <w:r w:rsidR="00F02E33" w:rsidRPr="00F02E33">
        <w:rPr>
          <w:rFonts w:asciiTheme="minorHAnsi" w:hAnsiTheme="minorHAnsi" w:cstheme="minorHAnsi"/>
          <w:color w:val="000000" w:themeColor="text1"/>
        </w:rPr>
        <w:t xml:space="preserve"> </w:t>
      </w:r>
      <w:r w:rsidRPr="00F02E33">
        <w:rPr>
          <w:rFonts w:asciiTheme="minorHAnsi" w:hAnsiTheme="minorHAnsi" w:cstheme="minorHAnsi"/>
          <w:color w:val="000000" w:themeColor="text1"/>
        </w:rPr>
        <w:t>Virginia CZM’s $2,635,000 Seaside Heritage Program ran from 2002–2008.</w:t>
      </w:r>
      <w:r w:rsidR="00F02E33" w:rsidRPr="00F02E33">
        <w:rPr>
          <w:rFonts w:asciiTheme="minorHAnsi" w:hAnsiTheme="minorHAnsi" w:cstheme="minorHAnsi"/>
          <w:color w:val="000000" w:themeColor="text1"/>
        </w:rPr>
        <w:t xml:space="preserve"> </w:t>
      </w:r>
      <w:r w:rsidRPr="00F02E33">
        <w:rPr>
          <w:rFonts w:asciiTheme="minorHAnsi" w:hAnsiTheme="minorHAnsi" w:cstheme="minorHAnsi"/>
          <w:color w:val="000000" w:themeColor="text1"/>
        </w:rPr>
        <w:t>In addition to eelgrass restoration, the</w:t>
      </w:r>
      <w:r w:rsidR="00F02E33" w:rsidRPr="00F02E33">
        <w:rPr>
          <w:rFonts w:asciiTheme="minorHAnsi" w:hAnsiTheme="minorHAnsi" w:cstheme="minorHAnsi"/>
          <w:color w:val="000000" w:themeColor="text1"/>
        </w:rPr>
        <w:t xml:space="preserve"> </w:t>
      </w:r>
      <w:r w:rsidRPr="00F02E33">
        <w:rPr>
          <w:rStyle w:val="Emphasis"/>
          <w:rFonts w:asciiTheme="minorHAnsi" w:hAnsiTheme="minorHAnsi" w:cstheme="minorHAnsi"/>
          <w:i w:val="0"/>
          <w:iCs w:val="0"/>
          <w:color w:val="000000" w:themeColor="text1"/>
        </w:rPr>
        <w:t>Seaside Heritage Program</w:t>
      </w:r>
      <w:r w:rsidR="00F02E33" w:rsidRPr="00F02E33">
        <w:rPr>
          <w:rFonts w:asciiTheme="minorHAnsi" w:hAnsiTheme="minorHAnsi" w:cstheme="minorHAnsi"/>
          <w:color w:val="000000" w:themeColor="text1"/>
        </w:rPr>
        <w:t xml:space="preserve"> </w:t>
      </w:r>
      <w:r w:rsidRPr="00F02E33">
        <w:rPr>
          <w:rFonts w:asciiTheme="minorHAnsi" w:hAnsiTheme="minorHAnsi" w:cstheme="minorHAnsi"/>
          <w:color w:val="000000" w:themeColor="text1"/>
        </w:rPr>
        <w:t>included work on ecotourism promotion and infrastructure construction, invasive reed removal, shorebird habitat research, shorebird predator removal, aquaculture BMPs, oyster inventory and reef construction, and public outreach efforts.</w:t>
      </w:r>
    </w:p>
    <w:p w14:paraId="62813C56" w14:textId="77777777" w:rsidR="00F02E33" w:rsidRPr="00F02E33" w:rsidRDefault="00F02E33" w:rsidP="00AE7B49">
      <w:pPr>
        <w:pStyle w:val="NormalWeb"/>
        <w:shd w:val="clear" w:color="auto" w:fill="FFFFFF"/>
        <w:spacing w:before="0" w:beforeAutospacing="0" w:after="0" w:afterAutospacing="0"/>
        <w:rPr>
          <w:rFonts w:asciiTheme="minorHAnsi" w:hAnsiTheme="minorHAnsi" w:cstheme="minorHAnsi"/>
          <w:color w:val="000000" w:themeColor="text1"/>
        </w:rPr>
      </w:pPr>
    </w:p>
    <w:p w14:paraId="2FC03B1A" w14:textId="38264059" w:rsidR="00714613" w:rsidRPr="00F0403E" w:rsidRDefault="00714613" w:rsidP="00AE7B49">
      <w:pPr>
        <w:pStyle w:val="NormalWeb"/>
        <w:shd w:val="clear" w:color="auto" w:fill="FFFFFF"/>
        <w:spacing w:before="0" w:beforeAutospacing="0" w:after="0" w:afterAutospacing="0"/>
        <w:rPr>
          <w:rFonts w:asciiTheme="minorHAnsi" w:hAnsiTheme="minorHAnsi" w:cstheme="minorHAnsi"/>
          <w:color w:val="000000" w:themeColor="text1"/>
        </w:rPr>
      </w:pPr>
      <w:r w:rsidRPr="00F02E33">
        <w:rPr>
          <w:rFonts w:asciiTheme="minorHAnsi" w:hAnsiTheme="minorHAnsi" w:cstheme="minorHAnsi"/>
          <w:color w:val="000000" w:themeColor="text1"/>
        </w:rPr>
        <w:t>When Virginia CZM initially convened government, academic and non-profit partners to lay out the goals and objectives of the</w:t>
      </w:r>
      <w:r w:rsidR="00F02E33" w:rsidRPr="00F02E33">
        <w:rPr>
          <w:rFonts w:asciiTheme="minorHAnsi" w:hAnsiTheme="minorHAnsi" w:cstheme="minorHAnsi"/>
          <w:color w:val="000000" w:themeColor="text1"/>
        </w:rPr>
        <w:t xml:space="preserve"> </w:t>
      </w:r>
      <w:r w:rsidRPr="00F02E33">
        <w:rPr>
          <w:rStyle w:val="Emphasis"/>
          <w:rFonts w:asciiTheme="minorHAnsi" w:hAnsiTheme="minorHAnsi" w:cstheme="minorHAnsi"/>
          <w:i w:val="0"/>
          <w:iCs w:val="0"/>
          <w:color w:val="000000" w:themeColor="text1"/>
        </w:rPr>
        <w:t>Seaside Heritage Program</w:t>
      </w:r>
      <w:r w:rsidRPr="00F02E33">
        <w:rPr>
          <w:rFonts w:asciiTheme="minorHAnsi" w:hAnsiTheme="minorHAnsi" w:cstheme="minorHAnsi"/>
          <w:color w:val="000000" w:themeColor="text1"/>
        </w:rPr>
        <w:t>, it settled on an audacious goal –</w:t>
      </w:r>
      <w:r w:rsidR="00F02E33">
        <w:rPr>
          <w:rFonts w:asciiTheme="minorHAnsi" w:hAnsiTheme="minorHAnsi" w:cstheme="minorHAnsi"/>
          <w:color w:val="000000" w:themeColor="text1"/>
        </w:rPr>
        <w:t xml:space="preserve"> </w:t>
      </w:r>
      <w:r w:rsidRPr="00F02E33">
        <w:rPr>
          <w:rStyle w:val="Emphasis"/>
          <w:rFonts w:asciiTheme="minorHAnsi" w:hAnsiTheme="minorHAnsi" w:cstheme="minorHAnsi"/>
          <w:i w:val="0"/>
          <w:iCs w:val="0"/>
          <w:color w:val="000000" w:themeColor="text1"/>
        </w:rPr>
        <w:t>to bring back a sufficient acreage of eelgrass to allow for the re-introduction of the bay scallop.</w:t>
      </w:r>
      <w:r w:rsidR="00F02E33">
        <w:rPr>
          <w:rStyle w:val="Emphasis"/>
          <w:rFonts w:asciiTheme="minorHAnsi" w:hAnsiTheme="minorHAnsi" w:cstheme="minorHAnsi"/>
          <w:i w:val="0"/>
          <w:iCs w:val="0"/>
          <w:color w:val="000000" w:themeColor="text1"/>
        </w:rPr>
        <w:t xml:space="preserve"> </w:t>
      </w:r>
      <w:r w:rsidRPr="00F02E33">
        <w:rPr>
          <w:rFonts w:asciiTheme="minorHAnsi" w:hAnsiTheme="minorHAnsi" w:cstheme="minorHAnsi"/>
          <w:color w:val="000000" w:themeColor="text1"/>
        </w:rPr>
        <w:t xml:space="preserve">It </w:t>
      </w:r>
      <w:proofErr w:type="gramStart"/>
      <w:r w:rsidRPr="00F02E33">
        <w:rPr>
          <w:rFonts w:asciiTheme="minorHAnsi" w:hAnsiTheme="minorHAnsi" w:cstheme="minorHAnsi"/>
          <w:color w:val="000000" w:themeColor="text1"/>
        </w:rPr>
        <w:t>seemed</w:t>
      </w:r>
      <w:proofErr w:type="gramEnd"/>
      <w:r w:rsidRPr="00F02E33">
        <w:rPr>
          <w:rFonts w:asciiTheme="minorHAnsi" w:hAnsiTheme="minorHAnsi" w:cstheme="minorHAnsi"/>
          <w:color w:val="000000" w:themeColor="text1"/>
        </w:rPr>
        <w:t xml:space="preserve"> a pipe dream in 2002.</w:t>
      </w:r>
      <w:r w:rsidR="00F0403E" w:rsidRPr="00F02E33">
        <w:rPr>
          <w:rFonts w:asciiTheme="minorHAnsi" w:hAnsiTheme="minorHAnsi" w:cstheme="minorHAnsi"/>
          <w:color w:val="000000" w:themeColor="text1"/>
        </w:rPr>
        <w:t xml:space="preserve"> </w:t>
      </w:r>
      <w:r w:rsidRPr="00F02E33">
        <w:rPr>
          <w:rFonts w:asciiTheme="minorHAnsi" w:hAnsiTheme="minorHAnsi" w:cstheme="minorHAnsi"/>
          <w:color w:val="000000" w:themeColor="text1"/>
        </w:rPr>
        <w:t xml:space="preserve">But the investment of Virginia CZM yielded </w:t>
      </w:r>
      <w:proofErr w:type="gramStart"/>
      <w:r w:rsidRPr="00F02E33">
        <w:rPr>
          <w:rFonts w:asciiTheme="minorHAnsi" w:hAnsiTheme="minorHAnsi" w:cstheme="minorHAnsi"/>
          <w:color w:val="000000" w:themeColor="text1"/>
        </w:rPr>
        <w:t>highly</w:t>
      </w:r>
      <w:proofErr w:type="gramEnd"/>
      <w:r w:rsidRPr="00F02E33">
        <w:rPr>
          <w:rFonts w:asciiTheme="minorHAnsi" w:hAnsiTheme="minorHAnsi" w:cstheme="minorHAnsi"/>
          <w:color w:val="000000" w:themeColor="text1"/>
        </w:rPr>
        <w:t xml:space="preserve"> productive </w:t>
      </w:r>
      <w:r w:rsidRPr="00F02E33">
        <w:rPr>
          <w:rFonts w:asciiTheme="minorHAnsi" w:hAnsiTheme="minorHAnsi" w:cstheme="minorHAnsi"/>
          <w:color w:val="000000" w:themeColor="text1"/>
        </w:rPr>
        <w:lastRenderedPageBreak/>
        <w:t>habitat and a great success story.</w:t>
      </w:r>
      <w:r w:rsidR="00F0403E" w:rsidRPr="00F02E33">
        <w:rPr>
          <w:rFonts w:asciiTheme="minorHAnsi" w:hAnsiTheme="minorHAnsi" w:cstheme="minorHAnsi"/>
          <w:color w:val="000000" w:themeColor="text1"/>
        </w:rPr>
        <w:t xml:space="preserve"> </w:t>
      </w:r>
      <w:r w:rsidRPr="00F02E33">
        <w:rPr>
          <w:rStyle w:val="Strong"/>
          <w:rFonts w:asciiTheme="minorHAnsi" w:hAnsiTheme="minorHAnsi" w:cstheme="minorHAnsi"/>
          <w:b w:val="0"/>
          <w:bCs w:val="0"/>
          <w:color w:val="000000" w:themeColor="text1"/>
        </w:rPr>
        <w:t>Virginia CZM invested $654,000 in eelgrass research and restoration between 2002 and 2008 and another $1,210,000 in eelgrass and bay scallop restoration between 2009 and 2018,</w:t>
      </w:r>
      <w:r w:rsidR="00F02E33">
        <w:rPr>
          <w:rStyle w:val="Strong"/>
          <w:rFonts w:asciiTheme="minorHAnsi" w:hAnsiTheme="minorHAnsi" w:cstheme="minorHAnsi"/>
          <w:b w:val="0"/>
          <w:bCs w:val="0"/>
          <w:color w:val="000000" w:themeColor="text1"/>
        </w:rPr>
        <w:t xml:space="preserve"> </w:t>
      </w:r>
      <w:r w:rsidRPr="00F02E33">
        <w:rPr>
          <w:rStyle w:val="Strong"/>
          <w:rFonts w:asciiTheme="minorHAnsi" w:hAnsiTheme="minorHAnsi" w:cstheme="minorHAnsi"/>
          <w:b w:val="0"/>
          <w:bCs w:val="0"/>
          <w:color w:val="000000" w:themeColor="text1"/>
        </w:rPr>
        <w:t>for a total investment of about $1,860,000 over 16 years.</w:t>
      </w:r>
      <w:r w:rsidR="00AE7B49" w:rsidRPr="00F02E33">
        <w:rPr>
          <w:rStyle w:val="Strong"/>
          <w:rFonts w:asciiTheme="minorHAnsi" w:hAnsiTheme="minorHAnsi" w:cstheme="minorHAnsi"/>
          <w:b w:val="0"/>
          <w:bCs w:val="0"/>
          <w:color w:val="000000" w:themeColor="text1"/>
        </w:rPr>
        <w:br/>
      </w:r>
    </w:p>
    <w:p w14:paraId="56E2A7C8" w14:textId="554C477D" w:rsidR="00714613" w:rsidRPr="00AE7B49" w:rsidRDefault="00714613" w:rsidP="00AE7B49">
      <w:pPr>
        <w:pStyle w:val="Heading3"/>
      </w:pPr>
      <w:r w:rsidRPr="00AE7B49">
        <w:t>Coastal Planning District Commissions</w:t>
      </w:r>
    </w:p>
    <w:p w14:paraId="671DCC6F" w14:textId="6AC290DC" w:rsidR="0040101F" w:rsidRPr="001E7137" w:rsidRDefault="00714613" w:rsidP="004F3513">
      <w:pPr>
        <w:rPr>
          <w:rFonts w:cstheme="minorHAnsi"/>
          <w:szCs w:val="24"/>
        </w:rPr>
      </w:pPr>
      <w:r w:rsidRPr="003A102D">
        <w:rPr>
          <w:rFonts w:cstheme="minorHAnsi"/>
          <w:szCs w:val="24"/>
        </w:rPr>
        <w:t xml:space="preserve">Virginia's eight coastal planning district commissions (PDCs) play an integral role in the Virginia CZM Program. Coastal PDCs provide an important link between the state agencies and 86 localities that constitute Virginia's network of coastal resource managers. A representative from each PDC serves on the </w:t>
      </w:r>
      <w:hyperlink r:id="rId246" w:history="1">
        <w:r w:rsidRPr="003A102D">
          <w:rPr>
            <w:rFonts w:cstheme="minorHAnsi"/>
            <w:szCs w:val="24"/>
          </w:rPr>
          <w:t>Virginia CZM Program's Coastal Policy Team</w:t>
        </w:r>
      </w:hyperlink>
      <w:r w:rsidRPr="003A102D">
        <w:rPr>
          <w:rFonts w:cstheme="minorHAnsi"/>
          <w:szCs w:val="24"/>
        </w:rPr>
        <w:t xml:space="preserve"> and all eight coastal PDCs meet quarterly with Virginia CZM staff. In addition, each PDC holds quarterly meetings and </w:t>
      </w:r>
      <w:proofErr w:type="gramStart"/>
      <w:r w:rsidRPr="003A102D">
        <w:rPr>
          <w:rFonts w:cstheme="minorHAnsi"/>
          <w:szCs w:val="24"/>
        </w:rPr>
        <w:t>trainings</w:t>
      </w:r>
      <w:proofErr w:type="gramEnd"/>
      <w:r w:rsidRPr="003A102D">
        <w:rPr>
          <w:rFonts w:cstheme="minorHAnsi"/>
          <w:szCs w:val="24"/>
        </w:rPr>
        <w:t xml:space="preserve"> for its local coastal resource managers.</w:t>
      </w:r>
      <w:r w:rsidR="00F02E33">
        <w:rPr>
          <w:rFonts w:cstheme="minorHAnsi"/>
          <w:szCs w:val="24"/>
        </w:rPr>
        <w:t xml:space="preserve"> </w:t>
      </w:r>
      <w:r w:rsidRPr="003A102D">
        <w:rPr>
          <w:rFonts w:cstheme="minorHAnsi"/>
        </w:rPr>
        <w:t xml:space="preserve">The Virginia CZM Program supports each coastal PDC with an annual technical assistance grant and has helped with a variety of regional and local coastal resource management projects sponsored by the PDCs. With </w:t>
      </w:r>
      <w:proofErr w:type="gramStart"/>
      <w:r w:rsidRPr="003A102D">
        <w:rPr>
          <w:rFonts w:cstheme="minorHAnsi"/>
        </w:rPr>
        <w:t>this funding</w:t>
      </w:r>
      <w:proofErr w:type="gramEnd"/>
      <w:r w:rsidRPr="003A102D">
        <w:rPr>
          <w:rFonts w:cstheme="minorHAnsi"/>
        </w:rPr>
        <w:t xml:space="preserve"> support, Virginia's coastal PDCs have been instrumental in the planning and implementation of several key water quality projects.</w:t>
      </w:r>
      <w:r w:rsidR="00D16173">
        <w:rPr>
          <w:rFonts w:cstheme="minorHAnsi"/>
        </w:rPr>
        <w:t xml:space="preserve"> </w:t>
      </w:r>
      <w:bookmarkEnd w:id="433"/>
      <w:r w:rsidR="00A7133E">
        <w:br/>
      </w:r>
    </w:p>
    <w:p w14:paraId="35B8A9F0" w14:textId="745FD86F" w:rsidR="005F644A" w:rsidRPr="00F0403E" w:rsidRDefault="00C44D07" w:rsidP="00F0403E">
      <w:pPr>
        <w:pStyle w:val="Heading2"/>
      </w:pPr>
      <w:bookmarkStart w:id="441" w:name="_Toc152763330"/>
      <w:bookmarkStart w:id="442" w:name="_Toc155771974"/>
      <w:bookmarkStart w:id="443" w:name="_Toc191900453"/>
      <w:r>
        <w:t>Chesapeake Bay Program Initiatives</w:t>
      </w:r>
      <w:bookmarkEnd w:id="441"/>
      <w:bookmarkEnd w:id="442"/>
      <w:bookmarkEnd w:id="443"/>
    </w:p>
    <w:p w14:paraId="085C3D26" w14:textId="5AB9CBB6" w:rsidR="005F644A" w:rsidRPr="005055CB" w:rsidRDefault="005F644A" w:rsidP="00176C7C">
      <w:r>
        <w:t xml:space="preserve">The Commonwealth of Virginia has 120 miles of Atlantic Ocean coastline and approximately 2,200 square miles of estuary. The estuarine waters of Chesapeake Bay and its tidal tributaries are valued for their commercial fishing, wildlife, sporting, and recreational opportunities, as well as its commercial values in shipping and industry. In the late 1970's, adverse trends in water quality and living resources were noted and prompted </w:t>
      </w:r>
      <w:r w:rsidR="00F02E33">
        <w:t>the creation</w:t>
      </w:r>
      <w:r>
        <w:t xml:space="preserve"> of the </w:t>
      </w:r>
      <w:r w:rsidR="02176480">
        <w:t>Federal Interstate</w:t>
      </w:r>
      <w:r>
        <w:t xml:space="preserve"> Chesapeake Bay Program (CBP).</w:t>
      </w:r>
    </w:p>
    <w:p w14:paraId="55A28FEE" w14:textId="77777777" w:rsidR="005F644A" w:rsidRPr="005055CB" w:rsidRDefault="005F644A" w:rsidP="005F644A">
      <w:pPr>
        <w:rPr>
          <w:szCs w:val="24"/>
        </w:rPr>
      </w:pPr>
    </w:p>
    <w:p w14:paraId="301BF199" w14:textId="08D1AD3E" w:rsidR="005F644A" w:rsidRPr="00EA016E" w:rsidRDefault="005F644A" w:rsidP="00EE2888">
      <w:pPr>
        <w:rPr>
          <w:szCs w:val="24"/>
        </w:rPr>
      </w:pPr>
      <w:r w:rsidRPr="005055CB">
        <w:rPr>
          <w:szCs w:val="24"/>
        </w:rPr>
        <w:t xml:space="preserve">Through participation in </w:t>
      </w:r>
      <w:proofErr w:type="gramStart"/>
      <w:r w:rsidRPr="005055CB">
        <w:rPr>
          <w:szCs w:val="24"/>
        </w:rPr>
        <w:t>the CBP</w:t>
      </w:r>
      <w:proofErr w:type="gramEnd"/>
      <w:r w:rsidRPr="005055CB">
        <w:rPr>
          <w:szCs w:val="24"/>
        </w:rPr>
        <w:t xml:space="preserve"> and implementation of special state initiatives, Virginia maintains a firm commitment to rehabilitate and wisely m</w:t>
      </w:r>
      <w:r>
        <w:rPr>
          <w:szCs w:val="24"/>
        </w:rPr>
        <w:t xml:space="preserve">anage its estuarine resources. </w:t>
      </w:r>
      <w:r w:rsidRPr="005055CB">
        <w:rPr>
          <w:szCs w:val="24"/>
        </w:rPr>
        <w:t xml:space="preserve">This </w:t>
      </w:r>
      <w:r w:rsidR="00CC1078">
        <w:rPr>
          <w:szCs w:val="24"/>
        </w:rPr>
        <w:t>section</w:t>
      </w:r>
      <w:r w:rsidRPr="005055CB">
        <w:rPr>
          <w:szCs w:val="24"/>
        </w:rPr>
        <w:t xml:space="preserve"> provides an overview of the state’s initiatives intended to restore and preserve the Chesapeake Bay and its tidal tributaries.</w:t>
      </w:r>
      <w:r w:rsidR="00EA016E">
        <w:rPr>
          <w:szCs w:val="24"/>
        </w:rPr>
        <w:t xml:space="preserve"> </w:t>
      </w:r>
      <w:r w:rsidRPr="005055CB">
        <w:rPr>
          <w:szCs w:val="24"/>
        </w:rPr>
        <w:t xml:space="preserve">More about the Chesapeake Bay Program can be found </w:t>
      </w:r>
      <w:proofErr w:type="gramStart"/>
      <w:r w:rsidR="00913371">
        <w:rPr>
          <w:szCs w:val="24"/>
        </w:rPr>
        <w:t>at</w:t>
      </w:r>
      <w:proofErr w:type="gramEnd"/>
      <w:r w:rsidR="00913371">
        <w:rPr>
          <w:szCs w:val="24"/>
        </w:rPr>
        <w:t xml:space="preserve"> </w:t>
      </w:r>
      <w:r w:rsidR="00423C17">
        <w:t xml:space="preserve">the Chesapeake Bay Program website. </w:t>
      </w:r>
      <w:r>
        <w:rPr>
          <w:szCs w:val="24"/>
        </w:rPr>
        <w:t xml:space="preserve">Additional information about Virginia-specific activities can be found </w:t>
      </w:r>
      <w:proofErr w:type="gramStart"/>
      <w:r w:rsidR="00913371">
        <w:rPr>
          <w:szCs w:val="24"/>
        </w:rPr>
        <w:t>at</w:t>
      </w:r>
      <w:proofErr w:type="gramEnd"/>
      <w:r w:rsidR="00423C17">
        <w:rPr>
          <w:szCs w:val="24"/>
        </w:rPr>
        <w:t xml:space="preserve"> the DEQ</w:t>
      </w:r>
      <w:r w:rsidR="00F62779">
        <w:rPr>
          <w:szCs w:val="24"/>
        </w:rPr>
        <w:t xml:space="preserve"> Chesapeake Bay webpage.</w:t>
      </w:r>
    </w:p>
    <w:p w14:paraId="3B104DAE" w14:textId="77777777" w:rsidR="005F644A" w:rsidRPr="005055CB" w:rsidRDefault="005F644A" w:rsidP="005F644A">
      <w:pPr>
        <w:rPr>
          <w:szCs w:val="24"/>
        </w:rPr>
      </w:pPr>
    </w:p>
    <w:p w14:paraId="7B80D08B" w14:textId="77777777" w:rsidR="005F644A" w:rsidRPr="005055CB" w:rsidRDefault="005F644A" w:rsidP="0018664C">
      <w:pPr>
        <w:pStyle w:val="Heading3"/>
        <w:rPr>
          <w:snapToGrid/>
        </w:rPr>
      </w:pPr>
      <w:r w:rsidRPr="005055CB">
        <w:rPr>
          <w:snapToGrid/>
        </w:rPr>
        <w:t>Chesapeake Bay Program and the Bay TMDL</w:t>
      </w:r>
    </w:p>
    <w:p w14:paraId="3BA30F89" w14:textId="77777777" w:rsidR="005F644A" w:rsidRPr="005055CB" w:rsidRDefault="005F644A" w:rsidP="00116022">
      <w:pPr>
        <w:rPr>
          <w:szCs w:val="24"/>
        </w:rPr>
      </w:pPr>
      <w:r w:rsidRPr="005055CB">
        <w:rPr>
          <w:szCs w:val="24"/>
        </w:rPr>
        <w:t>In 1983, Virginia, Maryland, Pennsylvania, the District of Columbia, the Environmental Protection Agency, and the Chesapeake Bay Commission signed the first Chesapeake Bay Agreement, formally initiating the restoration and protection of the Bay using a cooperative Chesapeake</w:t>
      </w:r>
      <w:r>
        <w:rPr>
          <w:szCs w:val="24"/>
        </w:rPr>
        <w:t xml:space="preserve"> Bay Program approach. </w:t>
      </w:r>
      <w:r w:rsidRPr="005055CB">
        <w:rPr>
          <w:szCs w:val="24"/>
        </w:rPr>
        <w:t>This approach established specific mechanisms for its coordination a</w:t>
      </w:r>
      <w:r>
        <w:rPr>
          <w:szCs w:val="24"/>
        </w:rPr>
        <w:t xml:space="preserve">mong the Program participants. </w:t>
      </w:r>
      <w:r w:rsidRPr="005055CB">
        <w:rPr>
          <w:szCs w:val="24"/>
        </w:rPr>
        <w:t>Over the past four decades several updated and new Bay Agreements, Executive Council Directives and pollution reduction strategies have been adopted by the Bay Program partners, generally refining and making the goals and objectives of the restoration effort more specific, establishing timelines and measurable outcomes to gauge progress.</w:t>
      </w:r>
    </w:p>
    <w:p w14:paraId="7997D787" w14:textId="77777777" w:rsidR="005F644A" w:rsidRPr="005055CB" w:rsidRDefault="005F644A" w:rsidP="005F644A">
      <w:pPr>
        <w:rPr>
          <w:szCs w:val="24"/>
        </w:rPr>
      </w:pPr>
    </w:p>
    <w:p w14:paraId="5134514D" w14:textId="7F209696" w:rsidR="005F644A" w:rsidRPr="005055CB" w:rsidRDefault="005F644A" w:rsidP="005F644A">
      <w:pPr>
        <w:rPr>
          <w:szCs w:val="24"/>
        </w:rPr>
      </w:pPr>
      <w:r w:rsidRPr="005055CB">
        <w:rPr>
          <w:szCs w:val="24"/>
        </w:rPr>
        <w:t xml:space="preserve">On June 28, 2000, the Chesapeake Executive Council signed Chesapeake 2000 – a far-reaching </w:t>
      </w:r>
      <w:r w:rsidRPr="005055CB">
        <w:rPr>
          <w:szCs w:val="24"/>
        </w:rPr>
        <w:lastRenderedPageBreak/>
        <w:t>agreement that has been guiding Maryland, Pennsylvania, Virginia, the District of Columbia, the Chesapeake Bay Commission, and the U.S. Environmental Protection Agency (EPA) in their combined efforts to restore a</w:t>
      </w:r>
      <w:r>
        <w:rPr>
          <w:szCs w:val="24"/>
        </w:rPr>
        <w:t xml:space="preserve">nd protect the Chesapeake Bay. </w:t>
      </w:r>
      <w:r w:rsidRPr="005055CB">
        <w:rPr>
          <w:szCs w:val="24"/>
        </w:rPr>
        <w:t xml:space="preserve">Chesapeake 2000 outlined over 100 commitments in five program areas – Living Resource Protection and Restoration, Vital Habitat Protection and Restoration, Water Quality Protection and Restoration, Sound Land Use, and Stewardship and Community Engagement – detailing protection and restoration goals critical to the health of the Bay watershed. From pledges to increase riparian forest buffers, preserve additional tracts of land, restore oyster </w:t>
      </w:r>
      <w:r w:rsidR="00D25D3D" w:rsidRPr="005055CB">
        <w:rPr>
          <w:szCs w:val="24"/>
        </w:rPr>
        <w:t>populations,</w:t>
      </w:r>
      <w:r w:rsidRPr="005055CB">
        <w:rPr>
          <w:szCs w:val="24"/>
        </w:rPr>
        <w:t xml:space="preserve"> and protect wetlands, Chesapeake 2000 pushed improving water quality as the most critical element in the overall protection and restoration of the Bay and its tributaries.</w:t>
      </w:r>
    </w:p>
    <w:p w14:paraId="5F1FC92B" w14:textId="77777777" w:rsidR="005F644A" w:rsidRPr="005055CB" w:rsidRDefault="005F644A" w:rsidP="005F644A">
      <w:pPr>
        <w:rPr>
          <w:szCs w:val="24"/>
        </w:rPr>
      </w:pPr>
    </w:p>
    <w:p w14:paraId="61755A6D" w14:textId="1712FE0C" w:rsidR="005F644A" w:rsidRPr="005055CB" w:rsidRDefault="005F644A" w:rsidP="005F644A">
      <w:pPr>
        <w:rPr>
          <w:szCs w:val="24"/>
        </w:rPr>
      </w:pPr>
      <w:r w:rsidRPr="005055CB">
        <w:rPr>
          <w:szCs w:val="24"/>
        </w:rPr>
        <w:t>On June 16, 2014, the Chesapeake Executive Council signed the Chesapeake Bay Watershed Agreement – an update to the Chesapeake 2000 agreement. Representatives from Maryland, Pennsylvania, Virginia, the District of Columbia, the Chesapeake Bay Commission, and the U.S. Environmental Protection Agency (EPA) reaffirmed the</w:t>
      </w:r>
      <w:r>
        <w:rPr>
          <w:szCs w:val="24"/>
        </w:rPr>
        <w:t xml:space="preserve">ir support of the partnership. </w:t>
      </w:r>
      <w:r w:rsidRPr="005055CB">
        <w:rPr>
          <w:szCs w:val="24"/>
        </w:rPr>
        <w:t>The 2014 agreement recommits partners to the Bay watershed restoration effort and emphasizes the need for a strategic, cost-effective approach to watershed restoration and protection. New signatories include New York, West Virginia</w:t>
      </w:r>
      <w:r w:rsidR="00804897">
        <w:rPr>
          <w:szCs w:val="24"/>
        </w:rPr>
        <w:t>,</w:t>
      </w:r>
      <w:r w:rsidRPr="005055CB">
        <w:rPr>
          <w:szCs w:val="24"/>
        </w:rPr>
        <w:t xml:space="preserve"> and Delaware; over 12 federal agencies have also committed to restoration and protection efforts. The 2014 Watershed Agreement outlined 10 goals for five program areas – Abundant Life, Clean Water, Climate Change, Conserved Lands, and Engaged Communities – including the development and implementation of management strategies for the outcomes supporting goals outlined in the Agreement. </w:t>
      </w:r>
    </w:p>
    <w:p w14:paraId="6E1ADF56" w14:textId="77777777" w:rsidR="005F644A" w:rsidRPr="005055CB" w:rsidRDefault="005F644A" w:rsidP="005F644A">
      <w:pPr>
        <w:jc w:val="both"/>
        <w:rPr>
          <w:szCs w:val="24"/>
        </w:rPr>
      </w:pPr>
    </w:p>
    <w:p w14:paraId="17F6DAFC" w14:textId="3CDE513C" w:rsidR="005F644A" w:rsidRPr="005055CB" w:rsidRDefault="005F644A" w:rsidP="005F644A">
      <w:pPr>
        <w:rPr>
          <w:szCs w:val="24"/>
        </w:rPr>
      </w:pPr>
      <w:r w:rsidRPr="005055CB">
        <w:rPr>
          <w:szCs w:val="24"/>
        </w:rPr>
        <w:t>Despite some reductions in pollution resulting from nutrient load reduction efforts, the Chesapeake Bay and most of its tidal tributaries have been placed on the “impaired waters” list due to non-attainme</w:t>
      </w:r>
      <w:r>
        <w:rPr>
          <w:szCs w:val="24"/>
        </w:rPr>
        <w:t xml:space="preserve">nt of water quality standards. </w:t>
      </w:r>
      <w:r w:rsidRPr="005055CB">
        <w:rPr>
          <w:szCs w:val="24"/>
        </w:rPr>
        <w:t>Per Section 303(d) of the Clean Water Act, this action necessitated the development of a “tot</w:t>
      </w:r>
      <w:r>
        <w:rPr>
          <w:szCs w:val="24"/>
        </w:rPr>
        <w:t xml:space="preserve">al maximum daily load” (TMDL). </w:t>
      </w:r>
      <w:r w:rsidRPr="005055CB">
        <w:rPr>
          <w:szCs w:val="24"/>
        </w:rPr>
        <w:t>Since 2005 DEQ and regulatory agencies across seven jurisdictions (Virginia, Maryland, Delaware, West Virginia, Pennsylvania, New York, and the District of Columbia) have been actively involved with EPA in the development of this TMDL, the l</w:t>
      </w:r>
      <w:r>
        <w:rPr>
          <w:szCs w:val="24"/>
        </w:rPr>
        <w:t xml:space="preserve">argest ever developed to date. </w:t>
      </w:r>
      <w:r w:rsidRPr="005055CB">
        <w:rPr>
          <w:szCs w:val="24"/>
        </w:rPr>
        <w:t xml:space="preserve">The Chesapeake Bay TMDL, approved December 31, </w:t>
      </w:r>
      <w:r w:rsidR="009A784C" w:rsidRPr="005055CB">
        <w:rPr>
          <w:szCs w:val="24"/>
        </w:rPr>
        <w:t>2010,</w:t>
      </w:r>
      <w:r w:rsidRPr="005055CB">
        <w:rPr>
          <w:szCs w:val="24"/>
        </w:rPr>
        <w:t xml:space="preserve"> by EPA, is an aggregation of smaller TMDLs representing the 92 individual tidal segments (39 of which </w:t>
      </w:r>
      <w:r w:rsidR="009244B1">
        <w:rPr>
          <w:szCs w:val="24"/>
        </w:rPr>
        <w:t>are in</w:t>
      </w:r>
      <w:r>
        <w:rPr>
          <w:szCs w:val="24"/>
        </w:rPr>
        <w:t xml:space="preserve"> </w:t>
      </w:r>
      <w:r w:rsidRPr="005055CB">
        <w:rPr>
          <w:szCs w:val="24"/>
        </w:rPr>
        <w:t>Virginia) comprising the Bay and its tributaries. The TMDL sets Bay watershed annual limits of 185.9 million pounds for nitrogen (25 percent reduction), 12.5 million pounds of phosphorus (24 percent reduction), and 6.45 billion pounds of sediment (20 percent</w:t>
      </w:r>
      <w:r>
        <w:rPr>
          <w:szCs w:val="24"/>
        </w:rPr>
        <w:t xml:space="preserve"> reduction). </w:t>
      </w:r>
      <w:r w:rsidRPr="005055CB">
        <w:rPr>
          <w:szCs w:val="24"/>
        </w:rPr>
        <w:t>These limits are divided by jurisdiction and major river basin as determined by modeling, on-the-ground monitoring da</w:t>
      </w:r>
      <w:r>
        <w:rPr>
          <w:szCs w:val="24"/>
        </w:rPr>
        <w:t xml:space="preserve">ta, and peer-reviewed science. </w:t>
      </w:r>
      <w:r w:rsidRPr="005055CB">
        <w:rPr>
          <w:szCs w:val="24"/>
        </w:rPr>
        <w:t>A goal has been set to put all pollution control measures in place by 2025, with 60 percent of actions being comp</w:t>
      </w:r>
      <w:r>
        <w:rPr>
          <w:szCs w:val="24"/>
        </w:rPr>
        <w:t xml:space="preserve">leted by 2017. </w:t>
      </w:r>
      <w:r w:rsidRPr="005055CB">
        <w:rPr>
          <w:szCs w:val="24"/>
        </w:rPr>
        <w:t>Increased dissolved oxygen concentrations, improved water clarity and growth of submerged aquatic vegetation (SAV), and the reduction in the frequency and size of algal blooms (as measured by chlorophyll</w:t>
      </w:r>
      <w:r w:rsidR="00105F37">
        <w:rPr>
          <w:szCs w:val="24"/>
        </w:rPr>
        <w:t xml:space="preserve"> </w:t>
      </w:r>
      <w:proofErr w:type="gramStart"/>
      <w:r w:rsidRPr="005055CB">
        <w:rPr>
          <w:i/>
          <w:szCs w:val="24"/>
        </w:rPr>
        <w:t xml:space="preserve">a </w:t>
      </w:r>
      <w:r w:rsidRPr="005055CB">
        <w:rPr>
          <w:szCs w:val="24"/>
        </w:rPr>
        <w:t>concentrations</w:t>
      </w:r>
      <w:proofErr w:type="gramEnd"/>
      <w:r w:rsidRPr="005055CB">
        <w:rPr>
          <w:szCs w:val="24"/>
        </w:rPr>
        <w:t>) are among the anticipated outcomes in wat</w:t>
      </w:r>
      <w:r>
        <w:rPr>
          <w:szCs w:val="24"/>
        </w:rPr>
        <w:t xml:space="preserve">er quality from these actions. </w:t>
      </w:r>
      <w:r w:rsidRPr="005055CB">
        <w:rPr>
          <w:szCs w:val="24"/>
        </w:rPr>
        <w:t xml:space="preserve">More about the Chesapeake Bay TMDL can be found </w:t>
      </w:r>
      <w:proofErr w:type="gramStart"/>
      <w:r w:rsidR="005C6A1E">
        <w:rPr>
          <w:szCs w:val="24"/>
        </w:rPr>
        <w:t>at</w:t>
      </w:r>
      <w:r w:rsidR="00A82E8C">
        <w:rPr>
          <w:szCs w:val="24"/>
        </w:rPr>
        <w:t xml:space="preserve"> EPA</w:t>
      </w:r>
      <w:proofErr w:type="gramEnd"/>
      <w:r w:rsidR="00A82E8C">
        <w:rPr>
          <w:szCs w:val="24"/>
        </w:rPr>
        <w:t xml:space="preserve"> Chesapeake Bay TMDL webpage.</w:t>
      </w:r>
      <w:r w:rsidRPr="005055CB">
        <w:rPr>
          <w:szCs w:val="24"/>
        </w:rPr>
        <w:t xml:space="preserve"> </w:t>
      </w:r>
    </w:p>
    <w:p w14:paraId="743BA905" w14:textId="77777777" w:rsidR="005F644A" w:rsidRPr="005055CB" w:rsidRDefault="005F644A" w:rsidP="005F644A">
      <w:pPr>
        <w:jc w:val="both"/>
        <w:rPr>
          <w:szCs w:val="24"/>
        </w:rPr>
      </w:pPr>
    </w:p>
    <w:p w14:paraId="2FD01CDA" w14:textId="243B1FD6" w:rsidR="005F644A" w:rsidRDefault="005F644A" w:rsidP="005F644A">
      <w:pPr>
        <w:rPr>
          <w:szCs w:val="24"/>
        </w:rPr>
      </w:pPr>
      <w:r w:rsidRPr="005055CB">
        <w:rPr>
          <w:szCs w:val="24"/>
        </w:rPr>
        <w:t xml:space="preserve">In Virginia, the Department of Environmental Quality (DEQ) </w:t>
      </w:r>
      <w:r>
        <w:rPr>
          <w:szCs w:val="24"/>
        </w:rPr>
        <w:t xml:space="preserve">supports the Office of the Secretary </w:t>
      </w:r>
      <w:r>
        <w:rPr>
          <w:szCs w:val="24"/>
        </w:rPr>
        <w:lastRenderedPageBreak/>
        <w:t xml:space="preserve">of Natural and Historic Resources in coordinating restoration and watershed implementation efforts with </w:t>
      </w:r>
      <w:r w:rsidR="004F13E6">
        <w:rPr>
          <w:szCs w:val="24"/>
        </w:rPr>
        <w:t>many</w:t>
      </w:r>
      <w:r>
        <w:rPr>
          <w:szCs w:val="24"/>
        </w:rPr>
        <w:t xml:space="preserve"> partners. These include various DEQ programs, the</w:t>
      </w:r>
      <w:r w:rsidRPr="005055CB">
        <w:rPr>
          <w:szCs w:val="24"/>
        </w:rPr>
        <w:t xml:space="preserve"> Department</w:t>
      </w:r>
      <w:r>
        <w:rPr>
          <w:szCs w:val="24"/>
        </w:rPr>
        <w:t>s</w:t>
      </w:r>
      <w:r w:rsidRPr="005055CB">
        <w:rPr>
          <w:szCs w:val="24"/>
        </w:rPr>
        <w:t xml:space="preserve"> of Conservation and Recreation, Game and Inland Fisheries, Forestry, Health, Marine Resources Commission, Agriculture and Consumer Services,</w:t>
      </w:r>
      <w:r>
        <w:rPr>
          <w:szCs w:val="24"/>
        </w:rPr>
        <w:t xml:space="preserve"> soil and water conservation districts, planning district commissions, local governments, conservation groups, sector-specific stakeholder groups, Virginia Cooperative Extension,</w:t>
      </w:r>
      <w:r w:rsidRPr="005055CB">
        <w:rPr>
          <w:szCs w:val="24"/>
        </w:rPr>
        <w:t xml:space="preserve"> the United States Geological Survey and the scientific community via agreements with the Virginia Institute of Marine Science, Old Dominion University</w:t>
      </w:r>
      <w:r w:rsidR="00E4129F">
        <w:rPr>
          <w:szCs w:val="24"/>
        </w:rPr>
        <w:t>,</w:t>
      </w:r>
      <w:r w:rsidRPr="005055CB">
        <w:rPr>
          <w:szCs w:val="24"/>
        </w:rPr>
        <w:t xml:space="preserve"> and Virginia Commonwealth University.</w:t>
      </w:r>
    </w:p>
    <w:p w14:paraId="5DEFB0BC" w14:textId="77777777" w:rsidR="005F644A" w:rsidRDefault="005F644A" w:rsidP="005F644A">
      <w:pPr>
        <w:rPr>
          <w:szCs w:val="24"/>
        </w:rPr>
      </w:pPr>
    </w:p>
    <w:p w14:paraId="16578A61" w14:textId="4091483D" w:rsidR="005F644A" w:rsidRPr="00F0403E" w:rsidRDefault="005F644A" w:rsidP="005F644A">
      <w:pPr>
        <w:pStyle w:val="Heading3"/>
      </w:pPr>
      <w:r w:rsidRPr="005055CB">
        <w:t>Watershed Implementation Plan</w:t>
      </w:r>
    </w:p>
    <w:p w14:paraId="376477F7" w14:textId="37F536A5" w:rsidR="005F644A" w:rsidRDefault="005F644A" w:rsidP="005F644A">
      <w:pPr>
        <w:rPr>
          <w:szCs w:val="24"/>
        </w:rPr>
      </w:pPr>
      <w:r w:rsidRPr="005055CB">
        <w:rPr>
          <w:szCs w:val="24"/>
        </w:rPr>
        <w:t xml:space="preserve">Virginia’s Watershed Implementation Plan (WIP) for the Bay TMDL is an evolution of Virginia’s Tributary Strategies Program started in 2005. It was designed through a collaboration of agencies under the Secretary of Natural </w:t>
      </w:r>
      <w:r>
        <w:rPr>
          <w:szCs w:val="24"/>
        </w:rPr>
        <w:t xml:space="preserve">and Historic </w:t>
      </w:r>
      <w:r w:rsidRPr="005055CB">
        <w:rPr>
          <w:szCs w:val="24"/>
        </w:rPr>
        <w:t xml:space="preserve">Resources, local and regional non-regulatory </w:t>
      </w:r>
      <w:proofErr w:type="gramStart"/>
      <w:r w:rsidRPr="005055CB">
        <w:rPr>
          <w:szCs w:val="24"/>
        </w:rPr>
        <w:t>governmental</w:t>
      </w:r>
      <w:proofErr w:type="gramEnd"/>
      <w:r w:rsidRPr="005055CB">
        <w:rPr>
          <w:szCs w:val="24"/>
        </w:rPr>
        <w:t xml:space="preserve"> bodies, concerned citizen groups, and the regulated community to accomplish the allocation goals set by </w:t>
      </w:r>
      <w:proofErr w:type="gramStart"/>
      <w:r w:rsidRPr="005055CB">
        <w:rPr>
          <w:szCs w:val="24"/>
        </w:rPr>
        <w:t>the Bay</w:t>
      </w:r>
      <w:proofErr w:type="gramEnd"/>
      <w:r w:rsidRPr="005055CB">
        <w:rPr>
          <w:szCs w:val="24"/>
        </w:rPr>
        <w:t xml:space="preserve"> TMDL. </w:t>
      </w:r>
      <w:r w:rsidRPr="003B10B5">
        <w:rPr>
          <w:szCs w:val="24"/>
        </w:rPr>
        <w:t xml:space="preserve">The initial Phase I WIP provided information for EPA to consider when it established </w:t>
      </w:r>
      <w:r w:rsidR="00162F27" w:rsidRPr="003B10B5">
        <w:rPr>
          <w:szCs w:val="24"/>
        </w:rPr>
        <w:t>waste load</w:t>
      </w:r>
      <w:r w:rsidRPr="003B10B5">
        <w:rPr>
          <w:szCs w:val="24"/>
        </w:rPr>
        <w:t xml:space="preserve"> and load allocations within each of the 92 segments listed as impaired. </w:t>
      </w:r>
      <w:proofErr w:type="gramStart"/>
      <w:r w:rsidRPr="003B10B5">
        <w:rPr>
          <w:szCs w:val="24"/>
        </w:rPr>
        <w:t>The Phase</w:t>
      </w:r>
      <w:proofErr w:type="gramEnd"/>
      <w:r w:rsidRPr="003B10B5">
        <w:rPr>
          <w:szCs w:val="24"/>
        </w:rPr>
        <w:t xml:space="preserve"> I WIP includes a description of the authorities, actions, and control measures (to the extent possible) that will be implemented to achieve these point and no</w:t>
      </w:r>
      <w:r>
        <w:rPr>
          <w:szCs w:val="24"/>
        </w:rPr>
        <w:t xml:space="preserve">npoint source TMDL allocations. </w:t>
      </w:r>
      <w:r w:rsidRPr="00E644A7">
        <w:rPr>
          <w:szCs w:val="24"/>
        </w:rPr>
        <w:t xml:space="preserve">The Phase II WIP </w:t>
      </w:r>
      <w:r>
        <w:rPr>
          <w:szCs w:val="24"/>
        </w:rPr>
        <w:t xml:space="preserve">was based on the initial Phase I WIP and provided more specific local actions. It </w:t>
      </w:r>
      <w:r w:rsidRPr="00E644A7">
        <w:rPr>
          <w:szCs w:val="24"/>
        </w:rPr>
        <w:t>was developed with the assistance of a Stakeholder Advisory Group convened by the Secretary of Natural Resources,</w:t>
      </w:r>
      <w:r w:rsidR="007C291C">
        <w:rPr>
          <w:szCs w:val="24"/>
        </w:rPr>
        <w:t xml:space="preserve"> </w:t>
      </w:r>
      <w:r w:rsidRPr="00E644A7">
        <w:rPr>
          <w:szCs w:val="24"/>
        </w:rPr>
        <w:t>State agencies, localities and Planning District Commissions</w:t>
      </w:r>
      <w:r w:rsidR="007C291C">
        <w:rPr>
          <w:szCs w:val="24"/>
        </w:rPr>
        <w:t xml:space="preserve"> </w:t>
      </w:r>
      <w:r w:rsidRPr="00E644A7">
        <w:rPr>
          <w:szCs w:val="24"/>
        </w:rPr>
        <w:t>and submitted to EPA on March 30, 2012.</w:t>
      </w:r>
    </w:p>
    <w:p w14:paraId="245B1892" w14:textId="77777777" w:rsidR="005F644A" w:rsidRDefault="005F644A" w:rsidP="005F644A">
      <w:pPr>
        <w:rPr>
          <w:szCs w:val="24"/>
        </w:rPr>
      </w:pPr>
    </w:p>
    <w:p w14:paraId="55CA6AB6" w14:textId="1B7B3E0B" w:rsidR="005F644A" w:rsidRDefault="005F644A" w:rsidP="005F644A">
      <w:pPr>
        <w:rPr>
          <w:szCs w:val="24"/>
        </w:rPr>
      </w:pPr>
      <w:r w:rsidRPr="005055CB">
        <w:rPr>
          <w:szCs w:val="24"/>
        </w:rPr>
        <w:t xml:space="preserve">Virginia </w:t>
      </w:r>
      <w:r>
        <w:rPr>
          <w:szCs w:val="24"/>
        </w:rPr>
        <w:t xml:space="preserve">submitted </w:t>
      </w:r>
      <w:r w:rsidRPr="005055CB">
        <w:rPr>
          <w:szCs w:val="24"/>
        </w:rPr>
        <w:t xml:space="preserve">its </w:t>
      </w:r>
      <w:r w:rsidRPr="002060AE">
        <w:rPr>
          <w:szCs w:val="24"/>
        </w:rPr>
        <w:t>Final Phase III WIP</w:t>
      </w:r>
      <w:r>
        <w:rPr>
          <w:szCs w:val="24"/>
        </w:rPr>
        <w:t xml:space="preserve"> to EPA on August 23, 2019.</w:t>
      </w:r>
      <w:r w:rsidRPr="005055CB">
        <w:rPr>
          <w:szCs w:val="24"/>
        </w:rPr>
        <w:t xml:space="preserve"> </w:t>
      </w:r>
      <w:r>
        <w:rPr>
          <w:szCs w:val="24"/>
        </w:rPr>
        <w:t xml:space="preserve">The </w:t>
      </w:r>
      <w:r w:rsidRPr="005F4E61">
        <w:rPr>
          <w:szCs w:val="24"/>
        </w:rPr>
        <w:t>WIP development process</w:t>
      </w:r>
      <w:r>
        <w:rPr>
          <w:szCs w:val="24"/>
        </w:rPr>
        <w:t xml:space="preserve"> included</w:t>
      </w:r>
      <w:r w:rsidRPr="005055CB">
        <w:rPr>
          <w:szCs w:val="24"/>
        </w:rPr>
        <w:t xml:space="preserve"> a focused and sustainable local engagement effort and local strategie</w:t>
      </w:r>
      <w:r>
        <w:rPr>
          <w:szCs w:val="24"/>
        </w:rPr>
        <w:t>s. T</w:t>
      </w:r>
      <w:r w:rsidRPr="005055CB">
        <w:rPr>
          <w:szCs w:val="24"/>
        </w:rPr>
        <w:t xml:space="preserve">his planning </w:t>
      </w:r>
      <w:r>
        <w:rPr>
          <w:szCs w:val="24"/>
        </w:rPr>
        <w:t>was</w:t>
      </w:r>
      <w:r w:rsidRPr="005055CB">
        <w:rPr>
          <w:szCs w:val="24"/>
        </w:rPr>
        <w:t xml:space="preserve"> partially informed by the midpoint assessment – a review of the progress Virginia has made towards meeting the nutrient and sediment pollutant load reductions necessary for Bay restoration</w:t>
      </w:r>
      <w:r>
        <w:rPr>
          <w:szCs w:val="24"/>
        </w:rPr>
        <w:t xml:space="preserve"> by 2017</w:t>
      </w:r>
      <w:r w:rsidRPr="005055CB">
        <w:rPr>
          <w:szCs w:val="24"/>
        </w:rPr>
        <w:t xml:space="preserve">. </w:t>
      </w:r>
      <w:r w:rsidRPr="008013A4">
        <w:rPr>
          <w:szCs w:val="24"/>
        </w:rPr>
        <w:t xml:space="preserve">The next six years will continue to require engagement from all nutrient source sectors, whether regulated or unregulated, whether governed by permits or voluntary, whether encompassing large facilities or individual </w:t>
      </w:r>
      <w:r w:rsidR="00AE0C54">
        <w:rPr>
          <w:szCs w:val="24"/>
        </w:rPr>
        <w:t>residents</w:t>
      </w:r>
      <w:r w:rsidRPr="008013A4">
        <w:rPr>
          <w:szCs w:val="24"/>
        </w:rPr>
        <w:t xml:space="preserve">. Virginia will assess its progress every two years as part of </w:t>
      </w:r>
      <w:r w:rsidRPr="008E309D">
        <w:rPr>
          <w:szCs w:val="24"/>
        </w:rPr>
        <w:t>periodic milestone updates</w:t>
      </w:r>
      <w:r w:rsidRPr="008013A4">
        <w:rPr>
          <w:szCs w:val="24"/>
        </w:rPr>
        <w:t xml:space="preserve"> and all interested stakeholders are encouraged to stay engaged and continue their contributions to a successful restoration effort.</w:t>
      </w:r>
      <w:r>
        <w:rPr>
          <w:szCs w:val="24"/>
        </w:rPr>
        <w:t xml:space="preserve"> </w:t>
      </w:r>
      <w:r w:rsidRPr="005055CB">
        <w:rPr>
          <w:szCs w:val="24"/>
        </w:rPr>
        <w:t xml:space="preserve">Virginia reports on progress in the annual report on Chesapeake Bay and Virginia Waters Clean-Up Plan. </w:t>
      </w:r>
      <w:r w:rsidR="004E0F1E">
        <w:rPr>
          <w:szCs w:val="24"/>
        </w:rPr>
        <w:t xml:space="preserve">See the DEQ </w:t>
      </w:r>
      <w:r w:rsidR="004E0F1E" w:rsidRPr="004E0F1E">
        <w:rPr>
          <w:szCs w:val="24"/>
        </w:rPr>
        <w:t>Chesapeake Bay Nutrient &amp; Sediment Reduction Milestones</w:t>
      </w:r>
      <w:r w:rsidR="004E0F1E">
        <w:rPr>
          <w:szCs w:val="24"/>
        </w:rPr>
        <w:t xml:space="preserve"> webpage to learn more information and to access the </w:t>
      </w:r>
      <w:r w:rsidR="004E0F1E" w:rsidRPr="004E0F1E">
        <w:rPr>
          <w:szCs w:val="24"/>
        </w:rPr>
        <w:t>FY 202</w:t>
      </w:r>
      <w:r w:rsidR="008E309D">
        <w:rPr>
          <w:szCs w:val="24"/>
        </w:rPr>
        <w:t>3</w:t>
      </w:r>
      <w:r w:rsidR="004E0F1E" w:rsidRPr="004E0F1E">
        <w:rPr>
          <w:szCs w:val="24"/>
        </w:rPr>
        <w:t xml:space="preserve"> Chesapeake Bay and Virginia Clean-Up Plan Report</w:t>
      </w:r>
    </w:p>
    <w:p w14:paraId="2378802D" w14:textId="77777777" w:rsidR="00967AEB" w:rsidRPr="005055CB" w:rsidRDefault="00967AEB" w:rsidP="005F644A">
      <w:pPr>
        <w:rPr>
          <w:szCs w:val="24"/>
        </w:rPr>
      </w:pPr>
    </w:p>
    <w:p w14:paraId="00D61BE6" w14:textId="00308509" w:rsidR="005F644A" w:rsidRPr="00967AEB" w:rsidRDefault="005F644A" w:rsidP="0052327B">
      <w:pPr>
        <w:pStyle w:val="Heading3"/>
        <w:rPr>
          <w:snapToGrid/>
          <w:szCs w:val="20"/>
        </w:rPr>
      </w:pPr>
      <w:r w:rsidRPr="005055CB">
        <w:rPr>
          <w:snapToGrid/>
        </w:rPr>
        <w:t>Water Quality and Habit</w:t>
      </w:r>
      <w:bookmarkStart w:id="444" w:name="QuickMark"/>
      <w:bookmarkEnd w:id="444"/>
      <w:r w:rsidRPr="005055CB">
        <w:rPr>
          <w:snapToGrid/>
        </w:rPr>
        <w:t xml:space="preserve">at Monitoring Initiatives </w:t>
      </w:r>
    </w:p>
    <w:p w14:paraId="30F8EC2C" w14:textId="77777777" w:rsidR="005F644A" w:rsidRPr="005055CB" w:rsidRDefault="005F644A" w:rsidP="0052327B">
      <w:pPr>
        <w:pStyle w:val="Heading4"/>
      </w:pPr>
      <w:r w:rsidRPr="005055CB">
        <w:t>Chesapeake Bay Program</w:t>
      </w:r>
    </w:p>
    <w:p w14:paraId="0914220D" w14:textId="23149386" w:rsidR="006E7022" w:rsidRPr="005055CB" w:rsidRDefault="006E7022" w:rsidP="006E7022">
      <w:pPr>
        <w:rPr>
          <w:szCs w:val="24"/>
        </w:rPr>
      </w:pPr>
      <w:r w:rsidRPr="005055CB">
        <w:rPr>
          <w:szCs w:val="24"/>
        </w:rPr>
        <w:t xml:space="preserve">Monitoring is vital to understanding environmental problems, developing strategies for managing the Bay's resources, and assessing </w:t>
      </w:r>
      <w:proofErr w:type="gramStart"/>
      <w:r w:rsidRPr="005055CB">
        <w:rPr>
          <w:szCs w:val="24"/>
        </w:rPr>
        <w:t>pro</w:t>
      </w:r>
      <w:r>
        <w:rPr>
          <w:szCs w:val="24"/>
        </w:rPr>
        <w:t>gress</w:t>
      </w:r>
      <w:proofErr w:type="gramEnd"/>
      <w:r>
        <w:rPr>
          <w:szCs w:val="24"/>
        </w:rPr>
        <w:t xml:space="preserve"> of management practices. </w:t>
      </w:r>
      <w:r w:rsidRPr="005055CB">
        <w:rPr>
          <w:szCs w:val="24"/>
        </w:rPr>
        <w:t xml:space="preserve">The purpose of the Chesapeake Bay Program (CBP) Water Quality and Habitat Monitoring Program is to assess status and trends in water quality and living resources throughout the Virginia portion of the </w:t>
      </w:r>
      <w:r w:rsidRPr="005055CB">
        <w:rPr>
          <w:szCs w:val="24"/>
        </w:rPr>
        <w:lastRenderedPageBreak/>
        <w:t>Bay an</w:t>
      </w:r>
      <w:r>
        <w:rPr>
          <w:szCs w:val="24"/>
        </w:rPr>
        <w:t xml:space="preserve">d its major tidal tributaries. </w:t>
      </w:r>
      <w:r w:rsidRPr="005055CB">
        <w:rPr>
          <w:szCs w:val="24"/>
        </w:rPr>
        <w:t>Parameters monitored include those directly related to Water Quality Standards (e.g. dissolved oxygen, water clarity, chlorophyll</w:t>
      </w:r>
      <w:r w:rsidR="00105F37">
        <w:rPr>
          <w:szCs w:val="24"/>
        </w:rPr>
        <w:t xml:space="preserve"> </w:t>
      </w:r>
      <w:r w:rsidRPr="005055CB">
        <w:rPr>
          <w:i/>
          <w:szCs w:val="24"/>
        </w:rPr>
        <w:t>a,</w:t>
      </w:r>
      <w:r w:rsidRPr="005055CB">
        <w:rPr>
          <w:szCs w:val="24"/>
        </w:rPr>
        <w:t xml:space="preserve"> etc.) as well as basic ecological health indicators such as primary productivity, nutrient</w:t>
      </w:r>
      <w:r>
        <w:rPr>
          <w:szCs w:val="24"/>
        </w:rPr>
        <w:t xml:space="preserve">s, phytoplankton species, etc. </w:t>
      </w:r>
      <w:r w:rsidRPr="005055CB">
        <w:rPr>
          <w:szCs w:val="24"/>
        </w:rPr>
        <w:t>A general description of Virginia’s Chesapeake Bay monitoring program is:</w:t>
      </w:r>
    </w:p>
    <w:p w14:paraId="646AFE66" w14:textId="490C4E1E" w:rsidR="006E7022" w:rsidRPr="005055CB" w:rsidRDefault="006E7022">
      <w:pPr>
        <w:pStyle w:val="ListParagraph"/>
        <w:numPr>
          <w:ilvl w:val="0"/>
          <w:numId w:val="38"/>
        </w:numPr>
      </w:pPr>
      <w:r w:rsidRPr="005055CB">
        <w:t>Water quality monitoring at 45 fixed tidal stations on the Rappahannock, York</w:t>
      </w:r>
      <w:r w:rsidR="00C21DCC">
        <w:t>,</w:t>
      </w:r>
      <w:r w:rsidRPr="005055CB">
        <w:t xml:space="preserve"> and James Rivers</w:t>
      </w:r>
      <w:r w:rsidR="007A0CFF">
        <w:t>.</w:t>
      </w:r>
    </w:p>
    <w:p w14:paraId="77AE794D" w14:textId="781DB361" w:rsidR="006E7022" w:rsidRPr="005055CB" w:rsidRDefault="006E7022">
      <w:pPr>
        <w:pStyle w:val="ListParagraph"/>
        <w:numPr>
          <w:ilvl w:val="0"/>
          <w:numId w:val="38"/>
        </w:numPr>
      </w:pPr>
      <w:r w:rsidRPr="005055CB">
        <w:t>Water quality monitoring at 27 fixed stations in the Chesapeake Bay mainstem</w:t>
      </w:r>
      <w:r w:rsidR="007A0CFF">
        <w:t>.</w:t>
      </w:r>
    </w:p>
    <w:p w14:paraId="7B706E8A" w14:textId="7BEB1911" w:rsidR="006E7022" w:rsidRPr="005055CB" w:rsidRDefault="006E7022">
      <w:pPr>
        <w:pStyle w:val="ListParagraph"/>
        <w:numPr>
          <w:ilvl w:val="0"/>
          <w:numId w:val="38"/>
        </w:numPr>
      </w:pPr>
      <w:r w:rsidRPr="005055CB">
        <w:t>Water quality monitoring</w:t>
      </w:r>
      <w:r w:rsidR="008164B9">
        <w:t>/</w:t>
      </w:r>
      <w:r w:rsidRPr="005055CB">
        <w:t xml:space="preserve">nutrient loading </w:t>
      </w:r>
      <w:r w:rsidR="008164B9">
        <w:t xml:space="preserve">estimates </w:t>
      </w:r>
      <w:r w:rsidRPr="005055CB">
        <w:t>at 36 nontidal stations on the James, Rappahannock, Mattaponi, Pamunkey, Shenandoah, Appomattox, Chickahominy</w:t>
      </w:r>
      <w:r w:rsidR="007A0CFF">
        <w:t>,</w:t>
      </w:r>
      <w:r w:rsidRPr="005055CB">
        <w:t xml:space="preserve"> and other smaller rivers throughout the Bay </w:t>
      </w:r>
      <w:r w:rsidR="007A0CFF" w:rsidRPr="005055CB">
        <w:t>watershed.</w:t>
      </w:r>
    </w:p>
    <w:p w14:paraId="234D8FCF" w14:textId="73D0B02D" w:rsidR="006E7022" w:rsidRPr="005055CB" w:rsidRDefault="006E7022">
      <w:pPr>
        <w:pStyle w:val="ListParagraph"/>
        <w:numPr>
          <w:ilvl w:val="0"/>
          <w:numId w:val="38"/>
        </w:numPr>
      </w:pPr>
      <w:r w:rsidRPr="005055CB">
        <w:t>Monitoring of benth</w:t>
      </w:r>
      <w:r w:rsidR="000533BA">
        <w:t>ic</w:t>
      </w:r>
      <w:r w:rsidRPr="005055CB">
        <w:t xml:space="preserve"> communities in the Bay and its tributaries at 19 fixed stations and 100 random stations per year</w:t>
      </w:r>
      <w:r w:rsidR="007A0CFF">
        <w:t>.</w:t>
      </w:r>
    </w:p>
    <w:p w14:paraId="7192AC6C" w14:textId="77777777" w:rsidR="006E7022" w:rsidRPr="005055CB" w:rsidRDefault="006E7022">
      <w:pPr>
        <w:pStyle w:val="ListParagraph"/>
        <w:numPr>
          <w:ilvl w:val="0"/>
          <w:numId w:val="38"/>
        </w:numPr>
      </w:pPr>
      <w:r w:rsidRPr="005055CB">
        <w:t>Spatially and temporally intensive monitoring of selected water quality parameters on a rotating waterbody basis for 3-year periods.</w:t>
      </w:r>
    </w:p>
    <w:p w14:paraId="22ED9C3A" w14:textId="77777777" w:rsidR="006E7022" w:rsidRPr="004573E6" w:rsidRDefault="006E7022">
      <w:pPr>
        <w:pStyle w:val="ListParagraph"/>
        <w:numPr>
          <w:ilvl w:val="0"/>
          <w:numId w:val="38"/>
        </w:numPr>
        <w:rPr>
          <w:b/>
          <w:i/>
        </w:rPr>
      </w:pPr>
      <w:r w:rsidRPr="005055CB">
        <w:t>Annual aerial submerged aquatic vegetation surveys throughout the Bay and its tributaries.</w:t>
      </w:r>
    </w:p>
    <w:p w14:paraId="5FAF8916" w14:textId="77777777" w:rsidR="00EB5BD8" w:rsidRDefault="00EB5BD8" w:rsidP="00EB5BD8">
      <w:pPr>
        <w:widowControl/>
        <w:ind w:left="360"/>
        <w:rPr>
          <w:b/>
          <w:i/>
          <w:szCs w:val="24"/>
        </w:rPr>
      </w:pPr>
    </w:p>
    <w:p w14:paraId="1FF3B2E4" w14:textId="3E626453" w:rsidR="005F644A" w:rsidRPr="00EB5BD8" w:rsidRDefault="005F644A" w:rsidP="005E223E">
      <w:pPr>
        <w:pStyle w:val="Heading4"/>
      </w:pPr>
      <w:r w:rsidRPr="00EB5BD8">
        <w:rPr>
          <w:lang w:val="it-IT"/>
        </w:rPr>
        <w:t>Estuarine Probabilistic Monitoring Program (Coastal 2000)</w:t>
      </w:r>
    </w:p>
    <w:p w14:paraId="73818EF4" w14:textId="1E737EE4" w:rsidR="003A5801" w:rsidRPr="005055CB" w:rsidRDefault="003A5801" w:rsidP="00673811">
      <w:r w:rsidRPr="005055CB">
        <w:t xml:space="preserve">A less extensive monitoring program which probabilistically samples all of </w:t>
      </w:r>
      <w:r>
        <w:t>Virginia</w:t>
      </w:r>
      <w:r w:rsidRPr="005055CB">
        <w:t xml:space="preserve">’s estuarine waters (including those outside the Bay watershed such as on the Atlantic coast of the Eastern Shore, Back Bay, and North Landing River) is the “National Coastal Assessment (NCA) Program”, formerly known as </w:t>
      </w:r>
      <w:r>
        <w:t xml:space="preserve">the “Coastal 2000 Initiative”. </w:t>
      </w:r>
      <w:r w:rsidRPr="005055CB">
        <w:t xml:space="preserve">A detailed description of this program is provided in </w:t>
      </w:r>
      <w:r w:rsidR="00CC1078">
        <w:t>Section</w:t>
      </w:r>
      <w:r w:rsidRPr="005055CB">
        <w:t xml:space="preserve"> 3.2.</w:t>
      </w:r>
    </w:p>
    <w:p w14:paraId="5C55CD48" w14:textId="77777777" w:rsidR="005F644A" w:rsidRPr="005055CB" w:rsidRDefault="005F644A" w:rsidP="00673811"/>
    <w:p w14:paraId="62B12E4D" w14:textId="77777777" w:rsidR="005F644A" w:rsidRPr="005055CB" w:rsidRDefault="005F644A" w:rsidP="005E223E">
      <w:pPr>
        <w:pStyle w:val="Heading4"/>
      </w:pPr>
      <w:r w:rsidRPr="005055CB">
        <w:t>Habitat Restoration</w:t>
      </w:r>
    </w:p>
    <w:p w14:paraId="341720D5" w14:textId="2E001EEE" w:rsidR="005F644A" w:rsidRPr="005055CB" w:rsidRDefault="005F644A" w:rsidP="004E36D3">
      <w:r w:rsidRPr="005055CB">
        <w:t xml:space="preserve">The Bay Program partnership implements programs to </w:t>
      </w:r>
      <w:r w:rsidRPr="00B906C6">
        <w:rPr>
          <w:szCs w:val="24"/>
        </w:rPr>
        <w:t>restore</w:t>
      </w:r>
      <w:r w:rsidRPr="005055CB">
        <w:t xml:space="preserve"> critical habitats and track</w:t>
      </w:r>
      <w:r>
        <w:t xml:space="preserve">s progress on an annual basis. </w:t>
      </w:r>
      <w:r w:rsidRPr="005055CB">
        <w:t>These efforts not only restore habitat for wildlife and fisheries, but the</w:t>
      </w:r>
      <w:r>
        <w:t xml:space="preserve">y also improve water quality. </w:t>
      </w:r>
      <w:r w:rsidRPr="005055CB">
        <w:t>Since 2003, 173 acres of submerged aquatic veg</w:t>
      </w:r>
      <w:r>
        <w:t xml:space="preserve">etation were planted Bay-wide. </w:t>
      </w:r>
      <w:r w:rsidRPr="005055CB">
        <w:t>Between 2010 and 2012, 5,503 acres of wet</w:t>
      </w:r>
      <w:r>
        <w:t>land were established Bay-wide.</w:t>
      </w:r>
      <w:r w:rsidRPr="005055CB">
        <w:t xml:space="preserve"> Since 1988, 2,576 miles of fish passage (primarily via dam re</w:t>
      </w:r>
      <w:r>
        <w:t>movals) were restored Bay-wide.</w:t>
      </w:r>
      <w:r w:rsidRPr="005055CB">
        <w:t xml:space="preserve"> As of 2014, oyster restoration efforts have taken place in </w:t>
      </w:r>
      <w:proofErr w:type="gramStart"/>
      <w:r w:rsidRPr="005055CB">
        <w:t>the Lynnhaven</w:t>
      </w:r>
      <w:proofErr w:type="gramEnd"/>
      <w:r w:rsidRPr="005055CB">
        <w:t xml:space="preserve">, </w:t>
      </w:r>
      <w:proofErr w:type="spellStart"/>
      <w:r w:rsidRPr="005055CB">
        <w:t>Piankatank</w:t>
      </w:r>
      <w:proofErr w:type="spellEnd"/>
      <w:r w:rsidRPr="005055CB">
        <w:t xml:space="preserve">, and Lafayette </w:t>
      </w:r>
      <w:r>
        <w:t xml:space="preserve">Rivers. </w:t>
      </w:r>
      <w:r w:rsidRPr="005055CB">
        <w:t xml:space="preserve">For more information on </w:t>
      </w:r>
      <w:r w:rsidR="00D47347">
        <w:t>issues impacting the bay, see the Chesapeake Bay Program Issues webpage.</w:t>
      </w:r>
    </w:p>
    <w:p w14:paraId="7653636B" w14:textId="77777777" w:rsidR="005F644A" w:rsidRPr="005055CB" w:rsidRDefault="005F644A" w:rsidP="004E36D3"/>
    <w:p w14:paraId="1537709F" w14:textId="2F91BAD5" w:rsidR="005F644A" w:rsidRPr="005055CB" w:rsidRDefault="005F644A" w:rsidP="004E36D3">
      <w:r w:rsidRPr="005055CB">
        <w:t xml:space="preserve">The 2014 Watershed Agreement included a </w:t>
      </w:r>
      <w:r w:rsidRPr="00587BCC">
        <w:rPr>
          <w:szCs w:val="24"/>
        </w:rPr>
        <w:t>Vital Habitats Goal</w:t>
      </w:r>
      <w:r w:rsidRPr="005055CB">
        <w:t xml:space="preserve"> to “restore, enhance and protect a network of land and water habitats to support fish and wildlife and to afford other public benefits, including water quality, recreational uses and scenic value across the watershed.” Goal outcomes addressed the following areas of concern: wetlands, black duck population, stream health, brook trout population, fish passage, submerged aquatic vegetation, forest buffers, and urban tree canopy.</w:t>
      </w:r>
      <w:r w:rsidR="00587BCC">
        <w:t xml:space="preserve"> Further information can be found on the Chesapeake Bay Program Vital Habitats webpage. </w:t>
      </w:r>
      <w:r w:rsidR="000533BA">
        <w:br/>
      </w:r>
    </w:p>
    <w:p w14:paraId="0AE830A6" w14:textId="77777777" w:rsidR="005F644A" w:rsidRPr="005055CB" w:rsidRDefault="005F644A" w:rsidP="00537361">
      <w:pPr>
        <w:pStyle w:val="Heading4"/>
        <w:rPr>
          <w:snapToGrid/>
        </w:rPr>
      </w:pPr>
      <w:r w:rsidRPr="005055CB">
        <w:rPr>
          <w:snapToGrid/>
        </w:rPr>
        <w:lastRenderedPageBreak/>
        <w:t xml:space="preserve">Toxics </w:t>
      </w:r>
    </w:p>
    <w:p w14:paraId="563E8E64" w14:textId="3842CE02" w:rsidR="005F644A" w:rsidRPr="005055CB" w:rsidRDefault="005F644A" w:rsidP="00286E70">
      <w:pPr>
        <w:rPr>
          <w:szCs w:val="24"/>
        </w:rPr>
      </w:pPr>
      <w:r w:rsidRPr="005055CB">
        <w:rPr>
          <w:szCs w:val="24"/>
        </w:rPr>
        <w:t xml:space="preserve">The 1987 Chesapeake Bay Agreement committed signatories to develop, adopt and begin implementation of a basin-wide toxics strategy to achieve a reduction of toxic pollutants consistent with </w:t>
      </w:r>
      <w:r>
        <w:rPr>
          <w:szCs w:val="24"/>
        </w:rPr>
        <w:t xml:space="preserve">the Water Quality Act of 1987. </w:t>
      </w:r>
      <w:r w:rsidRPr="005055CB">
        <w:rPr>
          <w:szCs w:val="24"/>
        </w:rPr>
        <w:t xml:space="preserve">Following the implementation of a multi-jurisdictional effort to define the nature, extent, and magnitude of toxics problems, the strategy was further strengthened with the adoption </w:t>
      </w:r>
      <w:r w:rsidRPr="00DF438C">
        <w:rPr>
          <w:szCs w:val="24"/>
        </w:rPr>
        <w:t>of the 1994 Basin-Wide Toxics Reduction and Prevention Strategy. The primary goal of the 1994 strategy was to have a “</w:t>
      </w:r>
      <w:r w:rsidRPr="00DF438C">
        <w:rPr>
          <w:i/>
          <w:szCs w:val="24"/>
        </w:rPr>
        <w:t xml:space="preserve">Bay free of toxics by reducing and eliminating the input of chemical contaminants from all controllable sources to levels that result in no toxic or </w:t>
      </w:r>
      <w:proofErr w:type="spellStart"/>
      <w:r w:rsidRPr="00DF438C">
        <w:rPr>
          <w:i/>
          <w:szCs w:val="24"/>
        </w:rPr>
        <w:t>bioaccumulative</w:t>
      </w:r>
      <w:proofErr w:type="spellEnd"/>
      <w:r w:rsidRPr="00DF438C">
        <w:rPr>
          <w:i/>
          <w:szCs w:val="24"/>
        </w:rPr>
        <w:t xml:space="preserve"> impact on living resources that inhabit the Bay or on human health</w:t>
      </w:r>
      <w:r w:rsidR="00DF438C" w:rsidRPr="00DF438C">
        <w:rPr>
          <w:i/>
          <w:szCs w:val="24"/>
        </w:rPr>
        <w:t>.</w:t>
      </w:r>
      <w:r w:rsidRPr="00DF438C">
        <w:rPr>
          <w:i/>
          <w:szCs w:val="24"/>
        </w:rPr>
        <w:t>”</w:t>
      </w:r>
    </w:p>
    <w:p w14:paraId="38E965F3" w14:textId="77777777" w:rsidR="005F644A" w:rsidRPr="005055CB" w:rsidRDefault="005F644A" w:rsidP="005F644A">
      <w:pPr>
        <w:rPr>
          <w:szCs w:val="24"/>
        </w:rPr>
      </w:pPr>
    </w:p>
    <w:p w14:paraId="6CF8EA06" w14:textId="534E2A12" w:rsidR="005F644A" w:rsidRPr="005055CB" w:rsidRDefault="005F644A" w:rsidP="005F644A">
      <w:pPr>
        <w:autoSpaceDE w:val="0"/>
        <w:autoSpaceDN w:val="0"/>
        <w:adjustRightInd w:val="0"/>
        <w:rPr>
          <w:szCs w:val="24"/>
        </w:rPr>
      </w:pPr>
      <w:r w:rsidRPr="005055CB">
        <w:rPr>
          <w:szCs w:val="24"/>
        </w:rPr>
        <w:t xml:space="preserve">Building upon progress achieved through the implementation of the 1994 Strategy, the Chesapeake Bay Program adopted a revised strategy in December 2000 known </w:t>
      </w:r>
      <w:r>
        <w:rPr>
          <w:szCs w:val="24"/>
        </w:rPr>
        <w:t xml:space="preserve">as the “Toxics 2000 Strategy”. </w:t>
      </w:r>
      <w:r w:rsidRPr="005055CB">
        <w:rPr>
          <w:szCs w:val="24"/>
        </w:rPr>
        <w:t>With the retention of the 1994 goal, new objectives and commitments we</w:t>
      </w:r>
      <w:r>
        <w:rPr>
          <w:szCs w:val="24"/>
        </w:rPr>
        <w:t xml:space="preserve">re developed and incorporated. </w:t>
      </w:r>
      <w:r w:rsidRPr="005055CB">
        <w:rPr>
          <w:szCs w:val="24"/>
        </w:rPr>
        <w:t xml:space="preserve">The agreement made commitments to four goals: 1) </w:t>
      </w:r>
      <w:r w:rsidRPr="005055CB">
        <w:rPr>
          <w:rFonts w:eastAsiaTheme="minorHAnsi"/>
          <w:szCs w:val="24"/>
        </w:rPr>
        <w:t>prevent and reduce chemical contaminant inputs and eliminate toxic impacts on living resources that inhabit the Bay and rivers 2)</w:t>
      </w:r>
      <w:r w:rsidRPr="005055CB">
        <w:rPr>
          <w:szCs w:val="24"/>
        </w:rPr>
        <w:t xml:space="preserve"> </w:t>
      </w:r>
      <w:r w:rsidRPr="005055CB">
        <w:rPr>
          <w:rFonts w:eastAsiaTheme="minorHAnsi"/>
          <w:szCs w:val="24"/>
        </w:rPr>
        <w:t>eliminate all chemical contaminant-related fish consumption bans and advisories</w:t>
      </w:r>
      <w:r w:rsidRPr="005055CB">
        <w:rPr>
          <w:szCs w:val="24"/>
        </w:rPr>
        <w:t xml:space="preserve">, 3) </w:t>
      </w:r>
      <w:r w:rsidRPr="005055CB">
        <w:rPr>
          <w:rFonts w:eastAsiaTheme="minorHAnsi"/>
          <w:szCs w:val="24"/>
        </w:rPr>
        <w:t>clean up contaminants in the sediment in the three most urbanized areas referred to as “Regions of Concern” (i.e., Baltimore Harbor, Anacostia River, Elizabeth River), and 4) sustain progress in the face of increasing population and expanded development within the watershed</w:t>
      </w:r>
      <w:r>
        <w:rPr>
          <w:szCs w:val="24"/>
        </w:rPr>
        <w:t xml:space="preserve">. </w:t>
      </w:r>
      <w:r w:rsidRPr="005055CB">
        <w:rPr>
          <w:szCs w:val="24"/>
        </w:rPr>
        <w:t>Though much of the pollution control measures since 2000 have focused on nutrients and sediments, progress has been made on accomplishing these goals through the collaborative work of federal, jurisdictional, and non-governmental organ</w:t>
      </w:r>
      <w:r>
        <w:rPr>
          <w:szCs w:val="24"/>
        </w:rPr>
        <w:t xml:space="preserve">izations. </w:t>
      </w:r>
      <w:r w:rsidRPr="005055CB">
        <w:rPr>
          <w:szCs w:val="24"/>
        </w:rPr>
        <w:t>One success story is the removal of sediments contaminated by polyaromatic hydrocarbons and other pollut</w:t>
      </w:r>
      <w:r>
        <w:rPr>
          <w:szCs w:val="24"/>
        </w:rPr>
        <w:t xml:space="preserve">ants from the Elizabeth River. </w:t>
      </w:r>
      <w:r w:rsidRPr="005055CB">
        <w:rPr>
          <w:szCs w:val="24"/>
        </w:rPr>
        <w:t xml:space="preserve">The Toxic 2000 Strategy also includes commitments to the continued monitoring and reporting of </w:t>
      </w:r>
      <w:proofErr w:type="gramStart"/>
      <w:r w:rsidRPr="005055CB">
        <w:rPr>
          <w:szCs w:val="24"/>
        </w:rPr>
        <w:t>toxics</w:t>
      </w:r>
      <w:proofErr w:type="gramEnd"/>
      <w:r w:rsidRPr="005055CB">
        <w:rPr>
          <w:szCs w:val="24"/>
        </w:rPr>
        <w:t xml:space="preserve"> and their biological impacts. </w:t>
      </w:r>
      <w:r w:rsidRPr="006E21F3">
        <w:rPr>
          <w:i/>
          <w:szCs w:val="24"/>
        </w:rPr>
        <w:t>Toxic Contaminants in the Chesapeake Bay and its Watershed: Extent and Severity of Occurrence and Potential Biological Effects</w:t>
      </w:r>
      <w:r w:rsidRPr="005055CB">
        <w:rPr>
          <w:szCs w:val="24"/>
        </w:rPr>
        <w:t xml:space="preserve"> </w:t>
      </w:r>
      <w:r w:rsidRPr="004731F6">
        <w:rPr>
          <w:szCs w:val="24"/>
        </w:rPr>
        <w:t>provides the most recent overview of this work.</w:t>
      </w:r>
    </w:p>
    <w:p w14:paraId="2436E4B6" w14:textId="77777777" w:rsidR="005F644A" w:rsidRPr="005055CB" w:rsidRDefault="005F644A" w:rsidP="005F644A">
      <w:pPr>
        <w:autoSpaceDE w:val="0"/>
        <w:autoSpaceDN w:val="0"/>
        <w:adjustRightInd w:val="0"/>
        <w:rPr>
          <w:szCs w:val="24"/>
        </w:rPr>
      </w:pPr>
    </w:p>
    <w:p w14:paraId="1FA511A3" w14:textId="7D153370" w:rsidR="00537361" w:rsidRDefault="005F644A" w:rsidP="005F644A">
      <w:pPr>
        <w:autoSpaceDE w:val="0"/>
        <w:autoSpaceDN w:val="0"/>
        <w:adjustRightInd w:val="0"/>
        <w:rPr>
          <w:szCs w:val="24"/>
        </w:rPr>
      </w:pPr>
      <w:r w:rsidRPr="005055CB">
        <w:rPr>
          <w:szCs w:val="24"/>
        </w:rPr>
        <w:t xml:space="preserve">The 2014 Watershed Agreement established a </w:t>
      </w:r>
      <w:r w:rsidRPr="00BC0935">
        <w:rPr>
          <w:szCs w:val="24"/>
        </w:rPr>
        <w:t>Toxic Contaminants Goal</w:t>
      </w:r>
      <w:r w:rsidRPr="005055CB">
        <w:rPr>
          <w:szCs w:val="24"/>
        </w:rPr>
        <w:t xml:space="preserve"> to “ensure that the Bay and its rivers are free of the effects of toxic contaminants on living resources and human health.” Goal outcomes included increased research efforts related to the impact and mitigation of toxic contaminants as well as improved policy and prevention efforts</w:t>
      </w:r>
      <w:r>
        <w:rPr>
          <w:szCs w:val="24"/>
        </w:rPr>
        <w:t xml:space="preserve"> that </w:t>
      </w:r>
      <w:proofErr w:type="gramStart"/>
      <w:r>
        <w:rPr>
          <w:szCs w:val="24"/>
        </w:rPr>
        <w:t>builds</w:t>
      </w:r>
      <w:proofErr w:type="gramEnd"/>
      <w:r>
        <w:rPr>
          <w:szCs w:val="24"/>
        </w:rPr>
        <w:t xml:space="preserve"> on leveraging existing programs to reduce the impacts of contaminants such as Polychlorinated Biphenyls (PCBs)</w:t>
      </w:r>
      <w:r w:rsidRPr="005055CB">
        <w:rPr>
          <w:szCs w:val="24"/>
        </w:rPr>
        <w:t>.</w:t>
      </w:r>
      <w:r>
        <w:rPr>
          <w:szCs w:val="24"/>
        </w:rPr>
        <w:t xml:space="preserve"> As part of this effort, the Bay partnership has been exploring </w:t>
      </w:r>
      <w:r w:rsidRPr="00B00102">
        <w:rPr>
          <w:szCs w:val="24"/>
        </w:rPr>
        <w:t>opportunities to</w:t>
      </w:r>
      <w:r>
        <w:rPr>
          <w:szCs w:val="24"/>
        </w:rPr>
        <w:t xml:space="preserve"> utilize simultaneous co-benefits of Best Management Practices (BMPs) used to reduce nutrients and toxic contaminants such as PCBs. </w:t>
      </w:r>
    </w:p>
    <w:p w14:paraId="575B35C2" w14:textId="77777777" w:rsidR="0034366B" w:rsidRDefault="0034366B" w:rsidP="005F644A"/>
    <w:p w14:paraId="0D22B2BB" w14:textId="39FDA8AA" w:rsidR="006C607C" w:rsidRDefault="006C607C" w:rsidP="006C607C">
      <w:pPr>
        <w:sectPr w:rsidR="006C607C" w:rsidSect="009079C4">
          <w:type w:val="continuous"/>
          <w:pgSz w:w="12240" w:h="15840"/>
          <w:pgMar w:top="1440" w:right="1440" w:bottom="1440" w:left="1440" w:header="720" w:footer="720" w:gutter="0"/>
          <w:cols w:space="720"/>
          <w:docGrid w:linePitch="360"/>
        </w:sectPr>
      </w:pPr>
    </w:p>
    <w:p w14:paraId="4823FD61" w14:textId="7CFBE9B7" w:rsidR="003B41D0" w:rsidRDefault="00C44D07" w:rsidP="00846A16">
      <w:pPr>
        <w:pStyle w:val="Heading2"/>
      </w:pPr>
      <w:bookmarkStart w:id="445" w:name="_Toc152763331"/>
      <w:bookmarkStart w:id="446" w:name="_Toc155771975"/>
      <w:bookmarkStart w:id="447" w:name="_Toc191900454"/>
      <w:r>
        <w:t>Wetlands Program Initiatives</w:t>
      </w:r>
      <w:bookmarkEnd w:id="445"/>
      <w:bookmarkEnd w:id="446"/>
      <w:bookmarkEnd w:id="447"/>
    </w:p>
    <w:p w14:paraId="708D8B06" w14:textId="77777777" w:rsidR="002D094A" w:rsidRPr="002D764B" w:rsidRDefault="002D094A" w:rsidP="002D764B">
      <w:pPr>
        <w:pStyle w:val="Heading3"/>
      </w:pPr>
      <w:r w:rsidRPr="002D764B">
        <w:t>Overview</w:t>
      </w:r>
    </w:p>
    <w:p w14:paraId="59183FA9" w14:textId="36941095" w:rsidR="00AD3D8D" w:rsidRPr="00AD3D8D" w:rsidRDefault="00AD3D8D" w:rsidP="00A8448E">
      <w:pPr>
        <w:pStyle w:val="BodyTextIndent"/>
        <w:ind w:firstLine="0"/>
        <w:jc w:val="left"/>
        <w:rPr>
          <w:rFonts w:cstheme="minorHAnsi"/>
          <w:szCs w:val="24"/>
        </w:rPr>
      </w:pPr>
      <w:r w:rsidRPr="00AD3D8D">
        <w:rPr>
          <w:rFonts w:cstheme="minorHAnsi"/>
          <w:szCs w:val="24"/>
        </w:rPr>
        <w:t xml:space="preserve">Wetlands are lands transitioning between terrestrial and deep-water habitats where the water table is usually at or near the land surface or where the land is covered by shallow water (Cowardin </w:t>
      </w:r>
      <w:r w:rsidRPr="00AD3D8D">
        <w:rPr>
          <w:rFonts w:cstheme="minorHAnsi"/>
          <w:i/>
          <w:szCs w:val="24"/>
        </w:rPr>
        <w:t>et al</w:t>
      </w:r>
      <w:r w:rsidRPr="00AD3D8D">
        <w:rPr>
          <w:rFonts w:cstheme="minorHAnsi"/>
          <w:szCs w:val="24"/>
        </w:rPr>
        <w:t xml:space="preserve">. 1979). Virginia has many different types of wetlands, including salt marshes, </w:t>
      </w:r>
      <w:r w:rsidRPr="00AD3D8D">
        <w:rPr>
          <w:rFonts w:cstheme="minorHAnsi"/>
          <w:szCs w:val="24"/>
        </w:rPr>
        <w:lastRenderedPageBreak/>
        <w:t>estuarine wetlands along freshwater portions of tidal streams, interdunal swales, pocosins, palustrine wetlands in freshwater floodplains, freshwater swamps, bogs, fens, wet meadows, and isolated wetlands.</w:t>
      </w:r>
    </w:p>
    <w:p w14:paraId="124F1F4C" w14:textId="77777777" w:rsidR="00AD3D8D" w:rsidRPr="00AD3D8D" w:rsidRDefault="00AD3D8D" w:rsidP="00AD3D8D">
      <w:pPr>
        <w:pStyle w:val="BodyTextIndent"/>
        <w:ind w:firstLine="0"/>
        <w:jc w:val="left"/>
        <w:rPr>
          <w:rFonts w:cstheme="minorHAnsi"/>
          <w:szCs w:val="24"/>
        </w:rPr>
      </w:pPr>
    </w:p>
    <w:p w14:paraId="0070657A" w14:textId="13423974" w:rsidR="00AD3D8D" w:rsidRPr="00AD3D8D" w:rsidRDefault="00AD3D8D" w:rsidP="00AD3D8D">
      <w:pPr>
        <w:rPr>
          <w:rFonts w:cstheme="minorHAnsi"/>
          <w:szCs w:val="24"/>
        </w:rPr>
      </w:pPr>
      <w:r w:rsidRPr="00AD3D8D">
        <w:rPr>
          <w:rFonts w:cstheme="minorHAnsi"/>
          <w:szCs w:val="24"/>
        </w:rPr>
        <w:t xml:space="preserve">Wetlands may be defined in different ways </w:t>
      </w:r>
      <w:proofErr w:type="gramStart"/>
      <w:r w:rsidRPr="00AD3D8D">
        <w:rPr>
          <w:rFonts w:cstheme="minorHAnsi"/>
          <w:szCs w:val="24"/>
        </w:rPr>
        <w:t>with regard to</w:t>
      </w:r>
      <w:proofErr w:type="gramEnd"/>
      <w:r w:rsidRPr="00AD3D8D">
        <w:rPr>
          <w:rFonts w:cstheme="minorHAnsi"/>
          <w:szCs w:val="24"/>
        </w:rPr>
        <w:t xml:space="preserve"> jurisdictional issues, but all wetlands have in common a seasonal pattern of hydrology or continuous inundation, characteristic hydric soils, and vegetation adapted to growing under saturated </w:t>
      </w:r>
      <w:r w:rsidR="007C291C" w:rsidRPr="00AD3D8D">
        <w:rPr>
          <w:rFonts w:cstheme="minorHAnsi"/>
          <w:szCs w:val="24"/>
        </w:rPr>
        <w:t>conditions</w:t>
      </w:r>
      <w:r w:rsidRPr="00AD3D8D">
        <w:rPr>
          <w:rFonts w:cstheme="minorHAnsi"/>
          <w:szCs w:val="24"/>
        </w:rPr>
        <w:t xml:space="preserve">. For example, the Wetlands Act of 1972 (Title 62.1 of the Code of Virginia) defines tidal wetlands for the purposes of protecting the resource and regulating development. As such, vegetated tidal wetlands are defined in the Act as "all land lying between and contiguous to mean low water and an elevation above mean low water equal to the factor 1.5 times the mean tide range at the site of the proposed project in the county, city or town in question," and on which are growing one or more of 37 specified species of wetlands vegetation (for more information on Tidal Wetlands in Virginia see </w:t>
      </w:r>
      <w:r w:rsidRPr="00B12A5C">
        <w:rPr>
          <w:rFonts w:cstheme="minorHAnsi"/>
          <w:szCs w:val="24"/>
        </w:rPr>
        <w:t xml:space="preserve">"Over a Half Century of Connecting Science and Management for Virginia’" by Center for Coastal Resources Management, Virginia Institute of Marine Science </w:t>
      </w:r>
      <w:r w:rsidR="00B630F2">
        <w:rPr>
          <w:rFonts w:cstheme="minorHAnsi"/>
          <w:szCs w:val="24"/>
        </w:rPr>
        <w:t xml:space="preserve">on the William and Mary </w:t>
      </w:r>
      <w:proofErr w:type="spellStart"/>
      <w:r w:rsidR="00B630F2">
        <w:rPr>
          <w:rFonts w:cstheme="minorHAnsi"/>
          <w:szCs w:val="24"/>
        </w:rPr>
        <w:t>ScholarWorks</w:t>
      </w:r>
      <w:proofErr w:type="spellEnd"/>
      <w:r w:rsidR="00B630F2">
        <w:rPr>
          <w:rFonts w:cstheme="minorHAnsi"/>
          <w:szCs w:val="24"/>
        </w:rPr>
        <w:t xml:space="preserve"> webpage</w:t>
      </w:r>
      <w:r w:rsidRPr="00B12A5C">
        <w:rPr>
          <w:rFonts w:cstheme="minorHAnsi"/>
          <w:szCs w:val="24"/>
        </w:rPr>
        <w:t>)</w:t>
      </w:r>
      <w:r w:rsidRPr="00AD3D8D">
        <w:rPr>
          <w:rFonts w:cstheme="minorHAnsi"/>
          <w:szCs w:val="24"/>
        </w:rPr>
        <w:t xml:space="preserve">. Non-vegetated wetlands are defined as all other lands between mean low water and mean high water. The Act does not include a definition for non-tidal wetlands, nor does it include all lands that </w:t>
      </w:r>
      <w:proofErr w:type="gramStart"/>
      <w:r w:rsidRPr="00AD3D8D">
        <w:rPr>
          <w:rFonts w:cstheme="minorHAnsi"/>
          <w:szCs w:val="24"/>
        </w:rPr>
        <w:t>are considered to be</w:t>
      </w:r>
      <w:proofErr w:type="gramEnd"/>
      <w:r w:rsidRPr="00AD3D8D">
        <w:rPr>
          <w:rFonts w:cstheme="minorHAnsi"/>
          <w:szCs w:val="24"/>
        </w:rPr>
        <w:t xml:space="preserve"> wetlands under federal law. The definition of wetlands contained in the DEQ's Virginia Water Protection Permit Program Regulation 9VAC25-210-10 </w:t>
      </w:r>
      <w:r w:rsidRPr="00AD3D8D">
        <w:rPr>
          <w:rFonts w:cstheme="minorHAnsi"/>
          <w:i/>
          <w:szCs w:val="24"/>
        </w:rPr>
        <w:t>et seq</w:t>
      </w:r>
      <w:r w:rsidRPr="00AD3D8D">
        <w:rPr>
          <w:rFonts w:cstheme="minorHAnsi"/>
          <w:szCs w:val="24"/>
        </w:rPr>
        <w:t xml:space="preserve">. parallels the federal definition of wetlands contained in Section 404 of the Clean Water Act: "Wetlands mean those areas that are inundated or saturated by surface or ground water at a frequency and duration sufficient to support and, under normal circumstances do support, a prevalence of vegetation typically adapted for life in saturated soil conditions. Wetlands generally include swamps, marshes, bogs and similar areas." Wetlands are part of State Waters per Section 62.1-44.3 of the Code of Virginia. State Waters means “all water, on the surface and under the ground, wholly or partially within or bordering the </w:t>
      </w:r>
      <w:r w:rsidR="006256F9">
        <w:rPr>
          <w:rFonts w:cstheme="minorHAnsi"/>
          <w:szCs w:val="24"/>
        </w:rPr>
        <w:t>C</w:t>
      </w:r>
      <w:r w:rsidRPr="00AD3D8D">
        <w:rPr>
          <w:rFonts w:cstheme="minorHAnsi"/>
          <w:szCs w:val="24"/>
        </w:rPr>
        <w:t>ommonwealth or within its jurisdiction, including wetlands.”</w:t>
      </w:r>
    </w:p>
    <w:p w14:paraId="72F1BC01" w14:textId="77777777" w:rsidR="00AD3D8D" w:rsidRPr="00AD3D8D" w:rsidRDefault="00AD3D8D" w:rsidP="00AD3D8D">
      <w:pPr>
        <w:pStyle w:val="BodyTextIndent"/>
        <w:ind w:firstLine="0"/>
        <w:rPr>
          <w:rFonts w:cstheme="minorHAnsi"/>
          <w:szCs w:val="24"/>
        </w:rPr>
      </w:pPr>
    </w:p>
    <w:p w14:paraId="3EC66588" w14:textId="694D0802" w:rsidR="00AD3D8D" w:rsidRPr="00AD3D8D" w:rsidRDefault="00AD3D8D" w:rsidP="00AD3D8D">
      <w:pPr>
        <w:pStyle w:val="BodyTextIndent"/>
        <w:ind w:firstLine="0"/>
        <w:jc w:val="left"/>
        <w:rPr>
          <w:rFonts w:cstheme="minorHAnsi"/>
          <w:szCs w:val="24"/>
        </w:rPr>
      </w:pPr>
      <w:r w:rsidRPr="00AD3D8D">
        <w:rPr>
          <w:rFonts w:cstheme="minorHAnsi"/>
          <w:szCs w:val="24"/>
        </w:rPr>
        <w:t xml:space="preserve">Wetlands occupy approximately four percent of Virginia’s land mass (Dahl, 1990). United States Fish and Wildlife Service National Wetlands Inventory mapping and research from state scientists have estimated that vegetated palustrine wetlands cover approximately 1,075,443 acres of Virginia; estuarine wetlands cover approximately 190,996 acres; lacustrine wetlands cover about 193 acres; and riverine wetlands cover about 380 acres (Hershner </w:t>
      </w:r>
      <w:r w:rsidRPr="00AD3D8D">
        <w:rPr>
          <w:rFonts w:cstheme="minorHAnsi"/>
          <w:i/>
          <w:szCs w:val="24"/>
        </w:rPr>
        <w:t>et al</w:t>
      </w:r>
      <w:r w:rsidRPr="00AD3D8D">
        <w:rPr>
          <w:rFonts w:cstheme="minorHAnsi"/>
          <w:szCs w:val="24"/>
        </w:rPr>
        <w:t xml:space="preserve">. 2000). Approximately 72 percent of the wetland areas in Virginia, including all the estuarine wetlands and most of the large nontidal palustrine wetlands, are in the Coastal Plain (Tiner and Finn, 1986). Approximately 22 percent of the wetlands in Virginia are in </w:t>
      </w:r>
      <w:proofErr w:type="gramStart"/>
      <w:r w:rsidRPr="00AD3D8D">
        <w:rPr>
          <w:rFonts w:cstheme="minorHAnsi"/>
          <w:szCs w:val="24"/>
        </w:rPr>
        <w:t>the Piedmont</w:t>
      </w:r>
      <w:proofErr w:type="gramEnd"/>
      <w:r w:rsidRPr="00AD3D8D">
        <w:rPr>
          <w:rFonts w:cstheme="minorHAnsi"/>
          <w:szCs w:val="24"/>
        </w:rPr>
        <w:t>, and the remaining 6 percent are in the Appalachian Plateau (Tiner and Finn, 1986; Harlow and LeCain, 1991). Virginia has worked with local scientists to develop geographic information system-based (</w:t>
      </w:r>
      <w:smartTag w:uri="urn:schemas-microsoft-com:office:smarttags" w:element="stockticker">
        <w:r w:rsidRPr="00AD3D8D">
          <w:rPr>
            <w:rFonts w:cstheme="minorHAnsi"/>
            <w:szCs w:val="24"/>
          </w:rPr>
          <w:t>GIS</w:t>
        </w:r>
      </w:smartTag>
      <w:r w:rsidRPr="00AD3D8D">
        <w:rPr>
          <w:rFonts w:cstheme="minorHAnsi"/>
          <w:szCs w:val="24"/>
        </w:rPr>
        <w:t>) estimates of wetland acreage and wetland type by watershed, which can be used in cumulative wetland impact assessments, as discussed further in the Wetland Monitoring and Assessment section of this report.</w:t>
      </w:r>
    </w:p>
    <w:p w14:paraId="5C31D876" w14:textId="77777777" w:rsidR="00AD3D8D" w:rsidRPr="00AD3D8D" w:rsidRDefault="00AD3D8D" w:rsidP="00AD3D8D">
      <w:pPr>
        <w:pStyle w:val="BodyTextIndent"/>
        <w:ind w:firstLine="0"/>
        <w:jc w:val="left"/>
        <w:rPr>
          <w:rFonts w:cstheme="minorHAnsi"/>
          <w:szCs w:val="24"/>
        </w:rPr>
      </w:pPr>
    </w:p>
    <w:p w14:paraId="7F4A20B2" w14:textId="256C8B7B" w:rsidR="00AD3D8D" w:rsidRPr="00AD3D8D" w:rsidRDefault="00AD3D8D" w:rsidP="00AD3D8D">
      <w:pPr>
        <w:pStyle w:val="BodyTextIndent"/>
        <w:ind w:firstLine="0"/>
        <w:jc w:val="left"/>
        <w:rPr>
          <w:rFonts w:cstheme="minorHAnsi"/>
        </w:rPr>
      </w:pPr>
      <w:r w:rsidRPr="00AD3D8D">
        <w:rPr>
          <w:rFonts w:cstheme="minorHAnsi"/>
          <w:szCs w:val="24"/>
        </w:rPr>
        <w:t xml:space="preserve">Development activities in wetlands in Virginia are regulated by the U.S. Army Corps of Engineers (the Corps) through Section 404 of the Clean Water Act; by the Department of </w:t>
      </w:r>
      <w:r w:rsidRPr="00AD3D8D">
        <w:rPr>
          <w:rFonts w:cstheme="minorHAnsi"/>
          <w:szCs w:val="24"/>
        </w:rPr>
        <w:lastRenderedPageBreak/>
        <w:t xml:space="preserve">Environmental Quality, through the Virginia Water Protection Permit Program and Section 401 of the Clean Water Act; by the Virginia Marine Resources Commission (VMRC); and by local Wetland Boards through the Virginia Tidal Wetlands Act of 1972. For more information about wetlands, the historical development of the program, applicable laws/regulations, and permitting, see the </w:t>
      </w:r>
      <w:r w:rsidR="00B53D37">
        <w:rPr>
          <w:rFonts w:cstheme="minorHAnsi"/>
          <w:szCs w:val="24"/>
        </w:rPr>
        <w:t>DEQ Wetlands and Streams webpage</w:t>
      </w:r>
      <w:r w:rsidRPr="00AD3D8D">
        <w:rPr>
          <w:rFonts w:cstheme="minorHAnsi"/>
        </w:rPr>
        <w:t>.</w:t>
      </w:r>
    </w:p>
    <w:p w14:paraId="59D55A34" w14:textId="77777777" w:rsidR="00AD3D8D" w:rsidRPr="00AD3D8D" w:rsidRDefault="00AD3D8D" w:rsidP="00AD3D8D">
      <w:pPr>
        <w:jc w:val="both"/>
        <w:rPr>
          <w:rFonts w:cstheme="minorHAnsi"/>
          <w:szCs w:val="24"/>
        </w:rPr>
      </w:pPr>
    </w:p>
    <w:p w14:paraId="68F25B5F" w14:textId="77777777" w:rsidR="00AD3D8D" w:rsidRPr="00AD3D8D" w:rsidRDefault="00AD3D8D" w:rsidP="00AD3D8D">
      <w:pPr>
        <w:rPr>
          <w:rFonts w:cstheme="minorHAnsi"/>
          <w:szCs w:val="24"/>
        </w:rPr>
      </w:pPr>
      <w:r w:rsidRPr="00AD3D8D">
        <w:rPr>
          <w:rFonts w:cstheme="minorHAnsi"/>
          <w:szCs w:val="24"/>
        </w:rPr>
        <w:t>Virginia has experienced losses of wetlands as a result of human-related development. In the 1780’s, wetlands covered about 1,849,000 acres (more than 7 percent) of Virginia (Dahl, 1990). By the mid-1980’s, when permits began to be required for most impacts to wetlands, about 1,075,000 wetland acres remained in Virginia – an overall loss of about 42 percent in 200 years (Dahl, 1990).</w:t>
      </w:r>
    </w:p>
    <w:p w14:paraId="34A84D97" w14:textId="77777777" w:rsidR="00AD3D8D" w:rsidRPr="00AD3D8D" w:rsidRDefault="00AD3D8D" w:rsidP="00AD3D8D">
      <w:pPr>
        <w:jc w:val="both"/>
        <w:rPr>
          <w:rFonts w:cstheme="minorHAnsi"/>
          <w:szCs w:val="24"/>
        </w:rPr>
      </w:pPr>
    </w:p>
    <w:p w14:paraId="37B559EC" w14:textId="77777777" w:rsidR="00AD3D8D" w:rsidRPr="00AD3D8D" w:rsidRDefault="00AD3D8D" w:rsidP="00AD3D8D">
      <w:pPr>
        <w:rPr>
          <w:rFonts w:cstheme="minorHAnsi"/>
          <w:szCs w:val="24"/>
        </w:rPr>
      </w:pPr>
      <w:r w:rsidRPr="00AD3D8D">
        <w:rPr>
          <w:rFonts w:cstheme="minorHAnsi"/>
          <w:szCs w:val="24"/>
        </w:rPr>
        <w:t>Agriculture and forestry, industrial and urban development, and recreation have led to the draining, dredging and ditching, filling, diking, and damming of wetlands in Virginia. According to a Chesapeake Bay Foundation fact sheet (2001), Virginia lost more than 770,000 acres of wetlands, for an average annual loss of 3,870 acres, during the 200-year period from the 1780s to the 1980s. From mid-1980 to the late 1990’s, 80 percent of estimated losses of freshwater vegetated wetlands (mostly forested systems) occurred in the Coastal Plain. Wetland trends for the Norfolk/Hampton region of Virginia indicated a loss of about 4,800 acres of vegetated wetlands between 1982 and 1989-90 (Tiner and Foulis, 1994). During 1998 and 1999 alone, more than 2,500 acres of non-tidal wetlands in Virginia were ditched for development. The net loss of wetland areas has slowed since 2000 due to stricter laws, greater enforcement, and new mitigation strategies.</w:t>
      </w:r>
    </w:p>
    <w:p w14:paraId="758A4A2D" w14:textId="77777777" w:rsidR="002D094A" w:rsidRPr="002D764B" w:rsidRDefault="002D094A" w:rsidP="002D094A">
      <w:pPr>
        <w:jc w:val="both"/>
        <w:rPr>
          <w:rFonts w:cstheme="minorHAnsi"/>
          <w:szCs w:val="24"/>
        </w:rPr>
      </w:pPr>
    </w:p>
    <w:p w14:paraId="75456F29" w14:textId="7806DBCE" w:rsidR="002D094A" w:rsidRPr="00FE026E" w:rsidRDefault="002D094A" w:rsidP="00FE026E">
      <w:pPr>
        <w:pStyle w:val="Heading3"/>
      </w:pPr>
      <w:r w:rsidRPr="002D764B">
        <w:t>Wetland Monitoring and Assessment</w:t>
      </w:r>
    </w:p>
    <w:p w14:paraId="6D9BA40A" w14:textId="7FA16EA0" w:rsidR="002D094A" w:rsidRPr="005D41F6" w:rsidRDefault="002D094A" w:rsidP="002D094A">
      <w:pPr>
        <w:pStyle w:val="Heading4"/>
      </w:pPr>
      <w:r w:rsidRPr="00FE026E">
        <w:t>Background</w:t>
      </w:r>
    </w:p>
    <w:p w14:paraId="6F0CB932" w14:textId="0815BEC0" w:rsidR="00A8448E" w:rsidRPr="00A8448E" w:rsidRDefault="00A8448E" w:rsidP="00A8448E">
      <w:pPr>
        <w:pStyle w:val="BodyTextIndent"/>
        <w:ind w:firstLine="0"/>
        <w:jc w:val="left"/>
        <w:rPr>
          <w:rFonts w:cstheme="minorHAnsi"/>
          <w:szCs w:val="24"/>
        </w:rPr>
      </w:pPr>
      <w:r w:rsidRPr="00A8448E">
        <w:rPr>
          <w:rFonts w:cstheme="minorHAnsi"/>
          <w:szCs w:val="24"/>
        </w:rPr>
        <w:t xml:space="preserve">A key aspect of the Commonwealth of Virginia’s nontidal wetlands program is ensuring that there is no net loss of wetland acreage and function through permitted impacts and a net gain in wetland resource through voluntary programs. To accomplish these goals, the Virginia Water Protection (VWP) Permit Program received grants from EPA from 2003 to 2018 to determine the status of wetland resources in Virginia, in terms of location, extent, and overall quality of wetlands in each watershed. Using this information, the VWP Permit Program tracks changes in wetland acreage and functions, target certain watersheds, and help determine the effectiveness of compensatory mitigation replacing lost wetland acreage and function. As a first step, Virginia developed a long-term Wetland Monitoring and Assessment Strategy for wetland monitoring and assessment, including the goals and objectives of a monitoring and assessment program and a time frame for implementation. The strategy provides a framework for an ongoing assessment of the status of the </w:t>
      </w:r>
      <w:r w:rsidR="006256F9">
        <w:rPr>
          <w:rFonts w:cstheme="minorHAnsi"/>
          <w:szCs w:val="24"/>
        </w:rPr>
        <w:t>C</w:t>
      </w:r>
      <w:r w:rsidRPr="00A8448E">
        <w:rPr>
          <w:rFonts w:cstheme="minorHAnsi"/>
          <w:szCs w:val="24"/>
        </w:rPr>
        <w:t xml:space="preserve">ommonwealth's wetland resources and the success of both our wetland regulatory and voluntary programs. </w:t>
      </w:r>
      <w:r w:rsidR="000A6057" w:rsidRPr="00A8448E">
        <w:rPr>
          <w:rFonts w:cstheme="minorHAnsi"/>
          <w:szCs w:val="24"/>
        </w:rPr>
        <w:t>The result</w:t>
      </w:r>
      <w:r w:rsidRPr="00A8448E">
        <w:rPr>
          <w:rFonts w:cstheme="minorHAnsi"/>
          <w:szCs w:val="24"/>
        </w:rPr>
        <w:t xml:space="preserve"> of the ten-year strategy is expected to be the incorporation of wetland monitoring and assessment data into the </w:t>
      </w:r>
      <w:r w:rsidR="006256F9">
        <w:rPr>
          <w:rFonts w:cstheme="minorHAnsi"/>
          <w:szCs w:val="24"/>
        </w:rPr>
        <w:t>C</w:t>
      </w:r>
      <w:r w:rsidRPr="00A8448E">
        <w:rPr>
          <w:rFonts w:cstheme="minorHAnsi"/>
          <w:szCs w:val="24"/>
        </w:rPr>
        <w:t>ommonwealth's water quality monitoring programs.</w:t>
      </w:r>
    </w:p>
    <w:p w14:paraId="56299E63" w14:textId="77777777" w:rsidR="00A8448E" w:rsidRPr="00A8448E" w:rsidRDefault="00A8448E" w:rsidP="007C291C">
      <w:pPr>
        <w:widowControl/>
        <w:autoSpaceDE w:val="0"/>
        <w:autoSpaceDN w:val="0"/>
        <w:adjustRightInd w:val="0"/>
        <w:rPr>
          <w:rFonts w:cstheme="minorHAnsi"/>
          <w:szCs w:val="24"/>
        </w:rPr>
      </w:pPr>
    </w:p>
    <w:p w14:paraId="15AE131C" w14:textId="5F7E6331" w:rsidR="00A8448E" w:rsidRPr="00A8448E" w:rsidRDefault="00A8448E" w:rsidP="00A8448E">
      <w:pPr>
        <w:widowControl/>
        <w:autoSpaceDE w:val="0"/>
        <w:autoSpaceDN w:val="0"/>
        <w:adjustRightInd w:val="0"/>
        <w:rPr>
          <w:rFonts w:cstheme="minorHAnsi"/>
          <w:szCs w:val="24"/>
        </w:rPr>
      </w:pPr>
      <w:r w:rsidRPr="00A8448E">
        <w:rPr>
          <w:rFonts w:cstheme="minorHAnsi"/>
          <w:szCs w:val="24"/>
        </w:rPr>
        <w:lastRenderedPageBreak/>
        <w:t xml:space="preserve">Virginia has narrative water quality standards for all surface waters, including wetlands. The overall water quality for state waters is determined based on </w:t>
      </w:r>
      <w:r w:rsidR="000A6057" w:rsidRPr="00A8448E">
        <w:rPr>
          <w:rFonts w:cstheme="minorHAnsi"/>
          <w:szCs w:val="24"/>
        </w:rPr>
        <w:t>whether</w:t>
      </w:r>
      <w:r w:rsidRPr="00A8448E">
        <w:rPr>
          <w:rFonts w:cstheme="minorHAnsi"/>
          <w:szCs w:val="24"/>
        </w:rPr>
        <w:t xml:space="preserve"> the condition of the waterbody being assessed allows </w:t>
      </w:r>
      <w:r w:rsidR="00AE0C54">
        <w:rPr>
          <w:rFonts w:cstheme="minorHAnsi"/>
          <w:szCs w:val="24"/>
        </w:rPr>
        <w:t>residents</w:t>
      </w:r>
      <w:r w:rsidRPr="00A8448E">
        <w:rPr>
          <w:rFonts w:cstheme="minorHAnsi"/>
          <w:szCs w:val="24"/>
        </w:rPr>
        <w:t xml:space="preserve"> to safely enjoy the six designated uses of the water (aquatic life use, fish consumption use, swimming use, public water supply use, shellfish consumption use, and wildlife use), as described in the Virginia Water Quality Standards (9VAC25-260 et seq). Part of the above-referenced monitoring and assessment strategy includes 1) the evaluation of these designated uses for their applicability to a wetland’s condition, and 2) the assessment of whether other designated uses of wetlands may apply. The strategy may also support the agency’s goal of developing specific wetland quality standards as narrative use criteria.</w:t>
      </w:r>
    </w:p>
    <w:p w14:paraId="521FD62A" w14:textId="77777777" w:rsidR="00A8448E" w:rsidRPr="00A8448E" w:rsidRDefault="00A8448E" w:rsidP="00A8448E">
      <w:pPr>
        <w:widowControl/>
        <w:autoSpaceDE w:val="0"/>
        <w:autoSpaceDN w:val="0"/>
        <w:adjustRightInd w:val="0"/>
        <w:jc w:val="both"/>
        <w:rPr>
          <w:rFonts w:cstheme="minorHAnsi"/>
          <w:szCs w:val="24"/>
        </w:rPr>
      </w:pPr>
    </w:p>
    <w:p w14:paraId="2A67DD8E" w14:textId="4F85B3F8" w:rsidR="00A8448E" w:rsidRPr="00A8448E" w:rsidRDefault="00A8448E" w:rsidP="00A8448E">
      <w:pPr>
        <w:widowControl/>
        <w:autoSpaceDE w:val="0"/>
        <w:autoSpaceDN w:val="0"/>
        <w:adjustRightInd w:val="0"/>
        <w:rPr>
          <w:rFonts w:cstheme="minorHAnsi"/>
          <w:szCs w:val="24"/>
        </w:rPr>
      </w:pPr>
      <w:r w:rsidRPr="00A8448E">
        <w:rPr>
          <w:rFonts w:cstheme="minorHAnsi"/>
          <w:szCs w:val="24"/>
        </w:rPr>
        <w:t xml:space="preserve">The wetland monitoring and assessment strategy incorporates the EPA March 2003 "Elements of a Wetland Monitoring and Assessment Program Checklist" and the EPA May 2006 “Application of Elements of a State Water Monitoring and Assessment Program for Wetlands” (a supplement to the 2003 EPA document). The strategy uses a three-tiered census approach to wetlands assessment, using a suite of core and supplemental indicators, to assess </w:t>
      </w:r>
      <w:r w:rsidR="000A6057" w:rsidRPr="00A8448E">
        <w:rPr>
          <w:rFonts w:cstheme="minorHAnsi"/>
          <w:szCs w:val="24"/>
        </w:rPr>
        <w:t>whether</w:t>
      </w:r>
      <w:r w:rsidRPr="00A8448E">
        <w:rPr>
          <w:rFonts w:cstheme="minorHAnsi"/>
          <w:szCs w:val="24"/>
        </w:rPr>
        <w:t xml:space="preserve"> a particular wetland is performing at a similar condition as an identified reference wetland. The first tier (Level 1 analysis) consists of a comprehensive coverage of all mapped wetlands using a </w:t>
      </w:r>
      <w:smartTag w:uri="urn:schemas-microsoft-com:office:smarttags" w:element="stockticker">
        <w:r w:rsidRPr="00A8448E">
          <w:rPr>
            <w:rFonts w:cstheme="minorHAnsi"/>
            <w:szCs w:val="24"/>
          </w:rPr>
          <w:t>GIS-</w:t>
        </w:r>
      </w:smartTag>
      <w:r w:rsidRPr="00A8448E">
        <w:rPr>
          <w:rFonts w:cstheme="minorHAnsi"/>
          <w:szCs w:val="24"/>
        </w:rPr>
        <w:t xml:space="preserve">based analysis of remotely sensed information. The second tier of assessment (Level 2) is intended for use in a statistically selected sub-sample of the watershed wetland population and involves a more sophisticated analysis of remotely sensed information and a site visit for verification and additional data collection. The </w:t>
      </w:r>
      <w:r w:rsidR="000A6057" w:rsidRPr="00A8448E">
        <w:rPr>
          <w:rFonts w:cstheme="minorHAnsi"/>
          <w:szCs w:val="24"/>
        </w:rPr>
        <w:t>third-tier</w:t>
      </w:r>
      <w:r w:rsidRPr="00A8448E">
        <w:rPr>
          <w:rFonts w:cstheme="minorHAnsi"/>
          <w:szCs w:val="24"/>
        </w:rPr>
        <w:t xml:space="preserve"> assessment (Level 3) is designed to specifically evaluate performance of functions in wetlands under varying degrees of stress, as indicated by the results of Levels I and II.</w:t>
      </w:r>
    </w:p>
    <w:p w14:paraId="5E67D107" w14:textId="77777777" w:rsidR="002D094A" w:rsidRPr="002D764B" w:rsidRDefault="002D094A" w:rsidP="002D094A">
      <w:pPr>
        <w:jc w:val="both"/>
        <w:rPr>
          <w:rFonts w:cstheme="minorHAnsi"/>
          <w:b/>
          <w:i/>
          <w:szCs w:val="24"/>
        </w:rPr>
      </w:pPr>
    </w:p>
    <w:p w14:paraId="4FCAF074" w14:textId="77777777" w:rsidR="002D094A" w:rsidRPr="002D764B" w:rsidRDefault="002D094A" w:rsidP="005D41F6">
      <w:pPr>
        <w:pStyle w:val="Heading4"/>
      </w:pPr>
      <w:r w:rsidRPr="002D764B">
        <w:t>End Result</w:t>
      </w:r>
    </w:p>
    <w:p w14:paraId="381EBA03" w14:textId="77777777" w:rsidR="000A6057" w:rsidRPr="000533BA" w:rsidRDefault="000A6057" w:rsidP="000A6057">
      <w:pPr>
        <w:widowControl/>
        <w:rPr>
          <w:rFonts w:cstheme="minorHAnsi"/>
          <w:szCs w:val="24"/>
        </w:rPr>
      </w:pPr>
      <w:r w:rsidRPr="000533BA">
        <w:rPr>
          <w:rFonts w:cstheme="minorHAnsi"/>
          <w:szCs w:val="24"/>
        </w:rPr>
        <w:t xml:space="preserve">The data collected from the assessment has been compiled into an online GIS-based wetland data viewer identified as the </w:t>
      </w:r>
      <w:r w:rsidRPr="000533BA">
        <w:rPr>
          <w:rFonts w:cstheme="minorHAnsi"/>
          <w:szCs w:val="24"/>
          <w:u w:val="single"/>
        </w:rPr>
        <w:t>Wet</w:t>
      </w:r>
      <w:r w:rsidRPr="000533BA">
        <w:rPr>
          <w:rFonts w:cstheme="minorHAnsi"/>
          <w:szCs w:val="24"/>
        </w:rPr>
        <w:t xml:space="preserve">land </w:t>
      </w:r>
      <w:r w:rsidRPr="000533BA">
        <w:rPr>
          <w:rFonts w:cstheme="minorHAnsi"/>
          <w:szCs w:val="24"/>
          <w:u w:val="single"/>
        </w:rPr>
        <w:t>C</w:t>
      </w:r>
      <w:r w:rsidRPr="000533BA">
        <w:rPr>
          <w:rFonts w:cstheme="minorHAnsi"/>
          <w:szCs w:val="24"/>
        </w:rPr>
        <w:t xml:space="preserve">ondition </w:t>
      </w:r>
      <w:r w:rsidRPr="000533BA">
        <w:rPr>
          <w:rFonts w:cstheme="minorHAnsi"/>
          <w:szCs w:val="24"/>
          <w:u w:val="single"/>
        </w:rPr>
        <w:t>A</w:t>
      </w:r>
      <w:r w:rsidRPr="000533BA">
        <w:rPr>
          <w:rFonts w:cstheme="minorHAnsi"/>
          <w:szCs w:val="24"/>
        </w:rPr>
        <w:t xml:space="preserve">ssessment </w:t>
      </w:r>
      <w:r w:rsidRPr="000533BA">
        <w:rPr>
          <w:rFonts w:cstheme="minorHAnsi"/>
          <w:szCs w:val="24"/>
          <w:u w:val="single"/>
        </w:rPr>
        <w:t>T</w:t>
      </w:r>
      <w:r w:rsidRPr="000533BA">
        <w:rPr>
          <w:rFonts w:cstheme="minorHAnsi"/>
          <w:szCs w:val="24"/>
        </w:rPr>
        <w:t>ool (</w:t>
      </w:r>
      <w:proofErr w:type="spellStart"/>
      <w:r w:rsidRPr="000533BA">
        <w:rPr>
          <w:rFonts w:cstheme="minorHAnsi"/>
          <w:szCs w:val="24"/>
        </w:rPr>
        <w:t>WetCAT</w:t>
      </w:r>
      <w:proofErr w:type="spellEnd"/>
      <w:r w:rsidRPr="000533BA">
        <w:rPr>
          <w:rFonts w:cstheme="minorHAnsi"/>
          <w:szCs w:val="24"/>
        </w:rPr>
        <w:t xml:space="preserve">) developed in partnership with the Virginia Institute of Marine Science (VIMS) – Center for Coastal Resources Management (CCRM) and DEQ’s Office of Wetlands and Stream Protection (OWSP). One unique aspect of </w:t>
      </w:r>
      <w:proofErr w:type="spellStart"/>
      <w:r w:rsidRPr="000533BA">
        <w:rPr>
          <w:rFonts w:cstheme="minorHAnsi"/>
          <w:szCs w:val="24"/>
        </w:rPr>
        <w:t>WetCAT</w:t>
      </w:r>
      <w:proofErr w:type="spellEnd"/>
      <w:r w:rsidRPr="000533BA">
        <w:rPr>
          <w:rFonts w:cstheme="minorHAnsi"/>
          <w:szCs w:val="24"/>
        </w:rPr>
        <w:t xml:space="preserve"> is its online interactive user interface, which allows users to overlay data such as previously permitted impacts and impaired waters and run various geoprocessing tools to visualize cumulative impacts, downstream flow, and upgradient drainage areas. </w:t>
      </w:r>
    </w:p>
    <w:p w14:paraId="0DD2DAF6" w14:textId="77777777" w:rsidR="000A6057" w:rsidRPr="000533BA" w:rsidRDefault="000A6057" w:rsidP="000A6057">
      <w:pPr>
        <w:widowControl/>
        <w:rPr>
          <w:rFonts w:cstheme="minorHAnsi"/>
          <w:b/>
          <w:bCs/>
          <w:szCs w:val="24"/>
        </w:rPr>
      </w:pPr>
    </w:p>
    <w:p w14:paraId="6D26C8FC" w14:textId="57674489" w:rsidR="000A6057" w:rsidRPr="000533BA" w:rsidRDefault="000A6057" w:rsidP="0A5BE548">
      <w:pPr>
        <w:widowControl/>
        <w:rPr>
          <w:rFonts w:cstheme="minorBidi"/>
        </w:rPr>
      </w:pPr>
      <w:r w:rsidRPr="0A5BE548">
        <w:rPr>
          <w:rFonts w:cstheme="minorBidi"/>
        </w:rPr>
        <w:t xml:space="preserve">The goal of </w:t>
      </w:r>
      <w:proofErr w:type="spellStart"/>
      <w:r w:rsidRPr="0A5BE548">
        <w:rPr>
          <w:rFonts w:cstheme="minorBidi"/>
        </w:rPr>
        <w:t>WetCAT</w:t>
      </w:r>
      <w:proofErr w:type="spellEnd"/>
      <w:r w:rsidRPr="0A5BE548">
        <w:rPr>
          <w:rFonts w:cstheme="minorBidi"/>
        </w:rPr>
        <w:t xml:space="preserve"> is to support DEQ’s regulatory decision-making, allow reporting of wetland condition, and provide information for policy development. One of the advantages of the Virginia protocol is a comprehensive assessment of secondary impacts to wetland resources arising from activities that do not directly impact wetlands. This information can guide policy discussions on general land use management, stormwater, and land use planning. Linking decisions in these areas to wetland policy will be essential to achieving Virginia’s statutory requirement of no net loss of wetland acreage and function, and aid local governments with planning tools at a watershed level. Additional data sets and GIS layers will allow Virginia to continue to develop a wetland data viewer for use by regulatory agencies and the public. Our </w:t>
      </w:r>
      <w:r w:rsidRPr="0A5BE548">
        <w:rPr>
          <w:rFonts w:cstheme="minorBidi"/>
        </w:rPr>
        <w:lastRenderedPageBreak/>
        <w:t xml:space="preserve">success will be measured by an increasing trend in the </w:t>
      </w:r>
      <w:r w:rsidR="5807C206" w:rsidRPr="0A5BE548">
        <w:rPr>
          <w:rFonts w:cstheme="minorBidi"/>
        </w:rPr>
        <w:t>statistically reliable</w:t>
      </w:r>
      <w:r w:rsidRPr="0A5BE548">
        <w:rPr>
          <w:rFonts w:cstheme="minorBidi"/>
        </w:rPr>
        <w:t xml:space="preserve"> Level I protocol and a decreasing trend in cumulative wetland impacts over time.</w:t>
      </w:r>
      <w:smartTag w:uri="urn:schemas-microsoft-com:office:smarttags" w:element="stockticker"/>
    </w:p>
    <w:p w14:paraId="03F95F8A" w14:textId="6EA2E37D" w:rsidR="000A6057" w:rsidRPr="000533BA" w:rsidRDefault="000A6057" w:rsidP="000A6057">
      <w:pPr>
        <w:widowControl/>
        <w:rPr>
          <w:rFonts w:cstheme="minorHAnsi"/>
          <w:szCs w:val="24"/>
        </w:rPr>
      </w:pPr>
    </w:p>
    <w:p w14:paraId="10D2EB81" w14:textId="556DDF84" w:rsidR="000A6057" w:rsidRPr="000533BA" w:rsidRDefault="000A6057" w:rsidP="000A6057">
      <w:pPr>
        <w:rPr>
          <w:rFonts w:cstheme="minorHAnsi"/>
          <w:szCs w:val="24"/>
        </w:rPr>
      </w:pPr>
      <w:r w:rsidRPr="000533BA">
        <w:rPr>
          <w:rFonts w:cstheme="minorHAnsi"/>
          <w:szCs w:val="24"/>
        </w:rPr>
        <w:t xml:space="preserve">For the latest information on building capacity for the protection of wetland resources in Virginia, refer to the documents titled </w:t>
      </w:r>
      <w:r w:rsidRPr="000B33BB">
        <w:rPr>
          <w:rFonts w:cstheme="minorHAnsi"/>
          <w:szCs w:val="24"/>
        </w:rPr>
        <w:t xml:space="preserve">"Building Capacity for Protection of Wetland Resources in Virginia - Tr" by Virginia Department of Environmental Quality and Center for Coastal Resources Management - Virginia Institute of Marine Science </w:t>
      </w:r>
      <w:r w:rsidRPr="000533BA">
        <w:rPr>
          <w:rFonts w:cstheme="minorHAnsi"/>
          <w:szCs w:val="24"/>
        </w:rPr>
        <w:t xml:space="preserve">or </w:t>
      </w:r>
      <w:r w:rsidRPr="00970DBC">
        <w:rPr>
          <w:rStyle w:val="cf01"/>
          <w:rFonts w:asciiTheme="minorHAnsi" w:hAnsiTheme="minorHAnsi" w:cstheme="minorHAnsi"/>
          <w:sz w:val="24"/>
          <w:szCs w:val="24"/>
        </w:rPr>
        <w:t>Refining Program Capacity to Enhance and Protect Wetland Resources in " by Virginia Institute of Marine Science and Virginia Department of Environmental Quality</w:t>
      </w:r>
      <w:r w:rsidR="00970DBC">
        <w:rPr>
          <w:rStyle w:val="cf01"/>
          <w:rFonts w:asciiTheme="minorHAnsi" w:hAnsiTheme="minorHAnsi" w:cstheme="minorHAnsi"/>
          <w:sz w:val="24"/>
          <w:szCs w:val="24"/>
        </w:rPr>
        <w:t>.</w:t>
      </w:r>
    </w:p>
    <w:p w14:paraId="54B96D1B" w14:textId="77777777" w:rsidR="00365282" w:rsidRPr="002D094A" w:rsidRDefault="00365282" w:rsidP="002D094A"/>
    <w:p w14:paraId="6B532765" w14:textId="7334DEE1" w:rsidR="003B41D0" w:rsidRPr="002D74E4" w:rsidRDefault="003B41D0" w:rsidP="003B41D0">
      <w:pPr>
        <w:pStyle w:val="Heading2"/>
        <w:rPr>
          <w:bCs/>
        </w:rPr>
      </w:pPr>
      <w:bookmarkStart w:id="448" w:name="_Toc152763332"/>
      <w:bookmarkStart w:id="449" w:name="_Toc155771976"/>
      <w:bookmarkStart w:id="450" w:name="_Toc191900455"/>
      <w:r>
        <w:t>Regional Water Quality Initiatives: 2017 - 2022</w:t>
      </w:r>
      <w:bookmarkEnd w:id="448"/>
      <w:bookmarkEnd w:id="449"/>
      <w:bookmarkEnd w:id="450"/>
    </w:p>
    <w:p w14:paraId="701B3A1C" w14:textId="77777777" w:rsidR="003B41D0" w:rsidRPr="002D74E4" w:rsidRDefault="003B41D0" w:rsidP="003B41D0">
      <w:pPr>
        <w:rPr>
          <w:b/>
          <w:bCs/>
          <w:caps/>
        </w:rPr>
      </w:pPr>
    </w:p>
    <w:p w14:paraId="1C19098D" w14:textId="77777777" w:rsidR="00677045" w:rsidRDefault="003B41D0" w:rsidP="00677045">
      <w:pPr>
        <w:keepNext/>
      </w:pPr>
      <w:r>
        <w:rPr>
          <w:bCs/>
          <w:i/>
          <w:noProof/>
        </w:rPr>
        <w:drawing>
          <wp:inline distT="0" distB="0" distL="0" distR="0" wp14:anchorId="26C3C5CE" wp14:editId="073DC482">
            <wp:extent cx="5788152" cy="2596896"/>
            <wp:effectExtent l="0" t="0" r="3175" b="0"/>
            <wp:docPr id="1805048400" name="Picture 1805048400" descr="Map of DEQ Regional Office Boundarie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5048400" name="Picture 1805048400" descr="Map of DEQ Regional Office Boundaries&#10;"/>
                    <pic:cNvPicPr/>
                  </pic:nvPicPr>
                  <pic:blipFill rotWithShape="1">
                    <a:blip r:embed="rId247" cstate="screen">
                      <a:extLst>
                        <a:ext uri="{28A0092B-C50C-407E-A947-70E740481C1C}">
                          <a14:useLocalDpi xmlns:a14="http://schemas.microsoft.com/office/drawing/2010/main"/>
                        </a:ext>
                      </a:extLst>
                    </a:blip>
                    <a:srcRect/>
                    <a:stretch/>
                  </pic:blipFill>
                  <pic:spPr bwMode="auto">
                    <a:xfrm>
                      <a:off x="0" y="0"/>
                      <a:ext cx="5788152" cy="2596896"/>
                    </a:xfrm>
                    <a:prstGeom prst="rect">
                      <a:avLst/>
                    </a:prstGeom>
                    <a:ln>
                      <a:noFill/>
                    </a:ln>
                    <a:extLst>
                      <a:ext uri="{53640926-AAD7-44D8-BBD7-CCE9431645EC}">
                        <a14:shadowObscured xmlns:a14="http://schemas.microsoft.com/office/drawing/2010/main"/>
                      </a:ext>
                    </a:extLst>
                  </pic:spPr>
                </pic:pic>
              </a:graphicData>
            </a:graphic>
          </wp:inline>
        </w:drawing>
      </w:r>
    </w:p>
    <w:p w14:paraId="52E63D4E" w14:textId="19763167" w:rsidR="003B41D0" w:rsidRPr="00677045" w:rsidRDefault="00677045" w:rsidP="00677045">
      <w:pPr>
        <w:pStyle w:val="Caption"/>
        <w:rPr>
          <w:bCs/>
          <w:i/>
        </w:rPr>
      </w:pPr>
      <w:bookmarkStart w:id="451" w:name="_Toc164175147"/>
      <w:r>
        <w:t xml:space="preserve">Figure </w:t>
      </w:r>
      <w:r w:rsidR="004F13BA">
        <w:fldChar w:fldCharType="begin"/>
      </w:r>
      <w:r w:rsidR="004F13BA">
        <w:instrText xml:space="preserve"> STYLEREF 2 \s </w:instrText>
      </w:r>
      <w:r w:rsidR="004F13BA">
        <w:fldChar w:fldCharType="separate"/>
      </w:r>
      <w:r w:rsidR="00E429BB">
        <w:rPr>
          <w:noProof/>
        </w:rPr>
        <w:t>6.10</w:t>
      </w:r>
      <w:r w:rsidR="004F13BA">
        <w:rPr>
          <w:noProof/>
        </w:rPr>
        <w:fldChar w:fldCharType="end"/>
      </w:r>
      <w:r w:rsidR="00E429BB">
        <w:noBreakHyphen/>
      </w:r>
      <w:r w:rsidR="004F13BA">
        <w:fldChar w:fldCharType="begin"/>
      </w:r>
      <w:r w:rsidR="004F13BA">
        <w:instrText xml:space="preserve"> SEQ Figure \* ARABIC \s 2 </w:instrText>
      </w:r>
      <w:r w:rsidR="004F13BA">
        <w:fldChar w:fldCharType="separate"/>
      </w:r>
      <w:r w:rsidR="00E429BB">
        <w:rPr>
          <w:noProof/>
        </w:rPr>
        <w:t>1</w:t>
      </w:r>
      <w:r w:rsidR="004F13BA">
        <w:rPr>
          <w:noProof/>
        </w:rPr>
        <w:fldChar w:fldCharType="end"/>
      </w:r>
      <w:r>
        <w:t xml:space="preserve"> </w:t>
      </w:r>
      <w:r>
        <w:rPr>
          <w:bCs/>
        </w:rPr>
        <w:t>Map of DEQ Regional Office Boundaries</w:t>
      </w:r>
      <w:bookmarkEnd w:id="451"/>
    </w:p>
    <w:p w14:paraId="65CAAA55" w14:textId="524611B7" w:rsidR="003B41D0" w:rsidRPr="00780A5E" w:rsidRDefault="003B41D0" w:rsidP="003B41D0">
      <w:pPr>
        <w:rPr>
          <w:iCs/>
        </w:rPr>
      </w:pPr>
      <w:r w:rsidRPr="00780A5E">
        <w:rPr>
          <w:bCs/>
          <w:iCs/>
        </w:rPr>
        <w:t>For more information about DEQ’s regional offices, please visi</w:t>
      </w:r>
      <w:r w:rsidR="00445A69">
        <w:rPr>
          <w:bCs/>
          <w:iCs/>
        </w:rPr>
        <w:t>t the DEQ About Us webpage</w:t>
      </w:r>
      <w:r w:rsidR="00784DD0">
        <w:rPr>
          <w:bCs/>
          <w:iCs/>
        </w:rPr>
        <w:t>.</w:t>
      </w:r>
    </w:p>
    <w:p w14:paraId="2361A51C" w14:textId="77777777" w:rsidR="003B41D0" w:rsidRPr="002D74E4" w:rsidRDefault="003B41D0" w:rsidP="003B41D0">
      <w:pPr>
        <w:rPr>
          <w:b/>
          <w:highlight w:val="yellow"/>
        </w:rPr>
      </w:pPr>
    </w:p>
    <w:p w14:paraId="7407EB8D" w14:textId="2839E5DC" w:rsidR="003B41D0" w:rsidRPr="003B41D0" w:rsidRDefault="003B41D0" w:rsidP="003B41D0">
      <w:pPr>
        <w:pStyle w:val="Heading3"/>
      </w:pPr>
      <w:r w:rsidRPr="003B41D0">
        <w:t xml:space="preserve">Blue Ridge Regional Office (BRRO) </w:t>
      </w:r>
    </w:p>
    <w:p w14:paraId="4C0C0AC8" w14:textId="396ED39D" w:rsidR="003B41D0" w:rsidRPr="003B41D0" w:rsidRDefault="003B41D0" w:rsidP="003B41D0">
      <w:pPr>
        <w:pStyle w:val="Heading4"/>
      </w:pPr>
      <w:r w:rsidRPr="00344407">
        <w:t>Biological Monitoring Special Projects</w:t>
      </w:r>
    </w:p>
    <w:p w14:paraId="0BF26A98" w14:textId="27B55497" w:rsidR="00FB0B6D" w:rsidRPr="00344407" w:rsidRDefault="00FB0B6D" w:rsidP="00FB0B6D">
      <w:pPr>
        <w:tabs>
          <w:tab w:val="left" w:pos="1080"/>
        </w:tabs>
        <w:autoSpaceDE w:val="0"/>
        <w:autoSpaceDN w:val="0"/>
        <w:adjustRightInd w:val="0"/>
      </w:pPr>
      <w:r w:rsidRPr="4AB7A2AD">
        <w:rPr>
          <w:u w:val="single"/>
        </w:rPr>
        <w:t>MVP Pre-Construction Baseline Monitoring</w:t>
      </w:r>
      <w:r>
        <w:t xml:space="preserve"> – BRRO staff collaborated with CO and VRO staff to create a Monitoring Plan for high-priority stream crossings along the proposed Mountain Valley (MVP within BRRO’s regional boundaries) pipeline. Water quality monitoring was conducted in the fall of 2017 before construction activities began and then will be conducted again after construction activities are completed. BRRO-led monitoring efforts on the MVP crossings included macroinvertebrate collection and identification and quantitative habitat assessment in 2017. In addition, Virginia Commonwealth University (VCU) monitored fish assemblages and US Geological Survey (USGS) established continuous monitoring stations which will collect turbidity, temperature, specific conductance, dissolved oxygen, and pH parameters over the period of construction activity. Follow-up monitoring will occur the fall after final MVP pipeline completion.</w:t>
      </w:r>
    </w:p>
    <w:p w14:paraId="6DF00B61" w14:textId="77777777" w:rsidR="00FB0B6D" w:rsidRDefault="00FB0B6D" w:rsidP="00FB0B6D">
      <w:pPr>
        <w:tabs>
          <w:tab w:val="left" w:pos="1080"/>
        </w:tabs>
      </w:pPr>
    </w:p>
    <w:p w14:paraId="2CF170FD" w14:textId="77777777" w:rsidR="00FB0B6D" w:rsidRDefault="00FB0B6D" w:rsidP="00FB0B6D">
      <w:pPr>
        <w:pStyle w:val="Heading4"/>
      </w:pPr>
      <w:r w:rsidRPr="4AB7A2AD">
        <w:lastRenderedPageBreak/>
        <w:t>Reedy Creek Selenium</w:t>
      </w:r>
    </w:p>
    <w:p w14:paraId="4588715A" w14:textId="79FE3622" w:rsidR="00FB0B6D" w:rsidRPr="00344407" w:rsidRDefault="00FB0B6D" w:rsidP="00FB0B6D">
      <w:pPr>
        <w:tabs>
          <w:tab w:val="left" w:pos="1080"/>
        </w:tabs>
        <w:spacing w:line="259" w:lineRule="auto"/>
      </w:pPr>
      <w:r>
        <w:t xml:space="preserve">Data collected on Reedy Creek at station 4ARAC000.92 during a 2017 Probabilistic Monitoring sampling event resulted in one excursion of the 5 ug/L Freshwater Chronic Selenium Criterion (9VAC25-260-140) at 7.8 ug/L. This excursion was recorded as an “Observed Effect” during the 2022 assessment cycle. Follow up monitoring was conducted in 2022 and found no excursion of the Freshwater Chronic Selenium Criterion at 0.26 ug/L. Reedy Creek is currently on the 303(d) Impaired Waters list for not meeting the </w:t>
      </w:r>
      <w:r w:rsidR="00255045">
        <w:t>a</w:t>
      </w:r>
      <w:r>
        <w:t xml:space="preserve">quatic </w:t>
      </w:r>
      <w:r w:rsidR="00255045">
        <w:t>l</w:t>
      </w:r>
      <w:r>
        <w:t xml:space="preserve">ife </w:t>
      </w:r>
      <w:r w:rsidR="00255045">
        <w:t>u</w:t>
      </w:r>
      <w:r>
        <w:t>se due to benthic macroinvertebrate community collections.</w:t>
      </w:r>
    </w:p>
    <w:p w14:paraId="616B57EE" w14:textId="77777777" w:rsidR="003B41D0" w:rsidRPr="00344407" w:rsidRDefault="003B41D0" w:rsidP="003B41D0">
      <w:pPr>
        <w:tabs>
          <w:tab w:val="left" w:pos="1080"/>
        </w:tabs>
        <w:autoSpaceDE w:val="0"/>
        <w:autoSpaceDN w:val="0"/>
        <w:adjustRightInd w:val="0"/>
        <w:rPr>
          <w:bCs/>
        </w:rPr>
      </w:pPr>
    </w:p>
    <w:p w14:paraId="58C6711F" w14:textId="05BF6084" w:rsidR="003B41D0" w:rsidRPr="003B41D0" w:rsidRDefault="003B41D0" w:rsidP="003B41D0">
      <w:pPr>
        <w:pStyle w:val="Heading4"/>
      </w:pPr>
      <w:r w:rsidRPr="00344407">
        <w:t>TMDL and Implementation Planning Activities</w:t>
      </w:r>
    </w:p>
    <w:p w14:paraId="761C237E" w14:textId="286F9CC8" w:rsidR="00346E2B" w:rsidRPr="00344407" w:rsidRDefault="00346E2B" w:rsidP="00346E2B">
      <w:pPr>
        <w:tabs>
          <w:tab w:val="left" w:pos="1080"/>
        </w:tabs>
        <w:autoSpaceDE w:val="0"/>
        <w:autoSpaceDN w:val="0"/>
        <w:adjustRightInd w:val="0"/>
      </w:pPr>
      <w:r>
        <w:t xml:space="preserve">Special studies related to TMDLs included water column PCB sampling in the New River and James River watersheds, diurnal dissolved oxygen studies in the </w:t>
      </w:r>
      <w:proofErr w:type="spellStart"/>
      <w:r>
        <w:t>Horsepen</w:t>
      </w:r>
      <w:proofErr w:type="spellEnd"/>
      <w:r>
        <w:t xml:space="preserve"> Creek, Jackson River, Little Roanoke Creek, Smith River, and an unnamed tributary to Spencer Creek (Smith River included temperature data), and algae sampling in the Roanoke River.</w:t>
      </w:r>
    </w:p>
    <w:p w14:paraId="308A90E2" w14:textId="77777777" w:rsidR="00346E2B" w:rsidRPr="00344407" w:rsidRDefault="00346E2B" w:rsidP="00346E2B">
      <w:pPr>
        <w:tabs>
          <w:tab w:val="left" w:pos="1080"/>
        </w:tabs>
        <w:autoSpaceDE w:val="0"/>
        <w:autoSpaceDN w:val="0"/>
        <w:adjustRightInd w:val="0"/>
        <w:rPr>
          <w:bCs/>
        </w:rPr>
      </w:pPr>
    </w:p>
    <w:p w14:paraId="4EE50E89" w14:textId="77777777" w:rsidR="00346E2B" w:rsidRDefault="00346E2B" w:rsidP="00346E2B">
      <w:pPr>
        <w:tabs>
          <w:tab w:val="left" w:pos="1080"/>
        </w:tabs>
        <w:autoSpaceDE w:val="0"/>
        <w:autoSpaceDN w:val="0"/>
        <w:adjustRightInd w:val="0"/>
        <w:rPr>
          <w:bCs/>
        </w:rPr>
      </w:pPr>
      <w:r w:rsidRPr="00344407">
        <w:rPr>
          <w:bCs/>
        </w:rPr>
        <w:t>Additional TMDL and Implementation P</w:t>
      </w:r>
      <w:r>
        <w:rPr>
          <w:bCs/>
        </w:rPr>
        <w:t>lans developed recently include:</w:t>
      </w:r>
    </w:p>
    <w:p w14:paraId="446B6ED8" w14:textId="77777777" w:rsidR="00346E2B" w:rsidRPr="00344407" w:rsidRDefault="00346E2B" w:rsidP="00346E2B">
      <w:pPr>
        <w:tabs>
          <w:tab w:val="left" w:pos="1080"/>
        </w:tabs>
        <w:autoSpaceDE w:val="0"/>
        <w:autoSpaceDN w:val="0"/>
        <w:adjustRightInd w:val="0"/>
      </w:pPr>
    </w:p>
    <w:p w14:paraId="68881C79" w14:textId="77777777" w:rsidR="00346E2B" w:rsidRDefault="00346E2B" w:rsidP="00346E2B">
      <w:pPr>
        <w:tabs>
          <w:tab w:val="left" w:pos="1080"/>
        </w:tabs>
      </w:pPr>
      <w:r w:rsidRPr="4AB7A2AD">
        <w:rPr>
          <w:u w:val="single"/>
        </w:rPr>
        <w:t xml:space="preserve">Beaverdam Creek, </w:t>
      </w:r>
      <w:proofErr w:type="spellStart"/>
      <w:r w:rsidRPr="4AB7A2AD">
        <w:rPr>
          <w:u w:val="single"/>
        </w:rPr>
        <w:t>Fryingpan</w:t>
      </w:r>
      <w:proofErr w:type="spellEnd"/>
      <w:r w:rsidRPr="4AB7A2AD">
        <w:rPr>
          <w:u w:val="single"/>
        </w:rPr>
        <w:t xml:space="preserve"> Creek, Pigg River, and Poplar Branch</w:t>
      </w:r>
    </w:p>
    <w:p w14:paraId="48B93D27" w14:textId="77777777" w:rsidR="00346E2B" w:rsidRDefault="00346E2B" w:rsidP="00346E2B">
      <w:pPr>
        <w:tabs>
          <w:tab w:val="left" w:pos="1080"/>
        </w:tabs>
      </w:pPr>
      <w:r>
        <w:t xml:space="preserve">Beaverdam Creek, </w:t>
      </w:r>
      <w:proofErr w:type="spellStart"/>
      <w:r>
        <w:t>Fryingpan</w:t>
      </w:r>
      <w:proofErr w:type="spellEnd"/>
      <w:r>
        <w:t xml:space="preserve"> Creek, Pigg River, and Poplar Branch Watersheds</w:t>
      </w:r>
    </w:p>
    <w:p w14:paraId="056BC9ED" w14:textId="1DA7DCDB" w:rsidR="00346E2B" w:rsidRDefault="00346E2B" w:rsidP="00346E2B">
      <w:pPr>
        <w:tabs>
          <w:tab w:val="left" w:pos="1080"/>
        </w:tabs>
      </w:pPr>
      <w:r>
        <w:t>The TMDL was provisionally approved by the EPA on July 20, 2023. The project addresses benthic impairments in the named watersheds. A public meeting was held in April 2023 to discuss the TMDL process and causes that lead to the benthic impairment.</w:t>
      </w:r>
      <w:r w:rsidR="003560D8">
        <w:br/>
      </w:r>
    </w:p>
    <w:p w14:paraId="132E4AE3" w14:textId="5CDE63D2" w:rsidR="00346E2B" w:rsidRPr="00344407" w:rsidRDefault="00346E2B" w:rsidP="00346E2B">
      <w:pPr>
        <w:tabs>
          <w:tab w:val="left" w:pos="1080"/>
        </w:tabs>
        <w:autoSpaceDE w:val="0"/>
        <w:autoSpaceDN w:val="0"/>
        <w:adjustRightInd w:val="0"/>
        <w:rPr>
          <w:bCs/>
          <w:u w:val="single"/>
        </w:rPr>
      </w:pPr>
      <w:r w:rsidRPr="00344407">
        <w:rPr>
          <w:bCs/>
          <w:u w:val="single"/>
        </w:rPr>
        <w:t>Kits Creek</w:t>
      </w:r>
    </w:p>
    <w:p w14:paraId="71FBAC5F" w14:textId="475949E3" w:rsidR="00346E2B" w:rsidRPr="00344407" w:rsidRDefault="00346E2B" w:rsidP="00346E2B">
      <w:pPr>
        <w:tabs>
          <w:tab w:val="left" w:pos="1080"/>
        </w:tabs>
        <w:autoSpaceDE w:val="0"/>
        <w:autoSpaceDN w:val="0"/>
        <w:adjustRightInd w:val="0"/>
        <w:rPr>
          <w:bCs/>
        </w:rPr>
      </w:pPr>
      <w:r w:rsidRPr="00344407">
        <w:rPr>
          <w:bCs/>
        </w:rPr>
        <w:t>The TMDL was completed and approved by EPA on 08/11/2</w:t>
      </w:r>
      <w:r>
        <w:rPr>
          <w:bCs/>
        </w:rPr>
        <w:t>017 and the SWCB on 07/19/2017.</w:t>
      </w:r>
      <w:r w:rsidRPr="00344407">
        <w:rPr>
          <w:bCs/>
        </w:rPr>
        <w:t xml:space="preserve"> The project addressed benthic impairment in Kits Creek. A public meeting was held to discuss the TMDL process and the sources of sediment and phosphorus unique to Kits Creek watershed.</w:t>
      </w:r>
    </w:p>
    <w:p w14:paraId="5F10A468" w14:textId="77777777" w:rsidR="00346E2B" w:rsidRPr="00344407" w:rsidRDefault="00346E2B" w:rsidP="00346E2B">
      <w:pPr>
        <w:tabs>
          <w:tab w:val="left" w:pos="1080"/>
        </w:tabs>
        <w:autoSpaceDE w:val="0"/>
        <w:autoSpaceDN w:val="0"/>
        <w:adjustRightInd w:val="0"/>
        <w:rPr>
          <w:bCs/>
        </w:rPr>
      </w:pPr>
    </w:p>
    <w:p w14:paraId="1C801934" w14:textId="5AA84DD9" w:rsidR="00346E2B" w:rsidRPr="00344407" w:rsidRDefault="00346E2B" w:rsidP="00346E2B">
      <w:pPr>
        <w:tabs>
          <w:tab w:val="left" w:pos="1080"/>
        </w:tabs>
        <w:autoSpaceDE w:val="0"/>
        <w:autoSpaceDN w:val="0"/>
        <w:adjustRightInd w:val="0"/>
        <w:rPr>
          <w:bCs/>
          <w:u w:val="single"/>
        </w:rPr>
      </w:pPr>
      <w:r w:rsidRPr="00344407">
        <w:rPr>
          <w:bCs/>
          <w:u w:val="single"/>
        </w:rPr>
        <w:t>Kerr Reservoir Tributaries</w:t>
      </w:r>
    </w:p>
    <w:p w14:paraId="7953972F" w14:textId="36932E05" w:rsidR="00346E2B" w:rsidRPr="00344407" w:rsidRDefault="00346E2B" w:rsidP="00346E2B">
      <w:pPr>
        <w:tabs>
          <w:tab w:val="left" w:pos="1080"/>
        </w:tabs>
        <w:autoSpaceDE w:val="0"/>
        <w:autoSpaceDN w:val="0"/>
        <w:adjustRightInd w:val="0"/>
        <w:rPr>
          <w:bCs/>
        </w:rPr>
      </w:pPr>
      <w:r w:rsidRPr="00344407">
        <w:rPr>
          <w:bCs/>
        </w:rPr>
        <w:t>The TMDL was completed and approved by EPA on 01/26</w:t>
      </w:r>
      <w:r>
        <w:rPr>
          <w:bCs/>
        </w:rPr>
        <w:t>/2018 and the SWCB on 12/07/017</w:t>
      </w:r>
      <w:r w:rsidRPr="00344407">
        <w:rPr>
          <w:bCs/>
        </w:rPr>
        <w:t>. The project addresses bacteria impairments in several tributaries to Kerr Reservoir including, Little Bluestone Creek, Bluestone Creek, Allen Creek, unnamed tributary, Allen Creek, Cotton Creek, Kettles Creek, Smith Creek, and Lizard Creek. A public meeting was held to discuss the TMDL process and the sources of bacteria unique to the Kerr reservoir Tributaries.</w:t>
      </w:r>
    </w:p>
    <w:p w14:paraId="16DBE83A" w14:textId="77777777" w:rsidR="00346E2B" w:rsidRPr="00344407" w:rsidRDefault="00346E2B" w:rsidP="00346E2B">
      <w:pPr>
        <w:tabs>
          <w:tab w:val="left" w:pos="1080"/>
        </w:tabs>
        <w:autoSpaceDE w:val="0"/>
        <w:autoSpaceDN w:val="0"/>
        <w:adjustRightInd w:val="0"/>
        <w:rPr>
          <w:bCs/>
        </w:rPr>
      </w:pPr>
    </w:p>
    <w:p w14:paraId="0D68C02E" w14:textId="19E663E6" w:rsidR="00346E2B" w:rsidRPr="00344407" w:rsidRDefault="00346E2B" w:rsidP="00346E2B">
      <w:pPr>
        <w:tabs>
          <w:tab w:val="left" w:pos="1080"/>
        </w:tabs>
        <w:autoSpaceDE w:val="0"/>
        <w:autoSpaceDN w:val="0"/>
        <w:adjustRightInd w:val="0"/>
        <w:rPr>
          <w:bCs/>
          <w:u w:val="single"/>
        </w:rPr>
      </w:pPr>
      <w:r w:rsidRPr="00344407">
        <w:rPr>
          <w:bCs/>
          <w:u w:val="single"/>
        </w:rPr>
        <w:t>James River Basin</w:t>
      </w:r>
    </w:p>
    <w:p w14:paraId="06A166A7" w14:textId="47745BA9" w:rsidR="00346E2B" w:rsidRPr="00344407" w:rsidRDefault="00346E2B" w:rsidP="00346E2B">
      <w:pPr>
        <w:tabs>
          <w:tab w:val="left" w:pos="1080"/>
        </w:tabs>
        <w:autoSpaceDE w:val="0"/>
        <w:autoSpaceDN w:val="0"/>
        <w:adjustRightInd w:val="0"/>
        <w:rPr>
          <w:bCs/>
        </w:rPr>
      </w:pPr>
      <w:r w:rsidRPr="00344407">
        <w:rPr>
          <w:bCs/>
        </w:rPr>
        <w:t xml:space="preserve">The TMDL re-development study was completed and approved by the EPA on 09/27/2017 and the SWCB on 07/19/2017. The project addresses bacteria impairments in the James River as well as several tributaries including, Ivy Creek, Tomahawk Creek, Burton Creek, UT Burton Creek, Judith Creek, Fishing Creek, Blackwater Creek, beaver Creek, Harris Creek, Dreaming Creek, Opossum Creek, Williams Run, Graham Creek, and </w:t>
      </w:r>
      <w:proofErr w:type="spellStart"/>
      <w:r w:rsidRPr="00344407">
        <w:rPr>
          <w:bCs/>
        </w:rPr>
        <w:t>Pedlar</w:t>
      </w:r>
      <w:proofErr w:type="spellEnd"/>
      <w:r w:rsidRPr="00344407">
        <w:rPr>
          <w:bCs/>
        </w:rPr>
        <w:t xml:space="preserve"> River. A public meeting was </w:t>
      </w:r>
      <w:r w:rsidRPr="00344407">
        <w:rPr>
          <w:bCs/>
        </w:rPr>
        <w:lastRenderedPageBreak/>
        <w:t>held to discuss the TMDL process and the sources of bacteria unique to the James River basin.</w:t>
      </w:r>
    </w:p>
    <w:p w14:paraId="78EBC225" w14:textId="77777777" w:rsidR="00346E2B" w:rsidRPr="00344407" w:rsidRDefault="00346E2B" w:rsidP="00346E2B">
      <w:pPr>
        <w:tabs>
          <w:tab w:val="left" w:pos="1080"/>
        </w:tabs>
        <w:autoSpaceDE w:val="0"/>
        <w:autoSpaceDN w:val="0"/>
        <w:adjustRightInd w:val="0"/>
        <w:rPr>
          <w:bCs/>
        </w:rPr>
      </w:pPr>
    </w:p>
    <w:p w14:paraId="07840F77" w14:textId="55ED4633" w:rsidR="00346E2B" w:rsidRPr="00344407" w:rsidRDefault="00346E2B" w:rsidP="00346E2B">
      <w:pPr>
        <w:tabs>
          <w:tab w:val="left" w:pos="1080"/>
        </w:tabs>
        <w:autoSpaceDE w:val="0"/>
        <w:autoSpaceDN w:val="0"/>
        <w:adjustRightInd w:val="0"/>
        <w:rPr>
          <w:bCs/>
          <w:u w:val="single"/>
        </w:rPr>
      </w:pPr>
      <w:r w:rsidRPr="00344407">
        <w:rPr>
          <w:bCs/>
          <w:u w:val="single"/>
        </w:rPr>
        <w:t>James River Tributaries</w:t>
      </w:r>
    </w:p>
    <w:p w14:paraId="7051EBD2" w14:textId="0AAAEA46" w:rsidR="00346E2B" w:rsidRDefault="00346E2B" w:rsidP="00346E2B">
      <w:pPr>
        <w:tabs>
          <w:tab w:val="left" w:pos="1080"/>
        </w:tabs>
        <w:autoSpaceDE w:val="0"/>
        <w:autoSpaceDN w:val="0"/>
        <w:adjustRightInd w:val="0"/>
        <w:rPr>
          <w:bCs/>
        </w:rPr>
      </w:pPr>
      <w:r w:rsidRPr="00344407">
        <w:rPr>
          <w:bCs/>
        </w:rPr>
        <w:t xml:space="preserve">A TMDL study was developed for several impairments on the upper James River tributaries mainly located in Botetourt County. The final public meeting was held in September 2018 and was preliminarily approved by EPA in December of 2018. This project addressed bacteria impairments on Craig Creek, Catawba Creek, Little Patterson Creek, Barbours Creek, Sinking Creek, </w:t>
      </w:r>
      <w:proofErr w:type="spellStart"/>
      <w:r w:rsidRPr="00344407">
        <w:rPr>
          <w:bCs/>
        </w:rPr>
        <w:t>Lapsely</w:t>
      </w:r>
      <w:proofErr w:type="spellEnd"/>
      <w:r w:rsidRPr="00344407">
        <w:rPr>
          <w:bCs/>
        </w:rPr>
        <w:t xml:space="preserve"> Run and a portion of the James River. A benthic impairment on Catawba Creek was also included in this project. Six meetings were held throughout the TMDL development process including a tour led by Roanoke Cement Company of restoration activities and best management practices implemented on a farm bordering Catawba Creek.</w:t>
      </w:r>
    </w:p>
    <w:p w14:paraId="11D0BBD9" w14:textId="77777777" w:rsidR="00346E2B" w:rsidRPr="00344407" w:rsidRDefault="00346E2B" w:rsidP="00346E2B">
      <w:pPr>
        <w:tabs>
          <w:tab w:val="left" w:pos="1080"/>
        </w:tabs>
        <w:autoSpaceDE w:val="0"/>
        <w:autoSpaceDN w:val="0"/>
        <w:adjustRightInd w:val="0"/>
        <w:rPr>
          <w:bCs/>
        </w:rPr>
      </w:pPr>
    </w:p>
    <w:p w14:paraId="0FC31E52" w14:textId="77777777" w:rsidR="00346E2B" w:rsidRPr="00344407" w:rsidRDefault="00346E2B" w:rsidP="00346E2B">
      <w:pPr>
        <w:tabs>
          <w:tab w:val="left" w:pos="1080"/>
        </w:tabs>
        <w:autoSpaceDE w:val="0"/>
        <w:autoSpaceDN w:val="0"/>
        <w:adjustRightInd w:val="0"/>
        <w:rPr>
          <w:bCs/>
          <w:u w:val="single"/>
        </w:rPr>
      </w:pPr>
      <w:r w:rsidRPr="00344407">
        <w:rPr>
          <w:bCs/>
          <w:u w:val="single"/>
        </w:rPr>
        <w:t>James River PCB TMDL</w:t>
      </w:r>
    </w:p>
    <w:p w14:paraId="4B6EE2E4" w14:textId="77777777" w:rsidR="00346E2B" w:rsidRPr="00344407" w:rsidRDefault="00346E2B" w:rsidP="00346E2B">
      <w:pPr>
        <w:tabs>
          <w:tab w:val="left" w:pos="1080"/>
        </w:tabs>
        <w:autoSpaceDE w:val="0"/>
        <w:autoSpaceDN w:val="0"/>
        <w:adjustRightInd w:val="0"/>
      </w:pPr>
      <w:r>
        <w:t>Sampling for the Upper James and Jackson River PCB TMDL occurred in 2017 and 2018. This project is a multi-regional TMDL and included waters in VRO and PRO. The TMDL contract began in 2020 with the first public meeting scheduled for the beginning of 2021. The report is in its final stages now, as EPA has provided comments that are in the process of being addressed by DEQ staff. The final public meeting will be held in early 2024.</w:t>
      </w:r>
    </w:p>
    <w:p w14:paraId="78031A05" w14:textId="77777777" w:rsidR="00346E2B" w:rsidRDefault="00346E2B" w:rsidP="00346E2B">
      <w:pPr>
        <w:tabs>
          <w:tab w:val="left" w:pos="1080"/>
        </w:tabs>
      </w:pPr>
    </w:p>
    <w:p w14:paraId="61733AEA" w14:textId="77777777" w:rsidR="00346E2B" w:rsidRPr="00344407" w:rsidRDefault="00346E2B" w:rsidP="00346E2B">
      <w:pPr>
        <w:tabs>
          <w:tab w:val="left" w:pos="1080"/>
        </w:tabs>
        <w:autoSpaceDE w:val="0"/>
        <w:autoSpaceDN w:val="0"/>
        <w:adjustRightInd w:val="0"/>
        <w:rPr>
          <w:bCs/>
          <w:u w:val="single"/>
        </w:rPr>
      </w:pPr>
      <w:r w:rsidRPr="00344407">
        <w:rPr>
          <w:bCs/>
          <w:u w:val="single"/>
        </w:rPr>
        <w:t xml:space="preserve">New River PCB TMDL </w:t>
      </w:r>
    </w:p>
    <w:p w14:paraId="1CA8005F" w14:textId="77777777" w:rsidR="00346E2B" w:rsidRPr="00344407" w:rsidRDefault="00346E2B" w:rsidP="00346E2B">
      <w:pPr>
        <w:tabs>
          <w:tab w:val="left" w:pos="1080"/>
        </w:tabs>
        <w:autoSpaceDE w:val="0"/>
        <w:autoSpaceDN w:val="0"/>
        <w:adjustRightInd w:val="0"/>
        <w:rPr>
          <w:bCs/>
        </w:rPr>
      </w:pPr>
      <w:r w:rsidRPr="00344407">
        <w:rPr>
          <w:bCs/>
        </w:rPr>
        <w:t>The New River PCB TMDL development began in 2014 and the final meeting was conducted in 2018. A series of public and TAC meetings were held to discuss modeling approaches a</w:t>
      </w:r>
      <w:r>
        <w:rPr>
          <w:bCs/>
        </w:rPr>
        <w:t xml:space="preserve">nd implementation strategies. </w:t>
      </w:r>
      <w:r w:rsidRPr="00344407">
        <w:rPr>
          <w:bCs/>
        </w:rPr>
        <w:t>The TMDL was approved on March 12, 2019.</w:t>
      </w:r>
    </w:p>
    <w:p w14:paraId="7422FC6C" w14:textId="77777777" w:rsidR="00346E2B" w:rsidRPr="00344407" w:rsidRDefault="00346E2B" w:rsidP="00346E2B">
      <w:pPr>
        <w:tabs>
          <w:tab w:val="left" w:pos="1080"/>
        </w:tabs>
        <w:autoSpaceDE w:val="0"/>
        <w:autoSpaceDN w:val="0"/>
        <w:adjustRightInd w:val="0"/>
        <w:rPr>
          <w:bCs/>
        </w:rPr>
      </w:pPr>
    </w:p>
    <w:p w14:paraId="7D3AB91C" w14:textId="77777777" w:rsidR="00346E2B" w:rsidRPr="00344407" w:rsidRDefault="00346E2B" w:rsidP="00346E2B">
      <w:pPr>
        <w:tabs>
          <w:tab w:val="left" w:pos="1080"/>
        </w:tabs>
        <w:autoSpaceDE w:val="0"/>
        <w:autoSpaceDN w:val="0"/>
        <w:adjustRightInd w:val="0"/>
        <w:rPr>
          <w:bCs/>
          <w:u w:val="single"/>
        </w:rPr>
      </w:pPr>
      <w:r w:rsidRPr="00344407">
        <w:rPr>
          <w:bCs/>
          <w:u w:val="single"/>
        </w:rPr>
        <w:t>Lynch and Reed Creek TMDL</w:t>
      </w:r>
    </w:p>
    <w:p w14:paraId="50DC6D5E" w14:textId="59EA2771" w:rsidR="00346E2B" w:rsidRDefault="00346E2B" w:rsidP="00346E2B">
      <w:pPr>
        <w:tabs>
          <w:tab w:val="left" w:pos="1080"/>
        </w:tabs>
        <w:autoSpaceDE w:val="0"/>
        <w:autoSpaceDN w:val="0"/>
        <w:adjustRightInd w:val="0"/>
      </w:pPr>
      <w:r>
        <w:t>The Lynch and Reed Creek TMDL addresses benthic impairments and Lynch and Reed Creek in Campbell and Pittsylvania Counties. The project began in 2020 and the first public and TAC meetings were held in October and November 2020, respectively. The project was finalized when it received Sate Water Control Board approval on December 3, 2021, and EPA final approval on February 3, 2022.</w:t>
      </w:r>
    </w:p>
    <w:p w14:paraId="335C9547" w14:textId="77777777" w:rsidR="00346E2B" w:rsidRPr="00344407" w:rsidRDefault="00346E2B" w:rsidP="00346E2B">
      <w:pPr>
        <w:tabs>
          <w:tab w:val="left" w:pos="1080"/>
        </w:tabs>
        <w:autoSpaceDE w:val="0"/>
        <w:autoSpaceDN w:val="0"/>
        <w:adjustRightInd w:val="0"/>
      </w:pPr>
    </w:p>
    <w:p w14:paraId="01D78E60" w14:textId="06F7F3BE" w:rsidR="00346E2B" w:rsidRPr="00344407" w:rsidRDefault="00346E2B" w:rsidP="00346E2B">
      <w:pPr>
        <w:autoSpaceDE w:val="0"/>
        <w:autoSpaceDN w:val="0"/>
        <w:adjustRightInd w:val="0"/>
        <w:rPr>
          <w:u w:val="single"/>
        </w:rPr>
      </w:pPr>
      <w:r>
        <w:t>D</w:t>
      </w:r>
      <w:r w:rsidRPr="43FBE95A">
        <w:rPr>
          <w:u w:val="single"/>
        </w:rPr>
        <w:t>an River Watershed Implementation Plan</w:t>
      </w:r>
    </w:p>
    <w:p w14:paraId="457DBA96" w14:textId="714E83C2" w:rsidR="00346E2B" w:rsidRPr="00344407" w:rsidRDefault="00346E2B" w:rsidP="00346E2B">
      <w:pPr>
        <w:tabs>
          <w:tab w:val="left" w:pos="1080"/>
        </w:tabs>
        <w:autoSpaceDE w:val="0"/>
        <w:autoSpaceDN w:val="0"/>
        <w:adjustRightInd w:val="0"/>
      </w:pPr>
      <w:r>
        <w:t xml:space="preserve">The project addresses bacteria impairments in the Dan River Watershed, including the Dan River, Birch Creek, </w:t>
      </w:r>
      <w:proofErr w:type="spellStart"/>
      <w:r>
        <w:t>Byrds</w:t>
      </w:r>
      <w:proofErr w:type="spellEnd"/>
      <w:r>
        <w:t xml:space="preserve"> Branch, Doubles Creek, Fall Creek, and Sandy Creek. The project start date was February 2017. The plan was approved on January 2, 2020</w:t>
      </w:r>
      <w:r w:rsidR="007C291C">
        <w:t>.</w:t>
      </w:r>
    </w:p>
    <w:p w14:paraId="036BF1CD" w14:textId="77777777" w:rsidR="00346E2B" w:rsidRDefault="00346E2B" w:rsidP="00346E2B">
      <w:pPr>
        <w:tabs>
          <w:tab w:val="left" w:pos="1080"/>
        </w:tabs>
        <w:autoSpaceDE w:val="0"/>
        <w:autoSpaceDN w:val="0"/>
        <w:adjustRightInd w:val="0"/>
      </w:pPr>
    </w:p>
    <w:p w14:paraId="5F27FFC4" w14:textId="77777777" w:rsidR="00346E2B" w:rsidRPr="00344407" w:rsidRDefault="00346E2B" w:rsidP="00346E2B">
      <w:pPr>
        <w:tabs>
          <w:tab w:val="left" w:pos="1080"/>
        </w:tabs>
        <w:autoSpaceDE w:val="0"/>
        <w:autoSpaceDN w:val="0"/>
        <w:adjustRightInd w:val="0"/>
        <w:rPr>
          <w:u w:val="single"/>
        </w:rPr>
      </w:pPr>
      <w:r w:rsidRPr="43FBE95A">
        <w:rPr>
          <w:u w:val="single"/>
        </w:rPr>
        <w:t>Buffalo River Implementation Plan</w:t>
      </w:r>
    </w:p>
    <w:p w14:paraId="1C8BE82F" w14:textId="77777777" w:rsidR="00346E2B" w:rsidRPr="00344407" w:rsidRDefault="00346E2B" w:rsidP="00346E2B">
      <w:pPr>
        <w:tabs>
          <w:tab w:val="left" w:pos="1080"/>
        </w:tabs>
        <w:autoSpaceDE w:val="0"/>
        <w:autoSpaceDN w:val="0"/>
        <w:adjustRightInd w:val="0"/>
      </w:pPr>
      <w:r>
        <w:t>This project addresses bacteria impairments on the Buffalo River and its tributaries. Several public meetings and working groups were held to assist in the development of the report. The report was completed in December 2020, but has not yet received EPA approval.</w:t>
      </w:r>
    </w:p>
    <w:p w14:paraId="669337FF" w14:textId="77777777" w:rsidR="003B41D0" w:rsidRDefault="003B41D0" w:rsidP="003B41D0">
      <w:pPr>
        <w:tabs>
          <w:tab w:val="left" w:pos="1080"/>
        </w:tabs>
        <w:autoSpaceDE w:val="0"/>
        <w:autoSpaceDN w:val="0"/>
        <w:adjustRightInd w:val="0"/>
        <w:rPr>
          <w:bCs/>
        </w:rPr>
      </w:pPr>
    </w:p>
    <w:p w14:paraId="6E78F307" w14:textId="77777777" w:rsidR="007C291C" w:rsidRPr="00344407" w:rsidRDefault="007C291C" w:rsidP="003B41D0">
      <w:pPr>
        <w:tabs>
          <w:tab w:val="left" w:pos="1080"/>
        </w:tabs>
        <w:autoSpaceDE w:val="0"/>
        <w:autoSpaceDN w:val="0"/>
        <w:adjustRightInd w:val="0"/>
        <w:rPr>
          <w:bCs/>
        </w:rPr>
      </w:pPr>
    </w:p>
    <w:p w14:paraId="55D23B3F" w14:textId="7FBCE82E" w:rsidR="003B41D0" w:rsidRPr="00F11D43" w:rsidRDefault="003B41D0" w:rsidP="00F11D43">
      <w:pPr>
        <w:pStyle w:val="Heading4"/>
      </w:pPr>
      <w:r w:rsidRPr="00344407">
        <w:lastRenderedPageBreak/>
        <w:t xml:space="preserve">Community Involvement </w:t>
      </w:r>
    </w:p>
    <w:p w14:paraId="77C17F23" w14:textId="3110534C" w:rsidR="00582B9D" w:rsidRPr="00344407" w:rsidRDefault="00582B9D" w:rsidP="00582B9D">
      <w:pPr>
        <w:tabs>
          <w:tab w:val="left" w:pos="1080"/>
        </w:tabs>
        <w:autoSpaceDE w:val="0"/>
        <w:autoSpaceDN w:val="0"/>
        <w:adjustRightInd w:val="0"/>
      </w:pPr>
      <w:r>
        <w:t>The BRRO water planning staff (monitoring, TMDL, and assessment staff) participated in numerous outreach events during 2017-2022. Staff taught area students and teachers about biological monitoring at events such as the Clean Valley Council’s Earth Summit, Fall Waterways Cleanup, Smith Mountain Lake State Park’s Junior Rangers program, Bedford Elementary “Camp Bees” day camp, Roanoke area Cub Scouts at “Bug Scouts” day camps, Lynchburg Boy Scouts summer camp, Mountain Castle SWCD Meaningful Watershed Experience Days and the town of Christiansburg’s Stormwater Days. The group had displays at Earth Day Celebration, 18</w:t>
      </w:r>
      <w:r w:rsidRPr="4AB7A2AD">
        <w:rPr>
          <w:vertAlign w:val="superscript"/>
        </w:rPr>
        <w:t>th</w:t>
      </w:r>
      <w:r>
        <w:t xml:space="preserve"> Annual Salem Fall Home Show, and Philpott Reservoir Environmental Expo. Staff also made presentations on water pollution, monitoring, and restoration at the following events: Friends of Claytor Lake meetings, Roanoke River Currents Conference, Smith River Trout Unlimited Chapter meeting, Southern Rivers Grant Project leaders gathering in Radford, two National Water Quality Monitoring Conferences (Denver, CO and virtually ), Jackson River Preservation Association meetings, Isaac Walton League (Covington-Alleghany Chapter) meetings, meetings with Roanoke City Stormwater staff, a Radford University Environmental Regulations class, and a William C. Byrd High School Environmental Science class. DEQ hosted a booth at the Christiansburg High School Environmental Expo with information about water quality monitoring, biomonitoring, and watershed stewardship.</w:t>
      </w:r>
    </w:p>
    <w:p w14:paraId="449DF531" w14:textId="77777777" w:rsidR="00582B9D" w:rsidRPr="00344407" w:rsidRDefault="00582B9D" w:rsidP="00582B9D">
      <w:pPr>
        <w:tabs>
          <w:tab w:val="left" w:pos="1080"/>
        </w:tabs>
        <w:autoSpaceDE w:val="0"/>
        <w:autoSpaceDN w:val="0"/>
        <w:adjustRightInd w:val="0"/>
      </w:pPr>
    </w:p>
    <w:p w14:paraId="7AD43D0D" w14:textId="77777777" w:rsidR="00582B9D" w:rsidRPr="00344407" w:rsidRDefault="00582B9D" w:rsidP="00582B9D">
      <w:pPr>
        <w:tabs>
          <w:tab w:val="left" w:pos="1080"/>
        </w:tabs>
        <w:autoSpaceDE w:val="0"/>
        <w:autoSpaceDN w:val="0"/>
        <w:adjustRightInd w:val="0"/>
        <w:rPr>
          <w:u w:val="single"/>
        </w:rPr>
      </w:pPr>
      <w:r w:rsidRPr="4AB7A2AD">
        <w:rPr>
          <w:u w:val="single"/>
        </w:rPr>
        <w:t xml:space="preserve">Boy Scout Camp, 2017, 2018, 2019, 2020 </w:t>
      </w:r>
    </w:p>
    <w:p w14:paraId="3B371D46" w14:textId="77777777" w:rsidR="00582B9D" w:rsidRPr="00344407" w:rsidRDefault="00582B9D" w:rsidP="00582B9D">
      <w:pPr>
        <w:tabs>
          <w:tab w:val="left" w:pos="1080"/>
        </w:tabs>
        <w:autoSpaceDE w:val="0"/>
        <w:autoSpaceDN w:val="0"/>
        <w:adjustRightInd w:val="0"/>
      </w:pPr>
      <w:r>
        <w:t>TMDL staff participated in a Boy Scout camp at the Leesville Methodist Church in Lynchburg in June over the past several years 2017-2020. The class presented outreach and educational information on benthic macroinvertebrates. Regional staff conducted several activities related to macroinvertebrates, including bug rocks, bug specimens, and bug presentation.</w:t>
      </w:r>
    </w:p>
    <w:p w14:paraId="4C6AE284" w14:textId="77777777" w:rsidR="00582B9D" w:rsidRDefault="00582B9D" w:rsidP="00582B9D">
      <w:pPr>
        <w:tabs>
          <w:tab w:val="left" w:pos="1080"/>
        </w:tabs>
      </w:pPr>
    </w:p>
    <w:p w14:paraId="3B80C4DC" w14:textId="320C9B2D" w:rsidR="00582B9D" w:rsidRPr="00344407" w:rsidRDefault="00582B9D" w:rsidP="00582B9D">
      <w:pPr>
        <w:tabs>
          <w:tab w:val="left" w:pos="1080"/>
        </w:tabs>
        <w:autoSpaceDE w:val="0"/>
        <w:autoSpaceDN w:val="0"/>
        <w:adjustRightInd w:val="0"/>
        <w:rPr>
          <w:u w:val="single"/>
        </w:rPr>
      </w:pPr>
      <w:r w:rsidRPr="54EAADBD">
        <w:rPr>
          <w:u w:val="single"/>
        </w:rPr>
        <w:t>Virginia Tech Science Festival 11/4/17</w:t>
      </w:r>
    </w:p>
    <w:p w14:paraId="560CFCC5" w14:textId="77777777" w:rsidR="00582B9D" w:rsidRPr="00344407" w:rsidRDefault="00582B9D" w:rsidP="00582B9D">
      <w:pPr>
        <w:tabs>
          <w:tab w:val="left" w:pos="1080"/>
        </w:tabs>
        <w:autoSpaceDE w:val="0"/>
        <w:autoSpaceDN w:val="0"/>
        <w:adjustRightInd w:val="0"/>
      </w:pPr>
      <w:r>
        <w:t>Assessment and TMDL staff presented the Augmented Reality Sandbox at the Virginia Tech Science Festival at the annual event on November 4, 2017. This was educational outreach to show school-aged children topography and how a watershed changes.</w:t>
      </w:r>
    </w:p>
    <w:p w14:paraId="4B49EB08" w14:textId="77777777" w:rsidR="00582B9D" w:rsidRPr="00344407" w:rsidRDefault="00582B9D" w:rsidP="00582B9D">
      <w:pPr>
        <w:tabs>
          <w:tab w:val="left" w:pos="1080"/>
        </w:tabs>
        <w:autoSpaceDE w:val="0"/>
        <w:autoSpaceDN w:val="0"/>
        <w:adjustRightInd w:val="0"/>
        <w:rPr>
          <w:bCs/>
        </w:rPr>
      </w:pPr>
    </w:p>
    <w:p w14:paraId="6DCA6719" w14:textId="1E38B798" w:rsidR="00582B9D" w:rsidRPr="00344407" w:rsidRDefault="00582B9D" w:rsidP="00582B9D">
      <w:pPr>
        <w:tabs>
          <w:tab w:val="left" w:pos="1080"/>
        </w:tabs>
        <w:autoSpaceDE w:val="0"/>
        <w:autoSpaceDN w:val="0"/>
        <w:adjustRightInd w:val="0"/>
        <w:rPr>
          <w:u w:val="single"/>
        </w:rPr>
      </w:pPr>
      <w:r w:rsidRPr="54EAADBD">
        <w:rPr>
          <w:u w:val="single"/>
        </w:rPr>
        <w:t xml:space="preserve">Botetourt County &amp; Craig County Schools Meaningful Watershed Education Experience, 4/4/2017, 4/5/2017, 9/25/2017, 4/17/2018, 4/19/2018 </w:t>
      </w:r>
    </w:p>
    <w:p w14:paraId="08E21815" w14:textId="77777777" w:rsidR="00582B9D" w:rsidRPr="00344407" w:rsidRDefault="00582B9D" w:rsidP="00582B9D">
      <w:pPr>
        <w:tabs>
          <w:tab w:val="left" w:pos="1080"/>
        </w:tabs>
        <w:autoSpaceDE w:val="0"/>
        <w:autoSpaceDN w:val="0"/>
        <w:adjustRightInd w:val="0"/>
        <w:rPr>
          <w:bCs/>
        </w:rPr>
      </w:pPr>
      <w:r w:rsidRPr="00344407">
        <w:rPr>
          <w:bCs/>
        </w:rPr>
        <w:t>TMDL IP staff participated in a MWEE field day sponsored by Mountain Castles SWCD held at Roanoke Cement Company for Botetourt students and Craig County High School for Craig County students. A MWEE or Meaningful Watershed Educational Experience is an investigative or experimental project that engages students in thinking critically about the Bay watershed. MWEEs are extensive projects that allow students to gain a deep understanding of the issue or topic being presented. Students participate in background research, hands-on activities and reflection periods that are appropriate for their ages and grade levels.</w:t>
      </w:r>
    </w:p>
    <w:p w14:paraId="64C2839E" w14:textId="77777777" w:rsidR="00582B9D" w:rsidRPr="00344407" w:rsidRDefault="00582B9D" w:rsidP="00582B9D">
      <w:pPr>
        <w:tabs>
          <w:tab w:val="left" w:pos="1080"/>
        </w:tabs>
        <w:autoSpaceDE w:val="0"/>
        <w:autoSpaceDN w:val="0"/>
        <w:adjustRightInd w:val="0"/>
        <w:rPr>
          <w:bCs/>
        </w:rPr>
      </w:pPr>
    </w:p>
    <w:p w14:paraId="154021C3" w14:textId="77777777" w:rsidR="00582B9D" w:rsidRPr="00344407" w:rsidRDefault="00582B9D" w:rsidP="00582B9D">
      <w:pPr>
        <w:tabs>
          <w:tab w:val="left" w:pos="1080"/>
        </w:tabs>
        <w:autoSpaceDE w:val="0"/>
        <w:autoSpaceDN w:val="0"/>
        <w:adjustRightInd w:val="0"/>
        <w:rPr>
          <w:u w:val="single"/>
        </w:rPr>
      </w:pPr>
      <w:r w:rsidRPr="54EAADBD">
        <w:rPr>
          <w:u w:val="single"/>
        </w:rPr>
        <w:t xml:space="preserve">Montgomery County Public School System’s Stormwater Days 2017, 2018, 2019 </w:t>
      </w:r>
    </w:p>
    <w:p w14:paraId="585BF5C1" w14:textId="77777777" w:rsidR="00582B9D" w:rsidRPr="00344407" w:rsidRDefault="00582B9D" w:rsidP="00582B9D">
      <w:pPr>
        <w:tabs>
          <w:tab w:val="left" w:pos="1080"/>
        </w:tabs>
        <w:autoSpaceDE w:val="0"/>
        <w:autoSpaceDN w:val="0"/>
        <w:adjustRightInd w:val="0"/>
      </w:pPr>
      <w:r>
        <w:t xml:space="preserve">TMDL, Water quality monitoring staff, and stormwater staff participated in Stormwater Days for middle school students hosted by the Town of Christiansburg. The students learned how </w:t>
      </w:r>
      <w:r>
        <w:lastRenderedPageBreak/>
        <w:t>DEQ use benthic macroinvertebrates to evaluate water quality and how stormwater may affect their local water quality.</w:t>
      </w:r>
    </w:p>
    <w:p w14:paraId="5AEFC4A1" w14:textId="77777777" w:rsidR="00582B9D" w:rsidRPr="00344407" w:rsidRDefault="00582B9D" w:rsidP="00582B9D">
      <w:pPr>
        <w:tabs>
          <w:tab w:val="left" w:pos="1080"/>
        </w:tabs>
        <w:autoSpaceDE w:val="0"/>
        <w:autoSpaceDN w:val="0"/>
        <w:adjustRightInd w:val="0"/>
      </w:pPr>
    </w:p>
    <w:p w14:paraId="3B573452" w14:textId="77777777" w:rsidR="00582B9D" w:rsidRPr="00344407" w:rsidRDefault="00582B9D" w:rsidP="00582B9D">
      <w:pPr>
        <w:tabs>
          <w:tab w:val="left" w:pos="1080"/>
        </w:tabs>
        <w:autoSpaceDE w:val="0"/>
        <w:autoSpaceDN w:val="0"/>
        <w:adjustRightInd w:val="0"/>
        <w:rPr>
          <w:u w:val="single"/>
        </w:rPr>
      </w:pPr>
      <w:r w:rsidRPr="335572FE">
        <w:rPr>
          <w:u w:val="single"/>
        </w:rPr>
        <w:t>Envirothon – 5/2/2018</w:t>
      </w:r>
    </w:p>
    <w:p w14:paraId="1B7F13D8" w14:textId="1ACF89A4" w:rsidR="00582B9D" w:rsidRDefault="00582B9D" w:rsidP="00582B9D">
      <w:pPr>
        <w:tabs>
          <w:tab w:val="left" w:pos="1080"/>
        </w:tabs>
      </w:pPr>
      <w:r>
        <w:t>TMDL IP staff participated as a judge in a local area Envirothon competition. Envirothon is a team based natural resources competition for high school students. Students who participate learn stewardship and management concepts and work to solve real world environmental problems. The program is field-oriented, community based and gives students an opportunity to work with natural resource professionals.</w:t>
      </w:r>
      <w:r>
        <w:br/>
      </w:r>
    </w:p>
    <w:p w14:paraId="47C17323" w14:textId="174C4194" w:rsidR="003B41D0" w:rsidRPr="00F11D43" w:rsidRDefault="003B41D0" w:rsidP="00F11D43">
      <w:pPr>
        <w:pStyle w:val="Heading4"/>
      </w:pPr>
      <w:r w:rsidRPr="00344407">
        <w:t xml:space="preserve">Jackson River Restoration and the Gathright Dam Water Control Plan </w:t>
      </w:r>
    </w:p>
    <w:p w14:paraId="6C097ABB" w14:textId="77C00130" w:rsidR="00E4702C" w:rsidRPr="00344407" w:rsidRDefault="00E4702C" w:rsidP="00E4702C">
      <w:pPr>
        <w:tabs>
          <w:tab w:val="left" w:pos="1080"/>
        </w:tabs>
        <w:autoSpaceDE w:val="0"/>
        <w:autoSpaceDN w:val="0"/>
        <w:adjustRightInd w:val="0"/>
        <w:rPr>
          <w:bCs/>
        </w:rPr>
      </w:pPr>
      <w:r w:rsidRPr="00344407">
        <w:rPr>
          <w:bCs/>
        </w:rPr>
        <w:t xml:space="preserve">The Virginia Department of Environmental Quality’s monitoring and assessment data and Jackson River benthic Total Maximum Daily Load (TMDL) development (DEQ 2010) has documented that low flow conditions in the fall represent the most stressed water quality conditions in the Jackson River. The Jackson River benthic TMDL study established nitrogen and phosphorous reduction targets in the Jackson River and called for restoring natural flow variability during the growing season (defined in the TMDL study as June 1st to October 31st). To assess flow variability impacts on water quality habitat and biology, DEQ asked the U.S. Army Corps of Engineers (ACE) to perform a 216 study that could result in permanent flow modifications in the Jackson River. The 216 Study was later changed to the Gathright Dam Water Control Plan. As part of the study and later the plan, the ACE performed test pulses during the following dates: August 17, 2010, September 28, 2011, and October 3, 2012. In 2010 thru 2014, DEQ collected an extensive suite of field data, water chemistry, habitat, and biological parameters to document baseline conditions and evaluate effects of the test pulses. DEQ is committed to extensive water quality monitoring in the Jackson River throughout the development of the Water Control Plan project and during the implementation of the recommended hydrologic changes. DEQ published the following reports which summarize existing water quality conditions and document results of the pulse events: </w:t>
      </w:r>
      <w:r w:rsidRPr="00344407">
        <w:rPr>
          <w:bCs/>
          <w:i/>
        </w:rPr>
        <w:t>Characterization of 2010 Base Flow and Pulse Flow Water Quality in the Jackson River and Characterization of Jackson River Base Flow</w:t>
      </w:r>
      <w:r w:rsidRPr="00344407">
        <w:rPr>
          <w:bCs/>
        </w:rPr>
        <w:t xml:space="preserve"> and </w:t>
      </w:r>
      <w:r w:rsidRPr="00344407">
        <w:rPr>
          <w:bCs/>
          <w:i/>
        </w:rPr>
        <w:t>Pulse Flow Water Quality: 2011 and 2012</w:t>
      </w:r>
      <w:r w:rsidRPr="00344407">
        <w:rPr>
          <w:bCs/>
        </w:rPr>
        <w:t>. DEQ continues to monitor and evaluate water quality on the Jackson River. In addition to pulse event monitoring, DEQ Staff worked with VADGIF to collect benthic macroinvertebrate and RPBII data in the tailwater to aid in the discussion of JRPA concerns.</w:t>
      </w:r>
    </w:p>
    <w:p w14:paraId="42B658E3" w14:textId="77777777" w:rsidR="00E4702C" w:rsidRPr="00344407" w:rsidRDefault="00E4702C" w:rsidP="00E4702C">
      <w:pPr>
        <w:tabs>
          <w:tab w:val="left" w:pos="1080"/>
        </w:tabs>
        <w:autoSpaceDE w:val="0"/>
        <w:autoSpaceDN w:val="0"/>
        <w:adjustRightInd w:val="0"/>
        <w:rPr>
          <w:bCs/>
        </w:rPr>
      </w:pPr>
    </w:p>
    <w:p w14:paraId="687CC72B" w14:textId="77777777" w:rsidR="00E4702C" w:rsidRPr="00344407" w:rsidRDefault="00E4702C" w:rsidP="00E4702C">
      <w:pPr>
        <w:tabs>
          <w:tab w:val="left" w:pos="1080"/>
        </w:tabs>
        <w:autoSpaceDE w:val="0"/>
        <w:autoSpaceDN w:val="0"/>
        <w:adjustRightInd w:val="0"/>
        <w:rPr>
          <w:bCs/>
          <w:u w:val="single"/>
        </w:rPr>
      </w:pPr>
      <w:r w:rsidRPr="00344407">
        <w:rPr>
          <w:bCs/>
          <w:u w:val="single"/>
        </w:rPr>
        <w:t>Jackson River Dissolved Oxygen Special Study</w:t>
      </w:r>
    </w:p>
    <w:p w14:paraId="15F19A22" w14:textId="2CCD5078" w:rsidR="00E4702C" w:rsidRPr="00344407" w:rsidRDefault="00E4702C" w:rsidP="00E4702C">
      <w:pPr>
        <w:tabs>
          <w:tab w:val="left" w:pos="1080"/>
        </w:tabs>
        <w:autoSpaceDE w:val="0"/>
        <w:autoSpaceDN w:val="0"/>
        <w:adjustRightInd w:val="0"/>
        <w:rPr>
          <w:bCs/>
        </w:rPr>
      </w:pPr>
      <w:r w:rsidRPr="00344407">
        <w:rPr>
          <w:bCs/>
        </w:rPr>
        <w:t>In 2019, DEQ and Westrock began a 2-year special study to evaluate dissolved oxygen patterns along the Jackson River in Covington, VA. The project involved collecting 951 data points predominantly in the early morning hours when c</w:t>
      </w:r>
      <w:r>
        <w:rPr>
          <w:bCs/>
        </w:rPr>
        <w:t xml:space="preserve">onditions were most stressful. </w:t>
      </w:r>
      <w:r w:rsidRPr="00344407">
        <w:rPr>
          <w:bCs/>
        </w:rPr>
        <w:t>During more stressful seasons (i.e., Fall and Spring), more int</w:t>
      </w:r>
      <w:r>
        <w:rPr>
          <w:bCs/>
        </w:rPr>
        <w:t xml:space="preserve">ensive DO monitoring occurred. </w:t>
      </w:r>
      <w:r w:rsidRPr="00344407">
        <w:rPr>
          <w:bCs/>
        </w:rPr>
        <w:t>The resulting study found 0 violations of DEQ’s water quality standard and was able to identify areas along the river that are more vulnerable to low concentrations of DO in stressful seasons.</w:t>
      </w:r>
      <w:r>
        <w:rPr>
          <w:bCs/>
        </w:rPr>
        <w:br/>
      </w:r>
    </w:p>
    <w:p w14:paraId="20A907FB" w14:textId="5B2CBB7F" w:rsidR="003B41D0" w:rsidRPr="00F11D43" w:rsidRDefault="003B41D0" w:rsidP="00F11D43">
      <w:pPr>
        <w:pStyle w:val="Heading4"/>
      </w:pPr>
      <w:r w:rsidRPr="00344407">
        <w:lastRenderedPageBreak/>
        <w:t xml:space="preserve">Philpott Dam and Smith River </w:t>
      </w:r>
    </w:p>
    <w:p w14:paraId="322BEA1A" w14:textId="5A5858E8" w:rsidR="008007A2" w:rsidRDefault="008007A2" w:rsidP="008007A2">
      <w:pPr>
        <w:tabs>
          <w:tab w:val="left" w:pos="1080"/>
        </w:tabs>
        <w:autoSpaceDE w:val="0"/>
        <w:autoSpaceDN w:val="0"/>
        <w:adjustRightInd w:val="0"/>
        <w:rPr>
          <w:bCs/>
        </w:rPr>
      </w:pPr>
      <w:r>
        <w:rPr>
          <w:bCs/>
        </w:rPr>
        <w:t>In 2016 BRRO water m</w:t>
      </w:r>
      <w:r w:rsidRPr="00344407">
        <w:rPr>
          <w:bCs/>
        </w:rPr>
        <w:t>onitoring group worked with Dan River Basin Association, Henry County, USACE, USFWS, VADGIF, and VADEQ Surface Water Investigations and Water Supply groups to monitor the Smith River below Philpott Dam during repairs to the powerhous</w:t>
      </w:r>
      <w:r>
        <w:rPr>
          <w:bCs/>
        </w:rPr>
        <w:t>e following damage from a fire.</w:t>
      </w:r>
      <w:r w:rsidRPr="00344407">
        <w:rPr>
          <w:bCs/>
        </w:rPr>
        <w:t xml:space="preserve"> The repairs resulted in limited operation of the Philpott dam and stakeholder concerns including: low flow in the tailwater during the summer months resulting in the potential for thermal stress to the trout fishery, limited release options from the dam resulting in abnormal turbidity in the Smith River, and the turbidity in the river resulted in concerns of impacts to the drinking</w:t>
      </w:r>
      <w:r>
        <w:rPr>
          <w:bCs/>
        </w:rPr>
        <w:t xml:space="preserve"> water supply and aquatic life.</w:t>
      </w:r>
    </w:p>
    <w:p w14:paraId="61D59F01" w14:textId="77777777" w:rsidR="007C291C" w:rsidRPr="00344407" w:rsidRDefault="007C291C" w:rsidP="008007A2">
      <w:pPr>
        <w:tabs>
          <w:tab w:val="left" w:pos="1080"/>
        </w:tabs>
        <w:autoSpaceDE w:val="0"/>
        <w:autoSpaceDN w:val="0"/>
        <w:adjustRightInd w:val="0"/>
        <w:rPr>
          <w:bCs/>
        </w:rPr>
      </w:pPr>
    </w:p>
    <w:p w14:paraId="59C0BB70" w14:textId="037B738D" w:rsidR="008007A2" w:rsidRPr="00344407" w:rsidRDefault="008007A2" w:rsidP="008007A2">
      <w:pPr>
        <w:tabs>
          <w:tab w:val="left" w:pos="1080"/>
        </w:tabs>
        <w:autoSpaceDE w:val="0"/>
        <w:autoSpaceDN w:val="0"/>
        <w:adjustRightInd w:val="0"/>
        <w:rPr>
          <w:bCs/>
        </w:rPr>
      </w:pPr>
      <w:r w:rsidRPr="00344407">
        <w:rPr>
          <w:bCs/>
        </w:rPr>
        <w:t xml:space="preserve">Numerous collaborative efforts were ongoing during the repair period (completion expected Fall 2017): </w:t>
      </w:r>
    </w:p>
    <w:p w14:paraId="51E3A947" w14:textId="77777777" w:rsidR="008007A2" w:rsidRPr="00344407" w:rsidRDefault="008007A2">
      <w:pPr>
        <w:widowControl/>
        <w:numPr>
          <w:ilvl w:val="0"/>
          <w:numId w:val="13"/>
        </w:numPr>
        <w:tabs>
          <w:tab w:val="left" w:pos="1080"/>
        </w:tabs>
        <w:autoSpaceDE w:val="0"/>
        <w:autoSpaceDN w:val="0"/>
        <w:adjustRightInd w:val="0"/>
        <w:rPr>
          <w:bCs/>
        </w:rPr>
      </w:pPr>
      <w:r w:rsidRPr="00344407">
        <w:rPr>
          <w:bCs/>
        </w:rPr>
        <w:t>BRRO staff facilitating and participating in stakeholder conference calls</w:t>
      </w:r>
    </w:p>
    <w:p w14:paraId="25E1F0B8" w14:textId="77777777" w:rsidR="008007A2" w:rsidRPr="00344407" w:rsidRDefault="008007A2">
      <w:pPr>
        <w:widowControl/>
        <w:numPr>
          <w:ilvl w:val="0"/>
          <w:numId w:val="13"/>
        </w:numPr>
        <w:tabs>
          <w:tab w:val="left" w:pos="1080"/>
        </w:tabs>
        <w:autoSpaceDE w:val="0"/>
        <w:autoSpaceDN w:val="0"/>
        <w:adjustRightInd w:val="0"/>
        <w:rPr>
          <w:bCs/>
        </w:rPr>
      </w:pPr>
      <w:r w:rsidRPr="00344407">
        <w:rPr>
          <w:bCs/>
        </w:rPr>
        <w:t>VADEQ Surface Water Investigations group reinstating water quality sensors at the Martinsville stream gage allowing for real-time monitoring of temperature which allowed for adjustment of flows to prevent thermal stress to the trout fishery</w:t>
      </w:r>
    </w:p>
    <w:p w14:paraId="67DC9A35" w14:textId="77777777" w:rsidR="008007A2" w:rsidRPr="00344407" w:rsidRDefault="008007A2">
      <w:pPr>
        <w:widowControl/>
        <w:numPr>
          <w:ilvl w:val="0"/>
          <w:numId w:val="13"/>
        </w:numPr>
        <w:tabs>
          <w:tab w:val="left" w:pos="1080"/>
        </w:tabs>
        <w:autoSpaceDE w:val="0"/>
        <w:autoSpaceDN w:val="0"/>
        <w:adjustRightInd w:val="0"/>
        <w:rPr>
          <w:bCs/>
        </w:rPr>
      </w:pPr>
      <w:r w:rsidRPr="00344407">
        <w:rPr>
          <w:bCs/>
        </w:rPr>
        <w:t>VADEQ BRRO staff surveying the Smith River following turbidity reports, collecting water samples, data analysis and reporting findings back to stakeholders</w:t>
      </w:r>
    </w:p>
    <w:p w14:paraId="1514DB84" w14:textId="77777777" w:rsidR="008007A2" w:rsidRPr="00344407" w:rsidRDefault="008007A2">
      <w:pPr>
        <w:widowControl/>
        <w:numPr>
          <w:ilvl w:val="0"/>
          <w:numId w:val="13"/>
        </w:numPr>
        <w:tabs>
          <w:tab w:val="left" w:pos="1080"/>
        </w:tabs>
        <w:autoSpaceDE w:val="0"/>
        <w:autoSpaceDN w:val="0"/>
        <w:adjustRightInd w:val="0"/>
        <w:rPr>
          <w:bCs/>
        </w:rPr>
      </w:pPr>
      <w:r w:rsidRPr="00344407">
        <w:rPr>
          <w:bCs/>
        </w:rPr>
        <w:t>USACE implementing releases from various depths at the dam in an effort to reduce turbidity in the river</w:t>
      </w:r>
    </w:p>
    <w:p w14:paraId="5B8ED9F5" w14:textId="77777777" w:rsidR="003B41D0" w:rsidRPr="00344407" w:rsidRDefault="003B41D0" w:rsidP="003B41D0">
      <w:pPr>
        <w:tabs>
          <w:tab w:val="left" w:pos="1080"/>
        </w:tabs>
        <w:autoSpaceDE w:val="0"/>
        <w:autoSpaceDN w:val="0"/>
        <w:adjustRightInd w:val="0"/>
        <w:rPr>
          <w:bCs/>
        </w:rPr>
      </w:pPr>
    </w:p>
    <w:p w14:paraId="1B92171D" w14:textId="150661A7" w:rsidR="003B41D0" w:rsidRPr="00F11D43" w:rsidRDefault="003B41D0" w:rsidP="00F11D43">
      <w:pPr>
        <w:pStyle w:val="Heading4"/>
      </w:pPr>
      <w:r w:rsidRPr="00344407">
        <w:t xml:space="preserve">Environmental Pollution Response </w:t>
      </w:r>
    </w:p>
    <w:p w14:paraId="2F9827E2" w14:textId="77777777" w:rsidR="00EA596C" w:rsidRPr="00344407" w:rsidRDefault="00EA596C" w:rsidP="00EA596C">
      <w:pPr>
        <w:tabs>
          <w:tab w:val="left" w:pos="1080"/>
        </w:tabs>
        <w:autoSpaceDE w:val="0"/>
        <w:autoSpaceDN w:val="0"/>
        <w:adjustRightInd w:val="0"/>
        <w:rPr>
          <w:bCs/>
        </w:rPr>
      </w:pPr>
      <w:r w:rsidRPr="00344407">
        <w:rPr>
          <w:bCs/>
          <w:u w:val="single"/>
        </w:rPr>
        <w:t>Dan River Coal Ash Spill</w:t>
      </w:r>
      <w:r w:rsidRPr="00344407">
        <w:rPr>
          <w:bCs/>
        </w:rPr>
        <w:t xml:space="preserve"> </w:t>
      </w:r>
    </w:p>
    <w:p w14:paraId="7B3ECA83" w14:textId="77777777" w:rsidR="00EA596C" w:rsidRPr="00344407" w:rsidRDefault="00EA596C" w:rsidP="00EA596C">
      <w:pPr>
        <w:tabs>
          <w:tab w:val="left" w:pos="1080"/>
        </w:tabs>
        <w:autoSpaceDE w:val="0"/>
        <w:autoSpaceDN w:val="0"/>
        <w:adjustRightInd w:val="0"/>
      </w:pPr>
      <w:r>
        <w:t xml:space="preserve">On February 2, 2014 a broken stormwater pipe beneath a Duke Energy coal ash retention pond located next to the Dan River near Eden, NC was reported. Approximately 38,000 tons of coal ash spilled into the Dan River. Coal ash contains heavy metals and can be harmful to human health. Monitoring for metals in the water and sediment at eight Dan River sites and two Kerr Reservoir sites began in February 2014 and continued monthly through 2016. Bi-monthly monitoring began in 2017 with monitoring of metals continued into 2019. In addition, two boatable probabilistic sites on the Dan River were sampled in the spring and fall on an annual basis for benthic macroinvertebrates, fish, algae, water chemistry, and habitat quality. </w:t>
      </w:r>
    </w:p>
    <w:p w14:paraId="32EBF362" w14:textId="77777777" w:rsidR="00EA596C" w:rsidRPr="00344407" w:rsidRDefault="00EA596C" w:rsidP="00EA596C">
      <w:pPr>
        <w:tabs>
          <w:tab w:val="left" w:pos="1080"/>
        </w:tabs>
        <w:autoSpaceDE w:val="0"/>
        <w:autoSpaceDN w:val="0"/>
        <w:adjustRightInd w:val="0"/>
        <w:rPr>
          <w:bCs/>
          <w:u w:val="single"/>
        </w:rPr>
      </w:pPr>
    </w:p>
    <w:p w14:paraId="20E4D0BE" w14:textId="77777777" w:rsidR="00EA596C" w:rsidRPr="00344407" w:rsidRDefault="00EA596C" w:rsidP="00EA596C">
      <w:pPr>
        <w:tabs>
          <w:tab w:val="left" w:pos="1080"/>
        </w:tabs>
        <w:autoSpaceDE w:val="0"/>
        <w:autoSpaceDN w:val="0"/>
        <w:adjustRightInd w:val="0"/>
        <w:rPr>
          <w:bCs/>
          <w:u w:val="single"/>
        </w:rPr>
      </w:pPr>
      <w:r w:rsidRPr="00344407">
        <w:rPr>
          <w:bCs/>
          <w:u w:val="single"/>
        </w:rPr>
        <w:t>Post–Incident Monitoring Results for Tinker Creek 2018-2019</w:t>
      </w:r>
    </w:p>
    <w:p w14:paraId="0528D036" w14:textId="77777777" w:rsidR="00EA596C" w:rsidRPr="00344407" w:rsidRDefault="00EA596C" w:rsidP="00EA596C">
      <w:pPr>
        <w:tabs>
          <w:tab w:val="left" w:pos="1080"/>
        </w:tabs>
        <w:autoSpaceDE w:val="0"/>
        <w:autoSpaceDN w:val="0"/>
        <w:adjustRightInd w:val="0"/>
        <w:rPr>
          <w:bCs/>
        </w:rPr>
      </w:pPr>
      <w:r w:rsidRPr="00344407">
        <w:rPr>
          <w:bCs/>
        </w:rPr>
        <w:t>In response to a fishkill that occurred in Tinker Creek in July 2017, Virginia Department of Environmental Quality’s (DEQ) Blue Ridge Regional Office (BRRO) water monitoring staff began monitoring Tinker Creek in spring 2018 as part of the Natural Resource Damage Assessment and Restoration (NRDAR) process. The fish kill was caused by an agricultural-use surfactant that leaked from a container into a tributary of Tin</w:t>
      </w:r>
      <w:r>
        <w:rPr>
          <w:bCs/>
        </w:rPr>
        <w:t xml:space="preserve">ker Creek in Botetourt County. </w:t>
      </w:r>
      <w:r w:rsidRPr="00344407">
        <w:rPr>
          <w:bCs/>
        </w:rPr>
        <w:t>The tributary was affected for a distance of 0.6 miles and Tinker Creek was affected for approximately five miles.</w:t>
      </w:r>
    </w:p>
    <w:p w14:paraId="09C84A2A" w14:textId="77777777" w:rsidR="00EA596C" w:rsidRPr="00344407" w:rsidRDefault="00EA596C" w:rsidP="00EA596C">
      <w:pPr>
        <w:tabs>
          <w:tab w:val="left" w:pos="1080"/>
        </w:tabs>
        <w:autoSpaceDE w:val="0"/>
        <w:autoSpaceDN w:val="0"/>
        <w:adjustRightInd w:val="0"/>
        <w:rPr>
          <w:bCs/>
        </w:rPr>
      </w:pPr>
    </w:p>
    <w:p w14:paraId="63D1D69E" w14:textId="59DDC16C" w:rsidR="00EA596C" w:rsidRPr="00344407" w:rsidRDefault="00EA596C" w:rsidP="00EA596C">
      <w:pPr>
        <w:tabs>
          <w:tab w:val="left" w:pos="1080"/>
        </w:tabs>
        <w:autoSpaceDE w:val="0"/>
        <w:autoSpaceDN w:val="0"/>
        <w:adjustRightInd w:val="0"/>
      </w:pPr>
      <w:r>
        <w:t xml:space="preserve">Historical ambient chemical and biological (benthic) monitoring stations existed in the affected reach as well as a Probabilistic monitoring station that had two years (2007, 2008) of fish community data. Results from sampling in 2018 and 2019 showed that chemical parameters </w:t>
      </w:r>
      <w:r>
        <w:lastRenderedPageBreak/>
        <w:t xml:space="preserve">and benthic community scores were similar before and after the fishkill. Fish community results showed that all species observed in 2007 and 2008 were also observed in 2018 with the exception of Riverweed Darters. The number of fish collected in 2018 was substantially lower than in previous surveys; however, stream flow during this event was more than three times the median flow. In 2019, flow conditions were close to </w:t>
      </w:r>
      <w:r w:rsidR="7B43A4C3">
        <w:t>normal,</w:t>
      </w:r>
      <w:r>
        <w:t xml:space="preserve"> and more fish were collected with less effort than in 2018 but the overall number of fish was lower than in 2007 and 2008. The post fishkill composition changed with fewer minnows and more sunfish.</w:t>
      </w:r>
    </w:p>
    <w:p w14:paraId="04234F6F" w14:textId="77777777" w:rsidR="00EA596C" w:rsidRPr="00344407" w:rsidRDefault="00EA596C" w:rsidP="00EA596C">
      <w:pPr>
        <w:tabs>
          <w:tab w:val="left" w:pos="1080"/>
        </w:tabs>
        <w:autoSpaceDE w:val="0"/>
        <w:autoSpaceDN w:val="0"/>
        <w:adjustRightInd w:val="0"/>
        <w:rPr>
          <w:bCs/>
        </w:rPr>
      </w:pPr>
    </w:p>
    <w:p w14:paraId="59AAF53E" w14:textId="77777777" w:rsidR="00EA596C" w:rsidRPr="00344407" w:rsidRDefault="00EA596C" w:rsidP="00EA596C">
      <w:pPr>
        <w:tabs>
          <w:tab w:val="left" w:pos="1080"/>
        </w:tabs>
        <w:autoSpaceDE w:val="0"/>
        <w:autoSpaceDN w:val="0"/>
        <w:adjustRightInd w:val="0"/>
        <w:rPr>
          <w:bCs/>
        </w:rPr>
      </w:pPr>
      <w:r w:rsidRPr="00344407">
        <w:rPr>
          <w:bCs/>
        </w:rPr>
        <w:t>BRRO was unable to monitor the impacted reach in 2000 due to COVID 19 and plans to monitor in 2021.</w:t>
      </w:r>
    </w:p>
    <w:p w14:paraId="0E8F33E7" w14:textId="77777777" w:rsidR="00EA596C" w:rsidRPr="00344407" w:rsidRDefault="00EA596C" w:rsidP="00EA596C">
      <w:pPr>
        <w:tabs>
          <w:tab w:val="left" w:pos="1080"/>
        </w:tabs>
        <w:autoSpaceDE w:val="0"/>
        <w:autoSpaceDN w:val="0"/>
        <w:adjustRightInd w:val="0"/>
        <w:rPr>
          <w:bCs/>
          <w:u w:val="single"/>
        </w:rPr>
      </w:pPr>
    </w:p>
    <w:p w14:paraId="26C6D95F" w14:textId="77777777" w:rsidR="00EA596C" w:rsidRPr="00344407" w:rsidRDefault="00EA596C" w:rsidP="00EA596C">
      <w:pPr>
        <w:tabs>
          <w:tab w:val="left" w:pos="1080"/>
        </w:tabs>
        <w:autoSpaceDE w:val="0"/>
        <w:autoSpaceDN w:val="0"/>
        <w:adjustRightInd w:val="0"/>
        <w:rPr>
          <w:bCs/>
          <w:u w:val="single"/>
        </w:rPr>
      </w:pPr>
      <w:r w:rsidRPr="00344407">
        <w:rPr>
          <w:bCs/>
          <w:u w:val="single"/>
        </w:rPr>
        <w:t>Post-Incident Monitoring Results for Roanoke River 2020</w:t>
      </w:r>
    </w:p>
    <w:p w14:paraId="358DCAAF" w14:textId="2006FD5D" w:rsidR="00EA596C" w:rsidRPr="00344407" w:rsidRDefault="00EA596C" w:rsidP="00EA596C">
      <w:pPr>
        <w:tabs>
          <w:tab w:val="left" w:pos="1080"/>
        </w:tabs>
        <w:autoSpaceDE w:val="0"/>
        <w:autoSpaceDN w:val="0"/>
        <w:adjustRightInd w:val="0"/>
        <w:rPr>
          <w:bCs/>
        </w:rPr>
      </w:pPr>
      <w:r w:rsidRPr="00344407">
        <w:rPr>
          <w:bCs/>
        </w:rPr>
        <w:t xml:space="preserve">On the night of October 30, 2020, a Norfolk Southern train derailed in the </w:t>
      </w:r>
      <w:proofErr w:type="spellStart"/>
      <w:r w:rsidRPr="00344407">
        <w:rPr>
          <w:bCs/>
        </w:rPr>
        <w:t>G</w:t>
      </w:r>
      <w:r>
        <w:rPr>
          <w:bCs/>
        </w:rPr>
        <w:t>lenvar</w:t>
      </w:r>
      <w:proofErr w:type="spellEnd"/>
      <w:r>
        <w:rPr>
          <w:bCs/>
        </w:rPr>
        <w:t xml:space="preserve"> area of Roanoke County. </w:t>
      </w:r>
      <w:r w:rsidRPr="00344407">
        <w:rPr>
          <w:bCs/>
        </w:rPr>
        <w:t>During the derailment, a trestle over the Roanoke River collapsed and 12 coal hoppers carrying 2600 tons of coal fell into the river with a porti</w:t>
      </w:r>
      <w:r>
        <w:rPr>
          <w:bCs/>
        </w:rPr>
        <w:t xml:space="preserve">on of the coal being released. </w:t>
      </w:r>
      <w:r w:rsidRPr="00344407">
        <w:rPr>
          <w:bCs/>
        </w:rPr>
        <w:t xml:space="preserve">The river was above normal flow at the time due a storm event on October 29; therefore, released coal was deposited on the </w:t>
      </w:r>
      <w:r w:rsidR="00280192" w:rsidRPr="00344407">
        <w:rPr>
          <w:bCs/>
        </w:rPr>
        <w:t>riverbed</w:t>
      </w:r>
      <w:r w:rsidRPr="00344407">
        <w:rPr>
          <w:bCs/>
        </w:rPr>
        <w:t xml:space="preserve"> for several miles below the accident site.</w:t>
      </w:r>
    </w:p>
    <w:p w14:paraId="1BA565C1" w14:textId="77777777" w:rsidR="00EA596C" w:rsidRPr="00344407" w:rsidRDefault="00EA596C" w:rsidP="00EA596C">
      <w:pPr>
        <w:tabs>
          <w:tab w:val="left" w:pos="1080"/>
        </w:tabs>
        <w:autoSpaceDE w:val="0"/>
        <w:autoSpaceDN w:val="0"/>
        <w:adjustRightInd w:val="0"/>
        <w:rPr>
          <w:bCs/>
        </w:rPr>
      </w:pPr>
    </w:p>
    <w:p w14:paraId="333D7036" w14:textId="77777777" w:rsidR="00EA596C" w:rsidRPr="00344407" w:rsidRDefault="00EA596C" w:rsidP="00EA596C">
      <w:pPr>
        <w:tabs>
          <w:tab w:val="left" w:pos="1080"/>
        </w:tabs>
        <w:autoSpaceDE w:val="0"/>
        <w:autoSpaceDN w:val="0"/>
        <w:adjustRightInd w:val="0"/>
        <w:rPr>
          <w:bCs/>
        </w:rPr>
      </w:pPr>
      <w:r w:rsidRPr="00344407">
        <w:rPr>
          <w:bCs/>
        </w:rPr>
        <w:t>In response to the train derailment Virginia Department of Environmental Quality’s (DEQ) Blue Ridge Regional Office (BRRO) water monitoring staff collected benthic macroinvertebrate community and habitat data to determine impacts from the coal that spilled</w:t>
      </w:r>
      <w:r>
        <w:rPr>
          <w:bCs/>
        </w:rPr>
        <w:t xml:space="preserve"> in the river. </w:t>
      </w:r>
      <w:r w:rsidRPr="00344407">
        <w:rPr>
          <w:bCs/>
        </w:rPr>
        <w:t>Four stations were sampled including one control station above the site of the train wreck and three stations below.</w:t>
      </w:r>
      <w:r>
        <w:rPr>
          <w:bCs/>
        </w:rPr>
        <w:t xml:space="preserve"> </w:t>
      </w:r>
    </w:p>
    <w:p w14:paraId="57068BF3" w14:textId="77777777" w:rsidR="00EA596C" w:rsidRPr="00344407" w:rsidRDefault="00EA596C" w:rsidP="00EA596C">
      <w:pPr>
        <w:tabs>
          <w:tab w:val="left" w:pos="1080"/>
        </w:tabs>
        <w:autoSpaceDE w:val="0"/>
        <w:autoSpaceDN w:val="0"/>
        <w:adjustRightInd w:val="0"/>
        <w:rPr>
          <w:bCs/>
        </w:rPr>
      </w:pPr>
    </w:p>
    <w:p w14:paraId="3133DC4B" w14:textId="77777777" w:rsidR="00EA596C" w:rsidRPr="00344407" w:rsidRDefault="00EA596C" w:rsidP="00EA596C">
      <w:pPr>
        <w:tabs>
          <w:tab w:val="left" w:pos="1080"/>
        </w:tabs>
        <w:autoSpaceDE w:val="0"/>
        <w:autoSpaceDN w:val="0"/>
        <w:adjustRightInd w:val="0"/>
        <w:rPr>
          <w:bCs/>
        </w:rPr>
      </w:pPr>
      <w:r w:rsidRPr="00344407">
        <w:rPr>
          <w:bCs/>
        </w:rPr>
        <w:t>The benthic macroinvertebrate community at the upstream control station had a VSCI score similar to those at the two downstrea</w:t>
      </w:r>
      <w:r>
        <w:rPr>
          <w:bCs/>
        </w:rPr>
        <w:t xml:space="preserve">m stations in Green Hill Park. </w:t>
      </w:r>
      <w:r w:rsidRPr="00344407">
        <w:rPr>
          <w:bCs/>
        </w:rPr>
        <w:t>However, the station immediately below the derailment site had a lower VSCI score that was influenced by the lower abundance of Mayflies which are typicall</w:t>
      </w:r>
      <w:r>
        <w:rPr>
          <w:bCs/>
        </w:rPr>
        <w:t xml:space="preserve">y more sensitive to pollution. </w:t>
      </w:r>
      <w:r w:rsidRPr="00344407">
        <w:rPr>
          <w:bCs/>
        </w:rPr>
        <w:t>Net-spinning caddisflies were also found in low abundance at the impact site relativ</w:t>
      </w:r>
      <w:r>
        <w:rPr>
          <w:bCs/>
        </w:rPr>
        <w:t xml:space="preserve">e to the other three stations. </w:t>
      </w:r>
      <w:r w:rsidRPr="00344407">
        <w:rPr>
          <w:bCs/>
        </w:rPr>
        <w:t>The large amount of coal released during the derailment scoured the river substrate likely causing a physical habitat impact that affected the aquatic community.</w:t>
      </w:r>
    </w:p>
    <w:p w14:paraId="2D96FC1E" w14:textId="77777777" w:rsidR="00EA596C" w:rsidRPr="00344407" w:rsidRDefault="00EA596C" w:rsidP="00EA596C">
      <w:pPr>
        <w:tabs>
          <w:tab w:val="left" w:pos="1080"/>
        </w:tabs>
        <w:autoSpaceDE w:val="0"/>
        <w:autoSpaceDN w:val="0"/>
        <w:adjustRightInd w:val="0"/>
        <w:rPr>
          <w:bCs/>
        </w:rPr>
      </w:pPr>
    </w:p>
    <w:p w14:paraId="1452E0B2" w14:textId="77777777" w:rsidR="00EA596C" w:rsidRPr="00344407" w:rsidRDefault="00EA596C" w:rsidP="00EA596C">
      <w:pPr>
        <w:tabs>
          <w:tab w:val="left" w:pos="1080"/>
        </w:tabs>
        <w:autoSpaceDE w:val="0"/>
        <w:autoSpaceDN w:val="0"/>
        <w:adjustRightInd w:val="0"/>
        <w:rPr>
          <w:bCs/>
        </w:rPr>
      </w:pPr>
      <w:r w:rsidRPr="00344407">
        <w:rPr>
          <w:bCs/>
        </w:rPr>
        <w:t>During the benthic surveys, DEQ observed large deposits of coal in th</w:t>
      </w:r>
      <w:r>
        <w:rPr>
          <w:bCs/>
        </w:rPr>
        <w:t xml:space="preserve">e reach below the impact site. </w:t>
      </w:r>
      <w:r w:rsidRPr="00344407">
        <w:rPr>
          <w:bCs/>
        </w:rPr>
        <w:t xml:space="preserve">Norfolk Southern was able to </w:t>
      </w:r>
      <w:proofErr w:type="spellStart"/>
      <w:r w:rsidRPr="00344407">
        <w:rPr>
          <w:bCs/>
        </w:rPr>
        <w:t>hydrovac</w:t>
      </w:r>
      <w:proofErr w:type="spellEnd"/>
      <w:r w:rsidRPr="00344407">
        <w:rPr>
          <w:bCs/>
        </w:rPr>
        <w:t xml:space="preserve"> some of the released coal from the river before a rain event on November 11 which washe</w:t>
      </w:r>
      <w:r>
        <w:rPr>
          <w:bCs/>
        </w:rPr>
        <w:t xml:space="preserve">d most of the coal downstream. </w:t>
      </w:r>
      <w:r w:rsidRPr="00344407">
        <w:rPr>
          <w:bCs/>
        </w:rPr>
        <w:t>DEQ plans to survey the benthic macroinvertebrate and fish communities and habitat in 2021 to assess impacts.</w:t>
      </w:r>
    </w:p>
    <w:p w14:paraId="40BADC75" w14:textId="77777777" w:rsidR="003B41D0" w:rsidRDefault="003B41D0" w:rsidP="003B41D0">
      <w:pPr>
        <w:tabs>
          <w:tab w:val="left" w:pos="1080"/>
        </w:tabs>
        <w:autoSpaceDE w:val="0"/>
        <w:autoSpaceDN w:val="0"/>
        <w:adjustRightInd w:val="0"/>
        <w:rPr>
          <w:b/>
        </w:rPr>
      </w:pPr>
    </w:p>
    <w:p w14:paraId="5FB33B97" w14:textId="2AC3A399" w:rsidR="003B41D0" w:rsidRPr="00F11D43" w:rsidRDefault="00F11D43" w:rsidP="00F11D43">
      <w:pPr>
        <w:pStyle w:val="Heading3"/>
        <w:rPr>
          <w:u w:val="single"/>
        </w:rPr>
      </w:pPr>
      <w:r>
        <w:t xml:space="preserve">Northern Regional Office (NRO) </w:t>
      </w:r>
    </w:p>
    <w:p w14:paraId="4D75B9F7" w14:textId="142C8FFD" w:rsidR="00CD6E1B" w:rsidRPr="00286BE8" w:rsidRDefault="00CD6E1B" w:rsidP="00286BE8">
      <w:pPr>
        <w:pStyle w:val="Heading4"/>
      </w:pPr>
      <w:r w:rsidRPr="002423F6">
        <w:t>Lake Anna Harmful Algae Bloom (HAB) Monitoring</w:t>
      </w:r>
    </w:p>
    <w:p w14:paraId="386C0AED" w14:textId="0955E724" w:rsidR="00CD6E1B" w:rsidRDefault="00CD6E1B" w:rsidP="00CD6E1B">
      <w:pPr>
        <w:tabs>
          <w:tab w:val="left" w:pos="1080"/>
        </w:tabs>
        <w:autoSpaceDE w:val="0"/>
        <w:autoSpaceDN w:val="0"/>
        <w:adjustRightInd w:val="0"/>
        <w:rPr>
          <w:bCs/>
        </w:rPr>
      </w:pPr>
      <w:r>
        <w:rPr>
          <w:bCs/>
        </w:rPr>
        <w:t xml:space="preserve">Since 2018, </w:t>
      </w:r>
      <w:r w:rsidRPr="004433C9">
        <w:rPr>
          <w:bCs/>
        </w:rPr>
        <w:t xml:space="preserve">NRO </w:t>
      </w:r>
      <w:r>
        <w:rPr>
          <w:bCs/>
        </w:rPr>
        <w:t xml:space="preserve">has been </w:t>
      </w:r>
      <w:r w:rsidRPr="004433C9">
        <w:rPr>
          <w:bCs/>
        </w:rPr>
        <w:t>collect</w:t>
      </w:r>
      <w:r>
        <w:rPr>
          <w:bCs/>
        </w:rPr>
        <w:t xml:space="preserve">ing samples in response to observed algal blooms </w:t>
      </w:r>
      <w:r w:rsidRPr="004433C9">
        <w:rPr>
          <w:bCs/>
        </w:rPr>
        <w:t>in the upper portion of Lake Anna</w:t>
      </w:r>
      <w:r>
        <w:rPr>
          <w:bCs/>
        </w:rPr>
        <w:t xml:space="preserve"> </w:t>
      </w:r>
      <w:r w:rsidRPr="004433C9">
        <w:rPr>
          <w:bCs/>
        </w:rPr>
        <w:t xml:space="preserve">(above the </w:t>
      </w:r>
      <w:r>
        <w:rPr>
          <w:bCs/>
        </w:rPr>
        <w:t>“</w:t>
      </w:r>
      <w:r w:rsidRPr="004433C9">
        <w:rPr>
          <w:bCs/>
        </w:rPr>
        <w:t>splits</w:t>
      </w:r>
      <w:r>
        <w:rPr>
          <w:bCs/>
        </w:rPr>
        <w:t>”, generally west of the Rte. 208 bridge</w:t>
      </w:r>
      <w:r w:rsidRPr="004433C9">
        <w:rPr>
          <w:bCs/>
        </w:rPr>
        <w:t>)</w:t>
      </w:r>
      <w:r>
        <w:rPr>
          <w:bCs/>
        </w:rPr>
        <w:t xml:space="preserve"> in partnership with VDH</w:t>
      </w:r>
      <w:r w:rsidRPr="004433C9">
        <w:rPr>
          <w:bCs/>
        </w:rPr>
        <w:t>.</w:t>
      </w:r>
      <w:r>
        <w:rPr>
          <w:bCs/>
        </w:rPr>
        <w:t xml:space="preserve"> Samples with </w:t>
      </w:r>
      <w:r w:rsidRPr="004433C9">
        <w:rPr>
          <w:bCs/>
        </w:rPr>
        <w:t xml:space="preserve">cell counts </w:t>
      </w:r>
      <w:r>
        <w:rPr>
          <w:bCs/>
        </w:rPr>
        <w:t xml:space="preserve">for algae species that are potential toxin producers </w:t>
      </w:r>
      <w:r w:rsidRPr="004433C9">
        <w:rPr>
          <w:bCs/>
        </w:rPr>
        <w:t>exceed</w:t>
      </w:r>
      <w:r>
        <w:rPr>
          <w:bCs/>
        </w:rPr>
        <w:t>ing</w:t>
      </w:r>
      <w:r w:rsidRPr="004433C9">
        <w:rPr>
          <w:bCs/>
        </w:rPr>
        <w:t xml:space="preserve"> the VDH advisory for primary contact</w:t>
      </w:r>
      <w:r>
        <w:rPr>
          <w:bCs/>
        </w:rPr>
        <w:t xml:space="preserve"> are the basis for the swim advisories issued by</w:t>
      </w:r>
      <w:r w:rsidRPr="004433C9">
        <w:rPr>
          <w:bCs/>
        </w:rPr>
        <w:t xml:space="preserve"> </w:t>
      </w:r>
      <w:r w:rsidRPr="004433C9">
        <w:rPr>
          <w:bCs/>
        </w:rPr>
        <w:lastRenderedPageBreak/>
        <w:t xml:space="preserve">VDH </w:t>
      </w:r>
      <w:r>
        <w:rPr>
          <w:bCs/>
        </w:rPr>
        <w:t xml:space="preserve">for parts of the upper areas of </w:t>
      </w:r>
      <w:r w:rsidRPr="004433C9">
        <w:rPr>
          <w:bCs/>
        </w:rPr>
        <w:t xml:space="preserve">Lake </w:t>
      </w:r>
      <w:r w:rsidRPr="00FE7172">
        <w:rPr>
          <w:bCs/>
        </w:rPr>
        <w:t xml:space="preserve">Anna in </w:t>
      </w:r>
      <w:r>
        <w:rPr>
          <w:bCs/>
        </w:rPr>
        <w:t xml:space="preserve">years </w:t>
      </w:r>
      <w:r w:rsidRPr="00FE7172">
        <w:rPr>
          <w:bCs/>
        </w:rPr>
        <w:t>2019 through 2022</w:t>
      </w:r>
      <w:r w:rsidRPr="004433C9">
        <w:rPr>
          <w:bCs/>
        </w:rPr>
        <w:t>.</w:t>
      </w:r>
    </w:p>
    <w:p w14:paraId="23EC09E7" w14:textId="77777777" w:rsidR="00CD6E1B" w:rsidRDefault="00CD6E1B" w:rsidP="00CD6E1B">
      <w:pPr>
        <w:tabs>
          <w:tab w:val="left" w:pos="1080"/>
        </w:tabs>
        <w:autoSpaceDE w:val="0"/>
        <w:autoSpaceDN w:val="0"/>
        <w:adjustRightInd w:val="0"/>
        <w:rPr>
          <w:bCs/>
        </w:rPr>
      </w:pPr>
    </w:p>
    <w:p w14:paraId="3144BAA9" w14:textId="77777777" w:rsidR="00CD6E1B" w:rsidRDefault="00CD6E1B" w:rsidP="00CD6E1B">
      <w:pPr>
        <w:tabs>
          <w:tab w:val="left" w:pos="1080"/>
        </w:tabs>
        <w:autoSpaceDE w:val="0"/>
        <w:autoSpaceDN w:val="0"/>
        <w:adjustRightInd w:val="0"/>
        <w:rPr>
          <w:bCs/>
        </w:rPr>
      </w:pPr>
      <w:r>
        <w:rPr>
          <w:bCs/>
        </w:rPr>
        <w:t xml:space="preserve">In 2020 DEQ staff began monitoring on the tributaries to Lake Anna. This monitoring continued through 2022, and parameters were enhanced as years progressed. In addition to routine sampling in 2020, sediment sampling for nutrients were taken at 20 sites on the lake, in cooperation with the Lake Anna Civic Association (LACA) and Randolph Macon College. </w:t>
      </w:r>
    </w:p>
    <w:p w14:paraId="34B9B3C5" w14:textId="77777777" w:rsidR="00CD6E1B" w:rsidRDefault="00CD6E1B" w:rsidP="00CD6E1B">
      <w:pPr>
        <w:tabs>
          <w:tab w:val="left" w:pos="1080"/>
        </w:tabs>
        <w:autoSpaceDE w:val="0"/>
        <w:autoSpaceDN w:val="0"/>
        <w:adjustRightInd w:val="0"/>
        <w:rPr>
          <w:b/>
          <w:bCs/>
        </w:rPr>
      </w:pPr>
    </w:p>
    <w:p w14:paraId="4F89B5B6" w14:textId="4A9B0528" w:rsidR="00CD6E1B" w:rsidRPr="00286BE8" w:rsidRDefault="00CD6E1B" w:rsidP="00286BE8">
      <w:pPr>
        <w:pStyle w:val="Heading4"/>
      </w:pPr>
      <w:r w:rsidRPr="002423F6">
        <w:t>Total Maximum Daily Load Development Monitoring</w:t>
      </w:r>
    </w:p>
    <w:p w14:paraId="710CE8BF" w14:textId="77777777" w:rsidR="00CD6E1B" w:rsidRPr="004433C9" w:rsidRDefault="00CD6E1B" w:rsidP="00CD6E1B">
      <w:pPr>
        <w:tabs>
          <w:tab w:val="left" w:pos="1080"/>
        </w:tabs>
        <w:autoSpaceDE w:val="0"/>
        <w:autoSpaceDN w:val="0"/>
        <w:adjustRightInd w:val="0"/>
        <w:rPr>
          <w:bCs/>
        </w:rPr>
      </w:pPr>
      <w:r w:rsidRPr="004433C9">
        <w:rPr>
          <w:bCs/>
        </w:rPr>
        <w:t xml:space="preserve">NRO collected ambient monitoring data to support anticipated development of TMDLs </w:t>
      </w:r>
      <w:r w:rsidRPr="00F536E6">
        <w:rPr>
          <w:bCs/>
        </w:rPr>
        <w:t xml:space="preserve">to address aquatic life use and recreational use impairments </w:t>
      </w:r>
      <w:r>
        <w:rPr>
          <w:bCs/>
        </w:rPr>
        <w:t xml:space="preserve">for the following years, </w:t>
      </w:r>
      <w:r w:rsidRPr="00F536E6">
        <w:rPr>
          <w:bCs/>
        </w:rPr>
        <w:t xml:space="preserve">in the following streams: </w:t>
      </w:r>
    </w:p>
    <w:p w14:paraId="1749DB3B" w14:textId="77777777" w:rsidR="00CD6E1B" w:rsidRDefault="00CD6E1B" w:rsidP="00CD6E1B">
      <w:pPr>
        <w:tabs>
          <w:tab w:val="left" w:pos="1080"/>
        </w:tabs>
        <w:autoSpaceDE w:val="0"/>
        <w:autoSpaceDN w:val="0"/>
        <w:adjustRightInd w:val="0"/>
        <w:rPr>
          <w:bCs/>
          <w:u w:val="single"/>
        </w:rPr>
      </w:pPr>
    </w:p>
    <w:p w14:paraId="076C1305" w14:textId="77777777" w:rsidR="00CD6E1B" w:rsidRPr="009C67F6" w:rsidRDefault="00CD6E1B" w:rsidP="00CD6E1B">
      <w:pPr>
        <w:tabs>
          <w:tab w:val="left" w:pos="1080"/>
        </w:tabs>
        <w:autoSpaceDE w:val="0"/>
        <w:autoSpaceDN w:val="0"/>
        <w:adjustRightInd w:val="0"/>
        <w:rPr>
          <w:bCs/>
        </w:rPr>
      </w:pPr>
      <w:r w:rsidRPr="001205B9">
        <w:rPr>
          <w:b/>
        </w:rPr>
        <w:t>2018</w:t>
      </w:r>
      <w:r w:rsidRPr="00086FED">
        <w:rPr>
          <w:bCs/>
        </w:rPr>
        <w:t xml:space="preserve"> –</w:t>
      </w:r>
      <w:r>
        <w:rPr>
          <w:bCs/>
        </w:rPr>
        <w:t xml:space="preserve"> Cub Run watershed, Catharpin Creek watershed, Elk Creek watershed, Flat Lick Branch watershed, Sand Branch watershed, and </w:t>
      </w:r>
      <w:r w:rsidRPr="00086FED">
        <w:rPr>
          <w:bCs/>
        </w:rPr>
        <w:t>M</w:t>
      </w:r>
      <w:r>
        <w:rPr>
          <w:bCs/>
        </w:rPr>
        <w:t>ountain</w:t>
      </w:r>
      <w:r w:rsidRPr="00086FED">
        <w:rPr>
          <w:bCs/>
        </w:rPr>
        <w:t xml:space="preserve"> Run </w:t>
      </w:r>
      <w:r>
        <w:rPr>
          <w:bCs/>
        </w:rPr>
        <w:t>w</w:t>
      </w:r>
      <w:r w:rsidRPr="00086FED">
        <w:rPr>
          <w:bCs/>
        </w:rPr>
        <w:t>atershed including some trib</w:t>
      </w:r>
      <w:r>
        <w:rPr>
          <w:bCs/>
        </w:rPr>
        <w:t>utaries.</w:t>
      </w:r>
    </w:p>
    <w:p w14:paraId="58225D37" w14:textId="77777777" w:rsidR="00CD6E1B" w:rsidRPr="00447EB1" w:rsidRDefault="00CD6E1B" w:rsidP="00CD6E1B">
      <w:pPr>
        <w:tabs>
          <w:tab w:val="left" w:pos="1080"/>
        </w:tabs>
        <w:autoSpaceDE w:val="0"/>
        <w:autoSpaceDN w:val="0"/>
        <w:adjustRightInd w:val="0"/>
        <w:rPr>
          <w:bCs/>
        </w:rPr>
      </w:pPr>
      <w:r w:rsidRPr="001205B9">
        <w:rPr>
          <w:b/>
        </w:rPr>
        <w:t>2019</w:t>
      </w:r>
      <w:r w:rsidRPr="00447EB1">
        <w:rPr>
          <w:bCs/>
        </w:rPr>
        <w:t xml:space="preserve"> – Pohick Creek watershed, Mountain Run watershed, Cub Run watershed, and Catharpin Creek watershed</w:t>
      </w:r>
      <w:r>
        <w:rPr>
          <w:bCs/>
        </w:rPr>
        <w:t>.</w:t>
      </w:r>
    </w:p>
    <w:p w14:paraId="395EDBE0" w14:textId="77777777" w:rsidR="00CD6E1B" w:rsidRPr="008B55D0" w:rsidRDefault="00CD6E1B" w:rsidP="00CD6E1B">
      <w:pPr>
        <w:tabs>
          <w:tab w:val="left" w:pos="1080"/>
        </w:tabs>
        <w:autoSpaceDE w:val="0"/>
        <w:autoSpaceDN w:val="0"/>
        <w:adjustRightInd w:val="0"/>
        <w:rPr>
          <w:bCs/>
        </w:rPr>
      </w:pPr>
      <w:r w:rsidRPr="001205B9">
        <w:rPr>
          <w:b/>
        </w:rPr>
        <w:t>2020</w:t>
      </w:r>
      <w:r w:rsidRPr="008B55D0">
        <w:rPr>
          <w:bCs/>
        </w:rPr>
        <w:t xml:space="preserve"> – </w:t>
      </w:r>
      <w:proofErr w:type="spellStart"/>
      <w:r w:rsidRPr="008B55D0">
        <w:rPr>
          <w:bCs/>
        </w:rPr>
        <w:t>Sumerduck</w:t>
      </w:r>
      <w:proofErr w:type="spellEnd"/>
      <w:r w:rsidRPr="008B55D0">
        <w:rPr>
          <w:bCs/>
        </w:rPr>
        <w:t xml:space="preserve"> Run watershed, Pohick Creek watershed, Catharpin Creek watershed, and Mountain Run watershed</w:t>
      </w:r>
      <w:r>
        <w:rPr>
          <w:bCs/>
        </w:rPr>
        <w:t>.</w:t>
      </w:r>
    </w:p>
    <w:p w14:paraId="0725F280" w14:textId="77777777" w:rsidR="00CD6E1B" w:rsidRPr="00F10798" w:rsidRDefault="00CD6E1B" w:rsidP="00CD6E1B">
      <w:pPr>
        <w:tabs>
          <w:tab w:val="left" w:pos="1080"/>
        </w:tabs>
        <w:autoSpaceDE w:val="0"/>
        <w:autoSpaceDN w:val="0"/>
        <w:adjustRightInd w:val="0"/>
        <w:rPr>
          <w:bCs/>
        </w:rPr>
      </w:pPr>
      <w:r w:rsidRPr="001205B9">
        <w:rPr>
          <w:b/>
        </w:rPr>
        <w:t>2021</w:t>
      </w:r>
      <w:r w:rsidRPr="00F10798">
        <w:rPr>
          <w:bCs/>
        </w:rPr>
        <w:t xml:space="preserve"> – Broad Run watershed, Four Mile Run watershed, Pohick Creek watershed, </w:t>
      </w:r>
      <w:proofErr w:type="spellStart"/>
      <w:r w:rsidRPr="00F10798">
        <w:rPr>
          <w:bCs/>
        </w:rPr>
        <w:t>Massaponnax</w:t>
      </w:r>
      <w:proofErr w:type="spellEnd"/>
      <w:r w:rsidRPr="00F10798">
        <w:rPr>
          <w:bCs/>
        </w:rPr>
        <w:t xml:space="preserve"> Creek watershed, and tributaries to the Rappahannock River around the City of Fredericksburg. </w:t>
      </w:r>
    </w:p>
    <w:p w14:paraId="55D4CEF9" w14:textId="77777777" w:rsidR="00CD6E1B" w:rsidRPr="009C67F6" w:rsidRDefault="00CD6E1B" w:rsidP="00CD6E1B">
      <w:pPr>
        <w:tabs>
          <w:tab w:val="left" w:pos="1080"/>
        </w:tabs>
        <w:autoSpaceDE w:val="0"/>
        <w:autoSpaceDN w:val="0"/>
        <w:adjustRightInd w:val="0"/>
        <w:rPr>
          <w:bCs/>
        </w:rPr>
      </w:pPr>
      <w:r w:rsidRPr="001205B9">
        <w:rPr>
          <w:b/>
        </w:rPr>
        <w:t>2022</w:t>
      </w:r>
      <w:r w:rsidRPr="009C67F6">
        <w:rPr>
          <w:bCs/>
        </w:rPr>
        <w:t xml:space="preserve"> –Broad Run watershed, Four Mile Run watershed, </w:t>
      </w:r>
      <w:proofErr w:type="spellStart"/>
      <w:r w:rsidRPr="009C67F6">
        <w:rPr>
          <w:bCs/>
        </w:rPr>
        <w:t>Massaponnax</w:t>
      </w:r>
      <w:proofErr w:type="spellEnd"/>
      <w:r w:rsidRPr="009C67F6">
        <w:rPr>
          <w:bCs/>
        </w:rPr>
        <w:t xml:space="preserve"> Creek watershed, and tributaries to the Rappahannock River around the City of Fredericksburg. </w:t>
      </w:r>
    </w:p>
    <w:p w14:paraId="60150251" w14:textId="77777777" w:rsidR="00CD6E1B" w:rsidRPr="009C67F6" w:rsidRDefault="00CD6E1B" w:rsidP="00CD6E1B">
      <w:pPr>
        <w:tabs>
          <w:tab w:val="left" w:pos="1080"/>
        </w:tabs>
        <w:autoSpaceDE w:val="0"/>
        <w:autoSpaceDN w:val="0"/>
        <w:adjustRightInd w:val="0"/>
        <w:rPr>
          <w:bCs/>
        </w:rPr>
      </w:pPr>
    </w:p>
    <w:p w14:paraId="1DAB0F99" w14:textId="517333FF" w:rsidR="00CD6E1B" w:rsidRPr="00286BE8" w:rsidRDefault="00CD6E1B" w:rsidP="00286BE8">
      <w:pPr>
        <w:pStyle w:val="Heading4"/>
      </w:pPr>
      <w:r>
        <w:t>Biological Monitoring for Benthic TMDLs</w:t>
      </w:r>
    </w:p>
    <w:p w14:paraId="4682128F" w14:textId="3F9112FD" w:rsidR="00CD6E1B" w:rsidRDefault="00CD6E1B" w:rsidP="00CD6E1B">
      <w:pPr>
        <w:tabs>
          <w:tab w:val="left" w:pos="1080"/>
        </w:tabs>
        <w:autoSpaceDE w:val="0"/>
        <w:autoSpaceDN w:val="0"/>
        <w:adjustRightInd w:val="0"/>
        <w:rPr>
          <w:bCs/>
        </w:rPr>
      </w:pPr>
      <w:r w:rsidRPr="003E025B">
        <w:rPr>
          <w:bCs/>
        </w:rPr>
        <w:t>In 2018 NRO began biological monitoring for Benthic TMDLs</w:t>
      </w:r>
      <w:r>
        <w:rPr>
          <w:bCs/>
        </w:rPr>
        <w:t xml:space="preserve"> for the following years,</w:t>
      </w:r>
      <w:r w:rsidRPr="003E025B">
        <w:rPr>
          <w:bCs/>
        </w:rPr>
        <w:t xml:space="preserve"> in the following watersheds:</w:t>
      </w:r>
    </w:p>
    <w:p w14:paraId="070ED7B6" w14:textId="77777777" w:rsidR="00CD6E1B" w:rsidRPr="003E025B" w:rsidRDefault="00CD6E1B" w:rsidP="00CD6E1B">
      <w:pPr>
        <w:tabs>
          <w:tab w:val="left" w:pos="1080"/>
        </w:tabs>
        <w:autoSpaceDE w:val="0"/>
        <w:autoSpaceDN w:val="0"/>
        <w:adjustRightInd w:val="0"/>
        <w:rPr>
          <w:bCs/>
        </w:rPr>
      </w:pPr>
    </w:p>
    <w:p w14:paraId="5F7619D6" w14:textId="77777777" w:rsidR="00CD6E1B" w:rsidRPr="009C67F6" w:rsidRDefault="00CD6E1B" w:rsidP="00CD6E1B">
      <w:pPr>
        <w:tabs>
          <w:tab w:val="left" w:pos="1080"/>
        </w:tabs>
        <w:autoSpaceDE w:val="0"/>
        <w:autoSpaceDN w:val="0"/>
        <w:adjustRightInd w:val="0"/>
        <w:rPr>
          <w:bCs/>
        </w:rPr>
      </w:pPr>
      <w:r w:rsidRPr="001205B9">
        <w:rPr>
          <w:b/>
        </w:rPr>
        <w:t xml:space="preserve">2018 </w:t>
      </w:r>
      <w:r w:rsidRPr="009C67F6">
        <w:rPr>
          <w:bCs/>
        </w:rPr>
        <w:t xml:space="preserve">– Mountain Run watershed, and Cub Run watershed. </w:t>
      </w:r>
    </w:p>
    <w:p w14:paraId="50CA13D6" w14:textId="77777777" w:rsidR="00CD6E1B" w:rsidRPr="009C67F6" w:rsidRDefault="00CD6E1B" w:rsidP="00CD6E1B">
      <w:pPr>
        <w:tabs>
          <w:tab w:val="left" w:pos="1080"/>
        </w:tabs>
        <w:autoSpaceDE w:val="0"/>
        <w:autoSpaceDN w:val="0"/>
        <w:adjustRightInd w:val="0"/>
        <w:rPr>
          <w:bCs/>
        </w:rPr>
      </w:pPr>
      <w:r w:rsidRPr="001205B9">
        <w:rPr>
          <w:b/>
        </w:rPr>
        <w:t xml:space="preserve">2019 </w:t>
      </w:r>
      <w:r w:rsidRPr="009C67F6">
        <w:rPr>
          <w:bCs/>
        </w:rPr>
        <w:t>– Mountain Run watershed, Catharpin Creek watershed, and Cub Run watershed.</w:t>
      </w:r>
    </w:p>
    <w:p w14:paraId="7367E490" w14:textId="77777777" w:rsidR="00CD6E1B" w:rsidRPr="009C67F6" w:rsidRDefault="00CD6E1B" w:rsidP="00CD6E1B">
      <w:pPr>
        <w:tabs>
          <w:tab w:val="left" w:pos="1080"/>
        </w:tabs>
        <w:autoSpaceDE w:val="0"/>
        <w:autoSpaceDN w:val="0"/>
        <w:adjustRightInd w:val="0"/>
        <w:rPr>
          <w:bCs/>
        </w:rPr>
      </w:pPr>
      <w:r w:rsidRPr="001205B9">
        <w:rPr>
          <w:b/>
        </w:rPr>
        <w:t xml:space="preserve">2020 </w:t>
      </w:r>
      <w:r w:rsidRPr="009C67F6">
        <w:rPr>
          <w:bCs/>
        </w:rPr>
        <w:t>– Mountain Run watershed, Catharpin Creek watershed, and Pohick Creek watershed.</w:t>
      </w:r>
    </w:p>
    <w:p w14:paraId="73B850C2" w14:textId="77777777" w:rsidR="00CD6E1B" w:rsidRPr="009C67F6" w:rsidRDefault="00CD6E1B" w:rsidP="00CD6E1B">
      <w:pPr>
        <w:tabs>
          <w:tab w:val="left" w:pos="1080"/>
        </w:tabs>
        <w:autoSpaceDE w:val="0"/>
        <w:autoSpaceDN w:val="0"/>
        <w:adjustRightInd w:val="0"/>
        <w:rPr>
          <w:bCs/>
        </w:rPr>
      </w:pPr>
      <w:r w:rsidRPr="001205B9">
        <w:rPr>
          <w:b/>
        </w:rPr>
        <w:t xml:space="preserve">2021 </w:t>
      </w:r>
      <w:r w:rsidRPr="009C67F6">
        <w:rPr>
          <w:bCs/>
        </w:rPr>
        <w:t>– Broad Run watershed, Four Mile Run watershed, and Pohick Creek watershed.</w:t>
      </w:r>
    </w:p>
    <w:p w14:paraId="00FF2AC6" w14:textId="77777777" w:rsidR="00CD6E1B" w:rsidRPr="009C67F6" w:rsidRDefault="00CD6E1B" w:rsidP="00CD6E1B">
      <w:pPr>
        <w:tabs>
          <w:tab w:val="left" w:pos="1080"/>
        </w:tabs>
        <w:autoSpaceDE w:val="0"/>
        <w:autoSpaceDN w:val="0"/>
        <w:adjustRightInd w:val="0"/>
        <w:rPr>
          <w:bCs/>
        </w:rPr>
      </w:pPr>
      <w:r w:rsidRPr="001205B9">
        <w:rPr>
          <w:b/>
        </w:rPr>
        <w:t xml:space="preserve">2022 </w:t>
      </w:r>
      <w:r w:rsidRPr="009C67F6">
        <w:rPr>
          <w:bCs/>
        </w:rPr>
        <w:t>–Four Mile Run watershed, and tributaries to the Rappahannock River around the City of Fredericksburg.</w:t>
      </w:r>
    </w:p>
    <w:p w14:paraId="5818B0FD" w14:textId="77777777" w:rsidR="00CD6E1B" w:rsidRDefault="00CD6E1B" w:rsidP="00CD6E1B">
      <w:pPr>
        <w:tabs>
          <w:tab w:val="left" w:pos="1080"/>
        </w:tabs>
        <w:autoSpaceDE w:val="0"/>
        <w:autoSpaceDN w:val="0"/>
        <w:adjustRightInd w:val="0"/>
        <w:rPr>
          <w:bCs/>
          <w:u w:val="single"/>
        </w:rPr>
      </w:pPr>
    </w:p>
    <w:p w14:paraId="464AC98E" w14:textId="77777777" w:rsidR="00CD6E1B" w:rsidRDefault="00CD6E1B" w:rsidP="00286BE8">
      <w:pPr>
        <w:pStyle w:val="Heading4"/>
      </w:pPr>
      <w:r>
        <w:t>PCB Monitoring</w:t>
      </w:r>
    </w:p>
    <w:p w14:paraId="3E232441" w14:textId="77777777" w:rsidR="00CD6E1B" w:rsidRPr="00F346CF" w:rsidRDefault="00CD6E1B" w:rsidP="00CD6E1B">
      <w:pPr>
        <w:tabs>
          <w:tab w:val="left" w:pos="1080"/>
        </w:tabs>
        <w:autoSpaceDE w:val="0"/>
        <w:autoSpaceDN w:val="0"/>
        <w:adjustRightInd w:val="0"/>
        <w:rPr>
          <w:bCs/>
        </w:rPr>
      </w:pPr>
      <w:r w:rsidRPr="00F346CF">
        <w:rPr>
          <w:bCs/>
        </w:rPr>
        <w:t>In addition to the above referenced sampling in 2018 and 2021</w:t>
      </w:r>
      <w:r>
        <w:rPr>
          <w:bCs/>
        </w:rPr>
        <w:t>,</w:t>
      </w:r>
      <w:r w:rsidRPr="00F346CF">
        <w:rPr>
          <w:bCs/>
        </w:rPr>
        <w:t xml:space="preserve"> PCB samples were collected in the Mountain Run watershed for the development of a PCB TMDL. In 2021</w:t>
      </w:r>
      <w:r>
        <w:rPr>
          <w:bCs/>
        </w:rPr>
        <w:t>,</w:t>
      </w:r>
      <w:r w:rsidRPr="00F346CF">
        <w:rPr>
          <w:bCs/>
        </w:rPr>
        <w:t xml:space="preserve"> PCB sampling was conducted on the tidal portion of Rappahannock River and some of the tributaries to the Rappahannock River around the City of Fredericksburg.</w:t>
      </w:r>
    </w:p>
    <w:p w14:paraId="65329905" w14:textId="77777777" w:rsidR="00CD6E1B" w:rsidRPr="00F346CF" w:rsidRDefault="00CD6E1B" w:rsidP="00CD6E1B">
      <w:pPr>
        <w:tabs>
          <w:tab w:val="left" w:pos="1080"/>
        </w:tabs>
        <w:autoSpaceDE w:val="0"/>
        <w:autoSpaceDN w:val="0"/>
        <w:adjustRightInd w:val="0"/>
        <w:rPr>
          <w:bCs/>
        </w:rPr>
      </w:pPr>
    </w:p>
    <w:p w14:paraId="6B140DD9" w14:textId="14F428B5" w:rsidR="00CD6E1B" w:rsidRPr="00286BE8" w:rsidRDefault="00CD6E1B" w:rsidP="00286BE8">
      <w:pPr>
        <w:pStyle w:val="Heading4"/>
      </w:pPr>
      <w:r w:rsidRPr="00BD173A">
        <w:t>TMDL Implementation Plan Follow-Up Monitoring</w:t>
      </w:r>
    </w:p>
    <w:p w14:paraId="7B6422FB" w14:textId="77777777" w:rsidR="00CD6E1B" w:rsidRPr="004433C9" w:rsidRDefault="00CD6E1B" w:rsidP="00CD6E1B">
      <w:pPr>
        <w:tabs>
          <w:tab w:val="left" w:pos="1080"/>
        </w:tabs>
        <w:autoSpaceDE w:val="0"/>
        <w:autoSpaceDN w:val="0"/>
        <w:adjustRightInd w:val="0"/>
        <w:rPr>
          <w:bCs/>
        </w:rPr>
      </w:pPr>
      <w:r w:rsidRPr="004433C9">
        <w:rPr>
          <w:bCs/>
        </w:rPr>
        <w:t>NRO collected ambient monitoring data as follow-up to TMDL implementation plans</w:t>
      </w:r>
      <w:r>
        <w:rPr>
          <w:bCs/>
        </w:rPr>
        <w:t xml:space="preserve"> (IPs)</w:t>
      </w:r>
      <w:r w:rsidRPr="004433C9">
        <w:rPr>
          <w:bCs/>
        </w:rPr>
        <w:t xml:space="preserve"> </w:t>
      </w:r>
      <w:r w:rsidRPr="004433C9">
        <w:rPr>
          <w:bCs/>
        </w:rPr>
        <w:lastRenderedPageBreak/>
        <w:t>developed</w:t>
      </w:r>
      <w:r>
        <w:rPr>
          <w:bCs/>
        </w:rPr>
        <w:t xml:space="preserve"> </w:t>
      </w:r>
      <w:r w:rsidRPr="004433C9">
        <w:rPr>
          <w:bCs/>
        </w:rPr>
        <w:t xml:space="preserve">for the following </w:t>
      </w:r>
      <w:r w:rsidRPr="00F536E6">
        <w:rPr>
          <w:bCs/>
        </w:rPr>
        <w:t xml:space="preserve">streams: </w:t>
      </w:r>
    </w:p>
    <w:p w14:paraId="4B9EFFC7" w14:textId="77777777" w:rsidR="00CD6E1B" w:rsidRDefault="00CD6E1B" w:rsidP="00CD6E1B">
      <w:pPr>
        <w:tabs>
          <w:tab w:val="left" w:pos="1080"/>
        </w:tabs>
        <w:autoSpaceDE w:val="0"/>
        <w:autoSpaceDN w:val="0"/>
        <w:adjustRightInd w:val="0"/>
        <w:rPr>
          <w:bCs/>
        </w:rPr>
      </w:pPr>
    </w:p>
    <w:p w14:paraId="2DC7543B" w14:textId="77777777" w:rsidR="00CD6E1B" w:rsidRDefault="00CD6E1B" w:rsidP="00CD6E1B">
      <w:pPr>
        <w:tabs>
          <w:tab w:val="left" w:pos="1080"/>
        </w:tabs>
        <w:autoSpaceDE w:val="0"/>
        <w:autoSpaceDN w:val="0"/>
        <w:adjustRightInd w:val="0"/>
        <w:rPr>
          <w:bCs/>
        </w:rPr>
      </w:pPr>
      <w:r w:rsidRPr="00F522C8">
        <w:rPr>
          <w:b/>
          <w:bCs/>
        </w:rPr>
        <w:t>2018</w:t>
      </w:r>
      <w:r>
        <w:rPr>
          <w:bCs/>
        </w:rPr>
        <w:t xml:space="preserve"> – Thumb Run watershed, Carter Run watershed, Great Run watershed, and Thornton River watershed.</w:t>
      </w:r>
    </w:p>
    <w:p w14:paraId="52F7143A" w14:textId="77777777" w:rsidR="00CD6E1B" w:rsidRDefault="00CD6E1B" w:rsidP="00CD6E1B">
      <w:pPr>
        <w:tabs>
          <w:tab w:val="left" w:pos="1080"/>
        </w:tabs>
        <w:autoSpaceDE w:val="0"/>
        <w:autoSpaceDN w:val="0"/>
        <w:adjustRightInd w:val="0"/>
        <w:rPr>
          <w:bCs/>
        </w:rPr>
      </w:pPr>
      <w:r w:rsidRPr="00F522C8">
        <w:rPr>
          <w:b/>
        </w:rPr>
        <w:t xml:space="preserve">2020 </w:t>
      </w:r>
      <w:r>
        <w:rPr>
          <w:bCs/>
        </w:rPr>
        <w:t>–Marsh Run watershed, Great Run watershed, Carter Run watershed, Thumb Run watershed, Terry’s Run watershed, Garth Run watershed, Blue Run watershed, Dark Run watershed, and Covington River watershed.</w:t>
      </w:r>
    </w:p>
    <w:p w14:paraId="6BCFE922" w14:textId="77777777" w:rsidR="00CD6E1B" w:rsidRDefault="00CD6E1B" w:rsidP="00CD6E1B">
      <w:pPr>
        <w:tabs>
          <w:tab w:val="left" w:pos="1080"/>
        </w:tabs>
        <w:autoSpaceDE w:val="0"/>
        <w:autoSpaceDN w:val="0"/>
        <w:adjustRightInd w:val="0"/>
        <w:rPr>
          <w:bCs/>
        </w:rPr>
      </w:pPr>
      <w:r w:rsidRPr="005E080A">
        <w:rPr>
          <w:b/>
        </w:rPr>
        <w:t xml:space="preserve">2021 </w:t>
      </w:r>
      <w:r>
        <w:rPr>
          <w:bCs/>
        </w:rPr>
        <w:t xml:space="preserve">– Little River watershed, Thumb Run watershed, Hazel Run watershed, </w:t>
      </w:r>
      <w:r w:rsidRPr="00A60647">
        <w:rPr>
          <w:bCs/>
        </w:rPr>
        <w:t>Rush</w:t>
      </w:r>
      <w:r>
        <w:rPr>
          <w:bCs/>
        </w:rPr>
        <w:t xml:space="preserve"> River watershed, Covington Run watershed, Garth Run watershed, Beautiful Run watershed, and Blue Run watershed.</w:t>
      </w:r>
    </w:p>
    <w:p w14:paraId="222FA50E" w14:textId="77777777" w:rsidR="00CD6E1B" w:rsidRDefault="00CD6E1B" w:rsidP="00CD6E1B">
      <w:pPr>
        <w:tabs>
          <w:tab w:val="left" w:pos="1080"/>
        </w:tabs>
        <w:autoSpaceDE w:val="0"/>
        <w:autoSpaceDN w:val="0"/>
        <w:adjustRightInd w:val="0"/>
        <w:rPr>
          <w:bCs/>
        </w:rPr>
      </w:pPr>
      <w:r w:rsidRPr="006A014F">
        <w:rPr>
          <w:b/>
        </w:rPr>
        <w:t xml:space="preserve">2022 </w:t>
      </w:r>
      <w:r>
        <w:rPr>
          <w:bCs/>
        </w:rPr>
        <w:t xml:space="preserve">– Cromwell Run watershed, Little River watershed, Hazel Run watershed, Rush River watershed, Garth Run watershed, Conway River watershed, Rose River watershed, and Robinson River watershed. </w:t>
      </w:r>
    </w:p>
    <w:p w14:paraId="18DBCC8D" w14:textId="77777777" w:rsidR="00CD6E1B" w:rsidRDefault="00CD6E1B" w:rsidP="00CD6E1B">
      <w:pPr>
        <w:tabs>
          <w:tab w:val="left" w:pos="1080"/>
        </w:tabs>
        <w:autoSpaceDE w:val="0"/>
        <w:autoSpaceDN w:val="0"/>
        <w:adjustRightInd w:val="0"/>
        <w:rPr>
          <w:b/>
          <w:sz w:val="28"/>
          <w:szCs w:val="28"/>
        </w:rPr>
      </w:pPr>
    </w:p>
    <w:p w14:paraId="7AC26D11" w14:textId="5DAB177B" w:rsidR="00CD6E1B" w:rsidRPr="00286BE8" w:rsidRDefault="00CD6E1B" w:rsidP="00286BE8">
      <w:pPr>
        <w:pStyle w:val="Heading4"/>
      </w:pPr>
      <w:r w:rsidRPr="00BD173A">
        <w:t>Monitoring for Special Projects</w:t>
      </w:r>
    </w:p>
    <w:p w14:paraId="0FDF17F8" w14:textId="77777777" w:rsidR="00CD6E1B" w:rsidRPr="00286BE8" w:rsidRDefault="00CD6E1B" w:rsidP="00CD6E1B">
      <w:pPr>
        <w:tabs>
          <w:tab w:val="left" w:pos="1080"/>
        </w:tabs>
        <w:autoSpaceDE w:val="0"/>
        <w:autoSpaceDN w:val="0"/>
        <w:adjustRightInd w:val="0"/>
        <w:rPr>
          <w:bCs/>
          <w:u w:val="single"/>
        </w:rPr>
      </w:pPr>
      <w:r w:rsidRPr="00286BE8">
        <w:rPr>
          <w:bCs/>
          <w:u w:val="single"/>
        </w:rPr>
        <w:t>TDS in Cedar Run and Cabin Branch</w:t>
      </w:r>
    </w:p>
    <w:p w14:paraId="7CA7430E" w14:textId="7772C78E" w:rsidR="00CD6E1B" w:rsidRDefault="00CD6E1B" w:rsidP="00CD6E1B">
      <w:pPr>
        <w:tabs>
          <w:tab w:val="left" w:pos="1080"/>
        </w:tabs>
        <w:autoSpaceDE w:val="0"/>
        <w:autoSpaceDN w:val="0"/>
        <w:adjustRightInd w:val="0"/>
        <w:rPr>
          <w:bCs/>
        </w:rPr>
      </w:pPr>
      <w:r w:rsidRPr="00280E31">
        <w:rPr>
          <w:bCs/>
        </w:rPr>
        <w:t>In 2020, a special study</w:t>
      </w:r>
      <w:r>
        <w:rPr>
          <w:bCs/>
        </w:rPr>
        <w:t xml:space="preserve"> (No. 036012) </w:t>
      </w:r>
      <w:r w:rsidRPr="00280E31">
        <w:rPr>
          <w:bCs/>
        </w:rPr>
        <w:t xml:space="preserve">was done on Cedar Run and Cabin Branch </w:t>
      </w:r>
      <w:r>
        <w:rPr>
          <w:bCs/>
        </w:rPr>
        <w:t xml:space="preserve">waterways </w:t>
      </w:r>
      <w:r w:rsidRPr="00280E31">
        <w:rPr>
          <w:bCs/>
        </w:rPr>
        <w:t xml:space="preserve">located in Culpeper </w:t>
      </w:r>
      <w:r>
        <w:rPr>
          <w:bCs/>
        </w:rPr>
        <w:t>County</w:t>
      </w:r>
      <w:r w:rsidRPr="00280E31">
        <w:rPr>
          <w:bCs/>
        </w:rPr>
        <w:t>.</w:t>
      </w:r>
      <w:r>
        <w:rPr>
          <w:bCs/>
        </w:rPr>
        <w:t xml:space="preserve"> </w:t>
      </w:r>
      <w:r w:rsidRPr="00280E31">
        <w:rPr>
          <w:bCs/>
        </w:rPr>
        <w:t>Th</w:t>
      </w:r>
      <w:r>
        <w:rPr>
          <w:bCs/>
        </w:rPr>
        <w:t>is</w:t>
      </w:r>
      <w:r w:rsidRPr="00280E31">
        <w:rPr>
          <w:bCs/>
        </w:rPr>
        <w:t xml:space="preserve"> study </w:t>
      </w:r>
      <w:r>
        <w:rPr>
          <w:bCs/>
        </w:rPr>
        <w:t>sampled nutrients,</w:t>
      </w:r>
      <w:r w:rsidRPr="00280E31">
        <w:rPr>
          <w:bCs/>
        </w:rPr>
        <w:t xml:space="preserve"> TDS</w:t>
      </w:r>
      <w:r>
        <w:rPr>
          <w:bCs/>
        </w:rPr>
        <w:t>, and Ion trends</w:t>
      </w:r>
      <w:r w:rsidRPr="00280E31">
        <w:rPr>
          <w:bCs/>
        </w:rPr>
        <w:t xml:space="preserve"> at </w:t>
      </w:r>
      <w:r>
        <w:rPr>
          <w:bCs/>
        </w:rPr>
        <w:t xml:space="preserve">four monitoring stations, </w:t>
      </w:r>
      <w:r w:rsidRPr="00280E31">
        <w:rPr>
          <w:bCs/>
        </w:rPr>
        <w:t xml:space="preserve">two stations on Cabin Branch and two stations on Cedar Run. </w:t>
      </w:r>
      <w:r>
        <w:rPr>
          <w:bCs/>
        </w:rPr>
        <w:t xml:space="preserve">The monitoring stations were placed to bracket the effluent discharges to determine potential effects on the streams from </w:t>
      </w:r>
      <w:proofErr w:type="spellStart"/>
      <w:r>
        <w:rPr>
          <w:bCs/>
        </w:rPr>
        <w:t>Coffeewood</w:t>
      </w:r>
      <w:proofErr w:type="spellEnd"/>
      <w:r>
        <w:rPr>
          <w:bCs/>
        </w:rPr>
        <w:t xml:space="preserve"> Correctional Center, a wastewater treatment plant and water treatment plant, and Cedar Mountain Stone operation.</w:t>
      </w:r>
    </w:p>
    <w:p w14:paraId="37C4789B" w14:textId="77777777" w:rsidR="00CD6E1B" w:rsidRDefault="00CD6E1B" w:rsidP="00CD6E1B">
      <w:pPr>
        <w:tabs>
          <w:tab w:val="left" w:pos="1080"/>
        </w:tabs>
        <w:autoSpaceDE w:val="0"/>
        <w:autoSpaceDN w:val="0"/>
        <w:adjustRightInd w:val="0"/>
        <w:rPr>
          <w:bCs/>
        </w:rPr>
      </w:pPr>
    </w:p>
    <w:p w14:paraId="0753AA5A" w14:textId="77777777" w:rsidR="00CD6E1B" w:rsidRPr="002732D7" w:rsidRDefault="00CD6E1B" w:rsidP="00CD6E1B">
      <w:pPr>
        <w:tabs>
          <w:tab w:val="left" w:pos="1080"/>
        </w:tabs>
        <w:autoSpaceDE w:val="0"/>
        <w:autoSpaceDN w:val="0"/>
        <w:adjustRightInd w:val="0"/>
        <w:rPr>
          <w:bCs/>
          <w:u w:val="single"/>
        </w:rPr>
      </w:pPr>
      <w:r w:rsidRPr="002732D7">
        <w:rPr>
          <w:bCs/>
          <w:u w:val="single"/>
        </w:rPr>
        <w:t>N</w:t>
      </w:r>
      <w:r w:rsidRPr="007B3F08">
        <w:rPr>
          <w:bCs/>
          <w:u w:val="single"/>
          <w:vertAlign w:val="subscript"/>
        </w:rPr>
        <w:t>2</w:t>
      </w:r>
      <w:r w:rsidRPr="002732D7">
        <w:rPr>
          <w:bCs/>
          <w:u w:val="single"/>
        </w:rPr>
        <w:t xml:space="preserve">O on Potomac </w:t>
      </w:r>
      <w:proofErr w:type="spellStart"/>
      <w:r w:rsidRPr="002732D7">
        <w:rPr>
          <w:bCs/>
          <w:u w:val="single"/>
        </w:rPr>
        <w:t>Embayments</w:t>
      </w:r>
      <w:proofErr w:type="spellEnd"/>
      <w:r w:rsidRPr="002732D7">
        <w:rPr>
          <w:bCs/>
          <w:u w:val="single"/>
        </w:rPr>
        <w:t xml:space="preserve"> </w:t>
      </w:r>
    </w:p>
    <w:p w14:paraId="2FBB0295" w14:textId="3EB7809F" w:rsidR="00CD6E1B" w:rsidRPr="001C0FB1" w:rsidRDefault="00CD6E1B" w:rsidP="00CD6E1B">
      <w:pPr>
        <w:tabs>
          <w:tab w:val="left" w:pos="1080"/>
        </w:tabs>
        <w:autoSpaceDE w:val="0"/>
        <w:autoSpaceDN w:val="0"/>
        <w:adjustRightInd w:val="0"/>
        <w:rPr>
          <w:bCs/>
        </w:rPr>
      </w:pPr>
      <w:r w:rsidRPr="001C0FB1">
        <w:rPr>
          <w:bCs/>
        </w:rPr>
        <w:t>Beginning in 2021 and continuing in 2022, NRO conducted monthly sampling on the Potomac River and</w:t>
      </w:r>
      <w:r>
        <w:rPr>
          <w:bCs/>
        </w:rPr>
        <w:t xml:space="preserve"> select</w:t>
      </w:r>
      <w:r w:rsidRPr="001C0FB1">
        <w:rPr>
          <w:bCs/>
        </w:rPr>
        <w:t xml:space="preserve"> </w:t>
      </w:r>
      <w:proofErr w:type="spellStart"/>
      <w:r w:rsidRPr="001C0FB1">
        <w:rPr>
          <w:bCs/>
        </w:rPr>
        <w:t>embayments</w:t>
      </w:r>
      <w:proofErr w:type="spellEnd"/>
      <w:r w:rsidRPr="001C0FB1">
        <w:rPr>
          <w:bCs/>
        </w:rPr>
        <w:t xml:space="preserve"> to evaluate the relationship between N</w:t>
      </w:r>
      <w:r w:rsidRPr="007B3F08">
        <w:rPr>
          <w:bCs/>
          <w:vertAlign w:val="subscript"/>
        </w:rPr>
        <w:t>2</w:t>
      </w:r>
      <w:r w:rsidRPr="001C0FB1">
        <w:rPr>
          <w:bCs/>
        </w:rPr>
        <w:t>O emission and water quality to better estimate its annual emission and climate impact</w:t>
      </w:r>
      <w:r>
        <w:rPr>
          <w:bCs/>
        </w:rPr>
        <w:t>.</w:t>
      </w:r>
    </w:p>
    <w:p w14:paraId="345ED756" w14:textId="77777777" w:rsidR="00CD6E1B" w:rsidRDefault="00CD6E1B" w:rsidP="00CD6E1B">
      <w:pPr>
        <w:tabs>
          <w:tab w:val="left" w:pos="1080"/>
        </w:tabs>
        <w:autoSpaceDE w:val="0"/>
        <w:autoSpaceDN w:val="0"/>
        <w:adjustRightInd w:val="0"/>
        <w:rPr>
          <w:bCs/>
          <w:u w:val="single"/>
        </w:rPr>
      </w:pPr>
    </w:p>
    <w:p w14:paraId="3577C37A" w14:textId="77777777" w:rsidR="00CD6E1B" w:rsidRPr="007B3F08" w:rsidRDefault="00CD6E1B" w:rsidP="00CD6E1B">
      <w:pPr>
        <w:tabs>
          <w:tab w:val="left" w:pos="1080"/>
        </w:tabs>
        <w:autoSpaceDE w:val="0"/>
        <w:autoSpaceDN w:val="0"/>
        <w:adjustRightInd w:val="0"/>
        <w:rPr>
          <w:bCs/>
          <w:u w:val="single"/>
        </w:rPr>
      </w:pPr>
      <w:r w:rsidRPr="007B3F08">
        <w:rPr>
          <w:bCs/>
          <w:u w:val="single"/>
        </w:rPr>
        <w:t xml:space="preserve">2019 Potomac Embayment Sediment Study </w:t>
      </w:r>
    </w:p>
    <w:p w14:paraId="4E92F2DD" w14:textId="1DAA61CC" w:rsidR="00CD6E1B" w:rsidRDefault="00CD6E1B" w:rsidP="00CD6E1B">
      <w:pPr>
        <w:tabs>
          <w:tab w:val="left" w:pos="1080"/>
        </w:tabs>
        <w:autoSpaceDE w:val="0"/>
        <w:autoSpaceDN w:val="0"/>
        <w:adjustRightInd w:val="0"/>
        <w:rPr>
          <w:bCs/>
          <w:highlight w:val="yellow"/>
        </w:rPr>
      </w:pPr>
      <w:r>
        <w:rPr>
          <w:rStyle w:val="contentpasted1"/>
          <w:color w:val="000000"/>
        </w:rPr>
        <w:t xml:space="preserve">Sampling was conducted during the summer of 2017 and 2019 to better characterize the condition of estuarine sediment and fish tissue in select Potomac River </w:t>
      </w:r>
      <w:proofErr w:type="spellStart"/>
      <w:r>
        <w:rPr>
          <w:rStyle w:val="contentpasted1"/>
          <w:color w:val="000000"/>
        </w:rPr>
        <w:t>Embayments</w:t>
      </w:r>
      <w:proofErr w:type="spellEnd"/>
      <w:r>
        <w:rPr>
          <w:rStyle w:val="contentpasted1"/>
          <w:color w:val="000000"/>
        </w:rPr>
        <w:t xml:space="preserve"> in Northern Virginia. The study area is comprised of both tidal freshwater and oligohaline waters of the Potomac River.</w:t>
      </w:r>
    </w:p>
    <w:p w14:paraId="767BF66D" w14:textId="77777777" w:rsidR="00CD6E1B" w:rsidRDefault="00CD6E1B" w:rsidP="00CD6E1B">
      <w:pPr>
        <w:tabs>
          <w:tab w:val="left" w:pos="1080"/>
        </w:tabs>
        <w:autoSpaceDE w:val="0"/>
        <w:autoSpaceDN w:val="0"/>
        <w:adjustRightInd w:val="0"/>
        <w:rPr>
          <w:b/>
        </w:rPr>
      </w:pPr>
    </w:p>
    <w:p w14:paraId="0CA9B441" w14:textId="77777777" w:rsidR="00CD6E1B" w:rsidRPr="007B3F08" w:rsidRDefault="00CD6E1B" w:rsidP="00CD6E1B">
      <w:pPr>
        <w:tabs>
          <w:tab w:val="left" w:pos="1080"/>
        </w:tabs>
        <w:autoSpaceDE w:val="0"/>
        <w:autoSpaceDN w:val="0"/>
        <w:adjustRightInd w:val="0"/>
        <w:rPr>
          <w:bCs/>
          <w:u w:val="single"/>
        </w:rPr>
      </w:pPr>
      <w:r w:rsidRPr="007B3F08">
        <w:rPr>
          <w:bCs/>
          <w:u w:val="single"/>
        </w:rPr>
        <w:t>PFAS Targeted Sampling</w:t>
      </w:r>
    </w:p>
    <w:p w14:paraId="6574D071" w14:textId="77777777" w:rsidR="00CD6E1B" w:rsidRPr="00372E89" w:rsidRDefault="00CD6E1B" w:rsidP="00CD6E1B">
      <w:pPr>
        <w:tabs>
          <w:tab w:val="left" w:pos="1080"/>
        </w:tabs>
        <w:autoSpaceDE w:val="0"/>
        <w:autoSpaceDN w:val="0"/>
        <w:adjustRightInd w:val="0"/>
        <w:rPr>
          <w:bCs/>
        </w:rPr>
      </w:pPr>
      <w:r w:rsidRPr="00372E89">
        <w:rPr>
          <w:bCs/>
        </w:rPr>
        <w:t>In 2022</w:t>
      </w:r>
      <w:r>
        <w:rPr>
          <w:bCs/>
        </w:rPr>
        <w:t>,</w:t>
      </w:r>
      <w:r w:rsidRPr="00372E89">
        <w:rPr>
          <w:bCs/>
        </w:rPr>
        <w:t xml:space="preserve"> NRO completed PFAS sampling at </w:t>
      </w:r>
      <w:r>
        <w:rPr>
          <w:bCs/>
        </w:rPr>
        <w:t>five</w:t>
      </w:r>
      <w:r w:rsidRPr="00372E89">
        <w:rPr>
          <w:bCs/>
        </w:rPr>
        <w:t xml:space="preserve"> Probabilistic monitoring sites and </w:t>
      </w:r>
      <w:r>
        <w:rPr>
          <w:bCs/>
        </w:rPr>
        <w:t>four</w:t>
      </w:r>
      <w:r w:rsidRPr="00372E89">
        <w:rPr>
          <w:bCs/>
        </w:rPr>
        <w:t xml:space="preserve"> targeted sites.</w:t>
      </w:r>
    </w:p>
    <w:p w14:paraId="4D6D6D0C" w14:textId="77777777" w:rsidR="00CD6E1B" w:rsidRPr="004433C9" w:rsidRDefault="00CD6E1B" w:rsidP="00CD6E1B">
      <w:pPr>
        <w:tabs>
          <w:tab w:val="left" w:pos="1080"/>
        </w:tabs>
        <w:autoSpaceDE w:val="0"/>
        <w:autoSpaceDN w:val="0"/>
        <w:adjustRightInd w:val="0"/>
        <w:rPr>
          <w:bCs/>
        </w:rPr>
      </w:pPr>
    </w:p>
    <w:p w14:paraId="0168F07B" w14:textId="26358FD8" w:rsidR="00CD6E1B" w:rsidRPr="007B3F08" w:rsidRDefault="00CD6E1B" w:rsidP="007B3F08">
      <w:pPr>
        <w:pStyle w:val="Heading4"/>
      </w:pPr>
      <w:r w:rsidRPr="003E025B">
        <w:t>TMDL Studies and Implementation Plan Projects</w:t>
      </w:r>
    </w:p>
    <w:p w14:paraId="31DE5EC0" w14:textId="77777777" w:rsidR="00CD6E1B" w:rsidRPr="007B3F08" w:rsidRDefault="00CD6E1B" w:rsidP="00CD6E1B">
      <w:pPr>
        <w:tabs>
          <w:tab w:val="left" w:pos="1080"/>
        </w:tabs>
        <w:autoSpaceDE w:val="0"/>
        <w:autoSpaceDN w:val="0"/>
        <w:adjustRightInd w:val="0"/>
        <w:rPr>
          <w:u w:val="single"/>
        </w:rPr>
      </w:pPr>
      <w:proofErr w:type="spellStart"/>
      <w:r w:rsidRPr="007B3F08">
        <w:rPr>
          <w:u w:val="single"/>
        </w:rPr>
        <w:t>SaMS</w:t>
      </w:r>
      <w:proofErr w:type="spellEnd"/>
    </w:p>
    <w:p w14:paraId="3AE5AAD7" w14:textId="4B82ECAD" w:rsidR="00CD6E1B" w:rsidRDefault="00CD6E1B" w:rsidP="00CD6E1B">
      <w:pPr>
        <w:tabs>
          <w:tab w:val="left" w:pos="1080"/>
        </w:tabs>
        <w:autoSpaceDE w:val="0"/>
        <w:autoSpaceDN w:val="0"/>
        <w:adjustRightInd w:val="0"/>
        <w:rPr>
          <w:bCs/>
        </w:rPr>
      </w:pPr>
      <w:r>
        <w:rPr>
          <w:bCs/>
        </w:rPr>
        <w:t>Initiated in 2017, work continued in 2019 and 2020 on development of the Salt Management Strategy (</w:t>
      </w:r>
      <w:proofErr w:type="spellStart"/>
      <w:r>
        <w:rPr>
          <w:bCs/>
        </w:rPr>
        <w:t>SaMS</w:t>
      </w:r>
      <w:proofErr w:type="spellEnd"/>
      <w:r>
        <w:rPr>
          <w:bCs/>
        </w:rPr>
        <w:t xml:space="preserve">), which is a resource of recommended practices to minimize the over application of winter salts in Northern Virginia. The toolkit, which is the document comprising </w:t>
      </w:r>
      <w:r>
        <w:rPr>
          <w:bCs/>
        </w:rPr>
        <w:lastRenderedPageBreak/>
        <w:t xml:space="preserve">the recommendations, was drafted, public noticed and finalized in early 2021. The </w:t>
      </w:r>
      <w:proofErr w:type="spellStart"/>
      <w:r>
        <w:rPr>
          <w:bCs/>
        </w:rPr>
        <w:t>SaMS</w:t>
      </w:r>
      <w:proofErr w:type="spellEnd"/>
      <w:r>
        <w:rPr>
          <w:bCs/>
        </w:rPr>
        <w:t xml:space="preserve"> project is an </w:t>
      </w:r>
      <w:r w:rsidRPr="00157E48">
        <w:rPr>
          <w:bCs/>
        </w:rPr>
        <w:t>effort that aids the implementation</w:t>
      </w:r>
      <w:r>
        <w:rPr>
          <w:bCs/>
        </w:rPr>
        <w:t xml:space="preserve"> of the chloride TMDL for the </w:t>
      </w:r>
      <w:proofErr w:type="spellStart"/>
      <w:r>
        <w:rPr>
          <w:bCs/>
        </w:rPr>
        <w:t>Accotink</w:t>
      </w:r>
      <w:proofErr w:type="spellEnd"/>
      <w:r>
        <w:rPr>
          <w:bCs/>
        </w:rPr>
        <w:t xml:space="preserve"> Creek watershed approved by USEPA in 2018, which </w:t>
      </w:r>
      <w:r w:rsidRPr="004433C9">
        <w:rPr>
          <w:bCs/>
        </w:rPr>
        <w:t xml:space="preserve">identified </w:t>
      </w:r>
      <w:r>
        <w:rPr>
          <w:bCs/>
        </w:rPr>
        <w:t xml:space="preserve">the main source stemming from </w:t>
      </w:r>
      <w:r w:rsidRPr="004433C9">
        <w:rPr>
          <w:bCs/>
        </w:rPr>
        <w:t>anti-icers/deicers used during winter storm maintenance activities</w:t>
      </w:r>
      <w:r>
        <w:rPr>
          <w:bCs/>
        </w:rPr>
        <w:t xml:space="preserve"> and winter stormwater runoff. </w:t>
      </w:r>
      <w:proofErr w:type="spellStart"/>
      <w:r>
        <w:rPr>
          <w:bCs/>
        </w:rPr>
        <w:t>SaMS</w:t>
      </w:r>
      <w:proofErr w:type="spellEnd"/>
      <w:r>
        <w:rPr>
          <w:bCs/>
        </w:rPr>
        <w:t xml:space="preserve"> is a proactive approach, by extending the project area to the entire northern Virginia region as it was accepted that winter management practices do not follow watershed boundaries and impacts from winter salts are likely prevalent throughout the urban area.</w:t>
      </w:r>
      <w:r w:rsidRPr="004433C9">
        <w:rPr>
          <w:bCs/>
        </w:rPr>
        <w:t xml:space="preserve"> </w:t>
      </w:r>
      <w:r>
        <w:rPr>
          <w:bCs/>
        </w:rPr>
        <w:t xml:space="preserve">The implementation phase of the </w:t>
      </w:r>
      <w:proofErr w:type="spellStart"/>
      <w:r>
        <w:rPr>
          <w:bCs/>
        </w:rPr>
        <w:t>SaMS</w:t>
      </w:r>
      <w:proofErr w:type="spellEnd"/>
      <w:r>
        <w:rPr>
          <w:bCs/>
        </w:rPr>
        <w:t xml:space="preserve"> project began in 2021 and is being executed under the leadership of the Northern Virginia Regional Commission (NVRC).</w:t>
      </w:r>
    </w:p>
    <w:p w14:paraId="17D7DD33" w14:textId="77777777" w:rsidR="00CD6E1B" w:rsidRDefault="00CD6E1B" w:rsidP="00CD6E1B">
      <w:pPr>
        <w:tabs>
          <w:tab w:val="left" w:pos="1080"/>
        </w:tabs>
        <w:autoSpaceDE w:val="0"/>
        <w:autoSpaceDN w:val="0"/>
        <w:adjustRightInd w:val="0"/>
        <w:rPr>
          <w:bCs/>
        </w:rPr>
      </w:pPr>
    </w:p>
    <w:p w14:paraId="4F4DBCA7" w14:textId="77777777" w:rsidR="00CD6E1B" w:rsidRPr="007B3F08" w:rsidRDefault="00CD6E1B" w:rsidP="00CD6E1B">
      <w:pPr>
        <w:tabs>
          <w:tab w:val="left" w:pos="1080"/>
        </w:tabs>
        <w:autoSpaceDE w:val="0"/>
        <w:autoSpaceDN w:val="0"/>
        <w:adjustRightInd w:val="0"/>
        <w:rPr>
          <w:bCs/>
          <w:u w:val="single"/>
        </w:rPr>
      </w:pPr>
      <w:r w:rsidRPr="007B3F08">
        <w:rPr>
          <w:bCs/>
          <w:u w:val="single"/>
        </w:rPr>
        <w:t>North Fork Catoctin Creek</w:t>
      </w:r>
    </w:p>
    <w:p w14:paraId="744B2550" w14:textId="77777777" w:rsidR="00CD6E1B" w:rsidRDefault="00CD6E1B" w:rsidP="00CD6E1B">
      <w:pPr>
        <w:tabs>
          <w:tab w:val="left" w:pos="1080"/>
        </w:tabs>
        <w:autoSpaceDE w:val="0"/>
        <w:autoSpaceDN w:val="0"/>
        <w:adjustRightInd w:val="0"/>
        <w:rPr>
          <w:bCs/>
        </w:rPr>
      </w:pPr>
      <w:r>
        <w:rPr>
          <w:bCs/>
        </w:rPr>
        <w:t xml:space="preserve">NRO developed a </w:t>
      </w:r>
      <w:r w:rsidRPr="004433C9">
        <w:rPr>
          <w:bCs/>
        </w:rPr>
        <w:t xml:space="preserve">watershed management plan </w:t>
      </w:r>
      <w:r>
        <w:rPr>
          <w:bCs/>
        </w:rPr>
        <w:t xml:space="preserve">which </w:t>
      </w:r>
      <w:r w:rsidRPr="00814461">
        <w:rPr>
          <w:bCs/>
        </w:rPr>
        <w:t xml:space="preserve">was </w:t>
      </w:r>
      <w:r>
        <w:rPr>
          <w:bCs/>
        </w:rPr>
        <w:t>completed in 2019 and approved by the EPA in 2020. A</w:t>
      </w:r>
      <w:r w:rsidRPr="004433C9">
        <w:rPr>
          <w:bCs/>
        </w:rPr>
        <w:t xml:space="preserve"> TMDL and an </w:t>
      </w:r>
      <w:r>
        <w:rPr>
          <w:bCs/>
        </w:rPr>
        <w:t>IP</w:t>
      </w:r>
      <w:r w:rsidRPr="004433C9">
        <w:rPr>
          <w:bCs/>
        </w:rPr>
        <w:t xml:space="preserve"> </w:t>
      </w:r>
      <w:r>
        <w:rPr>
          <w:bCs/>
        </w:rPr>
        <w:t xml:space="preserve">were concurrently developed </w:t>
      </w:r>
      <w:r w:rsidRPr="004433C9">
        <w:rPr>
          <w:bCs/>
        </w:rPr>
        <w:t>to address a benthic macroinvertebrate impairment in North Fork Catoctin Creek</w:t>
      </w:r>
      <w:r>
        <w:rPr>
          <w:bCs/>
        </w:rPr>
        <w:t xml:space="preserve"> watershed.</w:t>
      </w:r>
      <w:r w:rsidRPr="004433C9">
        <w:rPr>
          <w:bCs/>
        </w:rPr>
        <w:t xml:space="preserve"> The effort began with a stressor analysis, initiated in 2015, which identified sediment as the most probable stressor. The concurren</w:t>
      </w:r>
      <w:r>
        <w:rPr>
          <w:bCs/>
        </w:rPr>
        <w:t>t development of a TMDL and an IP</w:t>
      </w:r>
      <w:r w:rsidRPr="004433C9">
        <w:rPr>
          <w:bCs/>
        </w:rPr>
        <w:t xml:space="preserve"> enables implementation to occur more quickly in this watershed where the majority of the sources are unregulated nonpoint sources. </w:t>
      </w:r>
    </w:p>
    <w:p w14:paraId="01E35551" w14:textId="77777777" w:rsidR="00CD6E1B" w:rsidRDefault="00CD6E1B" w:rsidP="00CD6E1B">
      <w:pPr>
        <w:tabs>
          <w:tab w:val="left" w:pos="1080"/>
        </w:tabs>
        <w:autoSpaceDE w:val="0"/>
        <w:autoSpaceDN w:val="0"/>
        <w:adjustRightInd w:val="0"/>
        <w:rPr>
          <w:bCs/>
        </w:rPr>
      </w:pPr>
    </w:p>
    <w:p w14:paraId="094CC398" w14:textId="77777777" w:rsidR="00CD6E1B" w:rsidRPr="007B3F08" w:rsidRDefault="00CD6E1B" w:rsidP="00CD6E1B">
      <w:pPr>
        <w:tabs>
          <w:tab w:val="left" w:pos="1080"/>
        </w:tabs>
        <w:autoSpaceDE w:val="0"/>
        <w:autoSpaceDN w:val="0"/>
        <w:adjustRightInd w:val="0"/>
        <w:rPr>
          <w:bCs/>
          <w:u w:val="single"/>
        </w:rPr>
      </w:pPr>
      <w:r w:rsidRPr="007B3F08">
        <w:rPr>
          <w:bCs/>
          <w:u w:val="single"/>
        </w:rPr>
        <w:t>Mountain Run Watershed PCB TMDL</w:t>
      </w:r>
    </w:p>
    <w:p w14:paraId="60F8566A" w14:textId="00F7CA8F" w:rsidR="00CD6E1B" w:rsidRDefault="00CD6E1B" w:rsidP="00CD6E1B">
      <w:pPr>
        <w:tabs>
          <w:tab w:val="left" w:pos="1080"/>
        </w:tabs>
        <w:autoSpaceDE w:val="0"/>
        <w:autoSpaceDN w:val="0"/>
        <w:adjustRightInd w:val="0"/>
        <w:rPr>
          <w:bCs/>
        </w:rPr>
      </w:pPr>
      <w:r>
        <w:rPr>
          <w:bCs/>
        </w:rPr>
        <w:t>A TMDL project for PCBs in the Mountain Run Watershed in Culpeper County kicked off in 2019 and was ongoing through 2022 in collaboration with DEQ’s Central Office. DEQ held its first technical advisory committee meeting and public meeting in January 2021. A second meeting was held in July 2022 and the contractor and DEQ worked on the report through the rest of the assessment cycle.</w:t>
      </w:r>
    </w:p>
    <w:p w14:paraId="32181A2F" w14:textId="77777777" w:rsidR="00CD6E1B" w:rsidRPr="004433C9" w:rsidRDefault="00CD6E1B" w:rsidP="00CD6E1B">
      <w:pPr>
        <w:tabs>
          <w:tab w:val="left" w:pos="1080"/>
        </w:tabs>
        <w:autoSpaceDE w:val="0"/>
        <w:autoSpaceDN w:val="0"/>
        <w:adjustRightInd w:val="0"/>
        <w:rPr>
          <w:b/>
          <w:bCs/>
        </w:rPr>
      </w:pPr>
    </w:p>
    <w:p w14:paraId="61B14707" w14:textId="77777777" w:rsidR="00CD6E1B" w:rsidRPr="007B3F08" w:rsidRDefault="00CD6E1B" w:rsidP="00CD6E1B">
      <w:pPr>
        <w:tabs>
          <w:tab w:val="left" w:pos="1080"/>
        </w:tabs>
        <w:autoSpaceDE w:val="0"/>
        <w:autoSpaceDN w:val="0"/>
        <w:adjustRightInd w:val="0"/>
        <w:rPr>
          <w:bCs/>
          <w:u w:val="single"/>
        </w:rPr>
      </w:pPr>
      <w:r w:rsidRPr="007B3F08">
        <w:rPr>
          <w:bCs/>
          <w:u w:val="single"/>
        </w:rPr>
        <w:t>Mattaponi River IP</w:t>
      </w:r>
    </w:p>
    <w:p w14:paraId="68FEBC18" w14:textId="413DB960" w:rsidR="00CD6E1B" w:rsidRDefault="00CD6E1B" w:rsidP="00CD6E1B">
      <w:pPr>
        <w:tabs>
          <w:tab w:val="left" w:pos="1080"/>
        </w:tabs>
        <w:autoSpaceDE w:val="0"/>
        <w:autoSpaceDN w:val="0"/>
        <w:adjustRightInd w:val="0"/>
        <w:rPr>
          <w:bCs/>
        </w:rPr>
      </w:pPr>
      <w:r w:rsidRPr="004433C9">
        <w:rPr>
          <w:bCs/>
        </w:rPr>
        <w:t>Development of an</w:t>
      </w:r>
      <w:r>
        <w:rPr>
          <w:bCs/>
        </w:rPr>
        <w:t xml:space="preserve"> IP</w:t>
      </w:r>
      <w:r w:rsidRPr="004433C9">
        <w:rPr>
          <w:bCs/>
        </w:rPr>
        <w:t xml:space="preserve"> plan for the Mattaponi River </w:t>
      </w:r>
      <w:r>
        <w:rPr>
          <w:bCs/>
        </w:rPr>
        <w:t>w</w:t>
      </w:r>
      <w:r w:rsidRPr="004433C9">
        <w:rPr>
          <w:bCs/>
        </w:rPr>
        <w:t xml:space="preserve">atershed was </w:t>
      </w:r>
      <w:r>
        <w:rPr>
          <w:bCs/>
        </w:rPr>
        <w:t>completed in 2020</w:t>
      </w:r>
      <w:r w:rsidRPr="004433C9">
        <w:rPr>
          <w:bCs/>
        </w:rPr>
        <w:t xml:space="preserve"> for the following streams: Brock Run, Chapel Creek, Doctors Creek, Glady Run, </w:t>
      </w:r>
      <w:proofErr w:type="spellStart"/>
      <w:r w:rsidRPr="004433C9">
        <w:rPr>
          <w:bCs/>
        </w:rPr>
        <w:t>Maracossic</w:t>
      </w:r>
      <w:proofErr w:type="spellEnd"/>
      <w:r w:rsidRPr="004433C9">
        <w:rPr>
          <w:bCs/>
        </w:rPr>
        <w:t xml:space="preserve"> Creek, Mat River, Matta River, Mattaponi River, Motto River, Po River, Polecat Creek, Poni River, Reedy Creek, and Root Swamp.</w:t>
      </w:r>
      <w:r w:rsidR="003560D8">
        <w:rPr>
          <w:bCs/>
        </w:rPr>
        <w:t xml:space="preserve"> </w:t>
      </w:r>
      <w:r w:rsidRPr="004433C9">
        <w:rPr>
          <w:bCs/>
        </w:rPr>
        <w:t xml:space="preserve">In the </w:t>
      </w:r>
      <w:r>
        <w:rPr>
          <w:bCs/>
        </w:rPr>
        <w:t>IP</w:t>
      </w:r>
      <w:r w:rsidRPr="004433C9">
        <w:rPr>
          <w:bCs/>
        </w:rPr>
        <w:t xml:space="preserve"> development process, major emphasis </w:t>
      </w:r>
      <w:r>
        <w:rPr>
          <w:bCs/>
        </w:rPr>
        <w:t>wa</w:t>
      </w:r>
      <w:r w:rsidRPr="004433C9">
        <w:rPr>
          <w:bCs/>
        </w:rPr>
        <w:t xml:space="preserve">s placed on discussing best management practices (BMPs), locations of control measures, education, technical assistance, monitoring, and funding. </w:t>
      </w:r>
      <w:r>
        <w:rPr>
          <w:bCs/>
        </w:rPr>
        <w:t>A Randolph-Macon College environmental studies seminar class provided detailed analysis of bacteria levels at multiple locations on the Po and Matta Rivers to inform implementation efforts in these watersheds.</w:t>
      </w:r>
    </w:p>
    <w:p w14:paraId="0F82DBC8" w14:textId="77777777" w:rsidR="00CD6E1B" w:rsidRDefault="00CD6E1B" w:rsidP="00CD6E1B">
      <w:pPr>
        <w:tabs>
          <w:tab w:val="left" w:pos="1080"/>
        </w:tabs>
        <w:autoSpaceDE w:val="0"/>
        <w:autoSpaceDN w:val="0"/>
        <w:adjustRightInd w:val="0"/>
        <w:rPr>
          <w:bCs/>
        </w:rPr>
      </w:pPr>
    </w:p>
    <w:p w14:paraId="2A365330" w14:textId="77777777" w:rsidR="00CD6E1B" w:rsidRPr="007B3F08" w:rsidRDefault="00CD6E1B" w:rsidP="00CD6E1B">
      <w:pPr>
        <w:tabs>
          <w:tab w:val="left" w:pos="1080"/>
        </w:tabs>
        <w:autoSpaceDE w:val="0"/>
        <w:autoSpaceDN w:val="0"/>
        <w:adjustRightInd w:val="0"/>
        <w:rPr>
          <w:bCs/>
          <w:u w:val="single"/>
        </w:rPr>
      </w:pPr>
      <w:r w:rsidRPr="007B3F08">
        <w:rPr>
          <w:bCs/>
          <w:u w:val="single"/>
        </w:rPr>
        <w:t>Mountain Run, Muddy Run and Lower Hazel River IP</w:t>
      </w:r>
    </w:p>
    <w:p w14:paraId="01220F84" w14:textId="1D4ED975" w:rsidR="00CD6E1B" w:rsidRDefault="00CD6E1B" w:rsidP="00CD6E1B">
      <w:pPr>
        <w:tabs>
          <w:tab w:val="left" w:pos="1080"/>
        </w:tabs>
        <w:autoSpaceDE w:val="0"/>
        <w:autoSpaceDN w:val="0"/>
        <w:adjustRightInd w:val="0"/>
        <w:rPr>
          <w:bCs/>
        </w:rPr>
      </w:pPr>
      <w:r>
        <w:rPr>
          <w:bCs/>
        </w:rPr>
        <w:t xml:space="preserve">Work began in 2020 to develop an IP for the Mountain Run, Muddy Run, and Lower Hazel River watersheds in Culpeper County. These adjoining watersheds were addressed in three separate bacteria TMDLs from 2000, 2004 and 2008, and included several new impairments following completion of the TMDLs. A comparative analysis of BMP recommendations from approved IPs in similar landscape settings is being used to inform the new IP’s BMP goals. This approach has enabled DEQ to prepare the IP entirely “in-house.” The project also addresses aquatic life use/benthic impairments in Mountain Run by emphasizing BMPs that provide co-benefits of sediment and nutrient reductions, as these pollutants are benthic community health stressors. </w:t>
      </w:r>
      <w:r>
        <w:rPr>
          <w:bCs/>
        </w:rPr>
        <w:lastRenderedPageBreak/>
        <w:t>The initial public meeting and first workgroup meetings were held in October 2020 and the project was submitted to the EPA for review and approval in August 2021. Response to comments provided by EPA continued through the rest of the assessment cycle.</w:t>
      </w:r>
    </w:p>
    <w:p w14:paraId="1AF6F65E" w14:textId="77777777" w:rsidR="003B41D0" w:rsidRPr="002D74E4" w:rsidRDefault="003B41D0" w:rsidP="003B41D0">
      <w:pPr>
        <w:tabs>
          <w:tab w:val="left" w:pos="1080"/>
        </w:tabs>
        <w:autoSpaceDE w:val="0"/>
        <w:autoSpaceDN w:val="0"/>
        <w:adjustRightInd w:val="0"/>
      </w:pPr>
    </w:p>
    <w:p w14:paraId="7A31D4A7" w14:textId="694529EA" w:rsidR="003B41D0" w:rsidRPr="00503C74" w:rsidRDefault="00503C74" w:rsidP="00503C74">
      <w:pPr>
        <w:pStyle w:val="Heading3"/>
      </w:pPr>
      <w:r>
        <w:t xml:space="preserve">Piedmont Regional Office (PRO) </w:t>
      </w:r>
    </w:p>
    <w:p w14:paraId="0163B756" w14:textId="11CB445D" w:rsidR="003B41D0" w:rsidRPr="00503C74" w:rsidRDefault="003B41D0" w:rsidP="00503C74">
      <w:pPr>
        <w:pStyle w:val="Heading4"/>
      </w:pPr>
      <w:r w:rsidRPr="008F699A">
        <w:t>Harmful Algal Blooms (HABs)</w:t>
      </w:r>
    </w:p>
    <w:p w14:paraId="7BB38D52" w14:textId="74F91BB1" w:rsidR="003B41D0" w:rsidRPr="0058611E" w:rsidRDefault="00BF2B9E" w:rsidP="005F332C">
      <w:r w:rsidRPr="00BF2B9E">
        <w:t>As part of the Virginia Harmful Algal Bloom Taskforce, PRO responded to 30 reports of algae blooms between 2017 and 2022. The 30 responses were for a variety of water bodies, including estuaries, lakes</w:t>
      </w:r>
      <w:r>
        <w:t>,</w:t>
      </w:r>
      <w:r w:rsidRPr="00BF2B9E">
        <w:t xml:space="preserve"> and rivers. Samples were collected for analysis by Old Dominion University and based on the results of those samples, the Virginia Department of Health issued recreational HAB advisories at three locations. Two of the advisories were issued in 2019 - one on Wilcox Lake in the City of Petersburg and the other on an unnamed tributary to the Chickahominy River in Henrico County. The third advisory was issued in 2022 on Nottoway Lake in Nottoway County.</w:t>
      </w:r>
      <w:r>
        <w:br/>
      </w:r>
    </w:p>
    <w:p w14:paraId="12BEC4E4" w14:textId="493F0D40" w:rsidR="003B41D0" w:rsidRPr="00503C74" w:rsidRDefault="003B41D0" w:rsidP="002F34C4">
      <w:pPr>
        <w:pStyle w:val="Heading4"/>
      </w:pPr>
      <w:r w:rsidRPr="008F699A">
        <w:t>Total Maximum Daily Load (TMDL) Studies</w:t>
      </w:r>
    </w:p>
    <w:p w14:paraId="1A4E8681" w14:textId="2F97A7F6" w:rsidR="00675BB6" w:rsidRDefault="00675BB6" w:rsidP="00675BB6">
      <w:r>
        <w:t>During 2017 - 2022, the Piedmont Regional Office (PRO) completed TMDLs for the following waterbodies: Kits Creek Watershed Benthic TMDL, Lower Chickahominy River Bacterial TMDL,</w:t>
      </w:r>
    </w:p>
    <w:p w14:paraId="55CBB4CF" w14:textId="0B18998E" w:rsidR="003B41D0" w:rsidRPr="0058611E" w:rsidRDefault="00675BB6" w:rsidP="00675BB6">
      <w:r>
        <w:t xml:space="preserve">Rappahannock River and Tributaries Bacterial TMDL, </w:t>
      </w:r>
      <w:r w:rsidR="00590C5C">
        <w:t xml:space="preserve">and </w:t>
      </w:r>
      <w:r>
        <w:t>Mattaponi River and Tributaries Bacterial TMDL</w:t>
      </w:r>
      <w:r w:rsidR="00590C5C">
        <w:t xml:space="preserve">. </w:t>
      </w:r>
      <w:r>
        <w:t>In addition, PRO developed the draft James River and Tributaries (Chesterfield et al.) Benthic TMDL, began the James River and Tributaries (Goochland/Henrico/City of Richmond) Benthic TMDL, and assisted with the ongoing development of the Tidal James River PCB TMDL and the Non-Tidal James River PCB TMDL.</w:t>
      </w:r>
      <w:r w:rsidR="003B41D0" w:rsidRPr="0058611E">
        <w:t> </w:t>
      </w:r>
      <w:r w:rsidR="00590C5C">
        <w:br/>
      </w:r>
    </w:p>
    <w:p w14:paraId="0D64E059" w14:textId="68ED1EAE" w:rsidR="003B41D0" w:rsidRPr="00C45148" w:rsidRDefault="003B41D0" w:rsidP="00C45148">
      <w:pPr>
        <w:pStyle w:val="Heading4"/>
      </w:pPr>
      <w:r w:rsidRPr="008F699A">
        <w:t>PCB Monitoring Studies</w:t>
      </w:r>
    </w:p>
    <w:p w14:paraId="06A1AF08" w14:textId="13A84C5D" w:rsidR="001F4853" w:rsidRPr="001F4853" w:rsidRDefault="001F4853" w:rsidP="001F4853">
      <w:pPr>
        <w:autoSpaceDE w:val="0"/>
        <w:autoSpaceDN w:val="0"/>
        <w:adjustRightInd w:val="0"/>
        <w:rPr>
          <w:bCs/>
        </w:rPr>
      </w:pPr>
      <w:r w:rsidRPr="001F4853">
        <w:rPr>
          <w:bCs/>
          <w:u w:val="single"/>
        </w:rPr>
        <w:t>Tidal James River</w:t>
      </w:r>
      <w:r w:rsidRPr="001F4853">
        <w:rPr>
          <w:bCs/>
        </w:rPr>
        <w:t xml:space="preserve"> - Between 2017 and 2022, PRO collected PCB water column samples from seven stations for the tidal James River PCB study. Base flow and storm targeted sampling occurred at all seven stations. </w:t>
      </w:r>
    </w:p>
    <w:p w14:paraId="03C47E1C" w14:textId="77777777" w:rsidR="001F4853" w:rsidRPr="001F4853" w:rsidRDefault="001F4853" w:rsidP="001F4853">
      <w:pPr>
        <w:autoSpaceDE w:val="0"/>
        <w:autoSpaceDN w:val="0"/>
        <w:adjustRightInd w:val="0"/>
        <w:rPr>
          <w:bCs/>
        </w:rPr>
      </w:pPr>
    </w:p>
    <w:p w14:paraId="242699A0" w14:textId="3A865763" w:rsidR="001F4853" w:rsidRPr="001F4853" w:rsidRDefault="001F4853" w:rsidP="001F4853">
      <w:pPr>
        <w:autoSpaceDE w:val="0"/>
        <w:autoSpaceDN w:val="0"/>
        <w:adjustRightInd w:val="0"/>
        <w:rPr>
          <w:bCs/>
        </w:rPr>
      </w:pPr>
      <w:r w:rsidRPr="001F4853">
        <w:rPr>
          <w:bCs/>
          <w:u w:val="single"/>
        </w:rPr>
        <w:t>Non-Tidal James River</w:t>
      </w:r>
      <w:r w:rsidRPr="001F4853">
        <w:rPr>
          <w:bCs/>
        </w:rPr>
        <w:t xml:space="preserve"> - Between 2017 and 2022, PRO collected PCB water column samples from 22 stations for the non-tidal James study. At 12 of the 22 stations, coordination between PRO and the Office of Surface Water Investigations occurred in order to obtain stream flow measurements at the same time that water quality sampling occurred. Stream gages were present at or near the other 10 stations. Base flow and storm targeted sampling occurred at all 22 stations. In addition, PCB sediment samples were collected at 14 stations. </w:t>
      </w:r>
    </w:p>
    <w:p w14:paraId="77E05216" w14:textId="77777777" w:rsidR="001F4853" w:rsidRPr="001F4853" w:rsidRDefault="001F4853" w:rsidP="001F4853">
      <w:pPr>
        <w:autoSpaceDE w:val="0"/>
        <w:autoSpaceDN w:val="0"/>
        <w:adjustRightInd w:val="0"/>
        <w:rPr>
          <w:bCs/>
        </w:rPr>
      </w:pPr>
    </w:p>
    <w:p w14:paraId="68951BDC" w14:textId="1C7EE046" w:rsidR="003B41D0" w:rsidRPr="001F4853" w:rsidRDefault="001F4853" w:rsidP="001F4853">
      <w:pPr>
        <w:autoSpaceDE w:val="0"/>
        <w:autoSpaceDN w:val="0"/>
        <w:adjustRightInd w:val="0"/>
        <w:rPr>
          <w:bCs/>
        </w:rPr>
      </w:pPr>
      <w:r w:rsidRPr="001F4853">
        <w:rPr>
          <w:bCs/>
          <w:u w:val="single"/>
        </w:rPr>
        <w:t>Rappahannock and York River study</w:t>
      </w:r>
      <w:r w:rsidRPr="001F4853">
        <w:rPr>
          <w:bCs/>
        </w:rPr>
        <w:t xml:space="preserve"> – In 2021, PRO collected PCB water column samples at a total of 14 stations within the Rappahannock and York River basins. With sampling frequencies ranging from seasonal to monthly, a total of 80 samples were collected. Sediment samples were also collected at 13 of the 14 total stations.</w:t>
      </w:r>
    </w:p>
    <w:p w14:paraId="27164036" w14:textId="77777777" w:rsidR="001F4853" w:rsidRDefault="001F4853" w:rsidP="001F4853">
      <w:pPr>
        <w:autoSpaceDE w:val="0"/>
        <w:autoSpaceDN w:val="0"/>
        <w:adjustRightInd w:val="0"/>
        <w:rPr>
          <w:b/>
        </w:rPr>
      </w:pPr>
    </w:p>
    <w:p w14:paraId="216E2CA4" w14:textId="7D8B01EE" w:rsidR="003B41D0" w:rsidRPr="00C45148" w:rsidRDefault="003B41D0" w:rsidP="00C45148">
      <w:pPr>
        <w:pStyle w:val="Heading3"/>
      </w:pPr>
      <w:r w:rsidRPr="0058611E">
        <w:lastRenderedPageBreak/>
        <w:t>Southwest Regional Office (SWRO)</w:t>
      </w:r>
    </w:p>
    <w:p w14:paraId="6B20163F" w14:textId="23ED4935" w:rsidR="003B41D0" w:rsidRPr="00C45148" w:rsidRDefault="003B41D0" w:rsidP="00C45148">
      <w:pPr>
        <w:pStyle w:val="Heading4"/>
      </w:pPr>
      <w:r w:rsidRPr="00063ED8">
        <w:t>Total Maximum Daily Load (TMDL) Development Projects</w:t>
      </w:r>
    </w:p>
    <w:p w14:paraId="18FFB70E" w14:textId="5D54978B" w:rsidR="0027607C" w:rsidRPr="00063ED8" w:rsidRDefault="0027607C" w:rsidP="0027607C">
      <w:pPr>
        <w:rPr>
          <w:color w:val="000000"/>
        </w:rPr>
      </w:pPr>
      <w:r w:rsidRPr="00063ED8">
        <w:rPr>
          <w:color w:val="000000"/>
          <w:u w:val="single"/>
        </w:rPr>
        <w:t>Bluestone River PCB</w:t>
      </w:r>
      <w:r w:rsidRPr="00063ED8">
        <w:rPr>
          <w:color w:val="000000"/>
        </w:rPr>
        <w:t xml:space="preserve"> </w:t>
      </w:r>
      <w:r w:rsidR="0098178A" w:rsidRPr="00063ED8">
        <w:rPr>
          <w:color w:val="000000"/>
        </w:rPr>
        <w:t xml:space="preserve">- </w:t>
      </w:r>
      <w:r w:rsidR="0098178A">
        <w:rPr>
          <w:color w:val="000000"/>
        </w:rPr>
        <w:t>A</w:t>
      </w:r>
      <w:r>
        <w:rPr>
          <w:color w:val="000000"/>
        </w:rPr>
        <w:t xml:space="preserve"> multi-year study continues to support development of a </w:t>
      </w:r>
      <w:r w:rsidRPr="00063ED8">
        <w:rPr>
          <w:color w:val="000000"/>
        </w:rPr>
        <w:t>PCB TMDL for impaired segments of the Bluestone River and tributa</w:t>
      </w:r>
      <w:r>
        <w:rPr>
          <w:color w:val="000000"/>
        </w:rPr>
        <w:t xml:space="preserve">ries in southwestern Virginia. </w:t>
      </w:r>
      <w:r w:rsidRPr="00063ED8">
        <w:rPr>
          <w:color w:val="000000"/>
        </w:rPr>
        <w:t>EPA Region 3 has conducted two previous PCB remediation efforts in the Bluestone watershed. DEQ water sampling during periods of high and low flows in 2017 and 2018 along Whitley Branch, a tributary of the Bluestone River, show improving PCB conditions likely as a result of EPA PCB removal efforts</w:t>
      </w:r>
      <w:r>
        <w:rPr>
          <w:color w:val="000000"/>
        </w:rPr>
        <w:t xml:space="preserve">. </w:t>
      </w:r>
      <w:r w:rsidRPr="00063ED8">
        <w:rPr>
          <w:color w:val="000000"/>
        </w:rPr>
        <w:t xml:space="preserve">However, corresponding samples collected along </w:t>
      </w:r>
      <w:proofErr w:type="spellStart"/>
      <w:r w:rsidRPr="00063ED8">
        <w:rPr>
          <w:color w:val="000000"/>
        </w:rPr>
        <w:t>Beaverpond</w:t>
      </w:r>
      <w:proofErr w:type="spellEnd"/>
      <w:r w:rsidRPr="00063ED8">
        <w:rPr>
          <w:color w:val="000000"/>
        </w:rPr>
        <w:t xml:space="preserve"> Creek continue to show elevated PCB concentrations. Water samples collected from </w:t>
      </w:r>
      <w:proofErr w:type="spellStart"/>
      <w:r w:rsidRPr="00063ED8">
        <w:rPr>
          <w:color w:val="000000"/>
        </w:rPr>
        <w:t>Beaverpond</w:t>
      </w:r>
      <w:proofErr w:type="spellEnd"/>
      <w:r w:rsidRPr="00063ED8">
        <w:rPr>
          <w:color w:val="000000"/>
        </w:rPr>
        <w:t xml:space="preserve"> Creek within Beacon Cave during a high flow period on September 19, 2018, yielded PCB concentrations be</w:t>
      </w:r>
      <w:r>
        <w:rPr>
          <w:color w:val="000000"/>
        </w:rPr>
        <w:t xml:space="preserve">tween 26,666 and 57,182 </w:t>
      </w:r>
      <w:proofErr w:type="spellStart"/>
      <w:r>
        <w:rPr>
          <w:color w:val="000000"/>
        </w:rPr>
        <w:t>pg</w:t>
      </w:r>
      <w:proofErr w:type="spellEnd"/>
      <w:r>
        <w:rPr>
          <w:color w:val="000000"/>
        </w:rPr>
        <w:t xml:space="preserve">/L. </w:t>
      </w:r>
      <w:r w:rsidRPr="00063ED8">
        <w:rPr>
          <w:color w:val="000000"/>
        </w:rPr>
        <w:t>VADEQ surface water data suggests that the Beacon Cave system itself could be the current source of the PCB contamination impacting this creek and migrating via surface water to the Bluestone River. Tetra Tech was contracted by the EPA in 2021 to conduct a removal assessment at the Bluefiel</w:t>
      </w:r>
      <w:r>
        <w:rPr>
          <w:color w:val="000000"/>
        </w:rPr>
        <w:t xml:space="preserve">d Beacon PCB Groundwater Site. </w:t>
      </w:r>
      <w:r w:rsidRPr="00063ED8">
        <w:rPr>
          <w:color w:val="000000"/>
        </w:rPr>
        <w:t>In October 2021, Tetra Tech collected water and sediment samples at newly iden</w:t>
      </w:r>
      <w:r>
        <w:rPr>
          <w:color w:val="000000"/>
        </w:rPr>
        <w:t xml:space="preserve">tified potential source areas. </w:t>
      </w:r>
      <w:r w:rsidRPr="00063ED8">
        <w:rPr>
          <w:color w:val="000000"/>
        </w:rPr>
        <w:t>Coordinated discussions continue among West Virginia DEP, Virginia DEQ, and EPA to address the PCB impairment and the possibility of developing a joint TMDL between Virginia and West Virginia.</w:t>
      </w:r>
    </w:p>
    <w:p w14:paraId="251E5367" w14:textId="77777777" w:rsidR="0027607C" w:rsidRPr="00063ED8" w:rsidRDefault="0027607C" w:rsidP="0027607C">
      <w:pPr>
        <w:rPr>
          <w:color w:val="000000"/>
        </w:rPr>
      </w:pPr>
    </w:p>
    <w:p w14:paraId="17725C8E" w14:textId="4A6EB133" w:rsidR="0027607C" w:rsidRDefault="0027607C" w:rsidP="0027607C">
      <w:pPr>
        <w:rPr>
          <w:color w:val="000000"/>
        </w:rPr>
      </w:pPr>
      <w:r w:rsidRPr="00063ED8">
        <w:rPr>
          <w:color w:val="000000"/>
          <w:u w:val="single"/>
        </w:rPr>
        <w:t>Middle Fork Holston River and Tributaries</w:t>
      </w:r>
      <w:r w:rsidRPr="00063ED8">
        <w:rPr>
          <w:color w:val="000000"/>
        </w:rPr>
        <w:t xml:space="preserve"> - The SWRO has initiated the development of a TMDL to address benthic impairments in the Middle Fork Holston River and tributaries. The SWRO and Emory &amp; Henry College hosted the kick-off meeting for</w:t>
      </w:r>
      <w:r>
        <w:rPr>
          <w:color w:val="000000"/>
        </w:rPr>
        <w:t xml:space="preserve"> the TMDL on December 2, 2021. </w:t>
      </w:r>
      <w:r w:rsidRPr="00063ED8">
        <w:rPr>
          <w:color w:val="000000"/>
        </w:rPr>
        <w:t xml:space="preserve">This TMDL updates and revises two previously completed TMDLs. </w:t>
      </w:r>
      <w:r w:rsidRPr="00063ED8">
        <w:rPr>
          <w:i/>
          <w:color w:val="000000"/>
        </w:rPr>
        <w:t>TMDL Development for Cedar Creek, Hall/Byers Creek, and Hutton Creek</w:t>
      </w:r>
      <w:r w:rsidRPr="00063ED8">
        <w:rPr>
          <w:color w:val="000000"/>
        </w:rPr>
        <w:t xml:space="preserve"> was completed in December of 2003 and </w:t>
      </w:r>
      <w:r w:rsidRPr="00063ED8">
        <w:rPr>
          <w:i/>
          <w:color w:val="000000"/>
        </w:rPr>
        <w:t>Bacteria and Benthic TMDL Development for Middle Fork Holston River</w:t>
      </w:r>
      <w:r w:rsidRPr="00063ED8">
        <w:rPr>
          <w:color w:val="000000"/>
        </w:rPr>
        <w:t xml:space="preserve"> </w:t>
      </w:r>
      <w:r>
        <w:rPr>
          <w:color w:val="000000"/>
        </w:rPr>
        <w:t xml:space="preserve">was completed in October 2009. </w:t>
      </w:r>
      <w:r w:rsidRPr="00063ED8">
        <w:rPr>
          <w:color w:val="000000"/>
        </w:rPr>
        <w:t>This TMDL will address the benthic impairmen</w:t>
      </w:r>
      <w:r>
        <w:rPr>
          <w:color w:val="000000"/>
        </w:rPr>
        <w:t>t and adjust for future growth.</w:t>
      </w:r>
      <w:r w:rsidRPr="00063ED8">
        <w:rPr>
          <w:color w:val="000000"/>
        </w:rPr>
        <w:t xml:space="preserve"> The impaired segments are in the Middle Fork Holston River in Smyth, Wythe and Washington Counties and its tributaries Greenway Creek, Hall Creek, Byers Creek, Cedar Creek, and Tattle Branch in Washington County. These streams are listed on the 303(d) TMDL Priority List and Report as impaired due to violations of the State’s General (Benthic) Water Quality Standard for failing to support the aquatic life use.</w:t>
      </w:r>
      <w:r>
        <w:rPr>
          <w:color w:val="000000"/>
        </w:rPr>
        <w:t xml:space="preserve"> The final public meeting was held on October 19, 2023.</w:t>
      </w:r>
    </w:p>
    <w:p w14:paraId="195567AA" w14:textId="77777777" w:rsidR="0027607C" w:rsidRDefault="0027607C" w:rsidP="0027607C">
      <w:pPr>
        <w:rPr>
          <w:color w:val="000000"/>
        </w:rPr>
      </w:pPr>
    </w:p>
    <w:p w14:paraId="7C76A172" w14:textId="26D3317A" w:rsidR="0027607C" w:rsidRPr="005178D7" w:rsidRDefault="0027607C" w:rsidP="0027607C">
      <w:pPr>
        <w:rPr>
          <w:color w:val="000000"/>
        </w:rPr>
      </w:pPr>
      <w:r w:rsidRPr="005178D7">
        <w:rPr>
          <w:color w:val="000000"/>
          <w:u w:val="single"/>
        </w:rPr>
        <w:t>Wolf Creek</w:t>
      </w:r>
      <w:r>
        <w:rPr>
          <w:color w:val="000000"/>
        </w:rPr>
        <w:t xml:space="preserve"> – Development has begun on a TMDL to address benthic impairments in the Wolf Creek watershed located within the Town of Abingdon. This update will revise a previously completed TMDL for the watershed. </w:t>
      </w:r>
      <w:r>
        <w:rPr>
          <w:i/>
          <w:iCs/>
          <w:color w:val="000000"/>
        </w:rPr>
        <w:t>Bacteria and Benthic Total Maximum Daily Load Development for Wolf Creek</w:t>
      </w:r>
      <w:r>
        <w:rPr>
          <w:color w:val="000000"/>
        </w:rPr>
        <w:t xml:space="preserve"> was completed in 2009. This TMDL will address the benthic impairment and adjust for future growth. The impaired segments of Wolf Creek in Washington County and the Town of Abingdon. These streams are listed on the 303 (d) TMDL Priority List and Report as impaired due to violation of the General (Benthic) Water Quality Standard for failing to support the aquatic life use. A preliminary stressor analysis report for the watershed has been completed and plans are underway to schedule a first public meeting in the first quarter of 2024. </w:t>
      </w:r>
    </w:p>
    <w:p w14:paraId="6E1C978F" w14:textId="77777777" w:rsidR="0027607C" w:rsidRPr="00063ED8" w:rsidRDefault="0027607C" w:rsidP="0027607C">
      <w:pPr>
        <w:rPr>
          <w:color w:val="000000"/>
        </w:rPr>
      </w:pPr>
    </w:p>
    <w:p w14:paraId="59EF409C" w14:textId="77777777" w:rsidR="0027607C" w:rsidRPr="00063ED8" w:rsidRDefault="0027607C" w:rsidP="0027607C">
      <w:pPr>
        <w:pStyle w:val="Heading4"/>
      </w:pPr>
      <w:r w:rsidRPr="00063ED8">
        <w:lastRenderedPageBreak/>
        <w:t>TMDL Implementation Plan (IP) Development Projects</w:t>
      </w:r>
    </w:p>
    <w:p w14:paraId="4A8E7DA8" w14:textId="0741E1AF" w:rsidR="0027607C" w:rsidRDefault="0027607C" w:rsidP="0027607C">
      <w:pPr>
        <w:rPr>
          <w:color w:val="000000"/>
        </w:rPr>
      </w:pPr>
      <w:r w:rsidRPr="00BC297A">
        <w:rPr>
          <w:color w:val="000000"/>
          <w:u w:val="single"/>
        </w:rPr>
        <w:t>South Fork Holston River Watershed IP</w:t>
      </w:r>
      <w:r w:rsidRPr="00BC297A">
        <w:rPr>
          <w:color w:val="000000"/>
        </w:rPr>
        <w:t>- This IP was completed in August 2023 and awaiting EPA approval. The South Fork Holston River Watershed IP addresses the</w:t>
      </w:r>
      <w:r w:rsidR="007C291C">
        <w:rPr>
          <w:color w:val="000000"/>
        </w:rPr>
        <w:t xml:space="preserve"> </w:t>
      </w:r>
      <w:r w:rsidRPr="00BC297A">
        <w:rPr>
          <w:color w:val="000000"/>
        </w:rPr>
        <w:t>E. coli</w:t>
      </w:r>
      <w:r w:rsidR="007C291C">
        <w:rPr>
          <w:color w:val="000000"/>
        </w:rPr>
        <w:t xml:space="preserve"> </w:t>
      </w:r>
      <w:r w:rsidRPr="00BC297A">
        <w:rPr>
          <w:color w:val="000000"/>
        </w:rPr>
        <w:t>impairments in the watershed (South Fork Holston River, Cressy Creek, Bishop Branch, Saint Clair Creek, Grosses Creek, Whitetop Laurel Creek, Laurel Creek, and Beaverdam Creek) in Washington and Smyth Counties. Two public meetings and two Working Group meetings (agricultural and residential combined) provided feedback and recommendations for the plan. Best management practices consist of agricultural, residential, and pet waste control measures.</w:t>
      </w:r>
    </w:p>
    <w:p w14:paraId="57777FD4" w14:textId="77777777" w:rsidR="0027607C" w:rsidRPr="00063ED8" w:rsidRDefault="0027607C" w:rsidP="0027607C">
      <w:pPr>
        <w:rPr>
          <w:color w:val="000000"/>
        </w:rPr>
      </w:pPr>
    </w:p>
    <w:p w14:paraId="1E6FD424" w14:textId="77777777" w:rsidR="0027607C" w:rsidRPr="00063ED8" w:rsidRDefault="0027607C" w:rsidP="0027607C">
      <w:pPr>
        <w:pStyle w:val="Heading4"/>
      </w:pPr>
      <w:r w:rsidRPr="00063ED8">
        <w:t>Harmful Algae Bloom (HAB) on John W. Flannagan Reservoir</w:t>
      </w:r>
    </w:p>
    <w:p w14:paraId="432A20AD" w14:textId="057BBBE3" w:rsidR="0027607C" w:rsidRPr="00063ED8" w:rsidRDefault="0027607C" w:rsidP="0027607C">
      <w:pPr>
        <w:rPr>
          <w:color w:val="000000"/>
        </w:rPr>
      </w:pPr>
      <w:r w:rsidRPr="00063ED8">
        <w:rPr>
          <w:color w:val="000000"/>
        </w:rPr>
        <w:t xml:space="preserve">In 2017, 2018, 2019, and 2020, SWRO investigated reports of algae </w:t>
      </w:r>
      <w:r>
        <w:rPr>
          <w:color w:val="000000"/>
        </w:rPr>
        <w:t xml:space="preserve">blooms on Flannagan Reservoir. </w:t>
      </w:r>
      <w:r w:rsidRPr="00063ED8">
        <w:rPr>
          <w:color w:val="000000"/>
        </w:rPr>
        <w:t>The 2017 and 2018 blooms occurred during the month of February. The 2019 and 2020 blooms occurred during the summer months and the 2019 incident resulted in health advisory issued by the Virginia Department of H</w:t>
      </w:r>
      <w:r>
        <w:rPr>
          <w:color w:val="000000"/>
        </w:rPr>
        <w:t xml:space="preserve">ealth (VDH) on August 9, 2019. </w:t>
      </w:r>
      <w:r w:rsidRPr="00063ED8">
        <w:rPr>
          <w:color w:val="000000"/>
        </w:rPr>
        <w:t>The advisory was lifted on August 21, 2019, after sampling showed algae con</w:t>
      </w:r>
      <w:r>
        <w:rPr>
          <w:color w:val="000000"/>
        </w:rPr>
        <w:t xml:space="preserve">centrations in the safe range. </w:t>
      </w:r>
      <w:r w:rsidRPr="00063ED8">
        <w:rPr>
          <w:color w:val="000000"/>
        </w:rPr>
        <w:t>All sampling events were conducte</w:t>
      </w:r>
      <w:r>
        <w:rPr>
          <w:color w:val="000000"/>
        </w:rPr>
        <w:t xml:space="preserve">d in cooperation with the VDH. </w:t>
      </w:r>
      <w:r w:rsidRPr="00063ED8">
        <w:rPr>
          <w:color w:val="000000"/>
        </w:rPr>
        <w:t>While investigating potential causes of the algae blooms, SWRO reinstated a long-term trend monitoring station on the mainstem of the Pound River in 2018 and has continued to collect data as part of the long</w:t>
      </w:r>
      <w:r>
        <w:rPr>
          <w:color w:val="000000"/>
        </w:rPr>
        <w:t>-term trend monitoring network. Beginning in 2022 and continuing in 2023, SWRO initiated a special study in the Pound River watersheds to continue monitoring bacteria and nutrient loads prior to entering Flannagan Reservoir.</w:t>
      </w:r>
    </w:p>
    <w:p w14:paraId="42345E25" w14:textId="77777777" w:rsidR="0027607C" w:rsidRPr="00063ED8" w:rsidRDefault="0027607C" w:rsidP="0027607C">
      <w:pPr>
        <w:rPr>
          <w:color w:val="000000"/>
        </w:rPr>
      </w:pPr>
    </w:p>
    <w:p w14:paraId="6E0C8E5A" w14:textId="77777777" w:rsidR="0027607C" w:rsidRPr="00063ED8" w:rsidRDefault="0027607C" w:rsidP="0027607C">
      <w:pPr>
        <w:pStyle w:val="Heading4"/>
      </w:pPr>
      <w:r w:rsidRPr="00063ED8">
        <w:t>Clinch Powell Clean Rivers Initiative (CPCRI) Sampling</w:t>
      </w:r>
    </w:p>
    <w:p w14:paraId="72BDF586" w14:textId="77777777" w:rsidR="0027607C" w:rsidRPr="00063ED8" w:rsidRDefault="0027607C" w:rsidP="0027607C">
      <w:pPr>
        <w:rPr>
          <w:color w:val="000000"/>
        </w:rPr>
      </w:pPr>
      <w:r w:rsidRPr="00063ED8">
        <w:rPr>
          <w:color w:val="000000"/>
        </w:rPr>
        <w:t>DEQ’s Central Office and SWRO completed sampling for trace elements and ionic constituents at 9 sites in the</w:t>
      </w:r>
      <w:r>
        <w:rPr>
          <w:color w:val="000000"/>
        </w:rPr>
        <w:t xml:space="preserve"> Clinch River drainage system. </w:t>
      </w:r>
      <w:r w:rsidRPr="00063ED8">
        <w:rPr>
          <w:color w:val="000000"/>
        </w:rPr>
        <w:t>The sampling was targeted at low flow or base flow conditions and is intended to assist with identifying inorganic, ionic, and trace elemental constituents present in the water column throughout the impacted mussel as</w:t>
      </w:r>
      <w:r>
        <w:rPr>
          <w:color w:val="000000"/>
        </w:rPr>
        <w:t xml:space="preserve">semblages in the Clinch River. </w:t>
      </w:r>
      <w:r w:rsidRPr="00063ED8">
        <w:rPr>
          <w:color w:val="000000"/>
        </w:rPr>
        <w:t>Currently, DEQ’s Central Office staff is working on development of the final report to detail results of the sampling.</w:t>
      </w:r>
    </w:p>
    <w:p w14:paraId="7C8105FE" w14:textId="77777777" w:rsidR="0027607C" w:rsidRDefault="0027607C" w:rsidP="0027607C"/>
    <w:p w14:paraId="7CCFEC43" w14:textId="77777777" w:rsidR="0027607C" w:rsidRPr="00F11D43" w:rsidRDefault="0027607C" w:rsidP="0027607C">
      <w:pPr>
        <w:pStyle w:val="Heading4"/>
      </w:pPr>
      <w:r w:rsidRPr="00344407">
        <w:t xml:space="preserve">Community Involvement </w:t>
      </w:r>
    </w:p>
    <w:p w14:paraId="4FA7C472" w14:textId="77777777" w:rsidR="0027607C" w:rsidRDefault="0027607C" w:rsidP="0027607C">
      <w:r w:rsidRPr="008B7510">
        <w:rPr>
          <w:u w:val="single"/>
        </w:rPr>
        <w:t>Community and School Event Outreach</w:t>
      </w:r>
      <w:r w:rsidRPr="008B7510">
        <w:t xml:space="preserve"> – </w:t>
      </w:r>
      <w:r>
        <w:t>SW</w:t>
      </w:r>
      <w:r w:rsidRPr="008B7510">
        <w:t xml:space="preserve">RO WMA/TMDL program staff regularly assist with education events in conjunction with local school’s </w:t>
      </w:r>
      <w:r>
        <w:t>watershed field</w:t>
      </w:r>
      <w:r w:rsidRPr="008B7510">
        <w:t xml:space="preserve"> d</w:t>
      </w:r>
      <w:r>
        <w:t xml:space="preserve">ays and other community events. From 2017 2022, </w:t>
      </w:r>
      <w:r w:rsidRPr="008B7510">
        <w:t xml:space="preserve">staff have supported the following </w:t>
      </w:r>
      <w:r>
        <w:t>partnering organizations with information about watershed issues and biological monitoring: Holston River SWCD, Scott County SWCD, Lonesome Pine SWCD, Big Sandy SWCD, Smyth County Extension, Big Walker SWCD, Clinch Valley SWCD, Upper Tennessee River Roundtable, Tazewell SWCD, Washington County Master Gardeners, Barefoot University Homeschool Group, Patrick Henry High School, Abingdon High School, Town of Abingdon and the Area IV Envirothon Competition.</w:t>
      </w:r>
    </w:p>
    <w:p w14:paraId="2E91E50E" w14:textId="77777777" w:rsidR="003B41D0" w:rsidRPr="002D74E4" w:rsidRDefault="003B41D0" w:rsidP="003B41D0"/>
    <w:p w14:paraId="450EDBF9" w14:textId="3C4377B4" w:rsidR="003B41D0" w:rsidRPr="005F332C" w:rsidRDefault="005F332C" w:rsidP="005F332C">
      <w:pPr>
        <w:pStyle w:val="Heading3"/>
      </w:pPr>
      <w:r>
        <w:lastRenderedPageBreak/>
        <w:t xml:space="preserve">Tidewater Regional Office (TRO) </w:t>
      </w:r>
    </w:p>
    <w:p w14:paraId="0508BD39" w14:textId="11761516" w:rsidR="003B41D0" w:rsidRPr="005F332C" w:rsidRDefault="003B41D0" w:rsidP="005F332C">
      <w:pPr>
        <w:pStyle w:val="Heading4"/>
      </w:pPr>
      <w:r w:rsidRPr="00D971F2">
        <w:t>Harmful Algal Blooms Monitoring</w:t>
      </w:r>
    </w:p>
    <w:p w14:paraId="3B4FEC81" w14:textId="76E3A79D" w:rsidR="003B41D0" w:rsidRPr="003F6213" w:rsidRDefault="003B41D0" w:rsidP="003B41D0">
      <w:pPr>
        <w:rPr>
          <w:bCs/>
          <w:u w:val="single"/>
        </w:rPr>
      </w:pPr>
      <w:r w:rsidRPr="003F6213">
        <w:rPr>
          <w:bCs/>
        </w:rPr>
        <w:t xml:space="preserve">Algal blooms occur throughout Virginia’s lakes, rivers, </w:t>
      </w:r>
      <w:r w:rsidR="009D32F6" w:rsidRPr="003F6213">
        <w:rPr>
          <w:bCs/>
        </w:rPr>
        <w:t>estuaries,</w:t>
      </w:r>
      <w:r w:rsidRPr="003F6213">
        <w:rPr>
          <w:bCs/>
        </w:rPr>
        <w:t xml:space="preserve"> and coastal zones including those that may affect human and environmental health through toxin production or other impacts. The Virginia Department of Health, the Virginia Department of Environmental Quality, Old Dominion University, and the Virginia Institute of Marine Science at the College of William and Mary monitor Virginia’s waters for harmful algae as part of the Virginia HAB Task Force.</w:t>
      </w:r>
      <w:r>
        <w:rPr>
          <w:bCs/>
        </w:rPr>
        <w:t xml:space="preserve"> </w:t>
      </w:r>
      <w:r w:rsidRPr="003F6213">
        <w:rPr>
          <w:bCs/>
        </w:rPr>
        <w:t xml:space="preserve">Additional information about the task force and potentially harmful algal blooms can be found </w:t>
      </w:r>
      <w:proofErr w:type="gramStart"/>
      <w:r w:rsidRPr="003F6213">
        <w:rPr>
          <w:bCs/>
        </w:rPr>
        <w:t>at</w:t>
      </w:r>
      <w:proofErr w:type="gramEnd"/>
      <w:r w:rsidRPr="003F6213">
        <w:rPr>
          <w:bCs/>
        </w:rPr>
        <w:t xml:space="preserve"> </w:t>
      </w:r>
      <w:r w:rsidR="00970DBC">
        <w:rPr>
          <w:bCs/>
        </w:rPr>
        <w:t>the VDH HABs webpage.</w:t>
      </w:r>
    </w:p>
    <w:p w14:paraId="0430DE91" w14:textId="77777777" w:rsidR="003B41D0" w:rsidRDefault="003B41D0" w:rsidP="003B41D0">
      <w:pPr>
        <w:rPr>
          <w:b/>
          <w:bCs/>
        </w:rPr>
      </w:pPr>
    </w:p>
    <w:p w14:paraId="1540B5EB" w14:textId="31DBE201" w:rsidR="003B41D0" w:rsidRPr="00D971F2" w:rsidRDefault="003B41D0" w:rsidP="005F332C">
      <w:pPr>
        <w:pStyle w:val="Heading4"/>
      </w:pPr>
      <w:r w:rsidRPr="00D971F2">
        <w:t>High Frequency Bacteria Monitoring</w:t>
      </w:r>
    </w:p>
    <w:p w14:paraId="6E8FB044" w14:textId="77777777" w:rsidR="003B41D0" w:rsidRPr="003F6213" w:rsidRDefault="003B41D0" w:rsidP="003B41D0">
      <w:pPr>
        <w:rPr>
          <w:bCs/>
        </w:rPr>
      </w:pPr>
      <w:r w:rsidRPr="003F6213">
        <w:rPr>
          <w:bCs/>
        </w:rPr>
        <w:t>In 2019, TRO initiated a special study bacteria-monitoring program for a set of prioritized stations that were monitored on a weekly basis for a period of 90 days. The special study involved sampling ten stations from early April through October 2019 (recreation season). This special study sampling prioritized eleven new stations for the recreation season of 2020. This new sampling is designed to meet the new bacteria water quality standards effective October 18, 2019.</w:t>
      </w:r>
    </w:p>
    <w:p w14:paraId="196A0DE0" w14:textId="77777777" w:rsidR="003B41D0" w:rsidRPr="00D971F2" w:rsidRDefault="003B41D0" w:rsidP="003B41D0">
      <w:pPr>
        <w:rPr>
          <w:b/>
          <w:bCs/>
        </w:rPr>
      </w:pPr>
    </w:p>
    <w:p w14:paraId="4FB17AAC" w14:textId="27EA11E7" w:rsidR="003B41D0" w:rsidRPr="00B06A53" w:rsidRDefault="003B41D0" w:rsidP="00B06A53">
      <w:pPr>
        <w:pStyle w:val="Heading4"/>
      </w:pPr>
      <w:r w:rsidRPr="00B06A53">
        <w:t>Coastal 2000 Initiative</w:t>
      </w:r>
    </w:p>
    <w:p w14:paraId="66BBF684" w14:textId="641B462F" w:rsidR="003B41D0" w:rsidRPr="003F6213" w:rsidRDefault="003B41D0" w:rsidP="003B41D0">
      <w:pPr>
        <w:rPr>
          <w:bCs/>
        </w:rPr>
      </w:pPr>
      <w:r w:rsidRPr="003F6213">
        <w:rPr>
          <w:bCs/>
        </w:rPr>
        <w:t>The Tidewater Regional Office has been involved with the Coastal 2000 Program as part of the EPA Nationa</w:t>
      </w:r>
      <w:r>
        <w:rPr>
          <w:bCs/>
        </w:rPr>
        <w:t>l Coastal Assessments Program.</w:t>
      </w:r>
      <w:r w:rsidR="007C291C">
        <w:rPr>
          <w:bCs/>
        </w:rPr>
        <w:t xml:space="preserve"> </w:t>
      </w:r>
      <w:r w:rsidRPr="003F6213">
        <w:rPr>
          <w:bCs/>
        </w:rPr>
        <w:t>Data has been collected during summer months from 2001 through 2020 at randomly selected sites.</w:t>
      </w:r>
    </w:p>
    <w:p w14:paraId="53ED2495" w14:textId="77777777" w:rsidR="003B41D0" w:rsidRPr="00D971F2" w:rsidRDefault="003B41D0" w:rsidP="003B41D0">
      <w:pPr>
        <w:rPr>
          <w:b/>
          <w:bCs/>
        </w:rPr>
      </w:pPr>
    </w:p>
    <w:p w14:paraId="04445A95" w14:textId="2935EAE8" w:rsidR="003B41D0" w:rsidRPr="00D971F2" w:rsidRDefault="003B41D0" w:rsidP="005F332C">
      <w:pPr>
        <w:pStyle w:val="Heading4"/>
      </w:pPr>
      <w:r w:rsidRPr="00D971F2">
        <w:t>James River/ Elizabeth River PCB Water Column Study</w:t>
      </w:r>
    </w:p>
    <w:p w14:paraId="5EBA2B00" w14:textId="34DCB2A8" w:rsidR="003B41D0" w:rsidRPr="003F6213" w:rsidRDefault="003B41D0" w:rsidP="003B41D0">
      <w:pPr>
        <w:rPr>
          <w:bCs/>
        </w:rPr>
      </w:pPr>
      <w:r w:rsidRPr="003F6213">
        <w:rPr>
          <w:bCs/>
        </w:rPr>
        <w:t>The James and Elizabeth Rivers have a VDH issued fish consumption advisory. The advisory extends from I-95 James River Bridge in Richmond to Hampton Roads Bridge Tunnel, including tidal portion of tributaries. In preparation for development of the Tidal Lower James and Elizabeth River PCB TMDL, DEQ initiated a study of PCBs in ambient water in the James and the Elizabeth using a high resolution/low detect</w:t>
      </w:r>
      <w:r>
        <w:rPr>
          <w:bCs/>
        </w:rPr>
        <w:t xml:space="preserve">ion method (EPA Method 1668A). </w:t>
      </w:r>
      <w:r w:rsidRPr="003F6213">
        <w:rPr>
          <w:bCs/>
        </w:rPr>
        <w:t>During 2013, TRO collected one-time samples at thirteen stations along the lo</w:t>
      </w:r>
      <w:r>
        <w:rPr>
          <w:bCs/>
        </w:rPr>
        <w:t xml:space="preserve">wer James and Elizabeth River. </w:t>
      </w:r>
      <w:r w:rsidRPr="003F6213">
        <w:rPr>
          <w:bCs/>
        </w:rPr>
        <w:t>Additional water, sediment and fish tissue samples were collected between 2016 and 2020 by TRO to support the model and development of the James and Elizabeth River PCB TMDL.</w:t>
      </w:r>
    </w:p>
    <w:p w14:paraId="27107EE9" w14:textId="77777777" w:rsidR="003B41D0" w:rsidRPr="00D971F2" w:rsidRDefault="003B41D0" w:rsidP="003B41D0">
      <w:pPr>
        <w:rPr>
          <w:b/>
          <w:bCs/>
        </w:rPr>
      </w:pPr>
    </w:p>
    <w:p w14:paraId="6AAAA9D3" w14:textId="27E398DB" w:rsidR="003B41D0" w:rsidRPr="00D971F2" w:rsidRDefault="003B41D0" w:rsidP="005F332C">
      <w:pPr>
        <w:pStyle w:val="Heading4"/>
      </w:pPr>
      <w:r w:rsidRPr="00D971F2">
        <w:t>Eastern Shore Accomack County Poultry Study</w:t>
      </w:r>
    </w:p>
    <w:p w14:paraId="3041F03A" w14:textId="11BEAEA0" w:rsidR="003B41D0" w:rsidRPr="00D971F2" w:rsidRDefault="003B41D0" w:rsidP="003B41D0">
      <w:pPr>
        <w:rPr>
          <w:bCs/>
        </w:rPr>
      </w:pPr>
      <w:r w:rsidRPr="00D971F2">
        <w:rPr>
          <w:bCs/>
        </w:rPr>
        <w:t>TRO monitored three ambient water quality stations located downstream of three VPDES poultry facilities during the summer of 2018. Staff collected field parameters and analyzed water quality parameters -bacteria, solids</w:t>
      </w:r>
      <w:r w:rsidR="00B06A53">
        <w:rPr>
          <w:bCs/>
        </w:rPr>
        <w:t>,</w:t>
      </w:r>
      <w:r w:rsidRPr="00D971F2">
        <w:rPr>
          <w:bCs/>
        </w:rPr>
        <w:t xml:space="preserve"> and nutrients.</w:t>
      </w:r>
    </w:p>
    <w:p w14:paraId="6CA99C1D" w14:textId="77777777" w:rsidR="003B41D0" w:rsidRPr="00043E10" w:rsidRDefault="003B41D0" w:rsidP="003B41D0"/>
    <w:p w14:paraId="6BE151D3" w14:textId="5515C6FD" w:rsidR="003B41D0" w:rsidRDefault="003B41D0" w:rsidP="005F332C">
      <w:pPr>
        <w:pStyle w:val="Heading3"/>
      </w:pPr>
      <w:r w:rsidRPr="002D74E4">
        <w:t>Valley Regional Office (VRO)</w:t>
      </w:r>
    </w:p>
    <w:p w14:paraId="7BF167B9" w14:textId="77777777" w:rsidR="00235153" w:rsidRPr="00E74D5C" w:rsidRDefault="00235153" w:rsidP="00235153">
      <w:pPr>
        <w:pStyle w:val="Heading4"/>
      </w:pPr>
      <w:r w:rsidRPr="00E74D5C">
        <w:t>Water Quality Monitoring Special Projects</w:t>
      </w:r>
    </w:p>
    <w:p w14:paraId="7725295A" w14:textId="77777777" w:rsidR="00235153" w:rsidRDefault="00235153" w:rsidP="00235153">
      <w:r w:rsidRPr="008B7510">
        <w:rPr>
          <w:u w:val="single"/>
        </w:rPr>
        <w:t>James River PCB Monitoring</w:t>
      </w:r>
      <w:r w:rsidRPr="008B7510">
        <w:t xml:space="preserve"> – </w:t>
      </w:r>
      <w:r>
        <w:t xml:space="preserve">The </w:t>
      </w:r>
      <w:r w:rsidRPr="008B7510">
        <w:t>VRO Monitoring</w:t>
      </w:r>
      <w:r>
        <w:t>, Assessment</w:t>
      </w:r>
      <w:r w:rsidRPr="008B7510">
        <w:t xml:space="preserve"> and TMDL staff </w:t>
      </w:r>
      <w:r>
        <w:t>coordinated</w:t>
      </w:r>
      <w:r w:rsidRPr="008B7510">
        <w:t xml:space="preserve"> </w:t>
      </w:r>
      <w:r w:rsidRPr="008B7510">
        <w:lastRenderedPageBreak/>
        <w:t>with Central Office and</w:t>
      </w:r>
      <w:r>
        <w:t xml:space="preserve"> the</w:t>
      </w:r>
      <w:r w:rsidRPr="008B7510">
        <w:t xml:space="preserve"> Office of Surface Water Investigations to support PCB monitoring in the Upper James </w:t>
      </w:r>
      <w:r>
        <w:t>River Watershed. This effort</w:t>
      </w:r>
      <w:r w:rsidRPr="008B7510">
        <w:t xml:space="preserve"> included water column, sediment</w:t>
      </w:r>
      <w:r>
        <w:t>,</w:t>
      </w:r>
      <w:r w:rsidRPr="008B7510">
        <w:t xml:space="preserve"> and fish tissue sample collection on the James River </w:t>
      </w:r>
      <w:r>
        <w:t xml:space="preserve">and </w:t>
      </w:r>
      <w:r w:rsidRPr="008B7510">
        <w:t>several of its large tributaries, including the Rivanna River, the Hardware River, the Maury River and Lewis Creek (not part of the James River drainage, but included in the proje</w:t>
      </w:r>
      <w:r>
        <w:t xml:space="preserve">ct area due to its proximity). </w:t>
      </w:r>
      <w:r w:rsidRPr="008B7510">
        <w:t>This large-scale monitoring effort has required close coordination with the Office of Surface Water Investigations to collect samples and measure river flow simultaneously.</w:t>
      </w:r>
    </w:p>
    <w:p w14:paraId="67B0595B" w14:textId="77777777" w:rsidR="00235153" w:rsidRDefault="00235153" w:rsidP="00235153"/>
    <w:p w14:paraId="7360D50B" w14:textId="77777777" w:rsidR="00235153" w:rsidRDefault="00235153" w:rsidP="00235153">
      <w:pPr>
        <w:pStyle w:val="Heading4"/>
      </w:pPr>
      <w:r w:rsidRPr="00E932CD">
        <w:t>Harmful Algae Bloom (HAB)</w:t>
      </w:r>
      <w:r>
        <w:t xml:space="preserve"> Investigations</w:t>
      </w:r>
    </w:p>
    <w:p w14:paraId="64D9F0CB" w14:textId="07F87247" w:rsidR="00235153" w:rsidRDefault="00235153" w:rsidP="00235153">
      <w:pPr>
        <w:rPr>
          <w:color w:val="000000"/>
        </w:rPr>
      </w:pPr>
      <w:r>
        <w:rPr>
          <w:color w:val="000000"/>
        </w:rPr>
        <w:t>During the assessment cycle the VRO Water Monitoring staff responded to potential HAB reports based on recommendations from VDH, recreational potential of the water body, and resources available. In the summers of 2017 and 2018, VRO Water Monitoring staff responded to reports of Harmful Algae Blooms (HABs) in Chris Green Lake, a recreational lake owned and operated by Albemarle County Department of Parks and Recreation. Sampling was conducted in cooperation with the Virginia Department of Health (VDH) and the County. Based on the results of samples collected by DEQ, VDH recommended that an advisory to be placed on Chris Green Lake both years, restricting recreational use due to risk to human and pet health. In 2019, a total of 32 potential HABs were reported in the VRO region, on both private and public water bodies. In 2020, 2021 and 2022, a total of 30,20 and 17 potential HAB reports respectively were reported in the VRO region. In July of 2021, prolific growth of cyanobacteria mats and decomposing scum accumulation on the North Fork of the Shenandoah River prompted the Lord Fairfax Health District to declare a recreational advisory covering over 52 miles of river. The advisory served to inform the public of the potential for mat growth or migration through the river reach. DEQ staff was instrumental in collecting samples, checking for changes in growth and coverage over time, and communicating with stakeholders. When the same dense growth was seen in 2022, VDH and the local Health District worked with DEQ to declare a “Mat Advisory” on the downstream segment of the North Fork which recommended that river users avoid the growing mats or decaying scum collection on the banks.</w:t>
      </w:r>
    </w:p>
    <w:p w14:paraId="17F787DF" w14:textId="77777777" w:rsidR="00235153" w:rsidRDefault="00235153" w:rsidP="00235153">
      <w:pPr>
        <w:rPr>
          <w:color w:val="000000"/>
        </w:rPr>
      </w:pPr>
    </w:p>
    <w:p w14:paraId="0E242D9D" w14:textId="77777777" w:rsidR="00235153" w:rsidRPr="005F332C" w:rsidRDefault="00235153" w:rsidP="00235153">
      <w:pPr>
        <w:pStyle w:val="Heading4"/>
      </w:pPr>
      <w:r>
        <w:t>High Frequency Bacteria monitoring</w:t>
      </w:r>
    </w:p>
    <w:p w14:paraId="1CF68AF9" w14:textId="77777777" w:rsidR="00235153" w:rsidRDefault="00235153" w:rsidP="00235153">
      <w:r>
        <w:t>Every odd numbered year, VRO staff prioritize 10-12 sites for high frequency bacteria monitoring. The goal is to build a foundational data set from public access points on highly utilized recreational large river segments. Staff collected weekly samples from monitoring stations in the Shenandoah Basin and the James Basin for 12 consecutive weeks each, thereby covering the major river basins in the region. In even numbered years, the same sites are monitored in each Basin, but the timing was flipped to encompass the seasonality of the April to October recreational season.</w:t>
      </w:r>
    </w:p>
    <w:p w14:paraId="393E2901" w14:textId="77777777" w:rsidR="00235153" w:rsidRPr="008B7510" w:rsidRDefault="00235153" w:rsidP="00235153"/>
    <w:p w14:paraId="20B7EE32" w14:textId="77777777" w:rsidR="00235153" w:rsidRPr="00E74D5C" w:rsidRDefault="00235153" w:rsidP="00235153">
      <w:pPr>
        <w:pStyle w:val="Heading4"/>
      </w:pPr>
      <w:r w:rsidRPr="00957EA1">
        <w:t>Total Maximum Daily Load (TMDL) Projects</w:t>
      </w:r>
    </w:p>
    <w:p w14:paraId="4B39BE0B" w14:textId="77777777" w:rsidR="00235153" w:rsidRPr="00545224" w:rsidRDefault="00235153" w:rsidP="00235153">
      <w:r>
        <w:rPr>
          <w:u w:val="single"/>
        </w:rPr>
        <w:t>South Fork Rivanna River Benthic TMDL</w:t>
      </w:r>
      <w:r>
        <w:t xml:space="preserve"> - This TMDL project began in 2020 and included several tributaries including Power Creek, Slabtown Branch, Broad Axe Run, Ivy Creek, Little Ivy Creek tributary, Fishing Creek, Naked Creek, </w:t>
      </w:r>
      <w:proofErr w:type="spellStart"/>
      <w:r>
        <w:t>Lickinghole</w:t>
      </w:r>
      <w:proofErr w:type="spellEnd"/>
      <w:r>
        <w:t xml:space="preserve"> Creek, </w:t>
      </w:r>
      <w:proofErr w:type="spellStart"/>
      <w:r>
        <w:t>Mechums</w:t>
      </w:r>
      <w:proofErr w:type="spellEnd"/>
      <w:r>
        <w:t xml:space="preserve"> River, Spring Creek, an unnamed tributary of Parrott Branch, an unnamed tributary of the South Fork Rivanna and a </w:t>
      </w:r>
      <w:r>
        <w:lastRenderedPageBreak/>
        <w:t>segment of the South Fork Rivanna itself. These stream segments have benthic impairments to be addressed through the TMDL process.</w:t>
      </w:r>
    </w:p>
    <w:p w14:paraId="013C8996" w14:textId="77777777" w:rsidR="00235153" w:rsidRDefault="00235153" w:rsidP="00235153">
      <w:pPr>
        <w:rPr>
          <w:u w:val="single"/>
        </w:rPr>
      </w:pPr>
    </w:p>
    <w:p w14:paraId="0A76EDF4" w14:textId="05607802" w:rsidR="00235153" w:rsidRPr="001A44BE" w:rsidRDefault="00235153" w:rsidP="00235153">
      <w:r>
        <w:rPr>
          <w:u w:val="single"/>
        </w:rPr>
        <w:t>Lewis Creek PCB TMDL</w:t>
      </w:r>
      <w:r>
        <w:t xml:space="preserve"> – Lewis Creek is a small tributary of the Middle River flowing through the City of Staunton and Augusta County. Included in the monitoring and contracting plans for the larger James River PCB TMDL, this project kicked off in January of 2020. VRO TMDL staff worked closely with local government officials and Land Protection Division staff to understand historic land uses within the city center and legacy contamination processes, as well as local community fishery resource uses.</w:t>
      </w:r>
    </w:p>
    <w:p w14:paraId="0F934E6F" w14:textId="77777777" w:rsidR="00235153" w:rsidRDefault="00235153" w:rsidP="00235153">
      <w:pPr>
        <w:rPr>
          <w:u w:val="single"/>
        </w:rPr>
      </w:pPr>
    </w:p>
    <w:p w14:paraId="2134BE6C" w14:textId="77777777" w:rsidR="00235153" w:rsidRDefault="00235153" w:rsidP="00235153">
      <w:r>
        <w:rPr>
          <w:u w:val="single"/>
        </w:rPr>
        <w:t>North Fork Rivanna River TMDL</w:t>
      </w:r>
      <w:r>
        <w:t xml:space="preserve"> – This TMDL project began in 2018 and included several tributaries including Marsh Run, </w:t>
      </w:r>
      <w:proofErr w:type="spellStart"/>
      <w:r>
        <w:t>Stanardsville</w:t>
      </w:r>
      <w:proofErr w:type="spellEnd"/>
      <w:r>
        <w:t xml:space="preserve"> Run, Blue Run, Quarter Creek, unnamed tributary to Flat Branch, North Branch Preddy Creek, Swift Run, Preddy Creek and a segment of the North Fork Rivanna itself. Through innovative partnerships with James Madison University (JMU) and local citizen monitoring organization Rivanna Conservation Alliance (RCA), additional data was collected to support benthic stressor analysis and enable a more comprehensive investigation of potential pollutants. Sediment and phosphorus were identified as the most likely stressors in these watersheds and the project ended with a public meeting in early 2019. This project is prioritized for an innovative IP, incorporating not only these projects but also previously developed bacteria TMDLs for the same watersheds.</w:t>
      </w:r>
    </w:p>
    <w:p w14:paraId="7F79F901" w14:textId="77777777" w:rsidR="00235153" w:rsidRDefault="00235153" w:rsidP="00235153"/>
    <w:p w14:paraId="055293AA" w14:textId="77777777" w:rsidR="00235153" w:rsidRDefault="00235153" w:rsidP="00235153">
      <w:proofErr w:type="spellStart"/>
      <w:r>
        <w:rPr>
          <w:u w:val="single"/>
        </w:rPr>
        <w:t>Bullpasture</w:t>
      </w:r>
      <w:proofErr w:type="spellEnd"/>
      <w:r>
        <w:rPr>
          <w:u w:val="single"/>
        </w:rPr>
        <w:t xml:space="preserve"> River TMDL</w:t>
      </w:r>
      <w:r>
        <w:rPr>
          <w:b/>
        </w:rPr>
        <w:t xml:space="preserve"> – </w:t>
      </w:r>
      <w:r>
        <w:t>This TMDL project began in 2018 and concluded in 2019. Focusing on bacteria as the pollutant of concern, this watershed is located in a rural and primarily agricultural area in Highland and Bath Counties. In an innovative move, the stakeholders voted to not pursue Implementation Plan development after the TMDL phase of the project was completed.</w:t>
      </w:r>
    </w:p>
    <w:p w14:paraId="4BF79907" w14:textId="77777777" w:rsidR="00235153" w:rsidRDefault="00235153" w:rsidP="00235153"/>
    <w:p w14:paraId="74B68B30" w14:textId="77777777" w:rsidR="00235153" w:rsidRPr="00957EA1" w:rsidRDefault="00235153" w:rsidP="00235153">
      <w:pPr>
        <w:pStyle w:val="Heading4"/>
      </w:pPr>
      <w:r w:rsidRPr="00957EA1">
        <w:t>TMDL Implementation Plan (IP) Development Projects</w:t>
      </w:r>
    </w:p>
    <w:p w14:paraId="1A06B4FD" w14:textId="77777777" w:rsidR="00235153" w:rsidRDefault="00235153" w:rsidP="00235153">
      <w:r>
        <w:rPr>
          <w:u w:val="single"/>
        </w:rPr>
        <w:t>Woods Creek</w:t>
      </w:r>
      <w:r>
        <w:t xml:space="preserve"> – In 2017, a TMDL to address bacteria was completed for Woods Creek, a small tributary of the Maury River that runs through downtown Lexington. </w:t>
      </w:r>
      <w:r w:rsidRPr="00F3702D">
        <w:t xml:space="preserve">In addition, </w:t>
      </w:r>
      <w:r>
        <w:t>“</w:t>
      </w:r>
      <w:r w:rsidRPr="00F3702D">
        <w:t>A Proactive Approach to Address the Benthic Impairment</w:t>
      </w:r>
      <w:r>
        <w:t>”</w:t>
      </w:r>
      <w:r w:rsidRPr="00F3702D">
        <w:t xml:space="preserve"> was included in th</w:t>
      </w:r>
      <w:r>
        <w:t>e TMDL document which recommended</w:t>
      </w:r>
      <w:r w:rsidRPr="00F3702D">
        <w:t xml:space="preserve"> practices and actions that w</w:t>
      </w:r>
      <w:r>
        <w:t>ould</w:t>
      </w:r>
      <w:r w:rsidRPr="00F3702D">
        <w:t xml:space="preserve"> addres</w:t>
      </w:r>
      <w:r>
        <w:t>s the aquatic life impairment. An IP based on the bacteria TMDL began in 2018 and completed in 2019. This project built on the strong community relationships made through the TMDL development process and featured a strong focus on community engagement and cost effective BMPs that will focus on the sources of bacteria in Woods Creek, including cattle exclusion fencing, riparian buffers, pet waste disposal, and rain gardens.</w:t>
      </w:r>
    </w:p>
    <w:p w14:paraId="0E5A0DD4" w14:textId="77777777" w:rsidR="00235153" w:rsidRDefault="00235153" w:rsidP="00235153"/>
    <w:p w14:paraId="2FD12F2B" w14:textId="5AE14A18" w:rsidR="00235153" w:rsidRPr="007C291C" w:rsidRDefault="00235153" w:rsidP="00235153">
      <w:r w:rsidRPr="007C291C">
        <w:rPr>
          <w:u w:val="single"/>
        </w:rPr>
        <w:t xml:space="preserve">Mill and </w:t>
      </w:r>
      <w:proofErr w:type="spellStart"/>
      <w:r w:rsidRPr="007C291C">
        <w:rPr>
          <w:u w:val="single"/>
        </w:rPr>
        <w:t>Moores</w:t>
      </w:r>
      <w:proofErr w:type="spellEnd"/>
      <w:r w:rsidRPr="007C291C">
        <w:rPr>
          <w:u w:val="single"/>
        </w:rPr>
        <w:t xml:space="preserve"> Creeks</w:t>
      </w:r>
      <w:r w:rsidRPr="007C291C">
        <w:t xml:space="preserve"> – A TMDL to address two benthic impairments in Mill Creek and </w:t>
      </w:r>
      <w:proofErr w:type="spellStart"/>
      <w:r w:rsidRPr="007C291C">
        <w:t>Moores</w:t>
      </w:r>
      <w:proofErr w:type="spellEnd"/>
      <w:r w:rsidRPr="007C291C">
        <w:t xml:space="preserve"> Creek in Rockbridge County began in 2022. Benthic stressor analysis of available data concluded that the pollutant of concern in both streams was sediment, mostly coming from agricultural land (cropland and pasture), as well as developed impervious surfaces. Working with a committed and engaged group of stakeholders, the TMDL project moved seamlessly into </w:t>
      </w:r>
      <w:r w:rsidRPr="007C291C">
        <w:lastRenderedPageBreak/>
        <w:t>IP development, where focused conversations about best management practices yielded a plan that could address both the agricultural sources of sediment, as well as the residential and urban control measures. Streambank stabilization was also included in the final Implementation Plan, as well as the need for technical assistance from trained conservation professionals.</w:t>
      </w:r>
    </w:p>
    <w:p w14:paraId="070B6475" w14:textId="77777777" w:rsidR="00235153" w:rsidRDefault="00235153" w:rsidP="00235153"/>
    <w:p w14:paraId="5B199C31" w14:textId="77777777" w:rsidR="00235153" w:rsidRPr="00E74D5C" w:rsidRDefault="00235153" w:rsidP="00235153">
      <w:pPr>
        <w:pStyle w:val="Heading4"/>
      </w:pPr>
      <w:r w:rsidRPr="00E74D5C">
        <w:t>Community Outreach</w:t>
      </w:r>
    </w:p>
    <w:p w14:paraId="0089ECC8" w14:textId="19F46FC9" w:rsidR="00235153" w:rsidRDefault="00235153" w:rsidP="00235153">
      <w:r w:rsidRPr="008B7510">
        <w:rPr>
          <w:u w:val="single"/>
        </w:rPr>
        <w:t>Community and School Event Outreach</w:t>
      </w:r>
      <w:r w:rsidRPr="008B7510">
        <w:t xml:space="preserve"> – VRO W</w:t>
      </w:r>
      <w:r>
        <w:t>ater Monitoring/Assessment</w:t>
      </w:r>
      <w:r w:rsidRPr="008B7510">
        <w:t>/TMDL program staff regularly assist with education events in conjunction with local school’s stream d</w:t>
      </w:r>
      <w:r>
        <w:t xml:space="preserve">ays or other community events. </w:t>
      </w:r>
      <w:r w:rsidRPr="008B7510">
        <w:t xml:space="preserve">Over the last two years, staff have supported the following school systems and organizations working to educate local residents about water quality and watershed issues: Harrisonburg City Public Schools, Rockingham County Public Schools, Rockbridge County Public Schools, Buena Vista Public Schools, Augusta County Public Schools, </w:t>
      </w:r>
      <w:proofErr w:type="spellStart"/>
      <w:r w:rsidRPr="008B7510">
        <w:t>Boxerwood</w:t>
      </w:r>
      <w:proofErr w:type="spellEnd"/>
      <w:r w:rsidRPr="008B7510">
        <w:t xml:space="preserve"> Education Association, Earth Day Staunton, Blacks Run Clean-up Day, Shenandoah Valley Soil and Water Conservation District Envirothon competition and the Headwaters Soil and Water Conservation District Envirothon Competition, Area 1 Envirothon Competition</w:t>
      </w:r>
      <w:r>
        <w:t>, and the Virginia Dominion Energy statewide Envirothon competition</w:t>
      </w:r>
      <w:r w:rsidRPr="008B7510">
        <w:t>.</w:t>
      </w:r>
    </w:p>
    <w:p w14:paraId="464D5420" w14:textId="77777777" w:rsidR="00235153" w:rsidRPr="008B7510" w:rsidRDefault="00235153" w:rsidP="00235153"/>
    <w:p w14:paraId="1FA1348F" w14:textId="77777777" w:rsidR="00235153" w:rsidRPr="008B7510" w:rsidRDefault="00235153" w:rsidP="00235153">
      <w:proofErr w:type="spellStart"/>
      <w:r w:rsidRPr="008B7510">
        <w:rPr>
          <w:u w:val="single"/>
        </w:rPr>
        <w:t>Coliscan</w:t>
      </w:r>
      <w:proofErr w:type="spellEnd"/>
      <w:r w:rsidRPr="008B7510">
        <w:rPr>
          <w:u w:val="single"/>
        </w:rPr>
        <w:t xml:space="preserve"> Citizen Monitoring Support</w:t>
      </w:r>
      <w:r w:rsidRPr="008B7510">
        <w:t xml:space="preserve"> – </w:t>
      </w:r>
      <w:r>
        <w:t xml:space="preserve">The </w:t>
      </w:r>
      <w:r w:rsidRPr="008B7510">
        <w:t>VRO TMDL staff support</w:t>
      </w:r>
      <w:r>
        <w:t>ed</w:t>
      </w:r>
      <w:r w:rsidRPr="008B7510">
        <w:t xml:space="preserve"> multiple stakeholder networks who monitor their local waterways for bacteria using the </w:t>
      </w:r>
      <w:proofErr w:type="spellStart"/>
      <w:r w:rsidRPr="008B7510">
        <w:t>Coliscan</w:t>
      </w:r>
      <w:proofErr w:type="spellEnd"/>
      <w:r w:rsidRPr="008B7510">
        <w:t xml:space="preserve"> E</w:t>
      </w:r>
      <w:r>
        <w:t xml:space="preserve">asy-Gel methods and materials. </w:t>
      </w:r>
      <w:r w:rsidRPr="008B7510">
        <w:t xml:space="preserve">These supplies </w:t>
      </w:r>
      <w:r>
        <w:t>were</w:t>
      </w:r>
      <w:r w:rsidRPr="008B7510">
        <w:t xml:space="preserve"> provided through DEQ funding and VRO staff coordinate the monitoring networks: giving feedback on station locations, collecting data monthly from monitors, providing an annual overview of data collected, coordinating an annual gathering for monitors (oftentimes over a potluck meal), being a liaison for questions and othe</w:t>
      </w:r>
      <w:r>
        <w:t xml:space="preserve">r DEQ programs, and much more. </w:t>
      </w:r>
      <w:r w:rsidRPr="008B7510">
        <w:t xml:space="preserve">DEQ funding allows these volunteer networks, located in watersheds with TMDL IPs in place, to collect extremely useful data from </w:t>
      </w:r>
      <w:r>
        <w:t>sites</w:t>
      </w:r>
      <w:r w:rsidRPr="008B7510">
        <w:t xml:space="preserve"> </w:t>
      </w:r>
      <w:r>
        <w:t>where</w:t>
      </w:r>
      <w:r w:rsidRPr="008B7510">
        <w:t xml:space="preserve"> DEQ does not have monitoring stations and inform stakeholders on the effectiveness of BMP installation.</w:t>
      </w:r>
    </w:p>
    <w:p w14:paraId="0C90B6DC" w14:textId="60E88CA9" w:rsidR="007C291C" w:rsidRDefault="007C291C">
      <w:pPr>
        <w:widowControl/>
        <w:spacing w:after="160" w:line="259" w:lineRule="auto"/>
      </w:pPr>
      <w:r>
        <w:br w:type="page"/>
      </w:r>
    </w:p>
    <w:p w14:paraId="18042C7D" w14:textId="7401ED64" w:rsidR="00546420" w:rsidRDefault="00546420" w:rsidP="005C103B">
      <w:pPr>
        <w:pStyle w:val="Heading1"/>
        <w:numPr>
          <w:ilvl w:val="0"/>
          <w:numId w:val="0"/>
        </w:numPr>
        <w:rPr>
          <w:shd w:val="clear" w:color="auto" w:fill="FFFFFF"/>
        </w:rPr>
      </w:pPr>
      <w:bookmarkStart w:id="452" w:name="_Toc155771977"/>
      <w:bookmarkStart w:id="453" w:name="_Toc191900456"/>
      <w:r>
        <w:rPr>
          <w:shd w:val="clear" w:color="auto" w:fill="FFFFFF"/>
        </w:rPr>
        <w:lastRenderedPageBreak/>
        <w:t>References</w:t>
      </w:r>
      <w:bookmarkEnd w:id="452"/>
      <w:bookmarkEnd w:id="453"/>
    </w:p>
    <w:p w14:paraId="55977D08" w14:textId="1E19BE27" w:rsidR="00F2271E" w:rsidRPr="006337F8" w:rsidRDefault="00F2271E" w:rsidP="007928EF">
      <w:pPr>
        <w:pStyle w:val="Heading4"/>
        <w:rPr>
          <w:i w:val="0"/>
          <w:iCs w:val="0"/>
        </w:rPr>
      </w:pPr>
      <w:r w:rsidRPr="006337F8">
        <w:rPr>
          <w:i w:val="0"/>
          <w:iCs w:val="0"/>
        </w:rPr>
        <w:t>Chapter 3</w:t>
      </w:r>
    </w:p>
    <w:p w14:paraId="39AA4C18" w14:textId="77777777" w:rsidR="009E580C" w:rsidRPr="00B90D22" w:rsidRDefault="009E580C" w:rsidP="009E580C">
      <w:pPr>
        <w:spacing w:after="100"/>
        <w:rPr>
          <w:sz w:val="22"/>
          <w:szCs w:val="22"/>
        </w:rPr>
      </w:pPr>
      <w:r w:rsidRPr="00B90D22">
        <w:rPr>
          <w:sz w:val="22"/>
          <w:szCs w:val="22"/>
        </w:rPr>
        <w:t xml:space="preserve">Hirsh, R.M., Moyer, D.L., and </w:t>
      </w:r>
      <w:proofErr w:type="spellStart"/>
      <w:r w:rsidRPr="00B90D22">
        <w:rPr>
          <w:sz w:val="22"/>
          <w:szCs w:val="22"/>
        </w:rPr>
        <w:t>Archfield</w:t>
      </w:r>
      <w:proofErr w:type="spellEnd"/>
      <w:r w:rsidRPr="00B90D22">
        <w:rPr>
          <w:sz w:val="22"/>
          <w:szCs w:val="22"/>
        </w:rPr>
        <w:t>, S.A.,2010, Weighted regressions on time, discharge and season (WRTDS), with an application to the Chesapeake Bay river inputs: Journal of the American Water Resources Association, v. 46, no. 5, p. 857-880.</w:t>
      </w:r>
    </w:p>
    <w:p w14:paraId="57194362" w14:textId="01B32699" w:rsidR="009E580C" w:rsidRDefault="009E580C" w:rsidP="00AD0C0E">
      <w:r w:rsidRPr="00B90D22">
        <w:rPr>
          <w:sz w:val="22"/>
          <w:szCs w:val="22"/>
        </w:rPr>
        <w:t>Moyer, D.L., Hirsh, R.M., and Hyer, K.E., 2012, Comparison of two regression-based approaches for determining nutrient and sediment fluxes and trends in the Chesapeake Bay watershed: U.S. Geological Survey Scientific Investigations Report 2012-5244, 118 p.</w:t>
      </w:r>
      <w:r w:rsidR="00F2271E">
        <w:br/>
      </w:r>
    </w:p>
    <w:p w14:paraId="213FB1B9" w14:textId="560E14DE" w:rsidR="00F2271E" w:rsidRPr="006337F8" w:rsidRDefault="00AD0C0E" w:rsidP="00AD0C0E">
      <w:pPr>
        <w:pStyle w:val="Heading4"/>
        <w:rPr>
          <w:i w:val="0"/>
          <w:iCs w:val="0"/>
        </w:rPr>
      </w:pPr>
      <w:r w:rsidRPr="006337F8">
        <w:rPr>
          <w:i w:val="0"/>
          <w:iCs w:val="0"/>
        </w:rPr>
        <w:t>Chapter 4</w:t>
      </w:r>
    </w:p>
    <w:p w14:paraId="0403091B" w14:textId="6B48E050" w:rsidR="00EB68EE" w:rsidRPr="006337F8" w:rsidRDefault="00EB68EE" w:rsidP="00EB68EE">
      <w:pPr>
        <w:rPr>
          <w:i/>
          <w:iCs/>
        </w:rPr>
      </w:pPr>
      <w:r w:rsidRPr="006337F8">
        <w:rPr>
          <w:i/>
          <w:iCs/>
        </w:rPr>
        <w:t>Individual River Basin Assessment Results</w:t>
      </w:r>
    </w:p>
    <w:p w14:paraId="4DF29DD5" w14:textId="235FB42F" w:rsidR="00EB68EE" w:rsidRPr="00E677FD" w:rsidRDefault="0083592F" w:rsidP="00EB68EE">
      <w:pPr>
        <w:rPr>
          <w:sz w:val="22"/>
          <w:szCs w:val="22"/>
        </w:rPr>
      </w:pPr>
      <w:r w:rsidRPr="00E677FD">
        <w:rPr>
          <w:sz w:val="22"/>
          <w:szCs w:val="22"/>
        </w:rPr>
        <w:t xml:space="preserve">Chesapeake Bay TMDL Phase III Watershed Implementation Plan. (2013). Commonwealth of Virginia. Retrieved March 5, 2024, from </w:t>
      </w:r>
      <w:hyperlink r:id="rId248" w:history="1">
        <w:r w:rsidR="00E677FD" w:rsidRPr="00E677FD">
          <w:rPr>
            <w:rStyle w:val="Hyperlink"/>
            <w:sz w:val="22"/>
            <w:szCs w:val="22"/>
          </w:rPr>
          <w:t>Chesapeake Bay TMDL Phase III Watershed Implementation Plan (virginia.gov)</w:t>
        </w:r>
      </w:hyperlink>
    </w:p>
    <w:p w14:paraId="43FAB51E" w14:textId="77777777" w:rsidR="00EB68EE" w:rsidRDefault="00EB68EE" w:rsidP="00AD0C0E">
      <w:pPr>
        <w:rPr>
          <w:u w:val="single"/>
        </w:rPr>
      </w:pPr>
    </w:p>
    <w:p w14:paraId="3E180413" w14:textId="3AD2CC77" w:rsidR="00AD0C0E" w:rsidRPr="006337F8" w:rsidRDefault="00AD0C0E" w:rsidP="00AD0C0E">
      <w:pPr>
        <w:rPr>
          <w:i/>
          <w:iCs/>
        </w:rPr>
      </w:pPr>
      <w:r w:rsidRPr="006337F8">
        <w:rPr>
          <w:i/>
          <w:iCs/>
        </w:rPr>
        <w:t>Freshwater Probabilistic Monitoring</w:t>
      </w:r>
    </w:p>
    <w:p w14:paraId="6D6E57DB"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Clements, W.H., D.M. Carlisle, J.M. Lazorchak, and P.C. Johnson. 2000. Heavy Metals Structure Benthic Communities in Colorado Mountain Streams. Ecological Applications 10(2):626-638.</w:t>
      </w:r>
    </w:p>
    <w:p w14:paraId="3D2D5EF9" w14:textId="255E534C"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Virginia Water Quality Standards (9VAC25-260-00 et seq.). Department of Environmental Quality, Richmond, VA. </w:t>
      </w:r>
      <w:hyperlink r:id="rId249" w:history="1">
        <w:r w:rsidR="00372E23" w:rsidRPr="00630F8F">
          <w:rPr>
            <w:rStyle w:val="Hyperlink"/>
            <w:rFonts w:eastAsia="Cambria" w:cstheme="minorHAnsi"/>
            <w:snapToGrid/>
            <w:sz w:val="22"/>
            <w:szCs w:val="22"/>
          </w:rPr>
          <w:t>http://law.lis.virginia.gov/admincode/title9/agency25/chapter260/</w:t>
        </w:r>
      </w:hyperlink>
      <w:r w:rsidRPr="00044B48">
        <w:rPr>
          <w:rFonts w:eastAsia="Cambria" w:cstheme="minorHAnsi"/>
          <w:snapToGrid/>
          <w:sz w:val="22"/>
          <w:szCs w:val="22"/>
        </w:rPr>
        <w:t>.</w:t>
      </w:r>
    </w:p>
    <w:p w14:paraId="10A15E63"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Davies, S.P. and S.K. Jackson. 2006. The Biological Condition Gradient: a descriptive model for interpreting change in aquatic ecosystems. Ecological Applications 16 (4), 1251-1266.</w:t>
      </w:r>
    </w:p>
    <w:p w14:paraId="19AEACF8"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Diaz-Ramos, S., D.L. Stevens, Jr., and A.R. Olsen 1996. EMAP Statistics Methods Manual. EPA/620/R-96/002. Corvallis, OR: U.S. Environmental Protection Agency, Office of Research and Development, National Health and Environmental Effects Research Laboratory. [see </w:t>
      </w:r>
      <w:hyperlink r:id="rId250">
        <w:r w:rsidRPr="00BF7191">
          <w:rPr>
            <w:rFonts w:eastAsia="Cambria" w:cstheme="minorHAnsi"/>
            <w:snapToGrid/>
            <w:color w:val="4176B2"/>
            <w:sz w:val="22"/>
            <w:szCs w:val="22"/>
          </w:rPr>
          <w:t>http://www.epa.gov/nheerl/arm/</w:t>
        </w:r>
      </w:hyperlink>
      <w:r w:rsidRPr="00044B48">
        <w:rPr>
          <w:rFonts w:eastAsia="Cambria" w:cstheme="minorHAnsi"/>
          <w:snapToGrid/>
          <w:sz w:val="22"/>
          <w:szCs w:val="22"/>
        </w:rPr>
        <w:t xml:space="preserve"> for downloadable file]</w:t>
      </w:r>
    </w:p>
    <w:p w14:paraId="5D2E77FD"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Feller, W. 1968. An Introduction to Probability Theory and Its Applications. Volume 1. 3rd Edition. New York. Wiley. p. 229.</w:t>
      </w:r>
    </w:p>
    <w:p w14:paraId="5ABE1334"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Kaufmann, P. R., John M. Faustini, David P. Larsen, and Mostafa A. </w:t>
      </w:r>
      <w:proofErr w:type="spellStart"/>
      <w:r w:rsidRPr="00044B48">
        <w:rPr>
          <w:rFonts w:eastAsia="Cambria" w:cstheme="minorHAnsi"/>
          <w:snapToGrid/>
          <w:sz w:val="22"/>
          <w:szCs w:val="22"/>
        </w:rPr>
        <w:t>Shirazia</w:t>
      </w:r>
      <w:proofErr w:type="spellEnd"/>
      <w:r w:rsidRPr="00044B48">
        <w:rPr>
          <w:rFonts w:eastAsia="Cambria" w:cstheme="minorHAnsi"/>
          <w:snapToGrid/>
          <w:sz w:val="22"/>
          <w:szCs w:val="22"/>
        </w:rPr>
        <w:t>. 2008. A roughness-corrected index of relative bed stability for regional stream surveys. Geomorphology. Volume 99, Issues 1-4, 1 July 2008, Pages 150-170.</w:t>
      </w:r>
    </w:p>
    <w:p w14:paraId="48F39A1E"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Kaufmann, P. R., P. Levine, E. G. Robinson, C. Seeliger, and D. Peck. 1999. Quantifying physical habitat in </w:t>
      </w:r>
      <w:proofErr w:type="spellStart"/>
      <w:r w:rsidRPr="00044B48">
        <w:rPr>
          <w:rFonts w:eastAsia="Cambria" w:cstheme="minorHAnsi"/>
          <w:snapToGrid/>
          <w:sz w:val="22"/>
          <w:szCs w:val="22"/>
        </w:rPr>
        <w:t>wadeable</w:t>
      </w:r>
      <w:proofErr w:type="spellEnd"/>
      <w:r w:rsidRPr="00044B48">
        <w:rPr>
          <w:rFonts w:eastAsia="Cambria" w:cstheme="minorHAnsi"/>
          <w:snapToGrid/>
          <w:sz w:val="22"/>
          <w:szCs w:val="22"/>
        </w:rPr>
        <w:t xml:space="preserve"> streams. EPA/620/R-99/003, USEPA, Washington, D.C.</w:t>
      </w:r>
    </w:p>
    <w:p w14:paraId="078ABCB6"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MacDonald, D.D. and C.G. Ingersoll, T.A. Berger. 2000. Development and Evaluation of Consensus-Based Sediment Quality Guidelines for Freshwater Ecosystems. Arch. </w:t>
      </w:r>
      <w:proofErr w:type="spellStart"/>
      <w:r w:rsidRPr="00044B48">
        <w:rPr>
          <w:rFonts w:eastAsia="Cambria" w:cstheme="minorHAnsi"/>
          <w:snapToGrid/>
          <w:sz w:val="22"/>
          <w:szCs w:val="22"/>
        </w:rPr>
        <w:t>Envorin</w:t>
      </w:r>
      <w:proofErr w:type="spellEnd"/>
      <w:r w:rsidRPr="00044B48">
        <w:rPr>
          <w:rFonts w:eastAsia="Cambria" w:cstheme="minorHAnsi"/>
          <w:snapToGrid/>
          <w:sz w:val="22"/>
          <w:szCs w:val="22"/>
        </w:rPr>
        <w:t xml:space="preserve">. </w:t>
      </w:r>
      <w:proofErr w:type="spellStart"/>
      <w:r w:rsidRPr="00044B48">
        <w:rPr>
          <w:rFonts w:eastAsia="Cambria" w:cstheme="minorHAnsi"/>
          <w:snapToGrid/>
          <w:sz w:val="22"/>
          <w:szCs w:val="22"/>
        </w:rPr>
        <w:t>Contam</w:t>
      </w:r>
      <w:proofErr w:type="spellEnd"/>
      <w:r w:rsidRPr="00044B48">
        <w:rPr>
          <w:rFonts w:eastAsia="Cambria" w:cstheme="minorHAnsi"/>
          <w:snapToGrid/>
          <w:sz w:val="22"/>
          <w:szCs w:val="22"/>
        </w:rPr>
        <w:t>. Toxicology 39:20-31.</w:t>
      </w:r>
    </w:p>
    <w:p w14:paraId="7076352E" w14:textId="5B897E8E"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Maxted, J. M. Barbour, J. Gerritsen, V. Poretti, N. Primrose, A. Silvia, D. Penrose, and R. Renfrow. 2000. Assessment framework for mid-Atlantic coastal plain streams using benthic macroinvertebrates. The North American </w:t>
      </w:r>
      <w:proofErr w:type="spellStart"/>
      <w:r w:rsidRPr="00044B48">
        <w:rPr>
          <w:rFonts w:eastAsia="Cambria" w:cstheme="minorHAnsi"/>
          <w:snapToGrid/>
          <w:sz w:val="22"/>
          <w:szCs w:val="22"/>
        </w:rPr>
        <w:t>Benthological</w:t>
      </w:r>
      <w:proofErr w:type="spellEnd"/>
      <w:r w:rsidRPr="00044B48">
        <w:rPr>
          <w:rFonts w:eastAsia="Cambria" w:cstheme="minorHAnsi"/>
          <w:snapToGrid/>
          <w:sz w:val="22"/>
          <w:szCs w:val="22"/>
        </w:rPr>
        <w:t xml:space="preserve"> </w:t>
      </w:r>
      <w:r w:rsidR="00BF7191" w:rsidRPr="00044B48">
        <w:rPr>
          <w:rFonts w:eastAsia="Cambria" w:cstheme="minorHAnsi"/>
          <w:snapToGrid/>
          <w:sz w:val="22"/>
          <w:szCs w:val="22"/>
        </w:rPr>
        <w:t>Society</w:t>
      </w:r>
      <w:r w:rsidRPr="00044B48">
        <w:rPr>
          <w:rFonts w:eastAsia="Cambria" w:cstheme="minorHAnsi"/>
          <w:snapToGrid/>
          <w:sz w:val="22"/>
          <w:szCs w:val="22"/>
        </w:rPr>
        <w:t xml:space="preserve"> 19(1), 128-144.</w:t>
      </w:r>
    </w:p>
    <w:p w14:paraId="01E32638"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Omernik, James. 1987. Ecoregions of the Conterminous United States. Annuals of the Association of American Geographers. Volume 77, Issue 1, March 1987, Pages 118–125.</w:t>
      </w:r>
    </w:p>
    <w:p w14:paraId="023DD33E"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lastRenderedPageBreak/>
        <w:t xml:space="preserve">Oregon Department of Environmental Quality. 2007. </w:t>
      </w:r>
      <w:proofErr w:type="spellStart"/>
      <w:r w:rsidRPr="00044B48">
        <w:rPr>
          <w:rFonts w:eastAsia="Cambria" w:cstheme="minorHAnsi"/>
          <w:snapToGrid/>
          <w:sz w:val="22"/>
          <w:szCs w:val="22"/>
        </w:rPr>
        <w:t>Wadeable</w:t>
      </w:r>
      <w:proofErr w:type="spellEnd"/>
      <w:r w:rsidRPr="00044B48">
        <w:rPr>
          <w:rFonts w:eastAsia="Cambria" w:cstheme="minorHAnsi"/>
          <w:snapToGrid/>
          <w:sz w:val="22"/>
          <w:szCs w:val="22"/>
        </w:rPr>
        <w:t xml:space="preserve"> Stream Conditions in Oregon. Oregon Department of Environmental Quality, Laboratory Division, Watershed Assessment Section. DEQ07-LAB-0081-TR.</w:t>
      </w:r>
    </w:p>
    <w:p w14:paraId="18DD9B0A"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Paul, J.F. and M.E. McDonald. 2005. Development of Empirical, Geographically Specific Water Quality Criteria: A Conditional Probability Analysis Approach. Journal of the American Water Resources Association (JAWRA) 41(5):1211-1223.</w:t>
      </w:r>
    </w:p>
    <w:p w14:paraId="08918AE0"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Paul, M.J. and J.L. Meyer. 2001. Streams in the Urban Landscape. Annual Review of Ecology and Systematics. 32:333-365.</w:t>
      </w:r>
    </w:p>
    <w:p w14:paraId="528960B9"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Quinn C. Payton, Michael G. McManus, Marc H. Weber, Anthony R. Olsen, and Thomas M. Kincaid. 2015. </w:t>
      </w:r>
      <w:proofErr w:type="spellStart"/>
      <w:r w:rsidRPr="00044B48">
        <w:rPr>
          <w:rFonts w:eastAsia="Cambria" w:cstheme="minorHAnsi"/>
          <w:snapToGrid/>
          <w:sz w:val="22"/>
          <w:szCs w:val="22"/>
        </w:rPr>
        <w:t>micromap</w:t>
      </w:r>
      <w:proofErr w:type="spellEnd"/>
      <w:r w:rsidRPr="00044B48">
        <w:rPr>
          <w:rFonts w:eastAsia="Cambria" w:cstheme="minorHAnsi"/>
          <w:snapToGrid/>
          <w:sz w:val="22"/>
          <w:szCs w:val="22"/>
        </w:rPr>
        <w:t xml:space="preserve">: A Package for Linked </w:t>
      </w:r>
      <w:proofErr w:type="spellStart"/>
      <w:r w:rsidRPr="00044B48">
        <w:rPr>
          <w:rFonts w:eastAsia="Cambria" w:cstheme="minorHAnsi"/>
          <w:snapToGrid/>
          <w:sz w:val="22"/>
          <w:szCs w:val="22"/>
        </w:rPr>
        <w:t>Micromaps</w:t>
      </w:r>
      <w:proofErr w:type="spellEnd"/>
      <w:r w:rsidRPr="00044B48">
        <w:rPr>
          <w:rFonts w:eastAsia="Cambria" w:cstheme="minorHAnsi"/>
          <w:snapToGrid/>
          <w:sz w:val="22"/>
          <w:szCs w:val="22"/>
        </w:rPr>
        <w:t xml:space="preserve">. Journal of Statistical Software, 63(2), 1-16. URL </w:t>
      </w:r>
      <w:hyperlink r:id="rId251">
        <w:r w:rsidRPr="00BF7191">
          <w:rPr>
            <w:rFonts w:eastAsia="Cambria" w:cstheme="minorHAnsi"/>
            <w:snapToGrid/>
            <w:color w:val="4176B2"/>
            <w:sz w:val="22"/>
            <w:szCs w:val="22"/>
          </w:rPr>
          <w:t>http://www.jstatsoft.org/v63/i02/</w:t>
        </w:r>
      </w:hyperlink>
      <w:r w:rsidRPr="00044B48">
        <w:rPr>
          <w:rFonts w:eastAsia="Cambria" w:cstheme="minorHAnsi"/>
          <w:snapToGrid/>
          <w:sz w:val="22"/>
          <w:szCs w:val="22"/>
        </w:rPr>
        <w:t>.</w:t>
      </w:r>
    </w:p>
    <w:p w14:paraId="5B453963"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USEPA. 2006. </w:t>
      </w:r>
      <w:proofErr w:type="spellStart"/>
      <w:r w:rsidRPr="00044B48">
        <w:rPr>
          <w:rFonts w:eastAsia="Cambria" w:cstheme="minorHAnsi"/>
          <w:snapToGrid/>
          <w:sz w:val="22"/>
          <w:szCs w:val="22"/>
        </w:rPr>
        <w:t>Wadeable</w:t>
      </w:r>
      <w:proofErr w:type="spellEnd"/>
      <w:r w:rsidRPr="00044B48">
        <w:rPr>
          <w:rFonts w:eastAsia="Cambria" w:cstheme="minorHAnsi"/>
          <w:snapToGrid/>
          <w:sz w:val="22"/>
          <w:szCs w:val="22"/>
        </w:rPr>
        <w:t xml:space="preserve"> Streams Assessment: A Collaborative Survey of the Nation’s Streams. EPA 841-B-06-002. Office of Research and Development, Office of Water, Washington, DC 20460.</w:t>
      </w:r>
    </w:p>
    <w:p w14:paraId="09B77BA9"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USEPA. 2000. Mid-Atlantic Highlands Streams Assessment. EPA/903/R-00/015. United States Environmental Protection Agency, Region 3, Philadelphia, PA 19103.</w:t>
      </w:r>
    </w:p>
    <w:p w14:paraId="5F0FBD10"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USEPA. 1999. Rapid Bioassessment Protocols for Use in </w:t>
      </w:r>
      <w:proofErr w:type="spellStart"/>
      <w:r w:rsidRPr="00044B48">
        <w:rPr>
          <w:rFonts w:eastAsia="Cambria" w:cstheme="minorHAnsi"/>
          <w:snapToGrid/>
          <w:sz w:val="22"/>
          <w:szCs w:val="22"/>
        </w:rPr>
        <w:t>Wadeable</w:t>
      </w:r>
      <w:proofErr w:type="spellEnd"/>
      <w:r w:rsidRPr="00044B48">
        <w:rPr>
          <w:rFonts w:eastAsia="Cambria" w:cstheme="minorHAnsi"/>
          <w:snapToGrid/>
          <w:sz w:val="22"/>
          <w:szCs w:val="22"/>
        </w:rPr>
        <w:t xml:space="preserve"> Streams and Rivers. Office of Water. EPA/841/B-99/002.</w:t>
      </w:r>
    </w:p>
    <w:p w14:paraId="79D4F144"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Van Sickle, John and S.G. Paulsen. 2008. Assessing the attributable risks, relative risks, and regional extents of aquatic stressor. Journal of the North American </w:t>
      </w:r>
      <w:proofErr w:type="spellStart"/>
      <w:r w:rsidRPr="00044B48">
        <w:rPr>
          <w:rFonts w:eastAsia="Cambria" w:cstheme="minorHAnsi"/>
          <w:snapToGrid/>
          <w:sz w:val="22"/>
          <w:szCs w:val="22"/>
        </w:rPr>
        <w:t>Benthological</w:t>
      </w:r>
      <w:proofErr w:type="spellEnd"/>
      <w:r w:rsidRPr="00044B48">
        <w:rPr>
          <w:rFonts w:eastAsia="Cambria" w:cstheme="minorHAnsi"/>
          <w:snapToGrid/>
          <w:sz w:val="22"/>
          <w:szCs w:val="22"/>
        </w:rPr>
        <w:t xml:space="preserve"> Society. 27(4):920-931.</w:t>
      </w:r>
    </w:p>
    <w:p w14:paraId="7938B177"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Van Sickle, John, J. Stoddard, S. Paulsen, A. Olsen. 2006. Using Relative Risk to Compare the Effects of Aquatic Stressors at a Regional Scale. Environ Manage 38:1020-1030.</w:t>
      </w:r>
    </w:p>
    <w:p w14:paraId="0EFD1480"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Virginia Department of Environmental Quality. 2020. 2020 Water Quality Assessment Guidance Manual. </w:t>
      </w:r>
      <w:hyperlink r:id="rId252">
        <w:r w:rsidRPr="00BF7191">
          <w:rPr>
            <w:rFonts w:eastAsia="Cambria" w:cstheme="minorHAnsi"/>
            <w:snapToGrid/>
            <w:color w:val="4176B2"/>
            <w:sz w:val="22"/>
            <w:szCs w:val="22"/>
          </w:rPr>
          <w:t>https://www.deq.virginia.gov/home/showpublisheddocument/2343/637436416905200000</w:t>
        </w:r>
      </w:hyperlink>
      <w:r w:rsidRPr="00044B48">
        <w:rPr>
          <w:rFonts w:eastAsia="Cambria" w:cstheme="minorHAnsi"/>
          <w:snapToGrid/>
          <w:sz w:val="22"/>
          <w:szCs w:val="22"/>
        </w:rPr>
        <w:t>.</w:t>
      </w:r>
    </w:p>
    <w:p w14:paraId="1E082621"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Virginia Department of Environmental Quality. 2017. Stressor Analysis in Virginia: Data Collection and Stressor Thresholds. </w:t>
      </w:r>
      <w:hyperlink r:id="rId253">
        <w:r w:rsidRPr="00BF7191">
          <w:rPr>
            <w:rFonts w:eastAsia="Cambria" w:cstheme="minorHAnsi"/>
            <w:snapToGrid/>
            <w:color w:val="4176B2"/>
            <w:sz w:val="22"/>
            <w:szCs w:val="22"/>
          </w:rPr>
          <w:t>https://www.deq.virginia.gov/home/showpublisheddocument/4313/637461491358800000</w:t>
        </w:r>
      </w:hyperlink>
      <w:r w:rsidRPr="00044B48">
        <w:rPr>
          <w:rFonts w:eastAsia="Cambria" w:cstheme="minorHAnsi"/>
          <w:snapToGrid/>
          <w:sz w:val="22"/>
          <w:szCs w:val="22"/>
        </w:rPr>
        <w:t>.</w:t>
      </w:r>
    </w:p>
    <w:p w14:paraId="39AB793C"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Virginia Department of Environmental Quality. 2013. The Virginia Coastal Plain Macroinvertebrate Index. Technical Bulletin. WQA/2013-002.Richmond, Virginia. </w:t>
      </w:r>
      <w:hyperlink r:id="rId254">
        <w:r w:rsidRPr="00BF7191">
          <w:rPr>
            <w:rFonts w:eastAsia="Cambria" w:cstheme="minorHAnsi"/>
            <w:snapToGrid/>
            <w:color w:val="4176B2"/>
            <w:sz w:val="22"/>
            <w:szCs w:val="22"/>
          </w:rPr>
          <w:t>https://www.deq.virginia.gov/home/showpublisheddocument/4315/637461491365370000</w:t>
        </w:r>
      </w:hyperlink>
      <w:r w:rsidRPr="00044B48">
        <w:rPr>
          <w:rFonts w:eastAsia="Cambria" w:cstheme="minorHAnsi"/>
          <w:snapToGrid/>
          <w:sz w:val="22"/>
          <w:szCs w:val="22"/>
        </w:rPr>
        <w:t>.</w:t>
      </w:r>
    </w:p>
    <w:p w14:paraId="0256C3F3"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Virginia Department of Environmental Quality. 2011. 2012 Water Quality Assessment Guidance Manual. </w:t>
      </w:r>
    </w:p>
    <w:p w14:paraId="55A7E9E3"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Virginia Department of Environmental Quality. 2006a.Using Probabilistic Monitoring Data to Validate the Non-Coastal Virginia Stream Condition Index. DEQ Technical Bulletin. WQA/2006-001. </w:t>
      </w:r>
      <w:hyperlink r:id="rId255">
        <w:r w:rsidRPr="00BF7191">
          <w:rPr>
            <w:rFonts w:eastAsia="Cambria" w:cstheme="minorHAnsi"/>
            <w:snapToGrid/>
            <w:color w:val="4176B2"/>
            <w:sz w:val="22"/>
            <w:szCs w:val="22"/>
          </w:rPr>
          <w:t>https://www.deq.virginia.gov/home/showpublisheddocument/4319/637461491379900000</w:t>
        </w:r>
      </w:hyperlink>
      <w:r w:rsidRPr="00044B48">
        <w:rPr>
          <w:rFonts w:eastAsia="Cambria" w:cstheme="minorHAnsi"/>
          <w:snapToGrid/>
          <w:sz w:val="22"/>
          <w:szCs w:val="22"/>
        </w:rPr>
        <w:t>.</w:t>
      </w:r>
    </w:p>
    <w:p w14:paraId="25C4948B"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Virginia Department of Environmental Quality. 2006b. Fecal Bacteria and General Standard Total Maximum Daily Load Development for Straight Creek. Richmond, Virginia. DEQ TMDL Study. </w:t>
      </w:r>
    </w:p>
    <w:p w14:paraId="01835245"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 xml:space="preserve">Virginia Department of Environmental Quality. 2003. The Quality of Virginia Non-Tidal Streams: First Year Report. Richmond, Virginia. DEQ Technical Bulletin WQA/2002-001. </w:t>
      </w:r>
    </w:p>
    <w:p w14:paraId="25F7D644" w14:textId="77777777"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t>Virginia Water Control Board. 1990. Comprehensive Review of Selected Toxic Substances – Environmental Samples in Virginia. Richmond, Virginia. Information Bulletin 583.</w:t>
      </w:r>
    </w:p>
    <w:p w14:paraId="2FE3C732" w14:textId="4ECCD53B" w:rsidR="008D6D8B" w:rsidRPr="00044B48" w:rsidRDefault="008D6D8B" w:rsidP="008D6D8B">
      <w:pPr>
        <w:widowControl/>
        <w:spacing w:after="100"/>
        <w:rPr>
          <w:rFonts w:eastAsia="Cambria" w:cstheme="minorHAnsi"/>
          <w:snapToGrid/>
          <w:sz w:val="22"/>
          <w:szCs w:val="22"/>
        </w:rPr>
      </w:pPr>
      <w:r w:rsidRPr="00044B48">
        <w:rPr>
          <w:rFonts w:eastAsia="Cambria" w:cstheme="minorHAnsi"/>
          <w:snapToGrid/>
          <w:sz w:val="22"/>
          <w:szCs w:val="22"/>
        </w:rPr>
        <w:lastRenderedPageBreak/>
        <w:t>Yang, L., Jin, S., Danielson, P., Homer, C., Gass, L., Case, A., Costello, C., Dewitz, J., Fry, J., Funk, M., Grannemann, B., Rigge, M. and G. Xian. 2018. A New Generation of the United States National Land Cover Database: Requirements, Research Priorities, Design, and Implementation Strategies, p.</w:t>
      </w:r>
      <w:r w:rsidR="007C291C">
        <w:rPr>
          <w:rFonts w:eastAsia="Cambria" w:cstheme="minorHAnsi"/>
          <w:snapToGrid/>
          <w:sz w:val="22"/>
          <w:szCs w:val="22"/>
        </w:rPr>
        <w:t xml:space="preserve"> </w:t>
      </w:r>
      <w:r w:rsidRPr="00044B48">
        <w:rPr>
          <w:rFonts w:eastAsia="Cambria" w:cstheme="minorHAnsi"/>
          <w:snapToGrid/>
          <w:sz w:val="22"/>
          <w:szCs w:val="22"/>
        </w:rPr>
        <w:t>108–123.</w:t>
      </w:r>
    </w:p>
    <w:p w14:paraId="5C7878D9" w14:textId="77777777" w:rsidR="008D6D8B" w:rsidRDefault="008D6D8B" w:rsidP="00F2271E">
      <w:pPr>
        <w:spacing w:after="100"/>
        <w:rPr>
          <w:sz w:val="22"/>
          <w:szCs w:val="22"/>
        </w:rPr>
      </w:pPr>
    </w:p>
    <w:p w14:paraId="1C347A73" w14:textId="04F3B1DE" w:rsidR="008D6D8B" w:rsidRPr="006337F8" w:rsidRDefault="008D6D8B" w:rsidP="00F2271E">
      <w:pPr>
        <w:spacing w:after="100"/>
        <w:rPr>
          <w:i/>
          <w:iCs/>
          <w:szCs w:val="24"/>
        </w:rPr>
      </w:pPr>
      <w:r w:rsidRPr="006337F8">
        <w:rPr>
          <w:i/>
          <w:iCs/>
          <w:szCs w:val="24"/>
        </w:rPr>
        <w:t>Est</w:t>
      </w:r>
      <w:r w:rsidR="00B67E37" w:rsidRPr="006337F8">
        <w:rPr>
          <w:i/>
          <w:iCs/>
          <w:szCs w:val="24"/>
        </w:rPr>
        <w:t>uarine</w:t>
      </w:r>
      <w:r w:rsidRPr="006337F8">
        <w:rPr>
          <w:i/>
          <w:iCs/>
          <w:szCs w:val="24"/>
        </w:rPr>
        <w:t xml:space="preserve"> </w:t>
      </w:r>
      <w:r w:rsidR="00B67E37" w:rsidRPr="006337F8">
        <w:rPr>
          <w:i/>
          <w:iCs/>
          <w:szCs w:val="24"/>
        </w:rPr>
        <w:t>Probabilistic</w:t>
      </w:r>
      <w:r w:rsidRPr="006337F8">
        <w:rPr>
          <w:i/>
          <w:iCs/>
          <w:szCs w:val="24"/>
        </w:rPr>
        <w:t xml:space="preserve"> Mon</w:t>
      </w:r>
      <w:r w:rsidR="00B67E37" w:rsidRPr="006337F8">
        <w:rPr>
          <w:i/>
          <w:iCs/>
          <w:szCs w:val="24"/>
        </w:rPr>
        <w:t>itoring</w:t>
      </w:r>
    </w:p>
    <w:p w14:paraId="0BA80D8E" w14:textId="7777777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Chapman, P. M., Dexter, R. N., Cross, S. F., &amp; Mitchell, D. G. (1986). </w:t>
      </w:r>
      <w:r w:rsidRPr="00FE42D9">
        <w:rPr>
          <w:rFonts w:asciiTheme="minorHAnsi" w:hAnsiTheme="minorHAnsi" w:cstheme="minorHAnsi"/>
          <w:i/>
          <w:iCs/>
          <w:sz w:val="22"/>
          <w:szCs w:val="22"/>
        </w:rPr>
        <w:t>A field trial of the sediment quality triad in San Francisco Bay</w:t>
      </w:r>
      <w:r w:rsidRPr="00FE42D9">
        <w:rPr>
          <w:rFonts w:asciiTheme="minorHAnsi" w:hAnsiTheme="minorHAnsi" w:cstheme="minorHAnsi"/>
          <w:sz w:val="22"/>
          <w:szCs w:val="22"/>
        </w:rPr>
        <w:t xml:space="preserve"> (25; p. 189). </w:t>
      </w:r>
      <w:hyperlink r:id="rId256">
        <w:r w:rsidRPr="00FE42D9">
          <w:rPr>
            <w:rStyle w:val="Hyperlink"/>
            <w:rFonts w:asciiTheme="minorHAnsi" w:hAnsiTheme="minorHAnsi" w:cstheme="minorHAnsi"/>
            <w:sz w:val="22"/>
            <w:szCs w:val="22"/>
          </w:rPr>
          <w:t>https://repository.library.noaa.gov/view/noaa/8442</w:t>
        </w:r>
      </w:hyperlink>
    </w:p>
    <w:p w14:paraId="491CBA95" w14:textId="77777777" w:rsidR="008D6D8B"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Chapman, P. M., Dexter, R. N., &amp; Long, E. R. (1987). Synoptic measures of sediment contamination, toxicity and infaunal community composition (the Sediment Quality Triad) in San Francisco Bay. </w:t>
      </w:r>
      <w:r w:rsidRPr="00FE42D9">
        <w:rPr>
          <w:rFonts w:asciiTheme="minorHAnsi" w:hAnsiTheme="minorHAnsi" w:cstheme="minorHAnsi"/>
          <w:i/>
          <w:iCs/>
          <w:sz w:val="22"/>
          <w:szCs w:val="22"/>
        </w:rPr>
        <w:t>Marine Ecology Progress Series</w:t>
      </w:r>
      <w:r w:rsidRPr="00FE42D9">
        <w:rPr>
          <w:rFonts w:asciiTheme="minorHAnsi" w:hAnsiTheme="minorHAnsi" w:cstheme="minorHAnsi"/>
          <w:sz w:val="22"/>
          <w:szCs w:val="22"/>
        </w:rPr>
        <w:t>, 75–96.</w:t>
      </w:r>
    </w:p>
    <w:p w14:paraId="6E2EB03B" w14:textId="7777777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DEQ. (2023). </w:t>
      </w:r>
      <w:r w:rsidRPr="00FE42D9">
        <w:rPr>
          <w:rFonts w:asciiTheme="minorHAnsi" w:hAnsiTheme="minorHAnsi" w:cstheme="minorHAnsi"/>
          <w:i/>
          <w:iCs/>
          <w:sz w:val="22"/>
          <w:szCs w:val="22"/>
        </w:rPr>
        <w:t>Water quality assessment guidance manual</w:t>
      </w:r>
      <w:r w:rsidRPr="00FE42D9">
        <w:rPr>
          <w:rFonts w:asciiTheme="minorHAnsi" w:hAnsiTheme="minorHAnsi" w:cstheme="minorHAnsi"/>
          <w:sz w:val="22"/>
          <w:szCs w:val="22"/>
        </w:rPr>
        <w:t xml:space="preserve">. </w:t>
      </w:r>
      <w:hyperlink r:id="rId257">
        <w:r w:rsidRPr="00FE42D9">
          <w:rPr>
            <w:rStyle w:val="Hyperlink"/>
            <w:rFonts w:asciiTheme="minorHAnsi" w:hAnsiTheme="minorHAnsi" w:cstheme="minorHAnsi"/>
            <w:sz w:val="22"/>
            <w:szCs w:val="22"/>
          </w:rPr>
          <w:t>https://www.deq.virginia.gov/our-programs/water/water-quality/assessments/wqa-guidance-manual</w:t>
        </w:r>
      </w:hyperlink>
    </w:p>
    <w:p w14:paraId="102BB9ED" w14:textId="7777777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Field, L. J., MacDonald, D. D., Norton, S. B., Ingersoll, C. G., Severn, C. G., </w:t>
      </w:r>
      <w:proofErr w:type="spellStart"/>
      <w:r w:rsidRPr="00FE42D9">
        <w:rPr>
          <w:rFonts w:asciiTheme="minorHAnsi" w:hAnsiTheme="minorHAnsi" w:cstheme="minorHAnsi"/>
          <w:sz w:val="22"/>
          <w:szCs w:val="22"/>
        </w:rPr>
        <w:t>Smorong</w:t>
      </w:r>
      <w:proofErr w:type="spellEnd"/>
      <w:r w:rsidRPr="00FE42D9">
        <w:rPr>
          <w:rFonts w:asciiTheme="minorHAnsi" w:hAnsiTheme="minorHAnsi" w:cstheme="minorHAnsi"/>
          <w:sz w:val="22"/>
          <w:szCs w:val="22"/>
        </w:rPr>
        <w:t xml:space="preserve">, D., &amp; Lindskoog, R. (2002). Predicting amphipod toxicity from sediment chemistry using logistic regression models. </w:t>
      </w:r>
      <w:r w:rsidRPr="00FE42D9">
        <w:rPr>
          <w:rFonts w:asciiTheme="minorHAnsi" w:hAnsiTheme="minorHAnsi" w:cstheme="minorHAnsi"/>
          <w:i/>
          <w:iCs/>
          <w:sz w:val="22"/>
          <w:szCs w:val="22"/>
        </w:rPr>
        <w:t>Environmental Toxicology and Chemistry</w:t>
      </w:r>
      <w:r w:rsidRPr="00FE42D9">
        <w:rPr>
          <w:rFonts w:asciiTheme="minorHAnsi" w:hAnsiTheme="minorHAnsi" w:cstheme="minorHAnsi"/>
          <w:sz w:val="22"/>
          <w:szCs w:val="22"/>
        </w:rPr>
        <w:t xml:space="preserve">, </w:t>
      </w:r>
      <w:r w:rsidRPr="00FE42D9">
        <w:rPr>
          <w:rFonts w:asciiTheme="minorHAnsi" w:hAnsiTheme="minorHAnsi" w:cstheme="minorHAnsi"/>
          <w:i/>
          <w:iCs/>
          <w:sz w:val="22"/>
          <w:szCs w:val="22"/>
        </w:rPr>
        <w:t>21</w:t>
      </w:r>
      <w:r w:rsidRPr="00FE42D9">
        <w:rPr>
          <w:rFonts w:asciiTheme="minorHAnsi" w:hAnsiTheme="minorHAnsi" w:cstheme="minorHAnsi"/>
          <w:sz w:val="22"/>
          <w:szCs w:val="22"/>
        </w:rPr>
        <w:t xml:space="preserve">(9), 1993–2005. </w:t>
      </w:r>
      <w:hyperlink r:id="rId258">
        <w:r w:rsidRPr="00FE42D9">
          <w:rPr>
            <w:rStyle w:val="Hyperlink"/>
            <w:rFonts w:asciiTheme="minorHAnsi" w:hAnsiTheme="minorHAnsi" w:cstheme="minorHAnsi"/>
            <w:sz w:val="22"/>
            <w:szCs w:val="22"/>
          </w:rPr>
          <w:t>https://doi.org/10.1002/etc.5620210929</w:t>
        </w:r>
      </w:hyperlink>
    </w:p>
    <w:p w14:paraId="7888818D" w14:textId="238DEAF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Hyland, J. L., Balthis, W. L., Engle, V. D., Long, E. R., Paul, J. F., Summers, J. K., &amp; Van Dolah, R. F. (2003). Incidence of stress in benthic communities along the </w:t>
      </w:r>
      <w:r w:rsidR="00BF7191">
        <w:rPr>
          <w:rFonts w:asciiTheme="minorHAnsi" w:hAnsiTheme="minorHAnsi" w:cstheme="minorHAnsi"/>
          <w:sz w:val="22"/>
          <w:szCs w:val="22"/>
        </w:rPr>
        <w:t>U.S</w:t>
      </w:r>
      <w:r w:rsidRPr="00FE42D9">
        <w:rPr>
          <w:rFonts w:asciiTheme="minorHAnsi" w:hAnsiTheme="minorHAnsi" w:cstheme="minorHAnsi"/>
          <w:sz w:val="22"/>
          <w:szCs w:val="22"/>
        </w:rPr>
        <w:t xml:space="preserve">. Atlantic and </w:t>
      </w:r>
      <w:r w:rsidR="00BF7191">
        <w:rPr>
          <w:rFonts w:asciiTheme="minorHAnsi" w:hAnsiTheme="minorHAnsi" w:cstheme="minorHAnsi"/>
          <w:sz w:val="22"/>
          <w:szCs w:val="22"/>
        </w:rPr>
        <w:t>G</w:t>
      </w:r>
      <w:r w:rsidRPr="00FE42D9">
        <w:rPr>
          <w:rFonts w:asciiTheme="minorHAnsi" w:hAnsiTheme="minorHAnsi" w:cstheme="minorHAnsi"/>
          <w:sz w:val="22"/>
          <w:szCs w:val="22"/>
        </w:rPr>
        <w:t xml:space="preserve">ulf of </w:t>
      </w:r>
      <w:r w:rsidR="00BF7191" w:rsidRPr="00FE42D9">
        <w:rPr>
          <w:rFonts w:asciiTheme="minorHAnsi" w:hAnsiTheme="minorHAnsi" w:cstheme="minorHAnsi"/>
          <w:sz w:val="22"/>
          <w:szCs w:val="22"/>
        </w:rPr>
        <w:t>Mexico</w:t>
      </w:r>
      <w:r w:rsidRPr="00FE42D9">
        <w:rPr>
          <w:rFonts w:asciiTheme="minorHAnsi" w:hAnsiTheme="minorHAnsi" w:cstheme="minorHAnsi"/>
          <w:sz w:val="22"/>
          <w:szCs w:val="22"/>
        </w:rPr>
        <w:t xml:space="preserve"> coasts within different ranges of sediment contamination from chemical mixtures. In B. D. </w:t>
      </w:r>
      <w:proofErr w:type="spellStart"/>
      <w:r w:rsidRPr="00FE42D9">
        <w:rPr>
          <w:rFonts w:asciiTheme="minorHAnsi" w:hAnsiTheme="minorHAnsi" w:cstheme="minorHAnsi"/>
          <w:sz w:val="22"/>
          <w:szCs w:val="22"/>
        </w:rPr>
        <w:t>Melzian</w:t>
      </w:r>
      <w:proofErr w:type="spellEnd"/>
      <w:r w:rsidRPr="00FE42D9">
        <w:rPr>
          <w:rFonts w:asciiTheme="minorHAnsi" w:hAnsiTheme="minorHAnsi" w:cstheme="minorHAnsi"/>
          <w:sz w:val="22"/>
          <w:szCs w:val="22"/>
        </w:rPr>
        <w:t xml:space="preserve">, V. Engle, M. McAlister, S. Sandhu, &amp; L. K. Eads (Eds.), </w:t>
      </w:r>
      <w:r w:rsidRPr="00FE42D9">
        <w:rPr>
          <w:rFonts w:asciiTheme="minorHAnsi" w:hAnsiTheme="minorHAnsi" w:cstheme="minorHAnsi"/>
          <w:i/>
          <w:iCs/>
          <w:sz w:val="22"/>
          <w:szCs w:val="22"/>
        </w:rPr>
        <w:t>Coastal monitoring through partnerships: Proceedings of the fifth symposium on the environmental monitoring and assessment program (EMAP) Pensacola Beach, FL,U.S.A., April 24–27, 2001</w:t>
      </w:r>
      <w:r w:rsidRPr="00FE42D9">
        <w:rPr>
          <w:rFonts w:asciiTheme="minorHAnsi" w:hAnsiTheme="minorHAnsi" w:cstheme="minorHAnsi"/>
          <w:sz w:val="22"/>
          <w:szCs w:val="22"/>
        </w:rPr>
        <w:t xml:space="preserve"> (pp. 149–161). Springer Netherlands. </w:t>
      </w:r>
      <w:hyperlink r:id="rId259">
        <w:r w:rsidRPr="00FE42D9">
          <w:rPr>
            <w:rStyle w:val="Hyperlink"/>
            <w:rFonts w:asciiTheme="minorHAnsi" w:hAnsiTheme="minorHAnsi" w:cstheme="minorHAnsi"/>
            <w:sz w:val="22"/>
            <w:szCs w:val="22"/>
          </w:rPr>
          <w:t>https://doi.org/10.1007/978-94-017-0299-7_14</w:t>
        </w:r>
      </w:hyperlink>
    </w:p>
    <w:p w14:paraId="27DEF0DD" w14:textId="7777777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Ingersoll, C. G., MacDonald, D. D., Wang, N., Crane, J. L., Field, L. J., Haverland, P. S., Kemble, N. E., Lindskoog, R. A., Severn, C., &amp; </w:t>
      </w:r>
      <w:proofErr w:type="spellStart"/>
      <w:r w:rsidRPr="00FE42D9">
        <w:rPr>
          <w:rFonts w:asciiTheme="minorHAnsi" w:hAnsiTheme="minorHAnsi" w:cstheme="minorHAnsi"/>
          <w:sz w:val="22"/>
          <w:szCs w:val="22"/>
        </w:rPr>
        <w:t>Smorong</w:t>
      </w:r>
      <w:proofErr w:type="spellEnd"/>
      <w:r w:rsidRPr="00FE42D9">
        <w:rPr>
          <w:rFonts w:asciiTheme="minorHAnsi" w:hAnsiTheme="minorHAnsi" w:cstheme="minorHAnsi"/>
          <w:sz w:val="22"/>
          <w:szCs w:val="22"/>
        </w:rPr>
        <w:t xml:space="preserve">, D. E. (2001). Predictions of Sediment Toxicity Using Consensus-Based Freshwater Sediment Quality Guidelines. </w:t>
      </w:r>
      <w:r w:rsidRPr="00FE42D9">
        <w:rPr>
          <w:rFonts w:asciiTheme="minorHAnsi" w:hAnsiTheme="minorHAnsi" w:cstheme="minorHAnsi"/>
          <w:i/>
          <w:iCs/>
          <w:sz w:val="22"/>
          <w:szCs w:val="22"/>
        </w:rPr>
        <w:t>Archives of Environmental Contamination and Toxicology</w:t>
      </w:r>
      <w:r w:rsidRPr="00FE42D9">
        <w:rPr>
          <w:rFonts w:asciiTheme="minorHAnsi" w:hAnsiTheme="minorHAnsi" w:cstheme="minorHAnsi"/>
          <w:sz w:val="22"/>
          <w:szCs w:val="22"/>
        </w:rPr>
        <w:t xml:space="preserve">, </w:t>
      </w:r>
      <w:r w:rsidRPr="00FE42D9">
        <w:rPr>
          <w:rFonts w:asciiTheme="minorHAnsi" w:hAnsiTheme="minorHAnsi" w:cstheme="minorHAnsi"/>
          <w:i/>
          <w:iCs/>
          <w:sz w:val="22"/>
          <w:szCs w:val="22"/>
        </w:rPr>
        <w:t>41</w:t>
      </w:r>
      <w:r w:rsidRPr="00FE42D9">
        <w:rPr>
          <w:rFonts w:asciiTheme="minorHAnsi" w:hAnsiTheme="minorHAnsi" w:cstheme="minorHAnsi"/>
          <w:sz w:val="22"/>
          <w:szCs w:val="22"/>
        </w:rPr>
        <w:t xml:space="preserve">(1), 8–21. </w:t>
      </w:r>
      <w:hyperlink r:id="rId260">
        <w:r w:rsidRPr="00FE42D9">
          <w:rPr>
            <w:rStyle w:val="Hyperlink"/>
            <w:rFonts w:asciiTheme="minorHAnsi" w:hAnsiTheme="minorHAnsi" w:cstheme="minorHAnsi"/>
            <w:sz w:val="22"/>
            <w:szCs w:val="22"/>
          </w:rPr>
          <w:t>https://doi.org/10.1007/s002440010216</w:t>
        </w:r>
      </w:hyperlink>
    </w:p>
    <w:p w14:paraId="2ECB24D4" w14:textId="280643AE" w:rsidR="008D6D8B" w:rsidRPr="00FE42D9" w:rsidRDefault="008D6D8B" w:rsidP="008D6D8B">
      <w:pPr>
        <w:pStyle w:val="Bibliography"/>
        <w:spacing w:after="100"/>
        <w:rPr>
          <w:rFonts w:asciiTheme="minorHAnsi" w:hAnsiTheme="minorHAnsi" w:cstheme="minorHAnsi"/>
          <w:sz w:val="22"/>
          <w:szCs w:val="22"/>
        </w:rPr>
      </w:pPr>
      <w:proofErr w:type="spellStart"/>
      <w:r w:rsidRPr="00FE42D9">
        <w:rPr>
          <w:rFonts w:asciiTheme="minorHAnsi" w:hAnsiTheme="minorHAnsi" w:cstheme="minorHAnsi"/>
          <w:sz w:val="22"/>
          <w:szCs w:val="22"/>
        </w:rPr>
        <w:t>Llansó</w:t>
      </w:r>
      <w:proofErr w:type="spellEnd"/>
      <w:r w:rsidRPr="00FE42D9">
        <w:rPr>
          <w:rFonts w:asciiTheme="minorHAnsi" w:hAnsiTheme="minorHAnsi" w:cstheme="minorHAnsi"/>
          <w:sz w:val="22"/>
          <w:szCs w:val="22"/>
        </w:rPr>
        <w:t>, R. J., Scott, L. C., Dauer, D. M., Hyland, J. L., &amp; Russell, D. E. (2002a). An estuarine benthic index of biotic integrity for the mid-</w:t>
      </w:r>
      <w:r w:rsidR="00BF7191" w:rsidRPr="00FE42D9">
        <w:rPr>
          <w:rFonts w:asciiTheme="minorHAnsi" w:hAnsiTheme="minorHAnsi" w:cstheme="minorHAnsi"/>
          <w:sz w:val="22"/>
          <w:szCs w:val="22"/>
        </w:rPr>
        <w:t>Atlantic</w:t>
      </w:r>
      <w:r w:rsidRPr="00FE42D9">
        <w:rPr>
          <w:rFonts w:asciiTheme="minorHAnsi" w:hAnsiTheme="minorHAnsi" w:cstheme="minorHAnsi"/>
          <w:sz w:val="22"/>
          <w:szCs w:val="22"/>
        </w:rPr>
        <w:t xml:space="preserve"> region of the united states. I. Classification of assemblages and habitat definition. </w:t>
      </w:r>
      <w:r w:rsidRPr="00FE42D9">
        <w:rPr>
          <w:rFonts w:asciiTheme="minorHAnsi" w:hAnsiTheme="minorHAnsi" w:cstheme="minorHAnsi"/>
          <w:i/>
          <w:iCs/>
          <w:sz w:val="22"/>
          <w:szCs w:val="22"/>
        </w:rPr>
        <w:t>Estuaries</w:t>
      </w:r>
      <w:r w:rsidRPr="00FE42D9">
        <w:rPr>
          <w:rFonts w:asciiTheme="minorHAnsi" w:hAnsiTheme="minorHAnsi" w:cstheme="minorHAnsi"/>
          <w:sz w:val="22"/>
          <w:szCs w:val="22"/>
        </w:rPr>
        <w:t xml:space="preserve">, </w:t>
      </w:r>
      <w:r w:rsidRPr="00FE42D9">
        <w:rPr>
          <w:rFonts w:asciiTheme="minorHAnsi" w:hAnsiTheme="minorHAnsi" w:cstheme="minorHAnsi"/>
          <w:i/>
          <w:iCs/>
          <w:sz w:val="22"/>
          <w:szCs w:val="22"/>
        </w:rPr>
        <w:t>25</w:t>
      </w:r>
      <w:r w:rsidRPr="00FE42D9">
        <w:rPr>
          <w:rFonts w:asciiTheme="minorHAnsi" w:hAnsiTheme="minorHAnsi" w:cstheme="minorHAnsi"/>
          <w:sz w:val="22"/>
          <w:szCs w:val="22"/>
        </w:rPr>
        <w:t xml:space="preserve">(6), 1219–1230. </w:t>
      </w:r>
      <w:hyperlink r:id="rId261">
        <w:r w:rsidRPr="00FE42D9">
          <w:rPr>
            <w:rStyle w:val="Hyperlink"/>
            <w:rFonts w:asciiTheme="minorHAnsi" w:hAnsiTheme="minorHAnsi" w:cstheme="minorHAnsi"/>
            <w:sz w:val="22"/>
            <w:szCs w:val="22"/>
          </w:rPr>
          <w:t>https://www.jstor.org/stable/1353166</w:t>
        </w:r>
      </w:hyperlink>
    </w:p>
    <w:p w14:paraId="4250AAFD" w14:textId="4666D38E" w:rsidR="008D6D8B" w:rsidRPr="00FE42D9" w:rsidRDefault="008D6D8B" w:rsidP="008D6D8B">
      <w:pPr>
        <w:pStyle w:val="Bibliography"/>
        <w:spacing w:after="100"/>
        <w:rPr>
          <w:rFonts w:asciiTheme="minorHAnsi" w:hAnsiTheme="minorHAnsi" w:cstheme="minorHAnsi"/>
          <w:sz w:val="22"/>
          <w:szCs w:val="22"/>
        </w:rPr>
      </w:pPr>
      <w:proofErr w:type="spellStart"/>
      <w:r w:rsidRPr="00FE42D9">
        <w:rPr>
          <w:rFonts w:asciiTheme="minorHAnsi" w:hAnsiTheme="minorHAnsi" w:cstheme="minorHAnsi"/>
          <w:sz w:val="22"/>
          <w:szCs w:val="22"/>
        </w:rPr>
        <w:t>Llansó</w:t>
      </w:r>
      <w:proofErr w:type="spellEnd"/>
      <w:r w:rsidRPr="00FE42D9">
        <w:rPr>
          <w:rFonts w:asciiTheme="minorHAnsi" w:hAnsiTheme="minorHAnsi" w:cstheme="minorHAnsi"/>
          <w:sz w:val="22"/>
          <w:szCs w:val="22"/>
        </w:rPr>
        <w:t>, R. J., Scott, L. C., Hyland, J. L., Dauer, D. M., Russell, D. E., &amp; Kutz, F. W. (2002b). An estuarine benthic index of biotic integrity for the mid-</w:t>
      </w:r>
      <w:r w:rsidR="00BF7191" w:rsidRPr="00FE42D9">
        <w:rPr>
          <w:rFonts w:asciiTheme="minorHAnsi" w:hAnsiTheme="minorHAnsi" w:cstheme="minorHAnsi"/>
          <w:sz w:val="22"/>
          <w:szCs w:val="22"/>
        </w:rPr>
        <w:t>Atlantic</w:t>
      </w:r>
      <w:r w:rsidRPr="00FE42D9">
        <w:rPr>
          <w:rFonts w:asciiTheme="minorHAnsi" w:hAnsiTheme="minorHAnsi" w:cstheme="minorHAnsi"/>
          <w:sz w:val="22"/>
          <w:szCs w:val="22"/>
        </w:rPr>
        <w:t xml:space="preserve"> region of the united states. II. Index development. </w:t>
      </w:r>
      <w:r w:rsidRPr="00FE42D9">
        <w:rPr>
          <w:rFonts w:asciiTheme="minorHAnsi" w:hAnsiTheme="minorHAnsi" w:cstheme="minorHAnsi"/>
          <w:i/>
          <w:iCs/>
          <w:sz w:val="22"/>
          <w:szCs w:val="22"/>
        </w:rPr>
        <w:t>Estuaries</w:t>
      </w:r>
      <w:r w:rsidRPr="00FE42D9">
        <w:rPr>
          <w:rFonts w:asciiTheme="minorHAnsi" w:hAnsiTheme="minorHAnsi" w:cstheme="minorHAnsi"/>
          <w:sz w:val="22"/>
          <w:szCs w:val="22"/>
        </w:rPr>
        <w:t xml:space="preserve">, </w:t>
      </w:r>
      <w:r w:rsidRPr="00FE42D9">
        <w:rPr>
          <w:rFonts w:asciiTheme="minorHAnsi" w:hAnsiTheme="minorHAnsi" w:cstheme="minorHAnsi"/>
          <w:i/>
          <w:iCs/>
          <w:sz w:val="22"/>
          <w:szCs w:val="22"/>
        </w:rPr>
        <w:t>25</w:t>
      </w:r>
      <w:r w:rsidRPr="00FE42D9">
        <w:rPr>
          <w:rFonts w:asciiTheme="minorHAnsi" w:hAnsiTheme="minorHAnsi" w:cstheme="minorHAnsi"/>
          <w:sz w:val="22"/>
          <w:szCs w:val="22"/>
        </w:rPr>
        <w:t xml:space="preserve">(6), 1231–1242. </w:t>
      </w:r>
      <w:hyperlink r:id="rId262">
        <w:r w:rsidRPr="00FE42D9">
          <w:rPr>
            <w:rStyle w:val="Hyperlink"/>
            <w:rFonts w:asciiTheme="minorHAnsi" w:hAnsiTheme="minorHAnsi" w:cstheme="minorHAnsi"/>
            <w:sz w:val="22"/>
            <w:szCs w:val="22"/>
          </w:rPr>
          <w:t>https://doi.org/10.1007/BF02692220</w:t>
        </w:r>
      </w:hyperlink>
    </w:p>
    <w:p w14:paraId="2BBC7AD0" w14:textId="6C805E6D"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Long, E. R., &amp; Chapman, P. M. (1985). A sediment quality triad: Measures of sediment contamination, toxicity and infaunal community composition in </w:t>
      </w:r>
      <w:r w:rsidR="00BF7191" w:rsidRPr="00FE42D9">
        <w:rPr>
          <w:rFonts w:asciiTheme="minorHAnsi" w:hAnsiTheme="minorHAnsi" w:cstheme="minorHAnsi"/>
          <w:sz w:val="22"/>
          <w:szCs w:val="22"/>
        </w:rPr>
        <w:t>Puget</w:t>
      </w:r>
      <w:r w:rsidRPr="00FE42D9">
        <w:rPr>
          <w:rFonts w:asciiTheme="minorHAnsi" w:hAnsiTheme="minorHAnsi" w:cstheme="minorHAnsi"/>
          <w:sz w:val="22"/>
          <w:szCs w:val="22"/>
        </w:rPr>
        <w:t xml:space="preserve"> </w:t>
      </w:r>
      <w:r w:rsidR="00BF7191">
        <w:rPr>
          <w:rFonts w:asciiTheme="minorHAnsi" w:hAnsiTheme="minorHAnsi" w:cstheme="minorHAnsi"/>
          <w:sz w:val="22"/>
          <w:szCs w:val="22"/>
        </w:rPr>
        <w:t>S</w:t>
      </w:r>
      <w:r w:rsidRPr="00FE42D9">
        <w:rPr>
          <w:rFonts w:asciiTheme="minorHAnsi" w:hAnsiTheme="minorHAnsi" w:cstheme="minorHAnsi"/>
          <w:sz w:val="22"/>
          <w:szCs w:val="22"/>
        </w:rPr>
        <w:t xml:space="preserve">ound. </w:t>
      </w:r>
      <w:r w:rsidRPr="00FE42D9">
        <w:rPr>
          <w:rFonts w:asciiTheme="minorHAnsi" w:hAnsiTheme="minorHAnsi" w:cstheme="minorHAnsi"/>
          <w:i/>
          <w:iCs/>
          <w:sz w:val="22"/>
          <w:szCs w:val="22"/>
        </w:rPr>
        <w:t>Marine Pollution Bulletin</w:t>
      </w:r>
      <w:r w:rsidRPr="00FE42D9">
        <w:rPr>
          <w:rFonts w:asciiTheme="minorHAnsi" w:hAnsiTheme="minorHAnsi" w:cstheme="minorHAnsi"/>
          <w:sz w:val="22"/>
          <w:szCs w:val="22"/>
        </w:rPr>
        <w:t xml:space="preserve">, </w:t>
      </w:r>
      <w:r w:rsidRPr="00FE42D9">
        <w:rPr>
          <w:rFonts w:asciiTheme="minorHAnsi" w:hAnsiTheme="minorHAnsi" w:cstheme="minorHAnsi"/>
          <w:i/>
          <w:iCs/>
          <w:sz w:val="22"/>
          <w:szCs w:val="22"/>
        </w:rPr>
        <w:t>16</w:t>
      </w:r>
      <w:r w:rsidRPr="00FE42D9">
        <w:rPr>
          <w:rFonts w:asciiTheme="minorHAnsi" w:hAnsiTheme="minorHAnsi" w:cstheme="minorHAnsi"/>
          <w:sz w:val="22"/>
          <w:szCs w:val="22"/>
        </w:rPr>
        <w:t xml:space="preserve">(10), 405–415. </w:t>
      </w:r>
      <w:hyperlink r:id="rId263">
        <w:r w:rsidRPr="00FE42D9">
          <w:rPr>
            <w:rStyle w:val="Hyperlink"/>
            <w:rFonts w:asciiTheme="minorHAnsi" w:hAnsiTheme="minorHAnsi" w:cstheme="minorHAnsi"/>
            <w:sz w:val="22"/>
            <w:szCs w:val="22"/>
          </w:rPr>
          <w:t>https://doi.org/10.1016/0025-326X(85)90290-5</w:t>
        </w:r>
      </w:hyperlink>
    </w:p>
    <w:p w14:paraId="78C03B4D" w14:textId="7777777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Long, E. R., Macdonald, D. D., Smith, S. L., &amp; Calder, F. D. (1995). Incidence of adverse biological effects within ranges of chemical concentrations in marine and estuarine sediments. </w:t>
      </w:r>
      <w:r w:rsidRPr="00FE42D9">
        <w:rPr>
          <w:rFonts w:asciiTheme="minorHAnsi" w:hAnsiTheme="minorHAnsi" w:cstheme="minorHAnsi"/>
          <w:i/>
          <w:iCs/>
          <w:sz w:val="22"/>
          <w:szCs w:val="22"/>
        </w:rPr>
        <w:t>Environmental Management</w:t>
      </w:r>
      <w:r w:rsidRPr="00FE42D9">
        <w:rPr>
          <w:rFonts w:asciiTheme="minorHAnsi" w:hAnsiTheme="minorHAnsi" w:cstheme="minorHAnsi"/>
          <w:sz w:val="22"/>
          <w:szCs w:val="22"/>
        </w:rPr>
        <w:t xml:space="preserve">, </w:t>
      </w:r>
      <w:r w:rsidRPr="00FE42D9">
        <w:rPr>
          <w:rFonts w:asciiTheme="minorHAnsi" w:hAnsiTheme="minorHAnsi" w:cstheme="minorHAnsi"/>
          <w:i/>
          <w:iCs/>
          <w:sz w:val="22"/>
          <w:szCs w:val="22"/>
        </w:rPr>
        <w:t>19</w:t>
      </w:r>
      <w:r w:rsidRPr="00FE42D9">
        <w:rPr>
          <w:rFonts w:asciiTheme="minorHAnsi" w:hAnsiTheme="minorHAnsi" w:cstheme="minorHAnsi"/>
          <w:sz w:val="22"/>
          <w:szCs w:val="22"/>
        </w:rPr>
        <w:t xml:space="preserve">(1), 81–97. </w:t>
      </w:r>
      <w:hyperlink r:id="rId264">
        <w:r w:rsidRPr="00FE42D9">
          <w:rPr>
            <w:rStyle w:val="Hyperlink"/>
            <w:rFonts w:asciiTheme="minorHAnsi" w:hAnsiTheme="minorHAnsi" w:cstheme="minorHAnsi"/>
            <w:sz w:val="22"/>
            <w:szCs w:val="22"/>
          </w:rPr>
          <w:t>https://doi.org/10.1007/BF02472006</w:t>
        </w:r>
      </w:hyperlink>
    </w:p>
    <w:p w14:paraId="01AFEC97" w14:textId="7777777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MacDonald, D. D., Ingersoll, C. G., &amp; Berger, T. A. (2000). Development and evaluation of consensus-based sediment quality guidelines for freshwater ecosystems. </w:t>
      </w:r>
      <w:r w:rsidRPr="00FE42D9">
        <w:rPr>
          <w:rFonts w:asciiTheme="minorHAnsi" w:hAnsiTheme="minorHAnsi" w:cstheme="minorHAnsi"/>
          <w:i/>
          <w:iCs/>
          <w:sz w:val="22"/>
          <w:szCs w:val="22"/>
        </w:rPr>
        <w:t>Archives of Environmental Contamination and Toxicology</w:t>
      </w:r>
      <w:r w:rsidRPr="00FE42D9">
        <w:rPr>
          <w:rFonts w:asciiTheme="minorHAnsi" w:hAnsiTheme="minorHAnsi" w:cstheme="minorHAnsi"/>
          <w:sz w:val="22"/>
          <w:szCs w:val="22"/>
        </w:rPr>
        <w:t xml:space="preserve">, </w:t>
      </w:r>
      <w:r w:rsidRPr="00FE42D9">
        <w:rPr>
          <w:rFonts w:asciiTheme="minorHAnsi" w:hAnsiTheme="minorHAnsi" w:cstheme="minorHAnsi"/>
          <w:i/>
          <w:iCs/>
          <w:sz w:val="22"/>
          <w:szCs w:val="22"/>
        </w:rPr>
        <w:t>39</w:t>
      </w:r>
      <w:r w:rsidRPr="00FE42D9">
        <w:rPr>
          <w:rFonts w:asciiTheme="minorHAnsi" w:hAnsiTheme="minorHAnsi" w:cstheme="minorHAnsi"/>
          <w:sz w:val="22"/>
          <w:szCs w:val="22"/>
        </w:rPr>
        <w:t xml:space="preserve">(1), 20–31. </w:t>
      </w:r>
      <w:hyperlink r:id="rId265">
        <w:r w:rsidRPr="00FE42D9">
          <w:rPr>
            <w:rStyle w:val="Hyperlink"/>
            <w:rFonts w:asciiTheme="minorHAnsi" w:hAnsiTheme="minorHAnsi" w:cstheme="minorHAnsi"/>
            <w:sz w:val="22"/>
            <w:szCs w:val="22"/>
          </w:rPr>
          <w:t>https://doi.org/10.1007/s002440010075</w:t>
        </w:r>
      </w:hyperlink>
    </w:p>
    <w:p w14:paraId="55141AD2" w14:textId="65FD8C19"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lastRenderedPageBreak/>
        <w:t xml:space="preserve">Paul, J. F., Scott, K. J., Campbell, D. E., Gentile, J. H., Strobel, C. S., Valente, R. M., Weisberg, S. B., Holland, A. F., &amp; Ranasinghe, J. A. (2001). Developing and applying a benthic index of estuarine condition for the </w:t>
      </w:r>
      <w:r w:rsidR="00BF7191" w:rsidRPr="00FE42D9">
        <w:rPr>
          <w:rFonts w:asciiTheme="minorHAnsi" w:hAnsiTheme="minorHAnsi" w:cstheme="minorHAnsi"/>
          <w:sz w:val="22"/>
          <w:szCs w:val="22"/>
        </w:rPr>
        <w:t>Virginian</w:t>
      </w:r>
      <w:r w:rsidRPr="00FE42D9">
        <w:rPr>
          <w:rFonts w:asciiTheme="minorHAnsi" w:hAnsiTheme="minorHAnsi" w:cstheme="minorHAnsi"/>
          <w:sz w:val="22"/>
          <w:szCs w:val="22"/>
        </w:rPr>
        <w:t xml:space="preserve"> biogeographic province. </w:t>
      </w:r>
      <w:r w:rsidRPr="00FE42D9">
        <w:rPr>
          <w:rFonts w:asciiTheme="minorHAnsi" w:hAnsiTheme="minorHAnsi" w:cstheme="minorHAnsi"/>
          <w:i/>
          <w:iCs/>
          <w:sz w:val="22"/>
          <w:szCs w:val="22"/>
        </w:rPr>
        <w:t>Ecological Indicators</w:t>
      </w:r>
      <w:r w:rsidRPr="00FE42D9">
        <w:rPr>
          <w:rFonts w:asciiTheme="minorHAnsi" w:hAnsiTheme="minorHAnsi" w:cstheme="minorHAnsi"/>
          <w:sz w:val="22"/>
          <w:szCs w:val="22"/>
        </w:rPr>
        <w:t xml:space="preserve">, </w:t>
      </w:r>
      <w:r w:rsidRPr="00FE42D9">
        <w:rPr>
          <w:rFonts w:asciiTheme="minorHAnsi" w:hAnsiTheme="minorHAnsi" w:cstheme="minorHAnsi"/>
          <w:i/>
          <w:iCs/>
          <w:sz w:val="22"/>
          <w:szCs w:val="22"/>
        </w:rPr>
        <w:t>1</w:t>
      </w:r>
      <w:r w:rsidRPr="00FE42D9">
        <w:rPr>
          <w:rFonts w:asciiTheme="minorHAnsi" w:hAnsiTheme="minorHAnsi" w:cstheme="minorHAnsi"/>
          <w:sz w:val="22"/>
          <w:szCs w:val="22"/>
        </w:rPr>
        <w:t xml:space="preserve">(2), 83–99. </w:t>
      </w:r>
      <w:hyperlink r:id="rId266">
        <w:r w:rsidRPr="00FE42D9">
          <w:rPr>
            <w:rStyle w:val="Hyperlink"/>
            <w:rFonts w:asciiTheme="minorHAnsi" w:hAnsiTheme="minorHAnsi" w:cstheme="minorHAnsi"/>
            <w:sz w:val="22"/>
            <w:szCs w:val="22"/>
          </w:rPr>
          <w:t>https://doi.org/10.1016/S1470-160X(01)00010-3</w:t>
        </w:r>
      </w:hyperlink>
    </w:p>
    <w:p w14:paraId="7F55CC72" w14:textId="7777777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Pelletier, M. C., Gillett, D. J., Hamilton, A., Grayson, T., Hansen, V., Leppo, E. W., Weisberg, S. B., &amp; Borja, A. (2018). Adaptation and application of multivariate AMBI (m-AMBI) in US coastal waters. </w:t>
      </w:r>
      <w:r w:rsidRPr="00FE42D9">
        <w:rPr>
          <w:rFonts w:asciiTheme="minorHAnsi" w:hAnsiTheme="minorHAnsi" w:cstheme="minorHAnsi"/>
          <w:i/>
          <w:iCs/>
          <w:sz w:val="22"/>
          <w:szCs w:val="22"/>
        </w:rPr>
        <w:t>Ecological Indicators</w:t>
      </w:r>
      <w:r w:rsidRPr="00FE42D9">
        <w:rPr>
          <w:rFonts w:asciiTheme="minorHAnsi" w:hAnsiTheme="minorHAnsi" w:cstheme="minorHAnsi"/>
          <w:sz w:val="22"/>
          <w:szCs w:val="22"/>
        </w:rPr>
        <w:t xml:space="preserve">, </w:t>
      </w:r>
      <w:r w:rsidRPr="00FE42D9">
        <w:rPr>
          <w:rFonts w:asciiTheme="minorHAnsi" w:hAnsiTheme="minorHAnsi" w:cstheme="minorHAnsi"/>
          <w:i/>
          <w:iCs/>
          <w:sz w:val="22"/>
          <w:szCs w:val="22"/>
        </w:rPr>
        <w:t>89</w:t>
      </w:r>
      <w:r w:rsidRPr="00FE42D9">
        <w:rPr>
          <w:rFonts w:asciiTheme="minorHAnsi" w:hAnsiTheme="minorHAnsi" w:cstheme="minorHAnsi"/>
          <w:sz w:val="22"/>
          <w:szCs w:val="22"/>
        </w:rPr>
        <w:t xml:space="preserve">, 818–827. </w:t>
      </w:r>
      <w:hyperlink r:id="rId267">
        <w:r w:rsidRPr="00FE42D9">
          <w:rPr>
            <w:rStyle w:val="Hyperlink"/>
            <w:rFonts w:asciiTheme="minorHAnsi" w:hAnsiTheme="minorHAnsi" w:cstheme="minorHAnsi"/>
            <w:sz w:val="22"/>
            <w:szCs w:val="22"/>
          </w:rPr>
          <w:t>https://doi.org/10.1016/j.ecolind.2017.08.067</w:t>
        </w:r>
      </w:hyperlink>
    </w:p>
    <w:p w14:paraId="19912050" w14:textId="241E7AE5"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System, V. (1958). The </w:t>
      </w:r>
      <w:r w:rsidR="00BF7191" w:rsidRPr="00FE42D9">
        <w:rPr>
          <w:rFonts w:asciiTheme="minorHAnsi" w:hAnsiTheme="minorHAnsi" w:cstheme="minorHAnsi"/>
          <w:sz w:val="22"/>
          <w:szCs w:val="22"/>
        </w:rPr>
        <w:t>Venice</w:t>
      </w:r>
      <w:r w:rsidRPr="00FE42D9">
        <w:rPr>
          <w:rFonts w:asciiTheme="minorHAnsi" w:hAnsiTheme="minorHAnsi" w:cstheme="minorHAnsi"/>
          <w:sz w:val="22"/>
          <w:szCs w:val="22"/>
        </w:rPr>
        <w:t xml:space="preserve"> system for the classification of marine waters according to salinity. </w:t>
      </w:r>
      <w:r w:rsidRPr="00FE42D9">
        <w:rPr>
          <w:rFonts w:asciiTheme="minorHAnsi" w:hAnsiTheme="minorHAnsi" w:cstheme="minorHAnsi"/>
          <w:i/>
          <w:iCs/>
          <w:sz w:val="22"/>
          <w:szCs w:val="22"/>
        </w:rPr>
        <w:t>Limnology and Oceanography</w:t>
      </w:r>
      <w:r w:rsidRPr="00FE42D9">
        <w:rPr>
          <w:rFonts w:asciiTheme="minorHAnsi" w:hAnsiTheme="minorHAnsi" w:cstheme="minorHAnsi"/>
          <w:sz w:val="22"/>
          <w:szCs w:val="22"/>
        </w:rPr>
        <w:t xml:space="preserve">, </w:t>
      </w:r>
      <w:r w:rsidRPr="00FE42D9">
        <w:rPr>
          <w:rFonts w:asciiTheme="minorHAnsi" w:hAnsiTheme="minorHAnsi" w:cstheme="minorHAnsi"/>
          <w:i/>
          <w:iCs/>
          <w:sz w:val="22"/>
          <w:szCs w:val="22"/>
        </w:rPr>
        <w:t>3</w:t>
      </w:r>
      <w:r w:rsidRPr="00FE42D9">
        <w:rPr>
          <w:rFonts w:asciiTheme="minorHAnsi" w:hAnsiTheme="minorHAnsi" w:cstheme="minorHAnsi"/>
          <w:sz w:val="22"/>
          <w:szCs w:val="22"/>
        </w:rPr>
        <w:t xml:space="preserve">(3), 346–347. </w:t>
      </w:r>
      <w:hyperlink r:id="rId268">
        <w:r w:rsidRPr="00FE42D9">
          <w:rPr>
            <w:rStyle w:val="Hyperlink"/>
            <w:rFonts w:asciiTheme="minorHAnsi" w:hAnsiTheme="minorHAnsi" w:cstheme="minorHAnsi"/>
            <w:sz w:val="22"/>
            <w:szCs w:val="22"/>
          </w:rPr>
          <w:t>https://doi.org/10.4319/lo.1958.3.3.0346</w:t>
        </w:r>
      </w:hyperlink>
    </w:p>
    <w:p w14:paraId="6F9149F1" w14:textId="7777777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U.S. EPA. (2003). </w:t>
      </w:r>
      <w:r w:rsidRPr="00FE42D9">
        <w:rPr>
          <w:rFonts w:asciiTheme="minorHAnsi" w:hAnsiTheme="minorHAnsi" w:cstheme="minorHAnsi"/>
          <w:i/>
          <w:iCs/>
          <w:sz w:val="22"/>
          <w:szCs w:val="22"/>
        </w:rPr>
        <w:t>Procedures for the Derivation of Equilibrium Partitioning Sediment Benchmarks (ESBs) for the Protection of Benthic Organisms: PAH Mixtures. EPA-600-R-02-013</w:t>
      </w:r>
      <w:r w:rsidRPr="00FE42D9">
        <w:rPr>
          <w:rFonts w:asciiTheme="minorHAnsi" w:hAnsiTheme="minorHAnsi" w:cstheme="minorHAnsi"/>
          <w:sz w:val="22"/>
          <w:szCs w:val="22"/>
        </w:rPr>
        <w:t xml:space="preserve">. Office of Research and Development. Washington, DC. </w:t>
      </w:r>
      <w:hyperlink r:id="rId269">
        <w:r w:rsidRPr="00FE42D9">
          <w:rPr>
            <w:rStyle w:val="Hyperlink"/>
            <w:rFonts w:asciiTheme="minorHAnsi" w:hAnsiTheme="minorHAnsi" w:cstheme="minorHAnsi"/>
            <w:sz w:val="22"/>
            <w:szCs w:val="22"/>
          </w:rPr>
          <w:t>https://nepis.epa.gov/Exe/ZyPDF.cgi/30006DOD.PDF?Dockey=30006DOD.PDF</w:t>
        </w:r>
      </w:hyperlink>
    </w:p>
    <w:p w14:paraId="33CE9B30" w14:textId="7777777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U.S. EPA. (2015). </w:t>
      </w:r>
      <w:r w:rsidRPr="00FE42D9">
        <w:rPr>
          <w:rFonts w:asciiTheme="minorHAnsi" w:hAnsiTheme="minorHAnsi" w:cstheme="minorHAnsi"/>
          <w:i/>
          <w:iCs/>
          <w:sz w:val="22"/>
          <w:szCs w:val="22"/>
        </w:rPr>
        <w:t>National Coastal Condition Assessment 2010 (EPA 841-R-15-006)</w:t>
      </w:r>
      <w:r w:rsidRPr="00FE42D9">
        <w:rPr>
          <w:rFonts w:asciiTheme="minorHAnsi" w:hAnsiTheme="minorHAnsi" w:cstheme="minorHAnsi"/>
          <w:sz w:val="22"/>
          <w:szCs w:val="22"/>
        </w:rPr>
        <w:t xml:space="preserve">. Office of Water and Office of Research and Development. Washington, DC. </w:t>
      </w:r>
      <w:hyperlink r:id="rId270">
        <w:r w:rsidRPr="00FE42D9">
          <w:rPr>
            <w:rStyle w:val="Hyperlink"/>
            <w:rFonts w:asciiTheme="minorHAnsi" w:hAnsiTheme="minorHAnsi" w:cstheme="minorHAnsi"/>
            <w:sz w:val="22"/>
            <w:szCs w:val="22"/>
          </w:rPr>
          <w:t>https://www.epa.gov/national-aquatic-resource-surveys/national-coastal-condition-assessment-2010-report</w:t>
        </w:r>
      </w:hyperlink>
    </w:p>
    <w:p w14:paraId="18244500" w14:textId="7777777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U.S. EPA. (2016). </w:t>
      </w:r>
      <w:r w:rsidRPr="00FE42D9">
        <w:rPr>
          <w:rFonts w:asciiTheme="minorHAnsi" w:hAnsiTheme="minorHAnsi" w:cstheme="minorHAnsi"/>
          <w:i/>
          <w:iCs/>
          <w:sz w:val="22"/>
          <w:szCs w:val="22"/>
        </w:rPr>
        <w:t>National Coastal Condition Assessment 2010 Technical Report</w:t>
      </w:r>
      <w:r w:rsidRPr="00FE42D9">
        <w:rPr>
          <w:rFonts w:asciiTheme="minorHAnsi" w:hAnsiTheme="minorHAnsi" w:cstheme="minorHAnsi"/>
          <w:sz w:val="22"/>
          <w:szCs w:val="22"/>
        </w:rPr>
        <w:t xml:space="preserve">. Office of Water and Office of Research and Development. Washington, DC. </w:t>
      </w:r>
      <w:hyperlink r:id="rId271">
        <w:r w:rsidRPr="00FE42D9">
          <w:rPr>
            <w:rStyle w:val="Hyperlink"/>
            <w:rFonts w:asciiTheme="minorHAnsi" w:hAnsiTheme="minorHAnsi" w:cstheme="minorHAnsi"/>
            <w:sz w:val="22"/>
            <w:szCs w:val="22"/>
          </w:rPr>
          <w:t>https://www.epa.gov/national-aquatic-resource-surveys/national-coastal-condition-assessment-2010-technical-report</w:t>
        </w:r>
      </w:hyperlink>
    </w:p>
    <w:p w14:paraId="4277CC32" w14:textId="77777777" w:rsidR="008D6D8B" w:rsidRPr="00FE42D9" w:rsidRDefault="008D6D8B" w:rsidP="008D6D8B">
      <w:pPr>
        <w:pStyle w:val="Bibliography"/>
        <w:spacing w:after="100"/>
        <w:rPr>
          <w:rFonts w:asciiTheme="minorHAnsi" w:hAnsiTheme="minorHAnsi" w:cstheme="minorHAnsi"/>
          <w:sz w:val="22"/>
          <w:szCs w:val="22"/>
        </w:rPr>
      </w:pPr>
      <w:r w:rsidRPr="00FE42D9">
        <w:rPr>
          <w:rFonts w:asciiTheme="minorHAnsi" w:hAnsiTheme="minorHAnsi" w:cstheme="minorHAnsi"/>
          <w:sz w:val="22"/>
          <w:szCs w:val="22"/>
        </w:rPr>
        <w:t xml:space="preserve">U.S. EPA. (2020). </w:t>
      </w:r>
      <w:r w:rsidRPr="00FE42D9">
        <w:rPr>
          <w:rFonts w:asciiTheme="minorHAnsi" w:hAnsiTheme="minorHAnsi" w:cstheme="minorHAnsi"/>
          <w:i/>
          <w:iCs/>
          <w:sz w:val="22"/>
          <w:szCs w:val="22"/>
        </w:rPr>
        <w:t>National Coastal Condition Assessment 2015 Technical Support Document. EPA‐841-R-20-002</w:t>
      </w:r>
      <w:r w:rsidRPr="00FE42D9">
        <w:rPr>
          <w:rFonts w:asciiTheme="minorHAnsi" w:hAnsiTheme="minorHAnsi" w:cstheme="minorHAnsi"/>
          <w:sz w:val="22"/>
          <w:szCs w:val="22"/>
        </w:rPr>
        <w:t xml:space="preserve">. Office of Water and Office of Research and Development. Washington, DC. </w:t>
      </w:r>
      <w:hyperlink r:id="rId272">
        <w:r w:rsidRPr="00FE42D9">
          <w:rPr>
            <w:rStyle w:val="Hyperlink"/>
            <w:rFonts w:asciiTheme="minorHAnsi" w:hAnsiTheme="minorHAnsi" w:cstheme="minorHAnsi"/>
            <w:sz w:val="22"/>
            <w:szCs w:val="22"/>
          </w:rPr>
          <w:t>https://www.epa.gov/national-aquatic-resource-surveys/national-coastal-condition-assessment-2015-technical-support</w:t>
        </w:r>
      </w:hyperlink>
    </w:p>
    <w:p w14:paraId="08E160AD" w14:textId="4281B99B" w:rsidR="008D6D8B" w:rsidRPr="00C47219" w:rsidRDefault="008D6D8B" w:rsidP="008D6D8B">
      <w:pPr>
        <w:pStyle w:val="Bibliography"/>
        <w:spacing w:after="100"/>
        <w:rPr>
          <w:rFonts w:asciiTheme="minorHAnsi" w:hAnsiTheme="minorHAnsi" w:cstheme="minorHAnsi"/>
          <w:sz w:val="22"/>
        </w:rPr>
      </w:pPr>
      <w:r w:rsidRPr="00FE42D9">
        <w:rPr>
          <w:rFonts w:asciiTheme="minorHAnsi" w:hAnsiTheme="minorHAnsi" w:cstheme="minorHAnsi"/>
          <w:sz w:val="22"/>
          <w:szCs w:val="22"/>
        </w:rPr>
        <w:t xml:space="preserve">Weisberg, S. B., Ranasinghe, J. A., Dauer, D. M., Schaffner, L. C., Diaz, R. J., &amp; </w:t>
      </w:r>
      <w:proofErr w:type="spellStart"/>
      <w:r w:rsidRPr="00FE42D9">
        <w:rPr>
          <w:rFonts w:asciiTheme="minorHAnsi" w:hAnsiTheme="minorHAnsi" w:cstheme="minorHAnsi"/>
          <w:sz w:val="22"/>
          <w:szCs w:val="22"/>
        </w:rPr>
        <w:t>Frithsen</w:t>
      </w:r>
      <w:proofErr w:type="spellEnd"/>
      <w:r w:rsidRPr="00FE42D9">
        <w:rPr>
          <w:rFonts w:asciiTheme="minorHAnsi" w:hAnsiTheme="minorHAnsi" w:cstheme="minorHAnsi"/>
          <w:sz w:val="22"/>
          <w:szCs w:val="22"/>
        </w:rPr>
        <w:t xml:space="preserve">, J. B. (1997). An estuarine benthic index of biotic integrity (b-IBI) for </w:t>
      </w:r>
      <w:r w:rsidR="00BF7191" w:rsidRPr="00FE42D9">
        <w:rPr>
          <w:rFonts w:asciiTheme="minorHAnsi" w:hAnsiTheme="minorHAnsi" w:cstheme="minorHAnsi"/>
          <w:sz w:val="22"/>
          <w:szCs w:val="22"/>
        </w:rPr>
        <w:t>Chesapeake</w:t>
      </w:r>
      <w:r w:rsidRPr="00FE42D9">
        <w:rPr>
          <w:rFonts w:asciiTheme="minorHAnsi" w:hAnsiTheme="minorHAnsi" w:cstheme="minorHAnsi"/>
          <w:sz w:val="22"/>
          <w:szCs w:val="22"/>
        </w:rPr>
        <w:t xml:space="preserve"> </w:t>
      </w:r>
      <w:r w:rsidR="00BF7191">
        <w:rPr>
          <w:rFonts w:asciiTheme="minorHAnsi" w:hAnsiTheme="minorHAnsi" w:cstheme="minorHAnsi"/>
          <w:sz w:val="22"/>
          <w:szCs w:val="22"/>
        </w:rPr>
        <w:t>B</w:t>
      </w:r>
      <w:r w:rsidRPr="00FE42D9">
        <w:rPr>
          <w:rFonts w:asciiTheme="minorHAnsi" w:hAnsiTheme="minorHAnsi" w:cstheme="minorHAnsi"/>
          <w:sz w:val="22"/>
          <w:szCs w:val="22"/>
        </w:rPr>
        <w:t xml:space="preserve">ay. </w:t>
      </w:r>
      <w:r w:rsidRPr="00FE42D9">
        <w:rPr>
          <w:rFonts w:asciiTheme="minorHAnsi" w:hAnsiTheme="minorHAnsi" w:cstheme="minorHAnsi"/>
          <w:i/>
          <w:iCs/>
          <w:sz w:val="22"/>
          <w:szCs w:val="22"/>
        </w:rPr>
        <w:t>Estuaries</w:t>
      </w:r>
      <w:r w:rsidRPr="00FE42D9">
        <w:rPr>
          <w:rFonts w:asciiTheme="minorHAnsi" w:hAnsiTheme="minorHAnsi" w:cstheme="minorHAnsi"/>
          <w:sz w:val="22"/>
          <w:szCs w:val="22"/>
        </w:rPr>
        <w:t xml:space="preserve">, </w:t>
      </w:r>
      <w:r w:rsidRPr="00FE42D9">
        <w:rPr>
          <w:rFonts w:asciiTheme="minorHAnsi" w:hAnsiTheme="minorHAnsi" w:cstheme="minorHAnsi"/>
          <w:i/>
          <w:iCs/>
          <w:sz w:val="22"/>
          <w:szCs w:val="22"/>
        </w:rPr>
        <w:t>20</w:t>
      </w:r>
      <w:r w:rsidRPr="00FE42D9">
        <w:rPr>
          <w:rFonts w:asciiTheme="minorHAnsi" w:hAnsiTheme="minorHAnsi" w:cstheme="minorHAnsi"/>
          <w:sz w:val="22"/>
          <w:szCs w:val="22"/>
        </w:rPr>
        <w:t xml:space="preserve">(1), 149–158. </w:t>
      </w:r>
      <w:hyperlink r:id="rId273">
        <w:r w:rsidRPr="00FE42D9">
          <w:rPr>
            <w:rStyle w:val="Hyperlink"/>
            <w:rFonts w:asciiTheme="minorHAnsi" w:hAnsiTheme="minorHAnsi" w:cstheme="minorHAnsi"/>
            <w:sz w:val="22"/>
            <w:szCs w:val="22"/>
          </w:rPr>
          <w:t>https://doi.org/10.2307/1352728</w:t>
        </w:r>
      </w:hyperlink>
    </w:p>
    <w:p w14:paraId="0E0E864A" w14:textId="77777777" w:rsidR="009E580C" w:rsidRPr="00C47219" w:rsidRDefault="009E580C" w:rsidP="009E580C">
      <w:pPr>
        <w:rPr>
          <w:rFonts w:cstheme="minorHAnsi"/>
        </w:rPr>
      </w:pPr>
    </w:p>
    <w:p w14:paraId="2A48D388" w14:textId="51712F03" w:rsidR="00A97FFA" w:rsidRPr="00C47219" w:rsidRDefault="00B67E37" w:rsidP="009E580C">
      <w:pPr>
        <w:rPr>
          <w:rFonts w:cstheme="minorHAnsi"/>
          <w:i/>
        </w:rPr>
      </w:pPr>
      <w:r w:rsidRPr="00C47219">
        <w:rPr>
          <w:rFonts w:cstheme="minorHAnsi"/>
          <w:i/>
        </w:rPr>
        <w:t>Statewide Trends Analysis</w:t>
      </w:r>
    </w:p>
    <w:p w14:paraId="30C327FE" w14:textId="77777777" w:rsidR="00A97FFA" w:rsidRPr="000533BA" w:rsidRDefault="00A97FFA" w:rsidP="00A97FFA">
      <w:pPr>
        <w:spacing w:after="100"/>
        <w:rPr>
          <w:rFonts w:cstheme="minorHAnsi"/>
          <w:color w:val="222222"/>
          <w:sz w:val="22"/>
          <w:szCs w:val="22"/>
          <w:shd w:val="clear" w:color="auto" w:fill="FFFFFF"/>
        </w:rPr>
      </w:pPr>
      <w:r w:rsidRPr="000533BA">
        <w:rPr>
          <w:rFonts w:cstheme="minorHAnsi"/>
          <w:color w:val="222222"/>
          <w:sz w:val="22"/>
          <w:szCs w:val="22"/>
          <w:shd w:val="clear" w:color="auto" w:fill="FFFFFF"/>
        </w:rPr>
        <w:t>Rice, K.C. and Jastram, J.D. (2015). Rising air and stream-water temperatures in Chesapeake Bay region, USA. </w:t>
      </w:r>
      <w:r w:rsidRPr="00DD1C75">
        <w:rPr>
          <w:rFonts w:cstheme="minorHAnsi"/>
          <w:i/>
          <w:iCs/>
          <w:color w:val="000000" w:themeColor="text1"/>
          <w:sz w:val="22"/>
          <w:szCs w:val="22"/>
          <w:shd w:val="clear" w:color="auto" w:fill="FFFFFF"/>
        </w:rPr>
        <w:t>Climatic Change</w:t>
      </w:r>
      <w:r w:rsidRPr="00DD1C75">
        <w:rPr>
          <w:rFonts w:cstheme="minorHAnsi"/>
          <w:color w:val="000000" w:themeColor="text1"/>
          <w:sz w:val="22"/>
          <w:szCs w:val="22"/>
          <w:shd w:val="clear" w:color="auto" w:fill="FFFFFF"/>
        </w:rPr>
        <w:t> </w:t>
      </w:r>
      <w:r w:rsidRPr="00DD1C75">
        <w:rPr>
          <w:rFonts w:cstheme="minorHAnsi"/>
          <w:bCs/>
          <w:color w:val="000000" w:themeColor="text1"/>
          <w:sz w:val="22"/>
          <w:szCs w:val="22"/>
          <w:shd w:val="clear" w:color="auto" w:fill="FFFFFF"/>
        </w:rPr>
        <w:t>128</w:t>
      </w:r>
      <w:r w:rsidRPr="00DD1C75">
        <w:rPr>
          <w:rFonts w:cstheme="minorHAnsi"/>
          <w:color w:val="000000" w:themeColor="text1"/>
          <w:sz w:val="22"/>
          <w:szCs w:val="22"/>
          <w:shd w:val="clear" w:color="auto" w:fill="FFFFFF"/>
        </w:rPr>
        <w:t xml:space="preserve">, </w:t>
      </w:r>
      <w:r w:rsidRPr="000533BA">
        <w:rPr>
          <w:rFonts w:cstheme="minorHAnsi"/>
          <w:color w:val="222222"/>
          <w:sz w:val="22"/>
          <w:szCs w:val="22"/>
          <w:shd w:val="clear" w:color="auto" w:fill="FFFFFF"/>
        </w:rPr>
        <w:t xml:space="preserve">127–138. </w:t>
      </w:r>
      <w:hyperlink r:id="rId274" w:history="1">
        <w:r w:rsidRPr="000533BA">
          <w:rPr>
            <w:rStyle w:val="Hyperlink"/>
            <w:rFonts w:cstheme="minorHAnsi"/>
            <w:sz w:val="22"/>
            <w:szCs w:val="22"/>
            <w:shd w:val="clear" w:color="auto" w:fill="FFFFFF"/>
          </w:rPr>
          <w:t>https://doi.org/10.1007/s10584-014-1295-9</w:t>
        </w:r>
      </w:hyperlink>
    </w:p>
    <w:p w14:paraId="49E1FF62" w14:textId="77777777" w:rsidR="00A97FFA" w:rsidRPr="000533BA" w:rsidRDefault="00A97FFA" w:rsidP="00A97FFA">
      <w:pPr>
        <w:spacing w:after="100"/>
        <w:rPr>
          <w:rFonts w:cstheme="minorHAnsi"/>
          <w:sz w:val="22"/>
          <w:szCs w:val="22"/>
        </w:rPr>
      </w:pPr>
      <w:r w:rsidRPr="000533BA">
        <w:rPr>
          <w:rFonts w:cstheme="minorHAnsi"/>
          <w:sz w:val="22"/>
          <w:szCs w:val="22"/>
        </w:rPr>
        <w:t>University of Virginia Weldon Cooper Center, Demographics Research Group (2022). Virginia Population Estimates. Retrieved from https://demographics.coopercenter.org/virginia-population-estimates.</w:t>
      </w:r>
    </w:p>
    <w:p w14:paraId="7E0F30B5" w14:textId="77777777" w:rsidR="00A97FFA" w:rsidRPr="000533BA" w:rsidRDefault="00A97FFA" w:rsidP="00A97FFA">
      <w:pPr>
        <w:spacing w:after="100"/>
        <w:rPr>
          <w:rFonts w:cstheme="minorHAnsi"/>
          <w:sz w:val="22"/>
          <w:szCs w:val="22"/>
        </w:rPr>
      </w:pPr>
      <w:r w:rsidRPr="000533BA">
        <w:rPr>
          <w:rFonts w:cstheme="minorHAnsi"/>
          <w:sz w:val="22"/>
          <w:szCs w:val="22"/>
        </w:rPr>
        <w:t xml:space="preserve">U.S. Census Bureau Building Permits Survey (2023). retrieved from: </w:t>
      </w:r>
      <w:hyperlink r:id="rId275" w:history="1">
        <w:r w:rsidRPr="000533BA">
          <w:rPr>
            <w:rStyle w:val="Hyperlink"/>
            <w:rFonts w:cstheme="minorHAnsi"/>
            <w:sz w:val="22"/>
            <w:szCs w:val="22"/>
          </w:rPr>
          <w:t>https://www.census.gov/library/visualizations/interactive/bps-new-privately-owned-housing-unit-authorizations.html</w:t>
        </w:r>
      </w:hyperlink>
    </w:p>
    <w:p w14:paraId="3D9E38E6" w14:textId="77777777" w:rsidR="00A97FFA" w:rsidRDefault="00A97FFA" w:rsidP="009E580C"/>
    <w:p w14:paraId="6D43744E" w14:textId="23C34BB7" w:rsidR="00CF24A8" w:rsidRPr="006337F8" w:rsidRDefault="00CF24A8" w:rsidP="00136C7D">
      <w:pPr>
        <w:pStyle w:val="Heading4"/>
        <w:rPr>
          <w:i w:val="0"/>
          <w:iCs w:val="0"/>
        </w:rPr>
      </w:pPr>
      <w:r w:rsidRPr="006337F8">
        <w:rPr>
          <w:i w:val="0"/>
          <w:iCs w:val="0"/>
        </w:rPr>
        <w:t>Chapter 6</w:t>
      </w:r>
    </w:p>
    <w:p w14:paraId="5E98BB52" w14:textId="0CE9217D" w:rsidR="00CF24A8" w:rsidRPr="006337F8" w:rsidRDefault="00136C7D" w:rsidP="009E580C">
      <w:pPr>
        <w:rPr>
          <w:i/>
          <w:iCs/>
        </w:rPr>
      </w:pPr>
      <w:r w:rsidRPr="006337F8">
        <w:rPr>
          <w:i/>
          <w:iCs/>
        </w:rPr>
        <w:t>Wetland Program Initiatives</w:t>
      </w:r>
    </w:p>
    <w:p w14:paraId="65899D54" w14:textId="77777777" w:rsidR="00CF24A8" w:rsidRPr="000533BA" w:rsidRDefault="00CF24A8" w:rsidP="00CF24A8">
      <w:pPr>
        <w:pStyle w:val="BodyText2"/>
        <w:spacing w:after="100" w:line="240" w:lineRule="auto"/>
        <w:rPr>
          <w:rFonts w:cstheme="minorHAnsi"/>
          <w:sz w:val="22"/>
          <w:szCs w:val="22"/>
        </w:rPr>
      </w:pPr>
      <w:r w:rsidRPr="000533BA">
        <w:rPr>
          <w:rFonts w:cstheme="minorHAnsi"/>
          <w:sz w:val="22"/>
          <w:szCs w:val="22"/>
        </w:rPr>
        <w:t xml:space="preserve">Cowardin, L.M., Carter, Virginia, </w:t>
      </w:r>
      <w:proofErr w:type="spellStart"/>
      <w:r w:rsidRPr="000533BA">
        <w:rPr>
          <w:rFonts w:cstheme="minorHAnsi"/>
          <w:sz w:val="22"/>
          <w:szCs w:val="22"/>
        </w:rPr>
        <w:t>Golet</w:t>
      </w:r>
      <w:proofErr w:type="spellEnd"/>
      <w:r w:rsidRPr="000533BA">
        <w:rPr>
          <w:rFonts w:cstheme="minorHAnsi"/>
          <w:sz w:val="22"/>
          <w:szCs w:val="22"/>
        </w:rPr>
        <w:t>, F.C., and LaRoe, E.T. Classification of wetlands and deepwater habitats of the United States. U.S. Fish and Wildlife Report, FWS/OBS-79/31, 131 p.</w:t>
      </w:r>
    </w:p>
    <w:p w14:paraId="6B65966D" w14:textId="77777777" w:rsidR="00CF24A8" w:rsidRPr="000533BA" w:rsidRDefault="00CF24A8" w:rsidP="00CF24A8">
      <w:pPr>
        <w:pStyle w:val="BodyText2"/>
        <w:spacing w:after="100" w:line="240" w:lineRule="auto"/>
        <w:rPr>
          <w:rFonts w:cstheme="minorHAnsi"/>
          <w:sz w:val="22"/>
          <w:szCs w:val="22"/>
        </w:rPr>
      </w:pPr>
      <w:r w:rsidRPr="000533BA">
        <w:rPr>
          <w:rFonts w:cstheme="minorHAnsi"/>
          <w:sz w:val="22"/>
          <w:szCs w:val="22"/>
        </w:rPr>
        <w:t>Dahl, T.E. 1990. Wetlands – losses in the United States, 1780’s to 1980’s. U.S. Fish and Wildlife Service Report to Congress, Washington, D.C. 13 p.</w:t>
      </w:r>
    </w:p>
    <w:p w14:paraId="3348B78E" w14:textId="77777777" w:rsidR="00CF24A8" w:rsidRPr="000533BA" w:rsidRDefault="00CF24A8" w:rsidP="00CF24A8">
      <w:pPr>
        <w:pStyle w:val="BodyText2"/>
        <w:spacing w:after="100" w:line="240" w:lineRule="auto"/>
        <w:rPr>
          <w:rFonts w:cstheme="minorHAnsi"/>
          <w:sz w:val="22"/>
          <w:szCs w:val="22"/>
        </w:rPr>
      </w:pPr>
      <w:r w:rsidRPr="000533BA">
        <w:rPr>
          <w:rFonts w:cstheme="minorHAnsi"/>
          <w:sz w:val="22"/>
          <w:szCs w:val="22"/>
        </w:rPr>
        <w:lastRenderedPageBreak/>
        <w:t xml:space="preserve">Harlow, G.E., Jr. and LeCain, G.D. 1991. Hydraulic characteristics of, and ground-water flow in, coal-bearing rocks of southwestern Virginia. U.S. Geological Survey Open-File Report 91-250. p.48 </w:t>
      </w:r>
    </w:p>
    <w:p w14:paraId="07B6820E" w14:textId="77777777" w:rsidR="00CF24A8" w:rsidRPr="000533BA" w:rsidRDefault="00CF24A8" w:rsidP="00CF24A8">
      <w:pPr>
        <w:pStyle w:val="BodyText"/>
        <w:spacing w:after="100"/>
        <w:rPr>
          <w:rFonts w:cstheme="minorHAnsi"/>
          <w:sz w:val="22"/>
          <w:szCs w:val="22"/>
        </w:rPr>
      </w:pPr>
      <w:r w:rsidRPr="000533BA">
        <w:rPr>
          <w:rFonts w:cstheme="minorHAnsi"/>
          <w:sz w:val="22"/>
          <w:szCs w:val="22"/>
        </w:rPr>
        <w:t>Tiner, R.W. 1987. Mid-Atlantic wetlands – a disappearing natural treasure. U.S. Fish and Wildlife Service, Newton Corner, Mass., and U.S. Environmental Protection Agency cooperative publication. 28 pp.</w:t>
      </w:r>
    </w:p>
    <w:p w14:paraId="7FA800CA" w14:textId="77777777" w:rsidR="00CF24A8" w:rsidRPr="000533BA" w:rsidRDefault="00CF24A8" w:rsidP="00CF24A8">
      <w:pPr>
        <w:pStyle w:val="BodyText2"/>
        <w:spacing w:after="100" w:line="240" w:lineRule="auto"/>
        <w:rPr>
          <w:rFonts w:cstheme="minorHAnsi"/>
          <w:sz w:val="22"/>
          <w:szCs w:val="22"/>
        </w:rPr>
      </w:pPr>
      <w:r w:rsidRPr="000533BA">
        <w:rPr>
          <w:rFonts w:cstheme="minorHAnsi"/>
          <w:sz w:val="22"/>
          <w:szCs w:val="22"/>
        </w:rPr>
        <w:t>Tiner, R.W. and Finn, J.T. 1986. Status and recent trends of wetlands in five mid-Atlantic states – Delaware, Maryland, Pennsylvania, Virginia, and West Virginia. U.S. Fish and Wildlife Service, National Wetlands Inventory project technical report. 40 pp.</w:t>
      </w:r>
    </w:p>
    <w:p w14:paraId="6B333DF1" w14:textId="77777777" w:rsidR="00CF24A8" w:rsidRPr="000533BA" w:rsidRDefault="00CF24A8" w:rsidP="00CF24A8">
      <w:pPr>
        <w:pStyle w:val="BodyText2"/>
        <w:spacing w:after="100" w:line="240" w:lineRule="auto"/>
        <w:rPr>
          <w:rFonts w:cstheme="minorHAnsi"/>
          <w:sz w:val="22"/>
          <w:szCs w:val="22"/>
        </w:rPr>
      </w:pPr>
      <w:r w:rsidRPr="000533BA">
        <w:rPr>
          <w:rFonts w:cstheme="minorHAnsi"/>
          <w:sz w:val="22"/>
          <w:szCs w:val="22"/>
        </w:rPr>
        <w:t>Tiner, R.W. and Foulis, D.B. 1994. Wetland trends in selected areas of the Norfolk/Hampton region of Virginia (1982 to 1989/90). U.S. Fish and Wildlife Service, Hadley, MA. Ecological Services report R5-93/16, 18 pp.</w:t>
      </w:r>
    </w:p>
    <w:p w14:paraId="27DC2A6F" w14:textId="77777777" w:rsidR="00CF24A8" w:rsidRPr="000533BA" w:rsidRDefault="00CF24A8" w:rsidP="00CF24A8">
      <w:pPr>
        <w:pStyle w:val="BodyText2"/>
        <w:spacing w:after="100" w:line="240" w:lineRule="auto"/>
        <w:rPr>
          <w:rFonts w:cstheme="minorHAnsi"/>
          <w:sz w:val="22"/>
          <w:szCs w:val="22"/>
        </w:rPr>
      </w:pPr>
      <w:r w:rsidRPr="000533BA">
        <w:rPr>
          <w:rFonts w:cstheme="minorHAnsi"/>
          <w:sz w:val="22"/>
          <w:szCs w:val="22"/>
        </w:rPr>
        <w:t>Virginia Department of Conservation and Recreation. 1990. The Virginia nontidal wetlands inventory. Department of Conservation and Recreation, Richmond, VA. 19 p., 3 app.</w:t>
      </w:r>
    </w:p>
    <w:p w14:paraId="44549CBF" w14:textId="77777777" w:rsidR="00CF24A8" w:rsidRPr="000533BA" w:rsidRDefault="00CF24A8" w:rsidP="00CF24A8">
      <w:pPr>
        <w:spacing w:after="100"/>
        <w:rPr>
          <w:rStyle w:val="Emphasis"/>
          <w:rFonts w:cstheme="minorHAnsi"/>
          <w:i w:val="0"/>
          <w:sz w:val="22"/>
          <w:szCs w:val="22"/>
        </w:rPr>
      </w:pPr>
      <w:r w:rsidRPr="000533BA">
        <w:rPr>
          <w:rFonts w:cstheme="minorHAnsi"/>
          <w:sz w:val="22"/>
          <w:szCs w:val="22"/>
        </w:rPr>
        <w:t xml:space="preserve">U.S. Geological Survey. 1997. </w:t>
      </w:r>
      <w:r w:rsidRPr="000533BA">
        <w:rPr>
          <w:rStyle w:val="Strong"/>
          <w:rFonts w:cstheme="minorHAnsi"/>
          <w:b w:val="0"/>
          <w:bCs w:val="0"/>
          <w:sz w:val="22"/>
          <w:szCs w:val="22"/>
        </w:rPr>
        <w:t xml:space="preserve">National Water Summary on Wetland Resources, </w:t>
      </w:r>
      <w:r w:rsidRPr="000533BA">
        <w:rPr>
          <w:rStyle w:val="Emphasis"/>
          <w:rFonts w:cstheme="minorHAnsi"/>
          <w:sz w:val="22"/>
          <w:szCs w:val="22"/>
        </w:rPr>
        <w:t>United States Geological Survey Water Supply Paper 2425.</w:t>
      </w:r>
    </w:p>
    <w:p w14:paraId="7D0E1C9B" w14:textId="77777777" w:rsidR="00CF24A8" w:rsidRPr="000533BA" w:rsidRDefault="00CF24A8" w:rsidP="00CF24A8">
      <w:pPr>
        <w:pStyle w:val="BodyText2"/>
        <w:spacing w:after="100" w:line="240" w:lineRule="auto"/>
        <w:rPr>
          <w:rStyle w:val="Emphasis"/>
          <w:rFonts w:cstheme="minorHAnsi"/>
          <w:i w:val="0"/>
          <w:iCs w:val="0"/>
          <w:sz w:val="22"/>
          <w:szCs w:val="22"/>
        </w:rPr>
      </w:pPr>
      <w:r w:rsidRPr="000533BA">
        <w:rPr>
          <w:rStyle w:val="Emphasis"/>
          <w:rFonts w:cstheme="minorHAnsi"/>
          <w:i w:val="0"/>
          <w:iCs w:val="0"/>
          <w:sz w:val="22"/>
          <w:szCs w:val="22"/>
        </w:rPr>
        <w:t>Hershner, C., K. Havens, L. Varnell, and T. Rudnicky. 2000. Wetlands in Virginia. Virginia Institute of Marine Science, Center for Coastal Resources Management. Special Report 00-1, 12 pp.</w:t>
      </w:r>
    </w:p>
    <w:p w14:paraId="216C629E" w14:textId="77777777" w:rsidR="00CF24A8" w:rsidRPr="000533BA" w:rsidRDefault="00CF24A8" w:rsidP="00CF24A8">
      <w:pPr>
        <w:spacing w:after="100"/>
        <w:rPr>
          <w:rFonts w:cstheme="minorHAnsi"/>
          <w:i/>
          <w:iCs/>
          <w:sz w:val="22"/>
          <w:szCs w:val="22"/>
        </w:rPr>
      </w:pPr>
      <w:r w:rsidRPr="000533BA">
        <w:rPr>
          <w:rStyle w:val="Emphasis"/>
          <w:rFonts w:cstheme="minorHAnsi"/>
          <w:i w:val="0"/>
          <w:iCs w:val="0"/>
          <w:sz w:val="22"/>
          <w:szCs w:val="22"/>
        </w:rPr>
        <w:t xml:space="preserve">Chesapeake Bay Foundation. 1999, 2000, 2001. CBF Fact Sheet - </w:t>
      </w:r>
      <w:r w:rsidRPr="000533BA">
        <w:rPr>
          <w:rFonts w:cstheme="minorHAnsi"/>
          <w:sz w:val="22"/>
          <w:szCs w:val="22"/>
        </w:rPr>
        <w:t xml:space="preserve">Virginia Nontidal Wetlands Resources Act -- Common Questions and Answers. Available: </w:t>
      </w:r>
      <w:hyperlink r:id="rId276" w:history="1">
        <w:r w:rsidRPr="000533BA">
          <w:rPr>
            <w:rStyle w:val="Hyperlink"/>
            <w:rFonts w:cstheme="minorHAnsi"/>
            <w:sz w:val="22"/>
            <w:szCs w:val="22"/>
          </w:rPr>
          <w:t>http://www.cbf.org/resources/facts/tulloch_2.htm</w:t>
        </w:r>
      </w:hyperlink>
    </w:p>
    <w:p w14:paraId="5610080F" w14:textId="77777777" w:rsidR="00CF24A8" w:rsidRPr="000533BA" w:rsidRDefault="00CF24A8" w:rsidP="00CF24A8">
      <w:pPr>
        <w:spacing w:after="100"/>
        <w:rPr>
          <w:rFonts w:cstheme="minorHAnsi"/>
          <w:sz w:val="22"/>
          <w:szCs w:val="22"/>
        </w:rPr>
      </w:pPr>
      <w:r w:rsidRPr="000533BA">
        <w:rPr>
          <w:rFonts w:cstheme="minorHAnsi"/>
          <w:sz w:val="22"/>
          <w:szCs w:val="22"/>
        </w:rPr>
        <w:t xml:space="preserve">Virginia Institute of Marine Science Wetlands Program. 1999. </w:t>
      </w:r>
      <w:r w:rsidRPr="000533BA">
        <w:rPr>
          <w:rFonts w:cstheme="minorHAnsi"/>
          <w:i/>
          <w:sz w:val="22"/>
          <w:szCs w:val="22"/>
        </w:rPr>
        <w:t>Virginia Nontidal Wetlands Impacts Data Home Page</w:t>
      </w:r>
      <w:r w:rsidRPr="000533BA">
        <w:rPr>
          <w:rFonts w:cstheme="minorHAnsi"/>
          <w:sz w:val="22"/>
          <w:szCs w:val="22"/>
        </w:rPr>
        <w:t xml:space="preserve"> [Online]. Available: </w:t>
      </w:r>
      <w:hyperlink r:id="rId277" w:history="1">
        <w:r w:rsidRPr="000533BA">
          <w:rPr>
            <w:rStyle w:val="Hyperlink"/>
            <w:rFonts w:cstheme="minorHAnsi"/>
            <w:sz w:val="22"/>
            <w:szCs w:val="22"/>
          </w:rPr>
          <w:t>http://www.vims.edu/ccrm/wetlands</w:t>
        </w:r>
      </w:hyperlink>
      <w:r w:rsidRPr="000533BA">
        <w:rPr>
          <w:rFonts w:cstheme="minorHAnsi"/>
          <w:sz w:val="22"/>
          <w:szCs w:val="22"/>
        </w:rPr>
        <w:t>.</w:t>
      </w:r>
    </w:p>
    <w:p w14:paraId="0CE08A15" w14:textId="77777777" w:rsidR="00CF24A8" w:rsidRPr="009E580C" w:rsidRDefault="00CF24A8" w:rsidP="009E580C"/>
    <w:sectPr w:rsidR="00CF24A8" w:rsidRPr="009E580C" w:rsidSect="009079C4">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C4DE92" w14:textId="77777777" w:rsidR="00AF0591" w:rsidRDefault="00AF0591" w:rsidP="002959F6">
      <w:r>
        <w:separator/>
      </w:r>
    </w:p>
  </w:endnote>
  <w:endnote w:type="continuationSeparator" w:id="0">
    <w:p w14:paraId="3B08A79A" w14:textId="77777777" w:rsidR="00AF0591" w:rsidRDefault="00AF0591" w:rsidP="002959F6">
      <w:r>
        <w:continuationSeparator/>
      </w:r>
    </w:p>
  </w:endnote>
  <w:endnote w:type="continuationNotice" w:id="1">
    <w:p w14:paraId="1F854AD6" w14:textId="77777777" w:rsidR="00AF0591" w:rsidRDefault="00AF05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ourier">
    <w:panose1 w:val="02070409020205020404"/>
    <w:charset w:val="00"/>
    <w:family w:val="modern"/>
    <w:pitch w:val="fixed"/>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Open Sans">
    <w:charset w:val="00"/>
    <w:family w:val="swiss"/>
    <w:pitch w:val="variable"/>
    <w:sig w:usb0="E00002EF" w:usb1="4000205B" w:usb2="00000028" w:usb3="00000000" w:csb0="0000019F" w:csb1="00000000"/>
  </w:font>
  <w:font w:name="Palatino Linotype">
    <w:panose1 w:val="02040502050505030304"/>
    <w:charset w:val="00"/>
    <w:family w:val="roman"/>
    <w:pitch w:val="variable"/>
    <w:sig w:usb0="E0000287" w:usb1="40000013"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4E985" w14:textId="7730834A" w:rsidR="00272FFE" w:rsidRDefault="00272FFE">
    <w:pPr>
      <w:pStyle w:val="Footer"/>
      <w:jc w:val="center"/>
    </w:pPr>
  </w:p>
  <w:p w14:paraId="5E9F776B" w14:textId="77777777" w:rsidR="001B0E50" w:rsidRPr="00103C5D" w:rsidRDefault="001B0E50">
    <w:pPr>
      <w:pStyle w:val="Footer"/>
      <w:jc w:val="center"/>
      <w:rPr>
        <w:rFonts w:ascii="Times New Roman" w:hAnsi="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cstheme="minorBidi"/>
      </w:rPr>
      <w:id w:val="2101449434"/>
      <w:docPartObj>
        <w:docPartGallery w:val="Page Numbers (Bottom of Page)"/>
        <w:docPartUnique/>
      </w:docPartObj>
    </w:sdtPr>
    <w:sdtContent>
      <w:p w14:paraId="2D4BE91B" w14:textId="06FEA509" w:rsidR="00006608" w:rsidRPr="00885259" w:rsidRDefault="00006608" w:rsidP="00E64299">
        <w:pPr>
          <w:pStyle w:val="Footer"/>
          <w:jc w:val="center"/>
          <w:rPr>
            <w:rFonts w:cstheme="minorHAnsi"/>
          </w:rPr>
        </w:pPr>
        <w:r w:rsidRPr="00885259">
          <w:rPr>
            <w:rFonts w:cstheme="minorHAnsi"/>
          </w:rPr>
          <w:fldChar w:fldCharType="begin"/>
        </w:r>
        <w:r w:rsidRPr="00885259">
          <w:rPr>
            <w:rFonts w:cstheme="minorHAnsi"/>
          </w:rPr>
          <w:instrText xml:space="preserve"> PAGE   \* MERGEFORMAT </w:instrText>
        </w:r>
        <w:r w:rsidRPr="00885259">
          <w:rPr>
            <w:rFonts w:cstheme="minorHAnsi"/>
          </w:rPr>
          <w:fldChar w:fldCharType="separate"/>
        </w:r>
        <w:r w:rsidRPr="00885259">
          <w:rPr>
            <w:rFonts w:cstheme="minorHAnsi"/>
            <w:noProof/>
          </w:rPr>
          <w:t>2</w:t>
        </w:r>
        <w:r w:rsidRPr="00885259">
          <w:rPr>
            <w:rFonts w:cstheme="minorHAnsi"/>
            <w:noProof/>
          </w:rPr>
          <w:fldChar w:fldCharType="end"/>
        </w:r>
      </w:p>
    </w:sdtContent>
  </w:sdt>
  <w:p w14:paraId="637598A9" w14:textId="4E657FEC" w:rsidR="00E3684F" w:rsidRPr="00885259" w:rsidRDefault="0003603E" w:rsidP="00E64299">
    <w:pPr>
      <w:pStyle w:val="Footer"/>
      <w:rPr>
        <w:rFonts w:cstheme="minorHAnsi"/>
      </w:rPr>
    </w:pPr>
    <w:r>
      <w:rPr>
        <w:rFonts w:cstheme="minorHAnsi"/>
      </w:rPr>
      <w:t>Final</w:t>
    </w:r>
    <w:r w:rsidR="00885259">
      <w:rPr>
        <w:rFonts w:cstheme="minorHAnsi"/>
      </w:rPr>
      <w:t xml:space="preserve"> 202</w:t>
    </w:r>
    <w:r w:rsidR="00E64299">
      <w:rPr>
        <w:rFonts w:cstheme="minorHAnsi"/>
      </w:rPr>
      <w:t>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cstheme="minorBidi"/>
      </w:rPr>
      <w:id w:val="884687105"/>
      <w:docPartObj>
        <w:docPartGallery w:val="Page Numbers (Bottom of Page)"/>
        <w:docPartUnique/>
      </w:docPartObj>
    </w:sdtPr>
    <w:sdtContent>
      <w:p w14:paraId="0F7C71A6" w14:textId="77777777" w:rsidR="005B2952" w:rsidRPr="00885259" w:rsidRDefault="005B2952" w:rsidP="00E64299">
        <w:pPr>
          <w:pStyle w:val="Footer"/>
          <w:jc w:val="center"/>
          <w:rPr>
            <w:rFonts w:cstheme="minorHAnsi"/>
          </w:rPr>
        </w:pPr>
        <w:r w:rsidRPr="00885259">
          <w:rPr>
            <w:rFonts w:cstheme="minorHAnsi"/>
          </w:rPr>
          <w:fldChar w:fldCharType="begin"/>
        </w:r>
        <w:r w:rsidRPr="00885259">
          <w:rPr>
            <w:rFonts w:cstheme="minorHAnsi"/>
          </w:rPr>
          <w:instrText xml:space="preserve"> PAGE   \* MERGEFORMAT </w:instrText>
        </w:r>
        <w:r w:rsidRPr="00885259">
          <w:rPr>
            <w:rFonts w:cstheme="minorHAnsi"/>
          </w:rPr>
          <w:fldChar w:fldCharType="separate"/>
        </w:r>
        <w:r w:rsidRPr="00885259">
          <w:rPr>
            <w:rFonts w:cstheme="minorHAnsi"/>
            <w:noProof/>
          </w:rPr>
          <w:t>2</w:t>
        </w:r>
        <w:r w:rsidRPr="00885259">
          <w:rPr>
            <w:rFonts w:cstheme="minorHAnsi"/>
            <w:noProof/>
          </w:rPr>
          <w:fldChar w:fldCharType="end"/>
        </w:r>
      </w:p>
    </w:sdtContent>
  </w:sdt>
  <w:p w14:paraId="3420B4CA" w14:textId="77777777" w:rsidR="005B2952" w:rsidRPr="00885259" w:rsidRDefault="005B2952" w:rsidP="00E64299">
    <w:pPr>
      <w:pStyle w:val="Footer"/>
      <w:rPr>
        <w:rFonts w:cstheme="minorHAnsi"/>
      </w:rPr>
    </w:pPr>
    <w:r>
      <w:rPr>
        <w:rFonts w:cstheme="minorHAnsi"/>
      </w:rPr>
      <w:t>Final 2024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B63D1" w14:textId="77777777" w:rsidR="006D6EB7" w:rsidRDefault="006D6E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32</w:t>
    </w:r>
    <w:r>
      <w:rPr>
        <w:rStyle w:val="PageNumber"/>
      </w:rPr>
      <w:fldChar w:fldCharType="end"/>
    </w:r>
  </w:p>
  <w:p w14:paraId="1AD110A2" w14:textId="77777777" w:rsidR="006D6EB7" w:rsidRDefault="006D6EB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1A630" w14:textId="77777777" w:rsidR="00612B87" w:rsidRDefault="00612B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D76B61" w14:textId="77777777" w:rsidR="00AF0591" w:rsidRDefault="00AF0591" w:rsidP="002959F6">
      <w:r>
        <w:separator/>
      </w:r>
    </w:p>
  </w:footnote>
  <w:footnote w:type="continuationSeparator" w:id="0">
    <w:p w14:paraId="02303DF4" w14:textId="77777777" w:rsidR="00AF0591" w:rsidRDefault="00AF0591" w:rsidP="002959F6">
      <w:r>
        <w:continuationSeparator/>
      </w:r>
    </w:p>
  </w:footnote>
  <w:footnote w:type="continuationNotice" w:id="1">
    <w:p w14:paraId="22B31830" w14:textId="77777777" w:rsidR="00AF0591" w:rsidRDefault="00AF0591"/>
  </w:footnote>
  <w:footnote w:id="2">
    <w:p w14:paraId="7A58F678" w14:textId="77777777" w:rsidR="00B135A3" w:rsidRPr="004C2C52" w:rsidRDefault="00B135A3" w:rsidP="00B135A3">
      <w:pPr>
        <w:pStyle w:val="FootnoteText"/>
        <w:rPr>
          <w:rFonts w:cstheme="minorHAnsi"/>
        </w:rPr>
      </w:pPr>
      <w:r w:rsidRPr="004C2C52">
        <w:rPr>
          <w:rStyle w:val="FootnoteReference"/>
          <w:rFonts w:cstheme="minorHAnsi"/>
          <w:vertAlign w:val="superscript"/>
        </w:rPr>
        <w:footnoteRef/>
      </w:r>
      <w:r w:rsidRPr="004C2C52">
        <w:rPr>
          <w:rFonts w:cstheme="minorHAnsi"/>
        </w:rPr>
        <w:t xml:space="preserve"> All data and analysis scripts can be accessed at: </w:t>
      </w:r>
      <w:hyperlink r:id="rId1" w:history="1">
        <w:r w:rsidRPr="004C2C52">
          <w:rPr>
            <w:rStyle w:val="Hyperlink"/>
            <w:rFonts w:cstheme="minorHAnsi"/>
            <w:color w:val="auto"/>
            <w:u w:val="none"/>
          </w:rPr>
          <w:t>https://www.deq.virginia.gov/our-programs/water/water-quality/monitoring/probabilistic-monitoring</w:t>
        </w:r>
      </w:hyperlink>
      <w:r w:rsidRPr="004C2C52">
        <w:rPr>
          <w:rFonts w:cstheme="minorHAnsi"/>
        </w:rPr>
        <w:t xml:space="preserve"> under data sources.</w:t>
      </w:r>
    </w:p>
  </w:footnote>
  <w:footnote w:id="3">
    <w:p w14:paraId="41F449C3" w14:textId="77777777" w:rsidR="00B135A3" w:rsidRPr="004C2C52" w:rsidRDefault="00B135A3" w:rsidP="00B135A3">
      <w:pPr>
        <w:pStyle w:val="FootnoteText"/>
        <w:rPr>
          <w:rFonts w:cstheme="minorHAnsi"/>
        </w:rPr>
      </w:pPr>
      <w:r w:rsidRPr="004C2C52">
        <w:rPr>
          <w:rStyle w:val="FootnoteReference"/>
          <w:rFonts w:cstheme="minorHAnsi"/>
          <w:vertAlign w:val="superscript"/>
        </w:rPr>
        <w:footnoteRef/>
      </w:r>
      <w:r w:rsidRPr="004C2C52">
        <w:rPr>
          <w:rFonts w:cstheme="minorHAnsi"/>
          <w:vertAlign w:val="superscript"/>
        </w:rPr>
        <w:t xml:space="preserve"> </w:t>
      </w:r>
      <w:r w:rsidRPr="004C2C52">
        <w:rPr>
          <w:rFonts w:cstheme="minorHAnsi"/>
        </w:rPr>
        <w:t>The 1:100,000 scale coverage is appropriate for Probabilistic Monitoring site selection to ensure placement of sites along perennial waterbodies. This differs from the conventional statewide assessment which uses the 1:24,000 scale coverage, including 100,964 river miles.</w:t>
      </w:r>
    </w:p>
  </w:footnote>
  <w:footnote w:id="4">
    <w:p w14:paraId="53BE9488" w14:textId="77777777" w:rsidR="00B135A3" w:rsidRDefault="00B135A3" w:rsidP="00B135A3">
      <w:pPr>
        <w:pStyle w:val="FootnoteText"/>
      </w:pPr>
      <w:r w:rsidRPr="008A21AF">
        <w:rPr>
          <w:rStyle w:val="FootnoteReference"/>
          <w:vertAlign w:val="superscript"/>
        </w:rPr>
        <w:footnoteRef/>
      </w:r>
      <w:r>
        <w:t xml:space="preserve"> The analysis performed in this chapter only evaluated class III and class IV stream classification for dissolved oxygen.</w:t>
      </w:r>
    </w:p>
  </w:footnote>
  <w:footnote w:id="5">
    <w:p w14:paraId="51550550" w14:textId="77777777" w:rsidR="00B135A3" w:rsidRPr="004C2C52" w:rsidRDefault="00B135A3" w:rsidP="00B135A3">
      <w:pPr>
        <w:pStyle w:val="FootnoteText"/>
        <w:rPr>
          <w:rFonts w:cstheme="minorHAnsi"/>
        </w:rPr>
      </w:pPr>
      <w:r w:rsidRPr="004C2C52">
        <w:rPr>
          <w:rStyle w:val="FootnoteReference"/>
          <w:rFonts w:cstheme="minorHAnsi"/>
          <w:vertAlign w:val="superscript"/>
        </w:rPr>
        <w:footnoteRef/>
      </w:r>
      <w:r w:rsidRPr="004C2C52">
        <w:rPr>
          <w:rFonts w:cstheme="minorHAnsi"/>
          <w:vertAlign w:val="superscript"/>
        </w:rPr>
        <w:t xml:space="preserve"> </w:t>
      </w:r>
      <w:r w:rsidRPr="004C2C52">
        <w:rPr>
          <w:rFonts w:cstheme="minorHAnsi"/>
        </w:rPr>
        <w:t xml:space="preserve">It is important to note that data represent a statistical picture of overall water quality conditions at the </w:t>
      </w:r>
      <w:r>
        <w:rPr>
          <w:rFonts w:cstheme="minorHAnsi"/>
        </w:rPr>
        <w:t>stated</w:t>
      </w:r>
      <w:r w:rsidRPr="004C2C52">
        <w:rPr>
          <w:rFonts w:cstheme="minorHAnsi"/>
        </w:rPr>
        <w:t xml:space="preserve"> spatial scales, and across a 22-year data window. The analyses do not constitute a waterbody-specific water quality assessment. Additionally, probabilistic monitoring data sets do not identify any specific stressors for the identified long-term biological conditions. Aquatic life use assessment status and stressors for individual waterbodies are determined on a case-by-case basis during the water quality assessment and Total Maximum Daily Load development processes.</w:t>
      </w:r>
    </w:p>
  </w:footnote>
  <w:footnote w:id="6">
    <w:p w14:paraId="45B9BB15" w14:textId="77777777" w:rsidR="00B135A3" w:rsidRPr="004C2C52" w:rsidRDefault="00B135A3" w:rsidP="00B135A3">
      <w:pPr>
        <w:pStyle w:val="FootnoteText"/>
        <w:rPr>
          <w:rFonts w:cstheme="minorHAnsi"/>
        </w:rPr>
      </w:pPr>
      <w:r w:rsidRPr="004C2C52">
        <w:rPr>
          <w:rStyle w:val="FootnoteReference"/>
          <w:rFonts w:cstheme="minorHAnsi"/>
          <w:vertAlign w:val="superscript"/>
        </w:rPr>
        <w:footnoteRef/>
      </w:r>
      <w:r w:rsidRPr="004C2C52">
        <w:rPr>
          <w:rFonts w:cstheme="minorHAnsi"/>
          <w:vertAlign w:val="superscript"/>
        </w:rPr>
        <w:t xml:space="preserve"> </w:t>
      </w:r>
      <w:r w:rsidRPr="004C2C52">
        <w:rPr>
          <w:rFonts w:cstheme="minorHAnsi"/>
        </w:rPr>
        <w:t>It is important to note that the data represent a statistical picture of overall water quality conditions at the various spatial scales presented below, and across a 22-year data window. The analyses do not constitute a waterbody-specific water quality assessment. Additionally, the probabilistic monitoring data sets do not identify any specific stressors for the identified long-term biological conditions. Aquatic life use assessment status and stressors for individual waterbodies are determined on a case-by-case basis during the water quality assessment and Total Maximum Daily Load development processes.</w:t>
      </w:r>
    </w:p>
  </w:footnote>
  <w:footnote w:id="7">
    <w:p w14:paraId="014AF97D" w14:textId="77777777" w:rsidR="00B135A3" w:rsidRPr="004C2C52" w:rsidRDefault="00B135A3" w:rsidP="00B135A3">
      <w:pPr>
        <w:pStyle w:val="FootnoteText"/>
        <w:rPr>
          <w:rFonts w:cstheme="minorHAnsi"/>
        </w:rPr>
      </w:pPr>
      <w:r w:rsidRPr="004C2C52">
        <w:rPr>
          <w:rStyle w:val="FootnoteReference"/>
          <w:rFonts w:cstheme="minorHAnsi"/>
          <w:vertAlign w:val="superscript"/>
        </w:rPr>
        <w:footnoteRef/>
      </w:r>
      <w:r w:rsidRPr="004C2C52">
        <w:rPr>
          <w:rFonts w:cstheme="minorHAnsi"/>
          <w:vertAlign w:val="superscript"/>
        </w:rPr>
        <w:t xml:space="preserve"> </w:t>
      </w:r>
      <w:r w:rsidRPr="004C2C52">
        <w:rPr>
          <w:rFonts w:cstheme="minorHAnsi"/>
        </w:rPr>
        <w:t xml:space="preserve">The co-occurrence of stream miles below the biological impairment threshold and stream miles below the suboptimal screening value does not suggest </w:t>
      </w:r>
      <w:proofErr w:type="gramStart"/>
      <w:r w:rsidRPr="004C2C52">
        <w:rPr>
          <w:rFonts w:cstheme="minorHAnsi"/>
        </w:rPr>
        <w:t>in itself a</w:t>
      </w:r>
      <w:proofErr w:type="gramEnd"/>
      <w:r w:rsidRPr="004C2C52">
        <w:rPr>
          <w:rFonts w:cstheme="minorHAnsi"/>
        </w:rPr>
        <w:t xml:space="preserve"> causative relationship, and potential stressors must be evaluated for each identified benthic impairment during TMDL development.</w:t>
      </w:r>
    </w:p>
  </w:footnote>
  <w:footnote w:id="8">
    <w:p w14:paraId="3451D041" w14:textId="77777777" w:rsidR="00B135A3" w:rsidRPr="004C2C52" w:rsidRDefault="00B135A3" w:rsidP="00B135A3">
      <w:pPr>
        <w:pStyle w:val="FootnoteText"/>
        <w:rPr>
          <w:rFonts w:cstheme="minorHAnsi"/>
        </w:rPr>
      </w:pPr>
      <w:r w:rsidRPr="004C2C52">
        <w:rPr>
          <w:rStyle w:val="FootnoteReference"/>
          <w:rFonts w:cstheme="minorHAnsi"/>
          <w:vertAlign w:val="superscript"/>
        </w:rPr>
        <w:footnoteRef/>
      </w:r>
      <w:r w:rsidRPr="004C2C52">
        <w:rPr>
          <w:rFonts w:cstheme="minorHAnsi"/>
          <w:vertAlign w:val="superscript"/>
        </w:rPr>
        <w:t xml:space="preserve"> </w:t>
      </w:r>
      <w:r w:rsidRPr="004C2C52">
        <w:rPr>
          <w:rFonts w:cstheme="minorHAnsi"/>
        </w:rPr>
        <w:t>The co-occurrence of stream miles below the biological impairment threshold and stream miles below the suboptimal screening value does not suggest</w:t>
      </w:r>
      <w:proofErr w:type="gramStart"/>
      <w:r>
        <w:rPr>
          <w:rFonts w:cstheme="minorHAnsi"/>
        </w:rPr>
        <w:t>,</w:t>
      </w:r>
      <w:r w:rsidRPr="004C2C52">
        <w:rPr>
          <w:rFonts w:cstheme="minorHAnsi"/>
        </w:rPr>
        <w:t xml:space="preserve"> in itself, a</w:t>
      </w:r>
      <w:proofErr w:type="gramEnd"/>
      <w:r w:rsidRPr="004C2C52">
        <w:rPr>
          <w:rFonts w:cstheme="minorHAnsi"/>
        </w:rPr>
        <w:t xml:space="preserve"> causative relationship, and potential stressors must be evaluated for each identified benthic impairment during TMDL development.</w:t>
      </w:r>
    </w:p>
  </w:footnote>
  <w:footnote w:id="9">
    <w:p w14:paraId="41AF2F05" w14:textId="77777777" w:rsidR="00B135A3" w:rsidRPr="004C2C52" w:rsidRDefault="00B135A3" w:rsidP="00B135A3">
      <w:pPr>
        <w:pStyle w:val="FootnoteText"/>
        <w:rPr>
          <w:rFonts w:cstheme="minorHAnsi"/>
        </w:rPr>
      </w:pPr>
      <w:r w:rsidRPr="004C2C52">
        <w:rPr>
          <w:rStyle w:val="FootnoteReference"/>
          <w:rFonts w:cstheme="minorHAnsi"/>
          <w:vertAlign w:val="superscript"/>
        </w:rPr>
        <w:footnoteRef/>
      </w:r>
      <w:r w:rsidRPr="004C2C52">
        <w:rPr>
          <w:rFonts w:cstheme="minorHAnsi"/>
          <w:vertAlign w:val="superscript"/>
        </w:rPr>
        <w:t xml:space="preserve"> </w:t>
      </w:r>
      <w:r w:rsidRPr="004C2C52">
        <w:rPr>
          <w:rFonts w:cstheme="minorHAnsi"/>
        </w:rPr>
        <w:t xml:space="preserve">The co-occurrence of stream miles below the biological impairment threshold and stream miles below the suboptimal screening value does not suggest </w:t>
      </w:r>
      <w:proofErr w:type="gramStart"/>
      <w:r w:rsidRPr="004C2C52">
        <w:rPr>
          <w:rFonts w:cstheme="minorHAnsi"/>
        </w:rPr>
        <w:t>in itself a</w:t>
      </w:r>
      <w:proofErr w:type="gramEnd"/>
      <w:r w:rsidRPr="004C2C52">
        <w:rPr>
          <w:rFonts w:cstheme="minorHAnsi"/>
        </w:rPr>
        <w:t xml:space="preserve"> causative relationship, and potential stressors must be evaluated for each identified benthic impairment during TMDL development.</w:t>
      </w:r>
    </w:p>
  </w:footnote>
  <w:footnote w:id="10">
    <w:p w14:paraId="78ABBD40" w14:textId="77777777" w:rsidR="00B135A3" w:rsidRPr="004C2C52" w:rsidRDefault="00B135A3" w:rsidP="00B135A3">
      <w:pPr>
        <w:pStyle w:val="FootnoteText"/>
        <w:rPr>
          <w:rFonts w:cstheme="minorHAnsi"/>
        </w:rPr>
      </w:pPr>
      <w:r w:rsidRPr="004C2C52">
        <w:rPr>
          <w:rStyle w:val="FootnoteReference"/>
          <w:rFonts w:cstheme="minorHAnsi"/>
          <w:vertAlign w:val="superscript"/>
        </w:rPr>
        <w:footnoteRef/>
      </w:r>
      <w:r w:rsidRPr="004C2C52">
        <w:rPr>
          <w:rFonts w:cstheme="minorHAnsi"/>
        </w:rPr>
        <w:t xml:space="preserve"> The co-occurrence of stream miles below the biological impairment threshold and stream miles below the suboptimal screening value does not suggest </w:t>
      </w:r>
      <w:proofErr w:type="gramStart"/>
      <w:r w:rsidRPr="004C2C52">
        <w:rPr>
          <w:rFonts w:cstheme="minorHAnsi"/>
        </w:rPr>
        <w:t>in itself a</w:t>
      </w:r>
      <w:proofErr w:type="gramEnd"/>
      <w:r w:rsidRPr="004C2C52">
        <w:rPr>
          <w:rFonts w:cstheme="minorHAnsi"/>
        </w:rPr>
        <w:t xml:space="preserve"> causative relationship, and potential stressors must be evaluated for each identified benthic impairment during TMDL development.</w:t>
      </w:r>
    </w:p>
  </w:footnote>
  <w:footnote w:id="11">
    <w:p w14:paraId="6F882E18" w14:textId="77777777" w:rsidR="00B135A3" w:rsidRPr="004C2C52" w:rsidRDefault="00B135A3" w:rsidP="00B135A3">
      <w:pPr>
        <w:pStyle w:val="FootnoteText"/>
        <w:rPr>
          <w:rFonts w:cstheme="minorHAnsi"/>
        </w:rPr>
      </w:pPr>
      <w:r w:rsidRPr="004C2C52">
        <w:rPr>
          <w:rStyle w:val="FootnoteReference"/>
          <w:rFonts w:cstheme="minorHAnsi"/>
          <w:vertAlign w:val="superscript"/>
        </w:rPr>
        <w:footnoteRef/>
      </w:r>
      <w:r w:rsidRPr="004C2C52">
        <w:rPr>
          <w:rFonts w:cstheme="minorHAnsi"/>
          <w:vertAlign w:val="superscript"/>
        </w:rPr>
        <w:t xml:space="preserve"> </w:t>
      </w:r>
      <w:r w:rsidRPr="004C2C52">
        <w:rPr>
          <w:rFonts w:cstheme="minorHAnsi"/>
        </w:rPr>
        <w:t xml:space="preserve">The co-occurrence of stream miles below the biological impairment threshold and stream miles below the suboptimal screening value does not suggest </w:t>
      </w:r>
      <w:proofErr w:type="gramStart"/>
      <w:r w:rsidRPr="004C2C52">
        <w:rPr>
          <w:rFonts w:cstheme="minorHAnsi"/>
        </w:rPr>
        <w:t>in itself a</w:t>
      </w:r>
      <w:proofErr w:type="gramEnd"/>
      <w:r w:rsidRPr="004C2C52">
        <w:rPr>
          <w:rFonts w:cstheme="minorHAnsi"/>
        </w:rPr>
        <w:t xml:space="preserve"> causative relationship, and potential stressors must be evaluated for each identified benthic impairment during TMDL development.</w:t>
      </w:r>
    </w:p>
  </w:footnote>
  <w:footnote w:id="12">
    <w:p w14:paraId="565D33A5" w14:textId="77777777" w:rsidR="00B135A3" w:rsidRPr="004C2C52" w:rsidRDefault="00B135A3" w:rsidP="00B135A3">
      <w:pPr>
        <w:pStyle w:val="FootnoteText"/>
        <w:rPr>
          <w:rFonts w:cstheme="minorHAnsi"/>
        </w:rPr>
      </w:pPr>
      <w:r w:rsidRPr="004C2C52">
        <w:rPr>
          <w:rStyle w:val="FootnoteReference"/>
          <w:rFonts w:cstheme="minorHAnsi"/>
          <w:vertAlign w:val="superscript"/>
        </w:rPr>
        <w:footnoteRef/>
      </w:r>
      <w:r w:rsidRPr="004C2C52">
        <w:rPr>
          <w:rFonts w:cstheme="minorHAnsi"/>
          <w:vertAlign w:val="superscript"/>
        </w:rPr>
        <w:t xml:space="preserve"> </w:t>
      </w:r>
      <w:r w:rsidRPr="004C2C52">
        <w:rPr>
          <w:rFonts w:cstheme="minorHAnsi"/>
        </w:rPr>
        <w:t xml:space="preserve">The co-occurrence of stream miles below the biological impairment threshold and stream miles below the suboptimal screening value does not suggest </w:t>
      </w:r>
      <w:proofErr w:type="gramStart"/>
      <w:r w:rsidRPr="004C2C52">
        <w:rPr>
          <w:rFonts w:cstheme="minorHAnsi"/>
        </w:rPr>
        <w:t>in itself a</w:t>
      </w:r>
      <w:proofErr w:type="gramEnd"/>
      <w:r w:rsidRPr="004C2C52">
        <w:rPr>
          <w:rFonts w:cstheme="minorHAnsi"/>
        </w:rPr>
        <w:t xml:space="preserve"> causative relationship, and potential stressors must be evaluated for each identified benthic impairment during TMDL development.</w:t>
      </w:r>
    </w:p>
  </w:footnote>
  <w:footnote w:id="13">
    <w:p w14:paraId="5093348E" w14:textId="77777777" w:rsidR="00B135A3" w:rsidRPr="004C2C52" w:rsidRDefault="00B135A3" w:rsidP="00B135A3">
      <w:pPr>
        <w:pStyle w:val="FootnoteText"/>
        <w:rPr>
          <w:rFonts w:cstheme="minorHAnsi"/>
        </w:rPr>
      </w:pPr>
      <w:r w:rsidRPr="004C2C52">
        <w:rPr>
          <w:rStyle w:val="FootnoteReference"/>
          <w:rFonts w:cstheme="minorHAnsi"/>
          <w:vertAlign w:val="superscript"/>
        </w:rPr>
        <w:footnoteRef/>
      </w:r>
      <w:r w:rsidRPr="004C2C52">
        <w:rPr>
          <w:rFonts w:cstheme="minorHAnsi"/>
        </w:rPr>
        <w:t xml:space="preserve"> The co-occurrence of stream miles below the biological impairment threshold and stream miles below the suboptimal screening value does not suggest</w:t>
      </w:r>
      <w:proofErr w:type="gramStart"/>
      <w:r w:rsidRPr="004C2C52">
        <w:rPr>
          <w:rFonts w:cstheme="minorHAnsi"/>
        </w:rPr>
        <w:t>, in itself, a</w:t>
      </w:r>
      <w:proofErr w:type="gramEnd"/>
      <w:r w:rsidRPr="004C2C52">
        <w:rPr>
          <w:rFonts w:cstheme="minorHAnsi"/>
        </w:rPr>
        <w:t xml:space="preserve"> causative relationship, and potential stressors must be evaluated for each identified benthic impairment during TMDL development.</w:t>
      </w:r>
    </w:p>
  </w:footnote>
  <w:footnote w:id="14">
    <w:p w14:paraId="5CA761F9" w14:textId="2DA93C7C" w:rsidR="004E7F9D" w:rsidRDefault="004E7F9D" w:rsidP="004E7F9D">
      <w:pPr>
        <w:pStyle w:val="FootnoteText"/>
      </w:pPr>
      <w:r w:rsidRPr="004E7F9D">
        <w:rPr>
          <w:rStyle w:val="FootnoteReference"/>
          <w:vertAlign w:val="superscript"/>
        </w:rPr>
        <w:footnoteRef/>
      </w:r>
      <w:r w:rsidRPr="00313CF4">
        <w:t xml:space="preserve"> An anadromous fish, born in fresh water, spends most of its life in the sea and returns to fresh water to spawn. Salmon, smelt, shad, striped bass, and sturgeon are common examples. A catadromous fish does the opposite – lives in fresh water and enters sa</w:t>
      </w:r>
      <w:r>
        <w:t xml:space="preserve">lt water to spawn. </w:t>
      </w:r>
    </w:p>
  </w:footnote>
  <w:footnote w:id="15">
    <w:p w14:paraId="201E36A8" w14:textId="77777777" w:rsidR="00660D2F" w:rsidRPr="004C2C52" w:rsidRDefault="00660D2F" w:rsidP="00660D2F">
      <w:pPr>
        <w:pStyle w:val="FootnoteText"/>
        <w:jc w:val="both"/>
        <w:rPr>
          <w:rFonts w:cstheme="minorHAnsi"/>
        </w:rPr>
      </w:pPr>
      <w:r w:rsidRPr="004C2C52">
        <w:rPr>
          <w:rStyle w:val="FootnoteReference"/>
          <w:rFonts w:cstheme="minorHAnsi"/>
          <w:vertAlign w:val="superscript"/>
        </w:rPr>
        <w:footnoteRef/>
      </w:r>
      <w:r w:rsidRPr="004C2C52">
        <w:rPr>
          <w:rFonts w:cstheme="minorHAnsi"/>
        </w:rPr>
        <w:t xml:space="preserve"> A waterbody is assessed as </w:t>
      </w:r>
      <w:r w:rsidRPr="004C2C52">
        <w:rPr>
          <w:rFonts w:cstheme="minorHAnsi"/>
          <w:bCs/>
        </w:rPr>
        <w:t>category 4D</w:t>
      </w:r>
      <w:r w:rsidRPr="004C2C52">
        <w:rPr>
          <w:rFonts w:cstheme="minorHAnsi"/>
          <w:b/>
          <w:bCs/>
        </w:rPr>
        <w:t xml:space="preserve"> </w:t>
      </w:r>
      <w:r w:rsidRPr="004C2C52">
        <w:rPr>
          <w:rFonts w:cstheme="minorHAnsi"/>
          <w:bCs/>
        </w:rPr>
        <w:t>when a</w:t>
      </w:r>
      <w:r w:rsidRPr="004C2C52">
        <w:rPr>
          <w:rFonts w:cstheme="minorHAnsi"/>
          <w:b/>
          <w:bCs/>
        </w:rPr>
        <w:t xml:space="preserve"> </w:t>
      </w:r>
      <w:r w:rsidRPr="004C2C52">
        <w:rPr>
          <w:rFonts w:cstheme="minorHAnsi"/>
        </w:rPr>
        <w:t>part(s) of a water quality standard is attained for a pollutant with a TMDL, but the remaining criteria for the standard were not assessed due to insufficient information. This only to be applies to dissolved oxygen in tidal waters of the Chesapeake Bay.</w:t>
      </w:r>
    </w:p>
  </w:footnote>
  <w:footnote w:id="16">
    <w:p w14:paraId="314A5024" w14:textId="77777777" w:rsidR="00A11D2E" w:rsidRPr="004C2C52" w:rsidRDefault="00A11D2E" w:rsidP="00A11D2E">
      <w:pPr>
        <w:pStyle w:val="FootnoteText"/>
        <w:rPr>
          <w:rFonts w:cstheme="minorHAnsi"/>
        </w:rPr>
      </w:pPr>
      <w:r w:rsidRPr="004C2C52">
        <w:rPr>
          <w:rStyle w:val="FootnoteReference"/>
          <w:rFonts w:cstheme="minorHAnsi"/>
          <w:vertAlign w:val="superscript"/>
        </w:rPr>
        <w:footnoteRef/>
      </w:r>
      <w:r w:rsidRPr="004C2C52">
        <w:rPr>
          <w:rFonts w:cstheme="minorHAnsi"/>
        </w:rPr>
        <w:t xml:space="preserve"> Trend Analyses of Ambient Water Quality in the Commonwealth of Virginia 1985 – 2005, 2006 Integrated Report, VIRGINIA DEPARTMENT OF ENVIRONMENTAL QUALITY, 2006.</w:t>
      </w:r>
    </w:p>
  </w:footnote>
  <w:footnote w:id="17">
    <w:p w14:paraId="0AF14BD9" w14:textId="77777777" w:rsidR="00A11D2E" w:rsidRPr="004C2C52" w:rsidRDefault="00A11D2E" w:rsidP="00A11D2E">
      <w:pPr>
        <w:pStyle w:val="FootnoteText"/>
        <w:rPr>
          <w:rFonts w:cstheme="minorHAnsi"/>
        </w:rPr>
      </w:pPr>
      <w:r w:rsidRPr="004C2C52">
        <w:rPr>
          <w:rStyle w:val="FootnoteReference"/>
          <w:rFonts w:cstheme="minorHAnsi"/>
          <w:vertAlign w:val="superscript"/>
        </w:rPr>
        <w:footnoteRef/>
      </w:r>
      <w:r w:rsidRPr="004C2C52">
        <w:rPr>
          <w:rFonts w:cstheme="minorHAnsi"/>
        </w:rPr>
        <w:t xml:space="preserve"> https://law.lis.virginia.gov/vacodefull/title62.1/chapter3.1/article4.01/</w:t>
      </w:r>
    </w:p>
  </w:footnote>
  <w:footnote w:id="18">
    <w:p w14:paraId="09F346D1" w14:textId="77777777" w:rsidR="0057435D" w:rsidRPr="004C2C52" w:rsidRDefault="0057435D" w:rsidP="0057435D">
      <w:pPr>
        <w:pStyle w:val="FootnoteText"/>
        <w:rPr>
          <w:rFonts w:cstheme="minorHAnsi"/>
        </w:rPr>
      </w:pPr>
      <w:r w:rsidRPr="004C2C52">
        <w:rPr>
          <w:rStyle w:val="FootnoteReference"/>
          <w:rFonts w:cstheme="minorHAnsi"/>
          <w:vertAlign w:val="superscript"/>
        </w:rPr>
        <w:footnoteRef/>
      </w:r>
      <w:r w:rsidRPr="004C2C52">
        <w:rPr>
          <w:rFonts w:cstheme="minorHAnsi"/>
        </w:rPr>
        <w:t xml:space="preserve"> Federal EPA Nonpoint Source Implementation Grant (319h); Watershed Improvement Fund Request for Proposals (WQIF RFP), State Virginia Natural Resources Commitment Fund (VNRCF), Virginia Natural Resources Commitment Fund - Chesapeake Bay Livestock Exclusion Initiative (VNRCF- CBLEI).</w:t>
      </w:r>
    </w:p>
  </w:footnote>
  <w:footnote w:id="19">
    <w:p w14:paraId="665EC7E1" w14:textId="77777777" w:rsidR="00436AE8" w:rsidRPr="00436AE8" w:rsidRDefault="00436AE8" w:rsidP="00436AE8">
      <w:pPr>
        <w:pStyle w:val="FootnoteText"/>
        <w:rPr>
          <w:rFonts w:cstheme="minorHAnsi"/>
        </w:rPr>
      </w:pPr>
      <w:r w:rsidRPr="00436AE8">
        <w:rPr>
          <w:rStyle w:val="FootnoteReference"/>
          <w:rFonts w:cstheme="minorHAnsi"/>
        </w:rPr>
        <w:footnoteRef/>
      </w:r>
      <w:r w:rsidRPr="00436AE8">
        <w:rPr>
          <w:rFonts w:cstheme="minorHAnsi"/>
        </w:rPr>
        <w:t xml:space="preserve"> Appendix A Chapters 316 and 343 of the 2024 Acts of Assembly (HB1085, SB243)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70352B" w14:textId="77777777" w:rsidR="001B0E50" w:rsidRDefault="001B0E5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2A80B" w14:textId="77777777" w:rsidR="001B0E50" w:rsidRDefault="001B0E5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EDC4E" w14:textId="77777777" w:rsidR="001B0E50" w:rsidRDefault="001B0E5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7B3D5" w14:textId="77777777" w:rsidR="001B0E50" w:rsidRPr="00664473" w:rsidRDefault="001B0E50">
    <w:pPr>
      <w:pStyle w:val="Header"/>
      <w:rPr>
        <w:rFonts w:ascii="Times New Roman" w:hAnsi="Times New Roman"/>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83BD0" w14:textId="77777777" w:rsidR="00612B87" w:rsidRDefault="00612B8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322F5" w14:textId="77777777" w:rsidR="00612B87" w:rsidRDefault="00612B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E4681BF6"/>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000A991"/>
    <w:multiLevelType w:val="multilevel"/>
    <w:tmpl w:val="C180CF02"/>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 w15:restartNumberingAfterBreak="0">
    <w:nsid w:val="00A99411"/>
    <w:multiLevelType w:val="multilevel"/>
    <w:tmpl w:val="3260F0A6"/>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 w15:restartNumberingAfterBreak="0">
    <w:nsid w:val="0104150F"/>
    <w:multiLevelType w:val="hybridMultilevel"/>
    <w:tmpl w:val="2560467E"/>
    <w:lvl w:ilvl="0" w:tplc="47308716">
      <w:start w:val="1"/>
      <w:numFmt w:val="bullet"/>
      <w:lvlText w:val=""/>
      <w:lvlJc w:val="left"/>
      <w:pPr>
        <w:tabs>
          <w:tab w:val="num" w:pos="1858"/>
        </w:tabs>
        <w:ind w:left="1858" w:hanging="360"/>
      </w:pPr>
      <w:rPr>
        <w:rFonts w:ascii="Symbol" w:hAnsi="Symbol" w:hint="default"/>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01A96F2D"/>
    <w:multiLevelType w:val="hybridMultilevel"/>
    <w:tmpl w:val="7BB8ABF0"/>
    <w:lvl w:ilvl="0" w:tplc="91887DE6">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5" w15:restartNumberingAfterBreak="0">
    <w:nsid w:val="0740507F"/>
    <w:multiLevelType w:val="hybridMultilevel"/>
    <w:tmpl w:val="BE18586A"/>
    <w:lvl w:ilvl="0" w:tplc="F8E4F306">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088F0F5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09750FD9"/>
    <w:multiLevelType w:val="multilevel"/>
    <w:tmpl w:val="3558B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A977637"/>
    <w:multiLevelType w:val="hybridMultilevel"/>
    <w:tmpl w:val="B7E2FF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BF6052A"/>
    <w:multiLevelType w:val="hybridMultilevel"/>
    <w:tmpl w:val="8EA2687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DA63899"/>
    <w:multiLevelType w:val="hybridMultilevel"/>
    <w:tmpl w:val="4168922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ind w:left="72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E2420AE"/>
    <w:multiLevelType w:val="hybridMultilevel"/>
    <w:tmpl w:val="80DE33DC"/>
    <w:lvl w:ilvl="0" w:tplc="C762B120">
      <w:start w:val="4"/>
      <w:numFmt w:val="decimal"/>
      <w:lvlText w:val="CHAPTER %1.7"/>
      <w:lvlJc w:val="left"/>
      <w:pPr>
        <w:ind w:left="0" w:hanging="360"/>
      </w:pPr>
      <w:rPr>
        <w:rFonts w:ascii="Arial" w:hAnsi="Arial" w:hint="default"/>
        <w:b/>
        <w:i w:val="0"/>
        <w:sz w:val="24"/>
        <w:szCs w:val="24"/>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2" w15:restartNumberingAfterBreak="0">
    <w:nsid w:val="103621D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11180180"/>
    <w:multiLevelType w:val="hybridMultilevel"/>
    <w:tmpl w:val="E95E6D30"/>
    <w:lvl w:ilvl="0" w:tplc="433E3072">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4" w15:restartNumberingAfterBreak="0">
    <w:nsid w:val="11301A1B"/>
    <w:multiLevelType w:val="hybridMultilevel"/>
    <w:tmpl w:val="B3020424"/>
    <w:lvl w:ilvl="0" w:tplc="F06C16BC">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5" w15:restartNumberingAfterBreak="0">
    <w:nsid w:val="132D663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171D6B66"/>
    <w:multiLevelType w:val="hybridMultilevel"/>
    <w:tmpl w:val="DC809F1C"/>
    <w:lvl w:ilvl="0" w:tplc="678E2304">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15:restartNumberingAfterBreak="0">
    <w:nsid w:val="196454C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1A2B0F0E"/>
    <w:multiLevelType w:val="hybridMultilevel"/>
    <w:tmpl w:val="59B2608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AA25F15"/>
    <w:multiLevelType w:val="hybridMultilevel"/>
    <w:tmpl w:val="B6CA019A"/>
    <w:lvl w:ilvl="0" w:tplc="04E040D8">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0" w15:restartNumberingAfterBreak="0">
    <w:nsid w:val="1B704462"/>
    <w:multiLevelType w:val="hybridMultilevel"/>
    <w:tmpl w:val="CB3AEB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DEA4A03"/>
    <w:multiLevelType w:val="hybridMultilevel"/>
    <w:tmpl w:val="583A1C9A"/>
    <w:lvl w:ilvl="0" w:tplc="8B20F4C0">
      <w:start w:val="1"/>
      <w:numFmt w:val="bullet"/>
      <w:lvlText w:val=""/>
      <w:lvlJc w:val="left"/>
      <w:pPr>
        <w:ind w:left="1080" w:hanging="360"/>
      </w:pPr>
      <w:rPr>
        <w:rFonts w:ascii="Symbol" w:hAnsi="Symbol"/>
      </w:rPr>
    </w:lvl>
    <w:lvl w:ilvl="1" w:tplc="0116F5A6">
      <w:start w:val="1"/>
      <w:numFmt w:val="bullet"/>
      <w:lvlText w:val=""/>
      <w:lvlJc w:val="left"/>
      <w:pPr>
        <w:ind w:left="1080" w:hanging="360"/>
      </w:pPr>
      <w:rPr>
        <w:rFonts w:ascii="Symbol" w:hAnsi="Symbol"/>
      </w:rPr>
    </w:lvl>
    <w:lvl w:ilvl="2" w:tplc="6D2CB2A6">
      <w:start w:val="1"/>
      <w:numFmt w:val="bullet"/>
      <w:lvlText w:val=""/>
      <w:lvlJc w:val="left"/>
      <w:pPr>
        <w:ind w:left="1080" w:hanging="360"/>
      </w:pPr>
      <w:rPr>
        <w:rFonts w:ascii="Symbol" w:hAnsi="Symbol"/>
      </w:rPr>
    </w:lvl>
    <w:lvl w:ilvl="3" w:tplc="021E7372">
      <w:start w:val="1"/>
      <w:numFmt w:val="bullet"/>
      <w:lvlText w:val=""/>
      <w:lvlJc w:val="left"/>
      <w:pPr>
        <w:ind w:left="1080" w:hanging="360"/>
      </w:pPr>
      <w:rPr>
        <w:rFonts w:ascii="Symbol" w:hAnsi="Symbol"/>
      </w:rPr>
    </w:lvl>
    <w:lvl w:ilvl="4" w:tplc="3C088870">
      <w:start w:val="1"/>
      <w:numFmt w:val="bullet"/>
      <w:lvlText w:val=""/>
      <w:lvlJc w:val="left"/>
      <w:pPr>
        <w:ind w:left="1080" w:hanging="360"/>
      </w:pPr>
      <w:rPr>
        <w:rFonts w:ascii="Symbol" w:hAnsi="Symbol"/>
      </w:rPr>
    </w:lvl>
    <w:lvl w:ilvl="5" w:tplc="B0F2C36E">
      <w:start w:val="1"/>
      <w:numFmt w:val="bullet"/>
      <w:lvlText w:val=""/>
      <w:lvlJc w:val="left"/>
      <w:pPr>
        <w:ind w:left="1080" w:hanging="360"/>
      </w:pPr>
      <w:rPr>
        <w:rFonts w:ascii="Symbol" w:hAnsi="Symbol"/>
      </w:rPr>
    </w:lvl>
    <w:lvl w:ilvl="6" w:tplc="0BC609C6">
      <w:start w:val="1"/>
      <w:numFmt w:val="bullet"/>
      <w:lvlText w:val=""/>
      <w:lvlJc w:val="left"/>
      <w:pPr>
        <w:ind w:left="1080" w:hanging="360"/>
      </w:pPr>
      <w:rPr>
        <w:rFonts w:ascii="Symbol" w:hAnsi="Symbol"/>
      </w:rPr>
    </w:lvl>
    <w:lvl w:ilvl="7" w:tplc="2C4CE68C">
      <w:start w:val="1"/>
      <w:numFmt w:val="bullet"/>
      <w:lvlText w:val=""/>
      <w:lvlJc w:val="left"/>
      <w:pPr>
        <w:ind w:left="1080" w:hanging="360"/>
      </w:pPr>
      <w:rPr>
        <w:rFonts w:ascii="Symbol" w:hAnsi="Symbol"/>
      </w:rPr>
    </w:lvl>
    <w:lvl w:ilvl="8" w:tplc="1CD22754">
      <w:start w:val="1"/>
      <w:numFmt w:val="bullet"/>
      <w:lvlText w:val=""/>
      <w:lvlJc w:val="left"/>
      <w:pPr>
        <w:ind w:left="1080" w:hanging="360"/>
      </w:pPr>
      <w:rPr>
        <w:rFonts w:ascii="Symbol" w:hAnsi="Symbol"/>
      </w:rPr>
    </w:lvl>
  </w:abstractNum>
  <w:abstractNum w:abstractNumId="22" w15:restartNumberingAfterBreak="0">
    <w:nsid w:val="23095167"/>
    <w:multiLevelType w:val="hybridMultilevel"/>
    <w:tmpl w:val="6B40ECA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23E53D47"/>
    <w:multiLevelType w:val="hybridMultilevel"/>
    <w:tmpl w:val="9F2AB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9125C8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2D9449A4"/>
    <w:multiLevelType w:val="hybridMultilevel"/>
    <w:tmpl w:val="D2209D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355EA51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386A7B7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3B2C3F14"/>
    <w:multiLevelType w:val="hybridMultilevel"/>
    <w:tmpl w:val="3F98301C"/>
    <w:lvl w:ilvl="0" w:tplc="F9EED782">
      <w:start w:val="1"/>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9" w15:restartNumberingAfterBreak="0">
    <w:nsid w:val="3ECF3F4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3F47525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3F915842"/>
    <w:multiLevelType w:val="hybridMultilevel"/>
    <w:tmpl w:val="67EAF62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40EF5EDF"/>
    <w:multiLevelType w:val="hybridMultilevel"/>
    <w:tmpl w:val="D728B9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415055F2"/>
    <w:multiLevelType w:val="multilevel"/>
    <w:tmpl w:val="2FDC802A"/>
    <w:lvl w:ilvl="0">
      <w:start w:val="1"/>
      <w:numFmt w:val="decimal"/>
      <w:pStyle w:val="Heading1"/>
      <w:lvlText w:val="CHAPTER %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none"/>
      <w:pStyle w:val="Heading4"/>
      <w:lvlText w:val=""/>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34" w15:restartNumberingAfterBreak="0">
    <w:nsid w:val="417A3511"/>
    <w:multiLevelType w:val="multilevel"/>
    <w:tmpl w:val="FECA52C0"/>
    <w:lvl w:ilvl="0">
      <w:start w:val="1"/>
      <w:numFmt w:val="bullet"/>
      <w:lvlText w:val=""/>
      <w:lvlJc w:val="left"/>
      <w:pPr>
        <w:tabs>
          <w:tab w:val="num" w:pos="720"/>
        </w:tabs>
        <w:ind w:left="1440" w:hanging="360"/>
      </w:pPr>
      <w:rPr>
        <w:rFonts w:ascii="Symbol" w:hAnsi="Symbol" w:hint="default"/>
        <w:sz w:val="20"/>
      </w:rPr>
    </w:lvl>
    <w:lvl w:ilvl="1" w:tentative="1">
      <w:start w:val="1"/>
      <w:numFmt w:val="bullet"/>
      <w:lvlText w:val=""/>
      <w:lvlJc w:val="left"/>
      <w:pPr>
        <w:tabs>
          <w:tab w:val="num" w:pos="1440"/>
        </w:tabs>
        <w:ind w:left="2160" w:hanging="360"/>
      </w:pPr>
      <w:rPr>
        <w:rFonts w:ascii="Symbol" w:hAnsi="Symbol" w:hint="default"/>
        <w:sz w:val="20"/>
      </w:rPr>
    </w:lvl>
    <w:lvl w:ilvl="2" w:tentative="1">
      <w:start w:val="1"/>
      <w:numFmt w:val="bullet"/>
      <w:lvlText w:val=""/>
      <w:lvlJc w:val="left"/>
      <w:pPr>
        <w:tabs>
          <w:tab w:val="num" w:pos="2160"/>
        </w:tabs>
        <w:ind w:left="2880" w:hanging="360"/>
      </w:pPr>
      <w:rPr>
        <w:rFonts w:ascii="Symbol" w:hAnsi="Symbol" w:hint="default"/>
        <w:sz w:val="20"/>
      </w:rPr>
    </w:lvl>
    <w:lvl w:ilvl="3" w:tentative="1">
      <w:start w:val="1"/>
      <w:numFmt w:val="bullet"/>
      <w:lvlText w:val=""/>
      <w:lvlJc w:val="left"/>
      <w:pPr>
        <w:tabs>
          <w:tab w:val="num" w:pos="2880"/>
        </w:tabs>
        <w:ind w:left="3600" w:hanging="360"/>
      </w:pPr>
      <w:rPr>
        <w:rFonts w:ascii="Symbol" w:hAnsi="Symbol" w:hint="default"/>
        <w:sz w:val="20"/>
      </w:rPr>
    </w:lvl>
    <w:lvl w:ilvl="4" w:tentative="1">
      <w:start w:val="1"/>
      <w:numFmt w:val="bullet"/>
      <w:lvlText w:val=""/>
      <w:lvlJc w:val="left"/>
      <w:pPr>
        <w:tabs>
          <w:tab w:val="num" w:pos="3600"/>
        </w:tabs>
        <w:ind w:left="4320" w:hanging="360"/>
      </w:pPr>
      <w:rPr>
        <w:rFonts w:ascii="Symbol" w:hAnsi="Symbol" w:hint="default"/>
        <w:sz w:val="20"/>
      </w:rPr>
    </w:lvl>
    <w:lvl w:ilvl="5" w:tentative="1">
      <w:start w:val="1"/>
      <w:numFmt w:val="bullet"/>
      <w:lvlText w:val=""/>
      <w:lvlJc w:val="left"/>
      <w:pPr>
        <w:tabs>
          <w:tab w:val="num" w:pos="4320"/>
        </w:tabs>
        <w:ind w:left="5040" w:hanging="360"/>
      </w:pPr>
      <w:rPr>
        <w:rFonts w:ascii="Symbol" w:hAnsi="Symbol" w:hint="default"/>
        <w:sz w:val="20"/>
      </w:rPr>
    </w:lvl>
    <w:lvl w:ilvl="6" w:tentative="1">
      <w:start w:val="1"/>
      <w:numFmt w:val="bullet"/>
      <w:lvlText w:val=""/>
      <w:lvlJc w:val="left"/>
      <w:pPr>
        <w:tabs>
          <w:tab w:val="num" w:pos="5040"/>
        </w:tabs>
        <w:ind w:left="5760" w:hanging="360"/>
      </w:pPr>
      <w:rPr>
        <w:rFonts w:ascii="Symbol" w:hAnsi="Symbol" w:hint="default"/>
        <w:sz w:val="20"/>
      </w:rPr>
    </w:lvl>
    <w:lvl w:ilvl="7" w:tentative="1">
      <w:start w:val="1"/>
      <w:numFmt w:val="bullet"/>
      <w:lvlText w:val=""/>
      <w:lvlJc w:val="left"/>
      <w:pPr>
        <w:tabs>
          <w:tab w:val="num" w:pos="5760"/>
        </w:tabs>
        <w:ind w:left="6480" w:hanging="360"/>
      </w:pPr>
      <w:rPr>
        <w:rFonts w:ascii="Symbol" w:hAnsi="Symbol" w:hint="default"/>
        <w:sz w:val="20"/>
      </w:rPr>
    </w:lvl>
    <w:lvl w:ilvl="8" w:tentative="1">
      <w:start w:val="1"/>
      <w:numFmt w:val="bullet"/>
      <w:lvlText w:val=""/>
      <w:lvlJc w:val="left"/>
      <w:pPr>
        <w:tabs>
          <w:tab w:val="num" w:pos="6480"/>
        </w:tabs>
        <w:ind w:left="7200" w:hanging="360"/>
      </w:pPr>
      <w:rPr>
        <w:rFonts w:ascii="Symbol" w:hAnsi="Symbol" w:hint="default"/>
        <w:sz w:val="20"/>
      </w:rPr>
    </w:lvl>
  </w:abstractNum>
  <w:abstractNum w:abstractNumId="35" w15:restartNumberingAfterBreak="0">
    <w:nsid w:val="424C318A"/>
    <w:multiLevelType w:val="hybridMultilevel"/>
    <w:tmpl w:val="6270D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26F4E56"/>
    <w:multiLevelType w:val="hybridMultilevel"/>
    <w:tmpl w:val="F0D6F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50D3ACC"/>
    <w:multiLevelType w:val="hybridMultilevel"/>
    <w:tmpl w:val="C11E1A7A"/>
    <w:lvl w:ilvl="0" w:tplc="7806D878">
      <w:start w:val="1"/>
      <w:numFmt w:val="bullet"/>
      <w:lvlText w:val=""/>
      <w:lvlJc w:val="left"/>
      <w:pPr>
        <w:ind w:left="1440" w:hanging="360"/>
      </w:pPr>
      <w:rPr>
        <w:rFonts w:ascii="Symbol" w:hAnsi="Symbol" w:hint="default"/>
        <w:color w:val="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47F40E28"/>
    <w:multiLevelType w:val="hybridMultilevel"/>
    <w:tmpl w:val="7BAA9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C367DF8"/>
    <w:multiLevelType w:val="hybridMultilevel"/>
    <w:tmpl w:val="B406E0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D3E0D1E"/>
    <w:multiLevelType w:val="hybridMultilevel"/>
    <w:tmpl w:val="D67A8B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4E880654"/>
    <w:multiLevelType w:val="hybridMultilevel"/>
    <w:tmpl w:val="D3AAA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05176B1"/>
    <w:multiLevelType w:val="hybridMultilevel"/>
    <w:tmpl w:val="5B843592"/>
    <w:lvl w:ilvl="0" w:tplc="243ED9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15C7CE3"/>
    <w:multiLevelType w:val="hybridMultilevel"/>
    <w:tmpl w:val="2BFCDFAA"/>
    <w:lvl w:ilvl="0" w:tplc="602868E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15:restartNumberingAfterBreak="0">
    <w:nsid w:val="54FB667A"/>
    <w:multiLevelType w:val="hybridMultilevel"/>
    <w:tmpl w:val="602CD4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554F7231"/>
    <w:multiLevelType w:val="hybridMultilevel"/>
    <w:tmpl w:val="24A6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6110924"/>
    <w:multiLevelType w:val="singleLevel"/>
    <w:tmpl w:val="04090001"/>
    <w:lvl w:ilvl="0">
      <w:start w:val="1"/>
      <w:numFmt w:val="bullet"/>
      <w:lvlText w:val=""/>
      <w:lvlJc w:val="left"/>
      <w:pPr>
        <w:ind w:left="720" w:hanging="360"/>
      </w:pPr>
      <w:rPr>
        <w:rFonts w:ascii="Symbol" w:hAnsi="Symbol" w:hint="default"/>
      </w:rPr>
    </w:lvl>
  </w:abstractNum>
  <w:abstractNum w:abstractNumId="47" w15:restartNumberingAfterBreak="0">
    <w:nsid w:val="59AC5B5D"/>
    <w:multiLevelType w:val="hybridMultilevel"/>
    <w:tmpl w:val="6CB26802"/>
    <w:lvl w:ilvl="0" w:tplc="8CFE6790">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8" w15:restartNumberingAfterBreak="0">
    <w:nsid w:val="5B615D4F"/>
    <w:multiLevelType w:val="hybridMultilevel"/>
    <w:tmpl w:val="D91CB5B6"/>
    <w:lvl w:ilvl="0" w:tplc="7806D878">
      <w:start w:val="1"/>
      <w:numFmt w:val="bullet"/>
      <w:lvlText w:val=""/>
      <w:lvlJc w:val="left"/>
      <w:pPr>
        <w:ind w:left="1440" w:hanging="360"/>
      </w:pPr>
      <w:rPr>
        <w:rFonts w:ascii="Symbol" w:hAnsi="Symbol" w:hint="default"/>
        <w:color w:val="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5BDC624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0" w15:restartNumberingAfterBreak="0">
    <w:nsid w:val="5F0F1015"/>
    <w:multiLevelType w:val="hybridMultilevel"/>
    <w:tmpl w:val="8424DA12"/>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61AC35C7"/>
    <w:multiLevelType w:val="hybridMultilevel"/>
    <w:tmpl w:val="92761D16"/>
    <w:lvl w:ilvl="0" w:tplc="2054A310">
      <w:start w:val="1"/>
      <w:numFmt w:val="decimal"/>
      <w:lvlText w:val="%1)"/>
      <w:lvlJc w:val="left"/>
      <w:pPr>
        <w:ind w:left="720" w:hanging="360"/>
      </w:pPr>
    </w:lvl>
    <w:lvl w:ilvl="1" w:tplc="3CFE437C">
      <w:start w:val="1"/>
      <w:numFmt w:val="lowerLetter"/>
      <w:lvlText w:val="%2."/>
      <w:lvlJc w:val="left"/>
      <w:pPr>
        <w:ind w:left="1440" w:hanging="360"/>
      </w:pPr>
    </w:lvl>
    <w:lvl w:ilvl="2" w:tplc="6A8AB328">
      <w:start w:val="1"/>
      <w:numFmt w:val="lowerRoman"/>
      <w:lvlText w:val="%3."/>
      <w:lvlJc w:val="right"/>
      <w:pPr>
        <w:ind w:left="2160" w:hanging="180"/>
      </w:pPr>
    </w:lvl>
    <w:lvl w:ilvl="3" w:tplc="B34AABEA">
      <w:start w:val="1"/>
      <w:numFmt w:val="decimal"/>
      <w:lvlText w:val="%4."/>
      <w:lvlJc w:val="left"/>
      <w:pPr>
        <w:ind w:left="2880" w:hanging="360"/>
      </w:pPr>
    </w:lvl>
    <w:lvl w:ilvl="4" w:tplc="A2C0394E">
      <w:start w:val="1"/>
      <w:numFmt w:val="lowerLetter"/>
      <w:lvlText w:val="%5."/>
      <w:lvlJc w:val="left"/>
      <w:pPr>
        <w:ind w:left="3600" w:hanging="360"/>
      </w:pPr>
    </w:lvl>
    <w:lvl w:ilvl="5" w:tplc="BDF4AC6C">
      <w:start w:val="1"/>
      <w:numFmt w:val="lowerRoman"/>
      <w:lvlText w:val="%6."/>
      <w:lvlJc w:val="right"/>
      <w:pPr>
        <w:ind w:left="4320" w:hanging="180"/>
      </w:pPr>
    </w:lvl>
    <w:lvl w:ilvl="6" w:tplc="1EBEE5BC">
      <w:start w:val="1"/>
      <w:numFmt w:val="decimal"/>
      <w:lvlText w:val="%7."/>
      <w:lvlJc w:val="left"/>
      <w:pPr>
        <w:ind w:left="5040" w:hanging="360"/>
      </w:pPr>
    </w:lvl>
    <w:lvl w:ilvl="7" w:tplc="F1780F66">
      <w:start w:val="1"/>
      <w:numFmt w:val="lowerLetter"/>
      <w:lvlText w:val="%8."/>
      <w:lvlJc w:val="left"/>
      <w:pPr>
        <w:ind w:left="5760" w:hanging="360"/>
      </w:pPr>
    </w:lvl>
    <w:lvl w:ilvl="8" w:tplc="1F44FBA2">
      <w:start w:val="1"/>
      <w:numFmt w:val="lowerRoman"/>
      <w:lvlText w:val="%9."/>
      <w:lvlJc w:val="right"/>
      <w:pPr>
        <w:ind w:left="6480" w:hanging="180"/>
      </w:pPr>
    </w:lvl>
  </w:abstractNum>
  <w:abstractNum w:abstractNumId="52" w15:restartNumberingAfterBreak="0">
    <w:nsid w:val="62A1756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3" w15:restartNumberingAfterBreak="0">
    <w:nsid w:val="63365AC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4" w15:restartNumberingAfterBreak="0">
    <w:nsid w:val="65857D28"/>
    <w:multiLevelType w:val="hybridMultilevel"/>
    <w:tmpl w:val="9274F7E4"/>
    <w:lvl w:ilvl="0" w:tplc="8A14816E">
      <w:start w:val="1"/>
      <w:numFmt w:val="decimal"/>
      <w:lvlText w:val="%1."/>
      <w:lvlJc w:val="left"/>
      <w:pPr>
        <w:ind w:left="1020" w:hanging="360"/>
      </w:pPr>
    </w:lvl>
    <w:lvl w:ilvl="1" w:tplc="DA905510">
      <w:start w:val="1"/>
      <w:numFmt w:val="decimal"/>
      <w:lvlText w:val="%2."/>
      <w:lvlJc w:val="left"/>
      <w:pPr>
        <w:ind w:left="1020" w:hanging="360"/>
      </w:pPr>
    </w:lvl>
    <w:lvl w:ilvl="2" w:tplc="DAE06362">
      <w:start w:val="1"/>
      <w:numFmt w:val="decimal"/>
      <w:lvlText w:val="%3."/>
      <w:lvlJc w:val="left"/>
      <w:pPr>
        <w:ind w:left="1020" w:hanging="360"/>
      </w:pPr>
    </w:lvl>
    <w:lvl w:ilvl="3" w:tplc="246A4240">
      <w:start w:val="1"/>
      <w:numFmt w:val="decimal"/>
      <w:lvlText w:val="%4."/>
      <w:lvlJc w:val="left"/>
      <w:pPr>
        <w:ind w:left="1020" w:hanging="360"/>
      </w:pPr>
    </w:lvl>
    <w:lvl w:ilvl="4" w:tplc="248EE8B0">
      <w:start w:val="1"/>
      <w:numFmt w:val="decimal"/>
      <w:lvlText w:val="%5."/>
      <w:lvlJc w:val="left"/>
      <w:pPr>
        <w:ind w:left="1020" w:hanging="360"/>
      </w:pPr>
    </w:lvl>
    <w:lvl w:ilvl="5" w:tplc="405A469A">
      <w:start w:val="1"/>
      <w:numFmt w:val="decimal"/>
      <w:lvlText w:val="%6."/>
      <w:lvlJc w:val="left"/>
      <w:pPr>
        <w:ind w:left="1020" w:hanging="360"/>
      </w:pPr>
    </w:lvl>
    <w:lvl w:ilvl="6" w:tplc="CF464D38">
      <w:start w:val="1"/>
      <w:numFmt w:val="decimal"/>
      <w:lvlText w:val="%7."/>
      <w:lvlJc w:val="left"/>
      <w:pPr>
        <w:ind w:left="1020" w:hanging="360"/>
      </w:pPr>
    </w:lvl>
    <w:lvl w:ilvl="7" w:tplc="BD2825E8">
      <w:start w:val="1"/>
      <w:numFmt w:val="decimal"/>
      <w:lvlText w:val="%8."/>
      <w:lvlJc w:val="left"/>
      <w:pPr>
        <w:ind w:left="1020" w:hanging="360"/>
      </w:pPr>
    </w:lvl>
    <w:lvl w:ilvl="8" w:tplc="80526FD4">
      <w:start w:val="1"/>
      <w:numFmt w:val="decimal"/>
      <w:lvlText w:val="%9."/>
      <w:lvlJc w:val="left"/>
      <w:pPr>
        <w:ind w:left="1020" w:hanging="360"/>
      </w:pPr>
    </w:lvl>
  </w:abstractNum>
  <w:abstractNum w:abstractNumId="55" w15:restartNumberingAfterBreak="0">
    <w:nsid w:val="65FF4234"/>
    <w:multiLevelType w:val="hybridMultilevel"/>
    <w:tmpl w:val="BFB03FCA"/>
    <w:lvl w:ilvl="0" w:tplc="60E8049A">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6" w15:restartNumberingAfterBreak="0">
    <w:nsid w:val="663B25F8"/>
    <w:multiLevelType w:val="hybridMultilevel"/>
    <w:tmpl w:val="A41EA3E2"/>
    <w:lvl w:ilvl="0" w:tplc="FFFFFFFF">
      <w:start w:val="1"/>
      <w:numFmt w:val="bullet"/>
      <w:lvlText w:val=""/>
      <w:lvlJc w:val="left"/>
      <w:pPr>
        <w:ind w:left="2160" w:hanging="360"/>
      </w:pPr>
      <w:rPr>
        <w:rFonts w:ascii="Symbol" w:hAnsi="Symbol" w:hint="default"/>
        <w:color w:val="000000" w:themeColor="text1"/>
      </w:rPr>
    </w:lvl>
    <w:lvl w:ilvl="1" w:tplc="7806D878">
      <w:start w:val="1"/>
      <w:numFmt w:val="bullet"/>
      <w:lvlText w:val=""/>
      <w:lvlJc w:val="left"/>
      <w:pPr>
        <w:ind w:left="1440" w:hanging="360"/>
      </w:pPr>
      <w:rPr>
        <w:rFonts w:ascii="Symbol" w:hAnsi="Symbol" w:hint="default"/>
        <w:color w:val="000000" w:themeColor="text1"/>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7" w15:restartNumberingAfterBreak="0">
    <w:nsid w:val="67B317DF"/>
    <w:multiLevelType w:val="hybridMultilevel"/>
    <w:tmpl w:val="19D2C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8415B59"/>
    <w:multiLevelType w:val="hybridMultilevel"/>
    <w:tmpl w:val="6B8EAFC2"/>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6A687677"/>
    <w:multiLevelType w:val="hybridMultilevel"/>
    <w:tmpl w:val="F920E1F2"/>
    <w:lvl w:ilvl="0" w:tplc="7806D878">
      <w:start w:val="1"/>
      <w:numFmt w:val="bullet"/>
      <w:lvlText w:val=""/>
      <w:lvlJc w:val="left"/>
      <w:pPr>
        <w:ind w:left="1440" w:hanging="360"/>
      </w:pPr>
      <w:rPr>
        <w:rFonts w:ascii="Symbol" w:hAnsi="Symbol" w:hint="default"/>
        <w:color w:val="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6DD95D64"/>
    <w:multiLevelType w:val="hybridMultilevel"/>
    <w:tmpl w:val="2AB6DC32"/>
    <w:lvl w:ilvl="0" w:tplc="F9EED782">
      <w:start w:val="1"/>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61" w15:restartNumberingAfterBreak="0">
    <w:nsid w:val="6E9179A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2" w15:restartNumberingAfterBreak="0">
    <w:nsid w:val="6F2419F2"/>
    <w:multiLevelType w:val="hybridMultilevel"/>
    <w:tmpl w:val="06FC42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70F95E6E"/>
    <w:multiLevelType w:val="hybridMultilevel"/>
    <w:tmpl w:val="626413C8"/>
    <w:lvl w:ilvl="0" w:tplc="DA0EF292">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4" w15:restartNumberingAfterBreak="0">
    <w:nsid w:val="72FC0C74"/>
    <w:multiLevelType w:val="hybridMultilevel"/>
    <w:tmpl w:val="01CAF0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749B3C98"/>
    <w:multiLevelType w:val="hybridMultilevel"/>
    <w:tmpl w:val="874E1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ADC2374"/>
    <w:multiLevelType w:val="hybridMultilevel"/>
    <w:tmpl w:val="7E58581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15:restartNumberingAfterBreak="0">
    <w:nsid w:val="7CACC41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8" w15:restartNumberingAfterBreak="0">
    <w:nsid w:val="7E085D29"/>
    <w:multiLevelType w:val="hybridMultilevel"/>
    <w:tmpl w:val="8CFE90F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300039253">
    <w:abstractNumId w:val="46"/>
  </w:num>
  <w:num w:numId="2" w16cid:durableId="590548971">
    <w:abstractNumId w:val="49"/>
  </w:num>
  <w:num w:numId="3" w16cid:durableId="1647316548">
    <w:abstractNumId w:val="6"/>
  </w:num>
  <w:num w:numId="4" w16cid:durableId="1941638682">
    <w:abstractNumId w:val="24"/>
  </w:num>
  <w:num w:numId="5" w16cid:durableId="694312867">
    <w:abstractNumId w:val="12"/>
  </w:num>
  <w:num w:numId="6" w16cid:durableId="1164972360">
    <w:abstractNumId w:val="27"/>
  </w:num>
  <w:num w:numId="7" w16cid:durableId="824397072">
    <w:abstractNumId w:val="61"/>
  </w:num>
  <w:num w:numId="8" w16cid:durableId="674966064">
    <w:abstractNumId w:val="15"/>
  </w:num>
  <w:num w:numId="9" w16cid:durableId="501899946">
    <w:abstractNumId w:val="30"/>
  </w:num>
  <w:num w:numId="10" w16cid:durableId="1335838922">
    <w:abstractNumId w:val="52"/>
  </w:num>
  <w:num w:numId="11" w16cid:durableId="1105879750">
    <w:abstractNumId w:val="53"/>
  </w:num>
  <w:num w:numId="12" w16cid:durableId="242033181">
    <w:abstractNumId w:val="17"/>
  </w:num>
  <w:num w:numId="13" w16cid:durableId="1743018036">
    <w:abstractNumId w:val="38"/>
  </w:num>
  <w:num w:numId="14" w16cid:durableId="10820688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23175090">
    <w:abstractNumId w:val="1"/>
  </w:num>
  <w:num w:numId="16" w16cid:durableId="1248149132">
    <w:abstractNumId w:val="33"/>
  </w:num>
  <w:num w:numId="17" w16cid:durableId="2079547741">
    <w:abstractNumId w:val="20"/>
  </w:num>
  <w:num w:numId="18" w16cid:durableId="523399310">
    <w:abstractNumId w:val="39"/>
  </w:num>
  <w:num w:numId="19" w16cid:durableId="675500027">
    <w:abstractNumId w:val="23"/>
  </w:num>
  <w:num w:numId="20" w16cid:durableId="480003962">
    <w:abstractNumId w:val="36"/>
  </w:num>
  <w:num w:numId="21" w16cid:durableId="335309778">
    <w:abstractNumId w:val="10"/>
  </w:num>
  <w:num w:numId="22" w16cid:durableId="2062361477">
    <w:abstractNumId w:val="44"/>
  </w:num>
  <w:num w:numId="23" w16cid:durableId="803428590">
    <w:abstractNumId w:val="64"/>
  </w:num>
  <w:num w:numId="24" w16cid:durableId="1193810107">
    <w:abstractNumId w:val="68"/>
  </w:num>
  <w:num w:numId="25" w16cid:durableId="1297301343">
    <w:abstractNumId w:val="62"/>
  </w:num>
  <w:num w:numId="26" w16cid:durableId="1089350743">
    <w:abstractNumId w:val="40"/>
  </w:num>
  <w:num w:numId="27" w16cid:durableId="1255162744">
    <w:abstractNumId w:val="22"/>
  </w:num>
  <w:num w:numId="28" w16cid:durableId="835610548">
    <w:abstractNumId w:val="32"/>
  </w:num>
  <w:num w:numId="29" w16cid:durableId="1962106028">
    <w:abstractNumId w:val="8"/>
  </w:num>
  <w:num w:numId="30" w16cid:durableId="522287868">
    <w:abstractNumId w:val="48"/>
  </w:num>
  <w:num w:numId="31" w16cid:durableId="1472745089">
    <w:abstractNumId w:val="66"/>
  </w:num>
  <w:num w:numId="32" w16cid:durableId="657611543">
    <w:abstractNumId w:val="37"/>
  </w:num>
  <w:num w:numId="33" w16cid:durableId="1725444142">
    <w:abstractNumId w:val="43"/>
  </w:num>
  <w:num w:numId="34" w16cid:durableId="1788232801">
    <w:abstractNumId w:val="63"/>
  </w:num>
  <w:num w:numId="35" w16cid:durableId="1202013042">
    <w:abstractNumId w:val="0"/>
  </w:num>
  <w:num w:numId="36" w16cid:durableId="893738950">
    <w:abstractNumId w:val="31"/>
  </w:num>
  <w:num w:numId="37" w16cid:durableId="98189127">
    <w:abstractNumId w:val="41"/>
  </w:num>
  <w:num w:numId="38" w16cid:durableId="1173567614">
    <w:abstractNumId w:val="65"/>
  </w:num>
  <w:num w:numId="39" w16cid:durableId="106433950">
    <w:abstractNumId w:val="21"/>
  </w:num>
  <w:num w:numId="40" w16cid:durableId="1080102060">
    <w:abstractNumId w:val="29"/>
  </w:num>
  <w:num w:numId="41" w16cid:durableId="1265767639">
    <w:abstractNumId w:val="3"/>
  </w:num>
  <w:num w:numId="42" w16cid:durableId="2062317808">
    <w:abstractNumId w:val="35"/>
  </w:num>
  <w:num w:numId="43" w16cid:durableId="1928073506">
    <w:abstractNumId w:val="57"/>
  </w:num>
  <w:num w:numId="44" w16cid:durableId="1433092238">
    <w:abstractNumId w:val="56"/>
  </w:num>
  <w:num w:numId="45" w16cid:durableId="1099255181">
    <w:abstractNumId w:val="59"/>
  </w:num>
  <w:num w:numId="46" w16cid:durableId="1391687949">
    <w:abstractNumId w:val="28"/>
  </w:num>
  <w:num w:numId="47" w16cid:durableId="1201865857">
    <w:abstractNumId w:val="19"/>
  </w:num>
  <w:num w:numId="48" w16cid:durableId="1930580143">
    <w:abstractNumId w:val="60"/>
  </w:num>
  <w:num w:numId="49" w16cid:durableId="1732534910">
    <w:abstractNumId w:val="16"/>
  </w:num>
  <w:num w:numId="50" w16cid:durableId="1116367747">
    <w:abstractNumId w:val="13"/>
  </w:num>
  <w:num w:numId="51" w16cid:durableId="1090545143">
    <w:abstractNumId w:val="47"/>
  </w:num>
  <w:num w:numId="52" w16cid:durableId="2242252">
    <w:abstractNumId w:val="14"/>
  </w:num>
  <w:num w:numId="53" w16cid:durableId="1721127697">
    <w:abstractNumId w:val="4"/>
  </w:num>
  <w:num w:numId="54" w16cid:durableId="1758211353">
    <w:abstractNumId w:val="5"/>
  </w:num>
  <w:num w:numId="55" w16cid:durableId="1353990406">
    <w:abstractNumId w:val="50"/>
  </w:num>
  <w:num w:numId="56" w16cid:durableId="635648674">
    <w:abstractNumId w:val="55"/>
  </w:num>
  <w:num w:numId="57" w16cid:durableId="57173016">
    <w:abstractNumId w:val="25"/>
  </w:num>
  <w:num w:numId="58" w16cid:durableId="2103184082">
    <w:abstractNumId w:val="9"/>
  </w:num>
  <w:num w:numId="59" w16cid:durableId="482284243">
    <w:abstractNumId w:val="11"/>
  </w:num>
  <w:num w:numId="60" w16cid:durableId="315885781">
    <w:abstractNumId w:val="58"/>
  </w:num>
  <w:num w:numId="61" w16cid:durableId="1668050702">
    <w:abstractNumId w:val="18"/>
  </w:num>
  <w:num w:numId="62" w16cid:durableId="588933073">
    <w:abstractNumId w:val="45"/>
  </w:num>
  <w:num w:numId="63" w16cid:durableId="1386414178">
    <w:abstractNumId w:val="42"/>
  </w:num>
  <w:num w:numId="64" w16cid:durableId="1534271670">
    <w:abstractNumId w:val="26"/>
  </w:num>
  <w:num w:numId="65" w16cid:durableId="1012224343">
    <w:abstractNumId w:val="67"/>
  </w:num>
  <w:num w:numId="66" w16cid:durableId="214852157">
    <w:abstractNumId w:val="34"/>
  </w:num>
  <w:num w:numId="67" w16cid:durableId="924460421">
    <w:abstractNumId w:val="7"/>
  </w:num>
  <w:num w:numId="68" w16cid:durableId="1010717218">
    <w:abstractNumId w:val="54"/>
  </w:num>
  <w:num w:numId="69" w16cid:durableId="1685135694">
    <w:abstractNumId w:val="51"/>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6308"/>
    <w:rsid w:val="00000B89"/>
    <w:rsid w:val="00000DDC"/>
    <w:rsid w:val="0000104C"/>
    <w:rsid w:val="000014EF"/>
    <w:rsid w:val="000017C7"/>
    <w:rsid w:val="0000182A"/>
    <w:rsid w:val="00001CA7"/>
    <w:rsid w:val="00001E6E"/>
    <w:rsid w:val="000024E5"/>
    <w:rsid w:val="0000268E"/>
    <w:rsid w:val="0000289E"/>
    <w:rsid w:val="00002A56"/>
    <w:rsid w:val="00002A5D"/>
    <w:rsid w:val="0000319C"/>
    <w:rsid w:val="000032AA"/>
    <w:rsid w:val="000033E2"/>
    <w:rsid w:val="0000386F"/>
    <w:rsid w:val="00003874"/>
    <w:rsid w:val="00003FE0"/>
    <w:rsid w:val="0000459D"/>
    <w:rsid w:val="00004C08"/>
    <w:rsid w:val="000050E6"/>
    <w:rsid w:val="000055B2"/>
    <w:rsid w:val="00005928"/>
    <w:rsid w:val="00005B8D"/>
    <w:rsid w:val="00005E72"/>
    <w:rsid w:val="00006042"/>
    <w:rsid w:val="0000654E"/>
    <w:rsid w:val="00006608"/>
    <w:rsid w:val="000066AA"/>
    <w:rsid w:val="000069EA"/>
    <w:rsid w:val="000069F7"/>
    <w:rsid w:val="00007076"/>
    <w:rsid w:val="000070EF"/>
    <w:rsid w:val="00007AD5"/>
    <w:rsid w:val="00007CE5"/>
    <w:rsid w:val="000100C5"/>
    <w:rsid w:val="000102D0"/>
    <w:rsid w:val="00010367"/>
    <w:rsid w:val="0001079C"/>
    <w:rsid w:val="00010860"/>
    <w:rsid w:val="0001087F"/>
    <w:rsid w:val="00010964"/>
    <w:rsid w:val="00010C6E"/>
    <w:rsid w:val="00010F46"/>
    <w:rsid w:val="000112F7"/>
    <w:rsid w:val="000118BC"/>
    <w:rsid w:val="000121C3"/>
    <w:rsid w:val="00012BB9"/>
    <w:rsid w:val="00012C79"/>
    <w:rsid w:val="00012CDB"/>
    <w:rsid w:val="00012CE9"/>
    <w:rsid w:val="00012CEA"/>
    <w:rsid w:val="00012E5D"/>
    <w:rsid w:val="00013019"/>
    <w:rsid w:val="00013037"/>
    <w:rsid w:val="00013ACB"/>
    <w:rsid w:val="000144CA"/>
    <w:rsid w:val="00014729"/>
    <w:rsid w:val="00014877"/>
    <w:rsid w:val="0001491C"/>
    <w:rsid w:val="00014BB7"/>
    <w:rsid w:val="000156BF"/>
    <w:rsid w:val="00015D92"/>
    <w:rsid w:val="00015E81"/>
    <w:rsid w:val="000160C1"/>
    <w:rsid w:val="00016607"/>
    <w:rsid w:val="0001661E"/>
    <w:rsid w:val="000167AF"/>
    <w:rsid w:val="000167B0"/>
    <w:rsid w:val="000173F3"/>
    <w:rsid w:val="00020140"/>
    <w:rsid w:val="00020499"/>
    <w:rsid w:val="000205F9"/>
    <w:rsid w:val="00021824"/>
    <w:rsid w:val="00021837"/>
    <w:rsid w:val="00021D1B"/>
    <w:rsid w:val="000225F4"/>
    <w:rsid w:val="00022734"/>
    <w:rsid w:val="00022D8B"/>
    <w:rsid w:val="00022F0D"/>
    <w:rsid w:val="000231E8"/>
    <w:rsid w:val="000234AF"/>
    <w:rsid w:val="00023534"/>
    <w:rsid w:val="00024496"/>
    <w:rsid w:val="00024DCC"/>
    <w:rsid w:val="00025B0D"/>
    <w:rsid w:val="00025D52"/>
    <w:rsid w:val="00025E61"/>
    <w:rsid w:val="00025F74"/>
    <w:rsid w:val="00026704"/>
    <w:rsid w:val="000269D3"/>
    <w:rsid w:val="00026A51"/>
    <w:rsid w:val="00026BE8"/>
    <w:rsid w:val="00026CF1"/>
    <w:rsid w:val="0002724D"/>
    <w:rsid w:val="00027314"/>
    <w:rsid w:val="00027FC1"/>
    <w:rsid w:val="00030193"/>
    <w:rsid w:val="0003042C"/>
    <w:rsid w:val="00030461"/>
    <w:rsid w:val="000304E3"/>
    <w:rsid w:val="00030A2A"/>
    <w:rsid w:val="00031059"/>
    <w:rsid w:val="00031198"/>
    <w:rsid w:val="000311EE"/>
    <w:rsid w:val="000318AF"/>
    <w:rsid w:val="00031FBD"/>
    <w:rsid w:val="00032263"/>
    <w:rsid w:val="00032E47"/>
    <w:rsid w:val="00032E50"/>
    <w:rsid w:val="00033024"/>
    <w:rsid w:val="000330E8"/>
    <w:rsid w:val="000334DE"/>
    <w:rsid w:val="000337D5"/>
    <w:rsid w:val="00033A67"/>
    <w:rsid w:val="00033C20"/>
    <w:rsid w:val="00034B7C"/>
    <w:rsid w:val="000351B3"/>
    <w:rsid w:val="0003521D"/>
    <w:rsid w:val="00035C66"/>
    <w:rsid w:val="00035D56"/>
    <w:rsid w:val="00035FFB"/>
    <w:rsid w:val="0003603E"/>
    <w:rsid w:val="000361BD"/>
    <w:rsid w:val="00036324"/>
    <w:rsid w:val="00036E27"/>
    <w:rsid w:val="000373CD"/>
    <w:rsid w:val="000374F3"/>
    <w:rsid w:val="00040009"/>
    <w:rsid w:val="00040899"/>
    <w:rsid w:val="00040B1D"/>
    <w:rsid w:val="00040CF2"/>
    <w:rsid w:val="00040DF2"/>
    <w:rsid w:val="00041175"/>
    <w:rsid w:val="00041511"/>
    <w:rsid w:val="000418DC"/>
    <w:rsid w:val="00041921"/>
    <w:rsid w:val="00041FEA"/>
    <w:rsid w:val="00042198"/>
    <w:rsid w:val="000421FC"/>
    <w:rsid w:val="00042D64"/>
    <w:rsid w:val="000432B9"/>
    <w:rsid w:val="000433DF"/>
    <w:rsid w:val="000433E2"/>
    <w:rsid w:val="000434DD"/>
    <w:rsid w:val="00043712"/>
    <w:rsid w:val="00043E83"/>
    <w:rsid w:val="00044008"/>
    <w:rsid w:val="00044299"/>
    <w:rsid w:val="000446D2"/>
    <w:rsid w:val="0004490D"/>
    <w:rsid w:val="00044B48"/>
    <w:rsid w:val="00044B7D"/>
    <w:rsid w:val="00044D32"/>
    <w:rsid w:val="0004506F"/>
    <w:rsid w:val="00045192"/>
    <w:rsid w:val="0004523E"/>
    <w:rsid w:val="00045A0A"/>
    <w:rsid w:val="000461BF"/>
    <w:rsid w:val="00046501"/>
    <w:rsid w:val="00046A14"/>
    <w:rsid w:val="000472E3"/>
    <w:rsid w:val="00047506"/>
    <w:rsid w:val="00047A74"/>
    <w:rsid w:val="00050571"/>
    <w:rsid w:val="0005071A"/>
    <w:rsid w:val="000516EA"/>
    <w:rsid w:val="00051990"/>
    <w:rsid w:val="000519A7"/>
    <w:rsid w:val="0005206E"/>
    <w:rsid w:val="0005235D"/>
    <w:rsid w:val="0005288F"/>
    <w:rsid w:val="00052AD6"/>
    <w:rsid w:val="00052AE7"/>
    <w:rsid w:val="00053229"/>
    <w:rsid w:val="000533BA"/>
    <w:rsid w:val="00053784"/>
    <w:rsid w:val="00053869"/>
    <w:rsid w:val="00053A70"/>
    <w:rsid w:val="00053C8E"/>
    <w:rsid w:val="00053EA1"/>
    <w:rsid w:val="00054827"/>
    <w:rsid w:val="0005599C"/>
    <w:rsid w:val="000560D0"/>
    <w:rsid w:val="00056259"/>
    <w:rsid w:val="00056BFA"/>
    <w:rsid w:val="00056DA0"/>
    <w:rsid w:val="00056DC4"/>
    <w:rsid w:val="00056E1D"/>
    <w:rsid w:val="00056E54"/>
    <w:rsid w:val="00056FED"/>
    <w:rsid w:val="00060472"/>
    <w:rsid w:val="000619B6"/>
    <w:rsid w:val="000628F9"/>
    <w:rsid w:val="000629EE"/>
    <w:rsid w:val="0006395E"/>
    <w:rsid w:val="0006412F"/>
    <w:rsid w:val="000644D0"/>
    <w:rsid w:val="00064776"/>
    <w:rsid w:val="00064EE7"/>
    <w:rsid w:val="000653DD"/>
    <w:rsid w:val="00065616"/>
    <w:rsid w:val="000662D7"/>
    <w:rsid w:val="000665E9"/>
    <w:rsid w:val="0006730A"/>
    <w:rsid w:val="0006746C"/>
    <w:rsid w:val="0006762A"/>
    <w:rsid w:val="0006771E"/>
    <w:rsid w:val="00067797"/>
    <w:rsid w:val="0007030A"/>
    <w:rsid w:val="0007042C"/>
    <w:rsid w:val="00070481"/>
    <w:rsid w:val="00070518"/>
    <w:rsid w:val="00070685"/>
    <w:rsid w:val="000706F7"/>
    <w:rsid w:val="0007086E"/>
    <w:rsid w:val="00070B1E"/>
    <w:rsid w:val="00070ED7"/>
    <w:rsid w:val="00071053"/>
    <w:rsid w:val="000710FC"/>
    <w:rsid w:val="000717D2"/>
    <w:rsid w:val="00071C86"/>
    <w:rsid w:val="00071CCE"/>
    <w:rsid w:val="00071E41"/>
    <w:rsid w:val="00072701"/>
    <w:rsid w:val="000727CA"/>
    <w:rsid w:val="000728F4"/>
    <w:rsid w:val="00072D71"/>
    <w:rsid w:val="000733C4"/>
    <w:rsid w:val="00073842"/>
    <w:rsid w:val="00073DD1"/>
    <w:rsid w:val="0007411F"/>
    <w:rsid w:val="0007443D"/>
    <w:rsid w:val="00074617"/>
    <w:rsid w:val="00074761"/>
    <w:rsid w:val="0007489C"/>
    <w:rsid w:val="00076214"/>
    <w:rsid w:val="00076338"/>
    <w:rsid w:val="00076B7D"/>
    <w:rsid w:val="00076F2B"/>
    <w:rsid w:val="00077CF7"/>
    <w:rsid w:val="000802A4"/>
    <w:rsid w:val="000810C9"/>
    <w:rsid w:val="0008128C"/>
    <w:rsid w:val="000812E3"/>
    <w:rsid w:val="00081943"/>
    <w:rsid w:val="00081972"/>
    <w:rsid w:val="000820CD"/>
    <w:rsid w:val="00082673"/>
    <w:rsid w:val="00082947"/>
    <w:rsid w:val="00082F05"/>
    <w:rsid w:val="00082FA7"/>
    <w:rsid w:val="00083039"/>
    <w:rsid w:val="000830A1"/>
    <w:rsid w:val="0008400B"/>
    <w:rsid w:val="00084450"/>
    <w:rsid w:val="000848DC"/>
    <w:rsid w:val="00084EC5"/>
    <w:rsid w:val="00084F14"/>
    <w:rsid w:val="0008548D"/>
    <w:rsid w:val="00085B1D"/>
    <w:rsid w:val="00085B3F"/>
    <w:rsid w:val="00085C9A"/>
    <w:rsid w:val="0008618C"/>
    <w:rsid w:val="00086230"/>
    <w:rsid w:val="000867A4"/>
    <w:rsid w:val="00086B9D"/>
    <w:rsid w:val="00086CDD"/>
    <w:rsid w:val="00086FEA"/>
    <w:rsid w:val="00087337"/>
    <w:rsid w:val="00087353"/>
    <w:rsid w:val="00090296"/>
    <w:rsid w:val="0009050E"/>
    <w:rsid w:val="00090560"/>
    <w:rsid w:val="0009056A"/>
    <w:rsid w:val="00090A95"/>
    <w:rsid w:val="00090E4D"/>
    <w:rsid w:val="000912AD"/>
    <w:rsid w:val="00091B5F"/>
    <w:rsid w:val="0009225C"/>
    <w:rsid w:val="00092293"/>
    <w:rsid w:val="000928F0"/>
    <w:rsid w:val="0009358B"/>
    <w:rsid w:val="00093A71"/>
    <w:rsid w:val="00094438"/>
    <w:rsid w:val="00094616"/>
    <w:rsid w:val="0009521C"/>
    <w:rsid w:val="00095812"/>
    <w:rsid w:val="0009587B"/>
    <w:rsid w:val="00095B85"/>
    <w:rsid w:val="000961F3"/>
    <w:rsid w:val="00096B0C"/>
    <w:rsid w:val="0009713A"/>
    <w:rsid w:val="00097AB0"/>
    <w:rsid w:val="000A0053"/>
    <w:rsid w:val="000A0155"/>
    <w:rsid w:val="000A0569"/>
    <w:rsid w:val="000A096C"/>
    <w:rsid w:val="000A0B0B"/>
    <w:rsid w:val="000A0B16"/>
    <w:rsid w:val="000A0DB3"/>
    <w:rsid w:val="000A0F63"/>
    <w:rsid w:val="000A1086"/>
    <w:rsid w:val="000A1287"/>
    <w:rsid w:val="000A1301"/>
    <w:rsid w:val="000A152E"/>
    <w:rsid w:val="000A158C"/>
    <w:rsid w:val="000A17A9"/>
    <w:rsid w:val="000A1DEF"/>
    <w:rsid w:val="000A30F7"/>
    <w:rsid w:val="000A3697"/>
    <w:rsid w:val="000A370B"/>
    <w:rsid w:val="000A3750"/>
    <w:rsid w:val="000A3C48"/>
    <w:rsid w:val="000A3F57"/>
    <w:rsid w:val="000A444A"/>
    <w:rsid w:val="000A53BE"/>
    <w:rsid w:val="000A53D9"/>
    <w:rsid w:val="000A5F19"/>
    <w:rsid w:val="000A6057"/>
    <w:rsid w:val="000A63EA"/>
    <w:rsid w:val="000A6464"/>
    <w:rsid w:val="000A6714"/>
    <w:rsid w:val="000A6A8D"/>
    <w:rsid w:val="000A6C52"/>
    <w:rsid w:val="000A79B9"/>
    <w:rsid w:val="000A7FF1"/>
    <w:rsid w:val="000B0166"/>
    <w:rsid w:val="000B0212"/>
    <w:rsid w:val="000B1216"/>
    <w:rsid w:val="000B14E1"/>
    <w:rsid w:val="000B1F44"/>
    <w:rsid w:val="000B220C"/>
    <w:rsid w:val="000B2570"/>
    <w:rsid w:val="000B26DA"/>
    <w:rsid w:val="000B2E10"/>
    <w:rsid w:val="000B3066"/>
    <w:rsid w:val="000B33BB"/>
    <w:rsid w:val="000B33E2"/>
    <w:rsid w:val="000B3B0E"/>
    <w:rsid w:val="000B3C25"/>
    <w:rsid w:val="000B427C"/>
    <w:rsid w:val="000B4511"/>
    <w:rsid w:val="000B45D4"/>
    <w:rsid w:val="000B508C"/>
    <w:rsid w:val="000B51E5"/>
    <w:rsid w:val="000B52A1"/>
    <w:rsid w:val="000B554E"/>
    <w:rsid w:val="000B5965"/>
    <w:rsid w:val="000B5A70"/>
    <w:rsid w:val="000B6A0E"/>
    <w:rsid w:val="000B6FF4"/>
    <w:rsid w:val="000B6FF6"/>
    <w:rsid w:val="000B75F3"/>
    <w:rsid w:val="000B77AC"/>
    <w:rsid w:val="000B7B7F"/>
    <w:rsid w:val="000C00A2"/>
    <w:rsid w:val="000C0426"/>
    <w:rsid w:val="000C1306"/>
    <w:rsid w:val="000C133C"/>
    <w:rsid w:val="000C18D7"/>
    <w:rsid w:val="000C196A"/>
    <w:rsid w:val="000C1DD2"/>
    <w:rsid w:val="000C1EFA"/>
    <w:rsid w:val="000C2393"/>
    <w:rsid w:val="000C26E6"/>
    <w:rsid w:val="000C2865"/>
    <w:rsid w:val="000C3975"/>
    <w:rsid w:val="000C3AD8"/>
    <w:rsid w:val="000C4308"/>
    <w:rsid w:val="000C44FF"/>
    <w:rsid w:val="000C492E"/>
    <w:rsid w:val="000C4ADA"/>
    <w:rsid w:val="000C54FA"/>
    <w:rsid w:val="000C5E91"/>
    <w:rsid w:val="000C6D93"/>
    <w:rsid w:val="000C71DB"/>
    <w:rsid w:val="000C7647"/>
    <w:rsid w:val="000C7A30"/>
    <w:rsid w:val="000C7D9E"/>
    <w:rsid w:val="000D0607"/>
    <w:rsid w:val="000D0C3C"/>
    <w:rsid w:val="000D0E8E"/>
    <w:rsid w:val="000D1198"/>
    <w:rsid w:val="000D163F"/>
    <w:rsid w:val="000D199D"/>
    <w:rsid w:val="000D19CE"/>
    <w:rsid w:val="000D1B62"/>
    <w:rsid w:val="000D1CB6"/>
    <w:rsid w:val="000D22EF"/>
    <w:rsid w:val="000D2D29"/>
    <w:rsid w:val="000D2E01"/>
    <w:rsid w:val="000D31AC"/>
    <w:rsid w:val="000D37E6"/>
    <w:rsid w:val="000D43A3"/>
    <w:rsid w:val="000D4577"/>
    <w:rsid w:val="000D4D16"/>
    <w:rsid w:val="000D50E0"/>
    <w:rsid w:val="000D5158"/>
    <w:rsid w:val="000D53CF"/>
    <w:rsid w:val="000D5615"/>
    <w:rsid w:val="000D5A0E"/>
    <w:rsid w:val="000D6997"/>
    <w:rsid w:val="000D69C6"/>
    <w:rsid w:val="000D6B1E"/>
    <w:rsid w:val="000D7085"/>
    <w:rsid w:val="000D7216"/>
    <w:rsid w:val="000D79BB"/>
    <w:rsid w:val="000D7FD2"/>
    <w:rsid w:val="000E0176"/>
    <w:rsid w:val="000E0DEB"/>
    <w:rsid w:val="000E1AFE"/>
    <w:rsid w:val="000E2263"/>
    <w:rsid w:val="000E259B"/>
    <w:rsid w:val="000E3460"/>
    <w:rsid w:val="000E360A"/>
    <w:rsid w:val="000E3BFD"/>
    <w:rsid w:val="000E3CA0"/>
    <w:rsid w:val="000E3EC7"/>
    <w:rsid w:val="000E4821"/>
    <w:rsid w:val="000E49D1"/>
    <w:rsid w:val="000E4CE4"/>
    <w:rsid w:val="000E50BF"/>
    <w:rsid w:val="000E50D8"/>
    <w:rsid w:val="000E52C0"/>
    <w:rsid w:val="000E6315"/>
    <w:rsid w:val="000E6C29"/>
    <w:rsid w:val="000E6CFB"/>
    <w:rsid w:val="000E6EB5"/>
    <w:rsid w:val="000E7608"/>
    <w:rsid w:val="000E7B8D"/>
    <w:rsid w:val="000F14BB"/>
    <w:rsid w:val="000F246C"/>
    <w:rsid w:val="000F27AE"/>
    <w:rsid w:val="000F293F"/>
    <w:rsid w:val="000F2B67"/>
    <w:rsid w:val="000F2D5B"/>
    <w:rsid w:val="000F2E5E"/>
    <w:rsid w:val="000F302A"/>
    <w:rsid w:val="000F327D"/>
    <w:rsid w:val="000F35F4"/>
    <w:rsid w:val="000F363B"/>
    <w:rsid w:val="000F3D0E"/>
    <w:rsid w:val="000F3D94"/>
    <w:rsid w:val="000F43AB"/>
    <w:rsid w:val="000F44BF"/>
    <w:rsid w:val="000F51D5"/>
    <w:rsid w:val="000F5713"/>
    <w:rsid w:val="000F5791"/>
    <w:rsid w:val="000F62B5"/>
    <w:rsid w:val="000F63F5"/>
    <w:rsid w:val="000F65AF"/>
    <w:rsid w:val="000F66F3"/>
    <w:rsid w:val="000F6E79"/>
    <w:rsid w:val="000F6E9E"/>
    <w:rsid w:val="000F7025"/>
    <w:rsid w:val="000F7192"/>
    <w:rsid w:val="000F7360"/>
    <w:rsid w:val="000F775F"/>
    <w:rsid w:val="000F78EB"/>
    <w:rsid w:val="001002F1"/>
    <w:rsid w:val="00100C68"/>
    <w:rsid w:val="00100E8B"/>
    <w:rsid w:val="00100EB9"/>
    <w:rsid w:val="00100F45"/>
    <w:rsid w:val="00101006"/>
    <w:rsid w:val="00101126"/>
    <w:rsid w:val="001013B9"/>
    <w:rsid w:val="001019A3"/>
    <w:rsid w:val="00101A6F"/>
    <w:rsid w:val="00101B4D"/>
    <w:rsid w:val="00102641"/>
    <w:rsid w:val="001028E3"/>
    <w:rsid w:val="0010293A"/>
    <w:rsid w:val="00102BB4"/>
    <w:rsid w:val="00102BF0"/>
    <w:rsid w:val="00102C8A"/>
    <w:rsid w:val="001030B6"/>
    <w:rsid w:val="001031C7"/>
    <w:rsid w:val="0010330C"/>
    <w:rsid w:val="001037F2"/>
    <w:rsid w:val="00103B9D"/>
    <w:rsid w:val="00104519"/>
    <w:rsid w:val="00104FFE"/>
    <w:rsid w:val="001058C4"/>
    <w:rsid w:val="00105F37"/>
    <w:rsid w:val="00106421"/>
    <w:rsid w:val="00106601"/>
    <w:rsid w:val="00106D83"/>
    <w:rsid w:val="00107383"/>
    <w:rsid w:val="0011080D"/>
    <w:rsid w:val="0011116B"/>
    <w:rsid w:val="001115A8"/>
    <w:rsid w:val="001116FC"/>
    <w:rsid w:val="00111D46"/>
    <w:rsid w:val="0011205E"/>
    <w:rsid w:val="001129BD"/>
    <w:rsid w:val="00112E43"/>
    <w:rsid w:val="00113261"/>
    <w:rsid w:val="001132A4"/>
    <w:rsid w:val="0011379A"/>
    <w:rsid w:val="00113B0F"/>
    <w:rsid w:val="00113F1A"/>
    <w:rsid w:val="00114E96"/>
    <w:rsid w:val="00115618"/>
    <w:rsid w:val="00115AEE"/>
    <w:rsid w:val="00115F82"/>
    <w:rsid w:val="00115F96"/>
    <w:rsid w:val="00116022"/>
    <w:rsid w:val="00116300"/>
    <w:rsid w:val="0011640F"/>
    <w:rsid w:val="00116CDE"/>
    <w:rsid w:val="00116D7E"/>
    <w:rsid w:val="00117190"/>
    <w:rsid w:val="00117F69"/>
    <w:rsid w:val="00120C34"/>
    <w:rsid w:val="001210FC"/>
    <w:rsid w:val="001215E4"/>
    <w:rsid w:val="00121C63"/>
    <w:rsid w:val="00121DB1"/>
    <w:rsid w:val="00121F47"/>
    <w:rsid w:val="00122632"/>
    <w:rsid w:val="00122876"/>
    <w:rsid w:val="00122EC4"/>
    <w:rsid w:val="00122EDA"/>
    <w:rsid w:val="00122F69"/>
    <w:rsid w:val="00122FA9"/>
    <w:rsid w:val="001230FB"/>
    <w:rsid w:val="00123134"/>
    <w:rsid w:val="00123BBE"/>
    <w:rsid w:val="00123FEA"/>
    <w:rsid w:val="00124037"/>
    <w:rsid w:val="00124184"/>
    <w:rsid w:val="0012422B"/>
    <w:rsid w:val="00125322"/>
    <w:rsid w:val="00125557"/>
    <w:rsid w:val="00125B13"/>
    <w:rsid w:val="00125B88"/>
    <w:rsid w:val="00126220"/>
    <w:rsid w:val="001263FA"/>
    <w:rsid w:val="001268F0"/>
    <w:rsid w:val="00126B4C"/>
    <w:rsid w:val="00126EA4"/>
    <w:rsid w:val="00126F69"/>
    <w:rsid w:val="00126F8C"/>
    <w:rsid w:val="001270D1"/>
    <w:rsid w:val="001272E2"/>
    <w:rsid w:val="00127D8B"/>
    <w:rsid w:val="00127EDF"/>
    <w:rsid w:val="00127F86"/>
    <w:rsid w:val="00130016"/>
    <w:rsid w:val="0013043D"/>
    <w:rsid w:val="0013083D"/>
    <w:rsid w:val="00130BE4"/>
    <w:rsid w:val="00130FD9"/>
    <w:rsid w:val="001318ED"/>
    <w:rsid w:val="00131AE3"/>
    <w:rsid w:val="00131CAF"/>
    <w:rsid w:val="00132070"/>
    <w:rsid w:val="0013231A"/>
    <w:rsid w:val="001323D6"/>
    <w:rsid w:val="00132971"/>
    <w:rsid w:val="00132A7A"/>
    <w:rsid w:val="00132B96"/>
    <w:rsid w:val="00132C03"/>
    <w:rsid w:val="001333DA"/>
    <w:rsid w:val="00133C7C"/>
    <w:rsid w:val="00133FD5"/>
    <w:rsid w:val="001341F6"/>
    <w:rsid w:val="001346AF"/>
    <w:rsid w:val="00134A81"/>
    <w:rsid w:val="001350FF"/>
    <w:rsid w:val="0013593F"/>
    <w:rsid w:val="00135D96"/>
    <w:rsid w:val="00135E09"/>
    <w:rsid w:val="001363C3"/>
    <w:rsid w:val="00136414"/>
    <w:rsid w:val="00136A3A"/>
    <w:rsid w:val="00136BC1"/>
    <w:rsid w:val="00136C7D"/>
    <w:rsid w:val="00136F93"/>
    <w:rsid w:val="00136FF3"/>
    <w:rsid w:val="00137534"/>
    <w:rsid w:val="00137666"/>
    <w:rsid w:val="00137724"/>
    <w:rsid w:val="00137762"/>
    <w:rsid w:val="00140526"/>
    <w:rsid w:val="00140C69"/>
    <w:rsid w:val="001413BE"/>
    <w:rsid w:val="00141635"/>
    <w:rsid w:val="00141887"/>
    <w:rsid w:val="001418C0"/>
    <w:rsid w:val="001418D2"/>
    <w:rsid w:val="00141AB9"/>
    <w:rsid w:val="00142564"/>
    <w:rsid w:val="00142814"/>
    <w:rsid w:val="00142EF2"/>
    <w:rsid w:val="001432C4"/>
    <w:rsid w:val="001435C0"/>
    <w:rsid w:val="001436CF"/>
    <w:rsid w:val="001436FB"/>
    <w:rsid w:val="0014381F"/>
    <w:rsid w:val="00144483"/>
    <w:rsid w:val="0014478C"/>
    <w:rsid w:val="001455EC"/>
    <w:rsid w:val="001467EE"/>
    <w:rsid w:val="00146BBD"/>
    <w:rsid w:val="001471C4"/>
    <w:rsid w:val="00147B25"/>
    <w:rsid w:val="00147D8D"/>
    <w:rsid w:val="00147D94"/>
    <w:rsid w:val="00147FAB"/>
    <w:rsid w:val="0015067B"/>
    <w:rsid w:val="001509B8"/>
    <w:rsid w:val="00151352"/>
    <w:rsid w:val="00151403"/>
    <w:rsid w:val="00151424"/>
    <w:rsid w:val="0015173B"/>
    <w:rsid w:val="00151C66"/>
    <w:rsid w:val="00151DDC"/>
    <w:rsid w:val="00151F45"/>
    <w:rsid w:val="001521B5"/>
    <w:rsid w:val="001529A3"/>
    <w:rsid w:val="00152C79"/>
    <w:rsid w:val="00152DC0"/>
    <w:rsid w:val="00152DD0"/>
    <w:rsid w:val="00153191"/>
    <w:rsid w:val="00153A9F"/>
    <w:rsid w:val="00153FB9"/>
    <w:rsid w:val="001544FC"/>
    <w:rsid w:val="00154623"/>
    <w:rsid w:val="00154861"/>
    <w:rsid w:val="00154E5C"/>
    <w:rsid w:val="001558DF"/>
    <w:rsid w:val="00155BE9"/>
    <w:rsid w:val="0015622D"/>
    <w:rsid w:val="00157333"/>
    <w:rsid w:val="0015798A"/>
    <w:rsid w:val="00157A1C"/>
    <w:rsid w:val="00160E5C"/>
    <w:rsid w:val="001612C6"/>
    <w:rsid w:val="00161C76"/>
    <w:rsid w:val="0016244E"/>
    <w:rsid w:val="001629DF"/>
    <w:rsid w:val="00162AED"/>
    <w:rsid w:val="00162AF7"/>
    <w:rsid w:val="00162F19"/>
    <w:rsid w:val="00162F27"/>
    <w:rsid w:val="001632F8"/>
    <w:rsid w:val="001635AA"/>
    <w:rsid w:val="0016363A"/>
    <w:rsid w:val="00163965"/>
    <w:rsid w:val="00163A33"/>
    <w:rsid w:val="00164988"/>
    <w:rsid w:val="00164EC6"/>
    <w:rsid w:val="00165687"/>
    <w:rsid w:val="00166270"/>
    <w:rsid w:val="00166B29"/>
    <w:rsid w:val="00166B77"/>
    <w:rsid w:val="00167B61"/>
    <w:rsid w:val="00167E7C"/>
    <w:rsid w:val="00170167"/>
    <w:rsid w:val="001704B6"/>
    <w:rsid w:val="00170E8D"/>
    <w:rsid w:val="001711E9"/>
    <w:rsid w:val="001719F3"/>
    <w:rsid w:val="00171B54"/>
    <w:rsid w:val="00172576"/>
    <w:rsid w:val="00172AD4"/>
    <w:rsid w:val="00172D3C"/>
    <w:rsid w:val="00173115"/>
    <w:rsid w:val="0017386D"/>
    <w:rsid w:val="00173A90"/>
    <w:rsid w:val="00173D6E"/>
    <w:rsid w:val="00173E11"/>
    <w:rsid w:val="00173F75"/>
    <w:rsid w:val="00174104"/>
    <w:rsid w:val="001741A5"/>
    <w:rsid w:val="00174363"/>
    <w:rsid w:val="001743AB"/>
    <w:rsid w:val="00174E96"/>
    <w:rsid w:val="00175144"/>
    <w:rsid w:val="00175227"/>
    <w:rsid w:val="0017542B"/>
    <w:rsid w:val="00175BBD"/>
    <w:rsid w:val="0017604F"/>
    <w:rsid w:val="001761E2"/>
    <w:rsid w:val="001767B7"/>
    <w:rsid w:val="00176C7C"/>
    <w:rsid w:val="001774A8"/>
    <w:rsid w:val="001775B2"/>
    <w:rsid w:val="001775DF"/>
    <w:rsid w:val="0017780F"/>
    <w:rsid w:val="00177AED"/>
    <w:rsid w:val="00177E97"/>
    <w:rsid w:val="00177E9C"/>
    <w:rsid w:val="001801B2"/>
    <w:rsid w:val="0018051D"/>
    <w:rsid w:val="00180F33"/>
    <w:rsid w:val="0018186E"/>
    <w:rsid w:val="00181B2A"/>
    <w:rsid w:val="00181D22"/>
    <w:rsid w:val="001822EF"/>
    <w:rsid w:val="00182A7B"/>
    <w:rsid w:val="00182E77"/>
    <w:rsid w:val="001835F4"/>
    <w:rsid w:val="00183A47"/>
    <w:rsid w:val="00183EC5"/>
    <w:rsid w:val="00184023"/>
    <w:rsid w:val="00184EDC"/>
    <w:rsid w:val="00184F01"/>
    <w:rsid w:val="00184F75"/>
    <w:rsid w:val="00185198"/>
    <w:rsid w:val="001853DC"/>
    <w:rsid w:val="00185B18"/>
    <w:rsid w:val="00185E9A"/>
    <w:rsid w:val="0018664C"/>
    <w:rsid w:val="0018695E"/>
    <w:rsid w:val="00187238"/>
    <w:rsid w:val="00187752"/>
    <w:rsid w:val="00187E72"/>
    <w:rsid w:val="00187F0B"/>
    <w:rsid w:val="00190733"/>
    <w:rsid w:val="0019078A"/>
    <w:rsid w:val="00190968"/>
    <w:rsid w:val="00190980"/>
    <w:rsid w:val="00190B4A"/>
    <w:rsid w:val="00191F95"/>
    <w:rsid w:val="00192C8A"/>
    <w:rsid w:val="001930D0"/>
    <w:rsid w:val="001931F7"/>
    <w:rsid w:val="0019348C"/>
    <w:rsid w:val="0019385B"/>
    <w:rsid w:val="00193A07"/>
    <w:rsid w:val="00194096"/>
    <w:rsid w:val="0019430C"/>
    <w:rsid w:val="00194726"/>
    <w:rsid w:val="00194B2B"/>
    <w:rsid w:val="00195073"/>
    <w:rsid w:val="00195626"/>
    <w:rsid w:val="0019653A"/>
    <w:rsid w:val="00196565"/>
    <w:rsid w:val="00196811"/>
    <w:rsid w:val="0019753D"/>
    <w:rsid w:val="001975F3"/>
    <w:rsid w:val="00197616"/>
    <w:rsid w:val="00197663"/>
    <w:rsid w:val="00197705"/>
    <w:rsid w:val="00197A2C"/>
    <w:rsid w:val="00197C5C"/>
    <w:rsid w:val="001A0355"/>
    <w:rsid w:val="001A0CD9"/>
    <w:rsid w:val="001A0EA5"/>
    <w:rsid w:val="001A1344"/>
    <w:rsid w:val="001A191E"/>
    <w:rsid w:val="001A2584"/>
    <w:rsid w:val="001A2FD7"/>
    <w:rsid w:val="001A3140"/>
    <w:rsid w:val="001A3EAE"/>
    <w:rsid w:val="001A3FCF"/>
    <w:rsid w:val="001A44B3"/>
    <w:rsid w:val="001A49EF"/>
    <w:rsid w:val="001A6521"/>
    <w:rsid w:val="001A670F"/>
    <w:rsid w:val="001A685E"/>
    <w:rsid w:val="001A69D0"/>
    <w:rsid w:val="001A6AA2"/>
    <w:rsid w:val="001A6FB1"/>
    <w:rsid w:val="001A7214"/>
    <w:rsid w:val="001A74E2"/>
    <w:rsid w:val="001A7AC3"/>
    <w:rsid w:val="001A7ADD"/>
    <w:rsid w:val="001A7B94"/>
    <w:rsid w:val="001A7D7D"/>
    <w:rsid w:val="001B07B0"/>
    <w:rsid w:val="001B08DF"/>
    <w:rsid w:val="001B0AC8"/>
    <w:rsid w:val="001B0AFA"/>
    <w:rsid w:val="001B0E50"/>
    <w:rsid w:val="001B0FF8"/>
    <w:rsid w:val="001B1431"/>
    <w:rsid w:val="001B18DB"/>
    <w:rsid w:val="001B1901"/>
    <w:rsid w:val="001B1C26"/>
    <w:rsid w:val="001B1C71"/>
    <w:rsid w:val="001B3106"/>
    <w:rsid w:val="001B3147"/>
    <w:rsid w:val="001B35F0"/>
    <w:rsid w:val="001B3789"/>
    <w:rsid w:val="001B3AB5"/>
    <w:rsid w:val="001B3B91"/>
    <w:rsid w:val="001B4278"/>
    <w:rsid w:val="001B4F09"/>
    <w:rsid w:val="001B5277"/>
    <w:rsid w:val="001B538E"/>
    <w:rsid w:val="001B5653"/>
    <w:rsid w:val="001B5A4A"/>
    <w:rsid w:val="001B62CE"/>
    <w:rsid w:val="001B751C"/>
    <w:rsid w:val="001B7ACC"/>
    <w:rsid w:val="001B7E11"/>
    <w:rsid w:val="001B7FD3"/>
    <w:rsid w:val="001C00E1"/>
    <w:rsid w:val="001C08CB"/>
    <w:rsid w:val="001C1124"/>
    <w:rsid w:val="001C1329"/>
    <w:rsid w:val="001C145E"/>
    <w:rsid w:val="001C1919"/>
    <w:rsid w:val="001C1982"/>
    <w:rsid w:val="001C1B25"/>
    <w:rsid w:val="001C1EB7"/>
    <w:rsid w:val="001C29C5"/>
    <w:rsid w:val="001C2CDF"/>
    <w:rsid w:val="001C334C"/>
    <w:rsid w:val="001C3375"/>
    <w:rsid w:val="001C341D"/>
    <w:rsid w:val="001C38C4"/>
    <w:rsid w:val="001C3BAA"/>
    <w:rsid w:val="001C3F9F"/>
    <w:rsid w:val="001C3FB3"/>
    <w:rsid w:val="001C41E0"/>
    <w:rsid w:val="001C4634"/>
    <w:rsid w:val="001C46B7"/>
    <w:rsid w:val="001C536A"/>
    <w:rsid w:val="001C53A2"/>
    <w:rsid w:val="001C5472"/>
    <w:rsid w:val="001C68D4"/>
    <w:rsid w:val="001C6EEF"/>
    <w:rsid w:val="001C7624"/>
    <w:rsid w:val="001C784D"/>
    <w:rsid w:val="001C7923"/>
    <w:rsid w:val="001C7BE8"/>
    <w:rsid w:val="001C7F0B"/>
    <w:rsid w:val="001C7F31"/>
    <w:rsid w:val="001D1555"/>
    <w:rsid w:val="001D193B"/>
    <w:rsid w:val="001D1C27"/>
    <w:rsid w:val="001D2132"/>
    <w:rsid w:val="001D2B7B"/>
    <w:rsid w:val="001D2D3A"/>
    <w:rsid w:val="001D33FB"/>
    <w:rsid w:val="001D3963"/>
    <w:rsid w:val="001D3CBF"/>
    <w:rsid w:val="001D4856"/>
    <w:rsid w:val="001D4BE6"/>
    <w:rsid w:val="001D4F8D"/>
    <w:rsid w:val="001D5559"/>
    <w:rsid w:val="001D5C57"/>
    <w:rsid w:val="001D5D79"/>
    <w:rsid w:val="001D6634"/>
    <w:rsid w:val="001D6D12"/>
    <w:rsid w:val="001D74A5"/>
    <w:rsid w:val="001E0514"/>
    <w:rsid w:val="001E08FA"/>
    <w:rsid w:val="001E0A7E"/>
    <w:rsid w:val="001E12B9"/>
    <w:rsid w:val="001E1901"/>
    <w:rsid w:val="001E1A06"/>
    <w:rsid w:val="001E1DE9"/>
    <w:rsid w:val="001E21D0"/>
    <w:rsid w:val="001E27D1"/>
    <w:rsid w:val="001E2B32"/>
    <w:rsid w:val="001E2B7A"/>
    <w:rsid w:val="001E2DDE"/>
    <w:rsid w:val="001E3049"/>
    <w:rsid w:val="001E339D"/>
    <w:rsid w:val="001E3C41"/>
    <w:rsid w:val="001E40C9"/>
    <w:rsid w:val="001E4166"/>
    <w:rsid w:val="001E4177"/>
    <w:rsid w:val="001E4389"/>
    <w:rsid w:val="001E43E9"/>
    <w:rsid w:val="001E455B"/>
    <w:rsid w:val="001E4AE9"/>
    <w:rsid w:val="001E4D51"/>
    <w:rsid w:val="001E4E19"/>
    <w:rsid w:val="001E4FD9"/>
    <w:rsid w:val="001E5C4A"/>
    <w:rsid w:val="001E7137"/>
    <w:rsid w:val="001E7436"/>
    <w:rsid w:val="001E7508"/>
    <w:rsid w:val="001E798F"/>
    <w:rsid w:val="001E7EB7"/>
    <w:rsid w:val="001F0114"/>
    <w:rsid w:val="001F0398"/>
    <w:rsid w:val="001F1DE7"/>
    <w:rsid w:val="001F20CC"/>
    <w:rsid w:val="001F2969"/>
    <w:rsid w:val="001F30DC"/>
    <w:rsid w:val="001F3359"/>
    <w:rsid w:val="001F34A6"/>
    <w:rsid w:val="001F380D"/>
    <w:rsid w:val="001F3C99"/>
    <w:rsid w:val="001F405E"/>
    <w:rsid w:val="001F43C1"/>
    <w:rsid w:val="001F4719"/>
    <w:rsid w:val="001F4853"/>
    <w:rsid w:val="001F495A"/>
    <w:rsid w:val="001F5624"/>
    <w:rsid w:val="001F6454"/>
    <w:rsid w:val="001F6E69"/>
    <w:rsid w:val="001F71B8"/>
    <w:rsid w:val="001F724C"/>
    <w:rsid w:val="001F7689"/>
    <w:rsid w:val="001F7701"/>
    <w:rsid w:val="002006F1"/>
    <w:rsid w:val="00200919"/>
    <w:rsid w:val="00200BC2"/>
    <w:rsid w:val="00201657"/>
    <w:rsid w:val="00201666"/>
    <w:rsid w:val="002021D8"/>
    <w:rsid w:val="00202ED2"/>
    <w:rsid w:val="00202F28"/>
    <w:rsid w:val="0020372F"/>
    <w:rsid w:val="00203CA0"/>
    <w:rsid w:val="00203D3E"/>
    <w:rsid w:val="0020410D"/>
    <w:rsid w:val="002041C3"/>
    <w:rsid w:val="0020426E"/>
    <w:rsid w:val="002045DA"/>
    <w:rsid w:val="00204AE2"/>
    <w:rsid w:val="00204BE1"/>
    <w:rsid w:val="00204BEF"/>
    <w:rsid w:val="00204C64"/>
    <w:rsid w:val="0020510B"/>
    <w:rsid w:val="0020535E"/>
    <w:rsid w:val="0020539C"/>
    <w:rsid w:val="00205538"/>
    <w:rsid w:val="00205C9A"/>
    <w:rsid w:val="00205F9D"/>
    <w:rsid w:val="002060AE"/>
    <w:rsid w:val="002066D5"/>
    <w:rsid w:val="00206964"/>
    <w:rsid w:val="00206BA0"/>
    <w:rsid w:val="00206C3B"/>
    <w:rsid w:val="00206F22"/>
    <w:rsid w:val="00206F38"/>
    <w:rsid w:val="00206F96"/>
    <w:rsid w:val="00206FCB"/>
    <w:rsid w:val="00207258"/>
    <w:rsid w:val="00207563"/>
    <w:rsid w:val="002077CC"/>
    <w:rsid w:val="00207B8D"/>
    <w:rsid w:val="00210E6F"/>
    <w:rsid w:val="00210EB1"/>
    <w:rsid w:val="00211245"/>
    <w:rsid w:val="002117B3"/>
    <w:rsid w:val="00211844"/>
    <w:rsid w:val="00211C86"/>
    <w:rsid w:val="00211E7D"/>
    <w:rsid w:val="00211FD9"/>
    <w:rsid w:val="00212598"/>
    <w:rsid w:val="00212683"/>
    <w:rsid w:val="00212B01"/>
    <w:rsid w:val="00212C1B"/>
    <w:rsid w:val="00212FF2"/>
    <w:rsid w:val="00213C0A"/>
    <w:rsid w:val="00213D31"/>
    <w:rsid w:val="00213E9E"/>
    <w:rsid w:val="00214322"/>
    <w:rsid w:val="0021471D"/>
    <w:rsid w:val="00214B05"/>
    <w:rsid w:val="002153BC"/>
    <w:rsid w:val="00215442"/>
    <w:rsid w:val="00216254"/>
    <w:rsid w:val="00216279"/>
    <w:rsid w:val="002164AE"/>
    <w:rsid w:val="00216903"/>
    <w:rsid w:val="00216ADB"/>
    <w:rsid w:val="002204E5"/>
    <w:rsid w:val="00220D9B"/>
    <w:rsid w:val="00221020"/>
    <w:rsid w:val="0022162E"/>
    <w:rsid w:val="0022186D"/>
    <w:rsid w:val="00221891"/>
    <w:rsid w:val="00221939"/>
    <w:rsid w:val="00221C84"/>
    <w:rsid w:val="00221F80"/>
    <w:rsid w:val="002222E6"/>
    <w:rsid w:val="002223B4"/>
    <w:rsid w:val="00222D50"/>
    <w:rsid w:val="00223054"/>
    <w:rsid w:val="0022363A"/>
    <w:rsid w:val="00223CF4"/>
    <w:rsid w:val="00224382"/>
    <w:rsid w:val="002243FE"/>
    <w:rsid w:val="00224A9C"/>
    <w:rsid w:val="002256F9"/>
    <w:rsid w:val="002262AE"/>
    <w:rsid w:val="00227455"/>
    <w:rsid w:val="0022752A"/>
    <w:rsid w:val="002275D1"/>
    <w:rsid w:val="002278D8"/>
    <w:rsid w:val="00227B18"/>
    <w:rsid w:val="0023013E"/>
    <w:rsid w:val="002302C2"/>
    <w:rsid w:val="0023050C"/>
    <w:rsid w:val="002308DA"/>
    <w:rsid w:val="00230AC4"/>
    <w:rsid w:val="00230AEE"/>
    <w:rsid w:val="00230BBA"/>
    <w:rsid w:val="00230DC5"/>
    <w:rsid w:val="002310AC"/>
    <w:rsid w:val="002312D4"/>
    <w:rsid w:val="00231914"/>
    <w:rsid w:val="00231C56"/>
    <w:rsid w:val="00231D46"/>
    <w:rsid w:val="00232394"/>
    <w:rsid w:val="002326E8"/>
    <w:rsid w:val="00232787"/>
    <w:rsid w:val="00232926"/>
    <w:rsid w:val="002329F6"/>
    <w:rsid w:val="00233013"/>
    <w:rsid w:val="002337A0"/>
    <w:rsid w:val="002344F7"/>
    <w:rsid w:val="00234D59"/>
    <w:rsid w:val="00235032"/>
    <w:rsid w:val="00235153"/>
    <w:rsid w:val="002358CE"/>
    <w:rsid w:val="002358E9"/>
    <w:rsid w:val="00235E48"/>
    <w:rsid w:val="00236382"/>
    <w:rsid w:val="00236B98"/>
    <w:rsid w:val="00236D52"/>
    <w:rsid w:val="00240215"/>
    <w:rsid w:val="002402AE"/>
    <w:rsid w:val="0024038E"/>
    <w:rsid w:val="002403BE"/>
    <w:rsid w:val="00240735"/>
    <w:rsid w:val="00240B60"/>
    <w:rsid w:val="00240F88"/>
    <w:rsid w:val="002410FB"/>
    <w:rsid w:val="0024125C"/>
    <w:rsid w:val="0024190C"/>
    <w:rsid w:val="002425FB"/>
    <w:rsid w:val="002428FA"/>
    <w:rsid w:val="00242C56"/>
    <w:rsid w:val="00242E37"/>
    <w:rsid w:val="00243540"/>
    <w:rsid w:val="00243630"/>
    <w:rsid w:val="00243B7F"/>
    <w:rsid w:val="00243D4D"/>
    <w:rsid w:val="00243F28"/>
    <w:rsid w:val="0024414E"/>
    <w:rsid w:val="002444C9"/>
    <w:rsid w:val="002444E1"/>
    <w:rsid w:val="00244A9C"/>
    <w:rsid w:val="00244B15"/>
    <w:rsid w:val="00244FBF"/>
    <w:rsid w:val="0024519E"/>
    <w:rsid w:val="002454FD"/>
    <w:rsid w:val="00245507"/>
    <w:rsid w:val="00245D23"/>
    <w:rsid w:val="00246003"/>
    <w:rsid w:val="0024620F"/>
    <w:rsid w:val="002470CA"/>
    <w:rsid w:val="00247C87"/>
    <w:rsid w:val="00247D77"/>
    <w:rsid w:val="00247EDA"/>
    <w:rsid w:val="00250315"/>
    <w:rsid w:val="0025090F"/>
    <w:rsid w:val="00250A03"/>
    <w:rsid w:val="00250D25"/>
    <w:rsid w:val="00251927"/>
    <w:rsid w:val="00251C48"/>
    <w:rsid w:val="0025211B"/>
    <w:rsid w:val="0025235F"/>
    <w:rsid w:val="00252827"/>
    <w:rsid w:val="00253457"/>
    <w:rsid w:val="00253803"/>
    <w:rsid w:val="00254177"/>
    <w:rsid w:val="0025437E"/>
    <w:rsid w:val="00254FC8"/>
    <w:rsid w:val="00255045"/>
    <w:rsid w:val="00255597"/>
    <w:rsid w:val="00255B5E"/>
    <w:rsid w:val="00255B9C"/>
    <w:rsid w:val="00255D0A"/>
    <w:rsid w:val="00255FFE"/>
    <w:rsid w:val="002562B7"/>
    <w:rsid w:val="0025632C"/>
    <w:rsid w:val="00256400"/>
    <w:rsid w:val="0025660F"/>
    <w:rsid w:val="002568ED"/>
    <w:rsid w:val="00256E11"/>
    <w:rsid w:val="0025716B"/>
    <w:rsid w:val="002574F1"/>
    <w:rsid w:val="002600FD"/>
    <w:rsid w:val="002601C8"/>
    <w:rsid w:val="0026027E"/>
    <w:rsid w:val="002607A1"/>
    <w:rsid w:val="002607B1"/>
    <w:rsid w:val="002608A1"/>
    <w:rsid w:val="002609CB"/>
    <w:rsid w:val="00260F70"/>
    <w:rsid w:val="002614DD"/>
    <w:rsid w:val="00261543"/>
    <w:rsid w:val="002617C8"/>
    <w:rsid w:val="00261A57"/>
    <w:rsid w:val="00261A94"/>
    <w:rsid w:val="00261E9B"/>
    <w:rsid w:val="002623E0"/>
    <w:rsid w:val="00262B48"/>
    <w:rsid w:val="00262CAA"/>
    <w:rsid w:val="00262FC7"/>
    <w:rsid w:val="00263036"/>
    <w:rsid w:val="002641A0"/>
    <w:rsid w:val="00264553"/>
    <w:rsid w:val="0026490B"/>
    <w:rsid w:val="00265E89"/>
    <w:rsid w:val="00266045"/>
    <w:rsid w:val="002663BA"/>
    <w:rsid w:val="002666F1"/>
    <w:rsid w:val="00266AC1"/>
    <w:rsid w:val="00266EFC"/>
    <w:rsid w:val="00266FAE"/>
    <w:rsid w:val="002670EF"/>
    <w:rsid w:val="002672E2"/>
    <w:rsid w:val="00267CE6"/>
    <w:rsid w:val="0027017A"/>
    <w:rsid w:val="00270238"/>
    <w:rsid w:val="00270266"/>
    <w:rsid w:val="00270CB1"/>
    <w:rsid w:val="002713C6"/>
    <w:rsid w:val="002716B0"/>
    <w:rsid w:val="00271B0D"/>
    <w:rsid w:val="00271D2C"/>
    <w:rsid w:val="00272305"/>
    <w:rsid w:val="002724D5"/>
    <w:rsid w:val="00272665"/>
    <w:rsid w:val="00272781"/>
    <w:rsid w:val="0027289A"/>
    <w:rsid w:val="0027299E"/>
    <w:rsid w:val="00272E16"/>
    <w:rsid w:val="00272FFE"/>
    <w:rsid w:val="002732D7"/>
    <w:rsid w:val="00273993"/>
    <w:rsid w:val="002739AD"/>
    <w:rsid w:val="002742A6"/>
    <w:rsid w:val="002742CD"/>
    <w:rsid w:val="0027457B"/>
    <w:rsid w:val="00274BFF"/>
    <w:rsid w:val="00274F12"/>
    <w:rsid w:val="00275037"/>
    <w:rsid w:val="00275416"/>
    <w:rsid w:val="0027607C"/>
    <w:rsid w:val="002764DA"/>
    <w:rsid w:val="00276AE0"/>
    <w:rsid w:val="00276BE1"/>
    <w:rsid w:val="00276DC1"/>
    <w:rsid w:val="00276E2C"/>
    <w:rsid w:val="00277344"/>
    <w:rsid w:val="0027743B"/>
    <w:rsid w:val="00277826"/>
    <w:rsid w:val="00277A16"/>
    <w:rsid w:val="00280192"/>
    <w:rsid w:val="0028085E"/>
    <w:rsid w:val="00280EA2"/>
    <w:rsid w:val="00280F9E"/>
    <w:rsid w:val="002810F3"/>
    <w:rsid w:val="00281375"/>
    <w:rsid w:val="00281469"/>
    <w:rsid w:val="002814F7"/>
    <w:rsid w:val="00281574"/>
    <w:rsid w:val="00281BBD"/>
    <w:rsid w:val="00281CA0"/>
    <w:rsid w:val="00281CAB"/>
    <w:rsid w:val="00282574"/>
    <w:rsid w:val="00282C20"/>
    <w:rsid w:val="00282C2B"/>
    <w:rsid w:val="0028327E"/>
    <w:rsid w:val="00283D80"/>
    <w:rsid w:val="00284321"/>
    <w:rsid w:val="00285280"/>
    <w:rsid w:val="0028562F"/>
    <w:rsid w:val="002856C9"/>
    <w:rsid w:val="002863A6"/>
    <w:rsid w:val="00286583"/>
    <w:rsid w:val="00286BE8"/>
    <w:rsid w:val="00286E70"/>
    <w:rsid w:val="00286F0D"/>
    <w:rsid w:val="002874EC"/>
    <w:rsid w:val="002901E1"/>
    <w:rsid w:val="00290563"/>
    <w:rsid w:val="0029067F"/>
    <w:rsid w:val="002908B0"/>
    <w:rsid w:val="002908BC"/>
    <w:rsid w:val="00290A62"/>
    <w:rsid w:val="002919F8"/>
    <w:rsid w:val="00291FC8"/>
    <w:rsid w:val="0029277C"/>
    <w:rsid w:val="00292CE0"/>
    <w:rsid w:val="00293111"/>
    <w:rsid w:val="00293220"/>
    <w:rsid w:val="00293589"/>
    <w:rsid w:val="0029377A"/>
    <w:rsid w:val="0029393D"/>
    <w:rsid w:val="00293A12"/>
    <w:rsid w:val="00293A8E"/>
    <w:rsid w:val="00293BDA"/>
    <w:rsid w:val="0029486A"/>
    <w:rsid w:val="0029590D"/>
    <w:rsid w:val="002959F6"/>
    <w:rsid w:val="00295EFC"/>
    <w:rsid w:val="002960CA"/>
    <w:rsid w:val="00296925"/>
    <w:rsid w:val="00296982"/>
    <w:rsid w:val="00296F06"/>
    <w:rsid w:val="00297507"/>
    <w:rsid w:val="002977E1"/>
    <w:rsid w:val="00297B66"/>
    <w:rsid w:val="00297F23"/>
    <w:rsid w:val="00297F70"/>
    <w:rsid w:val="002A0330"/>
    <w:rsid w:val="002A0546"/>
    <w:rsid w:val="002A05B7"/>
    <w:rsid w:val="002A07FD"/>
    <w:rsid w:val="002A08A0"/>
    <w:rsid w:val="002A1035"/>
    <w:rsid w:val="002A15FE"/>
    <w:rsid w:val="002A234D"/>
    <w:rsid w:val="002A2454"/>
    <w:rsid w:val="002A25EF"/>
    <w:rsid w:val="002A2BD0"/>
    <w:rsid w:val="002A2D10"/>
    <w:rsid w:val="002A2FDE"/>
    <w:rsid w:val="002A407D"/>
    <w:rsid w:val="002A41E3"/>
    <w:rsid w:val="002A4532"/>
    <w:rsid w:val="002A45BE"/>
    <w:rsid w:val="002A4845"/>
    <w:rsid w:val="002A4BFE"/>
    <w:rsid w:val="002A4DEC"/>
    <w:rsid w:val="002A4EB3"/>
    <w:rsid w:val="002A4FBD"/>
    <w:rsid w:val="002A6046"/>
    <w:rsid w:val="002A6606"/>
    <w:rsid w:val="002A6702"/>
    <w:rsid w:val="002A6718"/>
    <w:rsid w:val="002A6CF7"/>
    <w:rsid w:val="002A728F"/>
    <w:rsid w:val="002A7404"/>
    <w:rsid w:val="002A7C98"/>
    <w:rsid w:val="002A7ED3"/>
    <w:rsid w:val="002A7FE3"/>
    <w:rsid w:val="002B0455"/>
    <w:rsid w:val="002B06AA"/>
    <w:rsid w:val="002B080B"/>
    <w:rsid w:val="002B0B03"/>
    <w:rsid w:val="002B0F02"/>
    <w:rsid w:val="002B1018"/>
    <w:rsid w:val="002B140C"/>
    <w:rsid w:val="002B1425"/>
    <w:rsid w:val="002B14B6"/>
    <w:rsid w:val="002B18F7"/>
    <w:rsid w:val="002B232E"/>
    <w:rsid w:val="002B2F2E"/>
    <w:rsid w:val="002B3D57"/>
    <w:rsid w:val="002B47F1"/>
    <w:rsid w:val="002B49F0"/>
    <w:rsid w:val="002B54BB"/>
    <w:rsid w:val="002B5716"/>
    <w:rsid w:val="002B6375"/>
    <w:rsid w:val="002B648B"/>
    <w:rsid w:val="002B6C8E"/>
    <w:rsid w:val="002B75B8"/>
    <w:rsid w:val="002B762A"/>
    <w:rsid w:val="002B7DCD"/>
    <w:rsid w:val="002B7E0F"/>
    <w:rsid w:val="002B7F1B"/>
    <w:rsid w:val="002C0303"/>
    <w:rsid w:val="002C05CE"/>
    <w:rsid w:val="002C06B1"/>
    <w:rsid w:val="002C0EBA"/>
    <w:rsid w:val="002C0FAB"/>
    <w:rsid w:val="002C2211"/>
    <w:rsid w:val="002C2D2A"/>
    <w:rsid w:val="002C2DC2"/>
    <w:rsid w:val="002C2EDF"/>
    <w:rsid w:val="002C310E"/>
    <w:rsid w:val="002C3544"/>
    <w:rsid w:val="002C3691"/>
    <w:rsid w:val="002C376A"/>
    <w:rsid w:val="002C380B"/>
    <w:rsid w:val="002C3BDE"/>
    <w:rsid w:val="002C3DC8"/>
    <w:rsid w:val="002C3FA3"/>
    <w:rsid w:val="002C404A"/>
    <w:rsid w:val="002C41AA"/>
    <w:rsid w:val="002C4351"/>
    <w:rsid w:val="002C4469"/>
    <w:rsid w:val="002C4BF2"/>
    <w:rsid w:val="002C52C6"/>
    <w:rsid w:val="002C544E"/>
    <w:rsid w:val="002C5524"/>
    <w:rsid w:val="002C5C01"/>
    <w:rsid w:val="002C60CF"/>
    <w:rsid w:val="002C7042"/>
    <w:rsid w:val="002C71EC"/>
    <w:rsid w:val="002C7966"/>
    <w:rsid w:val="002C7BE9"/>
    <w:rsid w:val="002D0401"/>
    <w:rsid w:val="002D0424"/>
    <w:rsid w:val="002D094A"/>
    <w:rsid w:val="002D099E"/>
    <w:rsid w:val="002D0F6B"/>
    <w:rsid w:val="002D1803"/>
    <w:rsid w:val="002D1898"/>
    <w:rsid w:val="002D18A7"/>
    <w:rsid w:val="002D2294"/>
    <w:rsid w:val="002D24AC"/>
    <w:rsid w:val="002D3118"/>
    <w:rsid w:val="002D33EC"/>
    <w:rsid w:val="002D3815"/>
    <w:rsid w:val="002D399A"/>
    <w:rsid w:val="002D4928"/>
    <w:rsid w:val="002D5571"/>
    <w:rsid w:val="002D55F7"/>
    <w:rsid w:val="002D5BAB"/>
    <w:rsid w:val="002D5BFB"/>
    <w:rsid w:val="002D650D"/>
    <w:rsid w:val="002D68E2"/>
    <w:rsid w:val="002D7282"/>
    <w:rsid w:val="002D7382"/>
    <w:rsid w:val="002D747B"/>
    <w:rsid w:val="002D764B"/>
    <w:rsid w:val="002D7E3C"/>
    <w:rsid w:val="002D7FC2"/>
    <w:rsid w:val="002E0119"/>
    <w:rsid w:val="002E049A"/>
    <w:rsid w:val="002E0D2C"/>
    <w:rsid w:val="002E0ECA"/>
    <w:rsid w:val="002E1474"/>
    <w:rsid w:val="002E1BA7"/>
    <w:rsid w:val="002E2201"/>
    <w:rsid w:val="002E261C"/>
    <w:rsid w:val="002E27BB"/>
    <w:rsid w:val="002E27F8"/>
    <w:rsid w:val="002E2AC5"/>
    <w:rsid w:val="002E2FB5"/>
    <w:rsid w:val="002E33B6"/>
    <w:rsid w:val="002E36F3"/>
    <w:rsid w:val="002E3E01"/>
    <w:rsid w:val="002E4004"/>
    <w:rsid w:val="002E406B"/>
    <w:rsid w:val="002E41DD"/>
    <w:rsid w:val="002E4394"/>
    <w:rsid w:val="002E4ABF"/>
    <w:rsid w:val="002E4BE0"/>
    <w:rsid w:val="002E5F47"/>
    <w:rsid w:val="002E6213"/>
    <w:rsid w:val="002E63E9"/>
    <w:rsid w:val="002E6772"/>
    <w:rsid w:val="002E6E8E"/>
    <w:rsid w:val="002E6F3F"/>
    <w:rsid w:val="002E7208"/>
    <w:rsid w:val="002E754D"/>
    <w:rsid w:val="002E75A6"/>
    <w:rsid w:val="002E774E"/>
    <w:rsid w:val="002E778F"/>
    <w:rsid w:val="002E7A7B"/>
    <w:rsid w:val="002E7B23"/>
    <w:rsid w:val="002F0167"/>
    <w:rsid w:val="002F01B9"/>
    <w:rsid w:val="002F0726"/>
    <w:rsid w:val="002F085A"/>
    <w:rsid w:val="002F0C15"/>
    <w:rsid w:val="002F0C1F"/>
    <w:rsid w:val="002F0D76"/>
    <w:rsid w:val="002F0E32"/>
    <w:rsid w:val="002F14B3"/>
    <w:rsid w:val="002F1A24"/>
    <w:rsid w:val="002F1B13"/>
    <w:rsid w:val="002F2127"/>
    <w:rsid w:val="002F2267"/>
    <w:rsid w:val="002F34C4"/>
    <w:rsid w:val="002F3C1A"/>
    <w:rsid w:val="002F3FF7"/>
    <w:rsid w:val="002F4826"/>
    <w:rsid w:val="002F4861"/>
    <w:rsid w:val="002F4FCC"/>
    <w:rsid w:val="002F5C39"/>
    <w:rsid w:val="002F5F75"/>
    <w:rsid w:val="002F6885"/>
    <w:rsid w:val="002F6904"/>
    <w:rsid w:val="002F6F01"/>
    <w:rsid w:val="002F7292"/>
    <w:rsid w:val="002F7696"/>
    <w:rsid w:val="002F7722"/>
    <w:rsid w:val="002F7EA5"/>
    <w:rsid w:val="0030025B"/>
    <w:rsid w:val="003002DC"/>
    <w:rsid w:val="003011DE"/>
    <w:rsid w:val="00301487"/>
    <w:rsid w:val="003014E6"/>
    <w:rsid w:val="00301F22"/>
    <w:rsid w:val="00302060"/>
    <w:rsid w:val="0030230D"/>
    <w:rsid w:val="00302778"/>
    <w:rsid w:val="00302895"/>
    <w:rsid w:val="00302C3D"/>
    <w:rsid w:val="003030CA"/>
    <w:rsid w:val="0030317D"/>
    <w:rsid w:val="00303A2A"/>
    <w:rsid w:val="00303BCE"/>
    <w:rsid w:val="00303C2D"/>
    <w:rsid w:val="00303EAA"/>
    <w:rsid w:val="00304290"/>
    <w:rsid w:val="0030450D"/>
    <w:rsid w:val="00304F8B"/>
    <w:rsid w:val="00304FC8"/>
    <w:rsid w:val="00305064"/>
    <w:rsid w:val="003057DD"/>
    <w:rsid w:val="00305883"/>
    <w:rsid w:val="00305A52"/>
    <w:rsid w:val="00305AA2"/>
    <w:rsid w:val="00305CE6"/>
    <w:rsid w:val="00306419"/>
    <w:rsid w:val="0030653F"/>
    <w:rsid w:val="00307D28"/>
    <w:rsid w:val="0031073C"/>
    <w:rsid w:val="003108C3"/>
    <w:rsid w:val="00310AEE"/>
    <w:rsid w:val="00310C15"/>
    <w:rsid w:val="003114F3"/>
    <w:rsid w:val="00311F32"/>
    <w:rsid w:val="003121C8"/>
    <w:rsid w:val="00312307"/>
    <w:rsid w:val="0031261B"/>
    <w:rsid w:val="00312657"/>
    <w:rsid w:val="003128C5"/>
    <w:rsid w:val="003128E3"/>
    <w:rsid w:val="00312DA2"/>
    <w:rsid w:val="00313571"/>
    <w:rsid w:val="003140C0"/>
    <w:rsid w:val="0031474C"/>
    <w:rsid w:val="00314847"/>
    <w:rsid w:val="003148A5"/>
    <w:rsid w:val="00314E84"/>
    <w:rsid w:val="00315473"/>
    <w:rsid w:val="0031551F"/>
    <w:rsid w:val="00315940"/>
    <w:rsid w:val="003159B1"/>
    <w:rsid w:val="00315A38"/>
    <w:rsid w:val="00315AF5"/>
    <w:rsid w:val="00315F1F"/>
    <w:rsid w:val="00315F9A"/>
    <w:rsid w:val="00316578"/>
    <w:rsid w:val="00316878"/>
    <w:rsid w:val="00316CD4"/>
    <w:rsid w:val="00316FFA"/>
    <w:rsid w:val="00317198"/>
    <w:rsid w:val="00317432"/>
    <w:rsid w:val="00317C24"/>
    <w:rsid w:val="00317DA2"/>
    <w:rsid w:val="00317F4D"/>
    <w:rsid w:val="003203B6"/>
    <w:rsid w:val="00320909"/>
    <w:rsid w:val="00320A21"/>
    <w:rsid w:val="0032151B"/>
    <w:rsid w:val="00321BB5"/>
    <w:rsid w:val="00322403"/>
    <w:rsid w:val="0032257F"/>
    <w:rsid w:val="00323790"/>
    <w:rsid w:val="0032427D"/>
    <w:rsid w:val="0032544A"/>
    <w:rsid w:val="003259AD"/>
    <w:rsid w:val="00325EA7"/>
    <w:rsid w:val="00326349"/>
    <w:rsid w:val="0032640C"/>
    <w:rsid w:val="003265C9"/>
    <w:rsid w:val="0032660F"/>
    <w:rsid w:val="00326618"/>
    <w:rsid w:val="003268B3"/>
    <w:rsid w:val="00326C7F"/>
    <w:rsid w:val="00326D48"/>
    <w:rsid w:val="00327189"/>
    <w:rsid w:val="0032722D"/>
    <w:rsid w:val="00327A45"/>
    <w:rsid w:val="00327B3D"/>
    <w:rsid w:val="00327D10"/>
    <w:rsid w:val="00330825"/>
    <w:rsid w:val="00330887"/>
    <w:rsid w:val="00330A24"/>
    <w:rsid w:val="00330CDD"/>
    <w:rsid w:val="00330EBC"/>
    <w:rsid w:val="00330F1B"/>
    <w:rsid w:val="00330FDB"/>
    <w:rsid w:val="0033129E"/>
    <w:rsid w:val="00331319"/>
    <w:rsid w:val="00331952"/>
    <w:rsid w:val="00331F16"/>
    <w:rsid w:val="00332470"/>
    <w:rsid w:val="003326C2"/>
    <w:rsid w:val="0033279D"/>
    <w:rsid w:val="00332A33"/>
    <w:rsid w:val="00332D77"/>
    <w:rsid w:val="00333E92"/>
    <w:rsid w:val="00334520"/>
    <w:rsid w:val="00334564"/>
    <w:rsid w:val="003347C5"/>
    <w:rsid w:val="00334A87"/>
    <w:rsid w:val="00334C48"/>
    <w:rsid w:val="00334C90"/>
    <w:rsid w:val="00334DA0"/>
    <w:rsid w:val="00335968"/>
    <w:rsid w:val="003371B2"/>
    <w:rsid w:val="00337213"/>
    <w:rsid w:val="00337443"/>
    <w:rsid w:val="00337D03"/>
    <w:rsid w:val="00340069"/>
    <w:rsid w:val="0034052F"/>
    <w:rsid w:val="00340588"/>
    <w:rsid w:val="00340BC6"/>
    <w:rsid w:val="00340EB6"/>
    <w:rsid w:val="00340ED7"/>
    <w:rsid w:val="00341038"/>
    <w:rsid w:val="00341331"/>
    <w:rsid w:val="003413D7"/>
    <w:rsid w:val="00341863"/>
    <w:rsid w:val="003418CB"/>
    <w:rsid w:val="00341EF6"/>
    <w:rsid w:val="00342053"/>
    <w:rsid w:val="003427AB"/>
    <w:rsid w:val="00342AF3"/>
    <w:rsid w:val="00342D4B"/>
    <w:rsid w:val="0034366B"/>
    <w:rsid w:val="003436E1"/>
    <w:rsid w:val="003443CE"/>
    <w:rsid w:val="00344505"/>
    <w:rsid w:val="003445A4"/>
    <w:rsid w:val="00344DC5"/>
    <w:rsid w:val="00344FA7"/>
    <w:rsid w:val="00345215"/>
    <w:rsid w:val="0034523A"/>
    <w:rsid w:val="0034523C"/>
    <w:rsid w:val="00345258"/>
    <w:rsid w:val="0034579C"/>
    <w:rsid w:val="00345A63"/>
    <w:rsid w:val="00345E53"/>
    <w:rsid w:val="0034629B"/>
    <w:rsid w:val="0034654D"/>
    <w:rsid w:val="0034675B"/>
    <w:rsid w:val="00346B30"/>
    <w:rsid w:val="00346E2B"/>
    <w:rsid w:val="00347137"/>
    <w:rsid w:val="0034720F"/>
    <w:rsid w:val="003474D9"/>
    <w:rsid w:val="0034790A"/>
    <w:rsid w:val="00347DE7"/>
    <w:rsid w:val="00347E4E"/>
    <w:rsid w:val="00347F8A"/>
    <w:rsid w:val="00347F97"/>
    <w:rsid w:val="00350742"/>
    <w:rsid w:val="00350A0D"/>
    <w:rsid w:val="00350EDF"/>
    <w:rsid w:val="0035125B"/>
    <w:rsid w:val="0035145D"/>
    <w:rsid w:val="00351609"/>
    <w:rsid w:val="003516A5"/>
    <w:rsid w:val="003517AE"/>
    <w:rsid w:val="003518F4"/>
    <w:rsid w:val="00351B99"/>
    <w:rsid w:val="00351C1C"/>
    <w:rsid w:val="00351D75"/>
    <w:rsid w:val="00351D9F"/>
    <w:rsid w:val="00352A69"/>
    <w:rsid w:val="00352C5E"/>
    <w:rsid w:val="00352CB1"/>
    <w:rsid w:val="00353027"/>
    <w:rsid w:val="00353697"/>
    <w:rsid w:val="003539AC"/>
    <w:rsid w:val="00353B2A"/>
    <w:rsid w:val="00354141"/>
    <w:rsid w:val="00354260"/>
    <w:rsid w:val="00354548"/>
    <w:rsid w:val="0035514D"/>
    <w:rsid w:val="00355C58"/>
    <w:rsid w:val="003560D8"/>
    <w:rsid w:val="003562D3"/>
    <w:rsid w:val="00356DB1"/>
    <w:rsid w:val="00357954"/>
    <w:rsid w:val="00357ADC"/>
    <w:rsid w:val="00360835"/>
    <w:rsid w:val="00360EA5"/>
    <w:rsid w:val="0036127D"/>
    <w:rsid w:val="003617DB"/>
    <w:rsid w:val="00361923"/>
    <w:rsid w:val="003619D1"/>
    <w:rsid w:val="00362A60"/>
    <w:rsid w:val="00362AD0"/>
    <w:rsid w:val="00362AE4"/>
    <w:rsid w:val="0036332A"/>
    <w:rsid w:val="00363339"/>
    <w:rsid w:val="00363882"/>
    <w:rsid w:val="00363B55"/>
    <w:rsid w:val="00363C21"/>
    <w:rsid w:val="00363C6C"/>
    <w:rsid w:val="00363C6F"/>
    <w:rsid w:val="00364459"/>
    <w:rsid w:val="003644FB"/>
    <w:rsid w:val="003645A1"/>
    <w:rsid w:val="003651C0"/>
    <w:rsid w:val="00365282"/>
    <w:rsid w:val="003654F9"/>
    <w:rsid w:val="00365614"/>
    <w:rsid w:val="003659B4"/>
    <w:rsid w:val="0036626F"/>
    <w:rsid w:val="0036631C"/>
    <w:rsid w:val="0036635E"/>
    <w:rsid w:val="003663B4"/>
    <w:rsid w:val="003664BB"/>
    <w:rsid w:val="00366991"/>
    <w:rsid w:val="00366E89"/>
    <w:rsid w:val="003670D8"/>
    <w:rsid w:val="00367422"/>
    <w:rsid w:val="00367933"/>
    <w:rsid w:val="003679C4"/>
    <w:rsid w:val="003700BD"/>
    <w:rsid w:val="00370AC4"/>
    <w:rsid w:val="00371237"/>
    <w:rsid w:val="00371330"/>
    <w:rsid w:val="003717CD"/>
    <w:rsid w:val="003719F6"/>
    <w:rsid w:val="00371FD2"/>
    <w:rsid w:val="0037255F"/>
    <w:rsid w:val="00372CB3"/>
    <w:rsid w:val="00372D88"/>
    <w:rsid w:val="00372E23"/>
    <w:rsid w:val="00372F60"/>
    <w:rsid w:val="0037302D"/>
    <w:rsid w:val="00373139"/>
    <w:rsid w:val="0037329B"/>
    <w:rsid w:val="00373649"/>
    <w:rsid w:val="003737E5"/>
    <w:rsid w:val="0037420F"/>
    <w:rsid w:val="003751E1"/>
    <w:rsid w:val="00375515"/>
    <w:rsid w:val="003755BC"/>
    <w:rsid w:val="003755C4"/>
    <w:rsid w:val="0037588E"/>
    <w:rsid w:val="00375CBD"/>
    <w:rsid w:val="00375E87"/>
    <w:rsid w:val="003766C1"/>
    <w:rsid w:val="0037679C"/>
    <w:rsid w:val="00376B85"/>
    <w:rsid w:val="00376F74"/>
    <w:rsid w:val="0037717E"/>
    <w:rsid w:val="00377AAC"/>
    <w:rsid w:val="003802E5"/>
    <w:rsid w:val="0038090D"/>
    <w:rsid w:val="0038092B"/>
    <w:rsid w:val="00380BA2"/>
    <w:rsid w:val="00380D5B"/>
    <w:rsid w:val="00380FC4"/>
    <w:rsid w:val="003814B2"/>
    <w:rsid w:val="00381533"/>
    <w:rsid w:val="00381636"/>
    <w:rsid w:val="003818B4"/>
    <w:rsid w:val="003819BF"/>
    <w:rsid w:val="0038282C"/>
    <w:rsid w:val="00382851"/>
    <w:rsid w:val="00382B4B"/>
    <w:rsid w:val="00382BFE"/>
    <w:rsid w:val="00382CDF"/>
    <w:rsid w:val="00382E27"/>
    <w:rsid w:val="00383018"/>
    <w:rsid w:val="00383142"/>
    <w:rsid w:val="00383D80"/>
    <w:rsid w:val="0038404C"/>
    <w:rsid w:val="0038411F"/>
    <w:rsid w:val="00384352"/>
    <w:rsid w:val="00384354"/>
    <w:rsid w:val="00384B3B"/>
    <w:rsid w:val="00384C16"/>
    <w:rsid w:val="00384D1E"/>
    <w:rsid w:val="00384EF5"/>
    <w:rsid w:val="0038502F"/>
    <w:rsid w:val="0038508F"/>
    <w:rsid w:val="00385140"/>
    <w:rsid w:val="00385308"/>
    <w:rsid w:val="00385B80"/>
    <w:rsid w:val="00385C5A"/>
    <w:rsid w:val="00385FC8"/>
    <w:rsid w:val="00386302"/>
    <w:rsid w:val="003864A4"/>
    <w:rsid w:val="00386822"/>
    <w:rsid w:val="00386CD9"/>
    <w:rsid w:val="00387324"/>
    <w:rsid w:val="00387397"/>
    <w:rsid w:val="00390A16"/>
    <w:rsid w:val="00390F2E"/>
    <w:rsid w:val="003913EA"/>
    <w:rsid w:val="00391843"/>
    <w:rsid w:val="00391933"/>
    <w:rsid w:val="003919E0"/>
    <w:rsid w:val="00391B5B"/>
    <w:rsid w:val="00391C65"/>
    <w:rsid w:val="00391F11"/>
    <w:rsid w:val="003920EE"/>
    <w:rsid w:val="003939DF"/>
    <w:rsid w:val="00393C00"/>
    <w:rsid w:val="00393CCD"/>
    <w:rsid w:val="00393CDE"/>
    <w:rsid w:val="003941F4"/>
    <w:rsid w:val="00394515"/>
    <w:rsid w:val="0039482B"/>
    <w:rsid w:val="00394A28"/>
    <w:rsid w:val="0039530C"/>
    <w:rsid w:val="00395948"/>
    <w:rsid w:val="00395B81"/>
    <w:rsid w:val="00395BA8"/>
    <w:rsid w:val="00395D11"/>
    <w:rsid w:val="00396C73"/>
    <w:rsid w:val="00397AFA"/>
    <w:rsid w:val="00397D83"/>
    <w:rsid w:val="00397EE3"/>
    <w:rsid w:val="003A03D4"/>
    <w:rsid w:val="003A099E"/>
    <w:rsid w:val="003A0ADD"/>
    <w:rsid w:val="003A1552"/>
    <w:rsid w:val="003A171A"/>
    <w:rsid w:val="003A1E33"/>
    <w:rsid w:val="003A2383"/>
    <w:rsid w:val="003A29CF"/>
    <w:rsid w:val="003A2E2E"/>
    <w:rsid w:val="003A307C"/>
    <w:rsid w:val="003A35FA"/>
    <w:rsid w:val="003A3E18"/>
    <w:rsid w:val="003A4377"/>
    <w:rsid w:val="003A43CE"/>
    <w:rsid w:val="003A46AE"/>
    <w:rsid w:val="003A4CB1"/>
    <w:rsid w:val="003A51E6"/>
    <w:rsid w:val="003A5801"/>
    <w:rsid w:val="003A5866"/>
    <w:rsid w:val="003A5EE5"/>
    <w:rsid w:val="003A659E"/>
    <w:rsid w:val="003A6632"/>
    <w:rsid w:val="003A7357"/>
    <w:rsid w:val="003A74B5"/>
    <w:rsid w:val="003A754B"/>
    <w:rsid w:val="003A7697"/>
    <w:rsid w:val="003A7B10"/>
    <w:rsid w:val="003B0009"/>
    <w:rsid w:val="003B0292"/>
    <w:rsid w:val="003B043C"/>
    <w:rsid w:val="003B05AC"/>
    <w:rsid w:val="003B0ADE"/>
    <w:rsid w:val="003B0F27"/>
    <w:rsid w:val="003B13DF"/>
    <w:rsid w:val="003B15D5"/>
    <w:rsid w:val="003B179A"/>
    <w:rsid w:val="003B1895"/>
    <w:rsid w:val="003B1A3D"/>
    <w:rsid w:val="003B1A5E"/>
    <w:rsid w:val="003B1DF3"/>
    <w:rsid w:val="003B1EC7"/>
    <w:rsid w:val="003B20FD"/>
    <w:rsid w:val="003B230C"/>
    <w:rsid w:val="003B242A"/>
    <w:rsid w:val="003B24AF"/>
    <w:rsid w:val="003B31CE"/>
    <w:rsid w:val="003B35BD"/>
    <w:rsid w:val="003B3659"/>
    <w:rsid w:val="003B38FA"/>
    <w:rsid w:val="003B3AB0"/>
    <w:rsid w:val="003B3AC9"/>
    <w:rsid w:val="003B3BBD"/>
    <w:rsid w:val="003B3E7D"/>
    <w:rsid w:val="003B40D2"/>
    <w:rsid w:val="003B4159"/>
    <w:rsid w:val="003B41D0"/>
    <w:rsid w:val="003B46C5"/>
    <w:rsid w:val="003B4A6F"/>
    <w:rsid w:val="003B519C"/>
    <w:rsid w:val="003B577E"/>
    <w:rsid w:val="003B57A5"/>
    <w:rsid w:val="003B5D33"/>
    <w:rsid w:val="003B5DFE"/>
    <w:rsid w:val="003B5E6F"/>
    <w:rsid w:val="003B6299"/>
    <w:rsid w:val="003B62DD"/>
    <w:rsid w:val="003B6E8A"/>
    <w:rsid w:val="003B6FB1"/>
    <w:rsid w:val="003B70B3"/>
    <w:rsid w:val="003B71BA"/>
    <w:rsid w:val="003B7FEB"/>
    <w:rsid w:val="003C013E"/>
    <w:rsid w:val="003C06B2"/>
    <w:rsid w:val="003C0801"/>
    <w:rsid w:val="003C1165"/>
    <w:rsid w:val="003C1ADC"/>
    <w:rsid w:val="003C3065"/>
    <w:rsid w:val="003C3148"/>
    <w:rsid w:val="003C31A0"/>
    <w:rsid w:val="003C32A6"/>
    <w:rsid w:val="003C3DAA"/>
    <w:rsid w:val="003C4E95"/>
    <w:rsid w:val="003C5018"/>
    <w:rsid w:val="003C5244"/>
    <w:rsid w:val="003C5380"/>
    <w:rsid w:val="003C55EE"/>
    <w:rsid w:val="003C57C7"/>
    <w:rsid w:val="003C596D"/>
    <w:rsid w:val="003C625D"/>
    <w:rsid w:val="003C63D4"/>
    <w:rsid w:val="003C6485"/>
    <w:rsid w:val="003C6DC7"/>
    <w:rsid w:val="003C767E"/>
    <w:rsid w:val="003C782D"/>
    <w:rsid w:val="003C7AF7"/>
    <w:rsid w:val="003C7FED"/>
    <w:rsid w:val="003D066C"/>
    <w:rsid w:val="003D0769"/>
    <w:rsid w:val="003D0DC2"/>
    <w:rsid w:val="003D1006"/>
    <w:rsid w:val="003D14C3"/>
    <w:rsid w:val="003D167D"/>
    <w:rsid w:val="003D17DD"/>
    <w:rsid w:val="003D17DE"/>
    <w:rsid w:val="003D1F3E"/>
    <w:rsid w:val="003D22CD"/>
    <w:rsid w:val="003D25DA"/>
    <w:rsid w:val="003D26E7"/>
    <w:rsid w:val="003D35A9"/>
    <w:rsid w:val="003D364C"/>
    <w:rsid w:val="003D37F0"/>
    <w:rsid w:val="003D3D0D"/>
    <w:rsid w:val="003D4918"/>
    <w:rsid w:val="003D4A15"/>
    <w:rsid w:val="003D50DF"/>
    <w:rsid w:val="003D52AA"/>
    <w:rsid w:val="003D557F"/>
    <w:rsid w:val="003D5749"/>
    <w:rsid w:val="003D5DC8"/>
    <w:rsid w:val="003D5FF9"/>
    <w:rsid w:val="003D61B0"/>
    <w:rsid w:val="003D6C2D"/>
    <w:rsid w:val="003D6C33"/>
    <w:rsid w:val="003D6C7C"/>
    <w:rsid w:val="003D6ED5"/>
    <w:rsid w:val="003D6F20"/>
    <w:rsid w:val="003D7094"/>
    <w:rsid w:val="003D77BA"/>
    <w:rsid w:val="003D79B8"/>
    <w:rsid w:val="003D79F7"/>
    <w:rsid w:val="003D7F32"/>
    <w:rsid w:val="003E0901"/>
    <w:rsid w:val="003E097A"/>
    <w:rsid w:val="003E0AEC"/>
    <w:rsid w:val="003E177F"/>
    <w:rsid w:val="003E1D5B"/>
    <w:rsid w:val="003E1F03"/>
    <w:rsid w:val="003E2142"/>
    <w:rsid w:val="003E2A8D"/>
    <w:rsid w:val="003E30CE"/>
    <w:rsid w:val="003E374E"/>
    <w:rsid w:val="003E42A3"/>
    <w:rsid w:val="003E42F7"/>
    <w:rsid w:val="003E4E10"/>
    <w:rsid w:val="003E4FC0"/>
    <w:rsid w:val="003E5E67"/>
    <w:rsid w:val="003E696A"/>
    <w:rsid w:val="003E6BA3"/>
    <w:rsid w:val="003E6D9E"/>
    <w:rsid w:val="003E6EAA"/>
    <w:rsid w:val="003E7342"/>
    <w:rsid w:val="003E7395"/>
    <w:rsid w:val="003E7786"/>
    <w:rsid w:val="003E7F76"/>
    <w:rsid w:val="003E9DCE"/>
    <w:rsid w:val="003F0059"/>
    <w:rsid w:val="003F0499"/>
    <w:rsid w:val="003F0EEA"/>
    <w:rsid w:val="003F1041"/>
    <w:rsid w:val="003F122D"/>
    <w:rsid w:val="003F1CE7"/>
    <w:rsid w:val="003F1F52"/>
    <w:rsid w:val="003F1F74"/>
    <w:rsid w:val="003F207F"/>
    <w:rsid w:val="003F4518"/>
    <w:rsid w:val="003F48B8"/>
    <w:rsid w:val="003F4B5D"/>
    <w:rsid w:val="003F5498"/>
    <w:rsid w:val="003F5F3A"/>
    <w:rsid w:val="003F60DC"/>
    <w:rsid w:val="003F69D8"/>
    <w:rsid w:val="003F6BDB"/>
    <w:rsid w:val="003F785E"/>
    <w:rsid w:val="003F7B14"/>
    <w:rsid w:val="003F7E62"/>
    <w:rsid w:val="004002C3"/>
    <w:rsid w:val="00400A40"/>
    <w:rsid w:val="0040101F"/>
    <w:rsid w:val="00401755"/>
    <w:rsid w:val="00402112"/>
    <w:rsid w:val="00402A97"/>
    <w:rsid w:val="00402B8F"/>
    <w:rsid w:val="00403518"/>
    <w:rsid w:val="00403F7F"/>
    <w:rsid w:val="00404474"/>
    <w:rsid w:val="004048F9"/>
    <w:rsid w:val="00404DCF"/>
    <w:rsid w:val="004051AF"/>
    <w:rsid w:val="00405FC8"/>
    <w:rsid w:val="00406515"/>
    <w:rsid w:val="0040669F"/>
    <w:rsid w:val="004067E8"/>
    <w:rsid w:val="00406890"/>
    <w:rsid w:val="00407039"/>
    <w:rsid w:val="00407572"/>
    <w:rsid w:val="004076BC"/>
    <w:rsid w:val="00407703"/>
    <w:rsid w:val="00407777"/>
    <w:rsid w:val="00407860"/>
    <w:rsid w:val="004078AD"/>
    <w:rsid w:val="0041004A"/>
    <w:rsid w:val="004102DB"/>
    <w:rsid w:val="004105C4"/>
    <w:rsid w:val="0041063B"/>
    <w:rsid w:val="0041192C"/>
    <w:rsid w:val="00411A22"/>
    <w:rsid w:val="00412D7D"/>
    <w:rsid w:val="00412E84"/>
    <w:rsid w:val="00412ED5"/>
    <w:rsid w:val="00412F48"/>
    <w:rsid w:val="00413384"/>
    <w:rsid w:val="00413D36"/>
    <w:rsid w:val="00413F52"/>
    <w:rsid w:val="00413F7B"/>
    <w:rsid w:val="004143B3"/>
    <w:rsid w:val="00415101"/>
    <w:rsid w:val="00415187"/>
    <w:rsid w:val="004152F9"/>
    <w:rsid w:val="00415424"/>
    <w:rsid w:val="0041542A"/>
    <w:rsid w:val="0041577D"/>
    <w:rsid w:val="00415916"/>
    <w:rsid w:val="00415B40"/>
    <w:rsid w:val="00415FFE"/>
    <w:rsid w:val="00416271"/>
    <w:rsid w:val="004162C3"/>
    <w:rsid w:val="00416479"/>
    <w:rsid w:val="0041648A"/>
    <w:rsid w:val="004168F4"/>
    <w:rsid w:val="00416B41"/>
    <w:rsid w:val="0041749D"/>
    <w:rsid w:val="00417524"/>
    <w:rsid w:val="00417682"/>
    <w:rsid w:val="00420211"/>
    <w:rsid w:val="00420BDF"/>
    <w:rsid w:val="00420DE6"/>
    <w:rsid w:val="00421C20"/>
    <w:rsid w:val="00421FD0"/>
    <w:rsid w:val="00422616"/>
    <w:rsid w:val="004226D4"/>
    <w:rsid w:val="00423174"/>
    <w:rsid w:val="0042359B"/>
    <w:rsid w:val="0042369F"/>
    <w:rsid w:val="00423C17"/>
    <w:rsid w:val="00423EC7"/>
    <w:rsid w:val="004243DC"/>
    <w:rsid w:val="00424511"/>
    <w:rsid w:val="00425410"/>
    <w:rsid w:val="0042544E"/>
    <w:rsid w:val="004261E4"/>
    <w:rsid w:val="0042647B"/>
    <w:rsid w:val="004265D5"/>
    <w:rsid w:val="00426758"/>
    <w:rsid w:val="00427897"/>
    <w:rsid w:val="00427B15"/>
    <w:rsid w:val="00430384"/>
    <w:rsid w:val="0043119B"/>
    <w:rsid w:val="00431393"/>
    <w:rsid w:val="004316CF"/>
    <w:rsid w:val="0043251B"/>
    <w:rsid w:val="00433453"/>
    <w:rsid w:val="004336C1"/>
    <w:rsid w:val="0043374E"/>
    <w:rsid w:val="00433807"/>
    <w:rsid w:val="00433BC8"/>
    <w:rsid w:val="0043408C"/>
    <w:rsid w:val="00434277"/>
    <w:rsid w:val="0043464A"/>
    <w:rsid w:val="00434746"/>
    <w:rsid w:val="00434C7B"/>
    <w:rsid w:val="00434CD0"/>
    <w:rsid w:val="00434CDD"/>
    <w:rsid w:val="00435738"/>
    <w:rsid w:val="00435DF1"/>
    <w:rsid w:val="00436247"/>
    <w:rsid w:val="004363C7"/>
    <w:rsid w:val="00436AE8"/>
    <w:rsid w:val="00436CB8"/>
    <w:rsid w:val="00436D33"/>
    <w:rsid w:val="00436D83"/>
    <w:rsid w:val="00436DD5"/>
    <w:rsid w:val="004370A4"/>
    <w:rsid w:val="004370F3"/>
    <w:rsid w:val="00437332"/>
    <w:rsid w:val="004374C0"/>
    <w:rsid w:val="00437602"/>
    <w:rsid w:val="004378FA"/>
    <w:rsid w:val="00437B94"/>
    <w:rsid w:val="00437F1A"/>
    <w:rsid w:val="00440288"/>
    <w:rsid w:val="0044029D"/>
    <w:rsid w:val="00440322"/>
    <w:rsid w:val="00441DB0"/>
    <w:rsid w:val="0044201E"/>
    <w:rsid w:val="00442137"/>
    <w:rsid w:val="004422B8"/>
    <w:rsid w:val="00442662"/>
    <w:rsid w:val="004429FA"/>
    <w:rsid w:val="00442CCD"/>
    <w:rsid w:val="00442E9E"/>
    <w:rsid w:val="00442F0C"/>
    <w:rsid w:val="004431CB"/>
    <w:rsid w:val="004434B5"/>
    <w:rsid w:val="0044363A"/>
    <w:rsid w:val="0044385E"/>
    <w:rsid w:val="0044395C"/>
    <w:rsid w:val="00443CD5"/>
    <w:rsid w:val="00444DFE"/>
    <w:rsid w:val="0044558E"/>
    <w:rsid w:val="004456B0"/>
    <w:rsid w:val="004459EF"/>
    <w:rsid w:val="00445A69"/>
    <w:rsid w:val="00445AEC"/>
    <w:rsid w:val="00445DEA"/>
    <w:rsid w:val="00445F0C"/>
    <w:rsid w:val="00446229"/>
    <w:rsid w:val="004466F3"/>
    <w:rsid w:val="00446829"/>
    <w:rsid w:val="00446BF5"/>
    <w:rsid w:val="00447046"/>
    <w:rsid w:val="004475F7"/>
    <w:rsid w:val="00447C31"/>
    <w:rsid w:val="004507D0"/>
    <w:rsid w:val="00450BDD"/>
    <w:rsid w:val="00450C98"/>
    <w:rsid w:val="00451041"/>
    <w:rsid w:val="00451E96"/>
    <w:rsid w:val="00452122"/>
    <w:rsid w:val="004521A7"/>
    <w:rsid w:val="004524C8"/>
    <w:rsid w:val="00452612"/>
    <w:rsid w:val="00452677"/>
    <w:rsid w:val="004526EE"/>
    <w:rsid w:val="00452EA9"/>
    <w:rsid w:val="00452FDB"/>
    <w:rsid w:val="00453555"/>
    <w:rsid w:val="004539B0"/>
    <w:rsid w:val="00453B4D"/>
    <w:rsid w:val="00453D88"/>
    <w:rsid w:val="00453FE0"/>
    <w:rsid w:val="00454468"/>
    <w:rsid w:val="00454BA1"/>
    <w:rsid w:val="00454FFC"/>
    <w:rsid w:val="00455A5E"/>
    <w:rsid w:val="00455A9D"/>
    <w:rsid w:val="0045628F"/>
    <w:rsid w:val="004563BA"/>
    <w:rsid w:val="00456FE5"/>
    <w:rsid w:val="004573E6"/>
    <w:rsid w:val="00457BEA"/>
    <w:rsid w:val="00457D96"/>
    <w:rsid w:val="004605B4"/>
    <w:rsid w:val="00460F99"/>
    <w:rsid w:val="00461DB0"/>
    <w:rsid w:val="00461ECB"/>
    <w:rsid w:val="0046202D"/>
    <w:rsid w:val="004620BC"/>
    <w:rsid w:val="00462229"/>
    <w:rsid w:val="00462356"/>
    <w:rsid w:val="0046246F"/>
    <w:rsid w:val="00462470"/>
    <w:rsid w:val="00463280"/>
    <w:rsid w:val="00463904"/>
    <w:rsid w:val="004640A1"/>
    <w:rsid w:val="0046410C"/>
    <w:rsid w:val="00464176"/>
    <w:rsid w:val="00464202"/>
    <w:rsid w:val="00464314"/>
    <w:rsid w:val="00464545"/>
    <w:rsid w:val="004657D2"/>
    <w:rsid w:val="00465969"/>
    <w:rsid w:val="00465F72"/>
    <w:rsid w:val="00466EAB"/>
    <w:rsid w:val="00467DA4"/>
    <w:rsid w:val="004706B9"/>
    <w:rsid w:val="0047084F"/>
    <w:rsid w:val="00470B80"/>
    <w:rsid w:val="0047124E"/>
    <w:rsid w:val="004717FF"/>
    <w:rsid w:val="0047181A"/>
    <w:rsid w:val="00472906"/>
    <w:rsid w:val="00472FA5"/>
    <w:rsid w:val="004731F6"/>
    <w:rsid w:val="00473671"/>
    <w:rsid w:val="004744E2"/>
    <w:rsid w:val="00474C68"/>
    <w:rsid w:val="0047544B"/>
    <w:rsid w:val="00475600"/>
    <w:rsid w:val="0047563E"/>
    <w:rsid w:val="0047566B"/>
    <w:rsid w:val="00475AB2"/>
    <w:rsid w:val="00475B25"/>
    <w:rsid w:val="00475BC5"/>
    <w:rsid w:val="00476B54"/>
    <w:rsid w:val="004771DF"/>
    <w:rsid w:val="0048000A"/>
    <w:rsid w:val="00481115"/>
    <w:rsid w:val="00481420"/>
    <w:rsid w:val="004816B1"/>
    <w:rsid w:val="00481A18"/>
    <w:rsid w:val="00481A6E"/>
    <w:rsid w:val="0048216D"/>
    <w:rsid w:val="00482F96"/>
    <w:rsid w:val="00483195"/>
    <w:rsid w:val="0048335B"/>
    <w:rsid w:val="00483664"/>
    <w:rsid w:val="004836C5"/>
    <w:rsid w:val="00483CBC"/>
    <w:rsid w:val="00484271"/>
    <w:rsid w:val="004842AC"/>
    <w:rsid w:val="00484DE7"/>
    <w:rsid w:val="00485694"/>
    <w:rsid w:val="00485CC2"/>
    <w:rsid w:val="0048611B"/>
    <w:rsid w:val="004863D4"/>
    <w:rsid w:val="00486DA5"/>
    <w:rsid w:val="0048702A"/>
    <w:rsid w:val="00487204"/>
    <w:rsid w:val="00487427"/>
    <w:rsid w:val="00487B43"/>
    <w:rsid w:val="00490E4F"/>
    <w:rsid w:val="00490E7E"/>
    <w:rsid w:val="00491DEF"/>
    <w:rsid w:val="0049236B"/>
    <w:rsid w:val="004923B2"/>
    <w:rsid w:val="0049261F"/>
    <w:rsid w:val="00492BCC"/>
    <w:rsid w:val="004931B6"/>
    <w:rsid w:val="004934DC"/>
    <w:rsid w:val="00493805"/>
    <w:rsid w:val="00493977"/>
    <w:rsid w:val="00493ACA"/>
    <w:rsid w:val="00493BDD"/>
    <w:rsid w:val="00493DC0"/>
    <w:rsid w:val="00494186"/>
    <w:rsid w:val="00494690"/>
    <w:rsid w:val="004947D9"/>
    <w:rsid w:val="00494E40"/>
    <w:rsid w:val="00494EB7"/>
    <w:rsid w:val="00494ED1"/>
    <w:rsid w:val="0049520A"/>
    <w:rsid w:val="00495804"/>
    <w:rsid w:val="00495953"/>
    <w:rsid w:val="00495DAD"/>
    <w:rsid w:val="00495FA0"/>
    <w:rsid w:val="004962AB"/>
    <w:rsid w:val="004962EF"/>
    <w:rsid w:val="0049632B"/>
    <w:rsid w:val="00496565"/>
    <w:rsid w:val="00496B44"/>
    <w:rsid w:val="0049788A"/>
    <w:rsid w:val="004979C1"/>
    <w:rsid w:val="00497D2F"/>
    <w:rsid w:val="00497DE2"/>
    <w:rsid w:val="00497DE6"/>
    <w:rsid w:val="004A001E"/>
    <w:rsid w:val="004A0595"/>
    <w:rsid w:val="004A07E0"/>
    <w:rsid w:val="004A0B84"/>
    <w:rsid w:val="004A0E66"/>
    <w:rsid w:val="004A14DF"/>
    <w:rsid w:val="004A19AC"/>
    <w:rsid w:val="004A1A4E"/>
    <w:rsid w:val="004A236E"/>
    <w:rsid w:val="004A2545"/>
    <w:rsid w:val="004A2FEC"/>
    <w:rsid w:val="004A32AA"/>
    <w:rsid w:val="004A360B"/>
    <w:rsid w:val="004A466E"/>
    <w:rsid w:val="004A5450"/>
    <w:rsid w:val="004A5609"/>
    <w:rsid w:val="004A5C7C"/>
    <w:rsid w:val="004A5EA3"/>
    <w:rsid w:val="004A6091"/>
    <w:rsid w:val="004A617D"/>
    <w:rsid w:val="004A65D1"/>
    <w:rsid w:val="004A6BFE"/>
    <w:rsid w:val="004A7135"/>
    <w:rsid w:val="004B03D4"/>
    <w:rsid w:val="004B089D"/>
    <w:rsid w:val="004B0AA9"/>
    <w:rsid w:val="004B0CBE"/>
    <w:rsid w:val="004B12BC"/>
    <w:rsid w:val="004B198A"/>
    <w:rsid w:val="004B260D"/>
    <w:rsid w:val="004B26BC"/>
    <w:rsid w:val="004B2795"/>
    <w:rsid w:val="004B2A2B"/>
    <w:rsid w:val="004B2D35"/>
    <w:rsid w:val="004B2F50"/>
    <w:rsid w:val="004B32DF"/>
    <w:rsid w:val="004B339E"/>
    <w:rsid w:val="004B3528"/>
    <w:rsid w:val="004B36E3"/>
    <w:rsid w:val="004B3767"/>
    <w:rsid w:val="004B380B"/>
    <w:rsid w:val="004B3857"/>
    <w:rsid w:val="004B45C3"/>
    <w:rsid w:val="004B5194"/>
    <w:rsid w:val="004B6289"/>
    <w:rsid w:val="004B6562"/>
    <w:rsid w:val="004B6815"/>
    <w:rsid w:val="004B7053"/>
    <w:rsid w:val="004B750F"/>
    <w:rsid w:val="004B771B"/>
    <w:rsid w:val="004B7D28"/>
    <w:rsid w:val="004B7D4D"/>
    <w:rsid w:val="004B7F13"/>
    <w:rsid w:val="004C0CED"/>
    <w:rsid w:val="004C0E4B"/>
    <w:rsid w:val="004C0FC7"/>
    <w:rsid w:val="004C13A7"/>
    <w:rsid w:val="004C1477"/>
    <w:rsid w:val="004C16A1"/>
    <w:rsid w:val="004C178F"/>
    <w:rsid w:val="004C2614"/>
    <w:rsid w:val="004C2C52"/>
    <w:rsid w:val="004C34AA"/>
    <w:rsid w:val="004C37A5"/>
    <w:rsid w:val="004C384C"/>
    <w:rsid w:val="004C3E9B"/>
    <w:rsid w:val="004C420E"/>
    <w:rsid w:val="004C5F60"/>
    <w:rsid w:val="004C6247"/>
    <w:rsid w:val="004C6B01"/>
    <w:rsid w:val="004C6BED"/>
    <w:rsid w:val="004C6CEE"/>
    <w:rsid w:val="004C73DE"/>
    <w:rsid w:val="004D00D6"/>
    <w:rsid w:val="004D0293"/>
    <w:rsid w:val="004D05E7"/>
    <w:rsid w:val="004D0843"/>
    <w:rsid w:val="004D097E"/>
    <w:rsid w:val="004D1892"/>
    <w:rsid w:val="004D18D4"/>
    <w:rsid w:val="004D1B10"/>
    <w:rsid w:val="004D22D0"/>
    <w:rsid w:val="004D2316"/>
    <w:rsid w:val="004D2D78"/>
    <w:rsid w:val="004D348D"/>
    <w:rsid w:val="004D3597"/>
    <w:rsid w:val="004D35B4"/>
    <w:rsid w:val="004D3B72"/>
    <w:rsid w:val="004D3C51"/>
    <w:rsid w:val="004D403A"/>
    <w:rsid w:val="004D462C"/>
    <w:rsid w:val="004D4BF2"/>
    <w:rsid w:val="004D4C18"/>
    <w:rsid w:val="004D520E"/>
    <w:rsid w:val="004D5218"/>
    <w:rsid w:val="004D57EA"/>
    <w:rsid w:val="004D5ACE"/>
    <w:rsid w:val="004D6243"/>
    <w:rsid w:val="004D6BCA"/>
    <w:rsid w:val="004D7488"/>
    <w:rsid w:val="004D74E3"/>
    <w:rsid w:val="004D7BD2"/>
    <w:rsid w:val="004E0511"/>
    <w:rsid w:val="004E0F1E"/>
    <w:rsid w:val="004E19DA"/>
    <w:rsid w:val="004E24CD"/>
    <w:rsid w:val="004E26F4"/>
    <w:rsid w:val="004E282D"/>
    <w:rsid w:val="004E283A"/>
    <w:rsid w:val="004E340F"/>
    <w:rsid w:val="004E36D3"/>
    <w:rsid w:val="004E390F"/>
    <w:rsid w:val="004E3C44"/>
    <w:rsid w:val="004E3FB4"/>
    <w:rsid w:val="004E4699"/>
    <w:rsid w:val="004E4921"/>
    <w:rsid w:val="004E4C3A"/>
    <w:rsid w:val="004E4CB0"/>
    <w:rsid w:val="004E507E"/>
    <w:rsid w:val="004E57AF"/>
    <w:rsid w:val="004E59AF"/>
    <w:rsid w:val="004E5D7E"/>
    <w:rsid w:val="004E6C8E"/>
    <w:rsid w:val="004E6E09"/>
    <w:rsid w:val="004E713C"/>
    <w:rsid w:val="004E7425"/>
    <w:rsid w:val="004E77B3"/>
    <w:rsid w:val="004E78BC"/>
    <w:rsid w:val="004E7DB5"/>
    <w:rsid w:val="004E7E92"/>
    <w:rsid w:val="004E7F9D"/>
    <w:rsid w:val="004F01A1"/>
    <w:rsid w:val="004F0366"/>
    <w:rsid w:val="004F0C3E"/>
    <w:rsid w:val="004F1024"/>
    <w:rsid w:val="004F10DC"/>
    <w:rsid w:val="004F12BA"/>
    <w:rsid w:val="004F13BA"/>
    <w:rsid w:val="004F13E6"/>
    <w:rsid w:val="004F1664"/>
    <w:rsid w:val="004F18F1"/>
    <w:rsid w:val="004F1ABC"/>
    <w:rsid w:val="004F2ED6"/>
    <w:rsid w:val="004F3018"/>
    <w:rsid w:val="004F344C"/>
    <w:rsid w:val="004F34DB"/>
    <w:rsid w:val="004F3513"/>
    <w:rsid w:val="004F381B"/>
    <w:rsid w:val="004F3B07"/>
    <w:rsid w:val="004F432A"/>
    <w:rsid w:val="004F4523"/>
    <w:rsid w:val="004F4D95"/>
    <w:rsid w:val="004F5196"/>
    <w:rsid w:val="004F5237"/>
    <w:rsid w:val="004F5424"/>
    <w:rsid w:val="004F553A"/>
    <w:rsid w:val="004F575D"/>
    <w:rsid w:val="004F57C8"/>
    <w:rsid w:val="004F5A0F"/>
    <w:rsid w:val="004F5CE7"/>
    <w:rsid w:val="004F5D32"/>
    <w:rsid w:val="004F6404"/>
    <w:rsid w:val="004F657B"/>
    <w:rsid w:val="004F6DC3"/>
    <w:rsid w:val="004F6DD7"/>
    <w:rsid w:val="004F71F1"/>
    <w:rsid w:val="004F727A"/>
    <w:rsid w:val="004F756C"/>
    <w:rsid w:val="004F7F81"/>
    <w:rsid w:val="0050026A"/>
    <w:rsid w:val="005005E9"/>
    <w:rsid w:val="0050068F"/>
    <w:rsid w:val="005009F0"/>
    <w:rsid w:val="00500E07"/>
    <w:rsid w:val="00501060"/>
    <w:rsid w:val="0050109A"/>
    <w:rsid w:val="00501504"/>
    <w:rsid w:val="0050193C"/>
    <w:rsid w:val="00501B31"/>
    <w:rsid w:val="00501E4A"/>
    <w:rsid w:val="00502380"/>
    <w:rsid w:val="00502C80"/>
    <w:rsid w:val="00502EAD"/>
    <w:rsid w:val="00503356"/>
    <w:rsid w:val="00503C74"/>
    <w:rsid w:val="00503C90"/>
    <w:rsid w:val="00504217"/>
    <w:rsid w:val="0050432E"/>
    <w:rsid w:val="0050461A"/>
    <w:rsid w:val="005046EE"/>
    <w:rsid w:val="00504D20"/>
    <w:rsid w:val="0050562F"/>
    <w:rsid w:val="00505853"/>
    <w:rsid w:val="00506B65"/>
    <w:rsid w:val="00506F2A"/>
    <w:rsid w:val="00506FA6"/>
    <w:rsid w:val="005071EF"/>
    <w:rsid w:val="0050721C"/>
    <w:rsid w:val="0050744E"/>
    <w:rsid w:val="00507536"/>
    <w:rsid w:val="00507D9A"/>
    <w:rsid w:val="00507FCF"/>
    <w:rsid w:val="0051056D"/>
    <w:rsid w:val="00510954"/>
    <w:rsid w:val="00510B70"/>
    <w:rsid w:val="00510BE1"/>
    <w:rsid w:val="00510C84"/>
    <w:rsid w:val="0051102A"/>
    <w:rsid w:val="00511196"/>
    <w:rsid w:val="005111F6"/>
    <w:rsid w:val="005113FB"/>
    <w:rsid w:val="00511AC2"/>
    <w:rsid w:val="00511AFC"/>
    <w:rsid w:val="00511E71"/>
    <w:rsid w:val="00511F40"/>
    <w:rsid w:val="0051258F"/>
    <w:rsid w:val="00512991"/>
    <w:rsid w:val="00512EE9"/>
    <w:rsid w:val="0051389A"/>
    <w:rsid w:val="005139D1"/>
    <w:rsid w:val="00513B8E"/>
    <w:rsid w:val="00513BF2"/>
    <w:rsid w:val="00513CD0"/>
    <w:rsid w:val="00513E18"/>
    <w:rsid w:val="00513F0B"/>
    <w:rsid w:val="005140DE"/>
    <w:rsid w:val="00514121"/>
    <w:rsid w:val="005141BF"/>
    <w:rsid w:val="005141C0"/>
    <w:rsid w:val="005141C6"/>
    <w:rsid w:val="005142DD"/>
    <w:rsid w:val="00514443"/>
    <w:rsid w:val="00514571"/>
    <w:rsid w:val="005147C1"/>
    <w:rsid w:val="0051579E"/>
    <w:rsid w:val="0051588E"/>
    <w:rsid w:val="00515951"/>
    <w:rsid w:val="00515A10"/>
    <w:rsid w:val="00515B00"/>
    <w:rsid w:val="00515EA1"/>
    <w:rsid w:val="005160CC"/>
    <w:rsid w:val="00516381"/>
    <w:rsid w:val="00516F45"/>
    <w:rsid w:val="00517040"/>
    <w:rsid w:val="005171C8"/>
    <w:rsid w:val="00517528"/>
    <w:rsid w:val="00517DD5"/>
    <w:rsid w:val="00517E26"/>
    <w:rsid w:val="005208F3"/>
    <w:rsid w:val="00520AF2"/>
    <w:rsid w:val="00520C39"/>
    <w:rsid w:val="00520E76"/>
    <w:rsid w:val="005210F1"/>
    <w:rsid w:val="00521206"/>
    <w:rsid w:val="005213AD"/>
    <w:rsid w:val="00521512"/>
    <w:rsid w:val="00521901"/>
    <w:rsid w:val="005219EF"/>
    <w:rsid w:val="00521CBB"/>
    <w:rsid w:val="005222F6"/>
    <w:rsid w:val="00522549"/>
    <w:rsid w:val="00522E8E"/>
    <w:rsid w:val="0052327B"/>
    <w:rsid w:val="0052331B"/>
    <w:rsid w:val="00523763"/>
    <w:rsid w:val="00523BEF"/>
    <w:rsid w:val="005248C4"/>
    <w:rsid w:val="005248F2"/>
    <w:rsid w:val="00524991"/>
    <w:rsid w:val="00524A24"/>
    <w:rsid w:val="00525404"/>
    <w:rsid w:val="00525410"/>
    <w:rsid w:val="00525765"/>
    <w:rsid w:val="00525FC6"/>
    <w:rsid w:val="005267CA"/>
    <w:rsid w:val="005269CD"/>
    <w:rsid w:val="00526DAC"/>
    <w:rsid w:val="00527120"/>
    <w:rsid w:val="00527B8A"/>
    <w:rsid w:val="00530582"/>
    <w:rsid w:val="00530593"/>
    <w:rsid w:val="00530F88"/>
    <w:rsid w:val="0053159F"/>
    <w:rsid w:val="005315AE"/>
    <w:rsid w:val="0053180A"/>
    <w:rsid w:val="00532165"/>
    <w:rsid w:val="00532A40"/>
    <w:rsid w:val="005331FC"/>
    <w:rsid w:val="00533EB1"/>
    <w:rsid w:val="0053434E"/>
    <w:rsid w:val="005345C6"/>
    <w:rsid w:val="00534820"/>
    <w:rsid w:val="00535467"/>
    <w:rsid w:val="00535512"/>
    <w:rsid w:val="00535618"/>
    <w:rsid w:val="00535D5E"/>
    <w:rsid w:val="00535EA5"/>
    <w:rsid w:val="0053608A"/>
    <w:rsid w:val="005364FB"/>
    <w:rsid w:val="00536789"/>
    <w:rsid w:val="00537361"/>
    <w:rsid w:val="00537395"/>
    <w:rsid w:val="00537490"/>
    <w:rsid w:val="00537691"/>
    <w:rsid w:val="0053772B"/>
    <w:rsid w:val="005378F5"/>
    <w:rsid w:val="00537D31"/>
    <w:rsid w:val="00537E72"/>
    <w:rsid w:val="00541597"/>
    <w:rsid w:val="00541684"/>
    <w:rsid w:val="005417B8"/>
    <w:rsid w:val="00541F14"/>
    <w:rsid w:val="005421F0"/>
    <w:rsid w:val="00542673"/>
    <w:rsid w:val="005426F0"/>
    <w:rsid w:val="005427CE"/>
    <w:rsid w:val="00542851"/>
    <w:rsid w:val="00542AE0"/>
    <w:rsid w:val="00543280"/>
    <w:rsid w:val="00543312"/>
    <w:rsid w:val="005433BF"/>
    <w:rsid w:val="005434AA"/>
    <w:rsid w:val="00543945"/>
    <w:rsid w:val="00543C9F"/>
    <w:rsid w:val="0054425F"/>
    <w:rsid w:val="00544298"/>
    <w:rsid w:val="005443A9"/>
    <w:rsid w:val="00544437"/>
    <w:rsid w:val="0054481F"/>
    <w:rsid w:val="0054483B"/>
    <w:rsid w:val="005451B4"/>
    <w:rsid w:val="005453F2"/>
    <w:rsid w:val="00545EC2"/>
    <w:rsid w:val="00545FFE"/>
    <w:rsid w:val="00546420"/>
    <w:rsid w:val="00546B19"/>
    <w:rsid w:val="00546C5B"/>
    <w:rsid w:val="0054704F"/>
    <w:rsid w:val="00547128"/>
    <w:rsid w:val="00547230"/>
    <w:rsid w:val="005473AB"/>
    <w:rsid w:val="00547A57"/>
    <w:rsid w:val="00547E1C"/>
    <w:rsid w:val="00547F65"/>
    <w:rsid w:val="00547FE2"/>
    <w:rsid w:val="005501AD"/>
    <w:rsid w:val="00550D82"/>
    <w:rsid w:val="005510B7"/>
    <w:rsid w:val="0055117B"/>
    <w:rsid w:val="0055129C"/>
    <w:rsid w:val="00551308"/>
    <w:rsid w:val="005515A9"/>
    <w:rsid w:val="00551E0C"/>
    <w:rsid w:val="005525B0"/>
    <w:rsid w:val="0055313A"/>
    <w:rsid w:val="00553AEE"/>
    <w:rsid w:val="00553C50"/>
    <w:rsid w:val="00554621"/>
    <w:rsid w:val="00554642"/>
    <w:rsid w:val="005547B1"/>
    <w:rsid w:val="005547BB"/>
    <w:rsid w:val="0055498A"/>
    <w:rsid w:val="00554BE3"/>
    <w:rsid w:val="00554F23"/>
    <w:rsid w:val="00554FD4"/>
    <w:rsid w:val="005553DF"/>
    <w:rsid w:val="0055557B"/>
    <w:rsid w:val="00555CBD"/>
    <w:rsid w:val="00555D1F"/>
    <w:rsid w:val="00555D36"/>
    <w:rsid w:val="005567B4"/>
    <w:rsid w:val="00556868"/>
    <w:rsid w:val="00556B17"/>
    <w:rsid w:val="00557387"/>
    <w:rsid w:val="00557664"/>
    <w:rsid w:val="005576F4"/>
    <w:rsid w:val="00557947"/>
    <w:rsid w:val="005608D9"/>
    <w:rsid w:val="00560C8B"/>
    <w:rsid w:val="0056262C"/>
    <w:rsid w:val="0056360B"/>
    <w:rsid w:val="0056363C"/>
    <w:rsid w:val="005638AE"/>
    <w:rsid w:val="00563B2F"/>
    <w:rsid w:val="00564119"/>
    <w:rsid w:val="00564602"/>
    <w:rsid w:val="005651FD"/>
    <w:rsid w:val="00565ECD"/>
    <w:rsid w:val="00566B6C"/>
    <w:rsid w:val="00566C83"/>
    <w:rsid w:val="00566D28"/>
    <w:rsid w:val="00566E8C"/>
    <w:rsid w:val="005671D2"/>
    <w:rsid w:val="005672DD"/>
    <w:rsid w:val="0056785F"/>
    <w:rsid w:val="00567919"/>
    <w:rsid w:val="00567B4A"/>
    <w:rsid w:val="005700F3"/>
    <w:rsid w:val="005706D0"/>
    <w:rsid w:val="0057111E"/>
    <w:rsid w:val="0057154F"/>
    <w:rsid w:val="0057165B"/>
    <w:rsid w:val="00571E5C"/>
    <w:rsid w:val="00571E86"/>
    <w:rsid w:val="00572017"/>
    <w:rsid w:val="0057213C"/>
    <w:rsid w:val="00572140"/>
    <w:rsid w:val="00572201"/>
    <w:rsid w:val="00572465"/>
    <w:rsid w:val="005728CA"/>
    <w:rsid w:val="00572F47"/>
    <w:rsid w:val="005731C5"/>
    <w:rsid w:val="00573767"/>
    <w:rsid w:val="005737FE"/>
    <w:rsid w:val="00574196"/>
    <w:rsid w:val="0057435D"/>
    <w:rsid w:val="00574D5D"/>
    <w:rsid w:val="0057516A"/>
    <w:rsid w:val="005751DC"/>
    <w:rsid w:val="00575A17"/>
    <w:rsid w:val="00575B49"/>
    <w:rsid w:val="00575CEF"/>
    <w:rsid w:val="00575DEB"/>
    <w:rsid w:val="0057617A"/>
    <w:rsid w:val="00576383"/>
    <w:rsid w:val="0057662E"/>
    <w:rsid w:val="00576CEC"/>
    <w:rsid w:val="005773FA"/>
    <w:rsid w:val="0057740A"/>
    <w:rsid w:val="005774E0"/>
    <w:rsid w:val="0057773E"/>
    <w:rsid w:val="00577B11"/>
    <w:rsid w:val="00577E04"/>
    <w:rsid w:val="00580174"/>
    <w:rsid w:val="005801B2"/>
    <w:rsid w:val="00580313"/>
    <w:rsid w:val="00580732"/>
    <w:rsid w:val="00580EB5"/>
    <w:rsid w:val="00580FB2"/>
    <w:rsid w:val="005813D8"/>
    <w:rsid w:val="005816E7"/>
    <w:rsid w:val="005817C4"/>
    <w:rsid w:val="00581AF4"/>
    <w:rsid w:val="00581C21"/>
    <w:rsid w:val="00581E61"/>
    <w:rsid w:val="00581E95"/>
    <w:rsid w:val="00581FE2"/>
    <w:rsid w:val="00582488"/>
    <w:rsid w:val="005824F4"/>
    <w:rsid w:val="00582846"/>
    <w:rsid w:val="00582A75"/>
    <w:rsid w:val="00582B9D"/>
    <w:rsid w:val="00582C33"/>
    <w:rsid w:val="0058341C"/>
    <w:rsid w:val="005839D0"/>
    <w:rsid w:val="00583C5A"/>
    <w:rsid w:val="00583EBC"/>
    <w:rsid w:val="00584179"/>
    <w:rsid w:val="0058436D"/>
    <w:rsid w:val="00584418"/>
    <w:rsid w:val="00584437"/>
    <w:rsid w:val="0058530B"/>
    <w:rsid w:val="005864F8"/>
    <w:rsid w:val="00586991"/>
    <w:rsid w:val="00586B46"/>
    <w:rsid w:val="00587029"/>
    <w:rsid w:val="005872F6"/>
    <w:rsid w:val="005873DE"/>
    <w:rsid w:val="00587778"/>
    <w:rsid w:val="00587BCC"/>
    <w:rsid w:val="00590154"/>
    <w:rsid w:val="00590C5C"/>
    <w:rsid w:val="00590DA7"/>
    <w:rsid w:val="005911A8"/>
    <w:rsid w:val="00591FD2"/>
    <w:rsid w:val="005926EA"/>
    <w:rsid w:val="005927DC"/>
    <w:rsid w:val="00592937"/>
    <w:rsid w:val="00592A5F"/>
    <w:rsid w:val="00592CE0"/>
    <w:rsid w:val="0059367B"/>
    <w:rsid w:val="00593B59"/>
    <w:rsid w:val="0059473A"/>
    <w:rsid w:val="005953C7"/>
    <w:rsid w:val="00595571"/>
    <w:rsid w:val="005956EA"/>
    <w:rsid w:val="00596174"/>
    <w:rsid w:val="0059671D"/>
    <w:rsid w:val="00596992"/>
    <w:rsid w:val="005969DA"/>
    <w:rsid w:val="00596D59"/>
    <w:rsid w:val="00596F8A"/>
    <w:rsid w:val="00597109"/>
    <w:rsid w:val="00597169"/>
    <w:rsid w:val="00597498"/>
    <w:rsid w:val="00597EBD"/>
    <w:rsid w:val="005A030C"/>
    <w:rsid w:val="005A07BA"/>
    <w:rsid w:val="005A094F"/>
    <w:rsid w:val="005A0F28"/>
    <w:rsid w:val="005A14B0"/>
    <w:rsid w:val="005A1528"/>
    <w:rsid w:val="005A1597"/>
    <w:rsid w:val="005A1A38"/>
    <w:rsid w:val="005A1B06"/>
    <w:rsid w:val="005A1EE3"/>
    <w:rsid w:val="005A20A2"/>
    <w:rsid w:val="005A2A86"/>
    <w:rsid w:val="005A2F7A"/>
    <w:rsid w:val="005A3248"/>
    <w:rsid w:val="005A327F"/>
    <w:rsid w:val="005A3E67"/>
    <w:rsid w:val="005A437B"/>
    <w:rsid w:val="005A437C"/>
    <w:rsid w:val="005A4389"/>
    <w:rsid w:val="005A467C"/>
    <w:rsid w:val="005A469C"/>
    <w:rsid w:val="005A47C8"/>
    <w:rsid w:val="005A491C"/>
    <w:rsid w:val="005A4A26"/>
    <w:rsid w:val="005A4DD0"/>
    <w:rsid w:val="005A50F8"/>
    <w:rsid w:val="005A542C"/>
    <w:rsid w:val="005A590F"/>
    <w:rsid w:val="005A5EB7"/>
    <w:rsid w:val="005A6030"/>
    <w:rsid w:val="005A6048"/>
    <w:rsid w:val="005A6084"/>
    <w:rsid w:val="005A68D0"/>
    <w:rsid w:val="005A6AF4"/>
    <w:rsid w:val="005A6CB1"/>
    <w:rsid w:val="005A6D85"/>
    <w:rsid w:val="005A6DD0"/>
    <w:rsid w:val="005A6FB9"/>
    <w:rsid w:val="005A78F5"/>
    <w:rsid w:val="005A7C7F"/>
    <w:rsid w:val="005A7F2C"/>
    <w:rsid w:val="005B0168"/>
    <w:rsid w:val="005B020E"/>
    <w:rsid w:val="005B0466"/>
    <w:rsid w:val="005B0751"/>
    <w:rsid w:val="005B0E6C"/>
    <w:rsid w:val="005B0EC6"/>
    <w:rsid w:val="005B0ED2"/>
    <w:rsid w:val="005B12B4"/>
    <w:rsid w:val="005B156E"/>
    <w:rsid w:val="005B1CEF"/>
    <w:rsid w:val="005B2952"/>
    <w:rsid w:val="005B2B0F"/>
    <w:rsid w:val="005B2BDD"/>
    <w:rsid w:val="005B2EEF"/>
    <w:rsid w:val="005B3495"/>
    <w:rsid w:val="005B3513"/>
    <w:rsid w:val="005B3F00"/>
    <w:rsid w:val="005B4275"/>
    <w:rsid w:val="005B43F7"/>
    <w:rsid w:val="005B485C"/>
    <w:rsid w:val="005B4B4E"/>
    <w:rsid w:val="005B5B0D"/>
    <w:rsid w:val="005B5C4D"/>
    <w:rsid w:val="005B653B"/>
    <w:rsid w:val="005B669C"/>
    <w:rsid w:val="005B6B04"/>
    <w:rsid w:val="005B7128"/>
    <w:rsid w:val="005B74C8"/>
    <w:rsid w:val="005B7605"/>
    <w:rsid w:val="005B7AFC"/>
    <w:rsid w:val="005B7BAC"/>
    <w:rsid w:val="005C0E5F"/>
    <w:rsid w:val="005C103B"/>
    <w:rsid w:val="005C152F"/>
    <w:rsid w:val="005C153E"/>
    <w:rsid w:val="005C167D"/>
    <w:rsid w:val="005C2907"/>
    <w:rsid w:val="005C2F41"/>
    <w:rsid w:val="005C2FEF"/>
    <w:rsid w:val="005C3214"/>
    <w:rsid w:val="005C3614"/>
    <w:rsid w:val="005C3DDB"/>
    <w:rsid w:val="005C426A"/>
    <w:rsid w:val="005C457B"/>
    <w:rsid w:val="005C4F09"/>
    <w:rsid w:val="005C5350"/>
    <w:rsid w:val="005C5433"/>
    <w:rsid w:val="005C5E2C"/>
    <w:rsid w:val="005C5F04"/>
    <w:rsid w:val="005C607C"/>
    <w:rsid w:val="005C687C"/>
    <w:rsid w:val="005C6A1E"/>
    <w:rsid w:val="005C6D89"/>
    <w:rsid w:val="005C7BE0"/>
    <w:rsid w:val="005C7BFD"/>
    <w:rsid w:val="005C7C6A"/>
    <w:rsid w:val="005D0579"/>
    <w:rsid w:val="005D0609"/>
    <w:rsid w:val="005D0895"/>
    <w:rsid w:val="005D1478"/>
    <w:rsid w:val="005D148B"/>
    <w:rsid w:val="005D2330"/>
    <w:rsid w:val="005D2374"/>
    <w:rsid w:val="005D243F"/>
    <w:rsid w:val="005D24D7"/>
    <w:rsid w:val="005D2EE2"/>
    <w:rsid w:val="005D2F5E"/>
    <w:rsid w:val="005D2F69"/>
    <w:rsid w:val="005D3460"/>
    <w:rsid w:val="005D3518"/>
    <w:rsid w:val="005D39DB"/>
    <w:rsid w:val="005D3D8F"/>
    <w:rsid w:val="005D41F6"/>
    <w:rsid w:val="005D43CE"/>
    <w:rsid w:val="005D4A9A"/>
    <w:rsid w:val="005D4AC8"/>
    <w:rsid w:val="005D4BF1"/>
    <w:rsid w:val="005D4E43"/>
    <w:rsid w:val="005D4EF9"/>
    <w:rsid w:val="005D5473"/>
    <w:rsid w:val="005D5B37"/>
    <w:rsid w:val="005D5CA3"/>
    <w:rsid w:val="005D5DCF"/>
    <w:rsid w:val="005D5FBF"/>
    <w:rsid w:val="005D60B4"/>
    <w:rsid w:val="005D63C3"/>
    <w:rsid w:val="005D7066"/>
    <w:rsid w:val="005D74B6"/>
    <w:rsid w:val="005D7793"/>
    <w:rsid w:val="005D7899"/>
    <w:rsid w:val="005D7BA6"/>
    <w:rsid w:val="005D7C96"/>
    <w:rsid w:val="005E0110"/>
    <w:rsid w:val="005E01DC"/>
    <w:rsid w:val="005E10F4"/>
    <w:rsid w:val="005E1230"/>
    <w:rsid w:val="005E1DA3"/>
    <w:rsid w:val="005E21F8"/>
    <w:rsid w:val="005E223E"/>
    <w:rsid w:val="005E232C"/>
    <w:rsid w:val="005E2958"/>
    <w:rsid w:val="005E2AE6"/>
    <w:rsid w:val="005E2C50"/>
    <w:rsid w:val="005E31FC"/>
    <w:rsid w:val="005E3636"/>
    <w:rsid w:val="005E40AF"/>
    <w:rsid w:val="005E4B63"/>
    <w:rsid w:val="005E4F1C"/>
    <w:rsid w:val="005E514C"/>
    <w:rsid w:val="005E5398"/>
    <w:rsid w:val="005E54CA"/>
    <w:rsid w:val="005E57B9"/>
    <w:rsid w:val="005E5E9F"/>
    <w:rsid w:val="005E6373"/>
    <w:rsid w:val="005E6720"/>
    <w:rsid w:val="005E73EB"/>
    <w:rsid w:val="005E746A"/>
    <w:rsid w:val="005E7FB3"/>
    <w:rsid w:val="005F0D80"/>
    <w:rsid w:val="005F15F1"/>
    <w:rsid w:val="005F161F"/>
    <w:rsid w:val="005F194E"/>
    <w:rsid w:val="005F286B"/>
    <w:rsid w:val="005F2B0E"/>
    <w:rsid w:val="005F2DD9"/>
    <w:rsid w:val="005F2EFA"/>
    <w:rsid w:val="005F3139"/>
    <w:rsid w:val="005F332C"/>
    <w:rsid w:val="005F3B6F"/>
    <w:rsid w:val="005F4016"/>
    <w:rsid w:val="005F4093"/>
    <w:rsid w:val="005F437E"/>
    <w:rsid w:val="005F5315"/>
    <w:rsid w:val="005F59C5"/>
    <w:rsid w:val="005F5DCC"/>
    <w:rsid w:val="005F628F"/>
    <w:rsid w:val="005F6308"/>
    <w:rsid w:val="005F644A"/>
    <w:rsid w:val="005F6479"/>
    <w:rsid w:val="005F6806"/>
    <w:rsid w:val="005F6966"/>
    <w:rsid w:val="005F6A16"/>
    <w:rsid w:val="005F6AF7"/>
    <w:rsid w:val="005F6FA5"/>
    <w:rsid w:val="005F77BA"/>
    <w:rsid w:val="005F7F41"/>
    <w:rsid w:val="0060035E"/>
    <w:rsid w:val="00600453"/>
    <w:rsid w:val="00601742"/>
    <w:rsid w:val="00601AA1"/>
    <w:rsid w:val="00601BD9"/>
    <w:rsid w:val="00601CCF"/>
    <w:rsid w:val="00601F36"/>
    <w:rsid w:val="00601F5E"/>
    <w:rsid w:val="00602745"/>
    <w:rsid w:val="0060293A"/>
    <w:rsid w:val="00602978"/>
    <w:rsid w:val="006033E8"/>
    <w:rsid w:val="0060342D"/>
    <w:rsid w:val="006036AE"/>
    <w:rsid w:val="00603CE2"/>
    <w:rsid w:val="00603EC1"/>
    <w:rsid w:val="0060400E"/>
    <w:rsid w:val="0060406E"/>
    <w:rsid w:val="00604603"/>
    <w:rsid w:val="00604902"/>
    <w:rsid w:val="00605376"/>
    <w:rsid w:val="006055C5"/>
    <w:rsid w:val="00606A8C"/>
    <w:rsid w:val="00606F00"/>
    <w:rsid w:val="006073C7"/>
    <w:rsid w:val="00607ACB"/>
    <w:rsid w:val="00607C49"/>
    <w:rsid w:val="00607DCD"/>
    <w:rsid w:val="00610020"/>
    <w:rsid w:val="00610A5B"/>
    <w:rsid w:val="00610AA8"/>
    <w:rsid w:val="0061141E"/>
    <w:rsid w:val="00611728"/>
    <w:rsid w:val="00611B9E"/>
    <w:rsid w:val="006127A1"/>
    <w:rsid w:val="00612AF9"/>
    <w:rsid w:val="00612B87"/>
    <w:rsid w:val="00612EC7"/>
    <w:rsid w:val="0061307D"/>
    <w:rsid w:val="00613290"/>
    <w:rsid w:val="0061371E"/>
    <w:rsid w:val="00613DCC"/>
    <w:rsid w:val="006141CB"/>
    <w:rsid w:val="006147F8"/>
    <w:rsid w:val="006148E1"/>
    <w:rsid w:val="00614979"/>
    <w:rsid w:val="00614A12"/>
    <w:rsid w:val="00614DFE"/>
    <w:rsid w:val="006150C7"/>
    <w:rsid w:val="00615E4E"/>
    <w:rsid w:val="006161C9"/>
    <w:rsid w:val="0061682F"/>
    <w:rsid w:val="00616BDC"/>
    <w:rsid w:val="006172E1"/>
    <w:rsid w:val="006175BA"/>
    <w:rsid w:val="00617C1B"/>
    <w:rsid w:val="00617C6B"/>
    <w:rsid w:val="006202BE"/>
    <w:rsid w:val="00620345"/>
    <w:rsid w:val="0062079B"/>
    <w:rsid w:val="006208F9"/>
    <w:rsid w:val="0062144E"/>
    <w:rsid w:val="00621586"/>
    <w:rsid w:val="00621A1E"/>
    <w:rsid w:val="00622309"/>
    <w:rsid w:val="0062248E"/>
    <w:rsid w:val="0062290F"/>
    <w:rsid w:val="006229C5"/>
    <w:rsid w:val="00622F34"/>
    <w:rsid w:val="00623FD0"/>
    <w:rsid w:val="006247B2"/>
    <w:rsid w:val="006247B9"/>
    <w:rsid w:val="006249DD"/>
    <w:rsid w:val="00624BA8"/>
    <w:rsid w:val="00624D46"/>
    <w:rsid w:val="00624FAF"/>
    <w:rsid w:val="00625347"/>
    <w:rsid w:val="006256F9"/>
    <w:rsid w:val="0062574F"/>
    <w:rsid w:val="00625D9E"/>
    <w:rsid w:val="006266B7"/>
    <w:rsid w:val="00626855"/>
    <w:rsid w:val="00626979"/>
    <w:rsid w:val="00626A95"/>
    <w:rsid w:val="00626AF2"/>
    <w:rsid w:val="00626C3F"/>
    <w:rsid w:val="00626D47"/>
    <w:rsid w:val="00627194"/>
    <w:rsid w:val="00627743"/>
    <w:rsid w:val="0062786A"/>
    <w:rsid w:val="006279C3"/>
    <w:rsid w:val="00627A9F"/>
    <w:rsid w:val="006307B9"/>
    <w:rsid w:val="00630EE4"/>
    <w:rsid w:val="00630EE6"/>
    <w:rsid w:val="00630F21"/>
    <w:rsid w:val="00630F4B"/>
    <w:rsid w:val="00630FD4"/>
    <w:rsid w:val="00630FD9"/>
    <w:rsid w:val="006316B0"/>
    <w:rsid w:val="006319B9"/>
    <w:rsid w:val="0063241E"/>
    <w:rsid w:val="006328BC"/>
    <w:rsid w:val="00632999"/>
    <w:rsid w:val="00632B9B"/>
    <w:rsid w:val="006330C8"/>
    <w:rsid w:val="006332A1"/>
    <w:rsid w:val="00633453"/>
    <w:rsid w:val="006334A3"/>
    <w:rsid w:val="0063363C"/>
    <w:rsid w:val="006336B5"/>
    <w:rsid w:val="006337F8"/>
    <w:rsid w:val="00633833"/>
    <w:rsid w:val="00633932"/>
    <w:rsid w:val="00633A39"/>
    <w:rsid w:val="006345BA"/>
    <w:rsid w:val="00634A6B"/>
    <w:rsid w:val="00634EAC"/>
    <w:rsid w:val="00635493"/>
    <w:rsid w:val="006355EA"/>
    <w:rsid w:val="006359B1"/>
    <w:rsid w:val="00636559"/>
    <w:rsid w:val="0063668D"/>
    <w:rsid w:val="0063745F"/>
    <w:rsid w:val="00637A3C"/>
    <w:rsid w:val="0064073C"/>
    <w:rsid w:val="006407C0"/>
    <w:rsid w:val="00640C5D"/>
    <w:rsid w:val="00640D7E"/>
    <w:rsid w:val="006410ED"/>
    <w:rsid w:val="006415E4"/>
    <w:rsid w:val="00641856"/>
    <w:rsid w:val="00641AB7"/>
    <w:rsid w:val="0064234F"/>
    <w:rsid w:val="006423E4"/>
    <w:rsid w:val="00642867"/>
    <w:rsid w:val="00642B4E"/>
    <w:rsid w:val="00642ED3"/>
    <w:rsid w:val="00643636"/>
    <w:rsid w:val="00643B0A"/>
    <w:rsid w:val="00644681"/>
    <w:rsid w:val="00644C19"/>
    <w:rsid w:val="006455E9"/>
    <w:rsid w:val="00645827"/>
    <w:rsid w:val="00645919"/>
    <w:rsid w:val="00645EF4"/>
    <w:rsid w:val="006467B1"/>
    <w:rsid w:val="00647660"/>
    <w:rsid w:val="006476EC"/>
    <w:rsid w:val="00647723"/>
    <w:rsid w:val="00647A3F"/>
    <w:rsid w:val="00647AD8"/>
    <w:rsid w:val="00647C63"/>
    <w:rsid w:val="00647D90"/>
    <w:rsid w:val="00647E01"/>
    <w:rsid w:val="00647E8D"/>
    <w:rsid w:val="00647ED7"/>
    <w:rsid w:val="00647F3C"/>
    <w:rsid w:val="00650B35"/>
    <w:rsid w:val="00651658"/>
    <w:rsid w:val="00651737"/>
    <w:rsid w:val="00651987"/>
    <w:rsid w:val="00651CAE"/>
    <w:rsid w:val="00652C45"/>
    <w:rsid w:val="00652F68"/>
    <w:rsid w:val="00653001"/>
    <w:rsid w:val="006532BA"/>
    <w:rsid w:val="00653394"/>
    <w:rsid w:val="006537C7"/>
    <w:rsid w:val="00653881"/>
    <w:rsid w:val="00653A9A"/>
    <w:rsid w:val="00653DDB"/>
    <w:rsid w:val="006544B0"/>
    <w:rsid w:val="0065493B"/>
    <w:rsid w:val="00654B36"/>
    <w:rsid w:val="00654C70"/>
    <w:rsid w:val="00655158"/>
    <w:rsid w:val="00655812"/>
    <w:rsid w:val="006558B1"/>
    <w:rsid w:val="00655A50"/>
    <w:rsid w:val="00655A6F"/>
    <w:rsid w:val="00655F41"/>
    <w:rsid w:val="00656088"/>
    <w:rsid w:val="00656878"/>
    <w:rsid w:val="00657FB3"/>
    <w:rsid w:val="006609D6"/>
    <w:rsid w:val="00660D2F"/>
    <w:rsid w:val="006617C0"/>
    <w:rsid w:val="00661BD7"/>
    <w:rsid w:val="00662005"/>
    <w:rsid w:val="006623E5"/>
    <w:rsid w:val="006624CE"/>
    <w:rsid w:val="006627E4"/>
    <w:rsid w:val="00662EE8"/>
    <w:rsid w:val="006632C6"/>
    <w:rsid w:val="00663E32"/>
    <w:rsid w:val="00663E5C"/>
    <w:rsid w:val="006648A9"/>
    <w:rsid w:val="00665400"/>
    <w:rsid w:val="00666388"/>
    <w:rsid w:val="00666B04"/>
    <w:rsid w:val="00666DBB"/>
    <w:rsid w:val="0066719C"/>
    <w:rsid w:val="00667375"/>
    <w:rsid w:val="00667F40"/>
    <w:rsid w:val="00667FAD"/>
    <w:rsid w:val="006705FB"/>
    <w:rsid w:val="0067201D"/>
    <w:rsid w:val="0067286B"/>
    <w:rsid w:val="00672CE3"/>
    <w:rsid w:val="00673811"/>
    <w:rsid w:val="00673A03"/>
    <w:rsid w:val="00673E2B"/>
    <w:rsid w:val="006740E7"/>
    <w:rsid w:val="006743CB"/>
    <w:rsid w:val="00674C27"/>
    <w:rsid w:val="00674FA5"/>
    <w:rsid w:val="00675367"/>
    <w:rsid w:val="006759BB"/>
    <w:rsid w:val="00675BB6"/>
    <w:rsid w:val="00675BD9"/>
    <w:rsid w:val="00675EFB"/>
    <w:rsid w:val="00677045"/>
    <w:rsid w:val="006770A4"/>
    <w:rsid w:val="00677567"/>
    <w:rsid w:val="00677738"/>
    <w:rsid w:val="00677EFC"/>
    <w:rsid w:val="0068009B"/>
    <w:rsid w:val="006806C9"/>
    <w:rsid w:val="00680DBD"/>
    <w:rsid w:val="0068141C"/>
    <w:rsid w:val="00681785"/>
    <w:rsid w:val="00681AFF"/>
    <w:rsid w:val="00681B07"/>
    <w:rsid w:val="00681C6D"/>
    <w:rsid w:val="00681D6E"/>
    <w:rsid w:val="00681DBB"/>
    <w:rsid w:val="00681E7A"/>
    <w:rsid w:val="00681E7F"/>
    <w:rsid w:val="00681EC6"/>
    <w:rsid w:val="0068206F"/>
    <w:rsid w:val="00682407"/>
    <w:rsid w:val="00682C55"/>
    <w:rsid w:val="00682D1D"/>
    <w:rsid w:val="00683489"/>
    <w:rsid w:val="006838C7"/>
    <w:rsid w:val="00684657"/>
    <w:rsid w:val="00684973"/>
    <w:rsid w:val="00684C59"/>
    <w:rsid w:val="00685386"/>
    <w:rsid w:val="00685DDF"/>
    <w:rsid w:val="006860A1"/>
    <w:rsid w:val="006860E2"/>
    <w:rsid w:val="00686234"/>
    <w:rsid w:val="0068629F"/>
    <w:rsid w:val="0068644B"/>
    <w:rsid w:val="006869BE"/>
    <w:rsid w:val="006875C7"/>
    <w:rsid w:val="006878D1"/>
    <w:rsid w:val="006879E1"/>
    <w:rsid w:val="00687E42"/>
    <w:rsid w:val="006902BA"/>
    <w:rsid w:val="006904F2"/>
    <w:rsid w:val="006905B3"/>
    <w:rsid w:val="00690BEA"/>
    <w:rsid w:val="006912F3"/>
    <w:rsid w:val="006913DC"/>
    <w:rsid w:val="0069181A"/>
    <w:rsid w:val="00691A3D"/>
    <w:rsid w:val="00691CC5"/>
    <w:rsid w:val="00691D33"/>
    <w:rsid w:val="00691D93"/>
    <w:rsid w:val="00692045"/>
    <w:rsid w:val="00692074"/>
    <w:rsid w:val="006926E9"/>
    <w:rsid w:val="00692845"/>
    <w:rsid w:val="006928CD"/>
    <w:rsid w:val="00692DE5"/>
    <w:rsid w:val="0069357C"/>
    <w:rsid w:val="006936E0"/>
    <w:rsid w:val="00693B68"/>
    <w:rsid w:val="00693C22"/>
    <w:rsid w:val="006940A9"/>
    <w:rsid w:val="00694405"/>
    <w:rsid w:val="006946CD"/>
    <w:rsid w:val="006946EF"/>
    <w:rsid w:val="00694844"/>
    <w:rsid w:val="0069491A"/>
    <w:rsid w:val="00694E02"/>
    <w:rsid w:val="00695099"/>
    <w:rsid w:val="00695AFC"/>
    <w:rsid w:val="00695D31"/>
    <w:rsid w:val="00696F3B"/>
    <w:rsid w:val="00696FE1"/>
    <w:rsid w:val="00697190"/>
    <w:rsid w:val="00697324"/>
    <w:rsid w:val="006A04BA"/>
    <w:rsid w:val="006A09BC"/>
    <w:rsid w:val="006A0B82"/>
    <w:rsid w:val="006A11E2"/>
    <w:rsid w:val="006A22C6"/>
    <w:rsid w:val="006A2409"/>
    <w:rsid w:val="006A2A34"/>
    <w:rsid w:val="006A2BA0"/>
    <w:rsid w:val="006A3392"/>
    <w:rsid w:val="006A33AB"/>
    <w:rsid w:val="006A33FC"/>
    <w:rsid w:val="006A3988"/>
    <w:rsid w:val="006A3B69"/>
    <w:rsid w:val="006A3E44"/>
    <w:rsid w:val="006A3FF6"/>
    <w:rsid w:val="006A471B"/>
    <w:rsid w:val="006A49FB"/>
    <w:rsid w:val="006A4D00"/>
    <w:rsid w:val="006A4DFB"/>
    <w:rsid w:val="006A4EE9"/>
    <w:rsid w:val="006A52D4"/>
    <w:rsid w:val="006A5391"/>
    <w:rsid w:val="006A56CE"/>
    <w:rsid w:val="006A595F"/>
    <w:rsid w:val="006A605E"/>
    <w:rsid w:val="006A639A"/>
    <w:rsid w:val="006A6ED0"/>
    <w:rsid w:val="006A70C0"/>
    <w:rsid w:val="006A70DB"/>
    <w:rsid w:val="006A7303"/>
    <w:rsid w:val="006A749F"/>
    <w:rsid w:val="006A755D"/>
    <w:rsid w:val="006A788E"/>
    <w:rsid w:val="006A79F8"/>
    <w:rsid w:val="006B0254"/>
    <w:rsid w:val="006B03A7"/>
    <w:rsid w:val="006B0568"/>
    <w:rsid w:val="006B0B48"/>
    <w:rsid w:val="006B0D74"/>
    <w:rsid w:val="006B1874"/>
    <w:rsid w:val="006B1A28"/>
    <w:rsid w:val="006B1E61"/>
    <w:rsid w:val="006B1EE3"/>
    <w:rsid w:val="006B23E7"/>
    <w:rsid w:val="006B2451"/>
    <w:rsid w:val="006B26E5"/>
    <w:rsid w:val="006B2940"/>
    <w:rsid w:val="006B2FB8"/>
    <w:rsid w:val="006B2FBA"/>
    <w:rsid w:val="006B336C"/>
    <w:rsid w:val="006B33E9"/>
    <w:rsid w:val="006B345A"/>
    <w:rsid w:val="006B3AEB"/>
    <w:rsid w:val="006B3C90"/>
    <w:rsid w:val="006B3E85"/>
    <w:rsid w:val="006B4174"/>
    <w:rsid w:val="006B5447"/>
    <w:rsid w:val="006B5646"/>
    <w:rsid w:val="006B57CA"/>
    <w:rsid w:val="006B5E07"/>
    <w:rsid w:val="006B6216"/>
    <w:rsid w:val="006B6305"/>
    <w:rsid w:val="006B6398"/>
    <w:rsid w:val="006B6581"/>
    <w:rsid w:val="006B6868"/>
    <w:rsid w:val="006B6A40"/>
    <w:rsid w:val="006B7116"/>
    <w:rsid w:val="006B74FC"/>
    <w:rsid w:val="006B795B"/>
    <w:rsid w:val="006B796B"/>
    <w:rsid w:val="006B7BA6"/>
    <w:rsid w:val="006C0075"/>
    <w:rsid w:val="006C036A"/>
    <w:rsid w:val="006C0371"/>
    <w:rsid w:val="006C077E"/>
    <w:rsid w:val="006C0CFC"/>
    <w:rsid w:val="006C0E54"/>
    <w:rsid w:val="006C1B7C"/>
    <w:rsid w:val="006C1EEC"/>
    <w:rsid w:val="006C2585"/>
    <w:rsid w:val="006C29B1"/>
    <w:rsid w:val="006C2DCF"/>
    <w:rsid w:val="006C34B2"/>
    <w:rsid w:val="006C3997"/>
    <w:rsid w:val="006C3D2C"/>
    <w:rsid w:val="006C43CF"/>
    <w:rsid w:val="006C46F3"/>
    <w:rsid w:val="006C5451"/>
    <w:rsid w:val="006C5EBD"/>
    <w:rsid w:val="006C607C"/>
    <w:rsid w:val="006C6E5B"/>
    <w:rsid w:val="006C75A9"/>
    <w:rsid w:val="006C7A45"/>
    <w:rsid w:val="006C7B74"/>
    <w:rsid w:val="006D01AD"/>
    <w:rsid w:val="006D0B01"/>
    <w:rsid w:val="006D0D1C"/>
    <w:rsid w:val="006D0DA0"/>
    <w:rsid w:val="006D0F87"/>
    <w:rsid w:val="006D13EA"/>
    <w:rsid w:val="006D1C5B"/>
    <w:rsid w:val="006D2571"/>
    <w:rsid w:val="006D2731"/>
    <w:rsid w:val="006D2ACF"/>
    <w:rsid w:val="006D2BB7"/>
    <w:rsid w:val="006D2EBC"/>
    <w:rsid w:val="006D313A"/>
    <w:rsid w:val="006D3502"/>
    <w:rsid w:val="006D427F"/>
    <w:rsid w:val="006D4294"/>
    <w:rsid w:val="006D44C2"/>
    <w:rsid w:val="006D4569"/>
    <w:rsid w:val="006D471D"/>
    <w:rsid w:val="006D475D"/>
    <w:rsid w:val="006D5B40"/>
    <w:rsid w:val="006D5BA6"/>
    <w:rsid w:val="006D5E78"/>
    <w:rsid w:val="006D6249"/>
    <w:rsid w:val="006D634B"/>
    <w:rsid w:val="006D642C"/>
    <w:rsid w:val="006D64E8"/>
    <w:rsid w:val="006D6541"/>
    <w:rsid w:val="006D65DE"/>
    <w:rsid w:val="006D6D1C"/>
    <w:rsid w:val="006D6E24"/>
    <w:rsid w:val="006D6EB7"/>
    <w:rsid w:val="006D727E"/>
    <w:rsid w:val="006D73DA"/>
    <w:rsid w:val="006D74E2"/>
    <w:rsid w:val="006D752C"/>
    <w:rsid w:val="006D75F6"/>
    <w:rsid w:val="006D7BFC"/>
    <w:rsid w:val="006D7CF9"/>
    <w:rsid w:val="006E0783"/>
    <w:rsid w:val="006E0FF5"/>
    <w:rsid w:val="006E11B6"/>
    <w:rsid w:val="006E12EC"/>
    <w:rsid w:val="006E12F5"/>
    <w:rsid w:val="006E13BC"/>
    <w:rsid w:val="006E16C6"/>
    <w:rsid w:val="006E16D3"/>
    <w:rsid w:val="006E16E2"/>
    <w:rsid w:val="006E1927"/>
    <w:rsid w:val="006E21F3"/>
    <w:rsid w:val="006E24BB"/>
    <w:rsid w:val="006E26B5"/>
    <w:rsid w:val="006E278B"/>
    <w:rsid w:val="006E29EB"/>
    <w:rsid w:val="006E2C9B"/>
    <w:rsid w:val="006E2E9F"/>
    <w:rsid w:val="006E3321"/>
    <w:rsid w:val="006E394A"/>
    <w:rsid w:val="006E4034"/>
    <w:rsid w:val="006E428C"/>
    <w:rsid w:val="006E465F"/>
    <w:rsid w:val="006E53F7"/>
    <w:rsid w:val="006E59F2"/>
    <w:rsid w:val="006E5BC6"/>
    <w:rsid w:val="006E60C0"/>
    <w:rsid w:val="006E6320"/>
    <w:rsid w:val="006E6A33"/>
    <w:rsid w:val="006E6A4D"/>
    <w:rsid w:val="006E7022"/>
    <w:rsid w:val="006E762B"/>
    <w:rsid w:val="006E78C5"/>
    <w:rsid w:val="006E7908"/>
    <w:rsid w:val="006E7A09"/>
    <w:rsid w:val="006E7EA8"/>
    <w:rsid w:val="006E7FA9"/>
    <w:rsid w:val="006E7FE7"/>
    <w:rsid w:val="006F08CF"/>
    <w:rsid w:val="006F0A01"/>
    <w:rsid w:val="006F0D06"/>
    <w:rsid w:val="006F0F85"/>
    <w:rsid w:val="006F1118"/>
    <w:rsid w:val="006F168D"/>
    <w:rsid w:val="006F1799"/>
    <w:rsid w:val="006F18BE"/>
    <w:rsid w:val="006F1989"/>
    <w:rsid w:val="006F1ACE"/>
    <w:rsid w:val="006F1F53"/>
    <w:rsid w:val="006F2378"/>
    <w:rsid w:val="006F2585"/>
    <w:rsid w:val="006F2660"/>
    <w:rsid w:val="006F279F"/>
    <w:rsid w:val="006F28F9"/>
    <w:rsid w:val="006F32D6"/>
    <w:rsid w:val="006F36E5"/>
    <w:rsid w:val="006F3A24"/>
    <w:rsid w:val="006F3DC9"/>
    <w:rsid w:val="006F3F11"/>
    <w:rsid w:val="006F4EC2"/>
    <w:rsid w:val="006F4F5C"/>
    <w:rsid w:val="006F5B62"/>
    <w:rsid w:val="006F5E8D"/>
    <w:rsid w:val="006F61EB"/>
    <w:rsid w:val="006F663E"/>
    <w:rsid w:val="006F6734"/>
    <w:rsid w:val="006F699A"/>
    <w:rsid w:val="006F6F38"/>
    <w:rsid w:val="006F7124"/>
    <w:rsid w:val="006F76D0"/>
    <w:rsid w:val="007000B0"/>
    <w:rsid w:val="007005EF"/>
    <w:rsid w:val="00700627"/>
    <w:rsid w:val="00700D07"/>
    <w:rsid w:val="00700DA8"/>
    <w:rsid w:val="00700E4A"/>
    <w:rsid w:val="00701101"/>
    <w:rsid w:val="00701325"/>
    <w:rsid w:val="00701589"/>
    <w:rsid w:val="00701A08"/>
    <w:rsid w:val="00701B83"/>
    <w:rsid w:val="00701D62"/>
    <w:rsid w:val="00701DA5"/>
    <w:rsid w:val="0070245C"/>
    <w:rsid w:val="0070258B"/>
    <w:rsid w:val="00702FD6"/>
    <w:rsid w:val="007033CF"/>
    <w:rsid w:val="00703677"/>
    <w:rsid w:val="0070394A"/>
    <w:rsid w:val="00704C11"/>
    <w:rsid w:val="00704CD3"/>
    <w:rsid w:val="00704F40"/>
    <w:rsid w:val="00704F8E"/>
    <w:rsid w:val="0070582D"/>
    <w:rsid w:val="00705F2F"/>
    <w:rsid w:val="007060CE"/>
    <w:rsid w:val="00706AC8"/>
    <w:rsid w:val="00706ADE"/>
    <w:rsid w:val="00706BDF"/>
    <w:rsid w:val="00706F51"/>
    <w:rsid w:val="0071007C"/>
    <w:rsid w:val="0071078B"/>
    <w:rsid w:val="0071081E"/>
    <w:rsid w:val="0071090D"/>
    <w:rsid w:val="00711863"/>
    <w:rsid w:val="00711A3F"/>
    <w:rsid w:val="00712DBB"/>
    <w:rsid w:val="00712E0E"/>
    <w:rsid w:val="00712E8B"/>
    <w:rsid w:val="00712F59"/>
    <w:rsid w:val="00713036"/>
    <w:rsid w:val="007137BE"/>
    <w:rsid w:val="0071397A"/>
    <w:rsid w:val="00713ED7"/>
    <w:rsid w:val="00713FDA"/>
    <w:rsid w:val="007140D2"/>
    <w:rsid w:val="0071435C"/>
    <w:rsid w:val="00714613"/>
    <w:rsid w:val="00714792"/>
    <w:rsid w:val="00714887"/>
    <w:rsid w:val="00714D71"/>
    <w:rsid w:val="0071577C"/>
    <w:rsid w:val="00716038"/>
    <w:rsid w:val="007160ED"/>
    <w:rsid w:val="0071675B"/>
    <w:rsid w:val="007167FF"/>
    <w:rsid w:val="007168E9"/>
    <w:rsid w:val="00717181"/>
    <w:rsid w:val="00717896"/>
    <w:rsid w:val="00717B75"/>
    <w:rsid w:val="00720284"/>
    <w:rsid w:val="0072074D"/>
    <w:rsid w:val="007208C0"/>
    <w:rsid w:val="00721229"/>
    <w:rsid w:val="00721328"/>
    <w:rsid w:val="007216AB"/>
    <w:rsid w:val="00721911"/>
    <w:rsid w:val="00721C69"/>
    <w:rsid w:val="00722953"/>
    <w:rsid w:val="007230FB"/>
    <w:rsid w:val="00723791"/>
    <w:rsid w:val="00723920"/>
    <w:rsid w:val="0072412B"/>
    <w:rsid w:val="00724162"/>
    <w:rsid w:val="007241F4"/>
    <w:rsid w:val="00724456"/>
    <w:rsid w:val="00724ED8"/>
    <w:rsid w:val="00724F63"/>
    <w:rsid w:val="00725319"/>
    <w:rsid w:val="00725772"/>
    <w:rsid w:val="00725FD9"/>
    <w:rsid w:val="007262DE"/>
    <w:rsid w:val="00726400"/>
    <w:rsid w:val="00726936"/>
    <w:rsid w:val="00727189"/>
    <w:rsid w:val="00727525"/>
    <w:rsid w:val="00727726"/>
    <w:rsid w:val="00727949"/>
    <w:rsid w:val="00730980"/>
    <w:rsid w:val="00730C76"/>
    <w:rsid w:val="00730E6F"/>
    <w:rsid w:val="0073152E"/>
    <w:rsid w:val="007319F0"/>
    <w:rsid w:val="00732CA5"/>
    <w:rsid w:val="0073306F"/>
    <w:rsid w:val="0073385B"/>
    <w:rsid w:val="00733E58"/>
    <w:rsid w:val="007343D5"/>
    <w:rsid w:val="00734974"/>
    <w:rsid w:val="00734BC1"/>
    <w:rsid w:val="00734EBF"/>
    <w:rsid w:val="00735169"/>
    <w:rsid w:val="00736471"/>
    <w:rsid w:val="007365D4"/>
    <w:rsid w:val="007368F8"/>
    <w:rsid w:val="00736AF1"/>
    <w:rsid w:val="00736C23"/>
    <w:rsid w:val="00736F9D"/>
    <w:rsid w:val="0073714A"/>
    <w:rsid w:val="00737DB1"/>
    <w:rsid w:val="007400DE"/>
    <w:rsid w:val="0074046C"/>
    <w:rsid w:val="0074048D"/>
    <w:rsid w:val="00740552"/>
    <w:rsid w:val="00740733"/>
    <w:rsid w:val="0074090A"/>
    <w:rsid w:val="007409EB"/>
    <w:rsid w:val="00740D67"/>
    <w:rsid w:val="00740DD2"/>
    <w:rsid w:val="00740E81"/>
    <w:rsid w:val="0074188C"/>
    <w:rsid w:val="00741C3B"/>
    <w:rsid w:val="00741CAC"/>
    <w:rsid w:val="0074216A"/>
    <w:rsid w:val="007424F7"/>
    <w:rsid w:val="00742BFA"/>
    <w:rsid w:val="00742D06"/>
    <w:rsid w:val="00742FDA"/>
    <w:rsid w:val="00743345"/>
    <w:rsid w:val="00743C8C"/>
    <w:rsid w:val="00743D67"/>
    <w:rsid w:val="0074422A"/>
    <w:rsid w:val="00744250"/>
    <w:rsid w:val="00744908"/>
    <w:rsid w:val="00744995"/>
    <w:rsid w:val="00744B9F"/>
    <w:rsid w:val="00744C69"/>
    <w:rsid w:val="00745964"/>
    <w:rsid w:val="00746369"/>
    <w:rsid w:val="007468E3"/>
    <w:rsid w:val="007469A9"/>
    <w:rsid w:val="0074711E"/>
    <w:rsid w:val="007475B1"/>
    <w:rsid w:val="007478DD"/>
    <w:rsid w:val="00747B11"/>
    <w:rsid w:val="00747EA4"/>
    <w:rsid w:val="0075007F"/>
    <w:rsid w:val="00750434"/>
    <w:rsid w:val="0075045C"/>
    <w:rsid w:val="00750476"/>
    <w:rsid w:val="007504FD"/>
    <w:rsid w:val="007505CF"/>
    <w:rsid w:val="00750A03"/>
    <w:rsid w:val="00750A66"/>
    <w:rsid w:val="007512EE"/>
    <w:rsid w:val="00751628"/>
    <w:rsid w:val="007517D2"/>
    <w:rsid w:val="007517EB"/>
    <w:rsid w:val="0075214F"/>
    <w:rsid w:val="007524F4"/>
    <w:rsid w:val="00752A9A"/>
    <w:rsid w:val="00752BAC"/>
    <w:rsid w:val="00752E4E"/>
    <w:rsid w:val="007533E8"/>
    <w:rsid w:val="00753504"/>
    <w:rsid w:val="00753E7F"/>
    <w:rsid w:val="007543B7"/>
    <w:rsid w:val="00754A86"/>
    <w:rsid w:val="00755A52"/>
    <w:rsid w:val="00756556"/>
    <w:rsid w:val="0075694F"/>
    <w:rsid w:val="0075697B"/>
    <w:rsid w:val="007569D6"/>
    <w:rsid w:val="00756EF6"/>
    <w:rsid w:val="00756FA0"/>
    <w:rsid w:val="00757E4E"/>
    <w:rsid w:val="00757F50"/>
    <w:rsid w:val="00760C7A"/>
    <w:rsid w:val="00760EA6"/>
    <w:rsid w:val="00761346"/>
    <w:rsid w:val="00761B24"/>
    <w:rsid w:val="007629CB"/>
    <w:rsid w:val="00762CFF"/>
    <w:rsid w:val="00762DBF"/>
    <w:rsid w:val="007636FF"/>
    <w:rsid w:val="007639DF"/>
    <w:rsid w:val="0076437A"/>
    <w:rsid w:val="007643AC"/>
    <w:rsid w:val="00764495"/>
    <w:rsid w:val="00764A8E"/>
    <w:rsid w:val="00764D76"/>
    <w:rsid w:val="0076530E"/>
    <w:rsid w:val="007653F6"/>
    <w:rsid w:val="007655F8"/>
    <w:rsid w:val="00765685"/>
    <w:rsid w:val="00765723"/>
    <w:rsid w:val="00765756"/>
    <w:rsid w:val="007658DB"/>
    <w:rsid w:val="00765CA0"/>
    <w:rsid w:val="00765E88"/>
    <w:rsid w:val="0076621C"/>
    <w:rsid w:val="007664BB"/>
    <w:rsid w:val="0076655A"/>
    <w:rsid w:val="007665CA"/>
    <w:rsid w:val="00766B6D"/>
    <w:rsid w:val="00766CFF"/>
    <w:rsid w:val="00767E81"/>
    <w:rsid w:val="00770211"/>
    <w:rsid w:val="00770B5B"/>
    <w:rsid w:val="00771200"/>
    <w:rsid w:val="00771249"/>
    <w:rsid w:val="0077177A"/>
    <w:rsid w:val="007718D1"/>
    <w:rsid w:val="007719A5"/>
    <w:rsid w:val="00771B8E"/>
    <w:rsid w:val="007720D8"/>
    <w:rsid w:val="007729BB"/>
    <w:rsid w:val="00772A74"/>
    <w:rsid w:val="00772F03"/>
    <w:rsid w:val="00773025"/>
    <w:rsid w:val="00773B97"/>
    <w:rsid w:val="00773DFA"/>
    <w:rsid w:val="00773F83"/>
    <w:rsid w:val="00774162"/>
    <w:rsid w:val="007741F8"/>
    <w:rsid w:val="0077444D"/>
    <w:rsid w:val="00774C7A"/>
    <w:rsid w:val="00774DD6"/>
    <w:rsid w:val="00774EED"/>
    <w:rsid w:val="00775170"/>
    <w:rsid w:val="00775341"/>
    <w:rsid w:val="0077545E"/>
    <w:rsid w:val="007755BF"/>
    <w:rsid w:val="00776AFD"/>
    <w:rsid w:val="00776F50"/>
    <w:rsid w:val="00780295"/>
    <w:rsid w:val="0078045F"/>
    <w:rsid w:val="00780A5E"/>
    <w:rsid w:val="00780BED"/>
    <w:rsid w:val="00780E09"/>
    <w:rsid w:val="00780F5D"/>
    <w:rsid w:val="007813A4"/>
    <w:rsid w:val="00781CB3"/>
    <w:rsid w:val="00781D03"/>
    <w:rsid w:val="007826B5"/>
    <w:rsid w:val="007830FB"/>
    <w:rsid w:val="0078323D"/>
    <w:rsid w:val="00783285"/>
    <w:rsid w:val="00783B0F"/>
    <w:rsid w:val="00783F1E"/>
    <w:rsid w:val="0078450F"/>
    <w:rsid w:val="0078475D"/>
    <w:rsid w:val="00784767"/>
    <w:rsid w:val="00784A33"/>
    <w:rsid w:val="00784B10"/>
    <w:rsid w:val="00784DD0"/>
    <w:rsid w:val="00784E59"/>
    <w:rsid w:val="007853AD"/>
    <w:rsid w:val="007857F6"/>
    <w:rsid w:val="00786098"/>
    <w:rsid w:val="0078650A"/>
    <w:rsid w:val="00786AFB"/>
    <w:rsid w:val="00786B0C"/>
    <w:rsid w:val="00786C7E"/>
    <w:rsid w:val="007872A9"/>
    <w:rsid w:val="00787321"/>
    <w:rsid w:val="00787FF2"/>
    <w:rsid w:val="007908E4"/>
    <w:rsid w:val="00790C2E"/>
    <w:rsid w:val="00791793"/>
    <w:rsid w:val="00791DF1"/>
    <w:rsid w:val="00791FDA"/>
    <w:rsid w:val="00792085"/>
    <w:rsid w:val="007924C6"/>
    <w:rsid w:val="00792514"/>
    <w:rsid w:val="007925CB"/>
    <w:rsid w:val="007925F7"/>
    <w:rsid w:val="00792674"/>
    <w:rsid w:val="007926F0"/>
    <w:rsid w:val="007927A6"/>
    <w:rsid w:val="007928EF"/>
    <w:rsid w:val="00792DA7"/>
    <w:rsid w:val="00792EDB"/>
    <w:rsid w:val="00793A3A"/>
    <w:rsid w:val="00793C3E"/>
    <w:rsid w:val="00793ECF"/>
    <w:rsid w:val="00794253"/>
    <w:rsid w:val="00794319"/>
    <w:rsid w:val="0079433C"/>
    <w:rsid w:val="00794516"/>
    <w:rsid w:val="0079557F"/>
    <w:rsid w:val="00795C44"/>
    <w:rsid w:val="0079635B"/>
    <w:rsid w:val="007963E7"/>
    <w:rsid w:val="00796631"/>
    <w:rsid w:val="007968CD"/>
    <w:rsid w:val="00796A58"/>
    <w:rsid w:val="00796C90"/>
    <w:rsid w:val="00797449"/>
    <w:rsid w:val="00797A3A"/>
    <w:rsid w:val="00797B7C"/>
    <w:rsid w:val="007A03FB"/>
    <w:rsid w:val="007A06B3"/>
    <w:rsid w:val="007A0B52"/>
    <w:rsid w:val="007A0CFF"/>
    <w:rsid w:val="007A0DE0"/>
    <w:rsid w:val="007A14A1"/>
    <w:rsid w:val="007A15A8"/>
    <w:rsid w:val="007A17B4"/>
    <w:rsid w:val="007A17FD"/>
    <w:rsid w:val="007A20D8"/>
    <w:rsid w:val="007A28F4"/>
    <w:rsid w:val="007A2EA4"/>
    <w:rsid w:val="007A3919"/>
    <w:rsid w:val="007A39BC"/>
    <w:rsid w:val="007A3A0C"/>
    <w:rsid w:val="007A3CE0"/>
    <w:rsid w:val="007A50E7"/>
    <w:rsid w:val="007A54D6"/>
    <w:rsid w:val="007A5ABD"/>
    <w:rsid w:val="007A5B83"/>
    <w:rsid w:val="007A60F0"/>
    <w:rsid w:val="007A6737"/>
    <w:rsid w:val="007A6BC2"/>
    <w:rsid w:val="007A6F66"/>
    <w:rsid w:val="007A7440"/>
    <w:rsid w:val="007A75FD"/>
    <w:rsid w:val="007B0364"/>
    <w:rsid w:val="007B0CF0"/>
    <w:rsid w:val="007B0D86"/>
    <w:rsid w:val="007B0E58"/>
    <w:rsid w:val="007B1053"/>
    <w:rsid w:val="007B114E"/>
    <w:rsid w:val="007B1420"/>
    <w:rsid w:val="007B155D"/>
    <w:rsid w:val="007B1888"/>
    <w:rsid w:val="007B1AFE"/>
    <w:rsid w:val="007B2DC1"/>
    <w:rsid w:val="007B2F44"/>
    <w:rsid w:val="007B37C1"/>
    <w:rsid w:val="007B3852"/>
    <w:rsid w:val="007B3F08"/>
    <w:rsid w:val="007B404B"/>
    <w:rsid w:val="007B40D3"/>
    <w:rsid w:val="007B4366"/>
    <w:rsid w:val="007B55E3"/>
    <w:rsid w:val="007B5750"/>
    <w:rsid w:val="007B5BB0"/>
    <w:rsid w:val="007B5E91"/>
    <w:rsid w:val="007B5EB0"/>
    <w:rsid w:val="007B6114"/>
    <w:rsid w:val="007B63B1"/>
    <w:rsid w:val="007B654C"/>
    <w:rsid w:val="007B6821"/>
    <w:rsid w:val="007B6C93"/>
    <w:rsid w:val="007B6CF6"/>
    <w:rsid w:val="007B6D0D"/>
    <w:rsid w:val="007B6F44"/>
    <w:rsid w:val="007B7209"/>
    <w:rsid w:val="007B7766"/>
    <w:rsid w:val="007B777A"/>
    <w:rsid w:val="007C02C5"/>
    <w:rsid w:val="007C0435"/>
    <w:rsid w:val="007C05B8"/>
    <w:rsid w:val="007C0FAA"/>
    <w:rsid w:val="007C158B"/>
    <w:rsid w:val="007C1C80"/>
    <w:rsid w:val="007C1D2F"/>
    <w:rsid w:val="007C1F70"/>
    <w:rsid w:val="007C2579"/>
    <w:rsid w:val="007C291C"/>
    <w:rsid w:val="007C2B90"/>
    <w:rsid w:val="007C2C45"/>
    <w:rsid w:val="007C2EDC"/>
    <w:rsid w:val="007C324A"/>
    <w:rsid w:val="007C33C3"/>
    <w:rsid w:val="007C3807"/>
    <w:rsid w:val="007C3C77"/>
    <w:rsid w:val="007C4063"/>
    <w:rsid w:val="007C4100"/>
    <w:rsid w:val="007C4266"/>
    <w:rsid w:val="007C43FB"/>
    <w:rsid w:val="007C45ED"/>
    <w:rsid w:val="007C45F1"/>
    <w:rsid w:val="007C4A0C"/>
    <w:rsid w:val="007C4ADC"/>
    <w:rsid w:val="007C4DC9"/>
    <w:rsid w:val="007C5070"/>
    <w:rsid w:val="007C5645"/>
    <w:rsid w:val="007C58EC"/>
    <w:rsid w:val="007C613D"/>
    <w:rsid w:val="007C645A"/>
    <w:rsid w:val="007C65A8"/>
    <w:rsid w:val="007C672B"/>
    <w:rsid w:val="007C6B3A"/>
    <w:rsid w:val="007D010A"/>
    <w:rsid w:val="007D1659"/>
    <w:rsid w:val="007D228A"/>
    <w:rsid w:val="007D22FC"/>
    <w:rsid w:val="007D2531"/>
    <w:rsid w:val="007D31A1"/>
    <w:rsid w:val="007D3B25"/>
    <w:rsid w:val="007D4037"/>
    <w:rsid w:val="007D4106"/>
    <w:rsid w:val="007D5A19"/>
    <w:rsid w:val="007D62EA"/>
    <w:rsid w:val="007D6555"/>
    <w:rsid w:val="007D6D1D"/>
    <w:rsid w:val="007D6E08"/>
    <w:rsid w:val="007D6E74"/>
    <w:rsid w:val="007D6E82"/>
    <w:rsid w:val="007D7695"/>
    <w:rsid w:val="007D773C"/>
    <w:rsid w:val="007D7E1C"/>
    <w:rsid w:val="007D7F3A"/>
    <w:rsid w:val="007E0682"/>
    <w:rsid w:val="007E0C19"/>
    <w:rsid w:val="007E0C9C"/>
    <w:rsid w:val="007E0CDD"/>
    <w:rsid w:val="007E1102"/>
    <w:rsid w:val="007E1B7E"/>
    <w:rsid w:val="007E1E62"/>
    <w:rsid w:val="007E236D"/>
    <w:rsid w:val="007E28FA"/>
    <w:rsid w:val="007E2B00"/>
    <w:rsid w:val="007E3079"/>
    <w:rsid w:val="007E326E"/>
    <w:rsid w:val="007E36AB"/>
    <w:rsid w:val="007E39FC"/>
    <w:rsid w:val="007E3E5A"/>
    <w:rsid w:val="007E445E"/>
    <w:rsid w:val="007E478A"/>
    <w:rsid w:val="007E49C0"/>
    <w:rsid w:val="007E4B65"/>
    <w:rsid w:val="007E505D"/>
    <w:rsid w:val="007E574A"/>
    <w:rsid w:val="007E66CA"/>
    <w:rsid w:val="007E6BC5"/>
    <w:rsid w:val="007E6CCF"/>
    <w:rsid w:val="007E6F35"/>
    <w:rsid w:val="007E7B3F"/>
    <w:rsid w:val="007F0119"/>
    <w:rsid w:val="007F019E"/>
    <w:rsid w:val="007F0501"/>
    <w:rsid w:val="007F062C"/>
    <w:rsid w:val="007F1830"/>
    <w:rsid w:val="007F21FD"/>
    <w:rsid w:val="007F2405"/>
    <w:rsid w:val="007F24EC"/>
    <w:rsid w:val="007F2548"/>
    <w:rsid w:val="007F264A"/>
    <w:rsid w:val="007F269D"/>
    <w:rsid w:val="007F2C92"/>
    <w:rsid w:val="007F3697"/>
    <w:rsid w:val="007F36E6"/>
    <w:rsid w:val="007F372D"/>
    <w:rsid w:val="007F3874"/>
    <w:rsid w:val="007F3B5C"/>
    <w:rsid w:val="007F3EC3"/>
    <w:rsid w:val="007F46B8"/>
    <w:rsid w:val="007F50A1"/>
    <w:rsid w:val="007F50ED"/>
    <w:rsid w:val="007F5117"/>
    <w:rsid w:val="007F533A"/>
    <w:rsid w:val="007F5BF8"/>
    <w:rsid w:val="007F5DDA"/>
    <w:rsid w:val="007F5EB2"/>
    <w:rsid w:val="007F5EF5"/>
    <w:rsid w:val="007F6038"/>
    <w:rsid w:val="007F69BA"/>
    <w:rsid w:val="007F6C12"/>
    <w:rsid w:val="007F71AB"/>
    <w:rsid w:val="007F7500"/>
    <w:rsid w:val="007F75C1"/>
    <w:rsid w:val="007F7709"/>
    <w:rsid w:val="007F7B1E"/>
    <w:rsid w:val="007F7E88"/>
    <w:rsid w:val="00800396"/>
    <w:rsid w:val="008007A2"/>
    <w:rsid w:val="00800E9D"/>
    <w:rsid w:val="00801555"/>
    <w:rsid w:val="00802183"/>
    <w:rsid w:val="00802253"/>
    <w:rsid w:val="008022C0"/>
    <w:rsid w:val="0080260A"/>
    <w:rsid w:val="00802697"/>
    <w:rsid w:val="008028D5"/>
    <w:rsid w:val="00802BA2"/>
    <w:rsid w:val="00802D2B"/>
    <w:rsid w:val="008032AD"/>
    <w:rsid w:val="00803595"/>
    <w:rsid w:val="00803A64"/>
    <w:rsid w:val="00803AE6"/>
    <w:rsid w:val="00803BEE"/>
    <w:rsid w:val="00804054"/>
    <w:rsid w:val="008042B0"/>
    <w:rsid w:val="008046AF"/>
    <w:rsid w:val="00804897"/>
    <w:rsid w:val="00804929"/>
    <w:rsid w:val="00804A2A"/>
    <w:rsid w:val="00805332"/>
    <w:rsid w:val="008063DD"/>
    <w:rsid w:val="008069CF"/>
    <w:rsid w:val="00806C3E"/>
    <w:rsid w:val="00806D71"/>
    <w:rsid w:val="008074B6"/>
    <w:rsid w:val="00807C71"/>
    <w:rsid w:val="00807C97"/>
    <w:rsid w:val="00807FBF"/>
    <w:rsid w:val="0081065F"/>
    <w:rsid w:val="00810CA0"/>
    <w:rsid w:val="0081184C"/>
    <w:rsid w:val="008118E2"/>
    <w:rsid w:val="00811A57"/>
    <w:rsid w:val="00811AFB"/>
    <w:rsid w:val="0081200A"/>
    <w:rsid w:val="0081250D"/>
    <w:rsid w:val="008126E7"/>
    <w:rsid w:val="00812AAC"/>
    <w:rsid w:val="008133E8"/>
    <w:rsid w:val="00813450"/>
    <w:rsid w:val="0081388C"/>
    <w:rsid w:val="008139C0"/>
    <w:rsid w:val="0081489E"/>
    <w:rsid w:val="00815527"/>
    <w:rsid w:val="00815716"/>
    <w:rsid w:val="008159E3"/>
    <w:rsid w:val="00815AE8"/>
    <w:rsid w:val="00815E35"/>
    <w:rsid w:val="0081626F"/>
    <w:rsid w:val="00816281"/>
    <w:rsid w:val="008164B9"/>
    <w:rsid w:val="008167EB"/>
    <w:rsid w:val="00816B4D"/>
    <w:rsid w:val="00817033"/>
    <w:rsid w:val="0081755A"/>
    <w:rsid w:val="00820136"/>
    <w:rsid w:val="008201A8"/>
    <w:rsid w:val="00820361"/>
    <w:rsid w:val="008207DE"/>
    <w:rsid w:val="008211B9"/>
    <w:rsid w:val="008212A3"/>
    <w:rsid w:val="008212FF"/>
    <w:rsid w:val="0082149C"/>
    <w:rsid w:val="0082160C"/>
    <w:rsid w:val="00822448"/>
    <w:rsid w:val="0082297E"/>
    <w:rsid w:val="00822A5F"/>
    <w:rsid w:val="00822B9A"/>
    <w:rsid w:val="00822BC2"/>
    <w:rsid w:val="00822C70"/>
    <w:rsid w:val="00822F1E"/>
    <w:rsid w:val="008235C8"/>
    <w:rsid w:val="008236AC"/>
    <w:rsid w:val="00823855"/>
    <w:rsid w:val="0082386C"/>
    <w:rsid w:val="00823C06"/>
    <w:rsid w:val="00823DD5"/>
    <w:rsid w:val="00823E84"/>
    <w:rsid w:val="00823ED7"/>
    <w:rsid w:val="00824D97"/>
    <w:rsid w:val="008251EA"/>
    <w:rsid w:val="00825C5F"/>
    <w:rsid w:val="00825E1D"/>
    <w:rsid w:val="0082682F"/>
    <w:rsid w:val="0082686B"/>
    <w:rsid w:val="0082714A"/>
    <w:rsid w:val="008275BD"/>
    <w:rsid w:val="00827AB6"/>
    <w:rsid w:val="00827C5F"/>
    <w:rsid w:val="00827D8F"/>
    <w:rsid w:val="00827FBB"/>
    <w:rsid w:val="00830418"/>
    <w:rsid w:val="008309E7"/>
    <w:rsid w:val="00830A6C"/>
    <w:rsid w:val="00830DB7"/>
    <w:rsid w:val="00830EDF"/>
    <w:rsid w:val="00831A45"/>
    <w:rsid w:val="00832462"/>
    <w:rsid w:val="00832787"/>
    <w:rsid w:val="0083298B"/>
    <w:rsid w:val="00833229"/>
    <w:rsid w:val="0083337C"/>
    <w:rsid w:val="0083354C"/>
    <w:rsid w:val="00833B0A"/>
    <w:rsid w:val="00833B67"/>
    <w:rsid w:val="00834D35"/>
    <w:rsid w:val="0083592F"/>
    <w:rsid w:val="00835EDE"/>
    <w:rsid w:val="008360CB"/>
    <w:rsid w:val="00836370"/>
    <w:rsid w:val="008365AB"/>
    <w:rsid w:val="00836976"/>
    <w:rsid w:val="00836B0A"/>
    <w:rsid w:val="0083716F"/>
    <w:rsid w:val="008375A7"/>
    <w:rsid w:val="008378CC"/>
    <w:rsid w:val="00837F3E"/>
    <w:rsid w:val="008404E9"/>
    <w:rsid w:val="00840745"/>
    <w:rsid w:val="00840B20"/>
    <w:rsid w:val="00840D7A"/>
    <w:rsid w:val="008415DF"/>
    <w:rsid w:val="00841A7B"/>
    <w:rsid w:val="00841E0C"/>
    <w:rsid w:val="008420D5"/>
    <w:rsid w:val="008424EA"/>
    <w:rsid w:val="00842A9E"/>
    <w:rsid w:val="00842E84"/>
    <w:rsid w:val="00843D53"/>
    <w:rsid w:val="00843E1F"/>
    <w:rsid w:val="008441C3"/>
    <w:rsid w:val="008442A7"/>
    <w:rsid w:val="008446E3"/>
    <w:rsid w:val="00844768"/>
    <w:rsid w:val="008449E2"/>
    <w:rsid w:val="00844D55"/>
    <w:rsid w:val="00844E43"/>
    <w:rsid w:val="008454C4"/>
    <w:rsid w:val="008455FD"/>
    <w:rsid w:val="00845A14"/>
    <w:rsid w:val="00846325"/>
    <w:rsid w:val="00846581"/>
    <w:rsid w:val="00846899"/>
    <w:rsid w:val="008468B3"/>
    <w:rsid w:val="00846A16"/>
    <w:rsid w:val="0084716E"/>
    <w:rsid w:val="0084771D"/>
    <w:rsid w:val="00847AB7"/>
    <w:rsid w:val="00847B68"/>
    <w:rsid w:val="00850F12"/>
    <w:rsid w:val="00851368"/>
    <w:rsid w:val="008518C4"/>
    <w:rsid w:val="0085193C"/>
    <w:rsid w:val="00851B84"/>
    <w:rsid w:val="008521B9"/>
    <w:rsid w:val="008521ED"/>
    <w:rsid w:val="0085222F"/>
    <w:rsid w:val="00852A12"/>
    <w:rsid w:val="00852AD0"/>
    <w:rsid w:val="00852CA2"/>
    <w:rsid w:val="008530FE"/>
    <w:rsid w:val="008535CC"/>
    <w:rsid w:val="008536C4"/>
    <w:rsid w:val="008539CD"/>
    <w:rsid w:val="00853A92"/>
    <w:rsid w:val="008540C4"/>
    <w:rsid w:val="00854624"/>
    <w:rsid w:val="00854F75"/>
    <w:rsid w:val="00855839"/>
    <w:rsid w:val="008559C2"/>
    <w:rsid w:val="00855B04"/>
    <w:rsid w:val="00855FA8"/>
    <w:rsid w:val="008564A4"/>
    <w:rsid w:val="008569C9"/>
    <w:rsid w:val="00856ADD"/>
    <w:rsid w:val="00856B6D"/>
    <w:rsid w:val="00857165"/>
    <w:rsid w:val="00857387"/>
    <w:rsid w:val="008574EC"/>
    <w:rsid w:val="008578F9"/>
    <w:rsid w:val="00857A78"/>
    <w:rsid w:val="00857B0A"/>
    <w:rsid w:val="00857C0F"/>
    <w:rsid w:val="00857DDE"/>
    <w:rsid w:val="00860491"/>
    <w:rsid w:val="008608C3"/>
    <w:rsid w:val="00860B0F"/>
    <w:rsid w:val="0086174D"/>
    <w:rsid w:val="00861829"/>
    <w:rsid w:val="00861DA9"/>
    <w:rsid w:val="008620EA"/>
    <w:rsid w:val="008621A3"/>
    <w:rsid w:val="00862369"/>
    <w:rsid w:val="00862570"/>
    <w:rsid w:val="00862E1A"/>
    <w:rsid w:val="00862EA2"/>
    <w:rsid w:val="00862FB1"/>
    <w:rsid w:val="008632FF"/>
    <w:rsid w:val="0086342F"/>
    <w:rsid w:val="00863573"/>
    <w:rsid w:val="00863986"/>
    <w:rsid w:val="00863C72"/>
    <w:rsid w:val="008640D3"/>
    <w:rsid w:val="0086411F"/>
    <w:rsid w:val="0086431B"/>
    <w:rsid w:val="008646D0"/>
    <w:rsid w:val="00865266"/>
    <w:rsid w:val="0086559A"/>
    <w:rsid w:val="00865AE0"/>
    <w:rsid w:val="00865B0A"/>
    <w:rsid w:val="00865C6D"/>
    <w:rsid w:val="00865EAA"/>
    <w:rsid w:val="00866060"/>
    <w:rsid w:val="00866148"/>
    <w:rsid w:val="0086654B"/>
    <w:rsid w:val="008669B0"/>
    <w:rsid w:val="0086733E"/>
    <w:rsid w:val="00867557"/>
    <w:rsid w:val="0086795A"/>
    <w:rsid w:val="00867CA4"/>
    <w:rsid w:val="00867E21"/>
    <w:rsid w:val="00871251"/>
    <w:rsid w:val="008716EA"/>
    <w:rsid w:val="00871711"/>
    <w:rsid w:val="00871987"/>
    <w:rsid w:val="00871D99"/>
    <w:rsid w:val="00872A32"/>
    <w:rsid w:val="00872D93"/>
    <w:rsid w:val="00872E55"/>
    <w:rsid w:val="00872ECF"/>
    <w:rsid w:val="00873000"/>
    <w:rsid w:val="0087317A"/>
    <w:rsid w:val="008732BF"/>
    <w:rsid w:val="00873CDE"/>
    <w:rsid w:val="00873CED"/>
    <w:rsid w:val="008740A4"/>
    <w:rsid w:val="0087491D"/>
    <w:rsid w:val="00874C15"/>
    <w:rsid w:val="00875323"/>
    <w:rsid w:val="00875548"/>
    <w:rsid w:val="008758F7"/>
    <w:rsid w:val="008764B0"/>
    <w:rsid w:val="00876D5F"/>
    <w:rsid w:val="00877895"/>
    <w:rsid w:val="00877D54"/>
    <w:rsid w:val="008801E0"/>
    <w:rsid w:val="008804A8"/>
    <w:rsid w:val="00880797"/>
    <w:rsid w:val="008809E9"/>
    <w:rsid w:val="00881FA1"/>
    <w:rsid w:val="008826F1"/>
    <w:rsid w:val="008831EE"/>
    <w:rsid w:val="008833A5"/>
    <w:rsid w:val="00883461"/>
    <w:rsid w:val="00883A45"/>
    <w:rsid w:val="00883B23"/>
    <w:rsid w:val="00884318"/>
    <w:rsid w:val="00884360"/>
    <w:rsid w:val="0088511C"/>
    <w:rsid w:val="00885259"/>
    <w:rsid w:val="00885307"/>
    <w:rsid w:val="00885B81"/>
    <w:rsid w:val="008864A7"/>
    <w:rsid w:val="00886967"/>
    <w:rsid w:val="00886AEE"/>
    <w:rsid w:val="00886B20"/>
    <w:rsid w:val="00887233"/>
    <w:rsid w:val="0088778D"/>
    <w:rsid w:val="008877B9"/>
    <w:rsid w:val="0088791A"/>
    <w:rsid w:val="00887A39"/>
    <w:rsid w:val="00887C06"/>
    <w:rsid w:val="00887EF0"/>
    <w:rsid w:val="008905D5"/>
    <w:rsid w:val="00890A5E"/>
    <w:rsid w:val="00890E4C"/>
    <w:rsid w:val="00890F46"/>
    <w:rsid w:val="00891639"/>
    <w:rsid w:val="0089186C"/>
    <w:rsid w:val="00891AF5"/>
    <w:rsid w:val="00891C67"/>
    <w:rsid w:val="00892089"/>
    <w:rsid w:val="008921DA"/>
    <w:rsid w:val="008923D7"/>
    <w:rsid w:val="00892A9F"/>
    <w:rsid w:val="00892E9F"/>
    <w:rsid w:val="00892FA8"/>
    <w:rsid w:val="00893078"/>
    <w:rsid w:val="0089380C"/>
    <w:rsid w:val="0089436F"/>
    <w:rsid w:val="00894468"/>
    <w:rsid w:val="00894534"/>
    <w:rsid w:val="0089508A"/>
    <w:rsid w:val="00895A3B"/>
    <w:rsid w:val="00895BEA"/>
    <w:rsid w:val="00895CB2"/>
    <w:rsid w:val="00895F82"/>
    <w:rsid w:val="00896391"/>
    <w:rsid w:val="00896689"/>
    <w:rsid w:val="00896F70"/>
    <w:rsid w:val="008978A4"/>
    <w:rsid w:val="0089793C"/>
    <w:rsid w:val="00897E35"/>
    <w:rsid w:val="00897F74"/>
    <w:rsid w:val="008A079A"/>
    <w:rsid w:val="008A0B11"/>
    <w:rsid w:val="008A0C54"/>
    <w:rsid w:val="008A14F9"/>
    <w:rsid w:val="008A1522"/>
    <w:rsid w:val="008A193F"/>
    <w:rsid w:val="008A2142"/>
    <w:rsid w:val="008A275B"/>
    <w:rsid w:val="008A2B02"/>
    <w:rsid w:val="008A306E"/>
    <w:rsid w:val="008A30AB"/>
    <w:rsid w:val="008A3973"/>
    <w:rsid w:val="008A3CCC"/>
    <w:rsid w:val="008A4B44"/>
    <w:rsid w:val="008A525E"/>
    <w:rsid w:val="008A5CA2"/>
    <w:rsid w:val="008A5F99"/>
    <w:rsid w:val="008A61A5"/>
    <w:rsid w:val="008A6417"/>
    <w:rsid w:val="008A6556"/>
    <w:rsid w:val="008A7801"/>
    <w:rsid w:val="008A7D79"/>
    <w:rsid w:val="008A7EEA"/>
    <w:rsid w:val="008B01FA"/>
    <w:rsid w:val="008B0307"/>
    <w:rsid w:val="008B109D"/>
    <w:rsid w:val="008B1672"/>
    <w:rsid w:val="008B1EF8"/>
    <w:rsid w:val="008B220C"/>
    <w:rsid w:val="008B2AA3"/>
    <w:rsid w:val="008B3170"/>
    <w:rsid w:val="008B37AD"/>
    <w:rsid w:val="008B3885"/>
    <w:rsid w:val="008B39DD"/>
    <w:rsid w:val="008B4108"/>
    <w:rsid w:val="008B43B8"/>
    <w:rsid w:val="008B45B5"/>
    <w:rsid w:val="008B539A"/>
    <w:rsid w:val="008B5542"/>
    <w:rsid w:val="008B557F"/>
    <w:rsid w:val="008B588D"/>
    <w:rsid w:val="008B59E7"/>
    <w:rsid w:val="008B6209"/>
    <w:rsid w:val="008B6391"/>
    <w:rsid w:val="008B6571"/>
    <w:rsid w:val="008B6A98"/>
    <w:rsid w:val="008B7594"/>
    <w:rsid w:val="008B7766"/>
    <w:rsid w:val="008B777D"/>
    <w:rsid w:val="008B782F"/>
    <w:rsid w:val="008B799E"/>
    <w:rsid w:val="008B7C3C"/>
    <w:rsid w:val="008C005A"/>
    <w:rsid w:val="008C0657"/>
    <w:rsid w:val="008C0CB4"/>
    <w:rsid w:val="008C0D27"/>
    <w:rsid w:val="008C0DB8"/>
    <w:rsid w:val="008C0EAA"/>
    <w:rsid w:val="008C182B"/>
    <w:rsid w:val="008C1C29"/>
    <w:rsid w:val="008C21B0"/>
    <w:rsid w:val="008C2330"/>
    <w:rsid w:val="008C28D8"/>
    <w:rsid w:val="008C29F3"/>
    <w:rsid w:val="008C329F"/>
    <w:rsid w:val="008C48AE"/>
    <w:rsid w:val="008C57A2"/>
    <w:rsid w:val="008C5AFD"/>
    <w:rsid w:val="008C61DF"/>
    <w:rsid w:val="008C6512"/>
    <w:rsid w:val="008C66FB"/>
    <w:rsid w:val="008C6719"/>
    <w:rsid w:val="008C67B8"/>
    <w:rsid w:val="008C67BA"/>
    <w:rsid w:val="008C6B68"/>
    <w:rsid w:val="008C73B5"/>
    <w:rsid w:val="008C74DE"/>
    <w:rsid w:val="008D01E8"/>
    <w:rsid w:val="008D0759"/>
    <w:rsid w:val="008D07E5"/>
    <w:rsid w:val="008D1185"/>
    <w:rsid w:val="008D1D21"/>
    <w:rsid w:val="008D23CC"/>
    <w:rsid w:val="008D2855"/>
    <w:rsid w:val="008D2A3E"/>
    <w:rsid w:val="008D2C33"/>
    <w:rsid w:val="008D2E9F"/>
    <w:rsid w:val="008D336B"/>
    <w:rsid w:val="008D3A49"/>
    <w:rsid w:val="008D3DA8"/>
    <w:rsid w:val="008D44E3"/>
    <w:rsid w:val="008D5673"/>
    <w:rsid w:val="008D56CA"/>
    <w:rsid w:val="008D5960"/>
    <w:rsid w:val="008D5AA1"/>
    <w:rsid w:val="008D62A3"/>
    <w:rsid w:val="008D686A"/>
    <w:rsid w:val="008D6D8B"/>
    <w:rsid w:val="008D6FBE"/>
    <w:rsid w:val="008D790B"/>
    <w:rsid w:val="008D7C5A"/>
    <w:rsid w:val="008E00AA"/>
    <w:rsid w:val="008E127F"/>
    <w:rsid w:val="008E1309"/>
    <w:rsid w:val="008E1873"/>
    <w:rsid w:val="008E18E2"/>
    <w:rsid w:val="008E19AB"/>
    <w:rsid w:val="008E1A4E"/>
    <w:rsid w:val="008E1E6F"/>
    <w:rsid w:val="008E236E"/>
    <w:rsid w:val="008E2A19"/>
    <w:rsid w:val="008E2AD1"/>
    <w:rsid w:val="008E2CDE"/>
    <w:rsid w:val="008E2E7B"/>
    <w:rsid w:val="008E309D"/>
    <w:rsid w:val="008E323F"/>
    <w:rsid w:val="008E3605"/>
    <w:rsid w:val="008E3FA8"/>
    <w:rsid w:val="008E4035"/>
    <w:rsid w:val="008E45FB"/>
    <w:rsid w:val="008E48DB"/>
    <w:rsid w:val="008E4D0F"/>
    <w:rsid w:val="008E4DB4"/>
    <w:rsid w:val="008E4E29"/>
    <w:rsid w:val="008E50FD"/>
    <w:rsid w:val="008E5230"/>
    <w:rsid w:val="008E52B7"/>
    <w:rsid w:val="008E5546"/>
    <w:rsid w:val="008E5DA0"/>
    <w:rsid w:val="008E65CF"/>
    <w:rsid w:val="008E6D60"/>
    <w:rsid w:val="008E6FBF"/>
    <w:rsid w:val="008E72A3"/>
    <w:rsid w:val="008E7408"/>
    <w:rsid w:val="008E775D"/>
    <w:rsid w:val="008E77B8"/>
    <w:rsid w:val="008E7C58"/>
    <w:rsid w:val="008F0094"/>
    <w:rsid w:val="008F0D9D"/>
    <w:rsid w:val="008F107C"/>
    <w:rsid w:val="008F13EC"/>
    <w:rsid w:val="008F1410"/>
    <w:rsid w:val="008F14E3"/>
    <w:rsid w:val="008F1C1A"/>
    <w:rsid w:val="008F1EAB"/>
    <w:rsid w:val="008F20E4"/>
    <w:rsid w:val="008F250B"/>
    <w:rsid w:val="008F287C"/>
    <w:rsid w:val="008F28AD"/>
    <w:rsid w:val="008F2C59"/>
    <w:rsid w:val="008F2C95"/>
    <w:rsid w:val="008F31CF"/>
    <w:rsid w:val="008F3259"/>
    <w:rsid w:val="008F358B"/>
    <w:rsid w:val="008F4B14"/>
    <w:rsid w:val="008F4BF0"/>
    <w:rsid w:val="008F4DE7"/>
    <w:rsid w:val="008F5205"/>
    <w:rsid w:val="008F52FD"/>
    <w:rsid w:val="008F55BE"/>
    <w:rsid w:val="008F5648"/>
    <w:rsid w:val="008F5B39"/>
    <w:rsid w:val="008F5C8C"/>
    <w:rsid w:val="008F5D09"/>
    <w:rsid w:val="008F687D"/>
    <w:rsid w:val="008F69E6"/>
    <w:rsid w:val="008F6D37"/>
    <w:rsid w:val="008F6D4B"/>
    <w:rsid w:val="008F6E1B"/>
    <w:rsid w:val="008F7121"/>
    <w:rsid w:val="008F7244"/>
    <w:rsid w:val="008F7BA5"/>
    <w:rsid w:val="008F7D76"/>
    <w:rsid w:val="0090024B"/>
    <w:rsid w:val="0090028A"/>
    <w:rsid w:val="0090075E"/>
    <w:rsid w:val="00900782"/>
    <w:rsid w:val="00900A0E"/>
    <w:rsid w:val="009014FF"/>
    <w:rsid w:val="00901982"/>
    <w:rsid w:val="009022DC"/>
    <w:rsid w:val="00902527"/>
    <w:rsid w:val="00902633"/>
    <w:rsid w:val="00902B9B"/>
    <w:rsid w:val="00902E58"/>
    <w:rsid w:val="00903841"/>
    <w:rsid w:val="00903F8C"/>
    <w:rsid w:val="0090452E"/>
    <w:rsid w:val="00904543"/>
    <w:rsid w:val="00904595"/>
    <w:rsid w:val="009045EC"/>
    <w:rsid w:val="00904D9E"/>
    <w:rsid w:val="0090596C"/>
    <w:rsid w:val="00905B39"/>
    <w:rsid w:val="00905BCB"/>
    <w:rsid w:val="0090645E"/>
    <w:rsid w:val="00906E42"/>
    <w:rsid w:val="00906FFE"/>
    <w:rsid w:val="00907519"/>
    <w:rsid w:val="00907614"/>
    <w:rsid w:val="0090762B"/>
    <w:rsid w:val="009076D1"/>
    <w:rsid w:val="009079C4"/>
    <w:rsid w:val="00907B4E"/>
    <w:rsid w:val="00910156"/>
    <w:rsid w:val="009101C5"/>
    <w:rsid w:val="00910AD7"/>
    <w:rsid w:val="009112B4"/>
    <w:rsid w:val="009113EF"/>
    <w:rsid w:val="00911569"/>
    <w:rsid w:val="00911A61"/>
    <w:rsid w:val="00911D9A"/>
    <w:rsid w:val="00911F0B"/>
    <w:rsid w:val="00911F2E"/>
    <w:rsid w:val="009121CE"/>
    <w:rsid w:val="009126C9"/>
    <w:rsid w:val="00912726"/>
    <w:rsid w:val="009127D5"/>
    <w:rsid w:val="00912A51"/>
    <w:rsid w:val="00912B12"/>
    <w:rsid w:val="00912FFD"/>
    <w:rsid w:val="00913371"/>
    <w:rsid w:val="0091372E"/>
    <w:rsid w:val="00913FCB"/>
    <w:rsid w:val="009146E1"/>
    <w:rsid w:val="0091489C"/>
    <w:rsid w:val="00914AC3"/>
    <w:rsid w:val="00914C9F"/>
    <w:rsid w:val="00914CA7"/>
    <w:rsid w:val="00914E93"/>
    <w:rsid w:val="00914EDF"/>
    <w:rsid w:val="009153F4"/>
    <w:rsid w:val="00915CAB"/>
    <w:rsid w:val="00915E07"/>
    <w:rsid w:val="0091652D"/>
    <w:rsid w:val="0091662A"/>
    <w:rsid w:val="0091666D"/>
    <w:rsid w:val="00916B22"/>
    <w:rsid w:val="00916EE7"/>
    <w:rsid w:val="009176CD"/>
    <w:rsid w:val="00917A8E"/>
    <w:rsid w:val="00917F39"/>
    <w:rsid w:val="009206BA"/>
    <w:rsid w:val="009206C5"/>
    <w:rsid w:val="009207F1"/>
    <w:rsid w:val="00920F24"/>
    <w:rsid w:val="0092207D"/>
    <w:rsid w:val="0092228F"/>
    <w:rsid w:val="009223D3"/>
    <w:rsid w:val="009228DD"/>
    <w:rsid w:val="00922E37"/>
    <w:rsid w:val="009239F5"/>
    <w:rsid w:val="00923CB5"/>
    <w:rsid w:val="00923F2A"/>
    <w:rsid w:val="009244B1"/>
    <w:rsid w:val="00924F82"/>
    <w:rsid w:val="009253C6"/>
    <w:rsid w:val="00925A89"/>
    <w:rsid w:val="009266EA"/>
    <w:rsid w:val="00926765"/>
    <w:rsid w:val="0092690A"/>
    <w:rsid w:val="00926957"/>
    <w:rsid w:val="00926B46"/>
    <w:rsid w:val="00926C30"/>
    <w:rsid w:val="00926F59"/>
    <w:rsid w:val="009271E4"/>
    <w:rsid w:val="00927292"/>
    <w:rsid w:val="009272A1"/>
    <w:rsid w:val="0092739A"/>
    <w:rsid w:val="0092751C"/>
    <w:rsid w:val="00927FA5"/>
    <w:rsid w:val="00930D68"/>
    <w:rsid w:val="00930F3D"/>
    <w:rsid w:val="00930FC7"/>
    <w:rsid w:val="00931DE5"/>
    <w:rsid w:val="009321D4"/>
    <w:rsid w:val="00932377"/>
    <w:rsid w:val="0093239D"/>
    <w:rsid w:val="009324BF"/>
    <w:rsid w:val="00932891"/>
    <w:rsid w:val="00932BA2"/>
    <w:rsid w:val="009332A4"/>
    <w:rsid w:val="00933738"/>
    <w:rsid w:val="009337E1"/>
    <w:rsid w:val="00934396"/>
    <w:rsid w:val="009343F0"/>
    <w:rsid w:val="00934E0D"/>
    <w:rsid w:val="00934F80"/>
    <w:rsid w:val="0093554D"/>
    <w:rsid w:val="00935CC4"/>
    <w:rsid w:val="00935EF1"/>
    <w:rsid w:val="0093607B"/>
    <w:rsid w:val="0093617C"/>
    <w:rsid w:val="00936535"/>
    <w:rsid w:val="009367AA"/>
    <w:rsid w:val="00936FD5"/>
    <w:rsid w:val="00937277"/>
    <w:rsid w:val="009374D9"/>
    <w:rsid w:val="0093759D"/>
    <w:rsid w:val="009375A0"/>
    <w:rsid w:val="00937770"/>
    <w:rsid w:val="009378A3"/>
    <w:rsid w:val="00940458"/>
    <w:rsid w:val="00940DDF"/>
    <w:rsid w:val="00940F48"/>
    <w:rsid w:val="00941039"/>
    <w:rsid w:val="00941243"/>
    <w:rsid w:val="009415E4"/>
    <w:rsid w:val="00941EE5"/>
    <w:rsid w:val="00941F76"/>
    <w:rsid w:val="00942676"/>
    <w:rsid w:val="009426CE"/>
    <w:rsid w:val="009426F3"/>
    <w:rsid w:val="009427DB"/>
    <w:rsid w:val="009428FE"/>
    <w:rsid w:val="00943032"/>
    <w:rsid w:val="00943202"/>
    <w:rsid w:val="009432C5"/>
    <w:rsid w:val="009438B2"/>
    <w:rsid w:val="00943FE7"/>
    <w:rsid w:val="00944025"/>
    <w:rsid w:val="009442EB"/>
    <w:rsid w:val="0094444D"/>
    <w:rsid w:val="009446A0"/>
    <w:rsid w:val="00944B53"/>
    <w:rsid w:val="0094501C"/>
    <w:rsid w:val="0094556B"/>
    <w:rsid w:val="00945607"/>
    <w:rsid w:val="0094588D"/>
    <w:rsid w:val="009460EF"/>
    <w:rsid w:val="00946474"/>
    <w:rsid w:val="00946923"/>
    <w:rsid w:val="00946990"/>
    <w:rsid w:val="009472A1"/>
    <w:rsid w:val="00947B16"/>
    <w:rsid w:val="00947CD4"/>
    <w:rsid w:val="00950268"/>
    <w:rsid w:val="009502F6"/>
    <w:rsid w:val="00950539"/>
    <w:rsid w:val="00950FC7"/>
    <w:rsid w:val="00951091"/>
    <w:rsid w:val="00951103"/>
    <w:rsid w:val="009511B7"/>
    <w:rsid w:val="009513EC"/>
    <w:rsid w:val="009517A6"/>
    <w:rsid w:val="0095199B"/>
    <w:rsid w:val="00952647"/>
    <w:rsid w:val="00952F80"/>
    <w:rsid w:val="009530F1"/>
    <w:rsid w:val="00953555"/>
    <w:rsid w:val="0095355D"/>
    <w:rsid w:val="009537DD"/>
    <w:rsid w:val="00953D04"/>
    <w:rsid w:val="009540FF"/>
    <w:rsid w:val="00954169"/>
    <w:rsid w:val="0095473B"/>
    <w:rsid w:val="009548F6"/>
    <w:rsid w:val="00954E54"/>
    <w:rsid w:val="009550F9"/>
    <w:rsid w:val="00955349"/>
    <w:rsid w:val="009554DA"/>
    <w:rsid w:val="0095617A"/>
    <w:rsid w:val="00957490"/>
    <w:rsid w:val="009574DD"/>
    <w:rsid w:val="009575D8"/>
    <w:rsid w:val="00957AC6"/>
    <w:rsid w:val="00957C84"/>
    <w:rsid w:val="00957CB7"/>
    <w:rsid w:val="00957E5D"/>
    <w:rsid w:val="0096011D"/>
    <w:rsid w:val="00960160"/>
    <w:rsid w:val="009609CD"/>
    <w:rsid w:val="00960BB8"/>
    <w:rsid w:val="009613F2"/>
    <w:rsid w:val="009614F7"/>
    <w:rsid w:val="00961541"/>
    <w:rsid w:val="009622EF"/>
    <w:rsid w:val="00962834"/>
    <w:rsid w:val="00962CDB"/>
    <w:rsid w:val="0096314F"/>
    <w:rsid w:val="0096341E"/>
    <w:rsid w:val="00963424"/>
    <w:rsid w:val="009644D8"/>
    <w:rsid w:val="00964CFB"/>
    <w:rsid w:val="00964FAD"/>
    <w:rsid w:val="00965972"/>
    <w:rsid w:val="00965993"/>
    <w:rsid w:val="00965A02"/>
    <w:rsid w:val="00965CA1"/>
    <w:rsid w:val="00965FC3"/>
    <w:rsid w:val="009664F2"/>
    <w:rsid w:val="009666B7"/>
    <w:rsid w:val="00966934"/>
    <w:rsid w:val="0096700A"/>
    <w:rsid w:val="009673EB"/>
    <w:rsid w:val="0096769A"/>
    <w:rsid w:val="00967AEB"/>
    <w:rsid w:val="00970084"/>
    <w:rsid w:val="009700CB"/>
    <w:rsid w:val="00970171"/>
    <w:rsid w:val="009705D4"/>
    <w:rsid w:val="00970DBC"/>
    <w:rsid w:val="00970FDD"/>
    <w:rsid w:val="00971001"/>
    <w:rsid w:val="009712B4"/>
    <w:rsid w:val="0097147C"/>
    <w:rsid w:val="009714B3"/>
    <w:rsid w:val="009716FC"/>
    <w:rsid w:val="00971991"/>
    <w:rsid w:val="00971B9F"/>
    <w:rsid w:val="00971C5C"/>
    <w:rsid w:val="00973AA6"/>
    <w:rsid w:val="009740E8"/>
    <w:rsid w:val="0097417B"/>
    <w:rsid w:val="0097455E"/>
    <w:rsid w:val="00974677"/>
    <w:rsid w:val="00974D8D"/>
    <w:rsid w:val="00975150"/>
    <w:rsid w:val="00975433"/>
    <w:rsid w:val="00975471"/>
    <w:rsid w:val="009759A8"/>
    <w:rsid w:val="00975A99"/>
    <w:rsid w:val="00975E17"/>
    <w:rsid w:val="009761BD"/>
    <w:rsid w:val="0097652F"/>
    <w:rsid w:val="00976587"/>
    <w:rsid w:val="00976BBE"/>
    <w:rsid w:val="0097717B"/>
    <w:rsid w:val="00977625"/>
    <w:rsid w:val="009800C6"/>
    <w:rsid w:val="009800E6"/>
    <w:rsid w:val="00980259"/>
    <w:rsid w:val="009804E8"/>
    <w:rsid w:val="00980571"/>
    <w:rsid w:val="00980777"/>
    <w:rsid w:val="00980B57"/>
    <w:rsid w:val="00980B91"/>
    <w:rsid w:val="00980BD7"/>
    <w:rsid w:val="00980D35"/>
    <w:rsid w:val="00981755"/>
    <w:rsid w:val="0098178A"/>
    <w:rsid w:val="0098194C"/>
    <w:rsid w:val="00982135"/>
    <w:rsid w:val="00982393"/>
    <w:rsid w:val="009824F7"/>
    <w:rsid w:val="00982506"/>
    <w:rsid w:val="00982AD1"/>
    <w:rsid w:val="00982DE3"/>
    <w:rsid w:val="00983180"/>
    <w:rsid w:val="009832C7"/>
    <w:rsid w:val="00983AA4"/>
    <w:rsid w:val="00983C59"/>
    <w:rsid w:val="009848B0"/>
    <w:rsid w:val="0098515E"/>
    <w:rsid w:val="0098517B"/>
    <w:rsid w:val="00985D49"/>
    <w:rsid w:val="00986040"/>
    <w:rsid w:val="0098616A"/>
    <w:rsid w:val="00986D8A"/>
    <w:rsid w:val="00986FF4"/>
    <w:rsid w:val="0098720D"/>
    <w:rsid w:val="00987A70"/>
    <w:rsid w:val="00987EDD"/>
    <w:rsid w:val="00987F99"/>
    <w:rsid w:val="0099127E"/>
    <w:rsid w:val="00991704"/>
    <w:rsid w:val="00991A24"/>
    <w:rsid w:val="00991A65"/>
    <w:rsid w:val="00991C53"/>
    <w:rsid w:val="0099257D"/>
    <w:rsid w:val="009928A3"/>
    <w:rsid w:val="0099376A"/>
    <w:rsid w:val="00993CA3"/>
    <w:rsid w:val="00994039"/>
    <w:rsid w:val="00994416"/>
    <w:rsid w:val="00994419"/>
    <w:rsid w:val="00994F99"/>
    <w:rsid w:val="009953B6"/>
    <w:rsid w:val="00995F95"/>
    <w:rsid w:val="00996189"/>
    <w:rsid w:val="0099659F"/>
    <w:rsid w:val="0099666F"/>
    <w:rsid w:val="0099674E"/>
    <w:rsid w:val="0099690E"/>
    <w:rsid w:val="00996B0B"/>
    <w:rsid w:val="00996BC0"/>
    <w:rsid w:val="0099706E"/>
    <w:rsid w:val="00997161"/>
    <w:rsid w:val="0099743B"/>
    <w:rsid w:val="009975C9"/>
    <w:rsid w:val="00997684"/>
    <w:rsid w:val="00997953"/>
    <w:rsid w:val="009979DF"/>
    <w:rsid w:val="00997F5E"/>
    <w:rsid w:val="00997F77"/>
    <w:rsid w:val="009A050D"/>
    <w:rsid w:val="009A124F"/>
    <w:rsid w:val="009A167F"/>
    <w:rsid w:val="009A1AEB"/>
    <w:rsid w:val="009A2023"/>
    <w:rsid w:val="009A256D"/>
    <w:rsid w:val="009A291C"/>
    <w:rsid w:val="009A29B7"/>
    <w:rsid w:val="009A2CC6"/>
    <w:rsid w:val="009A3D05"/>
    <w:rsid w:val="009A3D6A"/>
    <w:rsid w:val="009A3E0E"/>
    <w:rsid w:val="009A421B"/>
    <w:rsid w:val="009A42B9"/>
    <w:rsid w:val="009A48FB"/>
    <w:rsid w:val="009A4BDE"/>
    <w:rsid w:val="009A4DB3"/>
    <w:rsid w:val="009A5084"/>
    <w:rsid w:val="009A5431"/>
    <w:rsid w:val="009A5564"/>
    <w:rsid w:val="009A5F51"/>
    <w:rsid w:val="009A5F67"/>
    <w:rsid w:val="009A608B"/>
    <w:rsid w:val="009A7337"/>
    <w:rsid w:val="009A743D"/>
    <w:rsid w:val="009A784C"/>
    <w:rsid w:val="009A7A6B"/>
    <w:rsid w:val="009A7AF6"/>
    <w:rsid w:val="009A7F34"/>
    <w:rsid w:val="009B01E9"/>
    <w:rsid w:val="009B15A8"/>
    <w:rsid w:val="009B1C5B"/>
    <w:rsid w:val="009B272C"/>
    <w:rsid w:val="009B28C4"/>
    <w:rsid w:val="009B2CBD"/>
    <w:rsid w:val="009B32D2"/>
    <w:rsid w:val="009B330B"/>
    <w:rsid w:val="009B3EC6"/>
    <w:rsid w:val="009B45F0"/>
    <w:rsid w:val="009B4678"/>
    <w:rsid w:val="009B49C6"/>
    <w:rsid w:val="009B49E1"/>
    <w:rsid w:val="009B56F5"/>
    <w:rsid w:val="009B56FC"/>
    <w:rsid w:val="009B5733"/>
    <w:rsid w:val="009B5A23"/>
    <w:rsid w:val="009B5BF6"/>
    <w:rsid w:val="009B5E53"/>
    <w:rsid w:val="009B5FF2"/>
    <w:rsid w:val="009B60E6"/>
    <w:rsid w:val="009B664B"/>
    <w:rsid w:val="009B69C1"/>
    <w:rsid w:val="009B6DC4"/>
    <w:rsid w:val="009B718C"/>
    <w:rsid w:val="009B71A4"/>
    <w:rsid w:val="009B725A"/>
    <w:rsid w:val="009B7294"/>
    <w:rsid w:val="009B7496"/>
    <w:rsid w:val="009B74E8"/>
    <w:rsid w:val="009B7C86"/>
    <w:rsid w:val="009C0C3A"/>
    <w:rsid w:val="009C0F45"/>
    <w:rsid w:val="009C1006"/>
    <w:rsid w:val="009C17D0"/>
    <w:rsid w:val="009C23FF"/>
    <w:rsid w:val="009C2A1F"/>
    <w:rsid w:val="009C2C18"/>
    <w:rsid w:val="009C3B66"/>
    <w:rsid w:val="009C3C53"/>
    <w:rsid w:val="009C3F22"/>
    <w:rsid w:val="009C41CA"/>
    <w:rsid w:val="009C49BF"/>
    <w:rsid w:val="009C515F"/>
    <w:rsid w:val="009C5396"/>
    <w:rsid w:val="009C5442"/>
    <w:rsid w:val="009C56D6"/>
    <w:rsid w:val="009C58B5"/>
    <w:rsid w:val="009C59D6"/>
    <w:rsid w:val="009C5A99"/>
    <w:rsid w:val="009C5DAA"/>
    <w:rsid w:val="009C61AC"/>
    <w:rsid w:val="009C68D4"/>
    <w:rsid w:val="009C68D8"/>
    <w:rsid w:val="009C6BB8"/>
    <w:rsid w:val="009C6BDD"/>
    <w:rsid w:val="009C71C0"/>
    <w:rsid w:val="009C7A28"/>
    <w:rsid w:val="009C7CF4"/>
    <w:rsid w:val="009D0922"/>
    <w:rsid w:val="009D0DC3"/>
    <w:rsid w:val="009D0E64"/>
    <w:rsid w:val="009D14BD"/>
    <w:rsid w:val="009D1D45"/>
    <w:rsid w:val="009D1E8B"/>
    <w:rsid w:val="009D2028"/>
    <w:rsid w:val="009D26AD"/>
    <w:rsid w:val="009D287A"/>
    <w:rsid w:val="009D3061"/>
    <w:rsid w:val="009D31BB"/>
    <w:rsid w:val="009D32F6"/>
    <w:rsid w:val="009D3AFA"/>
    <w:rsid w:val="009D40A9"/>
    <w:rsid w:val="009D5E69"/>
    <w:rsid w:val="009D6696"/>
    <w:rsid w:val="009D694B"/>
    <w:rsid w:val="009D6A8F"/>
    <w:rsid w:val="009D72E7"/>
    <w:rsid w:val="009D764B"/>
    <w:rsid w:val="009D7708"/>
    <w:rsid w:val="009D7B93"/>
    <w:rsid w:val="009E0428"/>
    <w:rsid w:val="009E04B5"/>
    <w:rsid w:val="009E08C9"/>
    <w:rsid w:val="009E122B"/>
    <w:rsid w:val="009E173B"/>
    <w:rsid w:val="009E2121"/>
    <w:rsid w:val="009E2259"/>
    <w:rsid w:val="009E25D2"/>
    <w:rsid w:val="009E2D2F"/>
    <w:rsid w:val="009E317A"/>
    <w:rsid w:val="009E3C8B"/>
    <w:rsid w:val="009E495C"/>
    <w:rsid w:val="009E4DB9"/>
    <w:rsid w:val="009E580C"/>
    <w:rsid w:val="009E5BD9"/>
    <w:rsid w:val="009E5D5E"/>
    <w:rsid w:val="009E6033"/>
    <w:rsid w:val="009E6817"/>
    <w:rsid w:val="009E6A76"/>
    <w:rsid w:val="009E6EE2"/>
    <w:rsid w:val="009E7257"/>
    <w:rsid w:val="009E7F3E"/>
    <w:rsid w:val="009F05FF"/>
    <w:rsid w:val="009F060F"/>
    <w:rsid w:val="009F09BA"/>
    <w:rsid w:val="009F0CAD"/>
    <w:rsid w:val="009F0D03"/>
    <w:rsid w:val="009F1444"/>
    <w:rsid w:val="009F1457"/>
    <w:rsid w:val="009F14D1"/>
    <w:rsid w:val="009F18DE"/>
    <w:rsid w:val="009F1D27"/>
    <w:rsid w:val="009F2072"/>
    <w:rsid w:val="009F23AE"/>
    <w:rsid w:val="009F2408"/>
    <w:rsid w:val="009F294F"/>
    <w:rsid w:val="009F2ECE"/>
    <w:rsid w:val="009F3027"/>
    <w:rsid w:val="009F3D22"/>
    <w:rsid w:val="009F408C"/>
    <w:rsid w:val="009F428E"/>
    <w:rsid w:val="009F4430"/>
    <w:rsid w:val="009F4629"/>
    <w:rsid w:val="009F4800"/>
    <w:rsid w:val="009F54C5"/>
    <w:rsid w:val="009F561E"/>
    <w:rsid w:val="009F5631"/>
    <w:rsid w:val="009F5634"/>
    <w:rsid w:val="009F6133"/>
    <w:rsid w:val="009F626B"/>
    <w:rsid w:val="009F6512"/>
    <w:rsid w:val="009F67D3"/>
    <w:rsid w:val="009F6A81"/>
    <w:rsid w:val="009F6C18"/>
    <w:rsid w:val="009F73C5"/>
    <w:rsid w:val="009F76C5"/>
    <w:rsid w:val="009F7C46"/>
    <w:rsid w:val="00A003C5"/>
    <w:rsid w:val="00A007C4"/>
    <w:rsid w:val="00A00BB8"/>
    <w:rsid w:val="00A01015"/>
    <w:rsid w:val="00A012B4"/>
    <w:rsid w:val="00A0137A"/>
    <w:rsid w:val="00A01424"/>
    <w:rsid w:val="00A01769"/>
    <w:rsid w:val="00A017AD"/>
    <w:rsid w:val="00A01CEC"/>
    <w:rsid w:val="00A0215F"/>
    <w:rsid w:val="00A02362"/>
    <w:rsid w:val="00A02603"/>
    <w:rsid w:val="00A02C28"/>
    <w:rsid w:val="00A02C33"/>
    <w:rsid w:val="00A02D60"/>
    <w:rsid w:val="00A0337D"/>
    <w:rsid w:val="00A035DA"/>
    <w:rsid w:val="00A039EE"/>
    <w:rsid w:val="00A03EA7"/>
    <w:rsid w:val="00A03FC7"/>
    <w:rsid w:val="00A04F3B"/>
    <w:rsid w:val="00A050F3"/>
    <w:rsid w:val="00A0585C"/>
    <w:rsid w:val="00A05A0F"/>
    <w:rsid w:val="00A062BF"/>
    <w:rsid w:val="00A06452"/>
    <w:rsid w:val="00A06468"/>
    <w:rsid w:val="00A06F16"/>
    <w:rsid w:val="00A078FA"/>
    <w:rsid w:val="00A07D11"/>
    <w:rsid w:val="00A07F20"/>
    <w:rsid w:val="00A1085F"/>
    <w:rsid w:val="00A10902"/>
    <w:rsid w:val="00A10AEF"/>
    <w:rsid w:val="00A10CD7"/>
    <w:rsid w:val="00A114CA"/>
    <w:rsid w:val="00A118F6"/>
    <w:rsid w:val="00A11989"/>
    <w:rsid w:val="00A11D2E"/>
    <w:rsid w:val="00A125B0"/>
    <w:rsid w:val="00A126AE"/>
    <w:rsid w:val="00A12FA2"/>
    <w:rsid w:val="00A13074"/>
    <w:rsid w:val="00A133B5"/>
    <w:rsid w:val="00A13775"/>
    <w:rsid w:val="00A13E5C"/>
    <w:rsid w:val="00A14820"/>
    <w:rsid w:val="00A148A7"/>
    <w:rsid w:val="00A14C87"/>
    <w:rsid w:val="00A150D7"/>
    <w:rsid w:val="00A1522B"/>
    <w:rsid w:val="00A1528E"/>
    <w:rsid w:val="00A15F94"/>
    <w:rsid w:val="00A1600B"/>
    <w:rsid w:val="00A16351"/>
    <w:rsid w:val="00A164AF"/>
    <w:rsid w:val="00A16899"/>
    <w:rsid w:val="00A16DA3"/>
    <w:rsid w:val="00A16FFA"/>
    <w:rsid w:val="00A17ADB"/>
    <w:rsid w:val="00A17F64"/>
    <w:rsid w:val="00A204EC"/>
    <w:rsid w:val="00A20646"/>
    <w:rsid w:val="00A207B0"/>
    <w:rsid w:val="00A20D60"/>
    <w:rsid w:val="00A210BC"/>
    <w:rsid w:val="00A21454"/>
    <w:rsid w:val="00A21536"/>
    <w:rsid w:val="00A2180B"/>
    <w:rsid w:val="00A21FE3"/>
    <w:rsid w:val="00A22332"/>
    <w:rsid w:val="00A2234F"/>
    <w:rsid w:val="00A22E22"/>
    <w:rsid w:val="00A232E9"/>
    <w:rsid w:val="00A23401"/>
    <w:rsid w:val="00A23560"/>
    <w:rsid w:val="00A236BE"/>
    <w:rsid w:val="00A24087"/>
    <w:rsid w:val="00A2415E"/>
    <w:rsid w:val="00A24435"/>
    <w:rsid w:val="00A24A88"/>
    <w:rsid w:val="00A24B79"/>
    <w:rsid w:val="00A24D9C"/>
    <w:rsid w:val="00A24E26"/>
    <w:rsid w:val="00A2509D"/>
    <w:rsid w:val="00A255D9"/>
    <w:rsid w:val="00A2568F"/>
    <w:rsid w:val="00A258C6"/>
    <w:rsid w:val="00A259B5"/>
    <w:rsid w:val="00A25B34"/>
    <w:rsid w:val="00A25B65"/>
    <w:rsid w:val="00A25B88"/>
    <w:rsid w:val="00A25BA4"/>
    <w:rsid w:val="00A25DAE"/>
    <w:rsid w:val="00A261E7"/>
    <w:rsid w:val="00A263D0"/>
    <w:rsid w:val="00A26451"/>
    <w:rsid w:val="00A2658E"/>
    <w:rsid w:val="00A26662"/>
    <w:rsid w:val="00A26703"/>
    <w:rsid w:val="00A269BF"/>
    <w:rsid w:val="00A26E7E"/>
    <w:rsid w:val="00A2701C"/>
    <w:rsid w:val="00A27A78"/>
    <w:rsid w:val="00A27BD3"/>
    <w:rsid w:val="00A305A8"/>
    <w:rsid w:val="00A30C41"/>
    <w:rsid w:val="00A3156B"/>
    <w:rsid w:val="00A3163F"/>
    <w:rsid w:val="00A31846"/>
    <w:rsid w:val="00A31972"/>
    <w:rsid w:val="00A31F09"/>
    <w:rsid w:val="00A3224D"/>
    <w:rsid w:val="00A32667"/>
    <w:rsid w:val="00A32B30"/>
    <w:rsid w:val="00A32DFC"/>
    <w:rsid w:val="00A33153"/>
    <w:rsid w:val="00A3353D"/>
    <w:rsid w:val="00A33593"/>
    <w:rsid w:val="00A33E27"/>
    <w:rsid w:val="00A34195"/>
    <w:rsid w:val="00A34480"/>
    <w:rsid w:val="00A34BB6"/>
    <w:rsid w:val="00A34CDD"/>
    <w:rsid w:val="00A34DEA"/>
    <w:rsid w:val="00A35271"/>
    <w:rsid w:val="00A35E18"/>
    <w:rsid w:val="00A35F8B"/>
    <w:rsid w:val="00A36234"/>
    <w:rsid w:val="00A369AD"/>
    <w:rsid w:val="00A36F81"/>
    <w:rsid w:val="00A37412"/>
    <w:rsid w:val="00A378D5"/>
    <w:rsid w:val="00A400EF"/>
    <w:rsid w:val="00A40406"/>
    <w:rsid w:val="00A40582"/>
    <w:rsid w:val="00A407BF"/>
    <w:rsid w:val="00A40808"/>
    <w:rsid w:val="00A40FE5"/>
    <w:rsid w:val="00A410FF"/>
    <w:rsid w:val="00A414AC"/>
    <w:rsid w:val="00A41EA3"/>
    <w:rsid w:val="00A424A3"/>
    <w:rsid w:val="00A42680"/>
    <w:rsid w:val="00A429C7"/>
    <w:rsid w:val="00A43B55"/>
    <w:rsid w:val="00A43C3E"/>
    <w:rsid w:val="00A43FF0"/>
    <w:rsid w:val="00A440BF"/>
    <w:rsid w:val="00A4413E"/>
    <w:rsid w:val="00A44E3C"/>
    <w:rsid w:val="00A457CE"/>
    <w:rsid w:val="00A45AD5"/>
    <w:rsid w:val="00A45B1A"/>
    <w:rsid w:val="00A45C54"/>
    <w:rsid w:val="00A45E65"/>
    <w:rsid w:val="00A45F96"/>
    <w:rsid w:val="00A4663B"/>
    <w:rsid w:val="00A4679D"/>
    <w:rsid w:val="00A4756F"/>
    <w:rsid w:val="00A4763F"/>
    <w:rsid w:val="00A5012F"/>
    <w:rsid w:val="00A502CB"/>
    <w:rsid w:val="00A5059C"/>
    <w:rsid w:val="00A5062B"/>
    <w:rsid w:val="00A5083C"/>
    <w:rsid w:val="00A5098B"/>
    <w:rsid w:val="00A51047"/>
    <w:rsid w:val="00A5183E"/>
    <w:rsid w:val="00A51FFD"/>
    <w:rsid w:val="00A522C6"/>
    <w:rsid w:val="00A52659"/>
    <w:rsid w:val="00A527D3"/>
    <w:rsid w:val="00A52B3D"/>
    <w:rsid w:val="00A53674"/>
    <w:rsid w:val="00A53C6D"/>
    <w:rsid w:val="00A53F9F"/>
    <w:rsid w:val="00A54570"/>
    <w:rsid w:val="00A54CBA"/>
    <w:rsid w:val="00A55246"/>
    <w:rsid w:val="00A55482"/>
    <w:rsid w:val="00A55FEE"/>
    <w:rsid w:val="00A5631E"/>
    <w:rsid w:val="00A5647D"/>
    <w:rsid w:val="00A56E0B"/>
    <w:rsid w:val="00A5720F"/>
    <w:rsid w:val="00A575C3"/>
    <w:rsid w:val="00A57707"/>
    <w:rsid w:val="00A57998"/>
    <w:rsid w:val="00A60027"/>
    <w:rsid w:val="00A60367"/>
    <w:rsid w:val="00A6052E"/>
    <w:rsid w:val="00A6080E"/>
    <w:rsid w:val="00A60B02"/>
    <w:rsid w:val="00A60FBA"/>
    <w:rsid w:val="00A61162"/>
    <w:rsid w:val="00A6198D"/>
    <w:rsid w:val="00A61BE2"/>
    <w:rsid w:val="00A61DBA"/>
    <w:rsid w:val="00A61E6C"/>
    <w:rsid w:val="00A6295C"/>
    <w:rsid w:val="00A637B6"/>
    <w:rsid w:val="00A63CA1"/>
    <w:rsid w:val="00A63F5C"/>
    <w:rsid w:val="00A6460E"/>
    <w:rsid w:val="00A64B85"/>
    <w:rsid w:val="00A64C8F"/>
    <w:rsid w:val="00A64F00"/>
    <w:rsid w:val="00A6538B"/>
    <w:rsid w:val="00A65458"/>
    <w:rsid w:val="00A65C84"/>
    <w:rsid w:val="00A66A3E"/>
    <w:rsid w:val="00A66F1E"/>
    <w:rsid w:val="00A67416"/>
    <w:rsid w:val="00A678AD"/>
    <w:rsid w:val="00A7053A"/>
    <w:rsid w:val="00A7062F"/>
    <w:rsid w:val="00A70FCA"/>
    <w:rsid w:val="00A7133E"/>
    <w:rsid w:val="00A71711"/>
    <w:rsid w:val="00A71D10"/>
    <w:rsid w:val="00A71EAD"/>
    <w:rsid w:val="00A7217D"/>
    <w:rsid w:val="00A725C4"/>
    <w:rsid w:val="00A72BC0"/>
    <w:rsid w:val="00A72D95"/>
    <w:rsid w:val="00A738EA"/>
    <w:rsid w:val="00A73AFE"/>
    <w:rsid w:val="00A73BF6"/>
    <w:rsid w:val="00A73D1E"/>
    <w:rsid w:val="00A74395"/>
    <w:rsid w:val="00A74658"/>
    <w:rsid w:val="00A74C90"/>
    <w:rsid w:val="00A75461"/>
    <w:rsid w:val="00A754C0"/>
    <w:rsid w:val="00A75AA3"/>
    <w:rsid w:val="00A76203"/>
    <w:rsid w:val="00A76431"/>
    <w:rsid w:val="00A76AB5"/>
    <w:rsid w:val="00A76B72"/>
    <w:rsid w:val="00A76BF5"/>
    <w:rsid w:val="00A76E3F"/>
    <w:rsid w:val="00A77703"/>
    <w:rsid w:val="00A809DA"/>
    <w:rsid w:val="00A8186D"/>
    <w:rsid w:val="00A81B98"/>
    <w:rsid w:val="00A81BBB"/>
    <w:rsid w:val="00A82A84"/>
    <w:rsid w:val="00A82BA3"/>
    <w:rsid w:val="00A82C8D"/>
    <w:rsid w:val="00A82E8C"/>
    <w:rsid w:val="00A8334A"/>
    <w:rsid w:val="00A83A11"/>
    <w:rsid w:val="00A83B87"/>
    <w:rsid w:val="00A83D48"/>
    <w:rsid w:val="00A83F22"/>
    <w:rsid w:val="00A83F32"/>
    <w:rsid w:val="00A84345"/>
    <w:rsid w:val="00A84397"/>
    <w:rsid w:val="00A8448E"/>
    <w:rsid w:val="00A848EC"/>
    <w:rsid w:val="00A848FF"/>
    <w:rsid w:val="00A84C87"/>
    <w:rsid w:val="00A84F64"/>
    <w:rsid w:val="00A84F81"/>
    <w:rsid w:val="00A85259"/>
    <w:rsid w:val="00A852C0"/>
    <w:rsid w:val="00A8634C"/>
    <w:rsid w:val="00A87817"/>
    <w:rsid w:val="00A87CD6"/>
    <w:rsid w:val="00A87FC6"/>
    <w:rsid w:val="00A906C2"/>
    <w:rsid w:val="00A90880"/>
    <w:rsid w:val="00A91100"/>
    <w:rsid w:val="00A91B70"/>
    <w:rsid w:val="00A91D9C"/>
    <w:rsid w:val="00A92944"/>
    <w:rsid w:val="00A92C27"/>
    <w:rsid w:val="00A92C3B"/>
    <w:rsid w:val="00A93FA8"/>
    <w:rsid w:val="00A93FC1"/>
    <w:rsid w:val="00A9404B"/>
    <w:rsid w:val="00A940E5"/>
    <w:rsid w:val="00A94BB4"/>
    <w:rsid w:val="00A95139"/>
    <w:rsid w:val="00A952C4"/>
    <w:rsid w:val="00A95592"/>
    <w:rsid w:val="00A956AE"/>
    <w:rsid w:val="00A956B1"/>
    <w:rsid w:val="00A96A75"/>
    <w:rsid w:val="00A96CCC"/>
    <w:rsid w:val="00A96FEA"/>
    <w:rsid w:val="00A97913"/>
    <w:rsid w:val="00A97FFA"/>
    <w:rsid w:val="00AA08D3"/>
    <w:rsid w:val="00AA0A6D"/>
    <w:rsid w:val="00AA1195"/>
    <w:rsid w:val="00AA188A"/>
    <w:rsid w:val="00AA188D"/>
    <w:rsid w:val="00AA19B3"/>
    <w:rsid w:val="00AA2002"/>
    <w:rsid w:val="00AA20E0"/>
    <w:rsid w:val="00AA216E"/>
    <w:rsid w:val="00AA2554"/>
    <w:rsid w:val="00AA2B8E"/>
    <w:rsid w:val="00AA2CF6"/>
    <w:rsid w:val="00AA2FCD"/>
    <w:rsid w:val="00AA32DA"/>
    <w:rsid w:val="00AA335A"/>
    <w:rsid w:val="00AA33A1"/>
    <w:rsid w:val="00AA33A4"/>
    <w:rsid w:val="00AA34FB"/>
    <w:rsid w:val="00AA4537"/>
    <w:rsid w:val="00AA45E7"/>
    <w:rsid w:val="00AA4991"/>
    <w:rsid w:val="00AA4B6C"/>
    <w:rsid w:val="00AA4DF2"/>
    <w:rsid w:val="00AA533A"/>
    <w:rsid w:val="00AA5359"/>
    <w:rsid w:val="00AA5447"/>
    <w:rsid w:val="00AA560C"/>
    <w:rsid w:val="00AA56B6"/>
    <w:rsid w:val="00AA59B9"/>
    <w:rsid w:val="00AA62D0"/>
    <w:rsid w:val="00AA63E3"/>
    <w:rsid w:val="00AA6518"/>
    <w:rsid w:val="00AA6A07"/>
    <w:rsid w:val="00AA74B0"/>
    <w:rsid w:val="00AA7601"/>
    <w:rsid w:val="00AB0562"/>
    <w:rsid w:val="00AB0DF3"/>
    <w:rsid w:val="00AB12B9"/>
    <w:rsid w:val="00AB156F"/>
    <w:rsid w:val="00AB161F"/>
    <w:rsid w:val="00AB18ED"/>
    <w:rsid w:val="00AB2BB0"/>
    <w:rsid w:val="00AB2BE9"/>
    <w:rsid w:val="00AB304F"/>
    <w:rsid w:val="00AB33EB"/>
    <w:rsid w:val="00AB35A7"/>
    <w:rsid w:val="00AB3A4D"/>
    <w:rsid w:val="00AB41A2"/>
    <w:rsid w:val="00AB439D"/>
    <w:rsid w:val="00AB44D4"/>
    <w:rsid w:val="00AB4658"/>
    <w:rsid w:val="00AB4D63"/>
    <w:rsid w:val="00AB4E3B"/>
    <w:rsid w:val="00AB5583"/>
    <w:rsid w:val="00AB6B44"/>
    <w:rsid w:val="00AB6DC2"/>
    <w:rsid w:val="00AB71F5"/>
    <w:rsid w:val="00AB78C6"/>
    <w:rsid w:val="00AC041E"/>
    <w:rsid w:val="00AC0450"/>
    <w:rsid w:val="00AC05E3"/>
    <w:rsid w:val="00AC0ADA"/>
    <w:rsid w:val="00AC0C6B"/>
    <w:rsid w:val="00AC10F3"/>
    <w:rsid w:val="00AC113E"/>
    <w:rsid w:val="00AC1B86"/>
    <w:rsid w:val="00AC1E2B"/>
    <w:rsid w:val="00AC22F1"/>
    <w:rsid w:val="00AC2714"/>
    <w:rsid w:val="00AC2954"/>
    <w:rsid w:val="00AC2DEE"/>
    <w:rsid w:val="00AC354F"/>
    <w:rsid w:val="00AC40C4"/>
    <w:rsid w:val="00AC4A3D"/>
    <w:rsid w:val="00AC4C85"/>
    <w:rsid w:val="00AC4D10"/>
    <w:rsid w:val="00AC4E76"/>
    <w:rsid w:val="00AC517C"/>
    <w:rsid w:val="00AC5502"/>
    <w:rsid w:val="00AC5510"/>
    <w:rsid w:val="00AC5F4F"/>
    <w:rsid w:val="00AC62BC"/>
    <w:rsid w:val="00AC65D9"/>
    <w:rsid w:val="00AC68EC"/>
    <w:rsid w:val="00AC6A1E"/>
    <w:rsid w:val="00AC6B1E"/>
    <w:rsid w:val="00AC6B48"/>
    <w:rsid w:val="00AC6FF9"/>
    <w:rsid w:val="00AC71D3"/>
    <w:rsid w:val="00AC7F92"/>
    <w:rsid w:val="00AD0385"/>
    <w:rsid w:val="00AD0ACE"/>
    <w:rsid w:val="00AD0C0E"/>
    <w:rsid w:val="00AD0EE2"/>
    <w:rsid w:val="00AD1045"/>
    <w:rsid w:val="00AD1B3C"/>
    <w:rsid w:val="00AD1DA6"/>
    <w:rsid w:val="00AD23A5"/>
    <w:rsid w:val="00AD243C"/>
    <w:rsid w:val="00AD2CC8"/>
    <w:rsid w:val="00AD2F46"/>
    <w:rsid w:val="00AD346B"/>
    <w:rsid w:val="00AD36D8"/>
    <w:rsid w:val="00AD3901"/>
    <w:rsid w:val="00AD3B35"/>
    <w:rsid w:val="00AD3C26"/>
    <w:rsid w:val="00AD3D8D"/>
    <w:rsid w:val="00AD4244"/>
    <w:rsid w:val="00AD45DC"/>
    <w:rsid w:val="00AD494E"/>
    <w:rsid w:val="00AD4B0A"/>
    <w:rsid w:val="00AD55BE"/>
    <w:rsid w:val="00AD6630"/>
    <w:rsid w:val="00AD69F8"/>
    <w:rsid w:val="00AD6CFF"/>
    <w:rsid w:val="00AD72A5"/>
    <w:rsid w:val="00AD7458"/>
    <w:rsid w:val="00AD77A9"/>
    <w:rsid w:val="00AD7B55"/>
    <w:rsid w:val="00AD7F03"/>
    <w:rsid w:val="00AE01DC"/>
    <w:rsid w:val="00AE07AA"/>
    <w:rsid w:val="00AE0B36"/>
    <w:rsid w:val="00AE0B86"/>
    <w:rsid w:val="00AE0C54"/>
    <w:rsid w:val="00AE0FF3"/>
    <w:rsid w:val="00AE148B"/>
    <w:rsid w:val="00AE1627"/>
    <w:rsid w:val="00AE16C8"/>
    <w:rsid w:val="00AE17D9"/>
    <w:rsid w:val="00AE1A6A"/>
    <w:rsid w:val="00AE2211"/>
    <w:rsid w:val="00AE2890"/>
    <w:rsid w:val="00AE2B4E"/>
    <w:rsid w:val="00AE3A03"/>
    <w:rsid w:val="00AE3D87"/>
    <w:rsid w:val="00AE3D95"/>
    <w:rsid w:val="00AE44DA"/>
    <w:rsid w:val="00AE4712"/>
    <w:rsid w:val="00AE4A3A"/>
    <w:rsid w:val="00AE4DB2"/>
    <w:rsid w:val="00AE4E63"/>
    <w:rsid w:val="00AE4F12"/>
    <w:rsid w:val="00AE51F0"/>
    <w:rsid w:val="00AE53E9"/>
    <w:rsid w:val="00AE62C3"/>
    <w:rsid w:val="00AE6323"/>
    <w:rsid w:val="00AE69F3"/>
    <w:rsid w:val="00AE6BF3"/>
    <w:rsid w:val="00AE704C"/>
    <w:rsid w:val="00AE708E"/>
    <w:rsid w:val="00AE7B2E"/>
    <w:rsid w:val="00AE7B49"/>
    <w:rsid w:val="00AF01CD"/>
    <w:rsid w:val="00AF0591"/>
    <w:rsid w:val="00AF06F4"/>
    <w:rsid w:val="00AF07DB"/>
    <w:rsid w:val="00AF0B0E"/>
    <w:rsid w:val="00AF0E90"/>
    <w:rsid w:val="00AF0FF6"/>
    <w:rsid w:val="00AF10FE"/>
    <w:rsid w:val="00AF1108"/>
    <w:rsid w:val="00AF1189"/>
    <w:rsid w:val="00AF18B3"/>
    <w:rsid w:val="00AF1C83"/>
    <w:rsid w:val="00AF20E7"/>
    <w:rsid w:val="00AF27E9"/>
    <w:rsid w:val="00AF28B1"/>
    <w:rsid w:val="00AF34CC"/>
    <w:rsid w:val="00AF3A86"/>
    <w:rsid w:val="00AF42DC"/>
    <w:rsid w:val="00AF457B"/>
    <w:rsid w:val="00AF468B"/>
    <w:rsid w:val="00AF4F06"/>
    <w:rsid w:val="00AF5201"/>
    <w:rsid w:val="00AF5FC3"/>
    <w:rsid w:val="00AF60B7"/>
    <w:rsid w:val="00AF6102"/>
    <w:rsid w:val="00AF616A"/>
    <w:rsid w:val="00AF6621"/>
    <w:rsid w:val="00AF66C6"/>
    <w:rsid w:val="00AF7204"/>
    <w:rsid w:val="00AF74E5"/>
    <w:rsid w:val="00AF7767"/>
    <w:rsid w:val="00AF77ED"/>
    <w:rsid w:val="00AF7A1A"/>
    <w:rsid w:val="00B002F0"/>
    <w:rsid w:val="00B00390"/>
    <w:rsid w:val="00B004C5"/>
    <w:rsid w:val="00B00764"/>
    <w:rsid w:val="00B00D71"/>
    <w:rsid w:val="00B00F2C"/>
    <w:rsid w:val="00B00F83"/>
    <w:rsid w:val="00B01080"/>
    <w:rsid w:val="00B01184"/>
    <w:rsid w:val="00B0122F"/>
    <w:rsid w:val="00B0124D"/>
    <w:rsid w:val="00B0222E"/>
    <w:rsid w:val="00B02274"/>
    <w:rsid w:val="00B02360"/>
    <w:rsid w:val="00B0242D"/>
    <w:rsid w:val="00B024A9"/>
    <w:rsid w:val="00B024FF"/>
    <w:rsid w:val="00B028FB"/>
    <w:rsid w:val="00B02F1C"/>
    <w:rsid w:val="00B0378C"/>
    <w:rsid w:val="00B03F5A"/>
    <w:rsid w:val="00B040B9"/>
    <w:rsid w:val="00B04435"/>
    <w:rsid w:val="00B0446F"/>
    <w:rsid w:val="00B04914"/>
    <w:rsid w:val="00B05392"/>
    <w:rsid w:val="00B055BD"/>
    <w:rsid w:val="00B05782"/>
    <w:rsid w:val="00B05C5D"/>
    <w:rsid w:val="00B06216"/>
    <w:rsid w:val="00B067B4"/>
    <w:rsid w:val="00B06853"/>
    <w:rsid w:val="00B0686D"/>
    <w:rsid w:val="00B06996"/>
    <w:rsid w:val="00B06A53"/>
    <w:rsid w:val="00B071C6"/>
    <w:rsid w:val="00B07395"/>
    <w:rsid w:val="00B077A6"/>
    <w:rsid w:val="00B1034D"/>
    <w:rsid w:val="00B10EA0"/>
    <w:rsid w:val="00B10F44"/>
    <w:rsid w:val="00B118AB"/>
    <w:rsid w:val="00B11974"/>
    <w:rsid w:val="00B11B71"/>
    <w:rsid w:val="00B11ECB"/>
    <w:rsid w:val="00B12353"/>
    <w:rsid w:val="00B125FE"/>
    <w:rsid w:val="00B12927"/>
    <w:rsid w:val="00B12A5C"/>
    <w:rsid w:val="00B135A3"/>
    <w:rsid w:val="00B137C9"/>
    <w:rsid w:val="00B13808"/>
    <w:rsid w:val="00B138FF"/>
    <w:rsid w:val="00B13A12"/>
    <w:rsid w:val="00B13CF9"/>
    <w:rsid w:val="00B13ED1"/>
    <w:rsid w:val="00B13F28"/>
    <w:rsid w:val="00B14319"/>
    <w:rsid w:val="00B146D4"/>
    <w:rsid w:val="00B1473B"/>
    <w:rsid w:val="00B14FEE"/>
    <w:rsid w:val="00B15350"/>
    <w:rsid w:val="00B1568D"/>
    <w:rsid w:val="00B158D4"/>
    <w:rsid w:val="00B15924"/>
    <w:rsid w:val="00B159F9"/>
    <w:rsid w:val="00B17407"/>
    <w:rsid w:val="00B1758A"/>
    <w:rsid w:val="00B17C54"/>
    <w:rsid w:val="00B202FF"/>
    <w:rsid w:val="00B20DDA"/>
    <w:rsid w:val="00B20DFD"/>
    <w:rsid w:val="00B21EDD"/>
    <w:rsid w:val="00B223CF"/>
    <w:rsid w:val="00B22A09"/>
    <w:rsid w:val="00B22EF0"/>
    <w:rsid w:val="00B231DE"/>
    <w:rsid w:val="00B2329F"/>
    <w:rsid w:val="00B2359A"/>
    <w:rsid w:val="00B23647"/>
    <w:rsid w:val="00B240A9"/>
    <w:rsid w:val="00B245EA"/>
    <w:rsid w:val="00B24996"/>
    <w:rsid w:val="00B249CE"/>
    <w:rsid w:val="00B24DA4"/>
    <w:rsid w:val="00B24EEB"/>
    <w:rsid w:val="00B25697"/>
    <w:rsid w:val="00B25C09"/>
    <w:rsid w:val="00B25D72"/>
    <w:rsid w:val="00B26C92"/>
    <w:rsid w:val="00B26D05"/>
    <w:rsid w:val="00B273F4"/>
    <w:rsid w:val="00B277BC"/>
    <w:rsid w:val="00B30122"/>
    <w:rsid w:val="00B30776"/>
    <w:rsid w:val="00B30AD1"/>
    <w:rsid w:val="00B317B1"/>
    <w:rsid w:val="00B317D3"/>
    <w:rsid w:val="00B31859"/>
    <w:rsid w:val="00B32581"/>
    <w:rsid w:val="00B3275C"/>
    <w:rsid w:val="00B32955"/>
    <w:rsid w:val="00B32968"/>
    <w:rsid w:val="00B32A0D"/>
    <w:rsid w:val="00B32FF1"/>
    <w:rsid w:val="00B33824"/>
    <w:rsid w:val="00B33E1F"/>
    <w:rsid w:val="00B350B1"/>
    <w:rsid w:val="00B353E2"/>
    <w:rsid w:val="00B359F1"/>
    <w:rsid w:val="00B35BC9"/>
    <w:rsid w:val="00B35C3A"/>
    <w:rsid w:val="00B3638D"/>
    <w:rsid w:val="00B37141"/>
    <w:rsid w:val="00B37220"/>
    <w:rsid w:val="00B379CF"/>
    <w:rsid w:val="00B379F4"/>
    <w:rsid w:val="00B37BE5"/>
    <w:rsid w:val="00B4005A"/>
    <w:rsid w:val="00B403A5"/>
    <w:rsid w:val="00B40E5A"/>
    <w:rsid w:val="00B41511"/>
    <w:rsid w:val="00B41990"/>
    <w:rsid w:val="00B41CC5"/>
    <w:rsid w:val="00B422DA"/>
    <w:rsid w:val="00B42651"/>
    <w:rsid w:val="00B430F6"/>
    <w:rsid w:val="00B43148"/>
    <w:rsid w:val="00B432A3"/>
    <w:rsid w:val="00B43654"/>
    <w:rsid w:val="00B43792"/>
    <w:rsid w:val="00B43826"/>
    <w:rsid w:val="00B44467"/>
    <w:rsid w:val="00B44625"/>
    <w:rsid w:val="00B4467D"/>
    <w:rsid w:val="00B44BCC"/>
    <w:rsid w:val="00B44C9C"/>
    <w:rsid w:val="00B44F78"/>
    <w:rsid w:val="00B451E1"/>
    <w:rsid w:val="00B45BCF"/>
    <w:rsid w:val="00B465BF"/>
    <w:rsid w:val="00B46AE3"/>
    <w:rsid w:val="00B46D6C"/>
    <w:rsid w:val="00B4710D"/>
    <w:rsid w:val="00B47745"/>
    <w:rsid w:val="00B47F09"/>
    <w:rsid w:val="00B47FC8"/>
    <w:rsid w:val="00B503E3"/>
    <w:rsid w:val="00B5049F"/>
    <w:rsid w:val="00B50905"/>
    <w:rsid w:val="00B518A1"/>
    <w:rsid w:val="00B51A89"/>
    <w:rsid w:val="00B52308"/>
    <w:rsid w:val="00B528D5"/>
    <w:rsid w:val="00B52BD8"/>
    <w:rsid w:val="00B530BD"/>
    <w:rsid w:val="00B539E0"/>
    <w:rsid w:val="00B53A7A"/>
    <w:rsid w:val="00B53D15"/>
    <w:rsid w:val="00B53D37"/>
    <w:rsid w:val="00B53D75"/>
    <w:rsid w:val="00B542F9"/>
    <w:rsid w:val="00B54B8E"/>
    <w:rsid w:val="00B55000"/>
    <w:rsid w:val="00B554E3"/>
    <w:rsid w:val="00B55578"/>
    <w:rsid w:val="00B55676"/>
    <w:rsid w:val="00B5586C"/>
    <w:rsid w:val="00B56452"/>
    <w:rsid w:val="00B5647D"/>
    <w:rsid w:val="00B570DD"/>
    <w:rsid w:val="00B5777D"/>
    <w:rsid w:val="00B579BA"/>
    <w:rsid w:val="00B57EF7"/>
    <w:rsid w:val="00B57F2A"/>
    <w:rsid w:val="00B60186"/>
    <w:rsid w:val="00B60A4B"/>
    <w:rsid w:val="00B60F0B"/>
    <w:rsid w:val="00B611C0"/>
    <w:rsid w:val="00B6140A"/>
    <w:rsid w:val="00B61900"/>
    <w:rsid w:val="00B61C68"/>
    <w:rsid w:val="00B61E8F"/>
    <w:rsid w:val="00B620CC"/>
    <w:rsid w:val="00B62885"/>
    <w:rsid w:val="00B62A9E"/>
    <w:rsid w:val="00B62E0A"/>
    <w:rsid w:val="00B62E20"/>
    <w:rsid w:val="00B62E97"/>
    <w:rsid w:val="00B62F7D"/>
    <w:rsid w:val="00B630F2"/>
    <w:rsid w:val="00B639A4"/>
    <w:rsid w:val="00B63E8A"/>
    <w:rsid w:val="00B63F05"/>
    <w:rsid w:val="00B6432C"/>
    <w:rsid w:val="00B6437B"/>
    <w:rsid w:val="00B64449"/>
    <w:rsid w:val="00B64483"/>
    <w:rsid w:val="00B64729"/>
    <w:rsid w:val="00B648E1"/>
    <w:rsid w:val="00B6504D"/>
    <w:rsid w:val="00B6537A"/>
    <w:rsid w:val="00B65504"/>
    <w:rsid w:val="00B6559D"/>
    <w:rsid w:val="00B65773"/>
    <w:rsid w:val="00B65A6C"/>
    <w:rsid w:val="00B65A94"/>
    <w:rsid w:val="00B65FBA"/>
    <w:rsid w:val="00B661D6"/>
    <w:rsid w:val="00B6688F"/>
    <w:rsid w:val="00B66B19"/>
    <w:rsid w:val="00B671D3"/>
    <w:rsid w:val="00B672F1"/>
    <w:rsid w:val="00B67728"/>
    <w:rsid w:val="00B6781B"/>
    <w:rsid w:val="00B67D6D"/>
    <w:rsid w:val="00B67E37"/>
    <w:rsid w:val="00B67EA2"/>
    <w:rsid w:val="00B700B4"/>
    <w:rsid w:val="00B703F2"/>
    <w:rsid w:val="00B70506"/>
    <w:rsid w:val="00B705EF"/>
    <w:rsid w:val="00B709F4"/>
    <w:rsid w:val="00B70B15"/>
    <w:rsid w:val="00B70BDD"/>
    <w:rsid w:val="00B70EEE"/>
    <w:rsid w:val="00B711B9"/>
    <w:rsid w:val="00B716F4"/>
    <w:rsid w:val="00B71800"/>
    <w:rsid w:val="00B71BDE"/>
    <w:rsid w:val="00B71BEA"/>
    <w:rsid w:val="00B71FB4"/>
    <w:rsid w:val="00B72390"/>
    <w:rsid w:val="00B72B64"/>
    <w:rsid w:val="00B72D19"/>
    <w:rsid w:val="00B72DA4"/>
    <w:rsid w:val="00B72FEF"/>
    <w:rsid w:val="00B7346D"/>
    <w:rsid w:val="00B735A9"/>
    <w:rsid w:val="00B73709"/>
    <w:rsid w:val="00B73734"/>
    <w:rsid w:val="00B73AD7"/>
    <w:rsid w:val="00B73BFB"/>
    <w:rsid w:val="00B7499D"/>
    <w:rsid w:val="00B74CEF"/>
    <w:rsid w:val="00B7579F"/>
    <w:rsid w:val="00B75ABC"/>
    <w:rsid w:val="00B75F7F"/>
    <w:rsid w:val="00B75FAD"/>
    <w:rsid w:val="00B7616D"/>
    <w:rsid w:val="00B76956"/>
    <w:rsid w:val="00B769F7"/>
    <w:rsid w:val="00B76BEE"/>
    <w:rsid w:val="00B77415"/>
    <w:rsid w:val="00B7764F"/>
    <w:rsid w:val="00B77B07"/>
    <w:rsid w:val="00B77CE6"/>
    <w:rsid w:val="00B77D19"/>
    <w:rsid w:val="00B80A55"/>
    <w:rsid w:val="00B80D73"/>
    <w:rsid w:val="00B80DE7"/>
    <w:rsid w:val="00B812F4"/>
    <w:rsid w:val="00B8159D"/>
    <w:rsid w:val="00B81A89"/>
    <w:rsid w:val="00B81D3A"/>
    <w:rsid w:val="00B81D98"/>
    <w:rsid w:val="00B822E5"/>
    <w:rsid w:val="00B8250C"/>
    <w:rsid w:val="00B82AA9"/>
    <w:rsid w:val="00B82AF3"/>
    <w:rsid w:val="00B82DE1"/>
    <w:rsid w:val="00B82F32"/>
    <w:rsid w:val="00B8362D"/>
    <w:rsid w:val="00B83986"/>
    <w:rsid w:val="00B83BA8"/>
    <w:rsid w:val="00B83D1F"/>
    <w:rsid w:val="00B83D23"/>
    <w:rsid w:val="00B84091"/>
    <w:rsid w:val="00B8437F"/>
    <w:rsid w:val="00B84989"/>
    <w:rsid w:val="00B85882"/>
    <w:rsid w:val="00B865BC"/>
    <w:rsid w:val="00B868CB"/>
    <w:rsid w:val="00B8692D"/>
    <w:rsid w:val="00B8699B"/>
    <w:rsid w:val="00B905BF"/>
    <w:rsid w:val="00B906C6"/>
    <w:rsid w:val="00B90761"/>
    <w:rsid w:val="00B90C55"/>
    <w:rsid w:val="00B90CD1"/>
    <w:rsid w:val="00B90D22"/>
    <w:rsid w:val="00B91D6F"/>
    <w:rsid w:val="00B92370"/>
    <w:rsid w:val="00B925B5"/>
    <w:rsid w:val="00B929BB"/>
    <w:rsid w:val="00B931AF"/>
    <w:rsid w:val="00B93490"/>
    <w:rsid w:val="00B934EF"/>
    <w:rsid w:val="00B941EB"/>
    <w:rsid w:val="00B9470F"/>
    <w:rsid w:val="00B94B97"/>
    <w:rsid w:val="00B94FAE"/>
    <w:rsid w:val="00B956F9"/>
    <w:rsid w:val="00B963B1"/>
    <w:rsid w:val="00B9665C"/>
    <w:rsid w:val="00B967FB"/>
    <w:rsid w:val="00B96EDF"/>
    <w:rsid w:val="00B96FA2"/>
    <w:rsid w:val="00B973AD"/>
    <w:rsid w:val="00B976F6"/>
    <w:rsid w:val="00B97A02"/>
    <w:rsid w:val="00BA00F3"/>
    <w:rsid w:val="00BA03E8"/>
    <w:rsid w:val="00BA0FB4"/>
    <w:rsid w:val="00BA1483"/>
    <w:rsid w:val="00BA1597"/>
    <w:rsid w:val="00BA2034"/>
    <w:rsid w:val="00BA225D"/>
    <w:rsid w:val="00BA26E3"/>
    <w:rsid w:val="00BA2D26"/>
    <w:rsid w:val="00BA349E"/>
    <w:rsid w:val="00BA36E1"/>
    <w:rsid w:val="00BA3BAD"/>
    <w:rsid w:val="00BA3D3D"/>
    <w:rsid w:val="00BA41ED"/>
    <w:rsid w:val="00BA4282"/>
    <w:rsid w:val="00BA44F9"/>
    <w:rsid w:val="00BA4CCB"/>
    <w:rsid w:val="00BA520B"/>
    <w:rsid w:val="00BA5AC2"/>
    <w:rsid w:val="00BA5E1A"/>
    <w:rsid w:val="00BA60FF"/>
    <w:rsid w:val="00BA62D4"/>
    <w:rsid w:val="00BA6660"/>
    <w:rsid w:val="00BA7318"/>
    <w:rsid w:val="00BA749D"/>
    <w:rsid w:val="00BA7BE2"/>
    <w:rsid w:val="00BB0601"/>
    <w:rsid w:val="00BB0B67"/>
    <w:rsid w:val="00BB0B85"/>
    <w:rsid w:val="00BB0BD8"/>
    <w:rsid w:val="00BB0C8B"/>
    <w:rsid w:val="00BB1030"/>
    <w:rsid w:val="00BB1109"/>
    <w:rsid w:val="00BB1229"/>
    <w:rsid w:val="00BB1A9D"/>
    <w:rsid w:val="00BB1C15"/>
    <w:rsid w:val="00BB283A"/>
    <w:rsid w:val="00BB292C"/>
    <w:rsid w:val="00BB2BEE"/>
    <w:rsid w:val="00BB2EE6"/>
    <w:rsid w:val="00BB31CE"/>
    <w:rsid w:val="00BB3552"/>
    <w:rsid w:val="00BB593F"/>
    <w:rsid w:val="00BB5BE3"/>
    <w:rsid w:val="00BB5DC4"/>
    <w:rsid w:val="00BB61D0"/>
    <w:rsid w:val="00BB626E"/>
    <w:rsid w:val="00BB688F"/>
    <w:rsid w:val="00BB6D02"/>
    <w:rsid w:val="00BB6D7D"/>
    <w:rsid w:val="00BB6D82"/>
    <w:rsid w:val="00BB7099"/>
    <w:rsid w:val="00BB709D"/>
    <w:rsid w:val="00BB7F32"/>
    <w:rsid w:val="00BC0203"/>
    <w:rsid w:val="00BC020C"/>
    <w:rsid w:val="00BC045B"/>
    <w:rsid w:val="00BC0583"/>
    <w:rsid w:val="00BC0692"/>
    <w:rsid w:val="00BC0794"/>
    <w:rsid w:val="00BC0935"/>
    <w:rsid w:val="00BC0B59"/>
    <w:rsid w:val="00BC0C34"/>
    <w:rsid w:val="00BC1AF1"/>
    <w:rsid w:val="00BC1F49"/>
    <w:rsid w:val="00BC1FFB"/>
    <w:rsid w:val="00BC21C6"/>
    <w:rsid w:val="00BC2267"/>
    <w:rsid w:val="00BC232E"/>
    <w:rsid w:val="00BC283B"/>
    <w:rsid w:val="00BC283E"/>
    <w:rsid w:val="00BC28DD"/>
    <w:rsid w:val="00BC2ADF"/>
    <w:rsid w:val="00BC2CBF"/>
    <w:rsid w:val="00BC3313"/>
    <w:rsid w:val="00BC3384"/>
    <w:rsid w:val="00BC35B0"/>
    <w:rsid w:val="00BC375B"/>
    <w:rsid w:val="00BC3962"/>
    <w:rsid w:val="00BC3C09"/>
    <w:rsid w:val="00BC3DF9"/>
    <w:rsid w:val="00BC403E"/>
    <w:rsid w:val="00BC4E42"/>
    <w:rsid w:val="00BC5C29"/>
    <w:rsid w:val="00BC5C9D"/>
    <w:rsid w:val="00BC5D6E"/>
    <w:rsid w:val="00BC667B"/>
    <w:rsid w:val="00BC6FFE"/>
    <w:rsid w:val="00BC74BE"/>
    <w:rsid w:val="00BC760B"/>
    <w:rsid w:val="00BC7B18"/>
    <w:rsid w:val="00BD03B2"/>
    <w:rsid w:val="00BD0A7D"/>
    <w:rsid w:val="00BD0C7C"/>
    <w:rsid w:val="00BD0C95"/>
    <w:rsid w:val="00BD0EF7"/>
    <w:rsid w:val="00BD104F"/>
    <w:rsid w:val="00BD10BA"/>
    <w:rsid w:val="00BD1210"/>
    <w:rsid w:val="00BD1AD0"/>
    <w:rsid w:val="00BD1D08"/>
    <w:rsid w:val="00BD1F51"/>
    <w:rsid w:val="00BD20AF"/>
    <w:rsid w:val="00BD21C8"/>
    <w:rsid w:val="00BD2469"/>
    <w:rsid w:val="00BD2764"/>
    <w:rsid w:val="00BD2BCB"/>
    <w:rsid w:val="00BD2CD6"/>
    <w:rsid w:val="00BD37D8"/>
    <w:rsid w:val="00BD3C37"/>
    <w:rsid w:val="00BD42EE"/>
    <w:rsid w:val="00BD4340"/>
    <w:rsid w:val="00BD44FC"/>
    <w:rsid w:val="00BD551F"/>
    <w:rsid w:val="00BD5594"/>
    <w:rsid w:val="00BD5A32"/>
    <w:rsid w:val="00BD5A50"/>
    <w:rsid w:val="00BD5A94"/>
    <w:rsid w:val="00BD5D2C"/>
    <w:rsid w:val="00BD63F9"/>
    <w:rsid w:val="00BD64CE"/>
    <w:rsid w:val="00BD67E9"/>
    <w:rsid w:val="00BD6D8E"/>
    <w:rsid w:val="00BD7137"/>
    <w:rsid w:val="00BD7485"/>
    <w:rsid w:val="00BD77F9"/>
    <w:rsid w:val="00BD7C19"/>
    <w:rsid w:val="00BE0998"/>
    <w:rsid w:val="00BE0A2D"/>
    <w:rsid w:val="00BE0A7D"/>
    <w:rsid w:val="00BE0E56"/>
    <w:rsid w:val="00BE1094"/>
    <w:rsid w:val="00BE17E7"/>
    <w:rsid w:val="00BE1A66"/>
    <w:rsid w:val="00BE1DB6"/>
    <w:rsid w:val="00BE1FE0"/>
    <w:rsid w:val="00BE21E5"/>
    <w:rsid w:val="00BE381E"/>
    <w:rsid w:val="00BE3938"/>
    <w:rsid w:val="00BE43C4"/>
    <w:rsid w:val="00BE60FF"/>
    <w:rsid w:val="00BE6A44"/>
    <w:rsid w:val="00BE6F21"/>
    <w:rsid w:val="00BE6FB7"/>
    <w:rsid w:val="00BE7156"/>
    <w:rsid w:val="00BE740F"/>
    <w:rsid w:val="00BE74F1"/>
    <w:rsid w:val="00BE7951"/>
    <w:rsid w:val="00BE7CB5"/>
    <w:rsid w:val="00BF0E0A"/>
    <w:rsid w:val="00BF125F"/>
    <w:rsid w:val="00BF1467"/>
    <w:rsid w:val="00BF17D4"/>
    <w:rsid w:val="00BF1AD0"/>
    <w:rsid w:val="00BF1D58"/>
    <w:rsid w:val="00BF22B2"/>
    <w:rsid w:val="00BF237C"/>
    <w:rsid w:val="00BF2478"/>
    <w:rsid w:val="00BF2B9E"/>
    <w:rsid w:val="00BF3165"/>
    <w:rsid w:val="00BF3247"/>
    <w:rsid w:val="00BF3582"/>
    <w:rsid w:val="00BF3CED"/>
    <w:rsid w:val="00BF3D76"/>
    <w:rsid w:val="00BF3FA7"/>
    <w:rsid w:val="00BF430F"/>
    <w:rsid w:val="00BF4354"/>
    <w:rsid w:val="00BF47E4"/>
    <w:rsid w:val="00BF487A"/>
    <w:rsid w:val="00BF4B8D"/>
    <w:rsid w:val="00BF4F21"/>
    <w:rsid w:val="00BF51EA"/>
    <w:rsid w:val="00BF52D1"/>
    <w:rsid w:val="00BF5417"/>
    <w:rsid w:val="00BF5FD6"/>
    <w:rsid w:val="00BF6B2B"/>
    <w:rsid w:val="00BF6DAD"/>
    <w:rsid w:val="00BF7191"/>
    <w:rsid w:val="00BF7409"/>
    <w:rsid w:val="00BF75F7"/>
    <w:rsid w:val="00BF7C5D"/>
    <w:rsid w:val="00C000AD"/>
    <w:rsid w:val="00C0052A"/>
    <w:rsid w:val="00C00995"/>
    <w:rsid w:val="00C00F98"/>
    <w:rsid w:val="00C01BA1"/>
    <w:rsid w:val="00C02B5B"/>
    <w:rsid w:val="00C02C7D"/>
    <w:rsid w:val="00C0335E"/>
    <w:rsid w:val="00C03488"/>
    <w:rsid w:val="00C03A3D"/>
    <w:rsid w:val="00C03FEF"/>
    <w:rsid w:val="00C042FB"/>
    <w:rsid w:val="00C0485F"/>
    <w:rsid w:val="00C0547C"/>
    <w:rsid w:val="00C06391"/>
    <w:rsid w:val="00C065AF"/>
    <w:rsid w:val="00C07341"/>
    <w:rsid w:val="00C0758F"/>
    <w:rsid w:val="00C07B47"/>
    <w:rsid w:val="00C07B78"/>
    <w:rsid w:val="00C07FC2"/>
    <w:rsid w:val="00C101B1"/>
    <w:rsid w:val="00C102DC"/>
    <w:rsid w:val="00C105B5"/>
    <w:rsid w:val="00C107B5"/>
    <w:rsid w:val="00C109C9"/>
    <w:rsid w:val="00C109F5"/>
    <w:rsid w:val="00C10CD4"/>
    <w:rsid w:val="00C1111C"/>
    <w:rsid w:val="00C111DB"/>
    <w:rsid w:val="00C11B68"/>
    <w:rsid w:val="00C11C52"/>
    <w:rsid w:val="00C122FD"/>
    <w:rsid w:val="00C12A08"/>
    <w:rsid w:val="00C12B86"/>
    <w:rsid w:val="00C12C85"/>
    <w:rsid w:val="00C134E3"/>
    <w:rsid w:val="00C1354E"/>
    <w:rsid w:val="00C1395A"/>
    <w:rsid w:val="00C14383"/>
    <w:rsid w:val="00C14913"/>
    <w:rsid w:val="00C14B99"/>
    <w:rsid w:val="00C14BB9"/>
    <w:rsid w:val="00C14BD4"/>
    <w:rsid w:val="00C150B3"/>
    <w:rsid w:val="00C15303"/>
    <w:rsid w:val="00C15447"/>
    <w:rsid w:val="00C1623C"/>
    <w:rsid w:val="00C162EB"/>
    <w:rsid w:val="00C16411"/>
    <w:rsid w:val="00C16755"/>
    <w:rsid w:val="00C16C16"/>
    <w:rsid w:val="00C16CB4"/>
    <w:rsid w:val="00C17387"/>
    <w:rsid w:val="00C17F5A"/>
    <w:rsid w:val="00C200AA"/>
    <w:rsid w:val="00C201E3"/>
    <w:rsid w:val="00C207E4"/>
    <w:rsid w:val="00C20BC5"/>
    <w:rsid w:val="00C20CD6"/>
    <w:rsid w:val="00C210CB"/>
    <w:rsid w:val="00C21DCC"/>
    <w:rsid w:val="00C221B3"/>
    <w:rsid w:val="00C22435"/>
    <w:rsid w:val="00C224F6"/>
    <w:rsid w:val="00C226CA"/>
    <w:rsid w:val="00C227E1"/>
    <w:rsid w:val="00C22CA8"/>
    <w:rsid w:val="00C22E4D"/>
    <w:rsid w:val="00C23308"/>
    <w:rsid w:val="00C2360A"/>
    <w:rsid w:val="00C23629"/>
    <w:rsid w:val="00C2368D"/>
    <w:rsid w:val="00C23ADA"/>
    <w:rsid w:val="00C23CC8"/>
    <w:rsid w:val="00C24F02"/>
    <w:rsid w:val="00C25404"/>
    <w:rsid w:val="00C25FD2"/>
    <w:rsid w:val="00C27A6A"/>
    <w:rsid w:val="00C27D73"/>
    <w:rsid w:val="00C304D5"/>
    <w:rsid w:val="00C30800"/>
    <w:rsid w:val="00C30F2C"/>
    <w:rsid w:val="00C31D07"/>
    <w:rsid w:val="00C320D6"/>
    <w:rsid w:val="00C32604"/>
    <w:rsid w:val="00C32AEB"/>
    <w:rsid w:val="00C32FAF"/>
    <w:rsid w:val="00C33554"/>
    <w:rsid w:val="00C335DF"/>
    <w:rsid w:val="00C33629"/>
    <w:rsid w:val="00C33C20"/>
    <w:rsid w:val="00C33CD3"/>
    <w:rsid w:val="00C33CD6"/>
    <w:rsid w:val="00C3408B"/>
    <w:rsid w:val="00C3460D"/>
    <w:rsid w:val="00C346A6"/>
    <w:rsid w:val="00C348B7"/>
    <w:rsid w:val="00C34DA6"/>
    <w:rsid w:val="00C35235"/>
    <w:rsid w:val="00C3544A"/>
    <w:rsid w:val="00C36180"/>
    <w:rsid w:val="00C364A7"/>
    <w:rsid w:val="00C3653C"/>
    <w:rsid w:val="00C36665"/>
    <w:rsid w:val="00C36DB3"/>
    <w:rsid w:val="00C37F14"/>
    <w:rsid w:val="00C40045"/>
    <w:rsid w:val="00C400FF"/>
    <w:rsid w:val="00C4091A"/>
    <w:rsid w:val="00C40AE9"/>
    <w:rsid w:val="00C40EF5"/>
    <w:rsid w:val="00C41246"/>
    <w:rsid w:val="00C4154B"/>
    <w:rsid w:val="00C4180E"/>
    <w:rsid w:val="00C41EF7"/>
    <w:rsid w:val="00C422F2"/>
    <w:rsid w:val="00C4261E"/>
    <w:rsid w:val="00C426B6"/>
    <w:rsid w:val="00C42D4A"/>
    <w:rsid w:val="00C430A2"/>
    <w:rsid w:val="00C430B8"/>
    <w:rsid w:val="00C4336F"/>
    <w:rsid w:val="00C433F5"/>
    <w:rsid w:val="00C434D7"/>
    <w:rsid w:val="00C43600"/>
    <w:rsid w:val="00C43780"/>
    <w:rsid w:val="00C43F3D"/>
    <w:rsid w:val="00C44339"/>
    <w:rsid w:val="00C4472D"/>
    <w:rsid w:val="00C44884"/>
    <w:rsid w:val="00C44D07"/>
    <w:rsid w:val="00C4512E"/>
    <w:rsid w:val="00C45148"/>
    <w:rsid w:val="00C4526C"/>
    <w:rsid w:val="00C4544C"/>
    <w:rsid w:val="00C455A4"/>
    <w:rsid w:val="00C45648"/>
    <w:rsid w:val="00C45770"/>
    <w:rsid w:val="00C45930"/>
    <w:rsid w:val="00C45A0A"/>
    <w:rsid w:val="00C45A2C"/>
    <w:rsid w:val="00C45BFE"/>
    <w:rsid w:val="00C45C2C"/>
    <w:rsid w:val="00C45D48"/>
    <w:rsid w:val="00C45F49"/>
    <w:rsid w:val="00C45FB6"/>
    <w:rsid w:val="00C470A4"/>
    <w:rsid w:val="00C47219"/>
    <w:rsid w:val="00C4725C"/>
    <w:rsid w:val="00C47307"/>
    <w:rsid w:val="00C4762C"/>
    <w:rsid w:val="00C479F4"/>
    <w:rsid w:val="00C47E6E"/>
    <w:rsid w:val="00C5088B"/>
    <w:rsid w:val="00C50910"/>
    <w:rsid w:val="00C509EC"/>
    <w:rsid w:val="00C50EC2"/>
    <w:rsid w:val="00C512C6"/>
    <w:rsid w:val="00C51498"/>
    <w:rsid w:val="00C51A22"/>
    <w:rsid w:val="00C51D39"/>
    <w:rsid w:val="00C51E29"/>
    <w:rsid w:val="00C51FC6"/>
    <w:rsid w:val="00C52084"/>
    <w:rsid w:val="00C52143"/>
    <w:rsid w:val="00C522D9"/>
    <w:rsid w:val="00C529C1"/>
    <w:rsid w:val="00C52E94"/>
    <w:rsid w:val="00C53475"/>
    <w:rsid w:val="00C53A85"/>
    <w:rsid w:val="00C53EED"/>
    <w:rsid w:val="00C542CB"/>
    <w:rsid w:val="00C5447E"/>
    <w:rsid w:val="00C545D5"/>
    <w:rsid w:val="00C55334"/>
    <w:rsid w:val="00C5533C"/>
    <w:rsid w:val="00C55956"/>
    <w:rsid w:val="00C55E70"/>
    <w:rsid w:val="00C56801"/>
    <w:rsid w:val="00C56A25"/>
    <w:rsid w:val="00C56FE5"/>
    <w:rsid w:val="00C5720C"/>
    <w:rsid w:val="00C57489"/>
    <w:rsid w:val="00C578F6"/>
    <w:rsid w:val="00C60F5B"/>
    <w:rsid w:val="00C61706"/>
    <w:rsid w:val="00C61778"/>
    <w:rsid w:val="00C62162"/>
    <w:rsid w:val="00C62CE7"/>
    <w:rsid w:val="00C63170"/>
    <w:rsid w:val="00C634B0"/>
    <w:rsid w:val="00C637D7"/>
    <w:rsid w:val="00C639A0"/>
    <w:rsid w:val="00C63B0F"/>
    <w:rsid w:val="00C63F63"/>
    <w:rsid w:val="00C640FE"/>
    <w:rsid w:val="00C64973"/>
    <w:rsid w:val="00C64D33"/>
    <w:rsid w:val="00C652CD"/>
    <w:rsid w:val="00C65394"/>
    <w:rsid w:val="00C65475"/>
    <w:rsid w:val="00C65629"/>
    <w:rsid w:val="00C6621B"/>
    <w:rsid w:val="00C672D9"/>
    <w:rsid w:val="00C67333"/>
    <w:rsid w:val="00C67567"/>
    <w:rsid w:val="00C6780B"/>
    <w:rsid w:val="00C67F3E"/>
    <w:rsid w:val="00C70102"/>
    <w:rsid w:val="00C7041C"/>
    <w:rsid w:val="00C70528"/>
    <w:rsid w:val="00C70D93"/>
    <w:rsid w:val="00C7121F"/>
    <w:rsid w:val="00C713FF"/>
    <w:rsid w:val="00C71640"/>
    <w:rsid w:val="00C71C42"/>
    <w:rsid w:val="00C71D07"/>
    <w:rsid w:val="00C72D78"/>
    <w:rsid w:val="00C7330E"/>
    <w:rsid w:val="00C733C5"/>
    <w:rsid w:val="00C73549"/>
    <w:rsid w:val="00C73573"/>
    <w:rsid w:val="00C736FA"/>
    <w:rsid w:val="00C73880"/>
    <w:rsid w:val="00C738A1"/>
    <w:rsid w:val="00C73A87"/>
    <w:rsid w:val="00C73BF5"/>
    <w:rsid w:val="00C74181"/>
    <w:rsid w:val="00C748FA"/>
    <w:rsid w:val="00C74A47"/>
    <w:rsid w:val="00C74B37"/>
    <w:rsid w:val="00C74BEC"/>
    <w:rsid w:val="00C74DF4"/>
    <w:rsid w:val="00C7527C"/>
    <w:rsid w:val="00C752A4"/>
    <w:rsid w:val="00C75486"/>
    <w:rsid w:val="00C759EE"/>
    <w:rsid w:val="00C75B93"/>
    <w:rsid w:val="00C76179"/>
    <w:rsid w:val="00C764C3"/>
    <w:rsid w:val="00C76BC6"/>
    <w:rsid w:val="00C77390"/>
    <w:rsid w:val="00C77859"/>
    <w:rsid w:val="00C77C1C"/>
    <w:rsid w:val="00C804E3"/>
    <w:rsid w:val="00C80863"/>
    <w:rsid w:val="00C80E62"/>
    <w:rsid w:val="00C80F8F"/>
    <w:rsid w:val="00C819DD"/>
    <w:rsid w:val="00C81EA6"/>
    <w:rsid w:val="00C82AA1"/>
    <w:rsid w:val="00C82D7E"/>
    <w:rsid w:val="00C82DBC"/>
    <w:rsid w:val="00C833BF"/>
    <w:rsid w:val="00C837F9"/>
    <w:rsid w:val="00C83CD7"/>
    <w:rsid w:val="00C83D59"/>
    <w:rsid w:val="00C83DC5"/>
    <w:rsid w:val="00C83F68"/>
    <w:rsid w:val="00C84129"/>
    <w:rsid w:val="00C84CB6"/>
    <w:rsid w:val="00C84E09"/>
    <w:rsid w:val="00C85386"/>
    <w:rsid w:val="00C853F3"/>
    <w:rsid w:val="00C853FB"/>
    <w:rsid w:val="00C85882"/>
    <w:rsid w:val="00C85D2A"/>
    <w:rsid w:val="00C860A7"/>
    <w:rsid w:val="00C869B0"/>
    <w:rsid w:val="00C86F21"/>
    <w:rsid w:val="00C87306"/>
    <w:rsid w:val="00C874ED"/>
    <w:rsid w:val="00C902B0"/>
    <w:rsid w:val="00C90630"/>
    <w:rsid w:val="00C90689"/>
    <w:rsid w:val="00C909FC"/>
    <w:rsid w:val="00C90C71"/>
    <w:rsid w:val="00C90CB6"/>
    <w:rsid w:val="00C90FE8"/>
    <w:rsid w:val="00C9130F"/>
    <w:rsid w:val="00C919B1"/>
    <w:rsid w:val="00C921CD"/>
    <w:rsid w:val="00C92233"/>
    <w:rsid w:val="00C9232E"/>
    <w:rsid w:val="00C9235C"/>
    <w:rsid w:val="00C926FE"/>
    <w:rsid w:val="00C928F4"/>
    <w:rsid w:val="00C92CF8"/>
    <w:rsid w:val="00C93196"/>
    <w:rsid w:val="00C931E2"/>
    <w:rsid w:val="00C93487"/>
    <w:rsid w:val="00C936C4"/>
    <w:rsid w:val="00C93B54"/>
    <w:rsid w:val="00C93BEC"/>
    <w:rsid w:val="00C93E0F"/>
    <w:rsid w:val="00C93F07"/>
    <w:rsid w:val="00C94108"/>
    <w:rsid w:val="00C953E9"/>
    <w:rsid w:val="00C956E6"/>
    <w:rsid w:val="00C957D1"/>
    <w:rsid w:val="00C95D40"/>
    <w:rsid w:val="00C95F24"/>
    <w:rsid w:val="00C964E9"/>
    <w:rsid w:val="00C96586"/>
    <w:rsid w:val="00C965D0"/>
    <w:rsid w:val="00C96732"/>
    <w:rsid w:val="00C969B1"/>
    <w:rsid w:val="00C96D2C"/>
    <w:rsid w:val="00C96E7A"/>
    <w:rsid w:val="00C97AA9"/>
    <w:rsid w:val="00CA04EF"/>
    <w:rsid w:val="00CA0551"/>
    <w:rsid w:val="00CA0B5F"/>
    <w:rsid w:val="00CA112E"/>
    <w:rsid w:val="00CA11BD"/>
    <w:rsid w:val="00CA198F"/>
    <w:rsid w:val="00CA19F7"/>
    <w:rsid w:val="00CA1C53"/>
    <w:rsid w:val="00CA1C61"/>
    <w:rsid w:val="00CA1DDB"/>
    <w:rsid w:val="00CA1E93"/>
    <w:rsid w:val="00CA2018"/>
    <w:rsid w:val="00CA26EA"/>
    <w:rsid w:val="00CA2930"/>
    <w:rsid w:val="00CA2EF7"/>
    <w:rsid w:val="00CA3622"/>
    <w:rsid w:val="00CA38CF"/>
    <w:rsid w:val="00CA3E99"/>
    <w:rsid w:val="00CA4160"/>
    <w:rsid w:val="00CA45AF"/>
    <w:rsid w:val="00CA48B8"/>
    <w:rsid w:val="00CA48EB"/>
    <w:rsid w:val="00CA5BE0"/>
    <w:rsid w:val="00CA64DF"/>
    <w:rsid w:val="00CA6BD2"/>
    <w:rsid w:val="00CA6DFD"/>
    <w:rsid w:val="00CA7437"/>
    <w:rsid w:val="00CA7E76"/>
    <w:rsid w:val="00CB07BF"/>
    <w:rsid w:val="00CB0AC7"/>
    <w:rsid w:val="00CB0C63"/>
    <w:rsid w:val="00CB0F08"/>
    <w:rsid w:val="00CB0FF1"/>
    <w:rsid w:val="00CB2477"/>
    <w:rsid w:val="00CB4442"/>
    <w:rsid w:val="00CB4BE2"/>
    <w:rsid w:val="00CB4E18"/>
    <w:rsid w:val="00CB4F6B"/>
    <w:rsid w:val="00CB51C8"/>
    <w:rsid w:val="00CB5391"/>
    <w:rsid w:val="00CB5510"/>
    <w:rsid w:val="00CB569B"/>
    <w:rsid w:val="00CB581C"/>
    <w:rsid w:val="00CB65F7"/>
    <w:rsid w:val="00CB6CA8"/>
    <w:rsid w:val="00CB6D80"/>
    <w:rsid w:val="00CB70D3"/>
    <w:rsid w:val="00CB759E"/>
    <w:rsid w:val="00CB798D"/>
    <w:rsid w:val="00CB7B1F"/>
    <w:rsid w:val="00CC0156"/>
    <w:rsid w:val="00CC074E"/>
    <w:rsid w:val="00CC0AD9"/>
    <w:rsid w:val="00CC0BB3"/>
    <w:rsid w:val="00CC0CED"/>
    <w:rsid w:val="00CC1078"/>
    <w:rsid w:val="00CC156B"/>
    <w:rsid w:val="00CC1FD5"/>
    <w:rsid w:val="00CC23DE"/>
    <w:rsid w:val="00CC28C7"/>
    <w:rsid w:val="00CC2D93"/>
    <w:rsid w:val="00CC2E7E"/>
    <w:rsid w:val="00CC3772"/>
    <w:rsid w:val="00CC41F6"/>
    <w:rsid w:val="00CC443C"/>
    <w:rsid w:val="00CC466A"/>
    <w:rsid w:val="00CC4688"/>
    <w:rsid w:val="00CC46F3"/>
    <w:rsid w:val="00CC4CB2"/>
    <w:rsid w:val="00CC4D62"/>
    <w:rsid w:val="00CC59FA"/>
    <w:rsid w:val="00CC60EE"/>
    <w:rsid w:val="00CC639D"/>
    <w:rsid w:val="00CC66A0"/>
    <w:rsid w:val="00CC6982"/>
    <w:rsid w:val="00CC6D29"/>
    <w:rsid w:val="00CC723B"/>
    <w:rsid w:val="00CC7403"/>
    <w:rsid w:val="00CC758F"/>
    <w:rsid w:val="00CC7A84"/>
    <w:rsid w:val="00CC7BCD"/>
    <w:rsid w:val="00CC7CA9"/>
    <w:rsid w:val="00CC7DDE"/>
    <w:rsid w:val="00CD01D2"/>
    <w:rsid w:val="00CD06AE"/>
    <w:rsid w:val="00CD08A7"/>
    <w:rsid w:val="00CD0AC3"/>
    <w:rsid w:val="00CD14E3"/>
    <w:rsid w:val="00CD15AF"/>
    <w:rsid w:val="00CD1750"/>
    <w:rsid w:val="00CD1A14"/>
    <w:rsid w:val="00CD1F70"/>
    <w:rsid w:val="00CD297C"/>
    <w:rsid w:val="00CD35BD"/>
    <w:rsid w:val="00CD40A7"/>
    <w:rsid w:val="00CD4FCD"/>
    <w:rsid w:val="00CD5013"/>
    <w:rsid w:val="00CD54BC"/>
    <w:rsid w:val="00CD594B"/>
    <w:rsid w:val="00CD5ADB"/>
    <w:rsid w:val="00CD5B4B"/>
    <w:rsid w:val="00CD5D5D"/>
    <w:rsid w:val="00CD610D"/>
    <w:rsid w:val="00CD67F7"/>
    <w:rsid w:val="00CD6949"/>
    <w:rsid w:val="00CD69DB"/>
    <w:rsid w:val="00CD69E3"/>
    <w:rsid w:val="00CD6E1B"/>
    <w:rsid w:val="00CD6F85"/>
    <w:rsid w:val="00CD6FFA"/>
    <w:rsid w:val="00CD70A5"/>
    <w:rsid w:val="00CD730D"/>
    <w:rsid w:val="00CD74AA"/>
    <w:rsid w:val="00CD7CE2"/>
    <w:rsid w:val="00CD7FF6"/>
    <w:rsid w:val="00CE02C6"/>
    <w:rsid w:val="00CE05C6"/>
    <w:rsid w:val="00CE1885"/>
    <w:rsid w:val="00CE19FC"/>
    <w:rsid w:val="00CE1A2E"/>
    <w:rsid w:val="00CE2337"/>
    <w:rsid w:val="00CE27FD"/>
    <w:rsid w:val="00CE2E02"/>
    <w:rsid w:val="00CE32CD"/>
    <w:rsid w:val="00CE3A54"/>
    <w:rsid w:val="00CE3AFB"/>
    <w:rsid w:val="00CE3E25"/>
    <w:rsid w:val="00CE4636"/>
    <w:rsid w:val="00CE466C"/>
    <w:rsid w:val="00CE46F4"/>
    <w:rsid w:val="00CE49AE"/>
    <w:rsid w:val="00CE4F93"/>
    <w:rsid w:val="00CE5083"/>
    <w:rsid w:val="00CE51D1"/>
    <w:rsid w:val="00CE52B9"/>
    <w:rsid w:val="00CE52D0"/>
    <w:rsid w:val="00CE599C"/>
    <w:rsid w:val="00CE6519"/>
    <w:rsid w:val="00CE7B54"/>
    <w:rsid w:val="00CE7C2C"/>
    <w:rsid w:val="00CF016D"/>
    <w:rsid w:val="00CF03ED"/>
    <w:rsid w:val="00CF0661"/>
    <w:rsid w:val="00CF07D7"/>
    <w:rsid w:val="00CF0863"/>
    <w:rsid w:val="00CF0ABD"/>
    <w:rsid w:val="00CF0E82"/>
    <w:rsid w:val="00CF135A"/>
    <w:rsid w:val="00CF173F"/>
    <w:rsid w:val="00CF1ECE"/>
    <w:rsid w:val="00CF20A4"/>
    <w:rsid w:val="00CF213D"/>
    <w:rsid w:val="00CF21D7"/>
    <w:rsid w:val="00CF24A8"/>
    <w:rsid w:val="00CF2FA2"/>
    <w:rsid w:val="00CF314C"/>
    <w:rsid w:val="00CF3668"/>
    <w:rsid w:val="00CF3A65"/>
    <w:rsid w:val="00CF3FAE"/>
    <w:rsid w:val="00CF4506"/>
    <w:rsid w:val="00CF4623"/>
    <w:rsid w:val="00CF474C"/>
    <w:rsid w:val="00CF4BCA"/>
    <w:rsid w:val="00CF4D4F"/>
    <w:rsid w:val="00CF517A"/>
    <w:rsid w:val="00CF51CE"/>
    <w:rsid w:val="00CF54D9"/>
    <w:rsid w:val="00CF5F51"/>
    <w:rsid w:val="00CF61A6"/>
    <w:rsid w:val="00CF61E8"/>
    <w:rsid w:val="00CF6749"/>
    <w:rsid w:val="00CF6A3F"/>
    <w:rsid w:val="00CF6AA6"/>
    <w:rsid w:val="00CF6CB5"/>
    <w:rsid w:val="00CF6D04"/>
    <w:rsid w:val="00CF756B"/>
    <w:rsid w:val="00CF7583"/>
    <w:rsid w:val="00CF775A"/>
    <w:rsid w:val="00CF78BF"/>
    <w:rsid w:val="00CF78F6"/>
    <w:rsid w:val="00CF7C58"/>
    <w:rsid w:val="00CF7FF1"/>
    <w:rsid w:val="00D00393"/>
    <w:rsid w:val="00D0066A"/>
    <w:rsid w:val="00D00768"/>
    <w:rsid w:val="00D00B6E"/>
    <w:rsid w:val="00D00EB5"/>
    <w:rsid w:val="00D00F31"/>
    <w:rsid w:val="00D01004"/>
    <w:rsid w:val="00D012B8"/>
    <w:rsid w:val="00D012B9"/>
    <w:rsid w:val="00D01654"/>
    <w:rsid w:val="00D01D1A"/>
    <w:rsid w:val="00D0241C"/>
    <w:rsid w:val="00D02C41"/>
    <w:rsid w:val="00D03289"/>
    <w:rsid w:val="00D0348A"/>
    <w:rsid w:val="00D03541"/>
    <w:rsid w:val="00D03A44"/>
    <w:rsid w:val="00D03AFE"/>
    <w:rsid w:val="00D03C22"/>
    <w:rsid w:val="00D03E20"/>
    <w:rsid w:val="00D03E41"/>
    <w:rsid w:val="00D04429"/>
    <w:rsid w:val="00D04470"/>
    <w:rsid w:val="00D048BB"/>
    <w:rsid w:val="00D04C1E"/>
    <w:rsid w:val="00D04C66"/>
    <w:rsid w:val="00D05B05"/>
    <w:rsid w:val="00D06365"/>
    <w:rsid w:val="00D064E7"/>
    <w:rsid w:val="00D06814"/>
    <w:rsid w:val="00D06921"/>
    <w:rsid w:val="00D06B99"/>
    <w:rsid w:val="00D072C4"/>
    <w:rsid w:val="00D07A5C"/>
    <w:rsid w:val="00D07B4B"/>
    <w:rsid w:val="00D07BEF"/>
    <w:rsid w:val="00D07DC5"/>
    <w:rsid w:val="00D10979"/>
    <w:rsid w:val="00D10991"/>
    <w:rsid w:val="00D11556"/>
    <w:rsid w:val="00D120AE"/>
    <w:rsid w:val="00D12280"/>
    <w:rsid w:val="00D12BB6"/>
    <w:rsid w:val="00D1305A"/>
    <w:rsid w:val="00D139FA"/>
    <w:rsid w:val="00D13EF8"/>
    <w:rsid w:val="00D13F61"/>
    <w:rsid w:val="00D143C4"/>
    <w:rsid w:val="00D149E7"/>
    <w:rsid w:val="00D149E8"/>
    <w:rsid w:val="00D15A3C"/>
    <w:rsid w:val="00D15B7F"/>
    <w:rsid w:val="00D15FCE"/>
    <w:rsid w:val="00D16173"/>
    <w:rsid w:val="00D16423"/>
    <w:rsid w:val="00D16A5E"/>
    <w:rsid w:val="00D1735D"/>
    <w:rsid w:val="00D17440"/>
    <w:rsid w:val="00D1755F"/>
    <w:rsid w:val="00D176B2"/>
    <w:rsid w:val="00D202F6"/>
    <w:rsid w:val="00D2034C"/>
    <w:rsid w:val="00D20611"/>
    <w:rsid w:val="00D20654"/>
    <w:rsid w:val="00D20A1F"/>
    <w:rsid w:val="00D20F8D"/>
    <w:rsid w:val="00D2132C"/>
    <w:rsid w:val="00D222F5"/>
    <w:rsid w:val="00D22340"/>
    <w:rsid w:val="00D22B9D"/>
    <w:rsid w:val="00D23059"/>
    <w:rsid w:val="00D23244"/>
    <w:rsid w:val="00D232EE"/>
    <w:rsid w:val="00D234DE"/>
    <w:rsid w:val="00D23690"/>
    <w:rsid w:val="00D237D4"/>
    <w:rsid w:val="00D2395E"/>
    <w:rsid w:val="00D23BEB"/>
    <w:rsid w:val="00D23D66"/>
    <w:rsid w:val="00D24288"/>
    <w:rsid w:val="00D243A1"/>
    <w:rsid w:val="00D244A8"/>
    <w:rsid w:val="00D248E1"/>
    <w:rsid w:val="00D24C04"/>
    <w:rsid w:val="00D24F0C"/>
    <w:rsid w:val="00D25029"/>
    <w:rsid w:val="00D2538D"/>
    <w:rsid w:val="00D257C3"/>
    <w:rsid w:val="00D2594C"/>
    <w:rsid w:val="00D25C08"/>
    <w:rsid w:val="00D25CBB"/>
    <w:rsid w:val="00D25D3D"/>
    <w:rsid w:val="00D25EE3"/>
    <w:rsid w:val="00D25FBD"/>
    <w:rsid w:val="00D2622C"/>
    <w:rsid w:val="00D2640D"/>
    <w:rsid w:val="00D274C8"/>
    <w:rsid w:val="00D27817"/>
    <w:rsid w:val="00D279A3"/>
    <w:rsid w:val="00D27B24"/>
    <w:rsid w:val="00D309C1"/>
    <w:rsid w:val="00D30A07"/>
    <w:rsid w:val="00D30C98"/>
    <w:rsid w:val="00D32164"/>
    <w:rsid w:val="00D325C5"/>
    <w:rsid w:val="00D326A9"/>
    <w:rsid w:val="00D32A4B"/>
    <w:rsid w:val="00D32D89"/>
    <w:rsid w:val="00D33055"/>
    <w:rsid w:val="00D33546"/>
    <w:rsid w:val="00D33876"/>
    <w:rsid w:val="00D338CC"/>
    <w:rsid w:val="00D33CB4"/>
    <w:rsid w:val="00D34465"/>
    <w:rsid w:val="00D348A2"/>
    <w:rsid w:val="00D349D3"/>
    <w:rsid w:val="00D349DD"/>
    <w:rsid w:val="00D350C6"/>
    <w:rsid w:val="00D3542E"/>
    <w:rsid w:val="00D354AD"/>
    <w:rsid w:val="00D3571F"/>
    <w:rsid w:val="00D36110"/>
    <w:rsid w:val="00D36197"/>
    <w:rsid w:val="00D3626F"/>
    <w:rsid w:val="00D36560"/>
    <w:rsid w:val="00D369F3"/>
    <w:rsid w:val="00D36EAF"/>
    <w:rsid w:val="00D36F0E"/>
    <w:rsid w:val="00D3757A"/>
    <w:rsid w:val="00D37EAD"/>
    <w:rsid w:val="00D40596"/>
    <w:rsid w:val="00D408B1"/>
    <w:rsid w:val="00D40924"/>
    <w:rsid w:val="00D40A07"/>
    <w:rsid w:val="00D40AF9"/>
    <w:rsid w:val="00D40EEF"/>
    <w:rsid w:val="00D410FE"/>
    <w:rsid w:val="00D41193"/>
    <w:rsid w:val="00D4158A"/>
    <w:rsid w:val="00D415A7"/>
    <w:rsid w:val="00D4185A"/>
    <w:rsid w:val="00D41CF7"/>
    <w:rsid w:val="00D41F18"/>
    <w:rsid w:val="00D42107"/>
    <w:rsid w:val="00D42157"/>
    <w:rsid w:val="00D42318"/>
    <w:rsid w:val="00D42541"/>
    <w:rsid w:val="00D426F1"/>
    <w:rsid w:val="00D427DA"/>
    <w:rsid w:val="00D42FA3"/>
    <w:rsid w:val="00D43515"/>
    <w:rsid w:val="00D43A80"/>
    <w:rsid w:val="00D447B5"/>
    <w:rsid w:val="00D44F29"/>
    <w:rsid w:val="00D453A0"/>
    <w:rsid w:val="00D45892"/>
    <w:rsid w:val="00D45895"/>
    <w:rsid w:val="00D45BC5"/>
    <w:rsid w:val="00D46236"/>
    <w:rsid w:val="00D465EF"/>
    <w:rsid w:val="00D46890"/>
    <w:rsid w:val="00D46CB7"/>
    <w:rsid w:val="00D46F30"/>
    <w:rsid w:val="00D47347"/>
    <w:rsid w:val="00D47A1E"/>
    <w:rsid w:val="00D47A92"/>
    <w:rsid w:val="00D47AF1"/>
    <w:rsid w:val="00D47D43"/>
    <w:rsid w:val="00D47FD0"/>
    <w:rsid w:val="00D50052"/>
    <w:rsid w:val="00D50313"/>
    <w:rsid w:val="00D50E6E"/>
    <w:rsid w:val="00D51041"/>
    <w:rsid w:val="00D51125"/>
    <w:rsid w:val="00D512EB"/>
    <w:rsid w:val="00D513DB"/>
    <w:rsid w:val="00D517B3"/>
    <w:rsid w:val="00D51FE0"/>
    <w:rsid w:val="00D52078"/>
    <w:rsid w:val="00D5213D"/>
    <w:rsid w:val="00D5234A"/>
    <w:rsid w:val="00D52AD9"/>
    <w:rsid w:val="00D52ED3"/>
    <w:rsid w:val="00D536CE"/>
    <w:rsid w:val="00D53C62"/>
    <w:rsid w:val="00D53CC3"/>
    <w:rsid w:val="00D53F54"/>
    <w:rsid w:val="00D53F8C"/>
    <w:rsid w:val="00D53F91"/>
    <w:rsid w:val="00D54377"/>
    <w:rsid w:val="00D5458F"/>
    <w:rsid w:val="00D548FD"/>
    <w:rsid w:val="00D54CDC"/>
    <w:rsid w:val="00D54F96"/>
    <w:rsid w:val="00D55BDA"/>
    <w:rsid w:val="00D56164"/>
    <w:rsid w:val="00D561CE"/>
    <w:rsid w:val="00D5645F"/>
    <w:rsid w:val="00D56B55"/>
    <w:rsid w:val="00D56BC4"/>
    <w:rsid w:val="00D57232"/>
    <w:rsid w:val="00D572CE"/>
    <w:rsid w:val="00D578C0"/>
    <w:rsid w:val="00D578E9"/>
    <w:rsid w:val="00D600F9"/>
    <w:rsid w:val="00D601D3"/>
    <w:rsid w:val="00D602CC"/>
    <w:rsid w:val="00D60378"/>
    <w:rsid w:val="00D60836"/>
    <w:rsid w:val="00D61154"/>
    <w:rsid w:val="00D61227"/>
    <w:rsid w:val="00D613B8"/>
    <w:rsid w:val="00D616CA"/>
    <w:rsid w:val="00D6193D"/>
    <w:rsid w:val="00D62023"/>
    <w:rsid w:val="00D62087"/>
    <w:rsid w:val="00D6216B"/>
    <w:rsid w:val="00D6226A"/>
    <w:rsid w:val="00D62830"/>
    <w:rsid w:val="00D6310F"/>
    <w:rsid w:val="00D634CA"/>
    <w:rsid w:val="00D638FA"/>
    <w:rsid w:val="00D63B6E"/>
    <w:rsid w:val="00D63CC0"/>
    <w:rsid w:val="00D648BA"/>
    <w:rsid w:val="00D64A17"/>
    <w:rsid w:val="00D64ED1"/>
    <w:rsid w:val="00D65694"/>
    <w:rsid w:val="00D65A8F"/>
    <w:rsid w:val="00D65B40"/>
    <w:rsid w:val="00D65B6E"/>
    <w:rsid w:val="00D66F43"/>
    <w:rsid w:val="00D677AA"/>
    <w:rsid w:val="00D677B0"/>
    <w:rsid w:val="00D67C2D"/>
    <w:rsid w:val="00D70383"/>
    <w:rsid w:val="00D70969"/>
    <w:rsid w:val="00D70D42"/>
    <w:rsid w:val="00D70DDC"/>
    <w:rsid w:val="00D70F78"/>
    <w:rsid w:val="00D7120A"/>
    <w:rsid w:val="00D720BA"/>
    <w:rsid w:val="00D72352"/>
    <w:rsid w:val="00D72E78"/>
    <w:rsid w:val="00D72F41"/>
    <w:rsid w:val="00D739D4"/>
    <w:rsid w:val="00D73C36"/>
    <w:rsid w:val="00D73CD9"/>
    <w:rsid w:val="00D73E60"/>
    <w:rsid w:val="00D7420F"/>
    <w:rsid w:val="00D74313"/>
    <w:rsid w:val="00D744AF"/>
    <w:rsid w:val="00D74F6F"/>
    <w:rsid w:val="00D752C5"/>
    <w:rsid w:val="00D757D3"/>
    <w:rsid w:val="00D7588B"/>
    <w:rsid w:val="00D75933"/>
    <w:rsid w:val="00D75FF9"/>
    <w:rsid w:val="00D763ED"/>
    <w:rsid w:val="00D7667F"/>
    <w:rsid w:val="00D76D26"/>
    <w:rsid w:val="00D77D96"/>
    <w:rsid w:val="00D77E4C"/>
    <w:rsid w:val="00D8004D"/>
    <w:rsid w:val="00D801DA"/>
    <w:rsid w:val="00D80468"/>
    <w:rsid w:val="00D80770"/>
    <w:rsid w:val="00D809B6"/>
    <w:rsid w:val="00D80BA0"/>
    <w:rsid w:val="00D80E45"/>
    <w:rsid w:val="00D811DF"/>
    <w:rsid w:val="00D81ABD"/>
    <w:rsid w:val="00D81AE9"/>
    <w:rsid w:val="00D824EF"/>
    <w:rsid w:val="00D827A1"/>
    <w:rsid w:val="00D8289C"/>
    <w:rsid w:val="00D82A99"/>
    <w:rsid w:val="00D830D6"/>
    <w:rsid w:val="00D8333E"/>
    <w:rsid w:val="00D8382C"/>
    <w:rsid w:val="00D8386F"/>
    <w:rsid w:val="00D83EF3"/>
    <w:rsid w:val="00D841DC"/>
    <w:rsid w:val="00D84AC8"/>
    <w:rsid w:val="00D85656"/>
    <w:rsid w:val="00D85676"/>
    <w:rsid w:val="00D8568F"/>
    <w:rsid w:val="00D85F7A"/>
    <w:rsid w:val="00D864D6"/>
    <w:rsid w:val="00D869EA"/>
    <w:rsid w:val="00D8723A"/>
    <w:rsid w:val="00D87471"/>
    <w:rsid w:val="00D87619"/>
    <w:rsid w:val="00D877CE"/>
    <w:rsid w:val="00D87950"/>
    <w:rsid w:val="00D87A52"/>
    <w:rsid w:val="00D87A53"/>
    <w:rsid w:val="00D87C0D"/>
    <w:rsid w:val="00D87DE1"/>
    <w:rsid w:val="00D9022A"/>
    <w:rsid w:val="00D90391"/>
    <w:rsid w:val="00D90C05"/>
    <w:rsid w:val="00D90C29"/>
    <w:rsid w:val="00D915C2"/>
    <w:rsid w:val="00D91953"/>
    <w:rsid w:val="00D91B13"/>
    <w:rsid w:val="00D91F42"/>
    <w:rsid w:val="00D921FA"/>
    <w:rsid w:val="00D923F3"/>
    <w:rsid w:val="00D927DB"/>
    <w:rsid w:val="00D92A99"/>
    <w:rsid w:val="00D92CB0"/>
    <w:rsid w:val="00D934C0"/>
    <w:rsid w:val="00D9366B"/>
    <w:rsid w:val="00D93774"/>
    <w:rsid w:val="00D94511"/>
    <w:rsid w:val="00D949CA"/>
    <w:rsid w:val="00D94EE5"/>
    <w:rsid w:val="00D95356"/>
    <w:rsid w:val="00D95DDD"/>
    <w:rsid w:val="00D95DF9"/>
    <w:rsid w:val="00D95FC9"/>
    <w:rsid w:val="00D9620F"/>
    <w:rsid w:val="00D967AB"/>
    <w:rsid w:val="00D96B3A"/>
    <w:rsid w:val="00D977D7"/>
    <w:rsid w:val="00D97CEA"/>
    <w:rsid w:val="00D97E3B"/>
    <w:rsid w:val="00D97EA1"/>
    <w:rsid w:val="00DA01F2"/>
    <w:rsid w:val="00DA07B0"/>
    <w:rsid w:val="00DA07C6"/>
    <w:rsid w:val="00DA07C8"/>
    <w:rsid w:val="00DA0B2F"/>
    <w:rsid w:val="00DA0DDE"/>
    <w:rsid w:val="00DA0ED7"/>
    <w:rsid w:val="00DA0FD4"/>
    <w:rsid w:val="00DA13C7"/>
    <w:rsid w:val="00DA1E1A"/>
    <w:rsid w:val="00DA1E63"/>
    <w:rsid w:val="00DA1F05"/>
    <w:rsid w:val="00DA2470"/>
    <w:rsid w:val="00DA24B7"/>
    <w:rsid w:val="00DA2813"/>
    <w:rsid w:val="00DA2852"/>
    <w:rsid w:val="00DA2E15"/>
    <w:rsid w:val="00DA36B5"/>
    <w:rsid w:val="00DA3913"/>
    <w:rsid w:val="00DA3A06"/>
    <w:rsid w:val="00DA3ED0"/>
    <w:rsid w:val="00DA465F"/>
    <w:rsid w:val="00DA4670"/>
    <w:rsid w:val="00DA4746"/>
    <w:rsid w:val="00DA4A92"/>
    <w:rsid w:val="00DA4BB7"/>
    <w:rsid w:val="00DA5598"/>
    <w:rsid w:val="00DA5D74"/>
    <w:rsid w:val="00DB021C"/>
    <w:rsid w:val="00DB0534"/>
    <w:rsid w:val="00DB0A71"/>
    <w:rsid w:val="00DB0C21"/>
    <w:rsid w:val="00DB0FA8"/>
    <w:rsid w:val="00DB100D"/>
    <w:rsid w:val="00DB15DB"/>
    <w:rsid w:val="00DB1B2E"/>
    <w:rsid w:val="00DB1D8B"/>
    <w:rsid w:val="00DB2BA9"/>
    <w:rsid w:val="00DB2C32"/>
    <w:rsid w:val="00DB2F2D"/>
    <w:rsid w:val="00DB30CF"/>
    <w:rsid w:val="00DB3445"/>
    <w:rsid w:val="00DB3A03"/>
    <w:rsid w:val="00DB3A51"/>
    <w:rsid w:val="00DB4135"/>
    <w:rsid w:val="00DB4933"/>
    <w:rsid w:val="00DB4AE3"/>
    <w:rsid w:val="00DB4BE1"/>
    <w:rsid w:val="00DB5009"/>
    <w:rsid w:val="00DB5013"/>
    <w:rsid w:val="00DB5536"/>
    <w:rsid w:val="00DB563E"/>
    <w:rsid w:val="00DB595D"/>
    <w:rsid w:val="00DB608E"/>
    <w:rsid w:val="00DB68B6"/>
    <w:rsid w:val="00DB6AAD"/>
    <w:rsid w:val="00DB72D8"/>
    <w:rsid w:val="00DB7663"/>
    <w:rsid w:val="00DB7BD1"/>
    <w:rsid w:val="00DB7FDB"/>
    <w:rsid w:val="00DC01F4"/>
    <w:rsid w:val="00DC023A"/>
    <w:rsid w:val="00DC032B"/>
    <w:rsid w:val="00DC0888"/>
    <w:rsid w:val="00DC0D66"/>
    <w:rsid w:val="00DC3083"/>
    <w:rsid w:val="00DC3196"/>
    <w:rsid w:val="00DC3496"/>
    <w:rsid w:val="00DC34CD"/>
    <w:rsid w:val="00DC38FF"/>
    <w:rsid w:val="00DC39B8"/>
    <w:rsid w:val="00DC4129"/>
    <w:rsid w:val="00DC4658"/>
    <w:rsid w:val="00DC46E9"/>
    <w:rsid w:val="00DC4742"/>
    <w:rsid w:val="00DC4802"/>
    <w:rsid w:val="00DC4F6E"/>
    <w:rsid w:val="00DC5607"/>
    <w:rsid w:val="00DC5925"/>
    <w:rsid w:val="00DC5A1B"/>
    <w:rsid w:val="00DC5A45"/>
    <w:rsid w:val="00DC67A8"/>
    <w:rsid w:val="00DC707B"/>
    <w:rsid w:val="00DC71BC"/>
    <w:rsid w:val="00DC73F1"/>
    <w:rsid w:val="00DC7DBF"/>
    <w:rsid w:val="00DC7FF3"/>
    <w:rsid w:val="00DD027E"/>
    <w:rsid w:val="00DD0368"/>
    <w:rsid w:val="00DD03E9"/>
    <w:rsid w:val="00DD0853"/>
    <w:rsid w:val="00DD0C30"/>
    <w:rsid w:val="00DD0EFF"/>
    <w:rsid w:val="00DD19AA"/>
    <w:rsid w:val="00DD1C75"/>
    <w:rsid w:val="00DD2297"/>
    <w:rsid w:val="00DD25A8"/>
    <w:rsid w:val="00DD25AC"/>
    <w:rsid w:val="00DD295B"/>
    <w:rsid w:val="00DD2C47"/>
    <w:rsid w:val="00DD2E98"/>
    <w:rsid w:val="00DD335B"/>
    <w:rsid w:val="00DD34E0"/>
    <w:rsid w:val="00DD3558"/>
    <w:rsid w:val="00DD3983"/>
    <w:rsid w:val="00DD43FB"/>
    <w:rsid w:val="00DD47FF"/>
    <w:rsid w:val="00DD483C"/>
    <w:rsid w:val="00DD4DC4"/>
    <w:rsid w:val="00DD5028"/>
    <w:rsid w:val="00DD5324"/>
    <w:rsid w:val="00DD5861"/>
    <w:rsid w:val="00DD5A33"/>
    <w:rsid w:val="00DD681A"/>
    <w:rsid w:val="00DD69F6"/>
    <w:rsid w:val="00DD6E96"/>
    <w:rsid w:val="00DD6EA4"/>
    <w:rsid w:val="00DD71B0"/>
    <w:rsid w:val="00DD793C"/>
    <w:rsid w:val="00DD795D"/>
    <w:rsid w:val="00DE0894"/>
    <w:rsid w:val="00DE10C8"/>
    <w:rsid w:val="00DE125D"/>
    <w:rsid w:val="00DE1419"/>
    <w:rsid w:val="00DE1803"/>
    <w:rsid w:val="00DE1AE6"/>
    <w:rsid w:val="00DE1E77"/>
    <w:rsid w:val="00DE22CB"/>
    <w:rsid w:val="00DE2755"/>
    <w:rsid w:val="00DE2897"/>
    <w:rsid w:val="00DE2EC5"/>
    <w:rsid w:val="00DE3318"/>
    <w:rsid w:val="00DE33D8"/>
    <w:rsid w:val="00DE3983"/>
    <w:rsid w:val="00DE4179"/>
    <w:rsid w:val="00DE4C54"/>
    <w:rsid w:val="00DE4F77"/>
    <w:rsid w:val="00DE50D4"/>
    <w:rsid w:val="00DE52A8"/>
    <w:rsid w:val="00DE5FF0"/>
    <w:rsid w:val="00DE623C"/>
    <w:rsid w:val="00DE6727"/>
    <w:rsid w:val="00DE6BC6"/>
    <w:rsid w:val="00DE6F7D"/>
    <w:rsid w:val="00DE7066"/>
    <w:rsid w:val="00DE7243"/>
    <w:rsid w:val="00DE7A0E"/>
    <w:rsid w:val="00DE7D7C"/>
    <w:rsid w:val="00DE7DA8"/>
    <w:rsid w:val="00DE7F91"/>
    <w:rsid w:val="00DF0CAD"/>
    <w:rsid w:val="00DF100E"/>
    <w:rsid w:val="00DF1509"/>
    <w:rsid w:val="00DF1EA6"/>
    <w:rsid w:val="00DF21F8"/>
    <w:rsid w:val="00DF2971"/>
    <w:rsid w:val="00DF29C3"/>
    <w:rsid w:val="00DF2B2B"/>
    <w:rsid w:val="00DF2C17"/>
    <w:rsid w:val="00DF31A5"/>
    <w:rsid w:val="00DF3550"/>
    <w:rsid w:val="00DF3805"/>
    <w:rsid w:val="00DF3D1A"/>
    <w:rsid w:val="00DF3EE2"/>
    <w:rsid w:val="00DF411C"/>
    <w:rsid w:val="00DF438C"/>
    <w:rsid w:val="00DF44E2"/>
    <w:rsid w:val="00DF4845"/>
    <w:rsid w:val="00DF4A76"/>
    <w:rsid w:val="00DF4B43"/>
    <w:rsid w:val="00DF56BA"/>
    <w:rsid w:val="00DF5C2F"/>
    <w:rsid w:val="00DF6013"/>
    <w:rsid w:val="00DF6020"/>
    <w:rsid w:val="00DF6126"/>
    <w:rsid w:val="00DF6374"/>
    <w:rsid w:val="00DF64D6"/>
    <w:rsid w:val="00DF688F"/>
    <w:rsid w:val="00DF6977"/>
    <w:rsid w:val="00DF6B25"/>
    <w:rsid w:val="00DF6CB8"/>
    <w:rsid w:val="00DF6E8F"/>
    <w:rsid w:val="00DF756E"/>
    <w:rsid w:val="00DF766D"/>
    <w:rsid w:val="00DF7F73"/>
    <w:rsid w:val="00E0042D"/>
    <w:rsid w:val="00E00702"/>
    <w:rsid w:val="00E007F8"/>
    <w:rsid w:val="00E0086D"/>
    <w:rsid w:val="00E00D06"/>
    <w:rsid w:val="00E00EC1"/>
    <w:rsid w:val="00E017B6"/>
    <w:rsid w:val="00E01A50"/>
    <w:rsid w:val="00E02E47"/>
    <w:rsid w:val="00E03241"/>
    <w:rsid w:val="00E03766"/>
    <w:rsid w:val="00E03B77"/>
    <w:rsid w:val="00E040D2"/>
    <w:rsid w:val="00E04135"/>
    <w:rsid w:val="00E0413F"/>
    <w:rsid w:val="00E044BF"/>
    <w:rsid w:val="00E0484F"/>
    <w:rsid w:val="00E04A02"/>
    <w:rsid w:val="00E052AD"/>
    <w:rsid w:val="00E05835"/>
    <w:rsid w:val="00E059DA"/>
    <w:rsid w:val="00E05B14"/>
    <w:rsid w:val="00E05BFE"/>
    <w:rsid w:val="00E06A43"/>
    <w:rsid w:val="00E06CC2"/>
    <w:rsid w:val="00E06DD0"/>
    <w:rsid w:val="00E07460"/>
    <w:rsid w:val="00E07AC7"/>
    <w:rsid w:val="00E10E3E"/>
    <w:rsid w:val="00E10F55"/>
    <w:rsid w:val="00E10F63"/>
    <w:rsid w:val="00E1152B"/>
    <w:rsid w:val="00E12173"/>
    <w:rsid w:val="00E1237E"/>
    <w:rsid w:val="00E1305A"/>
    <w:rsid w:val="00E141F9"/>
    <w:rsid w:val="00E14231"/>
    <w:rsid w:val="00E14238"/>
    <w:rsid w:val="00E145AC"/>
    <w:rsid w:val="00E14714"/>
    <w:rsid w:val="00E147F6"/>
    <w:rsid w:val="00E14B15"/>
    <w:rsid w:val="00E14B94"/>
    <w:rsid w:val="00E14DCC"/>
    <w:rsid w:val="00E15406"/>
    <w:rsid w:val="00E156FF"/>
    <w:rsid w:val="00E1595A"/>
    <w:rsid w:val="00E15A0C"/>
    <w:rsid w:val="00E16043"/>
    <w:rsid w:val="00E1630A"/>
    <w:rsid w:val="00E16A6A"/>
    <w:rsid w:val="00E16BAE"/>
    <w:rsid w:val="00E16D4F"/>
    <w:rsid w:val="00E170EB"/>
    <w:rsid w:val="00E171D9"/>
    <w:rsid w:val="00E17686"/>
    <w:rsid w:val="00E1796B"/>
    <w:rsid w:val="00E209D3"/>
    <w:rsid w:val="00E20AD9"/>
    <w:rsid w:val="00E21BE9"/>
    <w:rsid w:val="00E22623"/>
    <w:rsid w:val="00E228DC"/>
    <w:rsid w:val="00E22CD8"/>
    <w:rsid w:val="00E23070"/>
    <w:rsid w:val="00E23420"/>
    <w:rsid w:val="00E236E2"/>
    <w:rsid w:val="00E2374C"/>
    <w:rsid w:val="00E237EF"/>
    <w:rsid w:val="00E23A14"/>
    <w:rsid w:val="00E23A3A"/>
    <w:rsid w:val="00E23CA3"/>
    <w:rsid w:val="00E23D7C"/>
    <w:rsid w:val="00E24137"/>
    <w:rsid w:val="00E243FE"/>
    <w:rsid w:val="00E24BF3"/>
    <w:rsid w:val="00E25298"/>
    <w:rsid w:val="00E26158"/>
    <w:rsid w:val="00E262C6"/>
    <w:rsid w:val="00E26300"/>
    <w:rsid w:val="00E263C9"/>
    <w:rsid w:val="00E26DFE"/>
    <w:rsid w:val="00E27B0D"/>
    <w:rsid w:val="00E27C11"/>
    <w:rsid w:val="00E30067"/>
    <w:rsid w:val="00E30360"/>
    <w:rsid w:val="00E3079F"/>
    <w:rsid w:val="00E30860"/>
    <w:rsid w:val="00E30CB3"/>
    <w:rsid w:val="00E30E14"/>
    <w:rsid w:val="00E3192B"/>
    <w:rsid w:val="00E31C6A"/>
    <w:rsid w:val="00E3247B"/>
    <w:rsid w:val="00E325B9"/>
    <w:rsid w:val="00E3261E"/>
    <w:rsid w:val="00E3289D"/>
    <w:rsid w:val="00E32B03"/>
    <w:rsid w:val="00E33486"/>
    <w:rsid w:val="00E3369A"/>
    <w:rsid w:val="00E338E1"/>
    <w:rsid w:val="00E3407E"/>
    <w:rsid w:val="00E34588"/>
    <w:rsid w:val="00E348EF"/>
    <w:rsid w:val="00E3492F"/>
    <w:rsid w:val="00E34A6A"/>
    <w:rsid w:val="00E35224"/>
    <w:rsid w:val="00E35424"/>
    <w:rsid w:val="00E35EFE"/>
    <w:rsid w:val="00E35F08"/>
    <w:rsid w:val="00E364CA"/>
    <w:rsid w:val="00E3684F"/>
    <w:rsid w:val="00E36868"/>
    <w:rsid w:val="00E369F0"/>
    <w:rsid w:val="00E36B0E"/>
    <w:rsid w:val="00E3731A"/>
    <w:rsid w:val="00E37419"/>
    <w:rsid w:val="00E374D0"/>
    <w:rsid w:val="00E37539"/>
    <w:rsid w:val="00E37644"/>
    <w:rsid w:val="00E37DBA"/>
    <w:rsid w:val="00E400AE"/>
    <w:rsid w:val="00E40354"/>
    <w:rsid w:val="00E408FA"/>
    <w:rsid w:val="00E40B47"/>
    <w:rsid w:val="00E4129F"/>
    <w:rsid w:val="00E41310"/>
    <w:rsid w:val="00E41A11"/>
    <w:rsid w:val="00E42305"/>
    <w:rsid w:val="00E429BB"/>
    <w:rsid w:val="00E430BF"/>
    <w:rsid w:val="00E43550"/>
    <w:rsid w:val="00E4356E"/>
    <w:rsid w:val="00E43CAD"/>
    <w:rsid w:val="00E44045"/>
    <w:rsid w:val="00E44F87"/>
    <w:rsid w:val="00E45129"/>
    <w:rsid w:val="00E451AE"/>
    <w:rsid w:val="00E455DD"/>
    <w:rsid w:val="00E45740"/>
    <w:rsid w:val="00E45A1A"/>
    <w:rsid w:val="00E45AB3"/>
    <w:rsid w:val="00E45DCA"/>
    <w:rsid w:val="00E46172"/>
    <w:rsid w:val="00E46350"/>
    <w:rsid w:val="00E463AC"/>
    <w:rsid w:val="00E46761"/>
    <w:rsid w:val="00E46A19"/>
    <w:rsid w:val="00E46D6A"/>
    <w:rsid w:val="00E4702C"/>
    <w:rsid w:val="00E472F2"/>
    <w:rsid w:val="00E4735A"/>
    <w:rsid w:val="00E4757D"/>
    <w:rsid w:val="00E475D9"/>
    <w:rsid w:val="00E47809"/>
    <w:rsid w:val="00E47A6E"/>
    <w:rsid w:val="00E5016F"/>
    <w:rsid w:val="00E50697"/>
    <w:rsid w:val="00E5076B"/>
    <w:rsid w:val="00E50E78"/>
    <w:rsid w:val="00E510C7"/>
    <w:rsid w:val="00E51846"/>
    <w:rsid w:val="00E52A71"/>
    <w:rsid w:val="00E52BA5"/>
    <w:rsid w:val="00E532DD"/>
    <w:rsid w:val="00E536C9"/>
    <w:rsid w:val="00E537BD"/>
    <w:rsid w:val="00E53A24"/>
    <w:rsid w:val="00E53BB8"/>
    <w:rsid w:val="00E53D34"/>
    <w:rsid w:val="00E53E2F"/>
    <w:rsid w:val="00E5463F"/>
    <w:rsid w:val="00E54CBC"/>
    <w:rsid w:val="00E55070"/>
    <w:rsid w:val="00E550B2"/>
    <w:rsid w:val="00E55149"/>
    <w:rsid w:val="00E555F1"/>
    <w:rsid w:val="00E55C0C"/>
    <w:rsid w:val="00E56400"/>
    <w:rsid w:val="00E564E1"/>
    <w:rsid w:val="00E567B9"/>
    <w:rsid w:val="00E567F3"/>
    <w:rsid w:val="00E5694F"/>
    <w:rsid w:val="00E569A9"/>
    <w:rsid w:val="00E56E22"/>
    <w:rsid w:val="00E57693"/>
    <w:rsid w:val="00E57F21"/>
    <w:rsid w:val="00E60900"/>
    <w:rsid w:val="00E6091E"/>
    <w:rsid w:val="00E61904"/>
    <w:rsid w:val="00E63522"/>
    <w:rsid w:val="00E63B35"/>
    <w:rsid w:val="00E63EB5"/>
    <w:rsid w:val="00E64163"/>
    <w:rsid w:val="00E64299"/>
    <w:rsid w:val="00E64A82"/>
    <w:rsid w:val="00E65237"/>
    <w:rsid w:val="00E654C5"/>
    <w:rsid w:val="00E65B64"/>
    <w:rsid w:val="00E663AA"/>
    <w:rsid w:val="00E66405"/>
    <w:rsid w:val="00E6652D"/>
    <w:rsid w:val="00E66771"/>
    <w:rsid w:val="00E66F69"/>
    <w:rsid w:val="00E677FD"/>
    <w:rsid w:val="00E678EF"/>
    <w:rsid w:val="00E7051B"/>
    <w:rsid w:val="00E705F2"/>
    <w:rsid w:val="00E706A1"/>
    <w:rsid w:val="00E70721"/>
    <w:rsid w:val="00E71122"/>
    <w:rsid w:val="00E7149E"/>
    <w:rsid w:val="00E718E4"/>
    <w:rsid w:val="00E71E87"/>
    <w:rsid w:val="00E720D4"/>
    <w:rsid w:val="00E72262"/>
    <w:rsid w:val="00E72362"/>
    <w:rsid w:val="00E7237A"/>
    <w:rsid w:val="00E73540"/>
    <w:rsid w:val="00E73625"/>
    <w:rsid w:val="00E7368B"/>
    <w:rsid w:val="00E73C77"/>
    <w:rsid w:val="00E74509"/>
    <w:rsid w:val="00E74D88"/>
    <w:rsid w:val="00E75212"/>
    <w:rsid w:val="00E7572A"/>
    <w:rsid w:val="00E757A8"/>
    <w:rsid w:val="00E7580E"/>
    <w:rsid w:val="00E75856"/>
    <w:rsid w:val="00E75984"/>
    <w:rsid w:val="00E75ABF"/>
    <w:rsid w:val="00E75C90"/>
    <w:rsid w:val="00E76186"/>
    <w:rsid w:val="00E76223"/>
    <w:rsid w:val="00E76EE2"/>
    <w:rsid w:val="00E76F8C"/>
    <w:rsid w:val="00E771A2"/>
    <w:rsid w:val="00E772F8"/>
    <w:rsid w:val="00E77577"/>
    <w:rsid w:val="00E7799F"/>
    <w:rsid w:val="00E80198"/>
    <w:rsid w:val="00E80485"/>
    <w:rsid w:val="00E80EF1"/>
    <w:rsid w:val="00E811E4"/>
    <w:rsid w:val="00E8143D"/>
    <w:rsid w:val="00E814A7"/>
    <w:rsid w:val="00E81BDC"/>
    <w:rsid w:val="00E82051"/>
    <w:rsid w:val="00E825D4"/>
    <w:rsid w:val="00E8282B"/>
    <w:rsid w:val="00E82A1A"/>
    <w:rsid w:val="00E82DCA"/>
    <w:rsid w:val="00E82EB9"/>
    <w:rsid w:val="00E83132"/>
    <w:rsid w:val="00E8375C"/>
    <w:rsid w:val="00E838A1"/>
    <w:rsid w:val="00E83DF9"/>
    <w:rsid w:val="00E8418B"/>
    <w:rsid w:val="00E84507"/>
    <w:rsid w:val="00E8467E"/>
    <w:rsid w:val="00E84FF6"/>
    <w:rsid w:val="00E851B3"/>
    <w:rsid w:val="00E86873"/>
    <w:rsid w:val="00E86C1C"/>
    <w:rsid w:val="00E86D8E"/>
    <w:rsid w:val="00E86E01"/>
    <w:rsid w:val="00E87017"/>
    <w:rsid w:val="00E8703A"/>
    <w:rsid w:val="00E871A5"/>
    <w:rsid w:val="00E873BE"/>
    <w:rsid w:val="00E87845"/>
    <w:rsid w:val="00E87A8C"/>
    <w:rsid w:val="00E87E20"/>
    <w:rsid w:val="00E904E2"/>
    <w:rsid w:val="00E90850"/>
    <w:rsid w:val="00E90B04"/>
    <w:rsid w:val="00E912C1"/>
    <w:rsid w:val="00E9164F"/>
    <w:rsid w:val="00E91A0D"/>
    <w:rsid w:val="00E91B2F"/>
    <w:rsid w:val="00E9202C"/>
    <w:rsid w:val="00E9213C"/>
    <w:rsid w:val="00E92C09"/>
    <w:rsid w:val="00E92CB5"/>
    <w:rsid w:val="00E932F7"/>
    <w:rsid w:val="00E933D8"/>
    <w:rsid w:val="00E93D16"/>
    <w:rsid w:val="00E94718"/>
    <w:rsid w:val="00E94AD9"/>
    <w:rsid w:val="00E94B83"/>
    <w:rsid w:val="00E95DA8"/>
    <w:rsid w:val="00E96432"/>
    <w:rsid w:val="00E9644C"/>
    <w:rsid w:val="00E96ECE"/>
    <w:rsid w:val="00E97F11"/>
    <w:rsid w:val="00EA0080"/>
    <w:rsid w:val="00EA016E"/>
    <w:rsid w:val="00EA03EF"/>
    <w:rsid w:val="00EA06F3"/>
    <w:rsid w:val="00EA07FA"/>
    <w:rsid w:val="00EA0911"/>
    <w:rsid w:val="00EA099D"/>
    <w:rsid w:val="00EA0BA8"/>
    <w:rsid w:val="00EA0D1B"/>
    <w:rsid w:val="00EA0E9E"/>
    <w:rsid w:val="00EA150D"/>
    <w:rsid w:val="00EA16CD"/>
    <w:rsid w:val="00EA18C4"/>
    <w:rsid w:val="00EA1D58"/>
    <w:rsid w:val="00EA263A"/>
    <w:rsid w:val="00EA302B"/>
    <w:rsid w:val="00EA3D5A"/>
    <w:rsid w:val="00EA3DDF"/>
    <w:rsid w:val="00EA44EE"/>
    <w:rsid w:val="00EA45C0"/>
    <w:rsid w:val="00EA4660"/>
    <w:rsid w:val="00EA46A5"/>
    <w:rsid w:val="00EA5452"/>
    <w:rsid w:val="00EA584C"/>
    <w:rsid w:val="00EA596C"/>
    <w:rsid w:val="00EA59AF"/>
    <w:rsid w:val="00EA5D91"/>
    <w:rsid w:val="00EA61A5"/>
    <w:rsid w:val="00EA6258"/>
    <w:rsid w:val="00EA6C66"/>
    <w:rsid w:val="00EA7860"/>
    <w:rsid w:val="00EA7E78"/>
    <w:rsid w:val="00EB04F8"/>
    <w:rsid w:val="00EB128F"/>
    <w:rsid w:val="00EB1715"/>
    <w:rsid w:val="00EB1D02"/>
    <w:rsid w:val="00EB2DF2"/>
    <w:rsid w:val="00EB38EF"/>
    <w:rsid w:val="00EB395C"/>
    <w:rsid w:val="00EB423A"/>
    <w:rsid w:val="00EB43A6"/>
    <w:rsid w:val="00EB46A7"/>
    <w:rsid w:val="00EB4761"/>
    <w:rsid w:val="00EB4C6E"/>
    <w:rsid w:val="00EB4D49"/>
    <w:rsid w:val="00EB5093"/>
    <w:rsid w:val="00EB518A"/>
    <w:rsid w:val="00EB5418"/>
    <w:rsid w:val="00EB542D"/>
    <w:rsid w:val="00EB54B9"/>
    <w:rsid w:val="00EB5BD8"/>
    <w:rsid w:val="00EB5C30"/>
    <w:rsid w:val="00EB61D7"/>
    <w:rsid w:val="00EB63CC"/>
    <w:rsid w:val="00EB63F9"/>
    <w:rsid w:val="00EB677D"/>
    <w:rsid w:val="00EB68EE"/>
    <w:rsid w:val="00EB6B3F"/>
    <w:rsid w:val="00EB70DD"/>
    <w:rsid w:val="00EB737D"/>
    <w:rsid w:val="00EB739A"/>
    <w:rsid w:val="00EB73A0"/>
    <w:rsid w:val="00EB73ED"/>
    <w:rsid w:val="00EB79C0"/>
    <w:rsid w:val="00EB79C2"/>
    <w:rsid w:val="00EC044C"/>
    <w:rsid w:val="00EC0621"/>
    <w:rsid w:val="00EC08B8"/>
    <w:rsid w:val="00EC17D4"/>
    <w:rsid w:val="00EC1A1A"/>
    <w:rsid w:val="00EC2407"/>
    <w:rsid w:val="00EC301D"/>
    <w:rsid w:val="00EC372A"/>
    <w:rsid w:val="00EC3AF9"/>
    <w:rsid w:val="00EC495C"/>
    <w:rsid w:val="00EC4EEF"/>
    <w:rsid w:val="00EC5310"/>
    <w:rsid w:val="00EC5644"/>
    <w:rsid w:val="00EC5676"/>
    <w:rsid w:val="00EC6203"/>
    <w:rsid w:val="00EC6AE8"/>
    <w:rsid w:val="00EC6B2B"/>
    <w:rsid w:val="00EC6EF3"/>
    <w:rsid w:val="00EC7291"/>
    <w:rsid w:val="00EC76A5"/>
    <w:rsid w:val="00ED0138"/>
    <w:rsid w:val="00ED07B1"/>
    <w:rsid w:val="00ED07C1"/>
    <w:rsid w:val="00ED0808"/>
    <w:rsid w:val="00ED0AF5"/>
    <w:rsid w:val="00ED0FA7"/>
    <w:rsid w:val="00ED119E"/>
    <w:rsid w:val="00ED11AA"/>
    <w:rsid w:val="00ED16F2"/>
    <w:rsid w:val="00ED1C17"/>
    <w:rsid w:val="00ED1C8F"/>
    <w:rsid w:val="00ED1DB8"/>
    <w:rsid w:val="00ED20F6"/>
    <w:rsid w:val="00ED26A2"/>
    <w:rsid w:val="00ED2B3C"/>
    <w:rsid w:val="00ED2EB4"/>
    <w:rsid w:val="00ED2EBF"/>
    <w:rsid w:val="00ED2F36"/>
    <w:rsid w:val="00ED3060"/>
    <w:rsid w:val="00ED36E6"/>
    <w:rsid w:val="00ED3991"/>
    <w:rsid w:val="00ED3ACC"/>
    <w:rsid w:val="00ED4297"/>
    <w:rsid w:val="00ED482A"/>
    <w:rsid w:val="00ED4D86"/>
    <w:rsid w:val="00ED4E93"/>
    <w:rsid w:val="00ED4FAE"/>
    <w:rsid w:val="00ED4FE2"/>
    <w:rsid w:val="00ED5193"/>
    <w:rsid w:val="00ED5645"/>
    <w:rsid w:val="00ED654F"/>
    <w:rsid w:val="00ED6714"/>
    <w:rsid w:val="00ED69F5"/>
    <w:rsid w:val="00ED6F5B"/>
    <w:rsid w:val="00ED7416"/>
    <w:rsid w:val="00EE00D0"/>
    <w:rsid w:val="00EE0945"/>
    <w:rsid w:val="00EE0B06"/>
    <w:rsid w:val="00EE17AC"/>
    <w:rsid w:val="00EE1B00"/>
    <w:rsid w:val="00EE2415"/>
    <w:rsid w:val="00EE2888"/>
    <w:rsid w:val="00EE2E5F"/>
    <w:rsid w:val="00EE3131"/>
    <w:rsid w:val="00EE3166"/>
    <w:rsid w:val="00EE37A5"/>
    <w:rsid w:val="00EE3EF9"/>
    <w:rsid w:val="00EE45E6"/>
    <w:rsid w:val="00EE4639"/>
    <w:rsid w:val="00EE4C4A"/>
    <w:rsid w:val="00EE5456"/>
    <w:rsid w:val="00EE545F"/>
    <w:rsid w:val="00EE57A2"/>
    <w:rsid w:val="00EE5B63"/>
    <w:rsid w:val="00EE5B8C"/>
    <w:rsid w:val="00EE5E65"/>
    <w:rsid w:val="00EE695C"/>
    <w:rsid w:val="00EE6B20"/>
    <w:rsid w:val="00EE6D2C"/>
    <w:rsid w:val="00EE709B"/>
    <w:rsid w:val="00EE77A2"/>
    <w:rsid w:val="00EE7A20"/>
    <w:rsid w:val="00EF0977"/>
    <w:rsid w:val="00EF10F6"/>
    <w:rsid w:val="00EF21F7"/>
    <w:rsid w:val="00EF21FA"/>
    <w:rsid w:val="00EF2603"/>
    <w:rsid w:val="00EF2B37"/>
    <w:rsid w:val="00EF31E7"/>
    <w:rsid w:val="00EF3277"/>
    <w:rsid w:val="00EF389D"/>
    <w:rsid w:val="00EF38C9"/>
    <w:rsid w:val="00EF3BC8"/>
    <w:rsid w:val="00EF3F48"/>
    <w:rsid w:val="00EF4264"/>
    <w:rsid w:val="00EF49FF"/>
    <w:rsid w:val="00EF4B20"/>
    <w:rsid w:val="00EF4B2E"/>
    <w:rsid w:val="00EF4B74"/>
    <w:rsid w:val="00EF4FCC"/>
    <w:rsid w:val="00EF582E"/>
    <w:rsid w:val="00EF5859"/>
    <w:rsid w:val="00EF5BF5"/>
    <w:rsid w:val="00EF5CD4"/>
    <w:rsid w:val="00EF6B09"/>
    <w:rsid w:val="00EF6EBB"/>
    <w:rsid w:val="00EF78CB"/>
    <w:rsid w:val="00EF7919"/>
    <w:rsid w:val="00F00975"/>
    <w:rsid w:val="00F01133"/>
    <w:rsid w:val="00F01390"/>
    <w:rsid w:val="00F019C4"/>
    <w:rsid w:val="00F01A7F"/>
    <w:rsid w:val="00F02280"/>
    <w:rsid w:val="00F02E33"/>
    <w:rsid w:val="00F03C23"/>
    <w:rsid w:val="00F03D67"/>
    <w:rsid w:val="00F03D75"/>
    <w:rsid w:val="00F0403E"/>
    <w:rsid w:val="00F04129"/>
    <w:rsid w:val="00F04546"/>
    <w:rsid w:val="00F04635"/>
    <w:rsid w:val="00F04ADC"/>
    <w:rsid w:val="00F05077"/>
    <w:rsid w:val="00F051B1"/>
    <w:rsid w:val="00F052F4"/>
    <w:rsid w:val="00F0564B"/>
    <w:rsid w:val="00F056DC"/>
    <w:rsid w:val="00F072BF"/>
    <w:rsid w:val="00F07311"/>
    <w:rsid w:val="00F07D2E"/>
    <w:rsid w:val="00F1014E"/>
    <w:rsid w:val="00F10A99"/>
    <w:rsid w:val="00F10BE7"/>
    <w:rsid w:val="00F11002"/>
    <w:rsid w:val="00F116C5"/>
    <w:rsid w:val="00F118B6"/>
    <w:rsid w:val="00F11BC0"/>
    <w:rsid w:val="00F11D43"/>
    <w:rsid w:val="00F125AC"/>
    <w:rsid w:val="00F129F3"/>
    <w:rsid w:val="00F1329F"/>
    <w:rsid w:val="00F13331"/>
    <w:rsid w:val="00F1351E"/>
    <w:rsid w:val="00F1357B"/>
    <w:rsid w:val="00F139D3"/>
    <w:rsid w:val="00F13D39"/>
    <w:rsid w:val="00F1406B"/>
    <w:rsid w:val="00F1446E"/>
    <w:rsid w:val="00F14855"/>
    <w:rsid w:val="00F14C91"/>
    <w:rsid w:val="00F14CD0"/>
    <w:rsid w:val="00F14E4F"/>
    <w:rsid w:val="00F15068"/>
    <w:rsid w:val="00F15E21"/>
    <w:rsid w:val="00F15FD4"/>
    <w:rsid w:val="00F16E33"/>
    <w:rsid w:val="00F16EAA"/>
    <w:rsid w:val="00F170A4"/>
    <w:rsid w:val="00F175BB"/>
    <w:rsid w:val="00F17AD6"/>
    <w:rsid w:val="00F17D62"/>
    <w:rsid w:val="00F200CF"/>
    <w:rsid w:val="00F20695"/>
    <w:rsid w:val="00F206AB"/>
    <w:rsid w:val="00F20AE5"/>
    <w:rsid w:val="00F20D85"/>
    <w:rsid w:val="00F20E78"/>
    <w:rsid w:val="00F221CF"/>
    <w:rsid w:val="00F2271E"/>
    <w:rsid w:val="00F228E4"/>
    <w:rsid w:val="00F22A4E"/>
    <w:rsid w:val="00F22C66"/>
    <w:rsid w:val="00F23027"/>
    <w:rsid w:val="00F234F5"/>
    <w:rsid w:val="00F23E19"/>
    <w:rsid w:val="00F23FB9"/>
    <w:rsid w:val="00F2414E"/>
    <w:rsid w:val="00F24B75"/>
    <w:rsid w:val="00F24E2F"/>
    <w:rsid w:val="00F24EE1"/>
    <w:rsid w:val="00F24EF2"/>
    <w:rsid w:val="00F2527C"/>
    <w:rsid w:val="00F255B4"/>
    <w:rsid w:val="00F25861"/>
    <w:rsid w:val="00F26357"/>
    <w:rsid w:val="00F266A4"/>
    <w:rsid w:val="00F26C43"/>
    <w:rsid w:val="00F26F98"/>
    <w:rsid w:val="00F2726D"/>
    <w:rsid w:val="00F2735B"/>
    <w:rsid w:val="00F275B9"/>
    <w:rsid w:val="00F27847"/>
    <w:rsid w:val="00F27965"/>
    <w:rsid w:val="00F27C67"/>
    <w:rsid w:val="00F3011C"/>
    <w:rsid w:val="00F30379"/>
    <w:rsid w:val="00F305BA"/>
    <w:rsid w:val="00F30700"/>
    <w:rsid w:val="00F30722"/>
    <w:rsid w:val="00F30723"/>
    <w:rsid w:val="00F308E8"/>
    <w:rsid w:val="00F30C43"/>
    <w:rsid w:val="00F30DFA"/>
    <w:rsid w:val="00F30FE8"/>
    <w:rsid w:val="00F3131C"/>
    <w:rsid w:val="00F31FD3"/>
    <w:rsid w:val="00F33309"/>
    <w:rsid w:val="00F33BD2"/>
    <w:rsid w:val="00F33D36"/>
    <w:rsid w:val="00F34319"/>
    <w:rsid w:val="00F3440E"/>
    <w:rsid w:val="00F347EB"/>
    <w:rsid w:val="00F347ED"/>
    <w:rsid w:val="00F34AD3"/>
    <w:rsid w:val="00F35201"/>
    <w:rsid w:val="00F3538D"/>
    <w:rsid w:val="00F3554F"/>
    <w:rsid w:val="00F3564C"/>
    <w:rsid w:val="00F357E2"/>
    <w:rsid w:val="00F35A9B"/>
    <w:rsid w:val="00F35EF1"/>
    <w:rsid w:val="00F36A8A"/>
    <w:rsid w:val="00F36ADF"/>
    <w:rsid w:val="00F374B9"/>
    <w:rsid w:val="00F37632"/>
    <w:rsid w:val="00F37C3E"/>
    <w:rsid w:val="00F37C99"/>
    <w:rsid w:val="00F37D98"/>
    <w:rsid w:val="00F40537"/>
    <w:rsid w:val="00F407B3"/>
    <w:rsid w:val="00F40890"/>
    <w:rsid w:val="00F4110C"/>
    <w:rsid w:val="00F41542"/>
    <w:rsid w:val="00F41621"/>
    <w:rsid w:val="00F416F8"/>
    <w:rsid w:val="00F41921"/>
    <w:rsid w:val="00F42017"/>
    <w:rsid w:val="00F421EA"/>
    <w:rsid w:val="00F42435"/>
    <w:rsid w:val="00F42B55"/>
    <w:rsid w:val="00F432F6"/>
    <w:rsid w:val="00F43546"/>
    <w:rsid w:val="00F43776"/>
    <w:rsid w:val="00F43828"/>
    <w:rsid w:val="00F453E3"/>
    <w:rsid w:val="00F453E5"/>
    <w:rsid w:val="00F4576E"/>
    <w:rsid w:val="00F45B0F"/>
    <w:rsid w:val="00F46709"/>
    <w:rsid w:val="00F46AF3"/>
    <w:rsid w:val="00F46C71"/>
    <w:rsid w:val="00F47AA4"/>
    <w:rsid w:val="00F47B18"/>
    <w:rsid w:val="00F47CEB"/>
    <w:rsid w:val="00F5029E"/>
    <w:rsid w:val="00F50572"/>
    <w:rsid w:val="00F506C1"/>
    <w:rsid w:val="00F50CB9"/>
    <w:rsid w:val="00F51146"/>
    <w:rsid w:val="00F516E1"/>
    <w:rsid w:val="00F51C96"/>
    <w:rsid w:val="00F52C58"/>
    <w:rsid w:val="00F52DF7"/>
    <w:rsid w:val="00F53178"/>
    <w:rsid w:val="00F53500"/>
    <w:rsid w:val="00F536AE"/>
    <w:rsid w:val="00F53AB5"/>
    <w:rsid w:val="00F53B1E"/>
    <w:rsid w:val="00F53B3F"/>
    <w:rsid w:val="00F53F27"/>
    <w:rsid w:val="00F5457C"/>
    <w:rsid w:val="00F54A58"/>
    <w:rsid w:val="00F54C42"/>
    <w:rsid w:val="00F554FA"/>
    <w:rsid w:val="00F555F4"/>
    <w:rsid w:val="00F55734"/>
    <w:rsid w:val="00F5643A"/>
    <w:rsid w:val="00F56600"/>
    <w:rsid w:val="00F56ED6"/>
    <w:rsid w:val="00F56F10"/>
    <w:rsid w:val="00F5715A"/>
    <w:rsid w:val="00F57179"/>
    <w:rsid w:val="00F5726C"/>
    <w:rsid w:val="00F574C7"/>
    <w:rsid w:val="00F57C4B"/>
    <w:rsid w:val="00F57CB9"/>
    <w:rsid w:val="00F57CC3"/>
    <w:rsid w:val="00F57EE7"/>
    <w:rsid w:val="00F606E7"/>
    <w:rsid w:val="00F60D8F"/>
    <w:rsid w:val="00F61810"/>
    <w:rsid w:val="00F61A6E"/>
    <w:rsid w:val="00F62075"/>
    <w:rsid w:val="00F620FC"/>
    <w:rsid w:val="00F6269D"/>
    <w:rsid w:val="00F62705"/>
    <w:rsid w:val="00F62779"/>
    <w:rsid w:val="00F62D0A"/>
    <w:rsid w:val="00F62D46"/>
    <w:rsid w:val="00F637E1"/>
    <w:rsid w:val="00F63C02"/>
    <w:rsid w:val="00F655BD"/>
    <w:rsid w:val="00F6584D"/>
    <w:rsid w:val="00F6725D"/>
    <w:rsid w:val="00F6754E"/>
    <w:rsid w:val="00F67A87"/>
    <w:rsid w:val="00F67B03"/>
    <w:rsid w:val="00F703AA"/>
    <w:rsid w:val="00F70642"/>
    <w:rsid w:val="00F7099C"/>
    <w:rsid w:val="00F70EEC"/>
    <w:rsid w:val="00F70F77"/>
    <w:rsid w:val="00F71053"/>
    <w:rsid w:val="00F713C1"/>
    <w:rsid w:val="00F71A42"/>
    <w:rsid w:val="00F71E5A"/>
    <w:rsid w:val="00F72C5C"/>
    <w:rsid w:val="00F7316F"/>
    <w:rsid w:val="00F7317C"/>
    <w:rsid w:val="00F739E9"/>
    <w:rsid w:val="00F739EB"/>
    <w:rsid w:val="00F73EA4"/>
    <w:rsid w:val="00F74863"/>
    <w:rsid w:val="00F748E4"/>
    <w:rsid w:val="00F74E41"/>
    <w:rsid w:val="00F752A1"/>
    <w:rsid w:val="00F75423"/>
    <w:rsid w:val="00F75BCD"/>
    <w:rsid w:val="00F768B8"/>
    <w:rsid w:val="00F76D1D"/>
    <w:rsid w:val="00F7742E"/>
    <w:rsid w:val="00F775BC"/>
    <w:rsid w:val="00F77A44"/>
    <w:rsid w:val="00F77B2F"/>
    <w:rsid w:val="00F804DC"/>
    <w:rsid w:val="00F80BB2"/>
    <w:rsid w:val="00F81340"/>
    <w:rsid w:val="00F8168A"/>
    <w:rsid w:val="00F81DAB"/>
    <w:rsid w:val="00F81F95"/>
    <w:rsid w:val="00F8224D"/>
    <w:rsid w:val="00F827BF"/>
    <w:rsid w:val="00F82C10"/>
    <w:rsid w:val="00F82D42"/>
    <w:rsid w:val="00F8303F"/>
    <w:rsid w:val="00F83192"/>
    <w:rsid w:val="00F839FD"/>
    <w:rsid w:val="00F83A0F"/>
    <w:rsid w:val="00F83AAE"/>
    <w:rsid w:val="00F84433"/>
    <w:rsid w:val="00F844F3"/>
    <w:rsid w:val="00F84545"/>
    <w:rsid w:val="00F846D5"/>
    <w:rsid w:val="00F84839"/>
    <w:rsid w:val="00F84C43"/>
    <w:rsid w:val="00F84D91"/>
    <w:rsid w:val="00F85373"/>
    <w:rsid w:val="00F85A60"/>
    <w:rsid w:val="00F85CDF"/>
    <w:rsid w:val="00F85EB6"/>
    <w:rsid w:val="00F85FAC"/>
    <w:rsid w:val="00F8610C"/>
    <w:rsid w:val="00F8630B"/>
    <w:rsid w:val="00F865F7"/>
    <w:rsid w:val="00F86C0D"/>
    <w:rsid w:val="00F86D3C"/>
    <w:rsid w:val="00F872DD"/>
    <w:rsid w:val="00F87894"/>
    <w:rsid w:val="00F87C22"/>
    <w:rsid w:val="00F87D5F"/>
    <w:rsid w:val="00F90031"/>
    <w:rsid w:val="00F90442"/>
    <w:rsid w:val="00F9086B"/>
    <w:rsid w:val="00F90A43"/>
    <w:rsid w:val="00F90BC0"/>
    <w:rsid w:val="00F90E2F"/>
    <w:rsid w:val="00F9118B"/>
    <w:rsid w:val="00F9181D"/>
    <w:rsid w:val="00F91A7F"/>
    <w:rsid w:val="00F91CF8"/>
    <w:rsid w:val="00F9208B"/>
    <w:rsid w:val="00F92298"/>
    <w:rsid w:val="00F92455"/>
    <w:rsid w:val="00F9261C"/>
    <w:rsid w:val="00F9295B"/>
    <w:rsid w:val="00F92A89"/>
    <w:rsid w:val="00F94012"/>
    <w:rsid w:val="00F94391"/>
    <w:rsid w:val="00F9439D"/>
    <w:rsid w:val="00F9495E"/>
    <w:rsid w:val="00F95723"/>
    <w:rsid w:val="00F96211"/>
    <w:rsid w:val="00F96443"/>
    <w:rsid w:val="00F967A4"/>
    <w:rsid w:val="00F96872"/>
    <w:rsid w:val="00F968A4"/>
    <w:rsid w:val="00F96A62"/>
    <w:rsid w:val="00F97163"/>
    <w:rsid w:val="00F974B1"/>
    <w:rsid w:val="00F97CDD"/>
    <w:rsid w:val="00FA0142"/>
    <w:rsid w:val="00FA0317"/>
    <w:rsid w:val="00FA06C7"/>
    <w:rsid w:val="00FA1AC8"/>
    <w:rsid w:val="00FA1D88"/>
    <w:rsid w:val="00FA2B3D"/>
    <w:rsid w:val="00FA2E62"/>
    <w:rsid w:val="00FA349C"/>
    <w:rsid w:val="00FA35E5"/>
    <w:rsid w:val="00FA3FC3"/>
    <w:rsid w:val="00FA4466"/>
    <w:rsid w:val="00FA4730"/>
    <w:rsid w:val="00FA4894"/>
    <w:rsid w:val="00FA49A4"/>
    <w:rsid w:val="00FA4C22"/>
    <w:rsid w:val="00FA581E"/>
    <w:rsid w:val="00FA5C1E"/>
    <w:rsid w:val="00FA5F1A"/>
    <w:rsid w:val="00FA64FC"/>
    <w:rsid w:val="00FA6643"/>
    <w:rsid w:val="00FA6660"/>
    <w:rsid w:val="00FA685A"/>
    <w:rsid w:val="00FA7084"/>
    <w:rsid w:val="00FA7208"/>
    <w:rsid w:val="00FA7446"/>
    <w:rsid w:val="00FA7C76"/>
    <w:rsid w:val="00FB021E"/>
    <w:rsid w:val="00FB08F6"/>
    <w:rsid w:val="00FB0AE1"/>
    <w:rsid w:val="00FB0B6D"/>
    <w:rsid w:val="00FB1219"/>
    <w:rsid w:val="00FB1581"/>
    <w:rsid w:val="00FB1C36"/>
    <w:rsid w:val="00FB2328"/>
    <w:rsid w:val="00FB232A"/>
    <w:rsid w:val="00FB23D5"/>
    <w:rsid w:val="00FB270E"/>
    <w:rsid w:val="00FB2766"/>
    <w:rsid w:val="00FB2A08"/>
    <w:rsid w:val="00FB3809"/>
    <w:rsid w:val="00FB3B01"/>
    <w:rsid w:val="00FB3B0C"/>
    <w:rsid w:val="00FB3B41"/>
    <w:rsid w:val="00FB40FC"/>
    <w:rsid w:val="00FB4239"/>
    <w:rsid w:val="00FB43CA"/>
    <w:rsid w:val="00FB4780"/>
    <w:rsid w:val="00FB52BE"/>
    <w:rsid w:val="00FB605D"/>
    <w:rsid w:val="00FB6382"/>
    <w:rsid w:val="00FB6A9E"/>
    <w:rsid w:val="00FB7510"/>
    <w:rsid w:val="00FB77E6"/>
    <w:rsid w:val="00FC06B8"/>
    <w:rsid w:val="00FC0F5B"/>
    <w:rsid w:val="00FC12C6"/>
    <w:rsid w:val="00FC1451"/>
    <w:rsid w:val="00FC1C40"/>
    <w:rsid w:val="00FC23C8"/>
    <w:rsid w:val="00FC2DE3"/>
    <w:rsid w:val="00FC3664"/>
    <w:rsid w:val="00FC3840"/>
    <w:rsid w:val="00FC3A0E"/>
    <w:rsid w:val="00FC3E17"/>
    <w:rsid w:val="00FC4339"/>
    <w:rsid w:val="00FC4621"/>
    <w:rsid w:val="00FC4C97"/>
    <w:rsid w:val="00FC51B5"/>
    <w:rsid w:val="00FC58A4"/>
    <w:rsid w:val="00FC5A63"/>
    <w:rsid w:val="00FC67BA"/>
    <w:rsid w:val="00FC6B44"/>
    <w:rsid w:val="00FD03DD"/>
    <w:rsid w:val="00FD0805"/>
    <w:rsid w:val="00FD085C"/>
    <w:rsid w:val="00FD08BD"/>
    <w:rsid w:val="00FD0C62"/>
    <w:rsid w:val="00FD0DAF"/>
    <w:rsid w:val="00FD0F86"/>
    <w:rsid w:val="00FD0FD2"/>
    <w:rsid w:val="00FD0FFA"/>
    <w:rsid w:val="00FD1603"/>
    <w:rsid w:val="00FD1A23"/>
    <w:rsid w:val="00FD1C92"/>
    <w:rsid w:val="00FD235B"/>
    <w:rsid w:val="00FD248F"/>
    <w:rsid w:val="00FD2526"/>
    <w:rsid w:val="00FD27E2"/>
    <w:rsid w:val="00FD2E9B"/>
    <w:rsid w:val="00FD31FA"/>
    <w:rsid w:val="00FD32F5"/>
    <w:rsid w:val="00FD3C7A"/>
    <w:rsid w:val="00FD43DA"/>
    <w:rsid w:val="00FD4632"/>
    <w:rsid w:val="00FD46C8"/>
    <w:rsid w:val="00FD4804"/>
    <w:rsid w:val="00FD4CCD"/>
    <w:rsid w:val="00FD4F49"/>
    <w:rsid w:val="00FD56AB"/>
    <w:rsid w:val="00FD5877"/>
    <w:rsid w:val="00FD5952"/>
    <w:rsid w:val="00FD5A60"/>
    <w:rsid w:val="00FD5FBA"/>
    <w:rsid w:val="00FD65E0"/>
    <w:rsid w:val="00FD7063"/>
    <w:rsid w:val="00FD78C6"/>
    <w:rsid w:val="00FD79FC"/>
    <w:rsid w:val="00FE026E"/>
    <w:rsid w:val="00FE044E"/>
    <w:rsid w:val="00FE08F9"/>
    <w:rsid w:val="00FE0941"/>
    <w:rsid w:val="00FE0947"/>
    <w:rsid w:val="00FE09EC"/>
    <w:rsid w:val="00FE0B82"/>
    <w:rsid w:val="00FE0CC0"/>
    <w:rsid w:val="00FE1424"/>
    <w:rsid w:val="00FE16FB"/>
    <w:rsid w:val="00FE1AD8"/>
    <w:rsid w:val="00FE1DA5"/>
    <w:rsid w:val="00FE2007"/>
    <w:rsid w:val="00FE21AD"/>
    <w:rsid w:val="00FE23D2"/>
    <w:rsid w:val="00FE23F5"/>
    <w:rsid w:val="00FE26D7"/>
    <w:rsid w:val="00FE373B"/>
    <w:rsid w:val="00FE402B"/>
    <w:rsid w:val="00FE41CF"/>
    <w:rsid w:val="00FE42D9"/>
    <w:rsid w:val="00FE4D59"/>
    <w:rsid w:val="00FE4F3B"/>
    <w:rsid w:val="00FE4F53"/>
    <w:rsid w:val="00FE558A"/>
    <w:rsid w:val="00FE5BF6"/>
    <w:rsid w:val="00FE6A47"/>
    <w:rsid w:val="00FE6D2A"/>
    <w:rsid w:val="00FE782D"/>
    <w:rsid w:val="00FE7B48"/>
    <w:rsid w:val="00FF0790"/>
    <w:rsid w:val="00FF1241"/>
    <w:rsid w:val="00FF1512"/>
    <w:rsid w:val="00FF17E1"/>
    <w:rsid w:val="00FF199A"/>
    <w:rsid w:val="00FF251E"/>
    <w:rsid w:val="00FF26EE"/>
    <w:rsid w:val="00FF2C04"/>
    <w:rsid w:val="00FF2DD9"/>
    <w:rsid w:val="00FF303B"/>
    <w:rsid w:val="00FF3164"/>
    <w:rsid w:val="00FF3618"/>
    <w:rsid w:val="00FF3DF5"/>
    <w:rsid w:val="00FF4361"/>
    <w:rsid w:val="00FF4607"/>
    <w:rsid w:val="00FF472B"/>
    <w:rsid w:val="00FF475C"/>
    <w:rsid w:val="00FF489A"/>
    <w:rsid w:val="00FF4D0F"/>
    <w:rsid w:val="00FF54C3"/>
    <w:rsid w:val="00FF54CB"/>
    <w:rsid w:val="00FF5602"/>
    <w:rsid w:val="00FF57D4"/>
    <w:rsid w:val="00FF5F38"/>
    <w:rsid w:val="00FF6437"/>
    <w:rsid w:val="00FF6A00"/>
    <w:rsid w:val="00FF6B7E"/>
    <w:rsid w:val="00FF6C27"/>
    <w:rsid w:val="00FF6E77"/>
    <w:rsid w:val="00FF70A8"/>
    <w:rsid w:val="00FF7293"/>
    <w:rsid w:val="00FF744A"/>
    <w:rsid w:val="00FF7F8B"/>
    <w:rsid w:val="0182CBB7"/>
    <w:rsid w:val="02176480"/>
    <w:rsid w:val="03292954"/>
    <w:rsid w:val="04ABF880"/>
    <w:rsid w:val="04B8452F"/>
    <w:rsid w:val="04CE7B6F"/>
    <w:rsid w:val="05568814"/>
    <w:rsid w:val="05674D0C"/>
    <w:rsid w:val="05DFE796"/>
    <w:rsid w:val="05FEF94C"/>
    <w:rsid w:val="07129208"/>
    <w:rsid w:val="078E6BB1"/>
    <w:rsid w:val="07E8DACA"/>
    <w:rsid w:val="07F633BE"/>
    <w:rsid w:val="086998ED"/>
    <w:rsid w:val="094F9B39"/>
    <w:rsid w:val="09548756"/>
    <w:rsid w:val="09602D0F"/>
    <w:rsid w:val="09EDB138"/>
    <w:rsid w:val="0A5BE548"/>
    <w:rsid w:val="0A858689"/>
    <w:rsid w:val="0AC7D069"/>
    <w:rsid w:val="0B5C00FD"/>
    <w:rsid w:val="0C02AB3A"/>
    <w:rsid w:val="0C9EDCF3"/>
    <w:rsid w:val="0D6D8E97"/>
    <w:rsid w:val="0D96C834"/>
    <w:rsid w:val="0F04CE36"/>
    <w:rsid w:val="10535D23"/>
    <w:rsid w:val="1084E97A"/>
    <w:rsid w:val="114BA70B"/>
    <w:rsid w:val="11CA077D"/>
    <w:rsid w:val="128E3077"/>
    <w:rsid w:val="1293FAA1"/>
    <w:rsid w:val="146BDAFE"/>
    <w:rsid w:val="1580425B"/>
    <w:rsid w:val="15FDB93A"/>
    <w:rsid w:val="1632358C"/>
    <w:rsid w:val="168E5915"/>
    <w:rsid w:val="16C4246B"/>
    <w:rsid w:val="1713355B"/>
    <w:rsid w:val="173D4EAE"/>
    <w:rsid w:val="18D8ADFE"/>
    <w:rsid w:val="18E117BD"/>
    <w:rsid w:val="1989D301"/>
    <w:rsid w:val="1997B623"/>
    <w:rsid w:val="1A12F153"/>
    <w:rsid w:val="1ACFDDB6"/>
    <w:rsid w:val="1B9A2370"/>
    <w:rsid w:val="1BB3584A"/>
    <w:rsid w:val="1BE49EC0"/>
    <w:rsid w:val="1C447885"/>
    <w:rsid w:val="1CC83092"/>
    <w:rsid w:val="1CEA82FB"/>
    <w:rsid w:val="1CFF85F0"/>
    <w:rsid w:val="1D5281B2"/>
    <w:rsid w:val="1DCF4CA6"/>
    <w:rsid w:val="1EDF4E4B"/>
    <w:rsid w:val="1F3C1EE9"/>
    <w:rsid w:val="1F66C58C"/>
    <w:rsid w:val="1FC164FC"/>
    <w:rsid w:val="201ECCE2"/>
    <w:rsid w:val="20CA4905"/>
    <w:rsid w:val="20EB7A98"/>
    <w:rsid w:val="21532E25"/>
    <w:rsid w:val="21AB8692"/>
    <w:rsid w:val="21D2BF35"/>
    <w:rsid w:val="21F49625"/>
    <w:rsid w:val="22519D41"/>
    <w:rsid w:val="2296CD76"/>
    <w:rsid w:val="22C32F95"/>
    <w:rsid w:val="22D7B95B"/>
    <w:rsid w:val="2493E674"/>
    <w:rsid w:val="249F0E70"/>
    <w:rsid w:val="254210DE"/>
    <w:rsid w:val="25889741"/>
    <w:rsid w:val="258F191C"/>
    <w:rsid w:val="261D5462"/>
    <w:rsid w:val="2666A10D"/>
    <w:rsid w:val="2689A228"/>
    <w:rsid w:val="26A01342"/>
    <w:rsid w:val="27666ED8"/>
    <w:rsid w:val="27A79455"/>
    <w:rsid w:val="28982E04"/>
    <w:rsid w:val="2A282E56"/>
    <w:rsid w:val="2A39DF39"/>
    <w:rsid w:val="2AF0ED8A"/>
    <w:rsid w:val="2B0FE651"/>
    <w:rsid w:val="2B3956F3"/>
    <w:rsid w:val="2C31E0AF"/>
    <w:rsid w:val="2C4ED933"/>
    <w:rsid w:val="2CFAE8A1"/>
    <w:rsid w:val="2E55077B"/>
    <w:rsid w:val="2EAED198"/>
    <w:rsid w:val="2EF5F681"/>
    <w:rsid w:val="2F0990B3"/>
    <w:rsid w:val="2F5CC2B9"/>
    <w:rsid w:val="2F6E409C"/>
    <w:rsid w:val="301749BC"/>
    <w:rsid w:val="3062F639"/>
    <w:rsid w:val="314B5888"/>
    <w:rsid w:val="315A58C7"/>
    <w:rsid w:val="317EB1E1"/>
    <w:rsid w:val="322C66AA"/>
    <w:rsid w:val="32D98E38"/>
    <w:rsid w:val="331FE6D3"/>
    <w:rsid w:val="33C10357"/>
    <w:rsid w:val="341751D1"/>
    <w:rsid w:val="3484AA9E"/>
    <w:rsid w:val="349B0BB2"/>
    <w:rsid w:val="34F61ED1"/>
    <w:rsid w:val="35EFA52F"/>
    <w:rsid w:val="3640632A"/>
    <w:rsid w:val="36488066"/>
    <w:rsid w:val="366326ED"/>
    <w:rsid w:val="367F01ED"/>
    <w:rsid w:val="37616692"/>
    <w:rsid w:val="38761596"/>
    <w:rsid w:val="38ABD805"/>
    <w:rsid w:val="3A970799"/>
    <w:rsid w:val="3AC6FCA0"/>
    <w:rsid w:val="3AE43532"/>
    <w:rsid w:val="3AFB7475"/>
    <w:rsid w:val="3B1C9037"/>
    <w:rsid w:val="3C2FBE7B"/>
    <w:rsid w:val="3CC83CE6"/>
    <w:rsid w:val="3CD30D8A"/>
    <w:rsid w:val="3CD47F8D"/>
    <w:rsid w:val="3D907674"/>
    <w:rsid w:val="3DAF2193"/>
    <w:rsid w:val="3ED19378"/>
    <w:rsid w:val="3F2EB8D5"/>
    <w:rsid w:val="3FC4260E"/>
    <w:rsid w:val="3FC874CC"/>
    <w:rsid w:val="40915396"/>
    <w:rsid w:val="409A97E1"/>
    <w:rsid w:val="40A2C6F1"/>
    <w:rsid w:val="41CA7404"/>
    <w:rsid w:val="41D5E917"/>
    <w:rsid w:val="420FAE13"/>
    <w:rsid w:val="422B074A"/>
    <w:rsid w:val="425FA33A"/>
    <w:rsid w:val="433988FB"/>
    <w:rsid w:val="4492D5ED"/>
    <w:rsid w:val="449E695A"/>
    <w:rsid w:val="4615BB30"/>
    <w:rsid w:val="46293D96"/>
    <w:rsid w:val="46FBC656"/>
    <w:rsid w:val="4707617F"/>
    <w:rsid w:val="47B61898"/>
    <w:rsid w:val="47C1A0C2"/>
    <w:rsid w:val="48D2A467"/>
    <w:rsid w:val="4956A079"/>
    <w:rsid w:val="49DBC304"/>
    <w:rsid w:val="4A0AB30D"/>
    <w:rsid w:val="4A6BCCFF"/>
    <w:rsid w:val="4B0770EC"/>
    <w:rsid w:val="4B25B700"/>
    <w:rsid w:val="4BE3FD42"/>
    <w:rsid w:val="4C412F2F"/>
    <w:rsid w:val="4C555FC5"/>
    <w:rsid w:val="4CC261A4"/>
    <w:rsid w:val="4D24C7D5"/>
    <w:rsid w:val="4D2EF823"/>
    <w:rsid w:val="4D35BE19"/>
    <w:rsid w:val="4DE7423F"/>
    <w:rsid w:val="4E54B778"/>
    <w:rsid w:val="4E78927F"/>
    <w:rsid w:val="50938ED5"/>
    <w:rsid w:val="50F9A312"/>
    <w:rsid w:val="51507B3A"/>
    <w:rsid w:val="5156CD84"/>
    <w:rsid w:val="52249B57"/>
    <w:rsid w:val="524A8223"/>
    <w:rsid w:val="52BE3DD4"/>
    <w:rsid w:val="52CF7AB8"/>
    <w:rsid w:val="532E234F"/>
    <w:rsid w:val="53880832"/>
    <w:rsid w:val="54DC1291"/>
    <w:rsid w:val="5526A0E2"/>
    <w:rsid w:val="5600E433"/>
    <w:rsid w:val="5606E364"/>
    <w:rsid w:val="56127BE0"/>
    <w:rsid w:val="5644B82A"/>
    <w:rsid w:val="565CEBF1"/>
    <w:rsid w:val="57082730"/>
    <w:rsid w:val="571FDD09"/>
    <w:rsid w:val="57355EC1"/>
    <w:rsid w:val="573B82CF"/>
    <w:rsid w:val="577B9318"/>
    <w:rsid w:val="577E7B74"/>
    <w:rsid w:val="57CDA911"/>
    <w:rsid w:val="57DBFF2D"/>
    <w:rsid w:val="5807C206"/>
    <w:rsid w:val="58108426"/>
    <w:rsid w:val="58153F7C"/>
    <w:rsid w:val="59129D86"/>
    <w:rsid w:val="592C77FD"/>
    <w:rsid w:val="59EE7946"/>
    <w:rsid w:val="5A86D2FC"/>
    <w:rsid w:val="5AB2B735"/>
    <w:rsid w:val="5AC964CB"/>
    <w:rsid w:val="5AD35031"/>
    <w:rsid w:val="5B1D14D8"/>
    <w:rsid w:val="5C1792E0"/>
    <w:rsid w:val="5CB5E106"/>
    <w:rsid w:val="5DD9F021"/>
    <w:rsid w:val="5E7994CB"/>
    <w:rsid w:val="5F9EFB8B"/>
    <w:rsid w:val="5FB11CDD"/>
    <w:rsid w:val="60739669"/>
    <w:rsid w:val="608B0F01"/>
    <w:rsid w:val="60F29F5E"/>
    <w:rsid w:val="61125179"/>
    <w:rsid w:val="61CE3CB7"/>
    <w:rsid w:val="62224AE6"/>
    <w:rsid w:val="62B05E39"/>
    <w:rsid w:val="633CD193"/>
    <w:rsid w:val="63C299A1"/>
    <w:rsid w:val="64116207"/>
    <w:rsid w:val="649C328A"/>
    <w:rsid w:val="64A913E3"/>
    <w:rsid w:val="651196F8"/>
    <w:rsid w:val="6638FA4C"/>
    <w:rsid w:val="66898EE2"/>
    <w:rsid w:val="68D6E927"/>
    <w:rsid w:val="6949DEB3"/>
    <w:rsid w:val="697A73DC"/>
    <w:rsid w:val="69CE0487"/>
    <w:rsid w:val="6A083CAC"/>
    <w:rsid w:val="6A2B0418"/>
    <w:rsid w:val="6A3601BC"/>
    <w:rsid w:val="6B2B48E5"/>
    <w:rsid w:val="6B2CDF32"/>
    <w:rsid w:val="6B59809A"/>
    <w:rsid w:val="6C1A32EF"/>
    <w:rsid w:val="6C287873"/>
    <w:rsid w:val="6C7474A3"/>
    <w:rsid w:val="6D08FA28"/>
    <w:rsid w:val="6DDEF7D6"/>
    <w:rsid w:val="6E4823A8"/>
    <w:rsid w:val="6FCDCC6C"/>
    <w:rsid w:val="7172FECD"/>
    <w:rsid w:val="71C56D7C"/>
    <w:rsid w:val="7220CA5A"/>
    <w:rsid w:val="72868DF6"/>
    <w:rsid w:val="72951D13"/>
    <w:rsid w:val="732317D8"/>
    <w:rsid w:val="73DBDB42"/>
    <w:rsid w:val="73F858C2"/>
    <w:rsid w:val="746CAB2F"/>
    <w:rsid w:val="749FADD9"/>
    <w:rsid w:val="74A71338"/>
    <w:rsid w:val="74B1F1AD"/>
    <w:rsid w:val="74C2595D"/>
    <w:rsid w:val="75EC3DB3"/>
    <w:rsid w:val="76507192"/>
    <w:rsid w:val="76783222"/>
    <w:rsid w:val="76C4B61F"/>
    <w:rsid w:val="76FB243C"/>
    <w:rsid w:val="7754E994"/>
    <w:rsid w:val="7854B35D"/>
    <w:rsid w:val="78811FE6"/>
    <w:rsid w:val="78A95335"/>
    <w:rsid w:val="78D15CDB"/>
    <w:rsid w:val="7B43A4C3"/>
    <w:rsid w:val="7B812734"/>
    <w:rsid w:val="7B98C2DC"/>
    <w:rsid w:val="7BCDDE14"/>
    <w:rsid w:val="7C3D7176"/>
    <w:rsid w:val="7D95BBBA"/>
    <w:rsid w:val="7DE62BB8"/>
    <w:rsid w:val="7EB4A9D1"/>
    <w:rsid w:val="7F30912B"/>
    <w:rsid w:val="7F68DE98"/>
    <w:rsid w:val="7F846321"/>
    <w:rsid w:val="7FA44A4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ockticker"/>
  <w:shapeDefaults>
    <o:shapedefaults v:ext="edit" spidmax="2050"/>
    <o:shapelayout v:ext="edit">
      <o:idmap v:ext="edit" data="2"/>
    </o:shapelayout>
  </w:shapeDefaults>
  <w:decimalSymbol w:val="."/>
  <w:listSeparator w:val=","/>
  <w14:docId w14:val="320BA2C5"/>
  <w14:defaultImageDpi w14:val="32767"/>
  <w15:chartTrackingRefBased/>
  <w15:docId w15:val="{FD70052B-2752-4A11-938D-BC9847E07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9" w:unhideWhenUsed="1" w:qFormat="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02C5"/>
    <w:pPr>
      <w:widowControl w:val="0"/>
      <w:spacing w:after="0" w:line="240" w:lineRule="auto"/>
    </w:pPr>
    <w:rPr>
      <w:rFonts w:eastAsia="Times New Roman" w:cs="Times New Roman"/>
      <w:snapToGrid w:val="0"/>
      <w:kern w:val="0"/>
      <w:sz w:val="24"/>
      <w:szCs w:val="20"/>
      <w14:ligatures w14:val="none"/>
    </w:rPr>
  </w:style>
  <w:style w:type="paragraph" w:styleId="Heading1">
    <w:name w:val="heading 1"/>
    <w:basedOn w:val="Normal"/>
    <w:next w:val="Normal"/>
    <w:link w:val="Heading1Char"/>
    <w:qFormat/>
    <w:rsid w:val="00174E96"/>
    <w:pPr>
      <w:keepNext/>
      <w:numPr>
        <w:numId w:val="16"/>
      </w:numPr>
      <w:spacing w:after="100" w:line="240" w:lineRule="exact"/>
      <w:outlineLvl w:val="0"/>
    </w:pPr>
    <w:rPr>
      <w:b/>
      <w:caps/>
      <w:sz w:val="28"/>
    </w:rPr>
  </w:style>
  <w:style w:type="paragraph" w:styleId="Heading2">
    <w:name w:val="heading 2"/>
    <w:basedOn w:val="Normal"/>
    <w:next w:val="Normal"/>
    <w:link w:val="Heading2Char"/>
    <w:qFormat/>
    <w:rsid w:val="0011205E"/>
    <w:pPr>
      <w:keepNext/>
      <w:widowControl/>
      <w:numPr>
        <w:ilvl w:val="1"/>
        <w:numId w:val="16"/>
      </w:numPr>
      <w:spacing w:after="100"/>
      <w:jc w:val="both"/>
      <w:outlineLvl w:val="1"/>
    </w:pPr>
    <w:rPr>
      <w:b/>
    </w:rPr>
  </w:style>
  <w:style w:type="paragraph" w:styleId="Heading3">
    <w:name w:val="heading 3"/>
    <w:basedOn w:val="Normal"/>
    <w:next w:val="Normal"/>
    <w:link w:val="Heading3Char"/>
    <w:uiPriority w:val="9"/>
    <w:unhideWhenUsed/>
    <w:qFormat/>
    <w:rsid w:val="002D4928"/>
    <w:pPr>
      <w:keepNext/>
      <w:keepLines/>
      <w:numPr>
        <w:ilvl w:val="2"/>
        <w:numId w:val="16"/>
      </w:numPr>
      <w:spacing w:after="10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9321D4"/>
    <w:pPr>
      <w:keepNext/>
      <w:keepLines/>
      <w:numPr>
        <w:ilvl w:val="3"/>
        <w:numId w:val="16"/>
      </w:numPr>
      <w:spacing w:after="100"/>
      <w:outlineLvl w:val="3"/>
    </w:pPr>
    <w:rPr>
      <w:rFonts w:eastAsiaTheme="majorEastAsia" w:cstheme="majorBidi"/>
      <w:b/>
      <w:i/>
      <w:iCs/>
      <w:color w:val="000000" w:themeColor="text1"/>
    </w:rPr>
  </w:style>
  <w:style w:type="paragraph" w:styleId="Heading5">
    <w:name w:val="heading 5"/>
    <w:basedOn w:val="Normal"/>
    <w:next w:val="Normal"/>
    <w:link w:val="Heading5Char"/>
    <w:unhideWhenUsed/>
    <w:qFormat/>
    <w:rsid w:val="002E0D2C"/>
    <w:pPr>
      <w:keepNext/>
      <w:keepLines/>
      <w:numPr>
        <w:ilvl w:val="4"/>
        <w:numId w:val="16"/>
      </w:numPr>
      <w:spacing w:before="40"/>
      <w:ind w:left="3600" w:hanging="48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BodyText"/>
    <w:link w:val="Heading6Char"/>
    <w:unhideWhenUsed/>
    <w:qFormat/>
    <w:rsid w:val="0030653F"/>
    <w:pPr>
      <w:keepNext/>
      <w:keepLines/>
      <w:widowControl/>
      <w:numPr>
        <w:ilvl w:val="5"/>
        <w:numId w:val="16"/>
      </w:numPr>
      <w:spacing w:before="200"/>
      <w:ind w:left="4320" w:hanging="480"/>
      <w:outlineLvl w:val="5"/>
    </w:pPr>
    <w:rPr>
      <w:rFonts w:ascii="Times New Roman" w:eastAsiaTheme="majorEastAsia" w:hAnsi="Times New Roman" w:cstheme="majorBidi"/>
      <w:snapToGrid/>
      <w:szCs w:val="24"/>
    </w:rPr>
  </w:style>
  <w:style w:type="paragraph" w:styleId="Heading7">
    <w:name w:val="heading 7"/>
    <w:basedOn w:val="Normal"/>
    <w:next w:val="Normal"/>
    <w:link w:val="Heading7Char"/>
    <w:unhideWhenUsed/>
    <w:qFormat/>
    <w:rsid w:val="00F11D43"/>
    <w:pPr>
      <w:keepNext/>
      <w:keepLines/>
      <w:numPr>
        <w:ilvl w:val="6"/>
        <w:numId w:val="16"/>
      </w:numPr>
      <w:spacing w:before="40"/>
      <w:ind w:left="5040" w:hanging="48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BodyText"/>
    <w:link w:val="Heading8Char"/>
    <w:unhideWhenUsed/>
    <w:qFormat/>
    <w:rsid w:val="0030653F"/>
    <w:pPr>
      <w:keepNext/>
      <w:keepLines/>
      <w:widowControl/>
      <w:numPr>
        <w:ilvl w:val="7"/>
        <w:numId w:val="16"/>
      </w:numPr>
      <w:spacing w:before="200"/>
      <w:ind w:left="5760" w:hanging="480"/>
      <w:outlineLvl w:val="7"/>
    </w:pPr>
    <w:rPr>
      <w:rFonts w:ascii="Times New Roman" w:eastAsiaTheme="majorEastAsia" w:hAnsi="Times New Roman" w:cstheme="majorBidi"/>
      <w:snapToGrid/>
      <w:szCs w:val="24"/>
    </w:rPr>
  </w:style>
  <w:style w:type="paragraph" w:styleId="Heading9">
    <w:name w:val="heading 9"/>
    <w:basedOn w:val="Normal"/>
    <w:next w:val="BodyText"/>
    <w:link w:val="Heading9Char"/>
    <w:unhideWhenUsed/>
    <w:qFormat/>
    <w:rsid w:val="0030653F"/>
    <w:pPr>
      <w:keepNext/>
      <w:keepLines/>
      <w:widowControl/>
      <w:numPr>
        <w:ilvl w:val="8"/>
        <w:numId w:val="16"/>
      </w:numPr>
      <w:spacing w:before="200"/>
      <w:ind w:left="6480" w:hanging="480"/>
      <w:outlineLvl w:val="8"/>
    </w:pPr>
    <w:rPr>
      <w:rFonts w:ascii="Times New Roman" w:eastAsiaTheme="majorEastAsia" w:hAnsi="Times New Roman" w:cstheme="majorBidi"/>
      <w:snapToGrid/>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74E96"/>
    <w:rPr>
      <w:rFonts w:eastAsia="Times New Roman" w:cs="Times New Roman"/>
      <w:b/>
      <w:caps/>
      <w:snapToGrid w:val="0"/>
      <w:kern w:val="0"/>
      <w:sz w:val="28"/>
      <w:szCs w:val="20"/>
      <w14:ligatures w14:val="none"/>
    </w:rPr>
  </w:style>
  <w:style w:type="character" w:customStyle="1" w:styleId="Heading2Char">
    <w:name w:val="Heading 2 Char"/>
    <w:basedOn w:val="DefaultParagraphFont"/>
    <w:link w:val="Heading2"/>
    <w:rsid w:val="0011205E"/>
    <w:rPr>
      <w:rFonts w:eastAsia="Times New Roman" w:cs="Times New Roman"/>
      <w:b/>
      <w:snapToGrid w:val="0"/>
      <w:kern w:val="0"/>
      <w:sz w:val="24"/>
      <w:szCs w:val="20"/>
      <w14:ligatures w14:val="none"/>
    </w:rPr>
  </w:style>
  <w:style w:type="paragraph" w:styleId="BodyTextIndent">
    <w:name w:val="Body Text Indent"/>
    <w:basedOn w:val="Normal"/>
    <w:link w:val="BodyTextIndentChar"/>
    <w:rsid w:val="00A003C5"/>
    <w:pPr>
      <w:ind w:firstLine="720"/>
      <w:jc w:val="both"/>
    </w:pPr>
  </w:style>
  <w:style w:type="character" w:customStyle="1" w:styleId="BodyTextIndentChar">
    <w:name w:val="Body Text Indent Char"/>
    <w:basedOn w:val="DefaultParagraphFont"/>
    <w:link w:val="BodyTextIndent"/>
    <w:rsid w:val="00A003C5"/>
    <w:rPr>
      <w:rFonts w:ascii="Arial" w:eastAsia="Times New Roman" w:hAnsi="Arial" w:cs="Times New Roman"/>
      <w:snapToGrid w:val="0"/>
      <w:kern w:val="0"/>
      <w:sz w:val="20"/>
      <w:szCs w:val="20"/>
      <w14:ligatures w14:val="none"/>
    </w:rPr>
  </w:style>
  <w:style w:type="paragraph" w:styleId="CommentText">
    <w:name w:val="annotation text"/>
    <w:basedOn w:val="Normal"/>
    <w:link w:val="CommentTextChar"/>
    <w:uiPriority w:val="99"/>
    <w:rsid w:val="00A003C5"/>
    <w:rPr>
      <w:rFonts w:ascii="Univers" w:hAnsi="Univers"/>
    </w:rPr>
  </w:style>
  <w:style w:type="character" w:customStyle="1" w:styleId="CommentTextChar">
    <w:name w:val="Comment Text Char"/>
    <w:basedOn w:val="DefaultParagraphFont"/>
    <w:link w:val="CommentText"/>
    <w:uiPriority w:val="99"/>
    <w:rsid w:val="00A003C5"/>
    <w:rPr>
      <w:rFonts w:ascii="Univers" w:eastAsia="Times New Roman" w:hAnsi="Univers" w:cs="Times New Roman"/>
      <w:snapToGrid w:val="0"/>
      <w:kern w:val="0"/>
      <w:sz w:val="20"/>
      <w:szCs w:val="20"/>
      <w14:ligatures w14:val="none"/>
    </w:rPr>
  </w:style>
  <w:style w:type="paragraph" w:customStyle="1" w:styleId="Level1">
    <w:name w:val="Level 1"/>
    <w:basedOn w:val="Normal"/>
    <w:link w:val="Level1Char"/>
    <w:rsid w:val="00A003C5"/>
    <w:rPr>
      <w:rFonts w:ascii="Times New Roman" w:hAnsi="Times New Roman"/>
      <w:snapToGrid/>
    </w:rPr>
  </w:style>
  <w:style w:type="paragraph" w:styleId="EndnoteText">
    <w:name w:val="endnote text"/>
    <w:basedOn w:val="Normal"/>
    <w:link w:val="EndnoteTextChar"/>
    <w:uiPriority w:val="99"/>
    <w:rsid w:val="00A003C5"/>
    <w:rPr>
      <w:rFonts w:ascii="Times New Roman" w:hAnsi="Times New Roman"/>
      <w:sz w:val="22"/>
    </w:rPr>
  </w:style>
  <w:style w:type="character" w:customStyle="1" w:styleId="EndnoteTextChar">
    <w:name w:val="Endnote Text Char"/>
    <w:basedOn w:val="DefaultParagraphFont"/>
    <w:link w:val="EndnoteText"/>
    <w:uiPriority w:val="99"/>
    <w:rsid w:val="00A003C5"/>
    <w:rPr>
      <w:rFonts w:ascii="Times New Roman" w:eastAsia="Times New Roman" w:hAnsi="Times New Roman" w:cs="Times New Roman"/>
      <w:snapToGrid w:val="0"/>
      <w:kern w:val="0"/>
      <w:szCs w:val="20"/>
      <w14:ligatures w14:val="none"/>
    </w:rPr>
  </w:style>
  <w:style w:type="character" w:styleId="Hyperlink">
    <w:name w:val="Hyperlink"/>
    <w:basedOn w:val="DefaultParagraphFont"/>
    <w:uiPriority w:val="99"/>
    <w:rsid w:val="00A003C5"/>
    <w:rPr>
      <w:color w:val="0000FF"/>
      <w:u w:val="single"/>
    </w:rPr>
  </w:style>
  <w:style w:type="paragraph" w:styleId="ListParagraph">
    <w:name w:val="List Paragraph"/>
    <w:basedOn w:val="Normal"/>
    <w:uiPriority w:val="34"/>
    <w:qFormat/>
    <w:rsid w:val="007C1D2F"/>
    <w:pPr>
      <w:spacing w:before="100" w:after="100"/>
      <w:ind w:left="720"/>
      <w:contextualSpacing/>
    </w:pPr>
  </w:style>
  <w:style w:type="paragraph" w:styleId="NormalWeb">
    <w:name w:val="Normal (Web)"/>
    <w:basedOn w:val="Normal"/>
    <w:uiPriority w:val="99"/>
    <w:unhideWhenUsed/>
    <w:rsid w:val="00A003C5"/>
    <w:pPr>
      <w:widowControl/>
      <w:spacing w:before="100" w:beforeAutospacing="1" w:after="100" w:afterAutospacing="1"/>
    </w:pPr>
    <w:rPr>
      <w:rFonts w:ascii="Times New Roman" w:hAnsi="Times New Roman"/>
      <w:snapToGrid/>
      <w:szCs w:val="24"/>
    </w:rPr>
  </w:style>
  <w:style w:type="table" w:styleId="TableGrid">
    <w:name w:val="Table Grid"/>
    <w:basedOn w:val="TableNormal"/>
    <w:uiPriority w:val="39"/>
    <w:rsid w:val="00C733C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C733C5"/>
    <w:rPr>
      <w:sz w:val="16"/>
      <w:szCs w:val="16"/>
    </w:rPr>
  </w:style>
  <w:style w:type="character" w:customStyle="1" w:styleId="Heading3Char">
    <w:name w:val="Heading 3 Char"/>
    <w:basedOn w:val="DefaultParagraphFont"/>
    <w:link w:val="Heading3"/>
    <w:uiPriority w:val="9"/>
    <w:rsid w:val="002D4928"/>
    <w:rPr>
      <w:rFonts w:eastAsiaTheme="majorEastAsia" w:cstheme="majorBidi"/>
      <w:b/>
      <w:snapToGrid w:val="0"/>
      <w:color w:val="000000" w:themeColor="text1"/>
      <w:kern w:val="0"/>
      <w:sz w:val="24"/>
      <w:szCs w:val="24"/>
      <w14:ligatures w14:val="none"/>
    </w:rPr>
  </w:style>
  <w:style w:type="paragraph" w:styleId="FootnoteText">
    <w:name w:val="footnote text"/>
    <w:basedOn w:val="Normal"/>
    <w:link w:val="FootnoteTextChar"/>
    <w:uiPriority w:val="99"/>
    <w:unhideWhenUsed/>
    <w:qFormat/>
    <w:rsid w:val="00D841DC"/>
    <w:rPr>
      <w:sz w:val="20"/>
    </w:rPr>
  </w:style>
  <w:style w:type="character" w:customStyle="1" w:styleId="FootnoteTextChar">
    <w:name w:val="Footnote Text Char"/>
    <w:basedOn w:val="DefaultParagraphFont"/>
    <w:link w:val="FootnoteText"/>
    <w:uiPriority w:val="99"/>
    <w:rsid w:val="00D841DC"/>
    <w:rPr>
      <w:rFonts w:eastAsia="Times New Roman" w:cs="Times New Roman"/>
      <w:snapToGrid w:val="0"/>
      <w:kern w:val="0"/>
      <w:sz w:val="20"/>
      <w:szCs w:val="20"/>
      <w14:ligatures w14:val="none"/>
    </w:rPr>
  </w:style>
  <w:style w:type="paragraph" w:styleId="Header">
    <w:name w:val="header"/>
    <w:basedOn w:val="Normal"/>
    <w:link w:val="HeaderChar"/>
    <w:unhideWhenUsed/>
    <w:rsid w:val="002959F6"/>
    <w:pPr>
      <w:tabs>
        <w:tab w:val="center" w:pos="4680"/>
        <w:tab w:val="right" w:pos="9360"/>
      </w:tabs>
    </w:pPr>
  </w:style>
  <w:style w:type="character" w:customStyle="1" w:styleId="HeaderChar">
    <w:name w:val="Header Char"/>
    <w:basedOn w:val="DefaultParagraphFont"/>
    <w:link w:val="Header"/>
    <w:uiPriority w:val="99"/>
    <w:rsid w:val="002959F6"/>
    <w:rPr>
      <w:rFonts w:ascii="Arial" w:eastAsia="Times New Roman" w:hAnsi="Arial" w:cs="Times New Roman"/>
      <w:snapToGrid w:val="0"/>
      <w:kern w:val="0"/>
      <w:sz w:val="20"/>
      <w:szCs w:val="20"/>
      <w14:ligatures w14:val="none"/>
    </w:rPr>
  </w:style>
  <w:style w:type="paragraph" w:styleId="Footer">
    <w:name w:val="footer"/>
    <w:basedOn w:val="Normal"/>
    <w:link w:val="FooterChar"/>
    <w:uiPriority w:val="99"/>
    <w:unhideWhenUsed/>
    <w:rsid w:val="002959F6"/>
    <w:pPr>
      <w:tabs>
        <w:tab w:val="center" w:pos="4680"/>
        <w:tab w:val="right" w:pos="9360"/>
      </w:tabs>
    </w:pPr>
  </w:style>
  <w:style w:type="character" w:customStyle="1" w:styleId="FooterChar">
    <w:name w:val="Footer Char"/>
    <w:basedOn w:val="DefaultParagraphFont"/>
    <w:link w:val="Footer"/>
    <w:uiPriority w:val="99"/>
    <w:rsid w:val="002959F6"/>
    <w:rPr>
      <w:rFonts w:ascii="Arial" w:eastAsia="Times New Roman" w:hAnsi="Arial" w:cs="Times New Roman"/>
      <w:snapToGrid w:val="0"/>
      <w:kern w:val="0"/>
      <w:sz w:val="20"/>
      <w:szCs w:val="20"/>
      <w14:ligatures w14:val="none"/>
    </w:rPr>
  </w:style>
  <w:style w:type="character" w:styleId="FootnoteReference">
    <w:name w:val="footnote reference"/>
    <w:uiPriority w:val="99"/>
    <w:rsid w:val="002959F6"/>
  </w:style>
  <w:style w:type="paragraph" w:customStyle="1" w:styleId="Style1">
    <w:name w:val="Style1"/>
    <w:basedOn w:val="Heading4"/>
    <w:qFormat/>
    <w:rsid w:val="00D70D42"/>
    <w:rPr>
      <w:rFonts w:eastAsia="Calibri"/>
      <w:snapToGrid/>
    </w:rPr>
  </w:style>
  <w:style w:type="character" w:customStyle="1" w:styleId="Heading5Char">
    <w:name w:val="Heading 5 Char"/>
    <w:basedOn w:val="DefaultParagraphFont"/>
    <w:link w:val="Heading5"/>
    <w:rsid w:val="002E0D2C"/>
    <w:rPr>
      <w:rFonts w:asciiTheme="majorHAnsi" w:eastAsiaTheme="majorEastAsia" w:hAnsiTheme="majorHAnsi" w:cstheme="majorBidi"/>
      <w:snapToGrid w:val="0"/>
      <w:color w:val="2F5496" w:themeColor="accent1" w:themeShade="BF"/>
      <w:kern w:val="0"/>
      <w:sz w:val="24"/>
      <w:szCs w:val="20"/>
      <w14:ligatures w14:val="none"/>
    </w:rPr>
  </w:style>
  <w:style w:type="character" w:customStyle="1" w:styleId="Heading4Char">
    <w:name w:val="Heading 4 Char"/>
    <w:basedOn w:val="DefaultParagraphFont"/>
    <w:link w:val="Heading4"/>
    <w:uiPriority w:val="9"/>
    <w:rsid w:val="009321D4"/>
    <w:rPr>
      <w:rFonts w:eastAsiaTheme="majorEastAsia" w:cstheme="majorBidi"/>
      <w:b/>
      <w:i/>
      <w:iCs/>
      <w:snapToGrid w:val="0"/>
      <w:color w:val="000000" w:themeColor="text1"/>
      <w:kern w:val="0"/>
      <w:sz w:val="24"/>
      <w:szCs w:val="20"/>
      <w14:ligatures w14:val="none"/>
    </w:rPr>
  </w:style>
  <w:style w:type="paragraph" w:styleId="BodyText">
    <w:name w:val="Body Text"/>
    <w:basedOn w:val="Normal"/>
    <w:link w:val="BodyTextChar"/>
    <w:unhideWhenUsed/>
    <w:qFormat/>
    <w:rsid w:val="002E0D2C"/>
    <w:pPr>
      <w:spacing w:after="120"/>
    </w:pPr>
  </w:style>
  <w:style w:type="character" w:customStyle="1" w:styleId="BodyTextChar">
    <w:name w:val="Body Text Char"/>
    <w:basedOn w:val="DefaultParagraphFont"/>
    <w:link w:val="BodyText"/>
    <w:rsid w:val="002E0D2C"/>
    <w:rPr>
      <w:rFonts w:ascii="Arial" w:eastAsia="Times New Roman" w:hAnsi="Arial" w:cs="Times New Roman"/>
      <w:snapToGrid w:val="0"/>
      <w:kern w:val="0"/>
      <w:sz w:val="20"/>
      <w:szCs w:val="20"/>
      <w14:ligatures w14:val="none"/>
    </w:rPr>
  </w:style>
  <w:style w:type="paragraph" w:customStyle="1" w:styleId="Compact">
    <w:name w:val="Compact"/>
    <w:basedOn w:val="BodyText"/>
    <w:qFormat/>
    <w:rsid w:val="00A0215F"/>
    <w:pPr>
      <w:widowControl/>
      <w:spacing w:before="36" w:after="36"/>
    </w:pPr>
    <w:rPr>
      <w:rFonts w:eastAsia="Cambria"/>
      <w:snapToGrid/>
      <w:szCs w:val="24"/>
    </w:rPr>
  </w:style>
  <w:style w:type="table" w:customStyle="1" w:styleId="Table">
    <w:name w:val="Table"/>
    <w:semiHidden/>
    <w:unhideWhenUsed/>
    <w:qFormat/>
    <w:rsid w:val="00D03E41"/>
    <w:pPr>
      <w:spacing w:after="200" w:line="240" w:lineRule="auto"/>
    </w:pPr>
    <w:rPr>
      <w:kern w:val="0"/>
      <w:sz w:val="24"/>
      <w:szCs w:val="24"/>
      <w14:ligatures w14:val="none"/>
    </w:rPr>
    <w:tblPr>
      <w:tblInd w:w="0" w:type="dxa"/>
      <w:tblCellMar>
        <w:top w:w="0" w:type="dxa"/>
        <w:left w:w="108" w:type="dxa"/>
        <w:bottom w:w="0" w:type="dxa"/>
        <w:right w:w="108" w:type="dxa"/>
      </w:tblCellMar>
    </w:tblPr>
  </w:style>
  <w:style w:type="paragraph" w:styleId="BodyText2">
    <w:name w:val="Body Text 2"/>
    <w:basedOn w:val="Normal"/>
    <w:link w:val="BodyText2Char"/>
    <w:unhideWhenUsed/>
    <w:rsid w:val="009E2D2F"/>
    <w:pPr>
      <w:spacing w:after="120" w:line="480" w:lineRule="auto"/>
    </w:pPr>
  </w:style>
  <w:style w:type="character" w:customStyle="1" w:styleId="BodyText2Char">
    <w:name w:val="Body Text 2 Char"/>
    <w:basedOn w:val="DefaultParagraphFont"/>
    <w:link w:val="BodyText2"/>
    <w:uiPriority w:val="99"/>
    <w:semiHidden/>
    <w:rsid w:val="009E2D2F"/>
    <w:rPr>
      <w:rFonts w:ascii="Arial" w:eastAsia="Times New Roman" w:hAnsi="Arial" w:cs="Times New Roman"/>
      <w:snapToGrid w:val="0"/>
      <w:kern w:val="0"/>
      <w:sz w:val="20"/>
      <w:szCs w:val="20"/>
      <w14:ligatures w14:val="none"/>
    </w:rPr>
  </w:style>
  <w:style w:type="paragraph" w:styleId="Revision">
    <w:name w:val="Revision"/>
    <w:hidden/>
    <w:uiPriority w:val="99"/>
    <w:semiHidden/>
    <w:rsid w:val="00A03EA7"/>
    <w:pPr>
      <w:spacing w:after="0" w:line="240" w:lineRule="auto"/>
    </w:pPr>
    <w:rPr>
      <w:rFonts w:ascii="Arial" w:eastAsia="Times New Roman" w:hAnsi="Arial" w:cs="Times New Roman"/>
      <w:snapToGrid w:val="0"/>
      <w:kern w:val="0"/>
      <w:sz w:val="20"/>
      <w:szCs w:val="20"/>
      <w14:ligatures w14:val="none"/>
    </w:rPr>
  </w:style>
  <w:style w:type="numbering" w:customStyle="1" w:styleId="NoList1">
    <w:name w:val="No List1"/>
    <w:next w:val="NoList"/>
    <w:uiPriority w:val="99"/>
    <w:semiHidden/>
    <w:unhideWhenUsed/>
    <w:rsid w:val="0068141C"/>
  </w:style>
  <w:style w:type="character" w:styleId="PageNumber">
    <w:name w:val="page number"/>
    <w:basedOn w:val="DefaultParagraphFont"/>
    <w:rsid w:val="0068141C"/>
  </w:style>
  <w:style w:type="paragraph" w:styleId="Title">
    <w:name w:val="Title"/>
    <w:basedOn w:val="Normal"/>
    <w:link w:val="TitleChar"/>
    <w:qFormat/>
    <w:rsid w:val="0068141C"/>
    <w:pPr>
      <w:widowControl/>
      <w:jc w:val="center"/>
    </w:pPr>
    <w:rPr>
      <w:b/>
      <w:snapToGrid/>
    </w:rPr>
  </w:style>
  <w:style w:type="character" w:customStyle="1" w:styleId="TitleChar">
    <w:name w:val="Title Char"/>
    <w:basedOn w:val="DefaultParagraphFont"/>
    <w:link w:val="Title"/>
    <w:rsid w:val="0068141C"/>
    <w:rPr>
      <w:rFonts w:ascii="Arial" w:eastAsia="Times New Roman" w:hAnsi="Arial" w:cs="Times New Roman"/>
      <w:b/>
      <w:kern w:val="0"/>
      <w:sz w:val="20"/>
      <w:szCs w:val="20"/>
      <w14:ligatures w14:val="none"/>
    </w:rPr>
  </w:style>
  <w:style w:type="character" w:customStyle="1" w:styleId="FollowedHyperlink1">
    <w:name w:val="FollowedHyperlink1"/>
    <w:basedOn w:val="DefaultParagraphFont"/>
    <w:uiPriority w:val="99"/>
    <w:semiHidden/>
    <w:unhideWhenUsed/>
    <w:rsid w:val="0068141C"/>
    <w:rPr>
      <w:color w:val="800080"/>
      <w:u w:val="single"/>
    </w:rPr>
  </w:style>
  <w:style w:type="paragraph" w:styleId="CommentSubject">
    <w:name w:val="annotation subject"/>
    <w:basedOn w:val="CommentText"/>
    <w:next w:val="CommentText"/>
    <w:link w:val="CommentSubjectChar"/>
    <w:uiPriority w:val="99"/>
    <w:semiHidden/>
    <w:unhideWhenUsed/>
    <w:rsid w:val="0068141C"/>
    <w:rPr>
      <w:b/>
      <w:bCs/>
    </w:rPr>
  </w:style>
  <w:style w:type="character" w:customStyle="1" w:styleId="CommentSubjectChar">
    <w:name w:val="Comment Subject Char"/>
    <w:basedOn w:val="CommentTextChar"/>
    <w:link w:val="CommentSubject"/>
    <w:uiPriority w:val="99"/>
    <w:semiHidden/>
    <w:rsid w:val="0068141C"/>
    <w:rPr>
      <w:rFonts w:ascii="Univers" w:eastAsia="Times New Roman" w:hAnsi="Univers" w:cs="Times New Roman"/>
      <w:b/>
      <w:bCs/>
      <w:snapToGrid w:val="0"/>
      <w:kern w:val="0"/>
      <w:sz w:val="20"/>
      <w:szCs w:val="20"/>
      <w14:ligatures w14:val="none"/>
    </w:rPr>
  </w:style>
  <w:style w:type="paragraph" w:styleId="BalloonText">
    <w:name w:val="Balloon Text"/>
    <w:basedOn w:val="Normal"/>
    <w:link w:val="BalloonTextChar"/>
    <w:uiPriority w:val="99"/>
    <w:semiHidden/>
    <w:unhideWhenUsed/>
    <w:rsid w:val="0068141C"/>
    <w:rPr>
      <w:rFonts w:ascii="Tahoma" w:hAnsi="Tahoma" w:cs="Tahoma"/>
      <w:sz w:val="16"/>
      <w:szCs w:val="16"/>
    </w:rPr>
  </w:style>
  <w:style w:type="character" w:customStyle="1" w:styleId="BalloonTextChar">
    <w:name w:val="Balloon Text Char"/>
    <w:basedOn w:val="DefaultParagraphFont"/>
    <w:link w:val="BalloonText"/>
    <w:uiPriority w:val="99"/>
    <w:semiHidden/>
    <w:rsid w:val="0068141C"/>
    <w:rPr>
      <w:rFonts w:ascii="Tahoma" w:eastAsia="Times New Roman" w:hAnsi="Tahoma" w:cs="Tahoma"/>
      <w:snapToGrid w:val="0"/>
      <w:kern w:val="0"/>
      <w:sz w:val="16"/>
      <w:szCs w:val="16"/>
      <w14:ligatures w14:val="none"/>
    </w:rPr>
  </w:style>
  <w:style w:type="paragraph" w:styleId="NoSpacing">
    <w:name w:val="No Spacing"/>
    <w:uiPriority w:val="1"/>
    <w:qFormat/>
    <w:rsid w:val="0068141C"/>
    <w:pPr>
      <w:widowControl w:val="0"/>
      <w:spacing w:after="0" w:line="240" w:lineRule="auto"/>
    </w:pPr>
    <w:rPr>
      <w:rFonts w:ascii="Univers" w:eastAsia="Times New Roman" w:hAnsi="Univers" w:cs="Times New Roman"/>
      <w:snapToGrid w:val="0"/>
      <w:kern w:val="0"/>
      <w:sz w:val="24"/>
      <w:szCs w:val="20"/>
      <w14:ligatures w14:val="none"/>
    </w:rPr>
  </w:style>
  <w:style w:type="character" w:styleId="FollowedHyperlink">
    <w:name w:val="FollowedHyperlink"/>
    <w:basedOn w:val="DefaultParagraphFont"/>
    <w:uiPriority w:val="99"/>
    <w:unhideWhenUsed/>
    <w:rsid w:val="0068141C"/>
    <w:rPr>
      <w:color w:val="954F72" w:themeColor="followedHyperlink"/>
      <w:u w:val="single"/>
    </w:rPr>
  </w:style>
  <w:style w:type="paragraph" w:styleId="Caption">
    <w:name w:val="caption"/>
    <w:basedOn w:val="Normal"/>
    <w:next w:val="Normal"/>
    <w:link w:val="CaptionChar"/>
    <w:uiPriority w:val="35"/>
    <w:unhideWhenUsed/>
    <w:qFormat/>
    <w:rsid w:val="00BC0794"/>
    <w:pPr>
      <w:spacing w:after="100"/>
    </w:pPr>
    <w:rPr>
      <w:iCs/>
      <w:sz w:val="20"/>
      <w:szCs w:val="18"/>
    </w:rPr>
  </w:style>
  <w:style w:type="character" w:customStyle="1" w:styleId="Heading7Char">
    <w:name w:val="Heading 7 Char"/>
    <w:basedOn w:val="DefaultParagraphFont"/>
    <w:link w:val="Heading7"/>
    <w:rsid w:val="00F11D43"/>
    <w:rPr>
      <w:rFonts w:asciiTheme="majorHAnsi" w:eastAsiaTheme="majorEastAsia" w:hAnsiTheme="majorHAnsi" w:cstheme="majorBidi"/>
      <w:i/>
      <w:iCs/>
      <w:snapToGrid w:val="0"/>
      <w:color w:val="1F3763" w:themeColor="accent1" w:themeShade="7F"/>
      <w:kern w:val="0"/>
      <w:sz w:val="24"/>
      <w:szCs w:val="20"/>
      <w14:ligatures w14:val="none"/>
    </w:rPr>
  </w:style>
  <w:style w:type="paragraph" w:styleId="BodyText3">
    <w:name w:val="Body Text 3"/>
    <w:basedOn w:val="Normal"/>
    <w:link w:val="BodyText3Char"/>
    <w:unhideWhenUsed/>
    <w:rsid w:val="00B35C3A"/>
    <w:pPr>
      <w:spacing w:after="120"/>
    </w:pPr>
    <w:rPr>
      <w:sz w:val="16"/>
      <w:szCs w:val="16"/>
    </w:rPr>
  </w:style>
  <w:style w:type="character" w:customStyle="1" w:styleId="BodyText3Char">
    <w:name w:val="Body Text 3 Char"/>
    <w:basedOn w:val="DefaultParagraphFont"/>
    <w:link w:val="BodyText3"/>
    <w:uiPriority w:val="99"/>
    <w:semiHidden/>
    <w:rsid w:val="00B35C3A"/>
    <w:rPr>
      <w:rFonts w:eastAsia="Times New Roman" w:cs="Times New Roman"/>
      <w:snapToGrid w:val="0"/>
      <w:kern w:val="0"/>
      <w:sz w:val="16"/>
      <w:szCs w:val="16"/>
      <w14:ligatures w14:val="none"/>
    </w:rPr>
  </w:style>
  <w:style w:type="paragraph" w:styleId="BodyTextIndent3">
    <w:name w:val="Body Text Indent 3"/>
    <w:basedOn w:val="Normal"/>
    <w:link w:val="BodyTextIndent3Char"/>
    <w:unhideWhenUsed/>
    <w:rsid w:val="00B35C3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B35C3A"/>
    <w:rPr>
      <w:rFonts w:eastAsia="Times New Roman" w:cs="Times New Roman"/>
      <w:snapToGrid w:val="0"/>
      <w:kern w:val="0"/>
      <w:sz w:val="16"/>
      <w:szCs w:val="16"/>
      <w14:ligatures w14:val="none"/>
    </w:rPr>
  </w:style>
  <w:style w:type="character" w:styleId="UnresolvedMention">
    <w:name w:val="Unresolved Mention"/>
    <w:basedOn w:val="DefaultParagraphFont"/>
    <w:uiPriority w:val="99"/>
    <w:semiHidden/>
    <w:unhideWhenUsed/>
    <w:rsid w:val="0002724D"/>
    <w:rPr>
      <w:color w:val="605E5C"/>
      <w:shd w:val="clear" w:color="auto" w:fill="E1DFDD"/>
    </w:rPr>
  </w:style>
  <w:style w:type="character" w:customStyle="1" w:styleId="Heading6Char">
    <w:name w:val="Heading 6 Char"/>
    <w:basedOn w:val="DefaultParagraphFont"/>
    <w:link w:val="Heading6"/>
    <w:rsid w:val="0030653F"/>
    <w:rPr>
      <w:rFonts w:ascii="Times New Roman" w:eastAsiaTheme="majorEastAsia" w:hAnsi="Times New Roman" w:cstheme="majorBidi"/>
      <w:kern w:val="0"/>
      <w:sz w:val="24"/>
      <w:szCs w:val="24"/>
      <w14:ligatures w14:val="none"/>
    </w:rPr>
  </w:style>
  <w:style w:type="character" w:customStyle="1" w:styleId="Heading8Char">
    <w:name w:val="Heading 8 Char"/>
    <w:basedOn w:val="DefaultParagraphFont"/>
    <w:link w:val="Heading8"/>
    <w:rsid w:val="0030653F"/>
    <w:rPr>
      <w:rFonts w:ascii="Times New Roman" w:eastAsiaTheme="majorEastAsia" w:hAnsi="Times New Roman" w:cstheme="majorBidi"/>
      <w:kern w:val="0"/>
      <w:sz w:val="24"/>
      <w:szCs w:val="24"/>
      <w14:ligatures w14:val="none"/>
    </w:rPr>
  </w:style>
  <w:style w:type="character" w:customStyle="1" w:styleId="Heading9Char">
    <w:name w:val="Heading 9 Char"/>
    <w:basedOn w:val="DefaultParagraphFont"/>
    <w:link w:val="Heading9"/>
    <w:rsid w:val="0030653F"/>
    <w:rPr>
      <w:rFonts w:ascii="Times New Roman" w:eastAsiaTheme="majorEastAsia" w:hAnsi="Times New Roman" w:cstheme="majorBidi"/>
      <w:kern w:val="0"/>
      <w:sz w:val="24"/>
      <w:szCs w:val="24"/>
      <w14:ligatures w14:val="none"/>
    </w:rPr>
  </w:style>
  <w:style w:type="paragraph" w:customStyle="1" w:styleId="FirstParagraph">
    <w:name w:val="First Paragraph"/>
    <w:basedOn w:val="BodyText"/>
    <w:next w:val="BodyText"/>
    <w:qFormat/>
    <w:rsid w:val="0030653F"/>
    <w:pPr>
      <w:widowControl/>
      <w:spacing w:before="120"/>
    </w:pPr>
    <w:rPr>
      <w:rFonts w:ascii="Times New Roman" w:eastAsiaTheme="minorHAnsi" w:hAnsi="Times New Roman" w:cstheme="minorBidi"/>
      <w:snapToGrid/>
      <w:szCs w:val="24"/>
    </w:rPr>
  </w:style>
  <w:style w:type="paragraph" w:styleId="Subtitle">
    <w:name w:val="Subtitle"/>
    <w:basedOn w:val="Title"/>
    <w:next w:val="BodyText"/>
    <w:link w:val="SubtitleChar"/>
    <w:qFormat/>
    <w:rsid w:val="0030653F"/>
    <w:pPr>
      <w:keepNext/>
      <w:keepLines/>
      <w:spacing w:before="240" w:after="240"/>
    </w:pPr>
    <w:rPr>
      <w:rFonts w:ascii="Times New Roman" w:eastAsiaTheme="majorEastAsia" w:hAnsi="Times New Roman"/>
      <w:bCs/>
      <w:caps/>
      <w:sz w:val="30"/>
      <w:szCs w:val="30"/>
    </w:rPr>
  </w:style>
  <w:style w:type="character" w:customStyle="1" w:styleId="SubtitleChar">
    <w:name w:val="Subtitle Char"/>
    <w:basedOn w:val="DefaultParagraphFont"/>
    <w:link w:val="Subtitle"/>
    <w:rsid w:val="0030653F"/>
    <w:rPr>
      <w:rFonts w:ascii="Times New Roman" w:eastAsiaTheme="majorEastAsia" w:hAnsi="Times New Roman" w:cs="Times New Roman"/>
      <w:b/>
      <w:bCs/>
      <w:caps/>
      <w:kern w:val="0"/>
      <w:sz w:val="30"/>
      <w:szCs w:val="30"/>
      <w14:ligatures w14:val="none"/>
    </w:rPr>
  </w:style>
  <w:style w:type="paragraph" w:customStyle="1" w:styleId="Author">
    <w:name w:val="Author"/>
    <w:next w:val="BodyText"/>
    <w:qFormat/>
    <w:rsid w:val="0030653F"/>
    <w:pPr>
      <w:keepNext/>
      <w:keepLines/>
      <w:spacing w:after="200" w:line="240" w:lineRule="auto"/>
      <w:jc w:val="center"/>
    </w:pPr>
    <w:rPr>
      <w:rFonts w:ascii="Times New Roman" w:hAnsi="Times New Roman"/>
      <w:kern w:val="0"/>
      <w:sz w:val="24"/>
      <w:szCs w:val="24"/>
      <w14:ligatures w14:val="none"/>
    </w:rPr>
  </w:style>
  <w:style w:type="paragraph" w:styleId="Date">
    <w:name w:val="Date"/>
    <w:next w:val="BodyText"/>
    <w:link w:val="DateChar"/>
    <w:qFormat/>
    <w:rsid w:val="0030653F"/>
    <w:pPr>
      <w:keepNext/>
      <w:keepLines/>
      <w:spacing w:after="200" w:line="240" w:lineRule="auto"/>
      <w:jc w:val="center"/>
    </w:pPr>
    <w:rPr>
      <w:rFonts w:ascii="Times New Roman" w:hAnsi="Times New Roman"/>
      <w:kern w:val="0"/>
      <w:sz w:val="24"/>
      <w:szCs w:val="24"/>
      <w14:ligatures w14:val="none"/>
    </w:rPr>
  </w:style>
  <w:style w:type="character" w:customStyle="1" w:styleId="DateChar">
    <w:name w:val="Date Char"/>
    <w:basedOn w:val="DefaultParagraphFont"/>
    <w:link w:val="Date"/>
    <w:rsid w:val="0030653F"/>
    <w:rPr>
      <w:rFonts w:ascii="Times New Roman" w:hAnsi="Times New Roman"/>
      <w:kern w:val="0"/>
      <w:sz w:val="24"/>
      <w:szCs w:val="24"/>
      <w14:ligatures w14:val="none"/>
    </w:rPr>
  </w:style>
  <w:style w:type="paragraph" w:customStyle="1" w:styleId="Abstract">
    <w:name w:val="Abstract"/>
    <w:basedOn w:val="Normal"/>
    <w:next w:val="BodyText"/>
    <w:qFormat/>
    <w:rsid w:val="0030653F"/>
    <w:pPr>
      <w:keepNext/>
      <w:keepLines/>
      <w:widowControl/>
      <w:spacing w:before="300" w:after="300"/>
    </w:pPr>
    <w:rPr>
      <w:rFonts w:ascii="Times New Roman" w:eastAsiaTheme="minorHAnsi" w:hAnsi="Times New Roman" w:cstheme="minorBidi"/>
      <w:snapToGrid/>
      <w:sz w:val="20"/>
    </w:rPr>
  </w:style>
  <w:style w:type="paragraph" w:styleId="Bibliography">
    <w:name w:val="Bibliography"/>
    <w:basedOn w:val="Normal"/>
    <w:qFormat/>
    <w:rsid w:val="0030653F"/>
    <w:pPr>
      <w:widowControl/>
      <w:spacing w:after="120"/>
    </w:pPr>
    <w:rPr>
      <w:rFonts w:ascii="Times New Roman" w:eastAsiaTheme="minorHAnsi" w:hAnsi="Times New Roman" w:cstheme="minorBidi"/>
      <w:snapToGrid/>
      <w:szCs w:val="24"/>
    </w:rPr>
  </w:style>
  <w:style w:type="paragraph" w:styleId="BlockText">
    <w:name w:val="Block Text"/>
    <w:basedOn w:val="BodyText"/>
    <w:next w:val="BodyText"/>
    <w:uiPriority w:val="9"/>
    <w:unhideWhenUsed/>
    <w:qFormat/>
    <w:rsid w:val="0030653F"/>
    <w:pPr>
      <w:widowControl/>
      <w:spacing w:before="100" w:after="100"/>
      <w:ind w:left="480" w:right="480"/>
    </w:pPr>
    <w:rPr>
      <w:rFonts w:ascii="Times New Roman" w:eastAsiaTheme="minorHAnsi" w:hAnsi="Times New Roman" w:cstheme="minorBidi"/>
      <w:snapToGrid/>
      <w:szCs w:val="24"/>
    </w:rPr>
  </w:style>
  <w:style w:type="paragraph" w:customStyle="1" w:styleId="DefinitionTerm">
    <w:name w:val="Definition Term"/>
    <w:basedOn w:val="Normal"/>
    <w:next w:val="Definition"/>
    <w:rsid w:val="0030653F"/>
    <w:pPr>
      <w:keepNext/>
      <w:keepLines/>
      <w:widowControl/>
    </w:pPr>
    <w:rPr>
      <w:rFonts w:ascii="Times New Roman" w:eastAsiaTheme="minorHAnsi" w:hAnsi="Times New Roman" w:cstheme="minorBidi"/>
      <w:b/>
      <w:snapToGrid/>
      <w:szCs w:val="24"/>
    </w:rPr>
  </w:style>
  <w:style w:type="paragraph" w:customStyle="1" w:styleId="Definition">
    <w:name w:val="Definition"/>
    <w:basedOn w:val="Normal"/>
    <w:rsid w:val="0030653F"/>
    <w:pPr>
      <w:widowControl/>
      <w:spacing w:after="120"/>
    </w:pPr>
    <w:rPr>
      <w:rFonts w:ascii="Times New Roman" w:eastAsiaTheme="minorHAnsi" w:hAnsi="Times New Roman" w:cstheme="minorBidi"/>
      <w:snapToGrid/>
      <w:szCs w:val="24"/>
    </w:rPr>
  </w:style>
  <w:style w:type="paragraph" w:customStyle="1" w:styleId="TableCaption">
    <w:name w:val="Table Caption"/>
    <w:basedOn w:val="Caption"/>
    <w:rsid w:val="001013B9"/>
    <w:pPr>
      <w:keepNext/>
      <w:widowControl/>
      <w:spacing w:after="120"/>
    </w:pPr>
    <w:rPr>
      <w:rFonts w:eastAsiaTheme="minorHAnsi" w:cstheme="minorBidi"/>
      <w:iCs w:val="0"/>
      <w:snapToGrid/>
      <w:szCs w:val="24"/>
    </w:rPr>
  </w:style>
  <w:style w:type="paragraph" w:customStyle="1" w:styleId="ImageCaption">
    <w:name w:val="Image Caption"/>
    <w:basedOn w:val="Caption"/>
    <w:rsid w:val="0030653F"/>
    <w:pPr>
      <w:widowControl/>
      <w:spacing w:after="120"/>
    </w:pPr>
    <w:rPr>
      <w:rFonts w:ascii="Times New Roman" w:eastAsiaTheme="minorHAnsi" w:hAnsi="Times New Roman" w:cstheme="minorBidi"/>
      <w:i/>
      <w:iCs w:val="0"/>
      <w:snapToGrid/>
      <w:sz w:val="24"/>
      <w:szCs w:val="24"/>
    </w:rPr>
  </w:style>
  <w:style w:type="paragraph" w:customStyle="1" w:styleId="Figure">
    <w:name w:val="Figure"/>
    <w:basedOn w:val="Normal"/>
    <w:rsid w:val="00B62885"/>
    <w:pPr>
      <w:widowControl/>
      <w:spacing w:after="120"/>
    </w:pPr>
    <w:rPr>
      <w:rFonts w:eastAsiaTheme="minorHAnsi" w:cstheme="minorBidi"/>
      <w:snapToGrid/>
      <w:sz w:val="20"/>
      <w:szCs w:val="24"/>
    </w:rPr>
  </w:style>
  <w:style w:type="paragraph" w:customStyle="1" w:styleId="CaptionedFigure">
    <w:name w:val="Captioned Figure"/>
    <w:basedOn w:val="Figure"/>
    <w:rsid w:val="0030653F"/>
    <w:pPr>
      <w:keepNext/>
    </w:pPr>
  </w:style>
  <w:style w:type="character" w:customStyle="1" w:styleId="CaptionChar">
    <w:name w:val="Caption Char"/>
    <w:basedOn w:val="DefaultParagraphFont"/>
    <w:link w:val="Caption"/>
    <w:uiPriority w:val="35"/>
    <w:rsid w:val="00BC0794"/>
    <w:rPr>
      <w:rFonts w:eastAsia="Times New Roman" w:cs="Times New Roman"/>
      <w:iCs/>
      <w:snapToGrid w:val="0"/>
      <w:kern w:val="0"/>
      <w:sz w:val="20"/>
      <w:szCs w:val="18"/>
      <w14:ligatures w14:val="none"/>
    </w:rPr>
  </w:style>
  <w:style w:type="character" w:customStyle="1" w:styleId="VerbatimChar">
    <w:name w:val="Verbatim Char"/>
    <w:basedOn w:val="CaptionChar"/>
    <w:link w:val="SourceCode"/>
    <w:rsid w:val="0030653F"/>
    <w:rPr>
      <w:rFonts w:ascii="Consolas" w:eastAsia="Times New Roman" w:hAnsi="Consolas" w:cs="Times New Roman"/>
      <w:iCs/>
      <w:snapToGrid w:val="0"/>
      <w:kern w:val="0"/>
      <w:sz w:val="20"/>
      <w:szCs w:val="18"/>
      <w:shd w:val="clear" w:color="auto" w:fill="F8F8F8"/>
      <w14:ligatures w14:val="none"/>
    </w:rPr>
  </w:style>
  <w:style w:type="character" w:customStyle="1" w:styleId="SectionNumber">
    <w:name w:val="Section Number"/>
    <w:basedOn w:val="CaptionChar"/>
    <w:rsid w:val="0030653F"/>
    <w:rPr>
      <w:rFonts w:eastAsia="Times New Roman" w:cs="Times New Roman"/>
      <w:iCs/>
      <w:snapToGrid w:val="0"/>
      <w:kern w:val="0"/>
      <w:sz w:val="20"/>
      <w:szCs w:val="18"/>
      <w14:ligatures w14:val="none"/>
    </w:rPr>
  </w:style>
  <w:style w:type="paragraph" w:styleId="TOCHeading">
    <w:name w:val="TOC Heading"/>
    <w:basedOn w:val="Heading1"/>
    <w:next w:val="BodyText"/>
    <w:uiPriority w:val="39"/>
    <w:unhideWhenUsed/>
    <w:qFormat/>
    <w:rsid w:val="0030653F"/>
    <w:pPr>
      <w:keepLines/>
      <w:widowControl/>
      <w:spacing w:before="240" w:line="259" w:lineRule="auto"/>
      <w:outlineLvl w:val="9"/>
    </w:pPr>
    <w:rPr>
      <w:rFonts w:ascii="Times New Roman" w:eastAsiaTheme="majorEastAsia" w:hAnsi="Times New Roman" w:cstheme="majorBidi"/>
      <w:b w:val="0"/>
      <w:caps w:val="0"/>
      <w:snapToGrid/>
      <w:sz w:val="32"/>
      <w:szCs w:val="32"/>
    </w:rPr>
  </w:style>
  <w:style w:type="paragraph" w:customStyle="1" w:styleId="SourceCode">
    <w:name w:val="Source Code"/>
    <w:basedOn w:val="Normal"/>
    <w:link w:val="VerbatimChar"/>
    <w:rsid w:val="0030653F"/>
    <w:pPr>
      <w:widowControl/>
      <w:shd w:val="clear" w:color="auto" w:fill="F8F8F8"/>
      <w:wordWrap w:val="0"/>
      <w:spacing w:after="120"/>
    </w:pPr>
    <w:rPr>
      <w:rFonts w:ascii="Consolas" w:hAnsi="Consolas"/>
      <w:i/>
      <w:iCs/>
      <w:color w:val="44546A" w:themeColor="text2"/>
      <w:sz w:val="22"/>
      <w:szCs w:val="18"/>
    </w:rPr>
  </w:style>
  <w:style w:type="character" w:customStyle="1" w:styleId="KeywordTok">
    <w:name w:val="KeywordTok"/>
    <w:basedOn w:val="VerbatimChar"/>
    <w:rsid w:val="0030653F"/>
    <w:rPr>
      <w:rFonts w:ascii="Consolas" w:eastAsia="Times New Roman" w:hAnsi="Consolas" w:cs="Times New Roman"/>
      <w:b/>
      <w:iCs/>
      <w:snapToGrid w:val="0"/>
      <w:color w:val="204A87"/>
      <w:kern w:val="0"/>
      <w:sz w:val="20"/>
      <w:szCs w:val="18"/>
      <w:shd w:val="clear" w:color="auto" w:fill="F8F8F8"/>
      <w14:ligatures w14:val="none"/>
    </w:rPr>
  </w:style>
  <w:style w:type="character" w:customStyle="1" w:styleId="DataTypeTok">
    <w:name w:val="DataTypeTok"/>
    <w:basedOn w:val="VerbatimChar"/>
    <w:rsid w:val="0030653F"/>
    <w:rPr>
      <w:rFonts w:ascii="Consolas" w:eastAsia="Times New Roman" w:hAnsi="Consolas" w:cs="Times New Roman"/>
      <w:iCs/>
      <w:snapToGrid w:val="0"/>
      <w:color w:val="204A87"/>
      <w:kern w:val="0"/>
      <w:sz w:val="20"/>
      <w:szCs w:val="18"/>
      <w:shd w:val="clear" w:color="auto" w:fill="F8F8F8"/>
      <w14:ligatures w14:val="none"/>
    </w:rPr>
  </w:style>
  <w:style w:type="character" w:customStyle="1" w:styleId="DecValTok">
    <w:name w:val="DecValTok"/>
    <w:basedOn w:val="VerbatimChar"/>
    <w:rsid w:val="0030653F"/>
    <w:rPr>
      <w:rFonts w:ascii="Consolas" w:eastAsia="Times New Roman" w:hAnsi="Consolas" w:cs="Times New Roman"/>
      <w:iCs/>
      <w:snapToGrid w:val="0"/>
      <w:color w:val="0000CF"/>
      <w:kern w:val="0"/>
      <w:sz w:val="20"/>
      <w:szCs w:val="18"/>
      <w:shd w:val="clear" w:color="auto" w:fill="F8F8F8"/>
      <w14:ligatures w14:val="none"/>
    </w:rPr>
  </w:style>
  <w:style w:type="character" w:customStyle="1" w:styleId="BaseNTok">
    <w:name w:val="BaseNTok"/>
    <w:basedOn w:val="VerbatimChar"/>
    <w:rsid w:val="0030653F"/>
    <w:rPr>
      <w:rFonts w:ascii="Consolas" w:eastAsia="Times New Roman" w:hAnsi="Consolas" w:cs="Times New Roman"/>
      <w:iCs/>
      <w:snapToGrid w:val="0"/>
      <w:color w:val="0000CF"/>
      <w:kern w:val="0"/>
      <w:sz w:val="20"/>
      <w:szCs w:val="18"/>
      <w:shd w:val="clear" w:color="auto" w:fill="F8F8F8"/>
      <w14:ligatures w14:val="none"/>
    </w:rPr>
  </w:style>
  <w:style w:type="character" w:customStyle="1" w:styleId="FloatTok">
    <w:name w:val="FloatTok"/>
    <w:basedOn w:val="VerbatimChar"/>
    <w:rsid w:val="0030653F"/>
    <w:rPr>
      <w:rFonts w:ascii="Consolas" w:eastAsia="Times New Roman" w:hAnsi="Consolas" w:cs="Times New Roman"/>
      <w:iCs/>
      <w:snapToGrid w:val="0"/>
      <w:color w:val="0000CF"/>
      <w:kern w:val="0"/>
      <w:sz w:val="20"/>
      <w:szCs w:val="18"/>
      <w:shd w:val="clear" w:color="auto" w:fill="F8F8F8"/>
      <w14:ligatures w14:val="none"/>
    </w:rPr>
  </w:style>
  <w:style w:type="character" w:customStyle="1" w:styleId="ConstantTok">
    <w:name w:val="ConstantTok"/>
    <w:basedOn w:val="VerbatimChar"/>
    <w:rsid w:val="0030653F"/>
    <w:rPr>
      <w:rFonts w:ascii="Consolas" w:eastAsia="Times New Roman" w:hAnsi="Consolas" w:cs="Times New Roman"/>
      <w:iCs/>
      <w:snapToGrid w:val="0"/>
      <w:color w:val="8F5902"/>
      <w:kern w:val="0"/>
      <w:sz w:val="20"/>
      <w:szCs w:val="18"/>
      <w:shd w:val="clear" w:color="auto" w:fill="F8F8F8"/>
      <w14:ligatures w14:val="none"/>
    </w:rPr>
  </w:style>
  <w:style w:type="character" w:customStyle="1" w:styleId="CharTok">
    <w:name w:val="CharTok"/>
    <w:basedOn w:val="VerbatimChar"/>
    <w:rsid w:val="0030653F"/>
    <w:rPr>
      <w:rFonts w:ascii="Consolas" w:eastAsia="Times New Roman" w:hAnsi="Consolas" w:cs="Times New Roman"/>
      <w:iCs/>
      <w:snapToGrid w:val="0"/>
      <w:color w:val="4E9A06"/>
      <w:kern w:val="0"/>
      <w:sz w:val="20"/>
      <w:szCs w:val="18"/>
      <w:shd w:val="clear" w:color="auto" w:fill="F8F8F8"/>
      <w14:ligatures w14:val="none"/>
    </w:rPr>
  </w:style>
  <w:style w:type="character" w:customStyle="1" w:styleId="SpecialCharTok">
    <w:name w:val="SpecialCharTok"/>
    <w:basedOn w:val="VerbatimChar"/>
    <w:rsid w:val="0030653F"/>
    <w:rPr>
      <w:rFonts w:ascii="Consolas" w:eastAsia="Times New Roman" w:hAnsi="Consolas" w:cs="Times New Roman"/>
      <w:b/>
      <w:iCs/>
      <w:snapToGrid w:val="0"/>
      <w:color w:val="CE5C00"/>
      <w:kern w:val="0"/>
      <w:sz w:val="20"/>
      <w:szCs w:val="18"/>
      <w:shd w:val="clear" w:color="auto" w:fill="F8F8F8"/>
      <w14:ligatures w14:val="none"/>
    </w:rPr>
  </w:style>
  <w:style w:type="character" w:customStyle="1" w:styleId="StringTok">
    <w:name w:val="StringTok"/>
    <w:basedOn w:val="VerbatimChar"/>
    <w:rsid w:val="0030653F"/>
    <w:rPr>
      <w:rFonts w:ascii="Consolas" w:eastAsia="Times New Roman" w:hAnsi="Consolas" w:cs="Times New Roman"/>
      <w:iCs/>
      <w:snapToGrid w:val="0"/>
      <w:color w:val="4E9A06"/>
      <w:kern w:val="0"/>
      <w:sz w:val="20"/>
      <w:szCs w:val="18"/>
      <w:shd w:val="clear" w:color="auto" w:fill="F8F8F8"/>
      <w14:ligatures w14:val="none"/>
    </w:rPr>
  </w:style>
  <w:style w:type="character" w:customStyle="1" w:styleId="VerbatimStringTok">
    <w:name w:val="VerbatimStringTok"/>
    <w:basedOn w:val="VerbatimChar"/>
    <w:rsid w:val="0030653F"/>
    <w:rPr>
      <w:rFonts w:ascii="Consolas" w:eastAsia="Times New Roman" w:hAnsi="Consolas" w:cs="Times New Roman"/>
      <w:iCs/>
      <w:snapToGrid w:val="0"/>
      <w:color w:val="4E9A06"/>
      <w:kern w:val="0"/>
      <w:sz w:val="20"/>
      <w:szCs w:val="18"/>
      <w:shd w:val="clear" w:color="auto" w:fill="F8F8F8"/>
      <w14:ligatures w14:val="none"/>
    </w:rPr>
  </w:style>
  <w:style w:type="character" w:customStyle="1" w:styleId="SpecialStringTok">
    <w:name w:val="SpecialStringTok"/>
    <w:basedOn w:val="VerbatimChar"/>
    <w:rsid w:val="0030653F"/>
    <w:rPr>
      <w:rFonts w:ascii="Consolas" w:eastAsia="Times New Roman" w:hAnsi="Consolas" w:cs="Times New Roman"/>
      <w:iCs/>
      <w:snapToGrid w:val="0"/>
      <w:color w:val="4E9A06"/>
      <w:kern w:val="0"/>
      <w:sz w:val="20"/>
      <w:szCs w:val="18"/>
      <w:shd w:val="clear" w:color="auto" w:fill="F8F8F8"/>
      <w14:ligatures w14:val="none"/>
    </w:rPr>
  </w:style>
  <w:style w:type="character" w:customStyle="1" w:styleId="ImportTok">
    <w:name w:val="ImportTok"/>
    <w:basedOn w:val="VerbatimChar"/>
    <w:rsid w:val="0030653F"/>
    <w:rPr>
      <w:rFonts w:ascii="Consolas" w:eastAsia="Times New Roman" w:hAnsi="Consolas" w:cs="Times New Roman"/>
      <w:iCs/>
      <w:snapToGrid w:val="0"/>
      <w:kern w:val="0"/>
      <w:sz w:val="20"/>
      <w:szCs w:val="18"/>
      <w:shd w:val="clear" w:color="auto" w:fill="F8F8F8"/>
      <w14:ligatures w14:val="none"/>
    </w:rPr>
  </w:style>
  <w:style w:type="character" w:customStyle="1" w:styleId="CommentTok">
    <w:name w:val="CommentTok"/>
    <w:basedOn w:val="VerbatimChar"/>
    <w:rsid w:val="0030653F"/>
    <w:rPr>
      <w:rFonts w:ascii="Consolas" w:eastAsia="Times New Roman" w:hAnsi="Consolas" w:cs="Times New Roman"/>
      <w:i/>
      <w:iCs/>
      <w:snapToGrid w:val="0"/>
      <w:color w:val="8F5902"/>
      <w:kern w:val="0"/>
      <w:sz w:val="20"/>
      <w:szCs w:val="18"/>
      <w:shd w:val="clear" w:color="auto" w:fill="F8F8F8"/>
      <w14:ligatures w14:val="none"/>
    </w:rPr>
  </w:style>
  <w:style w:type="character" w:customStyle="1" w:styleId="DocumentationTok">
    <w:name w:val="DocumentationTok"/>
    <w:basedOn w:val="VerbatimChar"/>
    <w:rsid w:val="0030653F"/>
    <w:rPr>
      <w:rFonts w:ascii="Consolas" w:eastAsia="Times New Roman" w:hAnsi="Consolas" w:cs="Times New Roman"/>
      <w:b/>
      <w:i/>
      <w:iCs/>
      <w:snapToGrid w:val="0"/>
      <w:color w:val="8F5902"/>
      <w:kern w:val="0"/>
      <w:sz w:val="20"/>
      <w:szCs w:val="18"/>
      <w:shd w:val="clear" w:color="auto" w:fill="F8F8F8"/>
      <w14:ligatures w14:val="none"/>
    </w:rPr>
  </w:style>
  <w:style w:type="character" w:customStyle="1" w:styleId="AnnotationTok">
    <w:name w:val="AnnotationTok"/>
    <w:basedOn w:val="VerbatimChar"/>
    <w:rsid w:val="0030653F"/>
    <w:rPr>
      <w:rFonts w:ascii="Consolas" w:eastAsia="Times New Roman" w:hAnsi="Consolas" w:cs="Times New Roman"/>
      <w:b/>
      <w:i/>
      <w:iCs/>
      <w:snapToGrid w:val="0"/>
      <w:color w:val="8F5902"/>
      <w:kern w:val="0"/>
      <w:sz w:val="20"/>
      <w:szCs w:val="18"/>
      <w:shd w:val="clear" w:color="auto" w:fill="F8F8F8"/>
      <w14:ligatures w14:val="none"/>
    </w:rPr>
  </w:style>
  <w:style w:type="character" w:customStyle="1" w:styleId="CommentVarTok">
    <w:name w:val="CommentVarTok"/>
    <w:basedOn w:val="VerbatimChar"/>
    <w:rsid w:val="0030653F"/>
    <w:rPr>
      <w:rFonts w:ascii="Consolas" w:eastAsia="Times New Roman" w:hAnsi="Consolas" w:cs="Times New Roman"/>
      <w:b/>
      <w:i/>
      <w:iCs/>
      <w:snapToGrid w:val="0"/>
      <w:color w:val="8F5902"/>
      <w:kern w:val="0"/>
      <w:sz w:val="20"/>
      <w:szCs w:val="18"/>
      <w:shd w:val="clear" w:color="auto" w:fill="F8F8F8"/>
      <w14:ligatures w14:val="none"/>
    </w:rPr>
  </w:style>
  <w:style w:type="character" w:customStyle="1" w:styleId="OtherTok">
    <w:name w:val="OtherTok"/>
    <w:basedOn w:val="VerbatimChar"/>
    <w:rsid w:val="0030653F"/>
    <w:rPr>
      <w:rFonts w:ascii="Consolas" w:eastAsia="Times New Roman" w:hAnsi="Consolas" w:cs="Times New Roman"/>
      <w:iCs/>
      <w:snapToGrid w:val="0"/>
      <w:color w:val="8F5902"/>
      <w:kern w:val="0"/>
      <w:sz w:val="20"/>
      <w:szCs w:val="18"/>
      <w:shd w:val="clear" w:color="auto" w:fill="F8F8F8"/>
      <w14:ligatures w14:val="none"/>
    </w:rPr>
  </w:style>
  <w:style w:type="character" w:customStyle="1" w:styleId="FunctionTok">
    <w:name w:val="FunctionTok"/>
    <w:basedOn w:val="VerbatimChar"/>
    <w:rsid w:val="0030653F"/>
    <w:rPr>
      <w:rFonts w:ascii="Consolas" w:eastAsia="Times New Roman" w:hAnsi="Consolas" w:cs="Times New Roman"/>
      <w:b/>
      <w:iCs/>
      <w:snapToGrid w:val="0"/>
      <w:color w:val="204A87"/>
      <w:kern w:val="0"/>
      <w:sz w:val="20"/>
      <w:szCs w:val="18"/>
      <w:shd w:val="clear" w:color="auto" w:fill="F8F8F8"/>
      <w14:ligatures w14:val="none"/>
    </w:rPr>
  </w:style>
  <w:style w:type="character" w:customStyle="1" w:styleId="VariableTok">
    <w:name w:val="VariableTok"/>
    <w:basedOn w:val="VerbatimChar"/>
    <w:rsid w:val="0030653F"/>
    <w:rPr>
      <w:rFonts w:ascii="Consolas" w:eastAsia="Times New Roman" w:hAnsi="Consolas" w:cs="Times New Roman"/>
      <w:iCs/>
      <w:snapToGrid w:val="0"/>
      <w:color w:val="000000"/>
      <w:kern w:val="0"/>
      <w:sz w:val="20"/>
      <w:szCs w:val="18"/>
      <w:shd w:val="clear" w:color="auto" w:fill="F8F8F8"/>
      <w14:ligatures w14:val="none"/>
    </w:rPr>
  </w:style>
  <w:style w:type="character" w:customStyle="1" w:styleId="ControlFlowTok">
    <w:name w:val="ControlFlowTok"/>
    <w:basedOn w:val="VerbatimChar"/>
    <w:rsid w:val="0030653F"/>
    <w:rPr>
      <w:rFonts w:ascii="Consolas" w:eastAsia="Times New Roman" w:hAnsi="Consolas" w:cs="Times New Roman"/>
      <w:b/>
      <w:iCs/>
      <w:snapToGrid w:val="0"/>
      <w:color w:val="204A87"/>
      <w:kern w:val="0"/>
      <w:sz w:val="20"/>
      <w:szCs w:val="18"/>
      <w:shd w:val="clear" w:color="auto" w:fill="F8F8F8"/>
      <w14:ligatures w14:val="none"/>
    </w:rPr>
  </w:style>
  <w:style w:type="character" w:customStyle="1" w:styleId="OperatorTok">
    <w:name w:val="OperatorTok"/>
    <w:basedOn w:val="VerbatimChar"/>
    <w:rsid w:val="0030653F"/>
    <w:rPr>
      <w:rFonts w:ascii="Consolas" w:eastAsia="Times New Roman" w:hAnsi="Consolas" w:cs="Times New Roman"/>
      <w:b/>
      <w:iCs/>
      <w:snapToGrid w:val="0"/>
      <w:color w:val="CE5C00"/>
      <w:kern w:val="0"/>
      <w:sz w:val="20"/>
      <w:szCs w:val="18"/>
      <w:shd w:val="clear" w:color="auto" w:fill="F8F8F8"/>
      <w14:ligatures w14:val="none"/>
    </w:rPr>
  </w:style>
  <w:style w:type="character" w:customStyle="1" w:styleId="BuiltInTok">
    <w:name w:val="BuiltInTok"/>
    <w:basedOn w:val="VerbatimChar"/>
    <w:rsid w:val="0030653F"/>
    <w:rPr>
      <w:rFonts w:ascii="Consolas" w:eastAsia="Times New Roman" w:hAnsi="Consolas" w:cs="Times New Roman"/>
      <w:iCs/>
      <w:snapToGrid w:val="0"/>
      <w:kern w:val="0"/>
      <w:sz w:val="20"/>
      <w:szCs w:val="18"/>
      <w:shd w:val="clear" w:color="auto" w:fill="F8F8F8"/>
      <w14:ligatures w14:val="none"/>
    </w:rPr>
  </w:style>
  <w:style w:type="character" w:customStyle="1" w:styleId="ExtensionTok">
    <w:name w:val="ExtensionTok"/>
    <w:basedOn w:val="VerbatimChar"/>
    <w:rsid w:val="0030653F"/>
    <w:rPr>
      <w:rFonts w:ascii="Consolas" w:eastAsia="Times New Roman" w:hAnsi="Consolas" w:cs="Times New Roman"/>
      <w:iCs/>
      <w:snapToGrid w:val="0"/>
      <w:kern w:val="0"/>
      <w:sz w:val="20"/>
      <w:szCs w:val="18"/>
      <w:shd w:val="clear" w:color="auto" w:fill="F8F8F8"/>
      <w14:ligatures w14:val="none"/>
    </w:rPr>
  </w:style>
  <w:style w:type="character" w:customStyle="1" w:styleId="PreprocessorTok">
    <w:name w:val="PreprocessorTok"/>
    <w:basedOn w:val="VerbatimChar"/>
    <w:rsid w:val="0030653F"/>
    <w:rPr>
      <w:rFonts w:ascii="Consolas" w:eastAsia="Times New Roman" w:hAnsi="Consolas" w:cs="Times New Roman"/>
      <w:i/>
      <w:iCs/>
      <w:snapToGrid w:val="0"/>
      <w:color w:val="8F5902"/>
      <w:kern w:val="0"/>
      <w:sz w:val="20"/>
      <w:szCs w:val="18"/>
      <w:shd w:val="clear" w:color="auto" w:fill="F8F8F8"/>
      <w14:ligatures w14:val="none"/>
    </w:rPr>
  </w:style>
  <w:style w:type="character" w:customStyle="1" w:styleId="AttributeTok">
    <w:name w:val="AttributeTok"/>
    <w:basedOn w:val="VerbatimChar"/>
    <w:rsid w:val="0030653F"/>
    <w:rPr>
      <w:rFonts w:ascii="Consolas" w:eastAsia="Times New Roman" w:hAnsi="Consolas" w:cs="Times New Roman"/>
      <w:iCs/>
      <w:snapToGrid w:val="0"/>
      <w:color w:val="204A87"/>
      <w:kern w:val="0"/>
      <w:sz w:val="20"/>
      <w:szCs w:val="18"/>
      <w:shd w:val="clear" w:color="auto" w:fill="F8F8F8"/>
      <w14:ligatures w14:val="none"/>
    </w:rPr>
  </w:style>
  <w:style w:type="character" w:customStyle="1" w:styleId="RegionMarkerTok">
    <w:name w:val="RegionMarkerTok"/>
    <w:basedOn w:val="VerbatimChar"/>
    <w:rsid w:val="0030653F"/>
    <w:rPr>
      <w:rFonts w:ascii="Consolas" w:eastAsia="Times New Roman" w:hAnsi="Consolas" w:cs="Times New Roman"/>
      <w:iCs/>
      <w:snapToGrid w:val="0"/>
      <w:kern w:val="0"/>
      <w:sz w:val="20"/>
      <w:szCs w:val="18"/>
      <w:shd w:val="clear" w:color="auto" w:fill="F8F8F8"/>
      <w14:ligatures w14:val="none"/>
    </w:rPr>
  </w:style>
  <w:style w:type="character" w:customStyle="1" w:styleId="InformationTok">
    <w:name w:val="InformationTok"/>
    <w:basedOn w:val="VerbatimChar"/>
    <w:rsid w:val="0030653F"/>
    <w:rPr>
      <w:rFonts w:ascii="Consolas" w:eastAsia="Times New Roman" w:hAnsi="Consolas" w:cs="Times New Roman"/>
      <w:b/>
      <w:i/>
      <w:iCs/>
      <w:snapToGrid w:val="0"/>
      <w:color w:val="8F5902"/>
      <w:kern w:val="0"/>
      <w:sz w:val="20"/>
      <w:szCs w:val="18"/>
      <w:shd w:val="clear" w:color="auto" w:fill="F8F8F8"/>
      <w14:ligatures w14:val="none"/>
    </w:rPr>
  </w:style>
  <w:style w:type="character" w:customStyle="1" w:styleId="WarningTok">
    <w:name w:val="WarningTok"/>
    <w:basedOn w:val="VerbatimChar"/>
    <w:rsid w:val="0030653F"/>
    <w:rPr>
      <w:rFonts w:ascii="Consolas" w:eastAsia="Times New Roman" w:hAnsi="Consolas" w:cs="Times New Roman"/>
      <w:b/>
      <w:i/>
      <w:iCs/>
      <w:snapToGrid w:val="0"/>
      <w:color w:val="8F5902"/>
      <w:kern w:val="0"/>
      <w:sz w:val="20"/>
      <w:szCs w:val="18"/>
      <w:shd w:val="clear" w:color="auto" w:fill="F8F8F8"/>
      <w14:ligatures w14:val="none"/>
    </w:rPr>
  </w:style>
  <w:style w:type="character" w:customStyle="1" w:styleId="AlertTok">
    <w:name w:val="AlertTok"/>
    <w:basedOn w:val="VerbatimChar"/>
    <w:rsid w:val="0030653F"/>
    <w:rPr>
      <w:rFonts w:ascii="Consolas" w:eastAsia="Times New Roman" w:hAnsi="Consolas" w:cs="Times New Roman"/>
      <w:iCs/>
      <w:snapToGrid w:val="0"/>
      <w:color w:val="EF2929"/>
      <w:kern w:val="0"/>
      <w:sz w:val="20"/>
      <w:szCs w:val="18"/>
      <w:shd w:val="clear" w:color="auto" w:fill="F8F8F8"/>
      <w14:ligatures w14:val="none"/>
    </w:rPr>
  </w:style>
  <w:style w:type="character" w:customStyle="1" w:styleId="ErrorTok">
    <w:name w:val="ErrorTok"/>
    <w:basedOn w:val="VerbatimChar"/>
    <w:rsid w:val="0030653F"/>
    <w:rPr>
      <w:rFonts w:ascii="Consolas" w:eastAsia="Times New Roman" w:hAnsi="Consolas" w:cs="Times New Roman"/>
      <w:b/>
      <w:iCs/>
      <w:snapToGrid w:val="0"/>
      <w:color w:val="A40000"/>
      <w:kern w:val="0"/>
      <w:sz w:val="20"/>
      <w:szCs w:val="18"/>
      <w:shd w:val="clear" w:color="auto" w:fill="F8F8F8"/>
      <w14:ligatures w14:val="none"/>
    </w:rPr>
  </w:style>
  <w:style w:type="character" w:customStyle="1" w:styleId="NormalTok">
    <w:name w:val="NormalTok"/>
    <w:basedOn w:val="VerbatimChar"/>
    <w:rsid w:val="0030653F"/>
    <w:rPr>
      <w:rFonts w:ascii="Consolas" w:eastAsia="Times New Roman" w:hAnsi="Consolas" w:cs="Times New Roman"/>
      <w:iCs/>
      <w:snapToGrid w:val="0"/>
      <w:kern w:val="0"/>
      <w:sz w:val="20"/>
      <w:szCs w:val="18"/>
      <w:shd w:val="clear" w:color="auto" w:fill="F8F8F8"/>
      <w14:ligatures w14:val="none"/>
    </w:rPr>
  </w:style>
  <w:style w:type="paragraph" w:styleId="TableofFigures">
    <w:name w:val="table of figures"/>
    <w:basedOn w:val="Normal"/>
    <w:next w:val="Normal"/>
    <w:uiPriority w:val="99"/>
    <w:unhideWhenUsed/>
    <w:rsid w:val="00EE00D0"/>
  </w:style>
  <w:style w:type="paragraph" w:customStyle="1" w:styleId="paragraph">
    <w:name w:val="paragraph"/>
    <w:basedOn w:val="Normal"/>
    <w:rsid w:val="00371FD2"/>
    <w:pPr>
      <w:widowControl/>
      <w:spacing w:before="100" w:beforeAutospacing="1" w:after="100" w:afterAutospacing="1"/>
    </w:pPr>
    <w:rPr>
      <w:rFonts w:ascii="Times New Roman" w:hAnsi="Times New Roman"/>
      <w:snapToGrid/>
      <w:szCs w:val="24"/>
    </w:rPr>
  </w:style>
  <w:style w:type="character" w:customStyle="1" w:styleId="normaltextrun">
    <w:name w:val="normaltextrun"/>
    <w:basedOn w:val="DefaultParagraphFont"/>
    <w:rsid w:val="00C430B8"/>
    <w:rPr>
      <w:rFonts w:ascii="Calibri" w:hAnsi="Calibri"/>
      <w:sz w:val="24"/>
    </w:rPr>
  </w:style>
  <w:style w:type="character" w:customStyle="1" w:styleId="eop">
    <w:name w:val="eop"/>
    <w:basedOn w:val="DefaultParagraphFont"/>
    <w:rsid w:val="00371FD2"/>
  </w:style>
  <w:style w:type="table" w:styleId="Table3Deffects3">
    <w:name w:val="Table 3D effects 3"/>
    <w:basedOn w:val="TableNormal"/>
    <w:rsid w:val="00D47AF1"/>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ui-provider">
    <w:name w:val="ui-provider"/>
    <w:basedOn w:val="DefaultParagraphFont"/>
    <w:rsid w:val="00D47AF1"/>
  </w:style>
  <w:style w:type="character" w:customStyle="1" w:styleId="contentpasted0">
    <w:name w:val="contentpasted0"/>
    <w:basedOn w:val="DefaultParagraphFont"/>
    <w:rsid w:val="00334520"/>
  </w:style>
  <w:style w:type="paragraph" w:styleId="BodyTextIndent2">
    <w:name w:val="Body Text Indent 2"/>
    <w:basedOn w:val="Normal"/>
    <w:link w:val="BodyTextIndent2Char"/>
    <w:unhideWhenUsed/>
    <w:rsid w:val="004F3513"/>
    <w:pPr>
      <w:spacing w:after="120" w:line="480" w:lineRule="auto"/>
      <w:ind w:left="360"/>
    </w:pPr>
  </w:style>
  <w:style w:type="character" w:customStyle="1" w:styleId="BodyTextIndent2Char">
    <w:name w:val="Body Text Indent 2 Char"/>
    <w:basedOn w:val="DefaultParagraphFont"/>
    <w:link w:val="BodyTextIndent2"/>
    <w:uiPriority w:val="99"/>
    <w:semiHidden/>
    <w:rsid w:val="004F3513"/>
    <w:rPr>
      <w:rFonts w:eastAsia="Times New Roman" w:cs="Times New Roman"/>
      <w:snapToGrid w:val="0"/>
      <w:kern w:val="0"/>
      <w:sz w:val="24"/>
      <w:szCs w:val="20"/>
      <w14:ligatures w14:val="none"/>
    </w:rPr>
  </w:style>
  <w:style w:type="character" w:styleId="Strong">
    <w:name w:val="Strong"/>
    <w:basedOn w:val="DefaultParagraphFont"/>
    <w:uiPriority w:val="22"/>
    <w:qFormat/>
    <w:rsid w:val="00714613"/>
    <w:rPr>
      <w:b/>
      <w:bCs/>
    </w:rPr>
  </w:style>
  <w:style w:type="character" w:styleId="Emphasis">
    <w:name w:val="Emphasis"/>
    <w:basedOn w:val="DefaultParagraphFont"/>
    <w:qFormat/>
    <w:rsid w:val="00714613"/>
    <w:rPr>
      <w:i/>
      <w:iCs/>
    </w:rPr>
  </w:style>
  <w:style w:type="table" w:customStyle="1" w:styleId="PlainTable21">
    <w:name w:val="Plain Table 21"/>
    <w:basedOn w:val="TableNormal"/>
    <w:next w:val="PlainTable2"/>
    <w:uiPriority w:val="42"/>
    <w:rsid w:val="001B0E50"/>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PlainTable2">
    <w:name w:val="Plain Table 2"/>
    <w:basedOn w:val="TableNormal"/>
    <w:uiPriority w:val="42"/>
    <w:rsid w:val="001B0E5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2">
    <w:name w:val="List Table 2"/>
    <w:basedOn w:val="TableNormal"/>
    <w:uiPriority w:val="47"/>
    <w:rsid w:val="001B0E50"/>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BookTitle">
    <w:name w:val="Book Title"/>
    <w:basedOn w:val="DefaultParagraphFont"/>
    <w:uiPriority w:val="33"/>
    <w:qFormat/>
    <w:rsid w:val="0046410C"/>
    <w:rPr>
      <w:b/>
      <w:bCs/>
      <w:i/>
      <w:iCs/>
      <w:spacing w:val="5"/>
    </w:rPr>
  </w:style>
  <w:style w:type="table" w:customStyle="1" w:styleId="PlainTable52">
    <w:name w:val="Plain Table 52"/>
    <w:basedOn w:val="TableNormal"/>
    <w:uiPriority w:val="45"/>
    <w:rsid w:val="002E2AC5"/>
    <w:pPr>
      <w:spacing w:after="0" w:line="240" w:lineRule="auto"/>
    </w:pPr>
    <w:rPr>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DocumentMap">
    <w:name w:val="Document Map"/>
    <w:basedOn w:val="Normal"/>
    <w:link w:val="DocumentMapChar"/>
    <w:semiHidden/>
    <w:rsid w:val="00546B19"/>
    <w:pPr>
      <w:widowControl/>
      <w:shd w:val="clear" w:color="auto" w:fill="000080"/>
    </w:pPr>
    <w:rPr>
      <w:rFonts w:ascii="Tahoma" w:hAnsi="Tahoma"/>
      <w:snapToGrid/>
      <w:sz w:val="20"/>
    </w:rPr>
  </w:style>
  <w:style w:type="character" w:customStyle="1" w:styleId="DocumentMapChar">
    <w:name w:val="Document Map Char"/>
    <w:basedOn w:val="DefaultParagraphFont"/>
    <w:link w:val="DocumentMap"/>
    <w:semiHidden/>
    <w:rsid w:val="00546B19"/>
    <w:rPr>
      <w:rFonts w:ascii="Tahoma" w:eastAsia="Times New Roman" w:hAnsi="Tahoma" w:cs="Times New Roman"/>
      <w:kern w:val="0"/>
      <w:sz w:val="20"/>
      <w:szCs w:val="20"/>
      <w:shd w:val="clear" w:color="auto" w:fill="000080"/>
      <w14:ligatures w14:val="none"/>
    </w:rPr>
  </w:style>
  <w:style w:type="paragraph" w:customStyle="1" w:styleId="Default">
    <w:name w:val="Default"/>
    <w:rsid w:val="00546B19"/>
    <w:pPr>
      <w:autoSpaceDE w:val="0"/>
      <w:autoSpaceDN w:val="0"/>
      <w:adjustRightInd w:val="0"/>
      <w:spacing w:after="0" w:line="240" w:lineRule="auto"/>
    </w:pPr>
    <w:rPr>
      <w:rFonts w:ascii="Calibri" w:hAnsi="Calibri" w:cs="Calibri"/>
      <w:color w:val="000000"/>
      <w:kern w:val="0"/>
      <w:sz w:val="24"/>
      <w:szCs w:val="24"/>
      <w14:ligatures w14:val="none"/>
    </w:rPr>
  </w:style>
  <w:style w:type="character" w:styleId="EndnoteReference">
    <w:name w:val="endnote reference"/>
    <w:basedOn w:val="DefaultParagraphFont"/>
    <w:uiPriority w:val="99"/>
    <w:rsid w:val="00546B19"/>
    <w:rPr>
      <w:vertAlign w:val="superscript"/>
    </w:rPr>
  </w:style>
  <w:style w:type="paragraph" w:styleId="List">
    <w:name w:val="List"/>
    <w:basedOn w:val="Normal"/>
    <w:rsid w:val="00000B89"/>
    <w:pPr>
      <w:ind w:left="360" w:hanging="360"/>
    </w:pPr>
    <w:rPr>
      <w:rFonts w:ascii="Courier" w:hAnsi="Courier"/>
    </w:rPr>
  </w:style>
  <w:style w:type="paragraph" w:styleId="ListBullet2">
    <w:name w:val="List Bullet 2"/>
    <w:basedOn w:val="Normal"/>
    <w:autoRedefine/>
    <w:rsid w:val="00000B89"/>
    <w:pPr>
      <w:widowControl/>
      <w:numPr>
        <w:numId w:val="35"/>
      </w:numPr>
    </w:pPr>
    <w:rPr>
      <w:rFonts w:ascii="Times New Roman" w:hAnsi="Times New Roman"/>
      <w:snapToGrid/>
      <w:sz w:val="20"/>
    </w:rPr>
  </w:style>
  <w:style w:type="paragraph" w:customStyle="1" w:styleId="Style">
    <w:name w:val="Style"/>
    <w:basedOn w:val="Normal"/>
    <w:rsid w:val="00000B89"/>
    <w:pPr>
      <w:ind w:left="720" w:hanging="720"/>
    </w:pPr>
    <w:rPr>
      <w:rFonts w:ascii="Times New Roman" w:hAnsi="Times New Roman"/>
    </w:rPr>
  </w:style>
  <w:style w:type="character" w:customStyle="1" w:styleId="SECTind">
    <w:name w:val="SECTind"/>
    <w:rsid w:val="00000B89"/>
    <w:rPr>
      <w:bdr w:val="none" w:sz="0" w:space="0" w:color="auto"/>
    </w:rPr>
  </w:style>
  <w:style w:type="paragraph" w:customStyle="1" w:styleId="p2">
    <w:name w:val="p2"/>
    <w:basedOn w:val="Normal"/>
    <w:rsid w:val="00000B89"/>
    <w:pPr>
      <w:widowControl/>
      <w:spacing w:before="100" w:after="100"/>
    </w:pPr>
    <w:rPr>
      <w:rFonts w:ascii="Times New Roman" w:hAnsi="Times New Roman"/>
      <w:snapToGrid/>
    </w:rPr>
  </w:style>
  <w:style w:type="paragraph" w:customStyle="1" w:styleId="xl31">
    <w:name w:val="xl31"/>
    <w:basedOn w:val="Normal"/>
    <w:rsid w:val="00000B89"/>
    <w:pPr>
      <w:widowControl/>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napToGrid/>
      <w:szCs w:val="24"/>
    </w:rPr>
  </w:style>
  <w:style w:type="character" w:customStyle="1" w:styleId="Level1Char">
    <w:name w:val="Level 1 Char"/>
    <w:basedOn w:val="DefaultParagraphFont"/>
    <w:link w:val="Level1"/>
    <w:rsid w:val="00000B89"/>
    <w:rPr>
      <w:rFonts w:ascii="Times New Roman" w:eastAsia="Times New Roman" w:hAnsi="Times New Roman" w:cs="Times New Roman"/>
      <w:kern w:val="0"/>
      <w:sz w:val="24"/>
      <w:szCs w:val="20"/>
      <w14:ligatures w14:val="none"/>
    </w:rPr>
  </w:style>
  <w:style w:type="character" w:styleId="HTMLCite">
    <w:name w:val="HTML Cite"/>
    <w:basedOn w:val="DefaultParagraphFont"/>
    <w:rsid w:val="00000B89"/>
    <w:rPr>
      <w:i w:val="0"/>
      <w:iCs w:val="0"/>
      <w:color w:val="008000"/>
    </w:rPr>
  </w:style>
  <w:style w:type="character" w:styleId="LineNumber">
    <w:name w:val="line number"/>
    <w:basedOn w:val="DefaultParagraphFont"/>
    <w:uiPriority w:val="99"/>
    <w:unhideWhenUsed/>
    <w:rsid w:val="00445F0C"/>
  </w:style>
  <w:style w:type="character" w:customStyle="1" w:styleId="advancedproofingissue">
    <w:name w:val="advancedproofingissue"/>
    <w:basedOn w:val="DefaultParagraphFont"/>
    <w:rsid w:val="00C509EC"/>
  </w:style>
  <w:style w:type="paragraph" w:styleId="TOC2">
    <w:name w:val="toc 2"/>
    <w:basedOn w:val="Normal"/>
    <w:next w:val="Normal"/>
    <w:autoRedefine/>
    <w:uiPriority w:val="39"/>
    <w:unhideWhenUsed/>
    <w:rsid w:val="00F0564B"/>
    <w:pPr>
      <w:tabs>
        <w:tab w:val="left" w:pos="480"/>
        <w:tab w:val="right" w:leader="dot" w:pos="9350"/>
      </w:tabs>
    </w:pPr>
    <w:rPr>
      <w:rFonts w:cstheme="minorHAnsi"/>
      <w:b/>
      <w:bCs/>
      <w:sz w:val="20"/>
    </w:rPr>
  </w:style>
  <w:style w:type="paragraph" w:styleId="TOC1">
    <w:name w:val="toc 1"/>
    <w:basedOn w:val="Normal"/>
    <w:next w:val="Normal"/>
    <w:autoRedefine/>
    <w:uiPriority w:val="39"/>
    <w:unhideWhenUsed/>
    <w:rsid w:val="0011379A"/>
    <w:pPr>
      <w:tabs>
        <w:tab w:val="right" w:leader="dot" w:pos="9350"/>
      </w:tabs>
      <w:spacing w:after="20"/>
    </w:pPr>
    <w:rPr>
      <w:rFonts w:asciiTheme="majorHAnsi" w:hAnsiTheme="majorHAnsi" w:cstheme="majorHAnsi"/>
      <w:b/>
      <w:bCs/>
      <w:caps/>
      <w:noProof/>
      <w:szCs w:val="24"/>
      <w:shd w:val="clear" w:color="auto" w:fill="FFFFFF"/>
    </w:rPr>
  </w:style>
  <w:style w:type="paragraph" w:styleId="TOC3">
    <w:name w:val="toc 3"/>
    <w:basedOn w:val="Normal"/>
    <w:next w:val="Normal"/>
    <w:autoRedefine/>
    <w:uiPriority w:val="39"/>
    <w:unhideWhenUsed/>
    <w:rsid w:val="0074090A"/>
    <w:pPr>
      <w:ind w:left="240"/>
    </w:pPr>
    <w:rPr>
      <w:rFonts w:cstheme="minorHAnsi"/>
      <w:sz w:val="20"/>
    </w:rPr>
  </w:style>
  <w:style w:type="paragraph" w:styleId="TOC4">
    <w:name w:val="toc 4"/>
    <w:basedOn w:val="Normal"/>
    <w:next w:val="Normal"/>
    <w:autoRedefine/>
    <w:uiPriority w:val="39"/>
    <w:unhideWhenUsed/>
    <w:rsid w:val="0074090A"/>
    <w:pPr>
      <w:ind w:left="480"/>
    </w:pPr>
    <w:rPr>
      <w:rFonts w:cstheme="minorHAnsi"/>
      <w:sz w:val="20"/>
    </w:rPr>
  </w:style>
  <w:style w:type="paragraph" w:styleId="TOC5">
    <w:name w:val="toc 5"/>
    <w:basedOn w:val="Normal"/>
    <w:next w:val="Normal"/>
    <w:autoRedefine/>
    <w:uiPriority w:val="39"/>
    <w:unhideWhenUsed/>
    <w:rsid w:val="0074090A"/>
    <w:pPr>
      <w:ind w:left="720"/>
    </w:pPr>
    <w:rPr>
      <w:rFonts w:cstheme="minorHAnsi"/>
      <w:sz w:val="20"/>
    </w:rPr>
  </w:style>
  <w:style w:type="paragraph" w:styleId="TOC6">
    <w:name w:val="toc 6"/>
    <w:basedOn w:val="Normal"/>
    <w:next w:val="Normal"/>
    <w:autoRedefine/>
    <w:uiPriority w:val="39"/>
    <w:unhideWhenUsed/>
    <w:rsid w:val="0074090A"/>
    <w:pPr>
      <w:ind w:left="960"/>
    </w:pPr>
    <w:rPr>
      <w:rFonts w:cstheme="minorHAnsi"/>
      <w:sz w:val="20"/>
    </w:rPr>
  </w:style>
  <w:style w:type="paragraph" w:styleId="TOC7">
    <w:name w:val="toc 7"/>
    <w:basedOn w:val="Normal"/>
    <w:next w:val="Normal"/>
    <w:autoRedefine/>
    <w:uiPriority w:val="39"/>
    <w:unhideWhenUsed/>
    <w:rsid w:val="0074090A"/>
    <w:pPr>
      <w:ind w:left="1200"/>
    </w:pPr>
    <w:rPr>
      <w:rFonts w:cstheme="minorHAnsi"/>
      <w:sz w:val="20"/>
    </w:rPr>
  </w:style>
  <w:style w:type="paragraph" w:styleId="TOC8">
    <w:name w:val="toc 8"/>
    <w:basedOn w:val="Normal"/>
    <w:next w:val="Normal"/>
    <w:autoRedefine/>
    <w:uiPriority w:val="39"/>
    <w:unhideWhenUsed/>
    <w:rsid w:val="0074090A"/>
    <w:pPr>
      <w:ind w:left="1440"/>
    </w:pPr>
    <w:rPr>
      <w:rFonts w:cstheme="minorHAnsi"/>
      <w:sz w:val="20"/>
    </w:rPr>
  </w:style>
  <w:style w:type="paragraph" w:styleId="TOC9">
    <w:name w:val="toc 9"/>
    <w:basedOn w:val="Normal"/>
    <w:next w:val="Normal"/>
    <w:autoRedefine/>
    <w:uiPriority w:val="39"/>
    <w:unhideWhenUsed/>
    <w:rsid w:val="0074090A"/>
    <w:pPr>
      <w:ind w:left="1680"/>
    </w:pPr>
    <w:rPr>
      <w:rFonts w:cstheme="minorHAnsi"/>
      <w:sz w:val="20"/>
    </w:rPr>
  </w:style>
  <w:style w:type="character" w:customStyle="1" w:styleId="cf01">
    <w:name w:val="cf01"/>
    <w:basedOn w:val="DefaultParagraphFont"/>
    <w:rsid w:val="000A6057"/>
    <w:rPr>
      <w:rFonts w:ascii="Segoe UI" w:hAnsi="Segoe UI" w:cs="Segoe UI" w:hint="default"/>
      <w:sz w:val="18"/>
      <w:szCs w:val="18"/>
    </w:rPr>
  </w:style>
  <w:style w:type="table" w:customStyle="1" w:styleId="LightShading1">
    <w:name w:val="Light Shading1"/>
    <w:basedOn w:val="TableNormal"/>
    <w:next w:val="LightShading"/>
    <w:uiPriority w:val="60"/>
    <w:rsid w:val="00A11D2E"/>
    <w:pPr>
      <w:spacing w:after="0" w:line="240" w:lineRule="auto"/>
    </w:pPr>
    <w:rPr>
      <w:rFonts w:ascii="Calibri" w:eastAsia="Calibri" w:hAnsi="Calibri" w:cs="Times New Roman"/>
      <w:color w:val="000000"/>
      <w:kern w:val="0"/>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
    <w:name w:val="Light Shading"/>
    <w:basedOn w:val="TableNormal"/>
    <w:uiPriority w:val="60"/>
    <w:semiHidden/>
    <w:unhideWhenUsed/>
    <w:rsid w:val="00A11D2E"/>
    <w:pPr>
      <w:spacing w:after="0" w:line="240" w:lineRule="auto"/>
    </w:pPr>
    <w:rPr>
      <w:rFonts w:ascii="Times New Roman" w:eastAsia="Times New Roman" w:hAnsi="Times New Roman" w:cs="Times New Roman"/>
      <w:color w:val="000000" w:themeColor="text1" w:themeShade="BF"/>
      <w:kern w:val="0"/>
      <w:sz w:val="20"/>
      <w:szCs w:val="20"/>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1">
    <w:name w:val="Table Grid1"/>
    <w:basedOn w:val="TableNormal"/>
    <w:next w:val="TableGrid"/>
    <w:uiPriority w:val="39"/>
    <w:rsid w:val="00D24C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1">
    <w:name w:val="contentpasted1"/>
    <w:basedOn w:val="DefaultParagraphFont"/>
    <w:rsid w:val="00CD6E1B"/>
  </w:style>
  <w:style w:type="paragraph" w:customStyle="1" w:styleId="elementtoproof">
    <w:name w:val="elementtoproof"/>
    <w:basedOn w:val="Normal"/>
    <w:rsid w:val="00A55FEE"/>
    <w:pPr>
      <w:widowControl/>
    </w:pPr>
    <w:rPr>
      <w:rFonts w:ascii="Calibri" w:eastAsiaTheme="minorHAnsi" w:hAnsi="Calibri" w:cs="Calibri"/>
      <w:snapToGrid/>
      <w:sz w:val="22"/>
      <w:szCs w:val="22"/>
    </w:rPr>
  </w:style>
  <w:style w:type="character" w:styleId="Mention">
    <w:name w:val="Mention"/>
    <w:basedOn w:val="DefaultParagraphFont"/>
    <w:uiPriority w:val="99"/>
    <w:unhideWhenUsed/>
    <w:rsid w:val="00092293"/>
    <w:rPr>
      <w:color w:val="2B579A"/>
      <w:shd w:val="clear" w:color="auto" w:fill="E1DFDD"/>
    </w:rPr>
  </w:style>
  <w:style w:type="character" w:customStyle="1" w:styleId="wacimagecontainer">
    <w:name w:val="wacimagecontainer"/>
    <w:basedOn w:val="DefaultParagraphFont"/>
    <w:rsid w:val="00CB44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2757790">
      <w:bodyDiv w:val="1"/>
      <w:marLeft w:val="0"/>
      <w:marRight w:val="0"/>
      <w:marTop w:val="0"/>
      <w:marBottom w:val="0"/>
      <w:divBdr>
        <w:top w:val="none" w:sz="0" w:space="0" w:color="auto"/>
        <w:left w:val="none" w:sz="0" w:space="0" w:color="auto"/>
        <w:bottom w:val="none" w:sz="0" w:space="0" w:color="auto"/>
        <w:right w:val="none" w:sz="0" w:space="0" w:color="auto"/>
      </w:divBdr>
      <w:divsChild>
        <w:div w:id="30806889">
          <w:marLeft w:val="0"/>
          <w:marRight w:val="0"/>
          <w:marTop w:val="0"/>
          <w:marBottom w:val="0"/>
          <w:divBdr>
            <w:top w:val="none" w:sz="0" w:space="0" w:color="auto"/>
            <w:left w:val="none" w:sz="0" w:space="0" w:color="auto"/>
            <w:bottom w:val="none" w:sz="0" w:space="0" w:color="auto"/>
            <w:right w:val="none" w:sz="0" w:space="0" w:color="auto"/>
          </w:divBdr>
        </w:div>
        <w:div w:id="92559001">
          <w:marLeft w:val="0"/>
          <w:marRight w:val="0"/>
          <w:marTop w:val="0"/>
          <w:marBottom w:val="0"/>
          <w:divBdr>
            <w:top w:val="none" w:sz="0" w:space="0" w:color="auto"/>
            <w:left w:val="none" w:sz="0" w:space="0" w:color="auto"/>
            <w:bottom w:val="none" w:sz="0" w:space="0" w:color="auto"/>
            <w:right w:val="none" w:sz="0" w:space="0" w:color="auto"/>
          </w:divBdr>
        </w:div>
        <w:div w:id="115568367">
          <w:marLeft w:val="0"/>
          <w:marRight w:val="0"/>
          <w:marTop w:val="0"/>
          <w:marBottom w:val="0"/>
          <w:divBdr>
            <w:top w:val="none" w:sz="0" w:space="0" w:color="auto"/>
            <w:left w:val="none" w:sz="0" w:space="0" w:color="auto"/>
            <w:bottom w:val="none" w:sz="0" w:space="0" w:color="auto"/>
            <w:right w:val="none" w:sz="0" w:space="0" w:color="auto"/>
          </w:divBdr>
        </w:div>
        <w:div w:id="121660376">
          <w:marLeft w:val="0"/>
          <w:marRight w:val="0"/>
          <w:marTop w:val="0"/>
          <w:marBottom w:val="0"/>
          <w:divBdr>
            <w:top w:val="none" w:sz="0" w:space="0" w:color="auto"/>
            <w:left w:val="none" w:sz="0" w:space="0" w:color="auto"/>
            <w:bottom w:val="none" w:sz="0" w:space="0" w:color="auto"/>
            <w:right w:val="none" w:sz="0" w:space="0" w:color="auto"/>
          </w:divBdr>
        </w:div>
        <w:div w:id="125903576">
          <w:marLeft w:val="0"/>
          <w:marRight w:val="0"/>
          <w:marTop w:val="0"/>
          <w:marBottom w:val="0"/>
          <w:divBdr>
            <w:top w:val="none" w:sz="0" w:space="0" w:color="auto"/>
            <w:left w:val="none" w:sz="0" w:space="0" w:color="auto"/>
            <w:bottom w:val="none" w:sz="0" w:space="0" w:color="auto"/>
            <w:right w:val="none" w:sz="0" w:space="0" w:color="auto"/>
          </w:divBdr>
        </w:div>
        <w:div w:id="148713471">
          <w:marLeft w:val="0"/>
          <w:marRight w:val="0"/>
          <w:marTop w:val="0"/>
          <w:marBottom w:val="0"/>
          <w:divBdr>
            <w:top w:val="none" w:sz="0" w:space="0" w:color="auto"/>
            <w:left w:val="none" w:sz="0" w:space="0" w:color="auto"/>
            <w:bottom w:val="none" w:sz="0" w:space="0" w:color="auto"/>
            <w:right w:val="none" w:sz="0" w:space="0" w:color="auto"/>
          </w:divBdr>
        </w:div>
        <w:div w:id="162207434">
          <w:marLeft w:val="0"/>
          <w:marRight w:val="0"/>
          <w:marTop w:val="0"/>
          <w:marBottom w:val="0"/>
          <w:divBdr>
            <w:top w:val="none" w:sz="0" w:space="0" w:color="auto"/>
            <w:left w:val="none" w:sz="0" w:space="0" w:color="auto"/>
            <w:bottom w:val="none" w:sz="0" w:space="0" w:color="auto"/>
            <w:right w:val="none" w:sz="0" w:space="0" w:color="auto"/>
          </w:divBdr>
        </w:div>
        <w:div w:id="202064560">
          <w:marLeft w:val="0"/>
          <w:marRight w:val="0"/>
          <w:marTop w:val="0"/>
          <w:marBottom w:val="0"/>
          <w:divBdr>
            <w:top w:val="none" w:sz="0" w:space="0" w:color="auto"/>
            <w:left w:val="none" w:sz="0" w:space="0" w:color="auto"/>
            <w:bottom w:val="none" w:sz="0" w:space="0" w:color="auto"/>
            <w:right w:val="none" w:sz="0" w:space="0" w:color="auto"/>
          </w:divBdr>
        </w:div>
        <w:div w:id="238447778">
          <w:marLeft w:val="0"/>
          <w:marRight w:val="0"/>
          <w:marTop w:val="0"/>
          <w:marBottom w:val="0"/>
          <w:divBdr>
            <w:top w:val="none" w:sz="0" w:space="0" w:color="auto"/>
            <w:left w:val="none" w:sz="0" w:space="0" w:color="auto"/>
            <w:bottom w:val="none" w:sz="0" w:space="0" w:color="auto"/>
            <w:right w:val="none" w:sz="0" w:space="0" w:color="auto"/>
          </w:divBdr>
        </w:div>
        <w:div w:id="277419709">
          <w:marLeft w:val="0"/>
          <w:marRight w:val="0"/>
          <w:marTop w:val="0"/>
          <w:marBottom w:val="0"/>
          <w:divBdr>
            <w:top w:val="none" w:sz="0" w:space="0" w:color="auto"/>
            <w:left w:val="none" w:sz="0" w:space="0" w:color="auto"/>
            <w:bottom w:val="none" w:sz="0" w:space="0" w:color="auto"/>
            <w:right w:val="none" w:sz="0" w:space="0" w:color="auto"/>
          </w:divBdr>
        </w:div>
        <w:div w:id="310596733">
          <w:marLeft w:val="0"/>
          <w:marRight w:val="0"/>
          <w:marTop w:val="0"/>
          <w:marBottom w:val="0"/>
          <w:divBdr>
            <w:top w:val="none" w:sz="0" w:space="0" w:color="auto"/>
            <w:left w:val="none" w:sz="0" w:space="0" w:color="auto"/>
            <w:bottom w:val="none" w:sz="0" w:space="0" w:color="auto"/>
            <w:right w:val="none" w:sz="0" w:space="0" w:color="auto"/>
          </w:divBdr>
        </w:div>
        <w:div w:id="350181209">
          <w:marLeft w:val="0"/>
          <w:marRight w:val="0"/>
          <w:marTop w:val="0"/>
          <w:marBottom w:val="0"/>
          <w:divBdr>
            <w:top w:val="none" w:sz="0" w:space="0" w:color="auto"/>
            <w:left w:val="none" w:sz="0" w:space="0" w:color="auto"/>
            <w:bottom w:val="none" w:sz="0" w:space="0" w:color="auto"/>
            <w:right w:val="none" w:sz="0" w:space="0" w:color="auto"/>
          </w:divBdr>
        </w:div>
        <w:div w:id="370492960">
          <w:marLeft w:val="0"/>
          <w:marRight w:val="0"/>
          <w:marTop w:val="0"/>
          <w:marBottom w:val="0"/>
          <w:divBdr>
            <w:top w:val="none" w:sz="0" w:space="0" w:color="auto"/>
            <w:left w:val="none" w:sz="0" w:space="0" w:color="auto"/>
            <w:bottom w:val="none" w:sz="0" w:space="0" w:color="auto"/>
            <w:right w:val="none" w:sz="0" w:space="0" w:color="auto"/>
          </w:divBdr>
        </w:div>
        <w:div w:id="378742978">
          <w:marLeft w:val="0"/>
          <w:marRight w:val="0"/>
          <w:marTop w:val="0"/>
          <w:marBottom w:val="0"/>
          <w:divBdr>
            <w:top w:val="none" w:sz="0" w:space="0" w:color="auto"/>
            <w:left w:val="none" w:sz="0" w:space="0" w:color="auto"/>
            <w:bottom w:val="none" w:sz="0" w:space="0" w:color="auto"/>
            <w:right w:val="none" w:sz="0" w:space="0" w:color="auto"/>
          </w:divBdr>
        </w:div>
        <w:div w:id="395857389">
          <w:marLeft w:val="0"/>
          <w:marRight w:val="0"/>
          <w:marTop w:val="0"/>
          <w:marBottom w:val="0"/>
          <w:divBdr>
            <w:top w:val="none" w:sz="0" w:space="0" w:color="auto"/>
            <w:left w:val="none" w:sz="0" w:space="0" w:color="auto"/>
            <w:bottom w:val="none" w:sz="0" w:space="0" w:color="auto"/>
            <w:right w:val="none" w:sz="0" w:space="0" w:color="auto"/>
          </w:divBdr>
        </w:div>
        <w:div w:id="444813241">
          <w:marLeft w:val="0"/>
          <w:marRight w:val="0"/>
          <w:marTop w:val="0"/>
          <w:marBottom w:val="0"/>
          <w:divBdr>
            <w:top w:val="none" w:sz="0" w:space="0" w:color="auto"/>
            <w:left w:val="none" w:sz="0" w:space="0" w:color="auto"/>
            <w:bottom w:val="none" w:sz="0" w:space="0" w:color="auto"/>
            <w:right w:val="none" w:sz="0" w:space="0" w:color="auto"/>
          </w:divBdr>
        </w:div>
        <w:div w:id="446582053">
          <w:marLeft w:val="0"/>
          <w:marRight w:val="0"/>
          <w:marTop w:val="0"/>
          <w:marBottom w:val="0"/>
          <w:divBdr>
            <w:top w:val="none" w:sz="0" w:space="0" w:color="auto"/>
            <w:left w:val="none" w:sz="0" w:space="0" w:color="auto"/>
            <w:bottom w:val="none" w:sz="0" w:space="0" w:color="auto"/>
            <w:right w:val="none" w:sz="0" w:space="0" w:color="auto"/>
          </w:divBdr>
        </w:div>
        <w:div w:id="457844627">
          <w:marLeft w:val="0"/>
          <w:marRight w:val="0"/>
          <w:marTop w:val="0"/>
          <w:marBottom w:val="0"/>
          <w:divBdr>
            <w:top w:val="none" w:sz="0" w:space="0" w:color="auto"/>
            <w:left w:val="none" w:sz="0" w:space="0" w:color="auto"/>
            <w:bottom w:val="none" w:sz="0" w:space="0" w:color="auto"/>
            <w:right w:val="none" w:sz="0" w:space="0" w:color="auto"/>
          </w:divBdr>
        </w:div>
        <w:div w:id="497309791">
          <w:marLeft w:val="0"/>
          <w:marRight w:val="0"/>
          <w:marTop w:val="0"/>
          <w:marBottom w:val="0"/>
          <w:divBdr>
            <w:top w:val="none" w:sz="0" w:space="0" w:color="auto"/>
            <w:left w:val="none" w:sz="0" w:space="0" w:color="auto"/>
            <w:bottom w:val="none" w:sz="0" w:space="0" w:color="auto"/>
            <w:right w:val="none" w:sz="0" w:space="0" w:color="auto"/>
          </w:divBdr>
        </w:div>
        <w:div w:id="503008857">
          <w:marLeft w:val="0"/>
          <w:marRight w:val="0"/>
          <w:marTop w:val="0"/>
          <w:marBottom w:val="0"/>
          <w:divBdr>
            <w:top w:val="none" w:sz="0" w:space="0" w:color="auto"/>
            <w:left w:val="none" w:sz="0" w:space="0" w:color="auto"/>
            <w:bottom w:val="none" w:sz="0" w:space="0" w:color="auto"/>
            <w:right w:val="none" w:sz="0" w:space="0" w:color="auto"/>
          </w:divBdr>
        </w:div>
        <w:div w:id="525019648">
          <w:marLeft w:val="0"/>
          <w:marRight w:val="0"/>
          <w:marTop w:val="0"/>
          <w:marBottom w:val="0"/>
          <w:divBdr>
            <w:top w:val="none" w:sz="0" w:space="0" w:color="auto"/>
            <w:left w:val="none" w:sz="0" w:space="0" w:color="auto"/>
            <w:bottom w:val="none" w:sz="0" w:space="0" w:color="auto"/>
            <w:right w:val="none" w:sz="0" w:space="0" w:color="auto"/>
          </w:divBdr>
        </w:div>
        <w:div w:id="552349304">
          <w:marLeft w:val="0"/>
          <w:marRight w:val="0"/>
          <w:marTop w:val="0"/>
          <w:marBottom w:val="0"/>
          <w:divBdr>
            <w:top w:val="none" w:sz="0" w:space="0" w:color="auto"/>
            <w:left w:val="none" w:sz="0" w:space="0" w:color="auto"/>
            <w:bottom w:val="none" w:sz="0" w:space="0" w:color="auto"/>
            <w:right w:val="none" w:sz="0" w:space="0" w:color="auto"/>
          </w:divBdr>
        </w:div>
        <w:div w:id="553934489">
          <w:marLeft w:val="0"/>
          <w:marRight w:val="0"/>
          <w:marTop w:val="0"/>
          <w:marBottom w:val="0"/>
          <w:divBdr>
            <w:top w:val="none" w:sz="0" w:space="0" w:color="auto"/>
            <w:left w:val="none" w:sz="0" w:space="0" w:color="auto"/>
            <w:bottom w:val="none" w:sz="0" w:space="0" w:color="auto"/>
            <w:right w:val="none" w:sz="0" w:space="0" w:color="auto"/>
          </w:divBdr>
        </w:div>
        <w:div w:id="563879130">
          <w:marLeft w:val="0"/>
          <w:marRight w:val="0"/>
          <w:marTop w:val="0"/>
          <w:marBottom w:val="0"/>
          <w:divBdr>
            <w:top w:val="none" w:sz="0" w:space="0" w:color="auto"/>
            <w:left w:val="none" w:sz="0" w:space="0" w:color="auto"/>
            <w:bottom w:val="none" w:sz="0" w:space="0" w:color="auto"/>
            <w:right w:val="none" w:sz="0" w:space="0" w:color="auto"/>
          </w:divBdr>
        </w:div>
        <w:div w:id="609242135">
          <w:marLeft w:val="0"/>
          <w:marRight w:val="0"/>
          <w:marTop w:val="0"/>
          <w:marBottom w:val="0"/>
          <w:divBdr>
            <w:top w:val="none" w:sz="0" w:space="0" w:color="auto"/>
            <w:left w:val="none" w:sz="0" w:space="0" w:color="auto"/>
            <w:bottom w:val="none" w:sz="0" w:space="0" w:color="auto"/>
            <w:right w:val="none" w:sz="0" w:space="0" w:color="auto"/>
          </w:divBdr>
        </w:div>
        <w:div w:id="648217221">
          <w:marLeft w:val="0"/>
          <w:marRight w:val="0"/>
          <w:marTop w:val="0"/>
          <w:marBottom w:val="0"/>
          <w:divBdr>
            <w:top w:val="none" w:sz="0" w:space="0" w:color="auto"/>
            <w:left w:val="none" w:sz="0" w:space="0" w:color="auto"/>
            <w:bottom w:val="none" w:sz="0" w:space="0" w:color="auto"/>
            <w:right w:val="none" w:sz="0" w:space="0" w:color="auto"/>
          </w:divBdr>
        </w:div>
        <w:div w:id="656344709">
          <w:marLeft w:val="0"/>
          <w:marRight w:val="0"/>
          <w:marTop w:val="0"/>
          <w:marBottom w:val="0"/>
          <w:divBdr>
            <w:top w:val="none" w:sz="0" w:space="0" w:color="auto"/>
            <w:left w:val="none" w:sz="0" w:space="0" w:color="auto"/>
            <w:bottom w:val="none" w:sz="0" w:space="0" w:color="auto"/>
            <w:right w:val="none" w:sz="0" w:space="0" w:color="auto"/>
          </w:divBdr>
        </w:div>
        <w:div w:id="661547693">
          <w:marLeft w:val="0"/>
          <w:marRight w:val="0"/>
          <w:marTop w:val="0"/>
          <w:marBottom w:val="0"/>
          <w:divBdr>
            <w:top w:val="none" w:sz="0" w:space="0" w:color="auto"/>
            <w:left w:val="none" w:sz="0" w:space="0" w:color="auto"/>
            <w:bottom w:val="none" w:sz="0" w:space="0" w:color="auto"/>
            <w:right w:val="none" w:sz="0" w:space="0" w:color="auto"/>
          </w:divBdr>
        </w:div>
        <w:div w:id="670105774">
          <w:marLeft w:val="0"/>
          <w:marRight w:val="0"/>
          <w:marTop w:val="0"/>
          <w:marBottom w:val="0"/>
          <w:divBdr>
            <w:top w:val="none" w:sz="0" w:space="0" w:color="auto"/>
            <w:left w:val="none" w:sz="0" w:space="0" w:color="auto"/>
            <w:bottom w:val="none" w:sz="0" w:space="0" w:color="auto"/>
            <w:right w:val="none" w:sz="0" w:space="0" w:color="auto"/>
          </w:divBdr>
        </w:div>
        <w:div w:id="670645185">
          <w:marLeft w:val="0"/>
          <w:marRight w:val="0"/>
          <w:marTop w:val="0"/>
          <w:marBottom w:val="0"/>
          <w:divBdr>
            <w:top w:val="none" w:sz="0" w:space="0" w:color="auto"/>
            <w:left w:val="none" w:sz="0" w:space="0" w:color="auto"/>
            <w:bottom w:val="none" w:sz="0" w:space="0" w:color="auto"/>
            <w:right w:val="none" w:sz="0" w:space="0" w:color="auto"/>
          </w:divBdr>
        </w:div>
        <w:div w:id="689797703">
          <w:marLeft w:val="0"/>
          <w:marRight w:val="0"/>
          <w:marTop w:val="0"/>
          <w:marBottom w:val="0"/>
          <w:divBdr>
            <w:top w:val="none" w:sz="0" w:space="0" w:color="auto"/>
            <w:left w:val="none" w:sz="0" w:space="0" w:color="auto"/>
            <w:bottom w:val="none" w:sz="0" w:space="0" w:color="auto"/>
            <w:right w:val="none" w:sz="0" w:space="0" w:color="auto"/>
          </w:divBdr>
        </w:div>
        <w:div w:id="696541955">
          <w:marLeft w:val="0"/>
          <w:marRight w:val="0"/>
          <w:marTop w:val="0"/>
          <w:marBottom w:val="0"/>
          <w:divBdr>
            <w:top w:val="none" w:sz="0" w:space="0" w:color="auto"/>
            <w:left w:val="none" w:sz="0" w:space="0" w:color="auto"/>
            <w:bottom w:val="none" w:sz="0" w:space="0" w:color="auto"/>
            <w:right w:val="none" w:sz="0" w:space="0" w:color="auto"/>
          </w:divBdr>
        </w:div>
        <w:div w:id="736901813">
          <w:marLeft w:val="0"/>
          <w:marRight w:val="0"/>
          <w:marTop w:val="0"/>
          <w:marBottom w:val="0"/>
          <w:divBdr>
            <w:top w:val="none" w:sz="0" w:space="0" w:color="auto"/>
            <w:left w:val="none" w:sz="0" w:space="0" w:color="auto"/>
            <w:bottom w:val="none" w:sz="0" w:space="0" w:color="auto"/>
            <w:right w:val="none" w:sz="0" w:space="0" w:color="auto"/>
          </w:divBdr>
        </w:div>
        <w:div w:id="738332694">
          <w:marLeft w:val="0"/>
          <w:marRight w:val="0"/>
          <w:marTop w:val="0"/>
          <w:marBottom w:val="0"/>
          <w:divBdr>
            <w:top w:val="none" w:sz="0" w:space="0" w:color="auto"/>
            <w:left w:val="none" w:sz="0" w:space="0" w:color="auto"/>
            <w:bottom w:val="none" w:sz="0" w:space="0" w:color="auto"/>
            <w:right w:val="none" w:sz="0" w:space="0" w:color="auto"/>
          </w:divBdr>
        </w:div>
        <w:div w:id="792408765">
          <w:marLeft w:val="0"/>
          <w:marRight w:val="0"/>
          <w:marTop w:val="0"/>
          <w:marBottom w:val="0"/>
          <w:divBdr>
            <w:top w:val="none" w:sz="0" w:space="0" w:color="auto"/>
            <w:left w:val="none" w:sz="0" w:space="0" w:color="auto"/>
            <w:bottom w:val="none" w:sz="0" w:space="0" w:color="auto"/>
            <w:right w:val="none" w:sz="0" w:space="0" w:color="auto"/>
          </w:divBdr>
        </w:div>
        <w:div w:id="855004984">
          <w:marLeft w:val="0"/>
          <w:marRight w:val="0"/>
          <w:marTop w:val="0"/>
          <w:marBottom w:val="0"/>
          <w:divBdr>
            <w:top w:val="none" w:sz="0" w:space="0" w:color="auto"/>
            <w:left w:val="none" w:sz="0" w:space="0" w:color="auto"/>
            <w:bottom w:val="none" w:sz="0" w:space="0" w:color="auto"/>
            <w:right w:val="none" w:sz="0" w:space="0" w:color="auto"/>
          </w:divBdr>
        </w:div>
        <w:div w:id="855580444">
          <w:marLeft w:val="0"/>
          <w:marRight w:val="0"/>
          <w:marTop w:val="0"/>
          <w:marBottom w:val="0"/>
          <w:divBdr>
            <w:top w:val="none" w:sz="0" w:space="0" w:color="auto"/>
            <w:left w:val="none" w:sz="0" w:space="0" w:color="auto"/>
            <w:bottom w:val="none" w:sz="0" w:space="0" w:color="auto"/>
            <w:right w:val="none" w:sz="0" w:space="0" w:color="auto"/>
          </w:divBdr>
        </w:div>
        <w:div w:id="878201280">
          <w:marLeft w:val="0"/>
          <w:marRight w:val="0"/>
          <w:marTop w:val="0"/>
          <w:marBottom w:val="0"/>
          <w:divBdr>
            <w:top w:val="none" w:sz="0" w:space="0" w:color="auto"/>
            <w:left w:val="none" w:sz="0" w:space="0" w:color="auto"/>
            <w:bottom w:val="none" w:sz="0" w:space="0" w:color="auto"/>
            <w:right w:val="none" w:sz="0" w:space="0" w:color="auto"/>
          </w:divBdr>
        </w:div>
        <w:div w:id="913904037">
          <w:marLeft w:val="0"/>
          <w:marRight w:val="0"/>
          <w:marTop w:val="0"/>
          <w:marBottom w:val="0"/>
          <w:divBdr>
            <w:top w:val="none" w:sz="0" w:space="0" w:color="auto"/>
            <w:left w:val="none" w:sz="0" w:space="0" w:color="auto"/>
            <w:bottom w:val="none" w:sz="0" w:space="0" w:color="auto"/>
            <w:right w:val="none" w:sz="0" w:space="0" w:color="auto"/>
          </w:divBdr>
        </w:div>
        <w:div w:id="1101949482">
          <w:marLeft w:val="0"/>
          <w:marRight w:val="0"/>
          <w:marTop w:val="0"/>
          <w:marBottom w:val="0"/>
          <w:divBdr>
            <w:top w:val="none" w:sz="0" w:space="0" w:color="auto"/>
            <w:left w:val="none" w:sz="0" w:space="0" w:color="auto"/>
            <w:bottom w:val="none" w:sz="0" w:space="0" w:color="auto"/>
            <w:right w:val="none" w:sz="0" w:space="0" w:color="auto"/>
          </w:divBdr>
        </w:div>
        <w:div w:id="1107192705">
          <w:marLeft w:val="0"/>
          <w:marRight w:val="0"/>
          <w:marTop w:val="0"/>
          <w:marBottom w:val="0"/>
          <w:divBdr>
            <w:top w:val="none" w:sz="0" w:space="0" w:color="auto"/>
            <w:left w:val="none" w:sz="0" w:space="0" w:color="auto"/>
            <w:bottom w:val="none" w:sz="0" w:space="0" w:color="auto"/>
            <w:right w:val="none" w:sz="0" w:space="0" w:color="auto"/>
          </w:divBdr>
        </w:div>
        <w:div w:id="1107504676">
          <w:marLeft w:val="0"/>
          <w:marRight w:val="0"/>
          <w:marTop w:val="0"/>
          <w:marBottom w:val="0"/>
          <w:divBdr>
            <w:top w:val="none" w:sz="0" w:space="0" w:color="auto"/>
            <w:left w:val="none" w:sz="0" w:space="0" w:color="auto"/>
            <w:bottom w:val="none" w:sz="0" w:space="0" w:color="auto"/>
            <w:right w:val="none" w:sz="0" w:space="0" w:color="auto"/>
          </w:divBdr>
        </w:div>
        <w:div w:id="1113014490">
          <w:marLeft w:val="0"/>
          <w:marRight w:val="0"/>
          <w:marTop w:val="0"/>
          <w:marBottom w:val="0"/>
          <w:divBdr>
            <w:top w:val="none" w:sz="0" w:space="0" w:color="auto"/>
            <w:left w:val="none" w:sz="0" w:space="0" w:color="auto"/>
            <w:bottom w:val="none" w:sz="0" w:space="0" w:color="auto"/>
            <w:right w:val="none" w:sz="0" w:space="0" w:color="auto"/>
          </w:divBdr>
        </w:div>
        <w:div w:id="1125461244">
          <w:marLeft w:val="0"/>
          <w:marRight w:val="0"/>
          <w:marTop w:val="0"/>
          <w:marBottom w:val="0"/>
          <w:divBdr>
            <w:top w:val="none" w:sz="0" w:space="0" w:color="auto"/>
            <w:left w:val="none" w:sz="0" w:space="0" w:color="auto"/>
            <w:bottom w:val="none" w:sz="0" w:space="0" w:color="auto"/>
            <w:right w:val="none" w:sz="0" w:space="0" w:color="auto"/>
          </w:divBdr>
        </w:div>
        <w:div w:id="1134759276">
          <w:marLeft w:val="0"/>
          <w:marRight w:val="0"/>
          <w:marTop w:val="0"/>
          <w:marBottom w:val="0"/>
          <w:divBdr>
            <w:top w:val="none" w:sz="0" w:space="0" w:color="auto"/>
            <w:left w:val="none" w:sz="0" w:space="0" w:color="auto"/>
            <w:bottom w:val="none" w:sz="0" w:space="0" w:color="auto"/>
            <w:right w:val="none" w:sz="0" w:space="0" w:color="auto"/>
          </w:divBdr>
        </w:div>
        <w:div w:id="1136489341">
          <w:marLeft w:val="0"/>
          <w:marRight w:val="0"/>
          <w:marTop w:val="0"/>
          <w:marBottom w:val="0"/>
          <w:divBdr>
            <w:top w:val="none" w:sz="0" w:space="0" w:color="auto"/>
            <w:left w:val="none" w:sz="0" w:space="0" w:color="auto"/>
            <w:bottom w:val="none" w:sz="0" w:space="0" w:color="auto"/>
            <w:right w:val="none" w:sz="0" w:space="0" w:color="auto"/>
          </w:divBdr>
        </w:div>
        <w:div w:id="1155293537">
          <w:marLeft w:val="0"/>
          <w:marRight w:val="0"/>
          <w:marTop w:val="0"/>
          <w:marBottom w:val="0"/>
          <w:divBdr>
            <w:top w:val="none" w:sz="0" w:space="0" w:color="auto"/>
            <w:left w:val="none" w:sz="0" w:space="0" w:color="auto"/>
            <w:bottom w:val="none" w:sz="0" w:space="0" w:color="auto"/>
            <w:right w:val="none" w:sz="0" w:space="0" w:color="auto"/>
          </w:divBdr>
        </w:div>
        <w:div w:id="1161389322">
          <w:marLeft w:val="0"/>
          <w:marRight w:val="0"/>
          <w:marTop w:val="0"/>
          <w:marBottom w:val="0"/>
          <w:divBdr>
            <w:top w:val="none" w:sz="0" w:space="0" w:color="auto"/>
            <w:left w:val="none" w:sz="0" w:space="0" w:color="auto"/>
            <w:bottom w:val="none" w:sz="0" w:space="0" w:color="auto"/>
            <w:right w:val="none" w:sz="0" w:space="0" w:color="auto"/>
          </w:divBdr>
        </w:div>
        <w:div w:id="1163545563">
          <w:marLeft w:val="0"/>
          <w:marRight w:val="0"/>
          <w:marTop w:val="0"/>
          <w:marBottom w:val="0"/>
          <w:divBdr>
            <w:top w:val="none" w:sz="0" w:space="0" w:color="auto"/>
            <w:left w:val="none" w:sz="0" w:space="0" w:color="auto"/>
            <w:bottom w:val="none" w:sz="0" w:space="0" w:color="auto"/>
            <w:right w:val="none" w:sz="0" w:space="0" w:color="auto"/>
          </w:divBdr>
        </w:div>
        <w:div w:id="1179928102">
          <w:marLeft w:val="0"/>
          <w:marRight w:val="0"/>
          <w:marTop w:val="0"/>
          <w:marBottom w:val="0"/>
          <w:divBdr>
            <w:top w:val="none" w:sz="0" w:space="0" w:color="auto"/>
            <w:left w:val="none" w:sz="0" w:space="0" w:color="auto"/>
            <w:bottom w:val="none" w:sz="0" w:space="0" w:color="auto"/>
            <w:right w:val="none" w:sz="0" w:space="0" w:color="auto"/>
          </w:divBdr>
        </w:div>
        <w:div w:id="1186481870">
          <w:marLeft w:val="0"/>
          <w:marRight w:val="0"/>
          <w:marTop w:val="0"/>
          <w:marBottom w:val="0"/>
          <w:divBdr>
            <w:top w:val="none" w:sz="0" w:space="0" w:color="auto"/>
            <w:left w:val="none" w:sz="0" w:space="0" w:color="auto"/>
            <w:bottom w:val="none" w:sz="0" w:space="0" w:color="auto"/>
            <w:right w:val="none" w:sz="0" w:space="0" w:color="auto"/>
          </w:divBdr>
        </w:div>
        <w:div w:id="1215384961">
          <w:marLeft w:val="0"/>
          <w:marRight w:val="0"/>
          <w:marTop w:val="0"/>
          <w:marBottom w:val="0"/>
          <w:divBdr>
            <w:top w:val="none" w:sz="0" w:space="0" w:color="auto"/>
            <w:left w:val="none" w:sz="0" w:space="0" w:color="auto"/>
            <w:bottom w:val="none" w:sz="0" w:space="0" w:color="auto"/>
            <w:right w:val="none" w:sz="0" w:space="0" w:color="auto"/>
          </w:divBdr>
        </w:div>
        <w:div w:id="1224636787">
          <w:marLeft w:val="0"/>
          <w:marRight w:val="0"/>
          <w:marTop w:val="0"/>
          <w:marBottom w:val="0"/>
          <w:divBdr>
            <w:top w:val="none" w:sz="0" w:space="0" w:color="auto"/>
            <w:left w:val="none" w:sz="0" w:space="0" w:color="auto"/>
            <w:bottom w:val="none" w:sz="0" w:space="0" w:color="auto"/>
            <w:right w:val="none" w:sz="0" w:space="0" w:color="auto"/>
          </w:divBdr>
        </w:div>
        <w:div w:id="1233857151">
          <w:marLeft w:val="0"/>
          <w:marRight w:val="0"/>
          <w:marTop w:val="0"/>
          <w:marBottom w:val="0"/>
          <w:divBdr>
            <w:top w:val="none" w:sz="0" w:space="0" w:color="auto"/>
            <w:left w:val="none" w:sz="0" w:space="0" w:color="auto"/>
            <w:bottom w:val="none" w:sz="0" w:space="0" w:color="auto"/>
            <w:right w:val="none" w:sz="0" w:space="0" w:color="auto"/>
          </w:divBdr>
        </w:div>
        <w:div w:id="1270285028">
          <w:marLeft w:val="0"/>
          <w:marRight w:val="0"/>
          <w:marTop w:val="0"/>
          <w:marBottom w:val="0"/>
          <w:divBdr>
            <w:top w:val="none" w:sz="0" w:space="0" w:color="auto"/>
            <w:left w:val="none" w:sz="0" w:space="0" w:color="auto"/>
            <w:bottom w:val="none" w:sz="0" w:space="0" w:color="auto"/>
            <w:right w:val="none" w:sz="0" w:space="0" w:color="auto"/>
          </w:divBdr>
        </w:div>
        <w:div w:id="1270550873">
          <w:marLeft w:val="0"/>
          <w:marRight w:val="0"/>
          <w:marTop w:val="0"/>
          <w:marBottom w:val="0"/>
          <w:divBdr>
            <w:top w:val="none" w:sz="0" w:space="0" w:color="auto"/>
            <w:left w:val="none" w:sz="0" w:space="0" w:color="auto"/>
            <w:bottom w:val="none" w:sz="0" w:space="0" w:color="auto"/>
            <w:right w:val="none" w:sz="0" w:space="0" w:color="auto"/>
          </w:divBdr>
        </w:div>
        <w:div w:id="1287275699">
          <w:marLeft w:val="0"/>
          <w:marRight w:val="0"/>
          <w:marTop w:val="0"/>
          <w:marBottom w:val="0"/>
          <w:divBdr>
            <w:top w:val="none" w:sz="0" w:space="0" w:color="auto"/>
            <w:left w:val="none" w:sz="0" w:space="0" w:color="auto"/>
            <w:bottom w:val="none" w:sz="0" w:space="0" w:color="auto"/>
            <w:right w:val="none" w:sz="0" w:space="0" w:color="auto"/>
          </w:divBdr>
        </w:div>
        <w:div w:id="1310476381">
          <w:marLeft w:val="0"/>
          <w:marRight w:val="0"/>
          <w:marTop w:val="0"/>
          <w:marBottom w:val="0"/>
          <w:divBdr>
            <w:top w:val="none" w:sz="0" w:space="0" w:color="auto"/>
            <w:left w:val="none" w:sz="0" w:space="0" w:color="auto"/>
            <w:bottom w:val="none" w:sz="0" w:space="0" w:color="auto"/>
            <w:right w:val="none" w:sz="0" w:space="0" w:color="auto"/>
          </w:divBdr>
        </w:div>
        <w:div w:id="1332759788">
          <w:marLeft w:val="0"/>
          <w:marRight w:val="0"/>
          <w:marTop w:val="0"/>
          <w:marBottom w:val="0"/>
          <w:divBdr>
            <w:top w:val="none" w:sz="0" w:space="0" w:color="auto"/>
            <w:left w:val="none" w:sz="0" w:space="0" w:color="auto"/>
            <w:bottom w:val="none" w:sz="0" w:space="0" w:color="auto"/>
            <w:right w:val="none" w:sz="0" w:space="0" w:color="auto"/>
          </w:divBdr>
        </w:div>
        <w:div w:id="1357006436">
          <w:marLeft w:val="0"/>
          <w:marRight w:val="0"/>
          <w:marTop w:val="0"/>
          <w:marBottom w:val="0"/>
          <w:divBdr>
            <w:top w:val="none" w:sz="0" w:space="0" w:color="auto"/>
            <w:left w:val="none" w:sz="0" w:space="0" w:color="auto"/>
            <w:bottom w:val="none" w:sz="0" w:space="0" w:color="auto"/>
            <w:right w:val="none" w:sz="0" w:space="0" w:color="auto"/>
          </w:divBdr>
        </w:div>
        <w:div w:id="1358047786">
          <w:marLeft w:val="0"/>
          <w:marRight w:val="0"/>
          <w:marTop w:val="0"/>
          <w:marBottom w:val="0"/>
          <w:divBdr>
            <w:top w:val="none" w:sz="0" w:space="0" w:color="auto"/>
            <w:left w:val="none" w:sz="0" w:space="0" w:color="auto"/>
            <w:bottom w:val="none" w:sz="0" w:space="0" w:color="auto"/>
            <w:right w:val="none" w:sz="0" w:space="0" w:color="auto"/>
          </w:divBdr>
        </w:div>
        <w:div w:id="1391079332">
          <w:marLeft w:val="0"/>
          <w:marRight w:val="0"/>
          <w:marTop w:val="0"/>
          <w:marBottom w:val="0"/>
          <w:divBdr>
            <w:top w:val="none" w:sz="0" w:space="0" w:color="auto"/>
            <w:left w:val="none" w:sz="0" w:space="0" w:color="auto"/>
            <w:bottom w:val="none" w:sz="0" w:space="0" w:color="auto"/>
            <w:right w:val="none" w:sz="0" w:space="0" w:color="auto"/>
          </w:divBdr>
          <w:divsChild>
            <w:div w:id="138425648">
              <w:marLeft w:val="0"/>
              <w:marRight w:val="0"/>
              <w:marTop w:val="0"/>
              <w:marBottom w:val="0"/>
              <w:divBdr>
                <w:top w:val="none" w:sz="0" w:space="0" w:color="auto"/>
                <w:left w:val="none" w:sz="0" w:space="0" w:color="auto"/>
                <w:bottom w:val="none" w:sz="0" w:space="0" w:color="auto"/>
                <w:right w:val="none" w:sz="0" w:space="0" w:color="auto"/>
              </w:divBdr>
            </w:div>
            <w:div w:id="155997966">
              <w:marLeft w:val="0"/>
              <w:marRight w:val="0"/>
              <w:marTop w:val="0"/>
              <w:marBottom w:val="0"/>
              <w:divBdr>
                <w:top w:val="none" w:sz="0" w:space="0" w:color="auto"/>
                <w:left w:val="none" w:sz="0" w:space="0" w:color="auto"/>
                <w:bottom w:val="none" w:sz="0" w:space="0" w:color="auto"/>
                <w:right w:val="none" w:sz="0" w:space="0" w:color="auto"/>
              </w:divBdr>
            </w:div>
            <w:div w:id="1394348003">
              <w:marLeft w:val="0"/>
              <w:marRight w:val="0"/>
              <w:marTop w:val="0"/>
              <w:marBottom w:val="0"/>
              <w:divBdr>
                <w:top w:val="none" w:sz="0" w:space="0" w:color="auto"/>
                <w:left w:val="none" w:sz="0" w:space="0" w:color="auto"/>
                <w:bottom w:val="none" w:sz="0" w:space="0" w:color="auto"/>
                <w:right w:val="none" w:sz="0" w:space="0" w:color="auto"/>
              </w:divBdr>
            </w:div>
          </w:divsChild>
        </w:div>
        <w:div w:id="1391609697">
          <w:marLeft w:val="0"/>
          <w:marRight w:val="0"/>
          <w:marTop w:val="0"/>
          <w:marBottom w:val="0"/>
          <w:divBdr>
            <w:top w:val="none" w:sz="0" w:space="0" w:color="auto"/>
            <w:left w:val="none" w:sz="0" w:space="0" w:color="auto"/>
            <w:bottom w:val="none" w:sz="0" w:space="0" w:color="auto"/>
            <w:right w:val="none" w:sz="0" w:space="0" w:color="auto"/>
          </w:divBdr>
        </w:div>
        <w:div w:id="1414351585">
          <w:marLeft w:val="0"/>
          <w:marRight w:val="0"/>
          <w:marTop w:val="0"/>
          <w:marBottom w:val="0"/>
          <w:divBdr>
            <w:top w:val="none" w:sz="0" w:space="0" w:color="auto"/>
            <w:left w:val="none" w:sz="0" w:space="0" w:color="auto"/>
            <w:bottom w:val="none" w:sz="0" w:space="0" w:color="auto"/>
            <w:right w:val="none" w:sz="0" w:space="0" w:color="auto"/>
          </w:divBdr>
        </w:div>
        <w:div w:id="1439518294">
          <w:marLeft w:val="0"/>
          <w:marRight w:val="0"/>
          <w:marTop w:val="0"/>
          <w:marBottom w:val="0"/>
          <w:divBdr>
            <w:top w:val="none" w:sz="0" w:space="0" w:color="auto"/>
            <w:left w:val="none" w:sz="0" w:space="0" w:color="auto"/>
            <w:bottom w:val="none" w:sz="0" w:space="0" w:color="auto"/>
            <w:right w:val="none" w:sz="0" w:space="0" w:color="auto"/>
          </w:divBdr>
        </w:div>
        <w:div w:id="1442409820">
          <w:marLeft w:val="0"/>
          <w:marRight w:val="0"/>
          <w:marTop w:val="0"/>
          <w:marBottom w:val="0"/>
          <w:divBdr>
            <w:top w:val="none" w:sz="0" w:space="0" w:color="auto"/>
            <w:left w:val="none" w:sz="0" w:space="0" w:color="auto"/>
            <w:bottom w:val="none" w:sz="0" w:space="0" w:color="auto"/>
            <w:right w:val="none" w:sz="0" w:space="0" w:color="auto"/>
          </w:divBdr>
        </w:div>
        <w:div w:id="1447695730">
          <w:marLeft w:val="0"/>
          <w:marRight w:val="0"/>
          <w:marTop w:val="0"/>
          <w:marBottom w:val="0"/>
          <w:divBdr>
            <w:top w:val="none" w:sz="0" w:space="0" w:color="auto"/>
            <w:left w:val="none" w:sz="0" w:space="0" w:color="auto"/>
            <w:bottom w:val="none" w:sz="0" w:space="0" w:color="auto"/>
            <w:right w:val="none" w:sz="0" w:space="0" w:color="auto"/>
          </w:divBdr>
        </w:div>
        <w:div w:id="1499078214">
          <w:marLeft w:val="0"/>
          <w:marRight w:val="0"/>
          <w:marTop w:val="0"/>
          <w:marBottom w:val="0"/>
          <w:divBdr>
            <w:top w:val="none" w:sz="0" w:space="0" w:color="auto"/>
            <w:left w:val="none" w:sz="0" w:space="0" w:color="auto"/>
            <w:bottom w:val="none" w:sz="0" w:space="0" w:color="auto"/>
            <w:right w:val="none" w:sz="0" w:space="0" w:color="auto"/>
          </w:divBdr>
        </w:div>
        <w:div w:id="1554585657">
          <w:marLeft w:val="0"/>
          <w:marRight w:val="0"/>
          <w:marTop w:val="0"/>
          <w:marBottom w:val="0"/>
          <w:divBdr>
            <w:top w:val="none" w:sz="0" w:space="0" w:color="auto"/>
            <w:left w:val="none" w:sz="0" w:space="0" w:color="auto"/>
            <w:bottom w:val="none" w:sz="0" w:space="0" w:color="auto"/>
            <w:right w:val="none" w:sz="0" w:space="0" w:color="auto"/>
          </w:divBdr>
        </w:div>
        <w:div w:id="1564215109">
          <w:marLeft w:val="0"/>
          <w:marRight w:val="0"/>
          <w:marTop w:val="0"/>
          <w:marBottom w:val="0"/>
          <w:divBdr>
            <w:top w:val="none" w:sz="0" w:space="0" w:color="auto"/>
            <w:left w:val="none" w:sz="0" w:space="0" w:color="auto"/>
            <w:bottom w:val="none" w:sz="0" w:space="0" w:color="auto"/>
            <w:right w:val="none" w:sz="0" w:space="0" w:color="auto"/>
          </w:divBdr>
        </w:div>
        <w:div w:id="1597902379">
          <w:marLeft w:val="0"/>
          <w:marRight w:val="0"/>
          <w:marTop w:val="0"/>
          <w:marBottom w:val="0"/>
          <w:divBdr>
            <w:top w:val="none" w:sz="0" w:space="0" w:color="auto"/>
            <w:left w:val="none" w:sz="0" w:space="0" w:color="auto"/>
            <w:bottom w:val="none" w:sz="0" w:space="0" w:color="auto"/>
            <w:right w:val="none" w:sz="0" w:space="0" w:color="auto"/>
          </w:divBdr>
        </w:div>
        <w:div w:id="1696543384">
          <w:marLeft w:val="0"/>
          <w:marRight w:val="0"/>
          <w:marTop w:val="0"/>
          <w:marBottom w:val="0"/>
          <w:divBdr>
            <w:top w:val="none" w:sz="0" w:space="0" w:color="auto"/>
            <w:left w:val="none" w:sz="0" w:space="0" w:color="auto"/>
            <w:bottom w:val="none" w:sz="0" w:space="0" w:color="auto"/>
            <w:right w:val="none" w:sz="0" w:space="0" w:color="auto"/>
          </w:divBdr>
        </w:div>
        <w:div w:id="1769618093">
          <w:marLeft w:val="0"/>
          <w:marRight w:val="0"/>
          <w:marTop w:val="0"/>
          <w:marBottom w:val="0"/>
          <w:divBdr>
            <w:top w:val="none" w:sz="0" w:space="0" w:color="auto"/>
            <w:left w:val="none" w:sz="0" w:space="0" w:color="auto"/>
            <w:bottom w:val="none" w:sz="0" w:space="0" w:color="auto"/>
            <w:right w:val="none" w:sz="0" w:space="0" w:color="auto"/>
          </w:divBdr>
        </w:div>
        <w:div w:id="1778596709">
          <w:marLeft w:val="0"/>
          <w:marRight w:val="0"/>
          <w:marTop w:val="0"/>
          <w:marBottom w:val="0"/>
          <w:divBdr>
            <w:top w:val="none" w:sz="0" w:space="0" w:color="auto"/>
            <w:left w:val="none" w:sz="0" w:space="0" w:color="auto"/>
            <w:bottom w:val="none" w:sz="0" w:space="0" w:color="auto"/>
            <w:right w:val="none" w:sz="0" w:space="0" w:color="auto"/>
          </w:divBdr>
        </w:div>
        <w:div w:id="1788817531">
          <w:marLeft w:val="0"/>
          <w:marRight w:val="0"/>
          <w:marTop w:val="0"/>
          <w:marBottom w:val="0"/>
          <w:divBdr>
            <w:top w:val="none" w:sz="0" w:space="0" w:color="auto"/>
            <w:left w:val="none" w:sz="0" w:space="0" w:color="auto"/>
            <w:bottom w:val="none" w:sz="0" w:space="0" w:color="auto"/>
            <w:right w:val="none" w:sz="0" w:space="0" w:color="auto"/>
          </w:divBdr>
        </w:div>
        <w:div w:id="1793019194">
          <w:marLeft w:val="0"/>
          <w:marRight w:val="0"/>
          <w:marTop w:val="0"/>
          <w:marBottom w:val="0"/>
          <w:divBdr>
            <w:top w:val="none" w:sz="0" w:space="0" w:color="auto"/>
            <w:left w:val="none" w:sz="0" w:space="0" w:color="auto"/>
            <w:bottom w:val="none" w:sz="0" w:space="0" w:color="auto"/>
            <w:right w:val="none" w:sz="0" w:space="0" w:color="auto"/>
          </w:divBdr>
        </w:div>
        <w:div w:id="1793132362">
          <w:marLeft w:val="0"/>
          <w:marRight w:val="0"/>
          <w:marTop w:val="0"/>
          <w:marBottom w:val="0"/>
          <w:divBdr>
            <w:top w:val="none" w:sz="0" w:space="0" w:color="auto"/>
            <w:left w:val="none" w:sz="0" w:space="0" w:color="auto"/>
            <w:bottom w:val="none" w:sz="0" w:space="0" w:color="auto"/>
            <w:right w:val="none" w:sz="0" w:space="0" w:color="auto"/>
          </w:divBdr>
        </w:div>
        <w:div w:id="1814057309">
          <w:marLeft w:val="0"/>
          <w:marRight w:val="0"/>
          <w:marTop w:val="0"/>
          <w:marBottom w:val="0"/>
          <w:divBdr>
            <w:top w:val="none" w:sz="0" w:space="0" w:color="auto"/>
            <w:left w:val="none" w:sz="0" w:space="0" w:color="auto"/>
            <w:bottom w:val="none" w:sz="0" w:space="0" w:color="auto"/>
            <w:right w:val="none" w:sz="0" w:space="0" w:color="auto"/>
          </w:divBdr>
        </w:div>
        <w:div w:id="1828547447">
          <w:marLeft w:val="0"/>
          <w:marRight w:val="0"/>
          <w:marTop w:val="0"/>
          <w:marBottom w:val="0"/>
          <w:divBdr>
            <w:top w:val="none" w:sz="0" w:space="0" w:color="auto"/>
            <w:left w:val="none" w:sz="0" w:space="0" w:color="auto"/>
            <w:bottom w:val="none" w:sz="0" w:space="0" w:color="auto"/>
            <w:right w:val="none" w:sz="0" w:space="0" w:color="auto"/>
          </w:divBdr>
        </w:div>
        <w:div w:id="1848517553">
          <w:marLeft w:val="0"/>
          <w:marRight w:val="0"/>
          <w:marTop w:val="0"/>
          <w:marBottom w:val="0"/>
          <w:divBdr>
            <w:top w:val="none" w:sz="0" w:space="0" w:color="auto"/>
            <w:left w:val="none" w:sz="0" w:space="0" w:color="auto"/>
            <w:bottom w:val="none" w:sz="0" w:space="0" w:color="auto"/>
            <w:right w:val="none" w:sz="0" w:space="0" w:color="auto"/>
          </w:divBdr>
        </w:div>
        <w:div w:id="1857887304">
          <w:marLeft w:val="0"/>
          <w:marRight w:val="0"/>
          <w:marTop w:val="0"/>
          <w:marBottom w:val="0"/>
          <w:divBdr>
            <w:top w:val="none" w:sz="0" w:space="0" w:color="auto"/>
            <w:left w:val="none" w:sz="0" w:space="0" w:color="auto"/>
            <w:bottom w:val="none" w:sz="0" w:space="0" w:color="auto"/>
            <w:right w:val="none" w:sz="0" w:space="0" w:color="auto"/>
          </w:divBdr>
        </w:div>
        <w:div w:id="1862473571">
          <w:marLeft w:val="0"/>
          <w:marRight w:val="0"/>
          <w:marTop w:val="0"/>
          <w:marBottom w:val="0"/>
          <w:divBdr>
            <w:top w:val="none" w:sz="0" w:space="0" w:color="auto"/>
            <w:left w:val="none" w:sz="0" w:space="0" w:color="auto"/>
            <w:bottom w:val="none" w:sz="0" w:space="0" w:color="auto"/>
            <w:right w:val="none" w:sz="0" w:space="0" w:color="auto"/>
          </w:divBdr>
        </w:div>
        <w:div w:id="1908681189">
          <w:marLeft w:val="0"/>
          <w:marRight w:val="0"/>
          <w:marTop w:val="0"/>
          <w:marBottom w:val="0"/>
          <w:divBdr>
            <w:top w:val="none" w:sz="0" w:space="0" w:color="auto"/>
            <w:left w:val="none" w:sz="0" w:space="0" w:color="auto"/>
            <w:bottom w:val="none" w:sz="0" w:space="0" w:color="auto"/>
            <w:right w:val="none" w:sz="0" w:space="0" w:color="auto"/>
          </w:divBdr>
        </w:div>
        <w:div w:id="1942175954">
          <w:marLeft w:val="0"/>
          <w:marRight w:val="0"/>
          <w:marTop w:val="0"/>
          <w:marBottom w:val="0"/>
          <w:divBdr>
            <w:top w:val="none" w:sz="0" w:space="0" w:color="auto"/>
            <w:left w:val="none" w:sz="0" w:space="0" w:color="auto"/>
            <w:bottom w:val="none" w:sz="0" w:space="0" w:color="auto"/>
            <w:right w:val="none" w:sz="0" w:space="0" w:color="auto"/>
          </w:divBdr>
        </w:div>
        <w:div w:id="1945336341">
          <w:marLeft w:val="0"/>
          <w:marRight w:val="0"/>
          <w:marTop w:val="0"/>
          <w:marBottom w:val="0"/>
          <w:divBdr>
            <w:top w:val="none" w:sz="0" w:space="0" w:color="auto"/>
            <w:left w:val="none" w:sz="0" w:space="0" w:color="auto"/>
            <w:bottom w:val="none" w:sz="0" w:space="0" w:color="auto"/>
            <w:right w:val="none" w:sz="0" w:space="0" w:color="auto"/>
          </w:divBdr>
        </w:div>
        <w:div w:id="2004312698">
          <w:marLeft w:val="0"/>
          <w:marRight w:val="0"/>
          <w:marTop w:val="0"/>
          <w:marBottom w:val="0"/>
          <w:divBdr>
            <w:top w:val="none" w:sz="0" w:space="0" w:color="auto"/>
            <w:left w:val="none" w:sz="0" w:space="0" w:color="auto"/>
            <w:bottom w:val="none" w:sz="0" w:space="0" w:color="auto"/>
            <w:right w:val="none" w:sz="0" w:space="0" w:color="auto"/>
          </w:divBdr>
        </w:div>
        <w:div w:id="2009015315">
          <w:marLeft w:val="0"/>
          <w:marRight w:val="0"/>
          <w:marTop w:val="0"/>
          <w:marBottom w:val="0"/>
          <w:divBdr>
            <w:top w:val="none" w:sz="0" w:space="0" w:color="auto"/>
            <w:left w:val="none" w:sz="0" w:space="0" w:color="auto"/>
            <w:bottom w:val="none" w:sz="0" w:space="0" w:color="auto"/>
            <w:right w:val="none" w:sz="0" w:space="0" w:color="auto"/>
          </w:divBdr>
        </w:div>
        <w:div w:id="2017613389">
          <w:marLeft w:val="0"/>
          <w:marRight w:val="0"/>
          <w:marTop w:val="0"/>
          <w:marBottom w:val="0"/>
          <w:divBdr>
            <w:top w:val="none" w:sz="0" w:space="0" w:color="auto"/>
            <w:left w:val="none" w:sz="0" w:space="0" w:color="auto"/>
            <w:bottom w:val="none" w:sz="0" w:space="0" w:color="auto"/>
            <w:right w:val="none" w:sz="0" w:space="0" w:color="auto"/>
          </w:divBdr>
        </w:div>
        <w:div w:id="2048875322">
          <w:marLeft w:val="0"/>
          <w:marRight w:val="0"/>
          <w:marTop w:val="0"/>
          <w:marBottom w:val="0"/>
          <w:divBdr>
            <w:top w:val="none" w:sz="0" w:space="0" w:color="auto"/>
            <w:left w:val="none" w:sz="0" w:space="0" w:color="auto"/>
            <w:bottom w:val="none" w:sz="0" w:space="0" w:color="auto"/>
            <w:right w:val="none" w:sz="0" w:space="0" w:color="auto"/>
          </w:divBdr>
        </w:div>
        <w:div w:id="2068411005">
          <w:marLeft w:val="0"/>
          <w:marRight w:val="0"/>
          <w:marTop w:val="0"/>
          <w:marBottom w:val="0"/>
          <w:divBdr>
            <w:top w:val="none" w:sz="0" w:space="0" w:color="auto"/>
            <w:left w:val="none" w:sz="0" w:space="0" w:color="auto"/>
            <w:bottom w:val="none" w:sz="0" w:space="0" w:color="auto"/>
            <w:right w:val="none" w:sz="0" w:space="0" w:color="auto"/>
          </w:divBdr>
          <w:divsChild>
            <w:div w:id="210196627">
              <w:marLeft w:val="0"/>
              <w:marRight w:val="0"/>
              <w:marTop w:val="0"/>
              <w:marBottom w:val="0"/>
              <w:divBdr>
                <w:top w:val="none" w:sz="0" w:space="0" w:color="auto"/>
                <w:left w:val="none" w:sz="0" w:space="0" w:color="auto"/>
                <w:bottom w:val="none" w:sz="0" w:space="0" w:color="auto"/>
                <w:right w:val="none" w:sz="0" w:space="0" w:color="auto"/>
              </w:divBdr>
            </w:div>
            <w:div w:id="571814467">
              <w:marLeft w:val="0"/>
              <w:marRight w:val="0"/>
              <w:marTop w:val="0"/>
              <w:marBottom w:val="0"/>
              <w:divBdr>
                <w:top w:val="none" w:sz="0" w:space="0" w:color="auto"/>
                <w:left w:val="none" w:sz="0" w:space="0" w:color="auto"/>
                <w:bottom w:val="none" w:sz="0" w:space="0" w:color="auto"/>
                <w:right w:val="none" w:sz="0" w:space="0" w:color="auto"/>
              </w:divBdr>
            </w:div>
            <w:div w:id="1207765250">
              <w:marLeft w:val="0"/>
              <w:marRight w:val="0"/>
              <w:marTop w:val="0"/>
              <w:marBottom w:val="0"/>
              <w:divBdr>
                <w:top w:val="none" w:sz="0" w:space="0" w:color="auto"/>
                <w:left w:val="none" w:sz="0" w:space="0" w:color="auto"/>
                <w:bottom w:val="none" w:sz="0" w:space="0" w:color="auto"/>
                <w:right w:val="none" w:sz="0" w:space="0" w:color="auto"/>
              </w:divBdr>
            </w:div>
            <w:div w:id="1288850654">
              <w:marLeft w:val="0"/>
              <w:marRight w:val="0"/>
              <w:marTop w:val="0"/>
              <w:marBottom w:val="0"/>
              <w:divBdr>
                <w:top w:val="none" w:sz="0" w:space="0" w:color="auto"/>
                <w:left w:val="none" w:sz="0" w:space="0" w:color="auto"/>
                <w:bottom w:val="none" w:sz="0" w:space="0" w:color="auto"/>
                <w:right w:val="none" w:sz="0" w:space="0" w:color="auto"/>
              </w:divBdr>
            </w:div>
          </w:divsChild>
        </w:div>
        <w:div w:id="2071341732">
          <w:marLeft w:val="0"/>
          <w:marRight w:val="0"/>
          <w:marTop w:val="0"/>
          <w:marBottom w:val="0"/>
          <w:divBdr>
            <w:top w:val="none" w:sz="0" w:space="0" w:color="auto"/>
            <w:left w:val="none" w:sz="0" w:space="0" w:color="auto"/>
            <w:bottom w:val="none" w:sz="0" w:space="0" w:color="auto"/>
            <w:right w:val="none" w:sz="0" w:space="0" w:color="auto"/>
          </w:divBdr>
        </w:div>
        <w:div w:id="2081830224">
          <w:marLeft w:val="0"/>
          <w:marRight w:val="0"/>
          <w:marTop w:val="0"/>
          <w:marBottom w:val="0"/>
          <w:divBdr>
            <w:top w:val="none" w:sz="0" w:space="0" w:color="auto"/>
            <w:left w:val="none" w:sz="0" w:space="0" w:color="auto"/>
            <w:bottom w:val="none" w:sz="0" w:space="0" w:color="auto"/>
            <w:right w:val="none" w:sz="0" w:space="0" w:color="auto"/>
          </w:divBdr>
        </w:div>
        <w:div w:id="2111311798">
          <w:marLeft w:val="0"/>
          <w:marRight w:val="0"/>
          <w:marTop w:val="0"/>
          <w:marBottom w:val="0"/>
          <w:divBdr>
            <w:top w:val="none" w:sz="0" w:space="0" w:color="auto"/>
            <w:left w:val="none" w:sz="0" w:space="0" w:color="auto"/>
            <w:bottom w:val="none" w:sz="0" w:space="0" w:color="auto"/>
            <w:right w:val="none" w:sz="0" w:space="0" w:color="auto"/>
          </w:divBdr>
        </w:div>
        <w:div w:id="2146314248">
          <w:marLeft w:val="0"/>
          <w:marRight w:val="0"/>
          <w:marTop w:val="0"/>
          <w:marBottom w:val="0"/>
          <w:divBdr>
            <w:top w:val="none" w:sz="0" w:space="0" w:color="auto"/>
            <w:left w:val="none" w:sz="0" w:space="0" w:color="auto"/>
            <w:bottom w:val="none" w:sz="0" w:space="0" w:color="auto"/>
            <w:right w:val="none" w:sz="0" w:space="0" w:color="auto"/>
          </w:divBdr>
        </w:div>
      </w:divsChild>
    </w:div>
    <w:div w:id="425031333">
      <w:bodyDiv w:val="1"/>
      <w:marLeft w:val="0"/>
      <w:marRight w:val="0"/>
      <w:marTop w:val="0"/>
      <w:marBottom w:val="0"/>
      <w:divBdr>
        <w:top w:val="none" w:sz="0" w:space="0" w:color="auto"/>
        <w:left w:val="none" w:sz="0" w:space="0" w:color="auto"/>
        <w:bottom w:val="none" w:sz="0" w:space="0" w:color="auto"/>
        <w:right w:val="none" w:sz="0" w:space="0" w:color="auto"/>
      </w:divBdr>
    </w:div>
    <w:div w:id="839853414">
      <w:bodyDiv w:val="1"/>
      <w:marLeft w:val="0"/>
      <w:marRight w:val="0"/>
      <w:marTop w:val="0"/>
      <w:marBottom w:val="0"/>
      <w:divBdr>
        <w:top w:val="none" w:sz="0" w:space="0" w:color="auto"/>
        <w:left w:val="none" w:sz="0" w:space="0" w:color="auto"/>
        <w:bottom w:val="none" w:sz="0" w:space="0" w:color="auto"/>
        <w:right w:val="none" w:sz="0" w:space="0" w:color="auto"/>
      </w:divBdr>
      <w:divsChild>
        <w:div w:id="11535641">
          <w:marLeft w:val="0"/>
          <w:marRight w:val="0"/>
          <w:marTop w:val="0"/>
          <w:marBottom w:val="0"/>
          <w:divBdr>
            <w:top w:val="none" w:sz="0" w:space="0" w:color="auto"/>
            <w:left w:val="none" w:sz="0" w:space="0" w:color="auto"/>
            <w:bottom w:val="none" w:sz="0" w:space="0" w:color="auto"/>
            <w:right w:val="none" w:sz="0" w:space="0" w:color="auto"/>
          </w:divBdr>
        </w:div>
        <w:div w:id="65614456">
          <w:marLeft w:val="0"/>
          <w:marRight w:val="0"/>
          <w:marTop w:val="0"/>
          <w:marBottom w:val="0"/>
          <w:divBdr>
            <w:top w:val="none" w:sz="0" w:space="0" w:color="auto"/>
            <w:left w:val="none" w:sz="0" w:space="0" w:color="auto"/>
            <w:bottom w:val="none" w:sz="0" w:space="0" w:color="auto"/>
            <w:right w:val="none" w:sz="0" w:space="0" w:color="auto"/>
          </w:divBdr>
        </w:div>
        <w:div w:id="84112407">
          <w:marLeft w:val="0"/>
          <w:marRight w:val="0"/>
          <w:marTop w:val="0"/>
          <w:marBottom w:val="0"/>
          <w:divBdr>
            <w:top w:val="none" w:sz="0" w:space="0" w:color="auto"/>
            <w:left w:val="none" w:sz="0" w:space="0" w:color="auto"/>
            <w:bottom w:val="none" w:sz="0" w:space="0" w:color="auto"/>
            <w:right w:val="none" w:sz="0" w:space="0" w:color="auto"/>
          </w:divBdr>
        </w:div>
        <w:div w:id="116030477">
          <w:marLeft w:val="0"/>
          <w:marRight w:val="0"/>
          <w:marTop w:val="0"/>
          <w:marBottom w:val="0"/>
          <w:divBdr>
            <w:top w:val="none" w:sz="0" w:space="0" w:color="auto"/>
            <w:left w:val="none" w:sz="0" w:space="0" w:color="auto"/>
            <w:bottom w:val="none" w:sz="0" w:space="0" w:color="auto"/>
            <w:right w:val="none" w:sz="0" w:space="0" w:color="auto"/>
          </w:divBdr>
        </w:div>
        <w:div w:id="124812808">
          <w:marLeft w:val="0"/>
          <w:marRight w:val="0"/>
          <w:marTop w:val="0"/>
          <w:marBottom w:val="0"/>
          <w:divBdr>
            <w:top w:val="none" w:sz="0" w:space="0" w:color="auto"/>
            <w:left w:val="none" w:sz="0" w:space="0" w:color="auto"/>
            <w:bottom w:val="none" w:sz="0" w:space="0" w:color="auto"/>
            <w:right w:val="none" w:sz="0" w:space="0" w:color="auto"/>
          </w:divBdr>
        </w:div>
        <w:div w:id="141704156">
          <w:marLeft w:val="0"/>
          <w:marRight w:val="0"/>
          <w:marTop w:val="0"/>
          <w:marBottom w:val="0"/>
          <w:divBdr>
            <w:top w:val="none" w:sz="0" w:space="0" w:color="auto"/>
            <w:left w:val="none" w:sz="0" w:space="0" w:color="auto"/>
            <w:bottom w:val="none" w:sz="0" w:space="0" w:color="auto"/>
            <w:right w:val="none" w:sz="0" w:space="0" w:color="auto"/>
          </w:divBdr>
        </w:div>
        <w:div w:id="170801562">
          <w:marLeft w:val="0"/>
          <w:marRight w:val="0"/>
          <w:marTop w:val="0"/>
          <w:marBottom w:val="0"/>
          <w:divBdr>
            <w:top w:val="none" w:sz="0" w:space="0" w:color="auto"/>
            <w:left w:val="none" w:sz="0" w:space="0" w:color="auto"/>
            <w:bottom w:val="none" w:sz="0" w:space="0" w:color="auto"/>
            <w:right w:val="none" w:sz="0" w:space="0" w:color="auto"/>
          </w:divBdr>
        </w:div>
        <w:div w:id="181600438">
          <w:marLeft w:val="0"/>
          <w:marRight w:val="0"/>
          <w:marTop w:val="0"/>
          <w:marBottom w:val="0"/>
          <w:divBdr>
            <w:top w:val="none" w:sz="0" w:space="0" w:color="auto"/>
            <w:left w:val="none" w:sz="0" w:space="0" w:color="auto"/>
            <w:bottom w:val="none" w:sz="0" w:space="0" w:color="auto"/>
            <w:right w:val="none" w:sz="0" w:space="0" w:color="auto"/>
          </w:divBdr>
        </w:div>
        <w:div w:id="217135809">
          <w:marLeft w:val="0"/>
          <w:marRight w:val="0"/>
          <w:marTop w:val="0"/>
          <w:marBottom w:val="0"/>
          <w:divBdr>
            <w:top w:val="none" w:sz="0" w:space="0" w:color="auto"/>
            <w:left w:val="none" w:sz="0" w:space="0" w:color="auto"/>
            <w:bottom w:val="none" w:sz="0" w:space="0" w:color="auto"/>
            <w:right w:val="none" w:sz="0" w:space="0" w:color="auto"/>
          </w:divBdr>
        </w:div>
        <w:div w:id="227499784">
          <w:marLeft w:val="0"/>
          <w:marRight w:val="0"/>
          <w:marTop w:val="0"/>
          <w:marBottom w:val="0"/>
          <w:divBdr>
            <w:top w:val="none" w:sz="0" w:space="0" w:color="auto"/>
            <w:left w:val="none" w:sz="0" w:space="0" w:color="auto"/>
            <w:bottom w:val="none" w:sz="0" w:space="0" w:color="auto"/>
            <w:right w:val="none" w:sz="0" w:space="0" w:color="auto"/>
          </w:divBdr>
        </w:div>
        <w:div w:id="271936600">
          <w:marLeft w:val="0"/>
          <w:marRight w:val="0"/>
          <w:marTop w:val="0"/>
          <w:marBottom w:val="0"/>
          <w:divBdr>
            <w:top w:val="none" w:sz="0" w:space="0" w:color="auto"/>
            <w:left w:val="none" w:sz="0" w:space="0" w:color="auto"/>
            <w:bottom w:val="none" w:sz="0" w:space="0" w:color="auto"/>
            <w:right w:val="none" w:sz="0" w:space="0" w:color="auto"/>
          </w:divBdr>
        </w:div>
        <w:div w:id="283773517">
          <w:marLeft w:val="0"/>
          <w:marRight w:val="0"/>
          <w:marTop w:val="0"/>
          <w:marBottom w:val="0"/>
          <w:divBdr>
            <w:top w:val="none" w:sz="0" w:space="0" w:color="auto"/>
            <w:left w:val="none" w:sz="0" w:space="0" w:color="auto"/>
            <w:bottom w:val="none" w:sz="0" w:space="0" w:color="auto"/>
            <w:right w:val="none" w:sz="0" w:space="0" w:color="auto"/>
          </w:divBdr>
        </w:div>
        <w:div w:id="284237712">
          <w:marLeft w:val="0"/>
          <w:marRight w:val="0"/>
          <w:marTop w:val="0"/>
          <w:marBottom w:val="0"/>
          <w:divBdr>
            <w:top w:val="none" w:sz="0" w:space="0" w:color="auto"/>
            <w:left w:val="none" w:sz="0" w:space="0" w:color="auto"/>
            <w:bottom w:val="none" w:sz="0" w:space="0" w:color="auto"/>
            <w:right w:val="none" w:sz="0" w:space="0" w:color="auto"/>
          </w:divBdr>
        </w:div>
        <w:div w:id="285428624">
          <w:marLeft w:val="0"/>
          <w:marRight w:val="0"/>
          <w:marTop w:val="0"/>
          <w:marBottom w:val="0"/>
          <w:divBdr>
            <w:top w:val="none" w:sz="0" w:space="0" w:color="auto"/>
            <w:left w:val="none" w:sz="0" w:space="0" w:color="auto"/>
            <w:bottom w:val="none" w:sz="0" w:space="0" w:color="auto"/>
            <w:right w:val="none" w:sz="0" w:space="0" w:color="auto"/>
          </w:divBdr>
        </w:div>
        <w:div w:id="292562284">
          <w:marLeft w:val="0"/>
          <w:marRight w:val="0"/>
          <w:marTop w:val="0"/>
          <w:marBottom w:val="0"/>
          <w:divBdr>
            <w:top w:val="none" w:sz="0" w:space="0" w:color="auto"/>
            <w:left w:val="none" w:sz="0" w:space="0" w:color="auto"/>
            <w:bottom w:val="none" w:sz="0" w:space="0" w:color="auto"/>
            <w:right w:val="none" w:sz="0" w:space="0" w:color="auto"/>
          </w:divBdr>
        </w:div>
        <w:div w:id="309406773">
          <w:marLeft w:val="0"/>
          <w:marRight w:val="0"/>
          <w:marTop w:val="0"/>
          <w:marBottom w:val="0"/>
          <w:divBdr>
            <w:top w:val="none" w:sz="0" w:space="0" w:color="auto"/>
            <w:left w:val="none" w:sz="0" w:space="0" w:color="auto"/>
            <w:bottom w:val="none" w:sz="0" w:space="0" w:color="auto"/>
            <w:right w:val="none" w:sz="0" w:space="0" w:color="auto"/>
          </w:divBdr>
        </w:div>
        <w:div w:id="337655491">
          <w:marLeft w:val="0"/>
          <w:marRight w:val="0"/>
          <w:marTop w:val="0"/>
          <w:marBottom w:val="0"/>
          <w:divBdr>
            <w:top w:val="none" w:sz="0" w:space="0" w:color="auto"/>
            <w:left w:val="none" w:sz="0" w:space="0" w:color="auto"/>
            <w:bottom w:val="none" w:sz="0" w:space="0" w:color="auto"/>
            <w:right w:val="none" w:sz="0" w:space="0" w:color="auto"/>
          </w:divBdr>
        </w:div>
        <w:div w:id="340593923">
          <w:marLeft w:val="0"/>
          <w:marRight w:val="0"/>
          <w:marTop w:val="0"/>
          <w:marBottom w:val="0"/>
          <w:divBdr>
            <w:top w:val="none" w:sz="0" w:space="0" w:color="auto"/>
            <w:left w:val="none" w:sz="0" w:space="0" w:color="auto"/>
            <w:bottom w:val="none" w:sz="0" w:space="0" w:color="auto"/>
            <w:right w:val="none" w:sz="0" w:space="0" w:color="auto"/>
          </w:divBdr>
        </w:div>
        <w:div w:id="356739494">
          <w:marLeft w:val="0"/>
          <w:marRight w:val="0"/>
          <w:marTop w:val="0"/>
          <w:marBottom w:val="0"/>
          <w:divBdr>
            <w:top w:val="none" w:sz="0" w:space="0" w:color="auto"/>
            <w:left w:val="none" w:sz="0" w:space="0" w:color="auto"/>
            <w:bottom w:val="none" w:sz="0" w:space="0" w:color="auto"/>
            <w:right w:val="none" w:sz="0" w:space="0" w:color="auto"/>
          </w:divBdr>
        </w:div>
        <w:div w:id="365641229">
          <w:marLeft w:val="0"/>
          <w:marRight w:val="0"/>
          <w:marTop w:val="0"/>
          <w:marBottom w:val="0"/>
          <w:divBdr>
            <w:top w:val="none" w:sz="0" w:space="0" w:color="auto"/>
            <w:left w:val="none" w:sz="0" w:space="0" w:color="auto"/>
            <w:bottom w:val="none" w:sz="0" w:space="0" w:color="auto"/>
            <w:right w:val="none" w:sz="0" w:space="0" w:color="auto"/>
          </w:divBdr>
        </w:div>
        <w:div w:id="367410501">
          <w:marLeft w:val="0"/>
          <w:marRight w:val="0"/>
          <w:marTop w:val="0"/>
          <w:marBottom w:val="0"/>
          <w:divBdr>
            <w:top w:val="none" w:sz="0" w:space="0" w:color="auto"/>
            <w:left w:val="none" w:sz="0" w:space="0" w:color="auto"/>
            <w:bottom w:val="none" w:sz="0" w:space="0" w:color="auto"/>
            <w:right w:val="none" w:sz="0" w:space="0" w:color="auto"/>
          </w:divBdr>
        </w:div>
        <w:div w:id="419908520">
          <w:marLeft w:val="0"/>
          <w:marRight w:val="0"/>
          <w:marTop w:val="0"/>
          <w:marBottom w:val="0"/>
          <w:divBdr>
            <w:top w:val="none" w:sz="0" w:space="0" w:color="auto"/>
            <w:left w:val="none" w:sz="0" w:space="0" w:color="auto"/>
            <w:bottom w:val="none" w:sz="0" w:space="0" w:color="auto"/>
            <w:right w:val="none" w:sz="0" w:space="0" w:color="auto"/>
          </w:divBdr>
        </w:div>
        <w:div w:id="461701305">
          <w:marLeft w:val="0"/>
          <w:marRight w:val="0"/>
          <w:marTop w:val="0"/>
          <w:marBottom w:val="0"/>
          <w:divBdr>
            <w:top w:val="none" w:sz="0" w:space="0" w:color="auto"/>
            <w:left w:val="none" w:sz="0" w:space="0" w:color="auto"/>
            <w:bottom w:val="none" w:sz="0" w:space="0" w:color="auto"/>
            <w:right w:val="none" w:sz="0" w:space="0" w:color="auto"/>
          </w:divBdr>
        </w:div>
        <w:div w:id="467435014">
          <w:marLeft w:val="0"/>
          <w:marRight w:val="0"/>
          <w:marTop w:val="0"/>
          <w:marBottom w:val="0"/>
          <w:divBdr>
            <w:top w:val="none" w:sz="0" w:space="0" w:color="auto"/>
            <w:left w:val="none" w:sz="0" w:space="0" w:color="auto"/>
            <w:bottom w:val="none" w:sz="0" w:space="0" w:color="auto"/>
            <w:right w:val="none" w:sz="0" w:space="0" w:color="auto"/>
          </w:divBdr>
        </w:div>
        <w:div w:id="501507724">
          <w:marLeft w:val="0"/>
          <w:marRight w:val="0"/>
          <w:marTop w:val="0"/>
          <w:marBottom w:val="0"/>
          <w:divBdr>
            <w:top w:val="none" w:sz="0" w:space="0" w:color="auto"/>
            <w:left w:val="none" w:sz="0" w:space="0" w:color="auto"/>
            <w:bottom w:val="none" w:sz="0" w:space="0" w:color="auto"/>
            <w:right w:val="none" w:sz="0" w:space="0" w:color="auto"/>
          </w:divBdr>
        </w:div>
        <w:div w:id="510266991">
          <w:marLeft w:val="0"/>
          <w:marRight w:val="0"/>
          <w:marTop w:val="0"/>
          <w:marBottom w:val="0"/>
          <w:divBdr>
            <w:top w:val="none" w:sz="0" w:space="0" w:color="auto"/>
            <w:left w:val="none" w:sz="0" w:space="0" w:color="auto"/>
            <w:bottom w:val="none" w:sz="0" w:space="0" w:color="auto"/>
            <w:right w:val="none" w:sz="0" w:space="0" w:color="auto"/>
          </w:divBdr>
        </w:div>
        <w:div w:id="512450245">
          <w:marLeft w:val="0"/>
          <w:marRight w:val="0"/>
          <w:marTop w:val="0"/>
          <w:marBottom w:val="0"/>
          <w:divBdr>
            <w:top w:val="none" w:sz="0" w:space="0" w:color="auto"/>
            <w:left w:val="none" w:sz="0" w:space="0" w:color="auto"/>
            <w:bottom w:val="none" w:sz="0" w:space="0" w:color="auto"/>
            <w:right w:val="none" w:sz="0" w:space="0" w:color="auto"/>
          </w:divBdr>
        </w:div>
        <w:div w:id="527064793">
          <w:marLeft w:val="0"/>
          <w:marRight w:val="0"/>
          <w:marTop w:val="0"/>
          <w:marBottom w:val="0"/>
          <w:divBdr>
            <w:top w:val="none" w:sz="0" w:space="0" w:color="auto"/>
            <w:left w:val="none" w:sz="0" w:space="0" w:color="auto"/>
            <w:bottom w:val="none" w:sz="0" w:space="0" w:color="auto"/>
            <w:right w:val="none" w:sz="0" w:space="0" w:color="auto"/>
          </w:divBdr>
        </w:div>
        <w:div w:id="533886558">
          <w:marLeft w:val="0"/>
          <w:marRight w:val="0"/>
          <w:marTop w:val="0"/>
          <w:marBottom w:val="0"/>
          <w:divBdr>
            <w:top w:val="none" w:sz="0" w:space="0" w:color="auto"/>
            <w:left w:val="none" w:sz="0" w:space="0" w:color="auto"/>
            <w:bottom w:val="none" w:sz="0" w:space="0" w:color="auto"/>
            <w:right w:val="none" w:sz="0" w:space="0" w:color="auto"/>
          </w:divBdr>
        </w:div>
        <w:div w:id="559903517">
          <w:marLeft w:val="0"/>
          <w:marRight w:val="0"/>
          <w:marTop w:val="0"/>
          <w:marBottom w:val="0"/>
          <w:divBdr>
            <w:top w:val="none" w:sz="0" w:space="0" w:color="auto"/>
            <w:left w:val="none" w:sz="0" w:space="0" w:color="auto"/>
            <w:bottom w:val="none" w:sz="0" w:space="0" w:color="auto"/>
            <w:right w:val="none" w:sz="0" w:space="0" w:color="auto"/>
          </w:divBdr>
        </w:div>
        <w:div w:id="576718165">
          <w:marLeft w:val="0"/>
          <w:marRight w:val="0"/>
          <w:marTop w:val="0"/>
          <w:marBottom w:val="0"/>
          <w:divBdr>
            <w:top w:val="none" w:sz="0" w:space="0" w:color="auto"/>
            <w:left w:val="none" w:sz="0" w:space="0" w:color="auto"/>
            <w:bottom w:val="none" w:sz="0" w:space="0" w:color="auto"/>
            <w:right w:val="none" w:sz="0" w:space="0" w:color="auto"/>
          </w:divBdr>
        </w:div>
        <w:div w:id="592788554">
          <w:marLeft w:val="0"/>
          <w:marRight w:val="0"/>
          <w:marTop w:val="0"/>
          <w:marBottom w:val="0"/>
          <w:divBdr>
            <w:top w:val="none" w:sz="0" w:space="0" w:color="auto"/>
            <w:left w:val="none" w:sz="0" w:space="0" w:color="auto"/>
            <w:bottom w:val="none" w:sz="0" w:space="0" w:color="auto"/>
            <w:right w:val="none" w:sz="0" w:space="0" w:color="auto"/>
          </w:divBdr>
        </w:div>
        <w:div w:id="593632404">
          <w:marLeft w:val="0"/>
          <w:marRight w:val="0"/>
          <w:marTop w:val="0"/>
          <w:marBottom w:val="0"/>
          <w:divBdr>
            <w:top w:val="none" w:sz="0" w:space="0" w:color="auto"/>
            <w:left w:val="none" w:sz="0" w:space="0" w:color="auto"/>
            <w:bottom w:val="none" w:sz="0" w:space="0" w:color="auto"/>
            <w:right w:val="none" w:sz="0" w:space="0" w:color="auto"/>
          </w:divBdr>
        </w:div>
        <w:div w:id="645009580">
          <w:marLeft w:val="0"/>
          <w:marRight w:val="0"/>
          <w:marTop w:val="0"/>
          <w:marBottom w:val="0"/>
          <w:divBdr>
            <w:top w:val="none" w:sz="0" w:space="0" w:color="auto"/>
            <w:left w:val="none" w:sz="0" w:space="0" w:color="auto"/>
            <w:bottom w:val="none" w:sz="0" w:space="0" w:color="auto"/>
            <w:right w:val="none" w:sz="0" w:space="0" w:color="auto"/>
          </w:divBdr>
        </w:div>
        <w:div w:id="665943281">
          <w:marLeft w:val="0"/>
          <w:marRight w:val="0"/>
          <w:marTop w:val="0"/>
          <w:marBottom w:val="0"/>
          <w:divBdr>
            <w:top w:val="none" w:sz="0" w:space="0" w:color="auto"/>
            <w:left w:val="none" w:sz="0" w:space="0" w:color="auto"/>
            <w:bottom w:val="none" w:sz="0" w:space="0" w:color="auto"/>
            <w:right w:val="none" w:sz="0" w:space="0" w:color="auto"/>
          </w:divBdr>
        </w:div>
        <w:div w:id="682905212">
          <w:marLeft w:val="0"/>
          <w:marRight w:val="0"/>
          <w:marTop w:val="0"/>
          <w:marBottom w:val="0"/>
          <w:divBdr>
            <w:top w:val="none" w:sz="0" w:space="0" w:color="auto"/>
            <w:left w:val="none" w:sz="0" w:space="0" w:color="auto"/>
            <w:bottom w:val="none" w:sz="0" w:space="0" w:color="auto"/>
            <w:right w:val="none" w:sz="0" w:space="0" w:color="auto"/>
          </w:divBdr>
        </w:div>
        <w:div w:id="730932598">
          <w:marLeft w:val="0"/>
          <w:marRight w:val="0"/>
          <w:marTop w:val="0"/>
          <w:marBottom w:val="0"/>
          <w:divBdr>
            <w:top w:val="none" w:sz="0" w:space="0" w:color="auto"/>
            <w:left w:val="none" w:sz="0" w:space="0" w:color="auto"/>
            <w:bottom w:val="none" w:sz="0" w:space="0" w:color="auto"/>
            <w:right w:val="none" w:sz="0" w:space="0" w:color="auto"/>
          </w:divBdr>
        </w:div>
        <w:div w:id="762065816">
          <w:marLeft w:val="0"/>
          <w:marRight w:val="0"/>
          <w:marTop w:val="0"/>
          <w:marBottom w:val="0"/>
          <w:divBdr>
            <w:top w:val="none" w:sz="0" w:space="0" w:color="auto"/>
            <w:left w:val="none" w:sz="0" w:space="0" w:color="auto"/>
            <w:bottom w:val="none" w:sz="0" w:space="0" w:color="auto"/>
            <w:right w:val="none" w:sz="0" w:space="0" w:color="auto"/>
          </w:divBdr>
        </w:div>
        <w:div w:id="762146349">
          <w:marLeft w:val="0"/>
          <w:marRight w:val="0"/>
          <w:marTop w:val="0"/>
          <w:marBottom w:val="0"/>
          <w:divBdr>
            <w:top w:val="none" w:sz="0" w:space="0" w:color="auto"/>
            <w:left w:val="none" w:sz="0" w:space="0" w:color="auto"/>
            <w:bottom w:val="none" w:sz="0" w:space="0" w:color="auto"/>
            <w:right w:val="none" w:sz="0" w:space="0" w:color="auto"/>
          </w:divBdr>
        </w:div>
        <w:div w:id="788091722">
          <w:marLeft w:val="0"/>
          <w:marRight w:val="0"/>
          <w:marTop w:val="0"/>
          <w:marBottom w:val="0"/>
          <w:divBdr>
            <w:top w:val="none" w:sz="0" w:space="0" w:color="auto"/>
            <w:left w:val="none" w:sz="0" w:space="0" w:color="auto"/>
            <w:bottom w:val="none" w:sz="0" w:space="0" w:color="auto"/>
            <w:right w:val="none" w:sz="0" w:space="0" w:color="auto"/>
          </w:divBdr>
        </w:div>
        <w:div w:id="804812727">
          <w:marLeft w:val="0"/>
          <w:marRight w:val="0"/>
          <w:marTop w:val="0"/>
          <w:marBottom w:val="0"/>
          <w:divBdr>
            <w:top w:val="none" w:sz="0" w:space="0" w:color="auto"/>
            <w:left w:val="none" w:sz="0" w:space="0" w:color="auto"/>
            <w:bottom w:val="none" w:sz="0" w:space="0" w:color="auto"/>
            <w:right w:val="none" w:sz="0" w:space="0" w:color="auto"/>
          </w:divBdr>
          <w:divsChild>
            <w:div w:id="457264184">
              <w:marLeft w:val="0"/>
              <w:marRight w:val="0"/>
              <w:marTop w:val="0"/>
              <w:marBottom w:val="0"/>
              <w:divBdr>
                <w:top w:val="none" w:sz="0" w:space="0" w:color="auto"/>
                <w:left w:val="none" w:sz="0" w:space="0" w:color="auto"/>
                <w:bottom w:val="none" w:sz="0" w:space="0" w:color="auto"/>
                <w:right w:val="none" w:sz="0" w:space="0" w:color="auto"/>
              </w:divBdr>
            </w:div>
            <w:div w:id="1070808495">
              <w:marLeft w:val="0"/>
              <w:marRight w:val="0"/>
              <w:marTop w:val="0"/>
              <w:marBottom w:val="0"/>
              <w:divBdr>
                <w:top w:val="none" w:sz="0" w:space="0" w:color="auto"/>
                <w:left w:val="none" w:sz="0" w:space="0" w:color="auto"/>
                <w:bottom w:val="none" w:sz="0" w:space="0" w:color="auto"/>
                <w:right w:val="none" w:sz="0" w:space="0" w:color="auto"/>
              </w:divBdr>
            </w:div>
            <w:div w:id="1825467234">
              <w:marLeft w:val="0"/>
              <w:marRight w:val="0"/>
              <w:marTop w:val="0"/>
              <w:marBottom w:val="0"/>
              <w:divBdr>
                <w:top w:val="none" w:sz="0" w:space="0" w:color="auto"/>
                <w:left w:val="none" w:sz="0" w:space="0" w:color="auto"/>
                <w:bottom w:val="none" w:sz="0" w:space="0" w:color="auto"/>
                <w:right w:val="none" w:sz="0" w:space="0" w:color="auto"/>
              </w:divBdr>
            </w:div>
          </w:divsChild>
        </w:div>
        <w:div w:id="891961999">
          <w:marLeft w:val="0"/>
          <w:marRight w:val="0"/>
          <w:marTop w:val="0"/>
          <w:marBottom w:val="0"/>
          <w:divBdr>
            <w:top w:val="none" w:sz="0" w:space="0" w:color="auto"/>
            <w:left w:val="none" w:sz="0" w:space="0" w:color="auto"/>
            <w:bottom w:val="none" w:sz="0" w:space="0" w:color="auto"/>
            <w:right w:val="none" w:sz="0" w:space="0" w:color="auto"/>
          </w:divBdr>
        </w:div>
        <w:div w:id="918290677">
          <w:marLeft w:val="0"/>
          <w:marRight w:val="0"/>
          <w:marTop w:val="0"/>
          <w:marBottom w:val="0"/>
          <w:divBdr>
            <w:top w:val="none" w:sz="0" w:space="0" w:color="auto"/>
            <w:left w:val="none" w:sz="0" w:space="0" w:color="auto"/>
            <w:bottom w:val="none" w:sz="0" w:space="0" w:color="auto"/>
            <w:right w:val="none" w:sz="0" w:space="0" w:color="auto"/>
          </w:divBdr>
        </w:div>
        <w:div w:id="919756124">
          <w:marLeft w:val="0"/>
          <w:marRight w:val="0"/>
          <w:marTop w:val="0"/>
          <w:marBottom w:val="0"/>
          <w:divBdr>
            <w:top w:val="none" w:sz="0" w:space="0" w:color="auto"/>
            <w:left w:val="none" w:sz="0" w:space="0" w:color="auto"/>
            <w:bottom w:val="none" w:sz="0" w:space="0" w:color="auto"/>
            <w:right w:val="none" w:sz="0" w:space="0" w:color="auto"/>
          </w:divBdr>
        </w:div>
        <w:div w:id="950626138">
          <w:marLeft w:val="0"/>
          <w:marRight w:val="0"/>
          <w:marTop w:val="0"/>
          <w:marBottom w:val="0"/>
          <w:divBdr>
            <w:top w:val="none" w:sz="0" w:space="0" w:color="auto"/>
            <w:left w:val="none" w:sz="0" w:space="0" w:color="auto"/>
            <w:bottom w:val="none" w:sz="0" w:space="0" w:color="auto"/>
            <w:right w:val="none" w:sz="0" w:space="0" w:color="auto"/>
          </w:divBdr>
        </w:div>
        <w:div w:id="956792644">
          <w:marLeft w:val="0"/>
          <w:marRight w:val="0"/>
          <w:marTop w:val="0"/>
          <w:marBottom w:val="0"/>
          <w:divBdr>
            <w:top w:val="none" w:sz="0" w:space="0" w:color="auto"/>
            <w:left w:val="none" w:sz="0" w:space="0" w:color="auto"/>
            <w:bottom w:val="none" w:sz="0" w:space="0" w:color="auto"/>
            <w:right w:val="none" w:sz="0" w:space="0" w:color="auto"/>
          </w:divBdr>
        </w:div>
        <w:div w:id="1033072392">
          <w:marLeft w:val="0"/>
          <w:marRight w:val="0"/>
          <w:marTop w:val="0"/>
          <w:marBottom w:val="0"/>
          <w:divBdr>
            <w:top w:val="none" w:sz="0" w:space="0" w:color="auto"/>
            <w:left w:val="none" w:sz="0" w:space="0" w:color="auto"/>
            <w:bottom w:val="none" w:sz="0" w:space="0" w:color="auto"/>
            <w:right w:val="none" w:sz="0" w:space="0" w:color="auto"/>
          </w:divBdr>
        </w:div>
        <w:div w:id="1033506064">
          <w:marLeft w:val="0"/>
          <w:marRight w:val="0"/>
          <w:marTop w:val="0"/>
          <w:marBottom w:val="0"/>
          <w:divBdr>
            <w:top w:val="none" w:sz="0" w:space="0" w:color="auto"/>
            <w:left w:val="none" w:sz="0" w:space="0" w:color="auto"/>
            <w:bottom w:val="none" w:sz="0" w:space="0" w:color="auto"/>
            <w:right w:val="none" w:sz="0" w:space="0" w:color="auto"/>
          </w:divBdr>
        </w:div>
        <w:div w:id="1060403876">
          <w:marLeft w:val="0"/>
          <w:marRight w:val="0"/>
          <w:marTop w:val="0"/>
          <w:marBottom w:val="0"/>
          <w:divBdr>
            <w:top w:val="none" w:sz="0" w:space="0" w:color="auto"/>
            <w:left w:val="none" w:sz="0" w:space="0" w:color="auto"/>
            <w:bottom w:val="none" w:sz="0" w:space="0" w:color="auto"/>
            <w:right w:val="none" w:sz="0" w:space="0" w:color="auto"/>
          </w:divBdr>
        </w:div>
        <w:div w:id="1069961254">
          <w:marLeft w:val="0"/>
          <w:marRight w:val="0"/>
          <w:marTop w:val="0"/>
          <w:marBottom w:val="0"/>
          <w:divBdr>
            <w:top w:val="none" w:sz="0" w:space="0" w:color="auto"/>
            <w:left w:val="none" w:sz="0" w:space="0" w:color="auto"/>
            <w:bottom w:val="none" w:sz="0" w:space="0" w:color="auto"/>
            <w:right w:val="none" w:sz="0" w:space="0" w:color="auto"/>
          </w:divBdr>
        </w:div>
        <w:div w:id="1093356732">
          <w:marLeft w:val="0"/>
          <w:marRight w:val="0"/>
          <w:marTop w:val="0"/>
          <w:marBottom w:val="0"/>
          <w:divBdr>
            <w:top w:val="none" w:sz="0" w:space="0" w:color="auto"/>
            <w:left w:val="none" w:sz="0" w:space="0" w:color="auto"/>
            <w:bottom w:val="none" w:sz="0" w:space="0" w:color="auto"/>
            <w:right w:val="none" w:sz="0" w:space="0" w:color="auto"/>
          </w:divBdr>
        </w:div>
        <w:div w:id="1095128958">
          <w:marLeft w:val="0"/>
          <w:marRight w:val="0"/>
          <w:marTop w:val="0"/>
          <w:marBottom w:val="0"/>
          <w:divBdr>
            <w:top w:val="none" w:sz="0" w:space="0" w:color="auto"/>
            <w:left w:val="none" w:sz="0" w:space="0" w:color="auto"/>
            <w:bottom w:val="none" w:sz="0" w:space="0" w:color="auto"/>
            <w:right w:val="none" w:sz="0" w:space="0" w:color="auto"/>
          </w:divBdr>
        </w:div>
        <w:div w:id="1122311551">
          <w:marLeft w:val="0"/>
          <w:marRight w:val="0"/>
          <w:marTop w:val="0"/>
          <w:marBottom w:val="0"/>
          <w:divBdr>
            <w:top w:val="none" w:sz="0" w:space="0" w:color="auto"/>
            <w:left w:val="none" w:sz="0" w:space="0" w:color="auto"/>
            <w:bottom w:val="none" w:sz="0" w:space="0" w:color="auto"/>
            <w:right w:val="none" w:sz="0" w:space="0" w:color="auto"/>
          </w:divBdr>
        </w:div>
        <w:div w:id="1123964189">
          <w:marLeft w:val="0"/>
          <w:marRight w:val="0"/>
          <w:marTop w:val="0"/>
          <w:marBottom w:val="0"/>
          <w:divBdr>
            <w:top w:val="none" w:sz="0" w:space="0" w:color="auto"/>
            <w:left w:val="none" w:sz="0" w:space="0" w:color="auto"/>
            <w:bottom w:val="none" w:sz="0" w:space="0" w:color="auto"/>
            <w:right w:val="none" w:sz="0" w:space="0" w:color="auto"/>
          </w:divBdr>
        </w:div>
        <w:div w:id="1164709101">
          <w:marLeft w:val="0"/>
          <w:marRight w:val="0"/>
          <w:marTop w:val="0"/>
          <w:marBottom w:val="0"/>
          <w:divBdr>
            <w:top w:val="none" w:sz="0" w:space="0" w:color="auto"/>
            <w:left w:val="none" w:sz="0" w:space="0" w:color="auto"/>
            <w:bottom w:val="none" w:sz="0" w:space="0" w:color="auto"/>
            <w:right w:val="none" w:sz="0" w:space="0" w:color="auto"/>
          </w:divBdr>
        </w:div>
        <w:div w:id="1194418138">
          <w:marLeft w:val="0"/>
          <w:marRight w:val="0"/>
          <w:marTop w:val="0"/>
          <w:marBottom w:val="0"/>
          <w:divBdr>
            <w:top w:val="none" w:sz="0" w:space="0" w:color="auto"/>
            <w:left w:val="none" w:sz="0" w:space="0" w:color="auto"/>
            <w:bottom w:val="none" w:sz="0" w:space="0" w:color="auto"/>
            <w:right w:val="none" w:sz="0" w:space="0" w:color="auto"/>
          </w:divBdr>
        </w:div>
        <w:div w:id="1194659775">
          <w:marLeft w:val="0"/>
          <w:marRight w:val="0"/>
          <w:marTop w:val="0"/>
          <w:marBottom w:val="0"/>
          <w:divBdr>
            <w:top w:val="none" w:sz="0" w:space="0" w:color="auto"/>
            <w:left w:val="none" w:sz="0" w:space="0" w:color="auto"/>
            <w:bottom w:val="none" w:sz="0" w:space="0" w:color="auto"/>
            <w:right w:val="none" w:sz="0" w:space="0" w:color="auto"/>
          </w:divBdr>
        </w:div>
        <w:div w:id="1195847563">
          <w:marLeft w:val="0"/>
          <w:marRight w:val="0"/>
          <w:marTop w:val="0"/>
          <w:marBottom w:val="0"/>
          <w:divBdr>
            <w:top w:val="none" w:sz="0" w:space="0" w:color="auto"/>
            <w:left w:val="none" w:sz="0" w:space="0" w:color="auto"/>
            <w:bottom w:val="none" w:sz="0" w:space="0" w:color="auto"/>
            <w:right w:val="none" w:sz="0" w:space="0" w:color="auto"/>
          </w:divBdr>
        </w:div>
        <w:div w:id="1212426561">
          <w:marLeft w:val="0"/>
          <w:marRight w:val="0"/>
          <w:marTop w:val="0"/>
          <w:marBottom w:val="0"/>
          <w:divBdr>
            <w:top w:val="none" w:sz="0" w:space="0" w:color="auto"/>
            <w:left w:val="none" w:sz="0" w:space="0" w:color="auto"/>
            <w:bottom w:val="none" w:sz="0" w:space="0" w:color="auto"/>
            <w:right w:val="none" w:sz="0" w:space="0" w:color="auto"/>
          </w:divBdr>
        </w:div>
        <w:div w:id="1233809572">
          <w:marLeft w:val="0"/>
          <w:marRight w:val="0"/>
          <w:marTop w:val="0"/>
          <w:marBottom w:val="0"/>
          <w:divBdr>
            <w:top w:val="none" w:sz="0" w:space="0" w:color="auto"/>
            <w:left w:val="none" w:sz="0" w:space="0" w:color="auto"/>
            <w:bottom w:val="none" w:sz="0" w:space="0" w:color="auto"/>
            <w:right w:val="none" w:sz="0" w:space="0" w:color="auto"/>
          </w:divBdr>
        </w:div>
        <w:div w:id="1331177184">
          <w:marLeft w:val="0"/>
          <w:marRight w:val="0"/>
          <w:marTop w:val="0"/>
          <w:marBottom w:val="0"/>
          <w:divBdr>
            <w:top w:val="none" w:sz="0" w:space="0" w:color="auto"/>
            <w:left w:val="none" w:sz="0" w:space="0" w:color="auto"/>
            <w:bottom w:val="none" w:sz="0" w:space="0" w:color="auto"/>
            <w:right w:val="none" w:sz="0" w:space="0" w:color="auto"/>
          </w:divBdr>
        </w:div>
        <w:div w:id="1383674454">
          <w:marLeft w:val="0"/>
          <w:marRight w:val="0"/>
          <w:marTop w:val="0"/>
          <w:marBottom w:val="0"/>
          <w:divBdr>
            <w:top w:val="none" w:sz="0" w:space="0" w:color="auto"/>
            <w:left w:val="none" w:sz="0" w:space="0" w:color="auto"/>
            <w:bottom w:val="none" w:sz="0" w:space="0" w:color="auto"/>
            <w:right w:val="none" w:sz="0" w:space="0" w:color="auto"/>
          </w:divBdr>
        </w:div>
        <w:div w:id="1386180569">
          <w:marLeft w:val="0"/>
          <w:marRight w:val="0"/>
          <w:marTop w:val="0"/>
          <w:marBottom w:val="0"/>
          <w:divBdr>
            <w:top w:val="none" w:sz="0" w:space="0" w:color="auto"/>
            <w:left w:val="none" w:sz="0" w:space="0" w:color="auto"/>
            <w:bottom w:val="none" w:sz="0" w:space="0" w:color="auto"/>
            <w:right w:val="none" w:sz="0" w:space="0" w:color="auto"/>
          </w:divBdr>
        </w:div>
        <w:div w:id="1446073843">
          <w:marLeft w:val="0"/>
          <w:marRight w:val="0"/>
          <w:marTop w:val="0"/>
          <w:marBottom w:val="0"/>
          <w:divBdr>
            <w:top w:val="none" w:sz="0" w:space="0" w:color="auto"/>
            <w:left w:val="none" w:sz="0" w:space="0" w:color="auto"/>
            <w:bottom w:val="none" w:sz="0" w:space="0" w:color="auto"/>
            <w:right w:val="none" w:sz="0" w:space="0" w:color="auto"/>
          </w:divBdr>
        </w:div>
        <w:div w:id="1519393050">
          <w:marLeft w:val="0"/>
          <w:marRight w:val="0"/>
          <w:marTop w:val="0"/>
          <w:marBottom w:val="0"/>
          <w:divBdr>
            <w:top w:val="none" w:sz="0" w:space="0" w:color="auto"/>
            <w:left w:val="none" w:sz="0" w:space="0" w:color="auto"/>
            <w:bottom w:val="none" w:sz="0" w:space="0" w:color="auto"/>
            <w:right w:val="none" w:sz="0" w:space="0" w:color="auto"/>
          </w:divBdr>
        </w:div>
        <w:div w:id="1520003489">
          <w:marLeft w:val="0"/>
          <w:marRight w:val="0"/>
          <w:marTop w:val="0"/>
          <w:marBottom w:val="0"/>
          <w:divBdr>
            <w:top w:val="none" w:sz="0" w:space="0" w:color="auto"/>
            <w:left w:val="none" w:sz="0" w:space="0" w:color="auto"/>
            <w:bottom w:val="none" w:sz="0" w:space="0" w:color="auto"/>
            <w:right w:val="none" w:sz="0" w:space="0" w:color="auto"/>
          </w:divBdr>
        </w:div>
        <w:div w:id="1577740903">
          <w:marLeft w:val="0"/>
          <w:marRight w:val="0"/>
          <w:marTop w:val="0"/>
          <w:marBottom w:val="0"/>
          <w:divBdr>
            <w:top w:val="none" w:sz="0" w:space="0" w:color="auto"/>
            <w:left w:val="none" w:sz="0" w:space="0" w:color="auto"/>
            <w:bottom w:val="none" w:sz="0" w:space="0" w:color="auto"/>
            <w:right w:val="none" w:sz="0" w:space="0" w:color="auto"/>
          </w:divBdr>
        </w:div>
        <w:div w:id="1587416896">
          <w:marLeft w:val="0"/>
          <w:marRight w:val="0"/>
          <w:marTop w:val="0"/>
          <w:marBottom w:val="0"/>
          <w:divBdr>
            <w:top w:val="none" w:sz="0" w:space="0" w:color="auto"/>
            <w:left w:val="none" w:sz="0" w:space="0" w:color="auto"/>
            <w:bottom w:val="none" w:sz="0" w:space="0" w:color="auto"/>
            <w:right w:val="none" w:sz="0" w:space="0" w:color="auto"/>
          </w:divBdr>
        </w:div>
        <w:div w:id="1610235515">
          <w:marLeft w:val="0"/>
          <w:marRight w:val="0"/>
          <w:marTop w:val="0"/>
          <w:marBottom w:val="0"/>
          <w:divBdr>
            <w:top w:val="none" w:sz="0" w:space="0" w:color="auto"/>
            <w:left w:val="none" w:sz="0" w:space="0" w:color="auto"/>
            <w:bottom w:val="none" w:sz="0" w:space="0" w:color="auto"/>
            <w:right w:val="none" w:sz="0" w:space="0" w:color="auto"/>
          </w:divBdr>
        </w:div>
        <w:div w:id="1617252824">
          <w:marLeft w:val="0"/>
          <w:marRight w:val="0"/>
          <w:marTop w:val="0"/>
          <w:marBottom w:val="0"/>
          <w:divBdr>
            <w:top w:val="none" w:sz="0" w:space="0" w:color="auto"/>
            <w:left w:val="none" w:sz="0" w:space="0" w:color="auto"/>
            <w:bottom w:val="none" w:sz="0" w:space="0" w:color="auto"/>
            <w:right w:val="none" w:sz="0" w:space="0" w:color="auto"/>
          </w:divBdr>
        </w:div>
        <w:div w:id="1627616618">
          <w:marLeft w:val="0"/>
          <w:marRight w:val="0"/>
          <w:marTop w:val="0"/>
          <w:marBottom w:val="0"/>
          <w:divBdr>
            <w:top w:val="none" w:sz="0" w:space="0" w:color="auto"/>
            <w:left w:val="none" w:sz="0" w:space="0" w:color="auto"/>
            <w:bottom w:val="none" w:sz="0" w:space="0" w:color="auto"/>
            <w:right w:val="none" w:sz="0" w:space="0" w:color="auto"/>
          </w:divBdr>
        </w:div>
        <w:div w:id="1666781451">
          <w:marLeft w:val="0"/>
          <w:marRight w:val="0"/>
          <w:marTop w:val="0"/>
          <w:marBottom w:val="0"/>
          <w:divBdr>
            <w:top w:val="none" w:sz="0" w:space="0" w:color="auto"/>
            <w:left w:val="none" w:sz="0" w:space="0" w:color="auto"/>
            <w:bottom w:val="none" w:sz="0" w:space="0" w:color="auto"/>
            <w:right w:val="none" w:sz="0" w:space="0" w:color="auto"/>
          </w:divBdr>
        </w:div>
        <w:div w:id="1674065802">
          <w:marLeft w:val="0"/>
          <w:marRight w:val="0"/>
          <w:marTop w:val="0"/>
          <w:marBottom w:val="0"/>
          <w:divBdr>
            <w:top w:val="none" w:sz="0" w:space="0" w:color="auto"/>
            <w:left w:val="none" w:sz="0" w:space="0" w:color="auto"/>
            <w:bottom w:val="none" w:sz="0" w:space="0" w:color="auto"/>
            <w:right w:val="none" w:sz="0" w:space="0" w:color="auto"/>
          </w:divBdr>
        </w:div>
        <w:div w:id="1734231719">
          <w:marLeft w:val="0"/>
          <w:marRight w:val="0"/>
          <w:marTop w:val="0"/>
          <w:marBottom w:val="0"/>
          <w:divBdr>
            <w:top w:val="none" w:sz="0" w:space="0" w:color="auto"/>
            <w:left w:val="none" w:sz="0" w:space="0" w:color="auto"/>
            <w:bottom w:val="none" w:sz="0" w:space="0" w:color="auto"/>
            <w:right w:val="none" w:sz="0" w:space="0" w:color="auto"/>
          </w:divBdr>
        </w:div>
        <w:div w:id="1781143234">
          <w:marLeft w:val="0"/>
          <w:marRight w:val="0"/>
          <w:marTop w:val="0"/>
          <w:marBottom w:val="0"/>
          <w:divBdr>
            <w:top w:val="none" w:sz="0" w:space="0" w:color="auto"/>
            <w:left w:val="none" w:sz="0" w:space="0" w:color="auto"/>
            <w:bottom w:val="none" w:sz="0" w:space="0" w:color="auto"/>
            <w:right w:val="none" w:sz="0" w:space="0" w:color="auto"/>
          </w:divBdr>
        </w:div>
        <w:div w:id="1785079060">
          <w:marLeft w:val="0"/>
          <w:marRight w:val="0"/>
          <w:marTop w:val="0"/>
          <w:marBottom w:val="0"/>
          <w:divBdr>
            <w:top w:val="none" w:sz="0" w:space="0" w:color="auto"/>
            <w:left w:val="none" w:sz="0" w:space="0" w:color="auto"/>
            <w:bottom w:val="none" w:sz="0" w:space="0" w:color="auto"/>
            <w:right w:val="none" w:sz="0" w:space="0" w:color="auto"/>
          </w:divBdr>
        </w:div>
        <w:div w:id="1873032607">
          <w:marLeft w:val="0"/>
          <w:marRight w:val="0"/>
          <w:marTop w:val="0"/>
          <w:marBottom w:val="0"/>
          <w:divBdr>
            <w:top w:val="none" w:sz="0" w:space="0" w:color="auto"/>
            <w:left w:val="none" w:sz="0" w:space="0" w:color="auto"/>
            <w:bottom w:val="none" w:sz="0" w:space="0" w:color="auto"/>
            <w:right w:val="none" w:sz="0" w:space="0" w:color="auto"/>
          </w:divBdr>
        </w:div>
        <w:div w:id="1895117393">
          <w:marLeft w:val="0"/>
          <w:marRight w:val="0"/>
          <w:marTop w:val="0"/>
          <w:marBottom w:val="0"/>
          <w:divBdr>
            <w:top w:val="none" w:sz="0" w:space="0" w:color="auto"/>
            <w:left w:val="none" w:sz="0" w:space="0" w:color="auto"/>
            <w:bottom w:val="none" w:sz="0" w:space="0" w:color="auto"/>
            <w:right w:val="none" w:sz="0" w:space="0" w:color="auto"/>
          </w:divBdr>
        </w:div>
        <w:div w:id="1901331367">
          <w:marLeft w:val="0"/>
          <w:marRight w:val="0"/>
          <w:marTop w:val="0"/>
          <w:marBottom w:val="0"/>
          <w:divBdr>
            <w:top w:val="none" w:sz="0" w:space="0" w:color="auto"/>
            <w:left w:val="none" w:sz="0" w:space="0" w:color="auto"/>
            <w:bottom w:val="none" w:sz="0" w:space="0" w:color="auto"/>
            <w:right w:val="none" w:sz="0" w:space="0" w:color="auto"/>
          </w:divBdr>
        </w:div>
        <w:div w:id="1903708119">
          <w:marLeft w:val="0"/>
          <w:marRight w:val="0"/>
          <w:marTop w:val="0"/>
          <w:marBottom w:val="0"/>
          <w:divBdr>
            <w:top w:val="none" w:sz="0" w:space="0" w:color="auto"/>
            <w:left w:val="none" w:sz="0" w:space="0" w:color="auto"/>
            <w:bottom w:val="none" w:sz="0" w:space="0" w:color="auto"/>
            <w:right w:val="none" w:sz="0" w:space="0" w:color="auto"/>
          </w:divBdr>
        </w:div>
        <w:div w:id="1929651457">
          <w:marLeft w:val="0"/>
          <w:marRight w:val="0"/>
          <w:marTop w:val="0"/>
          <w:marBottom w:val="0"/>
          <w:divBdr>
            <w:top w:val="none" w:sz="0" w:space="0" w:color="auto"/>
            <w:left w:val="none" w:sz="0" w:space="0" w:color="auto"/>
            <w:bottom w:val="none" w:sz="0" w:space="0" w:color="auto"/>
            <w:right w:val="none" w:sz="0" w:space="0" w:color="auto"/>
          </w:divBdr>
        </w:div>
        <w:div w:id="1931890609">
          <w:marLeft w:val="0"/>
          <w:marRight w:val="0"/>
          <w:marTop w:val="0"/>
          <w:marBottom w:val="0"/>
          <w:divBdr>
            <w:top w:val="none" w:sz="0" w:space="0" w:color="auto"/>
            <w:left w:val="none" w:sz="0" w:space="0" w:color="auto"/>
            <w:bottom w:val="none" w:sz="0" w:space="0" w:color="auto"/>
            <w:right w:val="none" w:sz="0" w:space="0" w:color="auto"/>
          </w:divBdr>
        </w:div>
        <w:div w:id="1966811187">
          <w:marLeft w:val="0"/>
          <w:marRight w:val="0"/>
          <w:marTop w:val="0"/>
          <w:marBottom w:val="0"/>
          <w:divBdr>
            <w:top w:val="none" w:sz="0" w:space="0" w:color="auto"/>
            <w:left w:val="none" w:sz="0" w:space="0" w:color="auto"/>
            <w:bottom w:val="none" w:sz="0" w:space="0" w:color="auto"/>
            <w:right w:val="none" w:sz="0" w:space="0" w:color="auto"/>
          </w:divBdr>
        </w:div>
        <w:div w:id="1972245614">
          <w:marLeft w:val="0"/>
          <w:marRight w:val="0"/>
          <w:marTop w:val="0"/>
          <w:marBottom w:val="0"/>
          <w:divBdr>
            <w:top w:val="none" w:sz="0" w:space="0" w:color="auto"/>
            <w:left w:val="none" w:sz="0" w:space="0" w:color="auto"/>
            <w:bottom w:val="none" w:sz="0" w:space="0" w:color="auto"/>
            <w:right w:val="none" w:sz="0" w:space="0" w:color="auto"/>
          </w:divBdr>
        </w:div>
        <w:div w:id="1974556160">
          <w:marLeft w:val="0"/>
          <w:marRight w:val="0"/>
          <w:marTop w:val="0"/>
          <w:marBottom w:val="0"/>
          <w:divBdr>
            <w:top w:val="none" w:sz="0" w:space="0" w:color="auto"/>
            <w:left w:val="none" w:sz="0" w:space="0" w:color="auto"/>
            <w:bottom w:val="none" w:sz="0" w:space="0" w:color="auto"/>
            <w:right w:val="none" w:sz="0" w:space="0" w:color="auto"/>
          </w:divBdr>
        </w:div>
        <w:div w:id="2003073727">
          <w:marLeft w:val="0"/>
          <w:marRight w:val="0"/>
          <w:marTop w:val="0"/>
          <w:marBottom w:val="0"/>
          <w:divBdr>
            <w:top w:val="none" w:sz="0" w:space="0" w:color="auto"/>
            <w:left w:val="none" w:sz="0" w:space="0" w:color="auto"/>
            <w:bottom w:val="none" w:sz="0" w:space="0" w:color="auto"/>
            <w:right w:val="none" w:sz="0" w:space="0" w:color="auto"/>
          </w:divBdr>
          <w:divsChild>
            <w:div w:id="444738274">
              <w:marLeft w:val="0"/>
              <w:marRight w:val="0"/>
              <w:marTop w:val="0"/>
              <w:marBottom w:val="0"/>
              <w:divBdr>
                <w:top w:val="none" w:sz="0" w:space="0" w:color="auto"/>
                <w:left w:val="none" w:sz="0" w:space="0" w:color="auto"/>
                <w:bottom w:val="none" w:sz="0" w:space="0" w:color="auto"/>
                <w:right w:val="none" w:sz="0" w:space="0" w:color="auto"/>
              </w:divBdr>
            </w:div>
            <w:div w:id="610095114">
              <w:marLeft w:val="0"/>
              <w:marRight w:val="0"/>
              <w:marTop w:val="0"/>
              <w:marBottom w:val="0"/>
              <w:divBdr>
                <w:top w:val="none" w:sz="0" w:space="0" w:color="auto"/>
                <w:left w:val="none" w:sz="0" w:space="0" w:color="auto"/>
                <w:bottom w:val="none" w:sz="0" w:space="0" w:color="auto"/>
                <w:right w:val="none" w:sz="0" w:space="0" w:color="auto"/>
              </w:divBdr>
            </w:div>
            <w:div w:id="660501897">
              <w:marLeft w:val="0"/>
              <w:marRight w:val="0"/>
              <w:marTop w:val="0"/>
              <w:marBottom w:val="0"/>
              <w:divBdr>
                <w:top w:val="none" w:sz="0" w:space="0" w:color="auto"/>
                <w:left w:val="none" w:sz="0" w:space="0" w:color="auto"/>
                <w:bottom w:val="none" w:sz="0" w:space="0" w:color="auto"/>
                <w:right w:val="none" w:sz="0" w:space="0" w:color="auto"/>
              </w:divBdr>
            </w:div>
            <w:div w:id="1109545145">
              <w:marLeft w:val="0"/>
              <w:marRight w:val="0"/>
              <w:marTop w:val="0"/>
              <w:marBottom w:val="0"/>
              <w:divBdr>
                <w:top w:val="none" w:sz="0" w:space="0" w:color="auto"/>
                <w:left w:val="none" w:sz="0" w:space="0" w:color="auto"/>
                <w:bottom w:val="none" w:sz="0" w:space="0" w:color="auto"/>
                <w:right w:val="none" w:sz="0" w:space="0" w:color="auto"/>
              </w:divBdr>
            </w:div>
          </w:divsChild>
        </w:div>
        <w:div w:id="2005008654">
          <w:marLeft w:val="0"/>
          <w:marRight w:val="0"/>
          <w:marTop w:val="0"/>
          <w:marBottom w:val="0"/>
          <w:divBdr>
            <w:top w:val="none" w:sz="0" w:space="0" w:color="auto"/>
            <w:left w:val="none" w:sz="0" w:space="0" w:color="auto"/>
            <w:bottom w:val="none" w:sz="0" w:space="0" w:color="auto"/>
            <w:right w:val="none" w:sz="0" w:space="0" w:color="auto"/>
          </w:divBdr>
        </w:div>
        <w:div w:id="2016378470">
          <w:marLeft w:val="0"/>
          <w:marRight w:val="0"/>
          <w:marTop w:val="0"/>
          <w:marBottom w:val="0"/>
          <w:divBdr>
            <w:top w:val="none" w:sz="0" w:space="0" w:color="auto"/>
            <w:left w:val="none" w:sz="0" w:space="0" w:color="auto"/>
            <w:bottom w:val="none" w:sz="0" w:space="0" w:color="auto"/>
            <w:right w:val="none" w:sz="0" w:space="0" w:color="auto"/>
          </w:divBdr>
        </w:div>
        <w:div w:id="2019191507">
          <w:marLeft w:val="0"/>
          <w:marRight w:val="0"/>
          <w:marTop w:val="0"/>
          <w:marBottom w:val="0"/>
          <w:divBdr>
            <w:top w:val="none" w:sz="0" w:space="0" w:color="auto"/>
            <w:left w:val="none" w:sz="0" w:space="0" w:color="auto"/>
            <w:bottom w:val="none" w:sz="0" w:space="0" w:color="auto"/>
            <w:right w:val="none" w:sz="0" w:space="0" w:color="auto"/>
          </w:divBdr>
        </w:div>
        <w:div w:id="2050645324">
          <w:marLeft w:val="0"/>
          <w:marRight w:val="0"/>
          <w:marTop w:val="0"/>
          <w:marBottom w:val="0"/>
          <w:divBdr>
            <w:top w:val="none" w:sz="0" w:space="0" w:color="auto"/>
            <w:left w:val="none" w:sz="0" w:space="0" w:color="auto"/>
            <w:bottom w:val="none" w:sz="0" w:space="0" w:color="auto"/>
            <w:right w:val="none" w:sz="0" w:space="0" w:color="auto"/>
          </w:divBdr>
        </w:div>
        <w:div w:id="2086954743">
          <w:marLeft w:val="0"/>
          <w:marRight w:val="0"/>
          <w:marTop w:val="0"/>
          <w:marBottom w:val="0"/>
          <w:divBdr>
            <w:top w:val="none" w:sz="0" w:space="0" w:color="auto"/>
            <w:left w:val="none" w:sz="0" w:space="0" w:color="auto"/>
            <w:bottom w:val="none" w:sz="0" w:space="0" w:color="auto"/>
            <w:right w:val="none" w:sz="0" w:space="0" w:color="auto"/>
          </w:divBdr>
        </w:div>
        <w:div w:id="2092698194">
          <w:marLeft w:val="0"/>
          <w:marRight w:val="0"/>
          <w:marTop w:val="0"/>
          <w:marBottom w:val="0"/>
          <w:divBdr>
            <w:top w:val="none" w:sz="0" w:space="0" w:color="auto"/>
            <w:left w:val="none" w:sz="0" w:space="0" w:color="auto"/>
            <w:bottom w:val="none" w:sz="0" w:space="0" w:color="auto"/>
            <w:right w:val="none" w:sz="0" w:space="0" w:color="auto"/>
          </w:divBdr>
        </w:div>
        <w:div w:id="2099207591">
          <w:marLeft w:val="0"/>
          <w:marRight w:val="0"/>
          <w:marTop w:val="0"/>
          <w:marBottom w:val="0"/>
          <w:divBdr>
            <w:top w:val="none" w:sz="0" w:space="0" w:color="auto"/>
            <w:left w:val="none" w:sz="0" w:space="0" w:color="auto"/>
            <w:bottom w:val="none" w:sz="0" w:space="0" w:color="auto"/>
            <w:right w:val="none" w:sz="0" w:space="0" w:color="auto"/>
          </w:divBdr>
        </w:div>
        <w:div w:id="2115901968">
          <w:marLeft w:val="0"/>
          <w:marRight w:val="0"/>
          <w:marTop w:val="0"/>
          <w:marBottom w:val="0"/>
          <w:divBdr>
            <w:top w:val="none" w:sz="0" w:space="0" w:color="auto"/>
            <w:left w:val="none" w:sz="0" w:space="0" w:color="auto"/>
            <w:bottom w:val="none" w:sz="0" w:space="0" w:color="auto"/>
            <w:right w:val="none" w:sz="0" w:space="0" w:color="auto"/>
          </w:divBdr>
        </w:div>
      </w:divsChild>
    </w:div>
    <w:div w:id="931816279">
      <w:bodyDiv w:val="1"/>
      <w:marLeft w:val="0"/>
      <w:marRight w:val="0"/>
      <w:marTop w:val="0"/>
      <w:marBottom w:val="0"/>
      <w:divBdr>
        <w:top w:val="none" w:sz="0" w:space="0" w:color="auto"/>
        <w:left w:val="none" w:sz="0" w:space="0" w:color="auto"/>
        <w:bottom w:val="none" w:sz="0" w:space="0" w:color="auto"/>
        <w:right w:val="none" w:sz="0" w:space="0" w:color="auto"/>
      </w:divBdr>
      <w:divsChild>
        <w:div w:id="51463269">
          <w:marLeft w:val="0"/>
          <w:marRight w:val="0"/>
          <w:marTop w:val="0"/>
          <w:marBottom w:val="0"/>
          <w:divBdr>
            <w:top w:val="none" w:sz="0" w:space="0" w:color="auto"/>
            <w:left w:val="none" w:sz="0" w:space="0" w:color="auto"/>
            <w:bottom w:val="none" w:sz="0" w:space="0" w:color="auto"/>
            <w:right w:val="none" w:sz="0" w:space="0" w:color="auto"/>
          </w:divBdr>
        </w:div>
        <w:div w:id="77945437">
          <w:marLeft w:val="0"/>
          <w:marRight w:val="0"/>
          <w:marTop w:val="0"/>
          <w:marBottom w:val="0"/>
          <w:divBdr>
            <w:top w:val="none" w:sz="0" w:space="0" w:color="auto"/>
            <w:left w:val="none" w:sz="0" w:space="0" w:color="auto"/>
            <w:bottom w:val="none" w:sz="0" w:space="0" w:color="auto"/>
            <w:right w:val="none" w:sz="0" w:space="0" w:color="auto"/>
          </w:divBdr>
        </w:div>
        <w:div w:id="119226564">
          <w:marLeft w:val="0"/>
          <w:marRight w:val="0"/>
          <w:marTop w:val="0"/>
          <w:marBottom w:val="0"/>
          <w:divBdr>
            <w:top w:val="none" w:sz="0" w:space="0" w:color="auto"/>
            <w:left w:val="none" w:sz="0" w:space="0" w:color="auto"/>
            <w:bottom w:val="none" w:sz="0" w:space="0" w:color="auto"/>
            <w:right w:val="none" w:sz="0" w:space="0" w:color="auto"/>
          </w:divBdr>
        </w:div>
        <w:div w:id="158621770">
          <w:marLeft w:val="0"/>
          <w:marRight w:val="0"/>
          <w:marTop w:val="0"/>
          <w:marBottom w:val="0"/>
          <w:divBdr>
            <w:top w:val="none" w:sz="0" w:space="0" w:color="auto"/>
            <w:left w:val="none" w:sz="0" w:space="0" w:color="auto"/>
            <w:bottom w:val="none" w:sz="0" w:space="0" w:color="auto"/>
            <w:right w:val="none" w:sz="0" w:space="0" w:color="auto"/>
          </w:divBdr>
        </w:div>
        <w:div w:id="181945502">
          <w:marLeft w:val="0"/>
          <w:marRight w:val="0"/>
          <w:marTop w:val="0"/>
          <w:marBottom w:val="0"/>
          <w:divBdr>
            <w:top w:val="none" w:sz="0" w:space="0" w:color="auto"/>
            <w:left w:val="none" w:sz="0" w:space="0" w:color="auto"/>
            <w:bottom w:val="none" w:sz="0" w:space="0" w:color="auto"/>
            <w:right w:val="none" w:sz="0" w:space="0" w:color="auto"/>
          </w:divBdr>
        </w:div>
        <w:div w:id="304361368">
          <w:marLeft w:val="0"/>
          <w:marRight w:val="0"/>
          <w:marTop w:val="0"/>
          <w:marBottom w:val="0"/>
          <w:divBdr>
            <w:top w:val="none" w:sz="0" w:space="0" w:color="auto"/>
            <w:left w:val="none" w:sz="0" w:space="0" w:color="auto"/>
            <w:bottom w:val="none" w:sz="0" w:space="0" w:color="auto"/>
            <w:right w:val="none" w:sz="0" w:space="0" w:color="auto"/>
          </w:divBdr>
        </w:div>
        <w:div w:id="329141720">
          <w:marLeft w:val="0"/>
          <w:marRight w:val="0"/>
          <w:marTop w:val="0"/>
          <w:marBottom w:val="0"/>
          <w:divBdr>
            <w:top w:val="none" w:sz="0" w:space="0" w:color="auto"/>
            <w:left w:val="none" w:sz="0" w:space="0" w:color="auto"/>
            <w:bottom w:val="none" w:sz="0" w:space="0" w:color="auto"/>
            <w:right w:val="none" w:sz="0" w:space="0" w:color="auto"/>
          </w:divBdr>
        </w:div>
        <w:div w:id="338237685">
          <w:marLeft w:val="0"/>
          <w:marRight w:val="0"/>
          <w:marTop w:val="0"/>
          <w:marBottom w:val="0"/>
          <w:divBdr>
            <w:top w:val="none" w:sz="0" w:space="0" w:color="auto"/>
            <w:left w:val="none" w:sz="0" w:space="0" w:color="auto"/>
            <w:bottom w:val="none" w:sz="0" w:space="0" w:color="auto"/>
            <w:right w:val="none" w:sz="0" w:space="0" w:color="auto"/>
          </w:divBdr>
        </w:div>
        <w:div w:id="388263763">
          <w:marLeft w:val="0"/>
          <w:marRight w:val="0"/>
          <w:marTop w:val="0"/>
          <w:marBottom w:val="0"/>
          <w:divBdr>
            <w:top w:val="none" w:sz="0" w:space="0" w:color="auto"/>
            <w:left w:val="none" w:sz="0" w:space="0" w:color="auto"/>
            <w:bottom w:val="none" w:sz="0" w:space="0" w:color="auto"/>
            <w:right w:val="none" w:sz="0" w:space="0" w:color="auto"/>
          </w:divBdr>
        </w:div>
        <w:div w:id="402409843">
          <w:marLeft w:val="0"/>
          <w:marRight w:val="0"/>
          <w:marTop w:val="0"/>
          <w:marBottom w:val="0"/>
          <w:divBdr>
            <w:top w:val="none" w:sz="0" w:space="0" w:color="auto"/>
            <w:left w:val="none" w:sz="0" w:space="0" w:color="auto"/>
            <w:bottom w:val="none" w:sz="0" w:space="0" w:color="auto"/>
            <w:right w:val="none" w:sz="0" w:space="0" w:color="auto"/>
          </w:divBdr>
        </w:div>
        <w:div w:id="404840078">
          <w:marLeft w:val="0"/>
          <w:marRight w:val="0"/>
          <w:marTop w:val="0"/>
          <w:marBottom w:val="0"/>
          <w:divBdr>
            <w:top w:val="none" w:sz="0" w:space="0" w:color="auto"/>
            <w:left w:val="none" w:sz="0" w:space="0" w:color="auto"/>
            <w:bottom w:val="none" w:sz="0" w:space="0" w:color="auto"/>
            <w:right w:val="none" w:sz="0" w:space="0" w:color="auto"/>
          </w:divBdr>
        </w:div>
        <w:div w:id="411316604">
          <w:marLeft w:val="0"/>
          <w:marRight w:val="0"/>
          <w:marTop w:val="0"/>
          <w:marBottom w:val="0"/>
          <w:divBdr>
            <w:top w:val="none" w:sz="0" w:space="0" w:color="auto"/>
            <w:left w:val="none" w:sz="0" w:space="0" w:color="auto"/>
            <w:bottom w:val="none" w:sz="0" w:space="0" w:color="auto"/>
            <w:right w:val="none" w:sz="0" w:space="0" w:color="auto"/>
          </w:divBdr>
        </w:div>
        <w:div w:id="444692864">
          <w:marLeft w:val="0"/>
          <w:marRight w:val="0"/>
          <w:marTop w:val="0"/>
          <w:marBottom w:val="0"/>
          <w:divBdr>
            <w:top w:val="none" w:sz="0" w:space="0" w:color="auto"/>
            <w:left w:val="none" w:sz="0" w:space="0" w:color="auto"/>
            <w:bottom w:val="none" w:sz="0" w:space="0" w:color="auto"/>
            <w:right w:val="none" w:sz="0" w:space="0" w:color="auto"/>
          </w:divBdr>
        </w:div>
        <w:div w:id="529103305">
          <w:marLeft w:val="0"/>
          <w:marRight w:val="0"/>
          <w:marTop w:val="0"/>
          <w:marBottom w:val="0"/>
          <w:divBdr>
            <w:top w:val="none" w:sz="0" w:space="0" w:color="auto"/>
            <w:left w:val="none" w:sz="0" w:space="0" w:color="auto"/>
            <w:bottom w:val="none" w:sz="0" w:space="0" w:color="auto"/>
            <w:right w:val="none" w:sz="0" w:space="0" w:color="auto"/>
          </w:divBdr>
          <w:divsChild>
            <w:div w:id="65226424">
              <w:marLeft w:val="0"/>
              <w:marRight w:val="0"/>
              <w:marTop w:val="0"/>
              <w:marBottom w:val="0"/>
              <w:divBdr>
                <w:top w:val="none" w:sz="0" w:space="0" w:color="auto"/>
                <w:left w:val="none" w:sz="0" w:space="0" w:color="auto"/>
                <w:bottom w:val="none" w:sz="0" w:space="0" w:color="auto"/>
                <w:right w:val="none" w:sz="0" w:space="0" w:color="auto"/>
              </w:divBdr>
            </w:div>
            <w:div w:id="569537887">
              <w:marLeft w:val="0"/>
              <w:marRight w:val="0"/>
              <w:marTop w:val="0"/>
              <w:marBottom w:val="0"/>
              <w:divBdr>
                <w:top w:val="none" w:sz="0" w:space="0" w:color="auto"/>
                <w:left w:val="none" w:sz="0" w:space="0" w:color="auto"/>
                <w:bottom w:val="none" w:sz="0" w:space="0" w:color="auto"/>
                <w:right w:val="none" w:sz="0" w:space="0" w:color="auto"/>
              </w:divBdr>
            </w:div>
            <w:div w:id="1145774552">
              <w:marLeft w:val="0"/>
              <w:marRight w:val="0"/>
              <w:marTop w:val="0"/>
              <w:marBottom w:val="0"/>
              <w:divBdr>
                <w:top w:val="none" w:sz="0" w:space="0" w:color="auto"/>
                <w:left w:val="none" w:sz="0" w:space="0" w:color="auto"/>
                <w:bottom w:val="none" w:sz="0" w:space="0" w:color="auto"/>
                <w:right w:val="none" w:sz="0" w:space="0" w:color="auto"/>
              </w:divBdr>
            </w:div>
            <w:div w:id="1749308308">
              <w:marLeft w:val="0"/>
              <w:marRight w:val="0"/>
              <w:marTop w:val="0"/>
              <w:marBottom w:val="0"/>
              <w:divBdr>
                <w:top w:val="none" w:sz="0" w:space="0" w:color="auto"/>
                <w:left w:val="none" w:sz="0" w:space="0" w:color="auto"/>
                <w:bottom w:val="none" w:sz="0" w:space="0" w:color="auto"/>
                <w:right w:val="none" w:sz="0" w:space="0" w:color="auto"/>
              </w:divBdr>
            </w:div>
            <w:div w:id="2106680922">
              <w:marLeft w:val="0"/>
              <w:marRight w:val="0"/>
              <w:marTop w:val="0"/>
              <w:marBottom w:val="0"/>
              <w:divBdr>
                <w:top w:val="none" w:sz="0" w:space="0" w:color="auto"/>
                <w:left w:val="none" w:sz="0" w:space="0" w:color="auto"/>
                <w:bottom w:val="none" w:sz="0" w:space="0" w:color="auto"/>
                <w:right w:val="none" w:sz="0" w:space="0" w:color="auto"/>
              </w:divBdr>
            </w:div>
          </w:divsChild>
        </w:div>
        <w:div w:id="563954077">
          <w:marLeft w:val="0"/>
          <w:marRight w:val="0"/>
          <w:marTop w:val="0"/>
          <w:marBottom w:val="0"/>
          <w:divBdr>
            <w:top w:val="none" w:sz="0" w:space="0" w:color="auto"/>
            <w:left w:val="none" w:sz="0" w:space="0" w:color="auto"/>
            <w:bottom w:val="none" w:sz="0" w:space="0" w:color="auto"/>
            <w:right w:val="none" w:sz="0" w:space="0" w:color="auto"/>
          </w:divBdr>
        </w:div>
        <w:div w:id="570653367">
          <w:marLeft w:val="0"/>
          <w:marRight w:val="0"/>
          <w:marTop w:val="0"/>
          <w:marBottom w:val="0"/>
          <w:divBdr>
            <w:top w:val="none" w:sz="0" w:space="0" w:color="auto"/>
            <w:left w:val="none" w:sz="0" w:space="0" w:color="auto"/>
            <w:bottom w:val="none" w:sz="0" w:space="0" w:color="auto"/>
            <w:right w:val="none" w:sz="0" w:space="0" w:color="auto"/>
          </w:divBdr>
        </w:div>
        <w:div w:id="614673221">
          <w:marLeft w:val="0"/>
          <w:marRight w:val="0"/>
          <w:marTop w:val="0"/>
          <w:marBottom w:val="0"/>
          <w:divBdr>
            <w:top w:val="none" w:sz="0" w:space="0" w:color="auto"/>
            <w:left w:val="none" w:sz="0" w:space="0" w:color="auto"/>
            <w:bottom w:val="none" w:sz="0" w:space="0" w:color="auto"/>
            <w:right w:val="none" w:sz="0" w:space="0" w:color="auto"/>
          </w:divBdr>
        </w:div>
        <w:div w:id="615257683">
          <w:marLeft w:val="0"/>
          <w:marRight w:val="0"/>
          <w:marTop w:val="0"/>
          <w:marBottom w:val="0"/>
          <w:divBdr>
            <w:top w:val="none" w:sz="0" w:space="0" w:color="auto"/>
            <w:left w:val="none" w:sz="0" w:space="0" w:color="auto"/>
            <w:bottom w:val="none" w:sz="0" w:space="0" w:color="auto"/>
            <w:right w:val="none" w:sz="0" w:space="0" w:color="auto"/>
          </w:divBdr>
        </w:div>
        <w:div w:id="619993504">
          <w:marLeft w:val="0"/>
          <w:marRight w:val="0"/>
          <w:marTop w:val="0"/>
          <w:marBottom w:val="0"/>
          <w:divBdr>
            <w:top w:val="none" w:sz="0" w:space="0" w:color="auto"/>
            <w:left w:val="none" w:sz="0" w:space="0" w:color="auto"/>
            <w:bottom w:val="none" w:sz="0" w:space="0" w:color="auto"/>
            <w:right w:val="none" w:sz="0" w:space="0" w:color="auto"/>
          </w:divBdr>
        </w:div>
        <w:div w:id="621422417">
          <w:marLeft w:val="0"/>
          <w:marRight w:val="0"/>
          <w:marTop w:val="0"/>
          <w:marBottom w:val="0"/>
          <w:divBdr>
            <w:top w:val="none" w:sz="0" w:space="0" w:color="auto"/>
            <w:left w:val="none" w:sz="0" w:space="0" w:color="auto"/>
            <w:bottom w:val="none" w:sz="0" w:space="0" w:color="auto"/>
            <w:right w:val="none" w:sz="0" w:space="0" w:color="auto"/>
          </w:divBdr>
        </w:div>
        <w:div w:id="622463699">
          <w:marLeft w:val="0"/>
          <w:marRight w:val="0"/>
          <w:marTop w:val="0"/>
          <w:marBottom w:val="0"/>
          <w:divBdr>
            <w:top w:val="none" w:sz="0" w:space="0" w:color="auto"/>
            <w:left w:val="none" w:sz="0" w:space="0" w:color="auto"/>
            <w:bottom w:val="none" w:sz="0" w:space="0" w:color="auto"/>
            <w:right w:val="none" w:sz="0" w:space="0" w:color="auto"/>
          </w:divBdr>
        </w:div>
        <w:div w:id="634214343">
          <w:marLeft w:val="0"/>
          <w:marRight w:val="0"/>
          <w:marTop w:val="0"/>
          <w:marBottom w:val="0"/>
          <w:divBdr>
            <w:top w:val="none" w:sz="0" w:space="0" w:color="auto"/>
            <w:left w:val="none" w:sz="0" w:space="0" w:color="auto"/>
            <w:bottom w:val="none" w:sz="0" w:space="0" w:color="auto"/>
            <w:right w:val="none" w:sz="0" w:space="0" w:color="auto"/>
          </w:divBdr>
        </w:div>
        <w:div w:id="642858377">
          <w:marLeft w:val="0"/>
          <w:marRight w:val="0"/>
          <w:marTop w:val="0"/>
          <w:marBottom w:val="0"/>
          <w:divBdr>
            <w:top w:val="none" w:sz="0" w:space="0" w:color="auto"/>
            <w:left w:val="none" w:sz="0" w:space="0" w:color="auto"/>
            <w:bottom w:val="none" w:sz="0" w:space="0" w:color="auto"/>
            <w:right w:val="none" w:sz="0" w:space="0" w:color="auto"/>
          </w:divBdr>
        </w:div>
        <w:div w:id="667946574">
          <w:marLeft w:val="0"/>
          <w:marRight w:val="0"/>
          <w:marTop w:val="0"/>
          <w:marBottom w:val="0"/>
          <w:divBdr>
            <w:top w:val="none" w:sz="0" w:space="0" w:color="auto"/>
            <w:left w:val="none" w:sz="0" w:space="0" w:color="auto"/>
            <w:bottom w:val="none" w:sz="0" w:space="0" w:color="auto"/>
            <w:right w:val="none" w:sz="0" w:space="0" w:color="auto"/>
          </w:divBdr>
        </w:div>
        <w:div w:id="685907409">
          <w:marLeft w:val="0"/>
          <w:marRight w:val="0"/>
          <w:marTop w:val="0"/>
          <w:marBottom w:val="0"/>
          <w:divBdr>
            <w:top w:val="none" w:sz="0" w:space="0" w:color="auto"/>
            <w:left w:val="none" w:sz="0" w:space="0" w:color="auto"/>
            <w:bottom w:val="none" w:sz="0" w:space="0" w:color="auto"/>
            <w:right w:val="none" w:sz="0" w:space="0" w:color="auto"/>
          </w:divBdr>
        </w:div>
        <w:div w:id="699429137">
          <w:marLeft w:val="0"/>
          <w:marRight w:val="0"/>
          <w:marTop w:val="0"/>
          <w:marBottom w:val="0"/>
          <w:divBdr>
            <w:top w:val="none" w:sz="0" w:space="0" w:color="auto"/>
            <w:left w:val="none" w:sz="0" w:space="0" w:color="auto"/>
            <w:bottom w:val="none" w:sz="0" w:space="0" w:color="auto"/>
            <w:right w:val="none" w:sz="0" w:space="0" w:color="auto"/>
          </w:divBdr>
        </w:div>
        <w:div w:id="712388802">
          <w:marLeft w:val="0"/>
          <w:marRight w:val="0"/>
          <w:marTop w:val="0"/>
          <w:marBottom w:val="0"/>
          <w:divBdr>
            <w:top w:val="none" w:sz="0" w:space="0" w:color="auto"/>
            <w:left w:val="none" w:sz="0" w:space="0" w:color="auto"/>
            <w:bottom w:val="none" w:sz="0" w:space="0" w:color="auto"/>
            <w:right w:val="none" w:sz="0" w:space="0" w:color="auto"/>
          </w:divBdr>
        </w:div>
        <w:div w:id="808085820">
          <w:marLeft w:val="0"/>
          <w:marRight w:val="0"/>
          <w:marTop w:val="0"/>
          <w:marBottom w:val="0"/>
          <w:divBdr>
            <w:top w:val="none" w:sz="0" w:space="0" w:color="auto"/>
            <w:left w:val="none" w:sz="0" w:space="0" w:color="auto"/>
            <w:bottom w:val="none" w:sz="0" w:space="0" w:color="auto"/>
            <w:right w:val="none" w:sz="0" w:space="0" w:color="auto"/>
          </w:divBdr>
        </w:div>
        <w:div w:id="838808090">
          <w:marLeft w:val="0"/>
          <w:marRight w:val="0"/>
          <w:marTop w:val="0"/>
          <w:marBottom w:val="0"/>
          <w:divBdr>
            <w:top w:val="none" w:sz="0" w:space="0" w:color="auto"/>
            <w:left w:val="none" w:sz="0" w:space="0" w:color="auto"/>
            <w:bottom w:val="none" w:sz="0" w:space="0" w:color="auto"/>
            <w:right w:val="none" w:sz="0" w:space="0" w:color="auto"/>
          </w:divBdr>
        </w:div>
        <w:div w:id="838928469">
          <w:marLeft w:val="0"/>
          <w:marRight w:val="0"/>
          <w:marTop w:val="0"/>
          <w:marBottom w:val="0"/>
          <w:divBdr>
            <w:top w:val="none" w:sz="0" w:space="0" w:color="auto"/>
            <w:left w:val="none" w:sz="0" w:space="0" w:color="auto"/>
            <w:bottom w:val="none" w:sz="0" w:space="0" w:color="auto"/>
            <w:right w:val="none" w:sz="0" w:space="0" w:color="auto"/>
          </w:divBdr>
        </w:div>
        <w:div w:id="881550681">
          <w:marLeft w:val="0"/>
          <w:marRight w:val="0"/>
          <w:marTop w:val="0"/>
          <w:marBottom w:val="0"/>
          <w:divBdr>
            <w:top w:val="none" w:sz="0" w:space="0" w:color="auto"/>
            <w:left w:val="none" w:sz="0" w:space="0" w:color="auto"/>
            <w:bottom w:val="none" w:sz="0" w:space="0" w:color="auto"/>
            <w:right w:val="none" w:sz="0" w:space="0" w:color="auto"/>
          </w:divBdr>
        </w:div>
        <w:div w:id="882864013">
          <w:marLeft w:val="0"/>
          <w:marRight w:val="0"/>
          <w:marTop w:val="0"/>
          <w:marBottom w:val="0"/>
          <w:divBdr>
            <w:top w:val="none" w:sz="0" w:space="0" w:color="auto"/>
            <w:left w:val="none" w:sz="0" w:space="0" w:color="auto"/>
            <w:bottom w:val="none" w:sz="0" w:space="0" w:color="auto"/>
            <w:right w:val="none" w:sz="0" w:space="0" w:color="auto"/>
          </w:divBdr>
        </w:div>
        <w:div w:id="894122376">
          <w:marLeft w:val="0"/>
          <w:marRight w:val="0"/>
          <w:marTop w:val="0"/>
          <w:marBottom w:val="0"/>
          <w:divBdr>
            <w:top w:val="none" w:sz="0" w:space="0" w:color="auto"/>
            <w:left w:val="none" w:sz="0" w:space="0" w:color="auto"/>
            <w:bottom w:val="none" w:sz="0" w:space="0" w:color="auto"/>
            <w:right w:val="none" w:sz="0" w:space="0" w:color="auto"/>
          </w:divBdr>
        </w:div>
        <w:div w:id="926113394">
          <w:marLeft w:val="0"/>
          <w:marRight w:val="0"/>
          <w:marTop w:val="0"/>
          <w:marBottom w:val="0"/>
          <w:divBdr>
            <w:top w:val="none" w:sz="0" w:space="0" w:color="auto"/>
            <w:left w:val="none" w:sz="0" w:space="0" w:color="auto"/>
            <w:bottom w:val="none" w:sz="0" w:space="0" w:color="auto"/>
            <w:right w:val="none" w:sz="0" w:space="0" w:color="auto"/>
          </w:divBdr>
        </w:div>
        <w:div w:id="980311805">
          <w:marLeft w:val="0"/>
          <w:marRight w:val="0"/>
          <w:marTop w:val="0"/>
          <w:marBottom w:val="0"/>
          <w:divBdr>
            <w:top w:val="none" w:sz="0" w:space="0" w:color="auto"/>
            <w:left w:val="none" w:sz="0" w:space="0" w:color="auto"/>
            <w:bottom w:val="none" w:sz="0" w:space="0" w:color="auto"/>
            <w:right w:val="none" w:sz="0" w:space="0" w:color="auto"/>
          </w:divBdr>
        </w:div>
        <w:div w:id="993070827">
          <w:marLeft w:val="0"/>
          <w:marRight w:val="0"/>
          <w:marTop w:val="0"/>
          <w:marBottom w:val="0"/>
          <w:divBdr>
            <w:top w:val="none" w:sz="0" w:space="0" w:color="auto"/>
            <w:left w:val="none" w:sz="0" w:space="0" w:color="auto"/>
            <w:bottom w:val="none" w:sz="0" w:space="0" w:color="auto"/>
            <w:right w:val="none" w:sz="0" w:space="0" w:color="auto"/>
          </w:divBdr>
        </w:div>
        <w:div w:id="996878346">
          <w:marLeft w:val="0"/>
          <w:marRight w:val="0"/>
          <w:marTop w:val="0"/>
          <w:marBottom w:val="0"/>
          <w:divBdr>
            <w:top w:val="none" w:sz="0" w:space="0" w:color="auto"/>
            <w:left w:val="none" w:sz="0" w:space="0" w:color="auto"/>
            <w:bottom w:val="none" w:sz="0" w:space="0" w:color="auto"/>
            <w:right w:val="none" w:sz="0" w:space="0" w:color="auto"/>
          </w:divBdr>
        </w:div>
        <w:div w:id="1001466011">
          <w:marLeft w:val="0"/>
          <w:marRight w:val="0"/>
          <w:marTop w:val="0"/>
          <w:marBottom w:val="0"/>
          <w:divBdr>
            <w:top w:val="none" w:sz="0" w:space="0" w:color="auto"/>
            <w:left w:val="none" w:sz="0" w:space="0" w:color="auto"/>
            <w:bottom w:val="none" w:sz="0" w:space="0" w:color="auto"/>
            <w:right w:val="none" w:sz="0" w:space="0" w:color="auto"/>
          </w:divBdr>
        </w:div>
        <w:div w:id="1012494477">
          <w:marLeft w:val="0"/>
          <w:marRight w:val="0"/>
          <w:marTop w:val="0"/>
          <w:marBottom w:val="0"/>
          <w:divBdr>
            <w:top w:val="none" w:sz="0" w:space="0" w:color="auto"/>
            <w:left w:val="none" w:sz="0" w:space="0" w:color="auto"/>
            <w:bottom w:val="none" w:sz="0" w:space="0" w:color="auto"/>
            <w:right w:val="none" w:sz="0" w:space="0" w:color="auto"/>
          </w:divBdr>
        </w:div>
        <w:div w:id="1077358637">
          <w:marLeft w:val="0"/>
          <w:marRight w:val="0"/>
          <w:marTop w:val="0"/>
          <w:marBottom w:val="0"/>
          <w:divBdr>
            <w:top w:val="none" w:sz="0" w:space="0" w:color="auto"/>
            <w:left w:val="none" w:sz="0" w:space="0" w:color="auto"/>
            <w:bottom w:val="none" w:sz="0" w:space="0" w:color="auto"/>
            <w:right w:val="none" w:sz="0" w:space="0" w:color="auto"/>
          </w:divBdr>
        </w:div>
        <w:div w:id="1094326083">
          <w:marLeft w:val="0"/>
          <w:marRight w:val="0"/>
          <w:marTop w:val="0"/>
          <w:marBottom w:val="0"/>
          <w:divBdr>
            <w:top w:val="none" w:sz="0" w:space="0" w:color="auto"/>
            <w:left w:val="none" w:sz="0" w:space="0" w:color="auto"/>
            <w:bottom w:val="none" w:sz="0" w:space="0" w:color="auto"/>
            <w:right w:val="none" w:sz="0" w:space="0" w:color="auto"/>
          </w:divBdr>
        </w:div>
        <w:div w:id="1106580110">
          <w:marLeft w:val="0"/>
          <w:marRight w:val="0"/>
          <w:marTop w:val="0"/>
          <w:marBottom w:val="0"/>
          <w:divBdr>
            <w:top w:val="none" w:sz="0" w:space="0" w:color="auto"/>
            <w:left w:val="none" w:sz="0" w:space="0" w:color="auto"/>
            <w:bottom w:val="none" w:sz="0" w:space="0" w:color="auto"/>
            <w:right w:val="none" w:sz="0" w:space="0" w:color="auto"/>
          </w:divBdr>
        </w:div>
        <w:div w:id="1121386898">
          <w:marLeft w:val="0"/>
          <w:marRight w:val="0"/>
          <w:marTop w:val="0"/>
          <w:marBottom w:val="0"/>
          <w:divBdr>
            <w:top w:val="none" w:sz="0" w:space="0" w:color="auto"/>
            <w:left w:val="none" w:sz="0" w:space="0" w:color="auto"/>
            <w:bottom w:val="none" w:sz="0" w:space="0" w:color="auto"/>
            <w:right w:val="none" w:sz="0" w:space="0" w:color="auto"/>
          </w:divBdr>
        </w:div>
        <w:div w:id="1155100722">
          <w:marLeft w:val="0"/>
          <w:marRight w:val="0"/>
          <w:marTop w:val="0"/>
          <w:marBottom w:val="0"/>
          <w:divBdr>
            <w:top w:val="none" w:sz="0" w:space="0" w:color="auto"/>
            <w:left w:val="none" w:sz="0" w:space="0" w:color="auto"/>
            <w:bottom w:val="none" w:sz="0" w:space="0" w:color="auto"/>
            <w:right w:val="none" w:sz="0" w:space="0" w:color="auto"/>
          </w:divBdr>
        </w:div>
        <w:div w:id="1168324744">
          <w:marLeft w:val="0"/>
          <w:marRight w:val="0"/>
          <w:marTop w:val="0"/>
          <w:marBottom w:val="0"/>
          <w:divBdr>
            <w:top w:val="none" w:sz="0" w:space="0" w:color="auto"/>
            <w:left w:val="none" w:sz="0" w:space="0" w:color="auto"/>
            <w:bottom w:val="none" w:sz="0" w:space="0" w:color="auto"/>
            <w:right w:val="none" w:sz="0" w:space="0" w:color="auto"/>
          </w:divBdr>
        </w:div>
        <w:div w:id="1226061196">
          <w:marLeft w:val="0"/>
          <w:marRight w:val="0"/>
          <w:marTop w:val="0"/>
          <w:marBottom w:val="0"/>
          <w:divBdr>
            <w:top w:val="none" w:sz="0" w:space="0" w:color="auto"/>
            <w:left w:val="none" w:sz="0" w:space="0" w:color="auto"/>
            <w:bottom w:val="none" w:sz="0" w:space="0" w:color="auto"/>
            <w:right w:val="none" w:sz="0" w:space="0" w:color="auto"/>
          </w:divBdr>
        </w:div>
        <w:div w:id="1241017020">
          <w:marLeft w:val="0"/>
          <w:marRight w:val="0"/>
          <w:marTop w:val="0"/>
          <w:marBottom w:val="0"/>
          <w:divBdr>
            <w:top w:val="none" w:sz="0" w:space="0" w:color="auto"/>
            <w:left w:val="none" w:sz="0" w:space="0" w:color="auto"/>
            <w:bottom w:val="none" w:sz="0" w:space="0" w:color="auto"/>
            <w:right w:val="none" w:sz="0" w:space="0" w:color="auto"/>
          </w:divBdr>
        </w:div>
        <w:div w:id="1252738166">
          <w:marLeft w:val="0"/>
          <w:marRight w:val="0"/>
          <w:marTop w:val="0"/>
          <w:marBottom w:val="0"/>
          <w:divBdr>
            <w:top w:val="none" w:sz="0" w:space="0" w:color="auto"/>
            <w:left w:val="none" w:sz="0" w:space="0" w:color="auto"/>
            <w:bottom w:val="none" w:sz="0" w:space="0" w:color="auto"/>
            <w:right w:val="none" w:sz="0" w:space="0" w:color="auto"/>
          </w:divBdr>
        </w:div>
        <w:div w:id="1260217088">
          <w:marLeft w:val="0"/>
          <w:marRight w:val="0"/>
          <w:marTop w:val="0"/>
          <w:marBottom w:val="0"/>
          <w:divBdr>
            <w:top w:val="none" w:sz="0" w:space="0" w:color="auto"/>
            <w:left w:val="none" w:sz="0" w:space="0" w:color="auto"/>
            <w:bottom w:val="none" w:sz="0" w:space="0" w:color="auto"/>
            <w:right w:val="none" w:sz="0" w:space="0" w:color="auto"/>
          </w:divBdr>
        </w:div>
        <w:div w:id="1269970476">
          <w:marLeft w:val="0"/>
          <w:marRight w:val="0"/>
          <w:marTop w:val="0"/>
          <w:marBottom w:val="0"/>
          <w:divBdr>
            <w:top w:val="none" w:sz="0" w:space="0" w:color="auto"/>
            <w:left w:val="none" w:sz="0" w:space="0" w:color="auto"/>
            <w:bottom w:val="none" w:sz="0" w:space="0" w:color="auto"/>
            <w:right w:val="none" w:sz="0" w:space="0" w:color="auto"/>
          </w:divBdr>
        </w:div>
        <w:div w:id="1283153381">
          <w:marLeft w:val="0"/>
          <w:marRight w:val="0"/>
          <w:marTop w:val="0"/>
          <w:marBottom w:val="0"/>
          <w:divBdr>
            <w:top w:val="none" w:sz="0" w:space="0" w:color="auto"/>
            <w:left w:val="none" w:sz="0" w:space="0" w:color="auto"/>
            <w:bottom w:val="none" w:sz="0" w:space="0" w:color="auto"/>
            <w:right w:val="none" w:sz="0" w:space="0" w:color="auto"/>
          </w:divBdr>
        </w:div>
        <w:div w:id="1295141754">
          <w:marLeft w:val="0"/>
          <w:marRight w:val="0"/>
          <w:marTop w:val="0"/>
          <w:marBottom w:val="0"/>
          <w:divBdr>
            <w:top w:val="none" w:sz="0" w:space="0" w:color="auto"/>
            <w:left w:val="none" w:sz="0" w:space="0" w:color="auto"/>
            <w:bottom w:val="none" w:sz="0" w:space="0" w:color="auto"/>
            <w:right w:val="none" w:sz="0" w:space="0" w:color="auto"/>
          </w:divBdr>
        </w:div>
        <w:div w:id="1309046984">
          <w:marLeft w:val="0"/>
          <w:marRight w:val="0"/>
          <w:marTop w:val="0"/>
          <w:marBottom w:val="0"/>
          <w:divBdr>
            <w:top w:val="none" w:sz="0" w:space="0" w:color="auto"/>
            <w:left w:val="none" w:sz="0" w:space="0" w:color="auto"/>
            <w:bottom w:val="none" w:sz="0" w:space="0" w:color="auto"/>
            <w:right w:val="none" w:sz="0" w:space="0" w:color="auto"/>
          </w:divBdr>
        </w:div>
        <w:div w:id="1350373662">
          <w:marLeft w:val="0"/>
          <w:marRight w:val="0"/>
          <w:marTop w:val="0"/>
          <w:marBottom w:val="0"/>
          <w:divBdr>
            <w:top w:val="none" w:sz="0" w:space="0" w:color="auto"/>
            <w:left w:val="none" w:sz="0" w:space="0" w:color="auto"/>
            <w:bottom w:val="none" w:sz="0" w:space="0" w:color="auto"/>
            <w:right w:val="none" w:sz="0" w:space="0" w:color="auto"/>
          </w:divBdr>
        </w:div>
        <w:div w:id="1357578989">
          <w:marLeft w:val="0"/>
          <w:marRight w:val="0"/>
          <w:marTop w:val="0"/>
          <w:marBottom w:val="0"/>
          <w:divBdr>
            <w:top w:val="none" w:sz="0" w:space="0" w:color="auto"/>
            <w:left w:val="none" w:sz="0" w:space="0" w:color="auto"/>
            <w:bottom w:val="none" w:sz="0" w:space="0" w:color="auto"/>
            <w:right w:val="none" w:sz="0" w:space="0" w:color="auto"/>
          </w:divBdr>
        </w:div>
        <w:div w:id="1406681649">
          <w:marLeft w:val="0"/>
          <w:marRight w:val="0"/>
          <w:marTop w:val="0"/>
          <w:marBottom w:val="0"/>
          <w:divBdr>
            <w:top w:val="none" w:sz="0" w:space="0" w:color="auto"/>
            <w:left w:val="none" w:sz="0" w:space="0" w:color="auto"/>
            <w:bottom w:val="none" w:sz="0" w:space="0" w:color="auto"/>
            <w:right w:val="none" w:sz="0" w:space="0" w:color="auto"/>
          </w:divBdr>
        </w:div>
        <w:div w:id="1429812666">
          <w:marLeft w:val="0"/>
          <w:marRight w:val="0"/>
          <w:marTop w:val="0"/>
          <w:marBottom w:val="0"/>
          <w:divBdr>
            <w:top w:val="none" w:sz="0" w:space="0" w:color="auto"/>
            <w:left w:val="none" w:sz="0" w:space="0" w:color="auto"/>
            <w:bottom w:val="none" w:sz="0" w:space="0" w:color="auto"/>
            <w:right w:val="none" w:sz="0" w:space="0" w:color="auto"/>
          </w:divBdr>
        </w:div>
        <w:div w:id="1490515554">
          <w:marLeft w:val="0"/>
          <w:marRight w:val="0"/>
          <w:marTop w:val="0"/>
          <w:marBottom w:val="0"/>
          <w:divBdr>
            <w:top w:val="none" w:sz="0" w:space="0" w:color="auto"/>
            <w:left w:val="none" w:sz="0" w:space="0" w:color="auto"/>
            <w:bottom w:val="none" w:sz="0" w:space="0" w:color="auto"/>
            <w:right w:val="none" w:sz="0" w:space="0" w:color="auto"/>
          </w:divBdr>
        </w:div>
        <w:div w:id="1500733729">
          <w:marLeft w:val="0"/>
          <w:marRight w:val="0"/>
          <w:marTop w:val="0"/>
          <w:marBottom w:val="0"/>
          <w:divBdr>
            <w:top w:val="none" w:sz="0" w:space="0" w:color="auto"/>
            <w:left w:val="none" w:sz="0" w:space="0" w:color="auto"/>
            <w:bottom w:val="none" w:sz="0" w:space="0" w:color="auto"/>
            <w:right w:val="none" w:sz="0" w:space="0" w:color="auto"/>
          </w:divBdr>
        </w:div>
        <w:div w:id="1514220586">
          <w:marLeft w:val="0"/>
          <w:marRight w:val="0"/>
          <w:marTop w:val="0"/>
          <w:marBottom w:val="0"/>
          <w:divBdr>
            <w:top w:val="none" w:sz="0" w:space="0" w:color="auto"/>
            <w:left w:val="none" w:sz="0" w:space="0" w:color="auto"/>
            <w:bottom w:val="none" w:sz="0" w:space="0" w:color="auto"/>
            <w:right w:val="none" w:sz="0" w:space="0" w:color="auto"/>
          </w:divBdr>
        </w:div>
        <w:div w:id="1538003570">
          <w:marLeft w:val="0"/>
          <w:marRight w:val="0"/>
          <w:marTop w:val="0"/>
          <w:marBottom w:val="0"/>
          <w:divBdr>
            <w:top w:val="none" w:sz="0" w:space="0" w:color="auto"/>
            <w:left w:val="none" w:sz="0" w:space="0" w:color="auto"/>
            <w:bottom w:val="none" w:sz="0" w:space="0" w:color="auto"/>
            <w:right w:val="none" w:sz="0" w:space="0" w:color="auto"/>
          </w:divBdr>
        </w:div>
        <w:div w:id="1543399095">
          <w:marLeft w:val="0"/>
          <w:marRight w:val="0"/>
          <w:marTop w:val="0"/>
          <w:marBottom w:val="0"/>
          <w:divBdr>
            <w:top w:val="none" w:sz="0" w:space="0" w:color="auto"/>
            <w:left w:val="none" w:sz="0" w:space="0" w:color="auto"/>
            <w:bottom w:val="none" w:sz="0" w:space="0" w:color="auto"/>
            <w:right w:val="none" w:sz="0" w:space="0" w:color="auto"/>
          </w:divBdr>
        </w:div>
        <w:div w:id="1554343374">
          <w:marLeft w:val="0"/>
          <w:marRight w:val="0"/>
          <w:marTop w:val="0"/>
          <w:marBottom w:val="0"/>
          <w:divBdr>
            <w:top w:val="none" w:sz="0" w:space="0" w:color="auto"/>
            <w:left w:val="none" w:sz="0" w:space="0" w:color="auto"/>
            <w:bottom w:val="none" w:sz="0" w:space="0" w:color="auto"/>
            <w:right w:val="none" w:sz="0" w:space="0" w:color="auto"/>
          </w:divBdr>
        </w:div>
        <w:div w:id="1687364168">
          <w:marLeft w:val="0"/>
          <w:marRight w:val="0"/>
          <w:marTop w:val="0"/>
          <w:marBottom w:val="0"/>
          <w:divBdr>
            <w:top w:val="none" w:sz="0" w:space="0" w:color="auto"/>
            <w:left w:val="none" w:sz="0" w:space="0" w:color="auto"/>
            <w:bottom w:val="none" w:sz="0" w:space="0" w:color="auto"/>
            <w:right w:val="none" w:sz="0" w:space="0" w:color="auto"/>
          </w:divBdr>
        </w:div>
        <w:div w:id="1718239538">
          <w:marLeft w:val="0"/>
          <w:marRight w:val="0"/>
          <w:marTop w:val="0"/>
          <w:marBottom w:val="0"/>
          <w:divBdr>
            <w:top w:val="none" w:sz="0" w:space="0" w:color="auto"/>
            <w:left w:val="none" w:sz="0" w:space="0" w:color="auto"/>
            <w:bottom w:val="none" w:sz="0" w:space="0" w:color="auto"/>
            <w:right w:val="none" w:sz="0" w:space="0" w:color="auto"/>
          </w:divBdr>
        </w:div>
        <w:div w:id="1719087344">
          <w:marLeft w:val="0"/>
          <w:marRight w:val="0"/>
          <w:marTop w:val="0"/>
          <w:marBottom w:val="0"/>
          <w:divBdr>
            <w:top w:val="none" w:sz="0" w:space="0" w:color="auto"/>
            <w:left w:val="none" w:sz="0" w:space="0" w:color="auto"/>
            <w:bottom w:val="none" w:sz="0" w:space="0" w:color="auto"/>
            <w:right w:val="none" w:sz="0" w:space="0" w:color="auto"/>
          </w:divBdr>
        </w:div>
        <w:div w:id="1754399346">
          <w:marLeft w:val="0"/>
          <w:marRight w:val="0"/>
          <w:marTop w:val="0"/>
          <w:marBottom w:val="0"/>
          <w:divBdr>
            <w:top w:val="none" w:sz="0" w:space="0" w:color="auto"/>
            <w:left w:val="none" w:sz="0" w:space="0" w:color="auto"/>
            <w:bottom w:val="none" w:sz="0" w:space="0" w:color="auto"/>
            <w:right w:val="none" w:sz="0" w:space="0" w:color="auto"/>
          </w:divBdr>
        </w:div>
        <w:div w:id="1759445454">
          <w:marLeft w:val="0"/>
          <w:marRight w:val="0"/>
          <w:marTop w:val="0"/>
          <w:marBottom w:val="0"/>
          <w:divBdr>
            <w:top w:val="none" w:sz="0" w:space="0" w:color="auto"/>
            <w:left w:val="none" w:sz="0" w:space="0" w:color="auto"/>
            <w:bottom w:val="none" w:sz="0" w:space="0" w:color="auto"/>
            <w:right w:val="none" w:sz="0" w:space="0" w:color="auto"/>
          </w:divBdr>
        </w:div>
        <w:div w:id="1784226234">
          <w:marLeft w:val="0"/>
          <w:marRight w:val="0"/>
          <w:marTop w:val="0"/>
          <w:marBottom w:val="0"/>
          <w:divBdr>
            <w:top w:val="none" w:sz="0" w:space="0" w:color="auto"/>
            <w:left w:val="none" w:sz="0" w:space="0" w:color="auto"/>
            <w:bottom w:val="none" w:sz="0" w:space="0" w:color="auto"/>
            <w:right w:val="none" w:sz="0" w:space="0" w:color="auto"/>
          </w:divBdr>
        </w:div>
        <w:div w:id="1788573834">
          <w:marLeft w:val="0"/>
          <w:marRight w:val="0"/>
          <w:marTop w:val="0"/>
          <w:marBottom w:val="0"/>
          <w:divBdr>
            <w:top w:val="none" w:sz="0" w:space="0" w:color="auto"/>
            <w:left w:val="none" w:sz="0" w:space="0" w:color="auto"/>
            <w:bottom w:val="none" w:sz="0" w:space="0" w:color="auto"/>
            <w:right w:val="none" w:sz="0" w:space="0" w:color="auto"/>
          </w:divBdr>
        </w:div>
        <w:div w:id="1796556512">
          <w:marLeft w:val="0"/>
          <w:marRight w:val="0"/>
          <w:marTop w:val="0"/>
          <w:marBottom w:val="0"/>
          <w:divBdr>
            <w:top w:val="none" w:sz="0" w:space="0" w:color="auto"/>
            <w:left w:val="none" w:sz="0" w:space="0" w:color="auto"/>
            <w:bottom w:val="none" w:sz="0" w:space="0" w:color="auto"/>
            <w:right w:val="none" w:sz="0" w:space="0" w:color="auto"/>
          </w:divBdr>
        </w:div>
        <w:div w:id="1817532482">
          <w:marLeft w:val="0"/>
          <w:marRight w:val="0"/>
          <w:marTop w:val="0"/>
          <w:marBottom w:val="0"/>
          <w:divBdr>
            <w:top w:val="none" w:sz="0" w:space="0" w:color="auto"/>
            <w:left w:val="none" w:sz="0" w:space="0" w:color="auto"/>
            <w:bottom w:val="none" w:sz="0" w:space="0" w:color="auto"/>
            <w:right w:val="none" w:sz="0" w:space="0" w:color="auto"/>
          </w:divBdr>
        </w:div>
        <w:div w:id="1878227757">
          <w:marLeft w:val="0"/>
          <w:marRight w:val="0"/>
          <w:marTop w:val="0"/>
          <w:marBottom w:val="0"/>
          <w:divBdr>
            <w:top w:val="none" w:sz="0" w:space="0" w:color="auto"/>
            <w:left w:val="none" w:sz="0" w:space="0" w:color="auto"/>
            <w:bottom w:val="none" w:sz="0" w:space="0" w:color="auto"/>
            <w:right w:val="none" w:sz="0" w:space="0" w:color="auto"/>
          </w:divBdr>
        </w:div>
        <w:div w:id="1884756912">
          <w:marLeft w:val="0"/>
          <w:marRight w:val="0"/>
          <w:marTop w:val="0"/>
          <w:marBottom w:val="0"/>
          <w:divBdr>
            <w:top w:val="none" w:sz="0" w:space="0" w:color="auto"/>
            <w:left w:val="none" w:sz="0" w:space="0" w:color="auto"/>
            <w:bottom w:val="none" w:sz="0" w:space="0" w:color="auto"/>
            <w:right w:val="none" w:sz="0" w:space="0" w:color="auto"/>
          </w:divBdr>
        </w:div>
        <w:div w:id="1889760092">
          <w:marLeft w:val="0"/>
          <w:marRight w:val="0"/>
          <w:marTop w:val="0"/>
          <w:marBottom w:val="0"/>
          <w:divBdr>
            <w:top w:val="none" w:sz="0" w:space="0" w:color="auto"/>
            <w:left w:val="none" w:sz="0" w:space="0" w:color="auto"/>
            <w:bottom w:val="none" w:sz="0" w:space="0" w:color="auto"/>
            <w:right w:val="none" w:sz="0" w:space="0" w:color="auto"/>
          </w:divBdr>
        </w:div>
        <w:div w:id="1896310615">
          <w:marLeft w:val="0"/>
          <w:marRight w:val="0"/>
          <w:marTop w:val="0"/>
          <w:marBottom w:val="0"/>
          <w:divBdr>
            <w:top w:val="none" w:sz="0" w:space="0" w:color="auto"/>
            <w:left w:val="none" w:sz="0" w:space="0" w:color="auto"/>
            <w:bottom w:val="none" w:sz="0" w:space="0" w:color="auto"/>
            <w:right w:val="none" w:sz="0" w:space="0" w:color="auto"/>
          </w:divBdr>
        </w:div>
        <w:div w:id="2069260863">
          <w:marLeft w:val="0"/>
          <w:marRight w:val="0"/>
          <w:marTop w:val="0"/>
          <w:marBottom w:val="0"/>
          <w:divBdr>
            <w:top w:val="none" w:sz="0" w:space="0" w:color="auto"/>
            <w:left w:val="none" w:sz="0" w:space="0" w:color="auto"/>
            <w:bottom w:val="none" w:sz="0" w:space="0" w:color="auto"/>
            <w:right w:val="none" w:sz="0" w:space="0" w:color="auto"/>
          </w:divBdr>
        </w:div>
        <w:div w:id="2087458301">
          <w:marLeft w:val="0"/>
          <w:marRight w:val="0"/>
          <w:marTop w:val="0"/>
          <w:marBottom w:val="0"/>
          <w:divBdr>
            <w:top w:val="none" w:sz="0" w:space="0" w:color="auto"/>
            <w:left w:val="none" w:sz="0" w:space="0" w:color="auto"/>
            <w:bottom w:val="none" w:sz="0" w:space="0" w:color="auto"/>
            <w:right w:val="none" w:sz="0" w:space="0" w:color="auto"/>
          </w:divBdr>
        </w:div>
        <w:div w:id="2089227132">
          <w:marLeft w:val="0"/>
          <w:marRight w:val="0"/>
          <w:marTop w:val="0"/>
          <w:marBottom w:val="0"/>
          <w:divBdr>
            <w:top w:val="none" w:sz="0" w:space="0" w:color="auto"/>
            <w:left w:val="none" w:sz="0" w:space="0" w:color="auto"/>
            <w:bottom w:val="none" w:sz="0" w:space="0" w:color="auto"/>
            <w:right w:val="none" w:sz="0" w:space="0" w:color="auto"/>
          </w:divBdr>
        </w:div>
        <w:div w:id="2134908918">
          <w:marLeft w:val="0"/>
          <w:marRight w:val="0"/>
          <w:marTop w:val="0"/>
          <w:marBottom w:val="0"/>
          <w:divBdr>
            <w:top w:val="none" w:sz="0" w:space="0" w:color="auto"/>
            <w:left w:val="none" w:sz="0" w:space="0" w:color="auto"/>
            <w:bottom w:val="none" w:sz="0" w:space="0" w:color="auto"/>
            <w:right w:val="none" w:sz="0" w:space="0" w:color="auto"/>
          </w:divBdr>
        </w:div>
        <w:div w:id="2143690506">
          <w:marLeft w:val="0"/>
          <w:marRight w:val="0"/>
          <w:marTop w:val="0"/>
          <w:marBottom w:val="0"/>
          <w:divBdr>
            <w:top w:val="none" w:sz="0" w:space="0" w:color="auto"/>
            <w:left w:val="none" w:sz="0" w:space="0" w:color="auto"/>
            <w:bottom w:val="none" w:sz="0" w:space="0" w:color="auto"/>
            <w:right w:val="none" w:sz="0" w:space="0" w:color="auto"/>
          </w:divBdr>
        </w:div>
      </w:divsChild>
    </w:div>
    <w:div w:id="1076124976">
      <w:bodyDiv w:val="1"/>
      <w:marLeft w:val="0"/>
      <w:marRight w:val="0"/>
      <w:marTop w:val="0"/>
      <w:marBottom w:val="0"/>
      <w:divBdr>
        <w:top w:val="none" w:sz="0" w:space="0" w:color="auto"/>
        <w:left w:val="none" w:sz="0" w:space="0" w:color="auto"/>
        <w:bottom w:val="none" w:sz="0" w:space="0" w:color="auto"/>
        <w:right w:val="none" w:sz="0" w:space="0" w:color="auto"/>
      </w:divBdr>
    </w:div>
    <w:div w:id="1167748882">
      <w:bodyDiv w:val="1"/>
      <w:marLeft w:val="0"/>
      <w:marRight w:val="0"/>
      <w:marTop w:val="0"/>
      <w:marBottom w:val="0"/>
      <w:divBdr>
        <w:top w:val="none" w:sz="0" w:space="0" w:color="auto"/>
        <w:left w:val="none" w:sz="0" w:space="0" w:color="auto"/>
        <w:bottom w:val="none" w:sz="0" w:space="0" w:color="auto"/>
        <w:right w:val="none" w:sz="0" w:space="0" w:color="auto"/>
      </w:divBdr>
      <w:divsChild>
        <w:div w:id="1974520">
          <w:marLeft w:val="0"/>
          <w:marRight w:val="0"/>
          <w:marTop w:val="0"/>
          <w:marBottom w:val="0"/>
          <w:divBdr>
            <w:top w:val="none" w:sz="0" w:space="0" w:color="auto"/>
            <w:left w:val="none" w:sz="0" w:space="0" w:color="auto"/>
            <w:bottom w:val="none" w:sz="0" w:space="0" w:color="auto"/>
            <w:right w:val="none" w:sz="0" w:space="0" w:color="auto"/>
          </w:divBdr>
        </w:div>
        <w:div w:id="81990938">
          <w:marLeft w:val="0"/>
          <w:marRight w:val="0"/>
          <w:marTop w:val="0"/>
          <w:marBottom w:val="0"/>
          <w:divBdr>
            <w:top w:val="none" w:sz="0" w:space="0" w:color="auto"/>
            <w:left w:val="none" w:sz="0" w:space="0" w:color="auto"/>
            <w:bottom w:val="none" w:sz="0" w:space="0" w:color="auto"/>
            <w:right w:val="none" w:sz="0" w:space="0" w:color="auto"/>
          </w:divBdr>
        </w:div>
        <w:div w:id="120420110">
          <w:marLeft w:val="0"/>
          <w:marRight w:val="0"/>
          <w:marTop w:val="0"/>
          <w:marBottom w:val="0"/>
          <w:divBdr>
            <w:top w:val="none" w:sz="0" w:space="0" w:color="auto"/>
            <w:left w:val="none" w:sz="0" w:space="0" w:color="auto"/>
            <w:bottom w:val="none" w:sz="0" w:space="0" w:color="auto"/>
            <w:right w:val="none" w:sz="0" w:space="0" w:color="auto"/>
          </w:divBdr>
        </w:div>
        <w:div w:id="124351567">
          <w:marLeft w:val="0"/>
          <w:marRight w:val="0"/>
          <w:marTop w:val="0"/>
          <w:marBottom w:val="0"/>
          <w:divBdr>
            <w:top w:val="none" w:sz="0" w:space="0" w:color="auto"/>
            <w:left w:val="none" w:sz="0" w:space="0" w:color="auto"/>
            <w:bottom w:val="none" w:sz="0" w:space="0" w:color="auto"/>
            <w:right w:val="none" w:sz="0" w:space="0" w:color="auto"/>
          </w:divBdr>
        </w:div>
        <w:div w:id="163278289">
          <w:marLeft w:val="0"/>
          <w:marRight w:val="0"/>
          <w:marTop w:val="0"/>
          <w:marBottom w:val="0"/>
          <w:divBdr>
            <w:top w:val="none" w:sz="0" w:space="0" w:color="auto"/>
            <w:left w:val="none" w:sz="0" w:space="0" w:color="auto"/>
            <w:bottom w:val="none" w:sz="0" w:space="0" w:color="auto"/>
            <w:right w:val="none" w:sz="0" w:space="0" w:color="auto"/>
          </w:divBdr>
        </w:div>
        <w:div w:id="170530718">
          <w:marLeft w:val="0"/>
          <w:marRight w:val="0"/>
          <w:marTop w:val="0"/>
          <w:marBottom w:val="0"/>
          <w:divBdr>
            <w:top w:val="none" w:sz="0" w:space="0" w:color="auto"/>
            <w:left w:val="none" w:sz="0" w:space="0" w:color="auto"/>
            <w:bottom w:val="none" w:sz="0" w:space="0" w:color="auto"/>
            <w:right w:val="none" w:sz="0" w:space="0" w:color="auto"/>
          </w:divBdr>
        </w:div>
        <w:div w:id="222108676">
          <w:marLeft w:val="0"/>
          <w:marRight w:val="0"/>
          <w:marTop w:val="0"/>
          <w:marBottom w:val="0"/>
          <w:divBdr>
            <w:top w:val="none" w:sz="0" w:space="0" w:color="auto"/>
            <w:left w:val="none" w:sz="0" w:space="0" w:color="auto"/>
            <w:bottom w:val="none" w:sz="0" w:space="0" w:color="auto"/>
            <w:right w:val="none" w:sz="0" w:space="0" w:color="auto"/>
          </w:divBdr>
        </w:div>
        <w:div w:id="243610186">
          <w:marLeft w:val="0"/>
          <w:marRight w:val="0"/>
          <w:marTop w:val="0"/>
          <w:marBottom w:val="0"/>
          <w:divBdr>
            <w:top w:val="none" w:sz="0" w:space="0" w:color="auto"/>
            <w:left w:val="none" w:sz="0" w:space="0" w:color="auto"/>
            <w:bottom w:val="none" w:sz="0" w:space="0" w:color="auto"/>
            <w:right w:val="none" w:sz="0" w:space="0" w:color="auto"/>
          </w:divBdr>
          <w:divsChild>
            <w:div w:id="453982117">
              <w:marLeft w:val="0"/>
              <w:marRight w:val="0"/>
              <w:marTop w:val="0"/>
              <w:marBottom w:val="0"/>
              <w:divBdr>
                <w:top w:val="none" w:sz="0" w:space="0" w:color="auto"/>
                <w:left w:val="none" w:sz="0" w:space="0" w:color="auto"/>
                <w:bottom w:val="none" w:sz="0" w:space="0" w:color="auto"/>
                <w:right w:val="none" w:sz="0" w:space="0" w:color="auto"/>
              </w:divBdr>
            </w:div>
            <w:div w:id="777023585">
              <w:marLeft w:val="0"/>
              <w:marRight w:val="0"/>
              <w:marTop w:val="0"/>
              <w:marBottom w:val="0"/>
              <w:divBdr>
                <w:top w:val="none" w:sz="0" w:space="0" w:color="auto"/>
                <w:left w:val="none" w:sz="0" w:space="0" w:color="auto"/>
                <w:bottom w:val="none" w:sz="0" w:space="0" w:color="auto"/>
                <w:right w:val="none" w:sz="0" w:space="0" w:color="auto"/>
              </w:divBdr>
            </w:div>
            <w:div w:id="1043751485">
              <w:marLeft w:val="0"/>
              <w:marRight w:val="0"/>
              <w:marTop w:val="0"/>
              <w:marBottom w:val="0"/>
              <w:divBdr>
                <w:top w:val="none" w:sz="0" w:space="0" w:color="auto"/>
                <w:left w:val="none" w:sz="0" w:space="0" w:color="auto"/>
                <w:bottom w:val="none" w:sz="0" w:space="0" w:color="auto"/>
                <w:right w:val="none" w:sz="0" w:space="0" w:color="auto"/>
              </w:divBdr>
            </w:div>
            <w:div w:id="1204056657">
              <w:marLeft w:val="0"/>
              <w:marRight w:val="0"/>
              <w:marTop w:val="0"/>
              <w:marBottom w:val="0"/>
              <w:divBdr>
                <w:top w:val="none" w:sz="0" w:space="0" w:color="auto"/>
                <w:left w:val="none" w:sz="0" w:space="0" w:color="auto"/>
                <w:bottom w:val="none" w:sz="0" w:space="0" w:color="auto"/>
                <w:right w:val="none" w:sz="0" w:space="0" w:color="auto"/>
              </w:divBdr>
            </w:div>
            <w:div w:id="1532839054">
              <w:marLeft w:val="0"/>
              <w:marRight w:val="0"/>
              <w:marTop w:val="0"/>
              <w:marBottom w:val="0"/>
              <w:divBdr>
                <w:top w:val="none" w:sz="0" w:space="0" w:color="auto"/>
                <w:left w:val="none" w:sz="0" w:space="0" w:color="auto"/>
                <w:bottom w:val="none" w:sz="0" w:space="0" w:color="auto"/>
                <w:right w:val="none" w:sz="0" w:space="0" w:color="auto"/>
              </w:divBdr>
            </w:div>
          </w:divsChild>
        </w:div>
        <w:div w:id="268858653">
          <w:marLeft w:val="0"/>
          <w:marRight w:val="0"/>
          <w:marTop w:val="0"/>
          <w:marBottom w:val="0"/>
          <w:divBdr>
            <w:top w:val="none" w:sz="0" w:space="0" w:color="auto"/>
            <w:left w:val="none" w:sz="0" w:space="0" w:color="auto"/>
            <w:bottom w:val="none" w:sz="0" w:space="0" w:color="auto"/>
            <w:right w:val="none" w:sz="0" w:space="0" w:color="auto"/>
          </w:divBdr>
        </w:div>
        <w:div w:id="378170021">
          <w:marLeft w:val="0"/>
          <w:marRight w:val="0"/>
          <w:marTop w:val="0"/>
          <w:marBottom w:val="0"/>
          <w:divBdr>
            <w:top w:val="none" w:sz="0" w:space="0" w:color="auto"/>
            <w:left w:val="none" w:sz="0" w:space="0" w:color="auto"/>
            <w:bottom w:val="none" w:sz="0" w:space="0" w:color="auto"/>
            <w:right w:val="none" w:sz="0" w:space="0" w:color="auto"/>
          </w:divBdr>
        </w:div>
        <w:div w:id="381638848">
          <w:marLeft w:val="0"/>
          <w:marRight w:val="0"/>
          <w:marTop w:val="0"/>
          <w:marBottom w:val="0"/>
          <w:divBdr>
            <w:top w:val="none" w:sz="0" w:space="0" w:color="auto"/>
            <w:left w:val="none" w:sz="0" w:space="0" w:color="auto"/>
            <w:bottom w:val="none" w:sz="0" w:space="0" w:color="auto"/>
            <w:right w:val="none" w:sz="0" w:space="0" w:color="auto"/>
          </w:divBdr>
        </w:div>
        <w:div w:id="417480012">
          <w:marLeft w:val="0"/>
          <w:marRight w:val="0"/>
          <w:marTop w:val="0"/>
          <w:marBottom w:val="0"/>
          <w:divBdr>
            <w:top w:val="none" w:sz="0" w:space="0" w:color="auto"/>
            <w:left w:val="none" w:sz="0" w:space="0" w:color="auto"/>
            <w:bottom w:val="none" w:sz="0" w:space="0" w:color="auto"/>
            <w:right w:val="none" w:sz="0" w:space="0" w:color="auto"/>
          </w:divBdr>
        </w:div>
        <w:div w:id="462623143">
          <w:marLeft w:val="0"/>
          <w:marRight w:val="0"/>
          <w:marTop w:val="0"/>
          <w:marBottom w:val="0"/>
          <w:divBdr>
            <w:top w:val="none" w:sz="0" w:space="0" w:color="auto"/>
            <w:left w:val="none" w:sz="0" w:space="0" w:color="auto"/>
            <w:bottom w:val="none" w:sz="0" w:space="0" w:color="auto"/>
            <w:right w:val="none" w:sz="0" w:space="0" w:color="auto"/>
          </w:divBdr>
        </w:div>
        <w:div w:id="484862438">
          <w:marLeft w:val="0"/>
          <w:marRight w:val="0"/>
          <w:marTop w:val="0"/>
          <w:marBottom w:val="0"/>
          <w:divBdr>
            <w:top w:val="none" w:sz="0" w:space="0" w:color="auto"/>
            <w:left w:val="none" w:sz="0" w:space="0" w:color="auto"/>
            <w:bottom w:val="none" w:sz="0" w:space="0" w:color="auto"/>
            <w:right w:val="none" w:sz="0" w:space="0" w:color="auto"/>
          </w:divBdr>
        </w:div>
        <w:div w:id="518663054">
          <w:marLeft w:val="0"/>
          <w:marRight w:val="0"/>
          <w:marTop w:val="0"/>
          <w:marBottom w:val="0"/>
          <w:divBdr>
            <w:top w:val="none" w:sz="0" w:space="0" w:color="auto"/>
            <w:left w:val="none" w:sz="0" w:space="0" w:color="auto"/>
            <w:bottom w:val="none" w:sz="0" w:space="0" w:color="auto"/>
            <w:right w:val="none" w:sz="0" w:space="0" w:color="auto"/>
          </w:divBdr>
        </w:div>
        <w:div w:id="530999517">
          <w:marLeft w:val="0"/>
          <w:marRight w:val="0"/>
          <w:marTop w:val="0"/>
          <w:marBottom w:val="0"/>
          <w:divBdr>
            <w:top w:val="none" w:sz="0" w:space="0" w:color="auto"/>
            <w:left w:val="none" w:sz="0" w:space="0" w:color="auto"/>
            <w:bottom w:val="none" w:sz="0" w:space="0" w:color="auto"/>
            <w:right w:val="none" w:sz="0" w:space="0" w:color="auto"/>
          </w:divBdr>
        </w:div>
        <w:div w:id="540358453">
          <w:marLeft w:val="0"/>
          <w:marRight w:val="0"/>
          <w:marTop w:val="0"/>
          <w:marBottom w:val="0"/>
          <w:divBdr>
            <w:top w:val="none" w:sz="0" w:space="0" w:color="auto"/>
            <w:left w:val="none" w:sz="0" w:space="0" w:color="auto"/>
            <w:bottom w:val="none" w:sz="0" w:space="0" w:color="auto"/>
            <w:right w:val="none" w:sz="0" w:space="0" w:color="auto"/>
          </w:divBdr>
        </w:div>
        <w:div w:id="549151061">
          <w:marLeft w:val="0"/>
          <w:marRight w:val="0"/>
          <w:marTop w:val="0"/>
          <w:marBottom w:val="0"/>
          <w:divBdr>
            <w:top w:val="none" w:sz="0" w:space="0" w:color="auto"/>
            <w:left w:val="none" w:sz="0" w:space="0" w:color="auto"/>
            <w:bottom w:val="none" w:sz="0" w:space="0" w:color="auto"/>
            <w:right w:val="none" w:sz="0" w:space="0" w:color="auto"/>
          </w:divBdr>
        </w:div>
        <w:div w:id="580288362">
          <w:marLeft w:val="0"/>
          <w:marRight w:val="0"/>
          <w:marTop w:val="0"/>
          <w:marBottom w:val="0"/>
          <w:divBdr>
            <w:top w:val="none" w:sz="0" w:space="0" w:color="auto"/>
            <w:left w:val="none" w:sz="0" w:space="0" w:color="auto"/>
            <w:bottom w:val="none" w:sz="0" w:space="0" w:color="auto"/>
            <w:right w:val="none" w:sz="0" w:space="0" w:color="auto"/>
          </w:divBdr>
        </w:div>
        <w:div w:id="610822341">
          <w:marLeft w:val="0"/>
          <w:marRight w:val="0"/>
          <w:marTop w:val="0"/>
          <w:marBottom w:val="0"/>
          <w:divBdr>
            <w:top w:val="none" w:sz="0" w:space="0" w:color="auto"/>
            <w:left w:val="none" w:sz="0" w:space="0" w:color="auto"/>
            <w:bottom w:val="none" w:sz="0" w:space="0" w:color="auto"/>
            <w:right w:val="none" w:sz="0" w:space="0" w:color="auto"/>
          </w:divBdr>
        </w:div>
        <w:div w:id="747770014">
          <w:marLeft w:val="0"/>
          <w:marRight w:val="0"/>
          <w:marTop w:val="0"/>
          <w:marBottom w:val="0"/>
          <w:divBdr>
            <w:top w:val="none" w:sz="0" w:space="0" w:color="auto"/>
            <w:left w:val="none" w:sz="0" w:space="0" w:color="auto"/>
            <w:bottom w:val="none" w:sz="0" w:space="0" w:color="auto"/>
            <w:right w:val="none" w:sz="0" w:space="0" w:color="auto"/>
          </w:divBdr>
        </w:div>
        <w:div w:id="755173485">
          <w:marLeft w:val="0"/>
          <w:marRight w:val="0"/>
          <w:marTop w:val="0"/>
          <w:marBottom w:val="0"/>
          <w:divBdr>
            <w:top w:val="none" w:sz="0" w:space="0" w:color="auto"/>
            <w:left w:val="none" w:sz="0" w:space="0" w:color="auto"/>
            <w:bottom w:val="none" w:sz="0" w:space="0" w:color="auto"/>
            <w:right w:val="none" w:sz="0" w:space="0" w:color="auto"/>
          </w:divBdr>
        </w:div>
        <w:div w:id="764109952">
          <w:marLeft w:val="0"/>
          <w:marRight w:val="0"/>
          <w:marTop w:val="0"/>
          <w:marBottom w:val="0"/>
          <w:divBdr>
            <w:top w:val="none" w:sz="0" w:space="0" w:color="auto"/>
            <w:left w:val="none" w:sz="0" w:space="0" w:color="auto"/>
            <w:bottom w:val="none" w:sz="0" w:space="0" w:color="auto"/>
            <w:right w:val="none" w:sz="0" w:space="0" w:color="auto"/>
          </w:divBdr>
        </w:div>
        <w:div w:id="764809777">
          <w:marLeft w:val="0"/>
          <w:marRight w:val="0"/>
          <w:marTop w:val="0"/>
          <w:marBottom w:val="0"/>
          <w:divBdr>
            <w:top w:val="none" w:sz="0" w:space="0" w:color="auto"/>
            <w:left w:val="none" w:sz="0" w:space="0" w:color="auto"/>
            <w:bottom w:val="none" w:sz="0" w:space="0" w:color="auto"/>
            <w:right w:val="none" w:sz="0" w:space="0" w:color="auto"/>
          </w:divBdr>
        </w:div>
        <w:div w:id="783966833">
          <w:marLeft w:val="0"/>
          <w:marRight w:val="0"/>
          <w:marTop w:val="0"/>
          <w:marBottom w:val="0"/>
          <w:divBdr>
            <w:top w:val="none" w:sz="0" w:space="0" w:color="auto"/>
            <w:left w:val="none" w:sz="0" w:space="0" w:color="auto"/>
            <w:bottom w:val="none" w:sz="0" w:space="0" w:color="auto"/>
            <w:right w:val="none" w:sz="0" w:space="0" w:color="auto"/>
          </w:divBdr>
        </w:div>
        <w:div w:id="799766702">
          <w:marLeft w:val="0"/>
          <w:marRight w:val="0"/>
          <w:marTop w:val="0"/>
          <w:marBottom w:val="0"/>
          <w:divBdr>
            <w:top w:val="none" w:sz="0" w:space="0" w:color="auto"/>
            <w:left w:val="none" w:sz="0" w:space="0" w:color="auto"/>
            <w:bottom w:val="none" w:sz="0" w:space="0" w:color="auto"/>
            <w:right w:val="none" w:sz="0" w:space="0" w:color="auto"/>
          </w:divBdr>
        </w:div>
        <w:div w:id="811942467">
          <w:marLeft w:val="0"/>
          <w:marRight w:val="0"/>
          <w:marTop w:val="0"/>
          <w:marBottom w:val="0"/>
          <w:divBdr>
            <w:top w:val="none" w:sz="0" w:space="0" w:color="auto"/>
            <w:left w:val="none" w:sz="0" w:space="0" w:color="auto"/>
            <w:bottom w:val="none" w:sz="0" w:space="0" w:color="auto"/>
            <w:right w:val="none" w:sz="0" w:space="0" w:color="auto"/>
          </w:divBdr>
        </w:div>
        <w:div w:id="826867727">
          <w:marLeft w:val="0"/>
          <w:marRight w:val="0"/>
          <w:marTop w:val="0"/>
          <w:marBottom w:val="0"/>
          <w:divBdr>
            <w:top w:val="none" w:sz="0" w:space="0" w:color="auto"/>
            <w:left w:val="none" w:sz="0" w:space="0" w:color="auto"/>
            <w:bottom w:val="none" w:sz="0" w:space="0" w:color="auto"/>
            <w:right w:val="none" w:sz="0" w:space="0" w:color="auto"/>
          </w:divBdr>
        </w:div>
        <w:div w:id="833490071">
          <w:marLeft w:val="0"/>
          <w:marRight w:val="0"/>
          <w:marTop w:val="0"/>
          <w:marBottom w:val="0"/>
          <w:divBdr>
            <w:top w:val="none" w:sz="0" w:space="0" w:color="auto"/>
            <w:left w:val="none" w:sz="0" w:space="0" w:color="auto"/>
            <w:bottom w:val="none" w:sz="0" w:space="0" w:color="auto"/>
            <w:right w:val="none" w:sz="0" w:space="0" w:color="auto"/>
          </w:divBdr>
        </w:div>
        <w:div w:id="838498284">
          <w:marLeft w:val="0"/>
          <w:marRight w:val="0"/>
          <w:marTop w:val="0"/>
          <w:marBottom w:val="0"/>
          <w:divBdr>
            <w:top w:val="none" w:sz="0" w:space="0" w:color="auto"/>
            <w:left w:val="none" w:sz="0" w:space="0" w:color="auto"/>
            <w:bottom w:val="none" w:sz="0" w:space="0" w:color="auto"/>
            <w:right w:val="none" w:sz="0" w:space="0" w:color="auto"/>
          </w:divBdr>
        </w:div>
        <w:div w:id="908075749">
          <w:marLeft w:val="0"/>
          <w:marRight w:val="0"/>
          <w:marTop w:val="0"/>
          <w:marBottom w:val="0"/>
          <w:divBdr>
            <w:top w:val="none" w:sz="0" w:space="0" w:color="auto"/>
            <w:left w:val="none" w:sz="0" w:space="0" w:color="auto"/>
            <w:bottom w:val="none" w:sz="0" w:space="0" w:color="auto"/>
            <w:right w:val="none" w:sz="0" w:space="0" w:color="auto"/>
          </w:divBdr>
        </w:div>
        <w:div w:id="983630427">
          <w:marLeft w:val="0"/>
          <w:marRight w:val="0"/>
          <w:marTop w:val="0"/>
          <w:marBottom w:val="0"/>
          <w:divBdr>
            <w:top w:val="none" w:sz="0" w:space="0" w:color="auto"/>
            <w:left w:val="none" w:sz="0" w:space="0" w:color="auto"/>
            <w:bottom w:val="none" w:sz="0" w:space="0" w:color="auto"/>
            <w:right w:val="none" w:sz="0" w:space="0" w:color="auto"/>
          </w:divBdr>
        </w:div>
        <w:div w:id="1042636437">
          <w:marLeft w:val="0"/>
          <w:marRight w:val="0"/>
          <w:marTop w:val="0"/>
          <w:marBottom w:val="0"/>
          <w:divBdr>
            <w:top w:val="none" w:sz="0" w:space="0" w:color="auto"/>
            <w:left w:val="none" w:sz="0" w:space="0" w:color="auto"/>
            <w:bottom w:val="none" w:sz="0" w:space="0" w:color="auto"/>
            <w:right w:val="none" w:sz="0" w:space="0" w:color="auto"/>
          </w:divBdr>
        </w:div>
        <w:div w:id="1051657874">
          <w:marLeft w:val="0"/>
          <w:marRight w:val="0"/>
          <w:marTop w:val="0"/>
          <w:marBottom w:val="0"/>
          <w:divBdr>
            <w:top w:val="none" w:sz="0" w:space="0" w:color="auto"/>
            <w:left w:val="none" w:sz="0" w:space="0" w:color="auto"/>
            <w:bottom w:val="none" w:sz="0" w:space="0" w:color="auto"/>
            <w:right w:val="none" w:sz="0" w:space="0" w:color="auto"/>
          </w:divBdr>
        </w:div>
        <w:div w:id="1065371362">
          <w:marLeft w:val="0"/>
          <w:marRight w:val="0"/>
          <w:marTop w:val="0"/>
          <w:marBottom w:val="0"/>
          <w:divBdr>
            <w:top w:val="none" w:sz="0" w:space="0" w:color="auto"/>
            <w:left w:val="none" w:sz="0" w:space="0" w:color="auto"/>
            <w:bottom w:val="none" w:sz="0" w:space="0" w:color="auto"/>
            <w:right w:val="none" w:sz="0" w:space="0" w:color="auto"/>
          </w:divBdr>
        </w:div>
        <w:div w:id="1108963070">
          <w:marLeft w:val="0"/>
          <w:marRight w:val="0"/>
          <w:marTop w:val="0"/>
          <w:marBottom w:val="0"/>
          <w:divBdr>
            <w:top w:val="none" w:sz="0" w:space="0" w:color="auto"/>
            <w:left w:val="none" w:sz="0" w:space="0" w:color="auto"/>
            <w:bottom w:val="none" w:sz="0" w:space="0" w:color="auto"/>
            <w:right w:val="none" w:sz="0" w:space="0" w:color="auto"/>
          </w:divBdr>
        </w:div>
        <w:div w:id="1115442072">
          <w:marLeft w:val="0"/>
          <w:marRight w:val="0"/>
          <w:marTop w:val="0"/>
          <w:marBottom w:val="0"/>
          <w:divBdr>
            <w:top w:val="none" w:sz="0" w:space="0" w:color="auto"/>
            <w:left w:val="none" w:sz="0" w:space="0" w:color="auto"/>
            <w:bottom w:val="none" w:sz="0" w:space="0" w:color="auto"/>
            <w:right w:val="none" w:sz="0" w:space="0" w:color="auto"/>
          </w:divBdr>
        </w:div>
        <w:div w:id="1121916099">
          <w:marLeft w:val="0"/>
          <w:marRight w:val="0"/>
          <w:marTop w:val="0"/>
          <w:marBottom w:val="0"/>
          <w:divBdr>
            <w:top w:val="none" w:sz="0" w:space="0" w:color="auto"/>
            <w:left w:val="none" w:sz="0" w:space="0" w:color="auto"/>
            <w:bottom w:val="none" w:sz="0" w:space="0" w:color="auto"/>
            <w:right w:val="none" w:sz="0" w:space="0" w:color="auto"/>
          </w:divBdr>
        </w:div>
        <w:div w:id="1163398117">
          <w:marLeft w:val="0"/>
          <w:marRight w:val="0"/>
          <w:marTop w:val="0"/>
          <w:marBottom w:val="0"/>
          <w:divBdr>
            <w:top w:val="none" w:sz="0" w:space="0" w:color="auto"/>
            <w:left w:val="none" w:sz="0" w:space="0" w:color="auto"/>
            <w:bottom w:val="none" w:sz="0" w:space="0" w:color="auto"/>
            <w:right w:val="none" w:sz="0" w:space="0" w:color="auto"/>
          </w:divBdr>
        </w:div>
        <w:div w:id="1197231118">
          <w:marLeft w:val="0"/>
          <w:marRight w:val="0"/>
          <w:marTop w:val="0"/>
          <w:marBottom w:val="0"/>
          <w:divBdr>
            <w:top w:val="none" w:sz="0" w:space="0" w:color="auto"/>
            <w:left w:val="none" w:sz="0" w:space="0" w:color="auto"/>
            <w:bottom w:val="none" w:sz="0" w:space="0" w:color="auto"/>
            <w:right w:val="none" w:sz="0" w:space="0" w:color="auto"/>
          </w:divBdr>
        </w:div>
        <w:div w:id="1255284807">
          <w:marLeft w:val="0"/>
          <w:marRight w:val="0"/>
          <w:marTop w:val="0"/>
          <w:marBottom w:val="0"/>
          <w:divBdr>
            <w:top w:val="none" w:sz="0" w:space="0" w:color="auto"/>
            <w:left w:val="none" w:sz="0" w:space="0" w:color="auto"/>
            <w:bottom w:val="none" w:sz="0" w:space="0" w:color="auto"/>
            <w:right w:val="none" w:sz="0" w:space="0" w:color="auto"/>
          </w:divBdr>
        </w:div>
        <w:div w:id="1292173381">
          <w:marLeft w:val="0"/>
          <w:marRight w:val="0"/>
          <w:marTop w:val="0"/>
          <w:marBottom w:val="0"/>
          <w:divBdr>
            <w:top w:val="none" w:sz="0" w:space="0" w:color="auto"/>
            <w:left w:val="none" w:sz="0" w:space="0" w:color="auto"/>
            <w:bottom w:val="none" w:sz="0" w:space="0" w:color="auto"/>
            <w:right w:val="none" w:sz="0" w:space="0" w:color="auto"/>
          </w:divBdr>
        </w:div>
        <w:div w:id="1318919528">
          <w:marLeft w:val="0"/>
          <w:marRight w:val="0"/>
          <w:marTop w:val="0"/>
          <w:marBottom w:val="0"/>
          <w:divBdr>
            <w:top w:val="none" w:sz="0" w:space="0" w:color="auto"/>
            <w:left w:val="none" w:sz="0" w:space="0" w:color="auto"/>
            <w:bottom w:val="none" w:sz="0" w:space="0" w:color="auto"/>
            <w:right w:val="none" w:sz="0" w:space="0" w:color="auto"/>
          </w:divBdr>
        </w:div>
        <w:div w:id="1323125912">
          <w:marLeft w:val="0"/>
          <w:marRight w:val="0"/>
          <w:marTop w:val="0"/>
          <w:marBottom w:val="0"/>
          <w:divBdr>
            <w:top w:val="none" w:sz="0" w:space="0" w:color="auto"/>
            <w:left w:val="none" w:sz="0" w:space="0" w:color="auto"/>
            <w:bottom w:val="none" w:sz="0" w:space="0" w:color="auto"/>
            <w:right w:val="none" w:sz="0" w:space="0" w:color="auto"/>
          </w:divBdr>
        </w:div>
        <w:div w:id="1330672268">
          <w:marLeft w:val="0"/>
          <w:marRight w:val="0"/>
          <w:marTop w:val="0"/>
          <w:marBottom w:val="0"/>
          <w:divBdr>
            <w:top w:val="none" w:sz="0" w:space="0" w:color="auto"/>
            <w:left w:val="none" w:sz="0" w:space="0" w:color="auto"/>
            <w:bottom w:val="none" w:sz="0" w:space="0" w:color="auto"/>
            <w:right w:val="none" w:sz="0" w:space="0" w:color="auto"/>
          </w:divBdr>
        </w:div>
        <w:div w:id="1349940606">
          <w:marLeft w:val="0"/>
          <w:marRight w:val="0"/>
          <w:marTop w:val="0"/>
          <w:marBottom w:val="0"/>
          <w:divBdr>
            <w:top w:val="none" w:sz="0" w:space="0" w:color="auto"/>
            <w:left w:val="none" w:sz="0" w:space="0" w:color="auto"/>
            <w:bottom w:val="none" w:sz="0" w:space="0" w:color="auto"/>
            <w:right w:val="none" w:sz="0" w:space="0" w:color="auto"/>
          </w:divBdr>
        </w:div>
        <w:div w:id="1351493844">
          <w:marLeft w:val="0"/>
          <w:marRight w:val="0"/>
          <w:marTop w:val="0"/>
          <w:marBottom w:val="0"/>
          <w:divBdr>
            <w:top w:val="none" w:sz="0" w:space="0" w:color="auto"/>
            <w:left w:val="none" w:sz="0" w:space="0" w:color="auto"/>
            <w:bottom w:val="none" w:sz="0" w:space="0" w:color="auto"/>
            <w:right w:val="none" w:sz="0" w:space="0" w:color="auto"/>
          </w:divBdr>
        </w:div>
        <w:div w:id="1358504073">
          <w:marLeft w:val="0"/>
          <w:marRight w:val="0"/>
          <w:marTop w:val="0"/>
          <w:marBottom w:val="0"/>
          <w:divBdr>
            <w:top w:val="none" w:sz="0" w:space="0" w:color="auto"/>
            <w:left w:val="none" w:sz="0" w:space="0" w:color="auto"/>
            <w:bottom w:val="none" w:sz="0" w:space="0" w:color="auto"/>
            <w:right w:val="none" w:sz="0" w:space="0" w:color="auto"/>
          </w:divBdr>
        </w:div>
        <w:div w:id="1363673203">
          <w:marLeft w:val="0"/>
          <w:marRight w:val="0"/>
          <w:marTop w:val="0"/>
          <w:marBottom w:val="0"/>
          <w:divBdr>
            <w:top w:val="none" w:sz="0" w:space="0" w:color="auto"/>
            <w:left w:val="none" w:sz="0" w:space="0" w:color="auto"/>
            <w:bottom w:val="none" w:sz="0" w:space="0" w:color="auto"/>
            <w:right w:val="none" w:sz="0" w:space="0" w:color="auto"/>
          </w:divBdr>
        </w:div>
        <w:div w:id="1369991788">
          <w:marLeft w:val="0"/>
          <w:marRight w:val="0"/>
          <w:marTop w:val="0"/>
          <w:marBottom w:val="0"/>
          <w:divBdr>
            <w:top w:val="none" w:sz="0" w:space="0" w:color="auto"/>
            <w:left w:val="none" w:sz="0" w:space="0" w:color="auto"/>
            <w:bottom w:val="none" w:sz="0" w:space="0" w:color="auto"/>
            <w:right w:val="none" w:sz="0" w:space="0" w:color="auto"/>
          </w:divBdr>
        </w:div>
        <w:div w:id="1383672262">
          <w:marLeft w:val="0"/>
          <w:marRight w:val="0"/>
          <w:marTop w:val="0"/>
          <w:marBottom w:val="0"/>
          <w:divBdr>
            <w:top w:val="none" w:sz="0" w:space="0" w:color="auto"/>
            <w:left w:val="none" w:sz="0" w:space="0" w:color="auto"/>
            <w:bottom w:val="none" w:sz="0" w:space="0" w:color="auto"/>
            <w:right w:val="none" w:sz="0" w:space="0" w:color="auto"/>
          </w:divBdr>
        </w:div>
        <w:div w:id="1408192809">
          <w:marLeft w:val="0"/>
          <w:marRight w:val="0"/>
          <w:marTop w:val="0"/>
          <w:marBottom w:val="0"/>
          <w:divBdr>
            <w:top w:val="none" w:sz="0" w:space="0" w:color="auto"/>
            <w:left w:val="none" w:sz="0" w:space="0" w:color="auto"/>
            <w:bottom w:val="none" w:sz="0" w:space="0" w:color="auto"/>
            <w:right w:val="none" w:sz="0" w:space="0" w:color="auto"/>
          </w:divBdr>
        </w:div>
        <w:div w:id="1433434800">
          <w:marLeft w:val="0"/>
          <w:marRight w:val="0"/>
          <w:marTop w:val="0"/>
          <w:marBottom w:val="0"/>
          <w:divBdr>
            <w:top w:val="none" w:sz="0" w:space="0" w:color="auto"/>
            <w:left w:val="none" w:sz="0" w:space="0" w:color="auto"/>
            <w:bottom w:val="none" w:sz="0" w:space="0" w:color="auto"/>
            <w:right w:val="none" w:sz="0" w:space="0" w:color="auto"/>
          </w:divBdr>
        </w:div>
        <w:div w:id="1436827382">
          <w:marLeft w:val="0"/>
          <w:marRight w:val="0"/>
          <w:marTop w:val="0"/>
          <w:marBottom w:val="0"/>
          <w:divBdr>
            <w:top w:val="none" w:sz="0" w:space="0" w:color="auto"/>
            <w:left w:val="none" w:sz="0" w:space="0" w:color="auto"/>
            <w:bottom w:val="none" w:sz="0" w:space="0" w:color="auto"/>
            <w:right w:val="none" w:sz="0" w:space="0" w:color="auto"/>
          </w:divBdr>
        </w:div>
        <w:div w:id="1438714928">
          <w:marLeft w:val="0"/>
          <w:marRight w:val="0"/>
          <w:marTop w:val="0"/>
          <w:marBottom w:val="0"/>
          <w:divBdr>
            <w:top w:val="none" w:sz="0" w:space="0" w:color="auto"/>
            <w:left w:val="none" w:sz="0" w:space="0" w:color="auto"/>
            <w:bottom w:val="none" w:sz="0" w:space="0" w:color="auto"/>
            <w:right w:val="none" w:sz="0" w:space="0" w:color="auto"/>
          </w:divBdr>
        </w:div>
        <w:div w:id="1482579133">
          <w:marLeft w:val="0"/>
          <w:marRight w:val="0"/>
          <w:marTop w:val="0"/>
          <w:marBottom w:val="0"/>
          <w:divBdr>
            <w:top w:val="none" w:sz="0" w:space="0" w:color="auto"/>
            <w:left w:val="none" w:sz="0" w:space="0" w:color="auto"/>
            <w:bottom w:val="none" w:sz="0" w:space="0" w:color="auto"/>
            <w:right w:val="none" w:sz="0" w:space="0" w:color="auto"/>
          </w:divBdr>
        </w:div>
        <w:div w:id="1492672929">
          <w:marLeft w:val="0"/>
          <w:marRight w:val="0"/>
          <w:marTop w:val="0"/>
          <w:marBottom w:val="0"/>
          <w:divBdr>
            <w:top w:val="none" w:sz="0" w:space="0" w:color="auto"/>
            <w:left w:val="none" w:sz="0" w:space="0" w:color="auto"/>
            <w:bottom w:val="none" w:sz="0" w:space="0" w:color="auto"/>
            <w:right w:val="none" w:sz="0" w:space="0" w:color="auto"/>
          </w:divBdr>
        </w:div>
        <w:div w:id="1493833776">
          <w:marLeft w:val="0"/>
          <w:marRight w:val="0"/>
          <w:marTop w:val="0"/>
          <w:marBottom w:val="0"/>
          <w:divBdr>
            <w:top w:val="none" w:sz="0" w:space="0" w:color="auto"/>
            <w:left w:val="none" w:sz="0" w:space="0" w:color="auto"/>
            <w:bottom w:val="none" w:sz="0" w:space="0" w:color="auto"/>
            <w:right w:val="none" w:sz="0" w:space="0" w:color="auto"/>
          </w:divBdr>
        </w:div>
        <w:div w:id="1507283198">
          <w:marLeft w:val="0"/>
          <w:marRight w:val="0"/>
          <w:marTop w:val="0"/>
          <w:marBottom w:val="0"/>
          <w:divBdr>
            <w:top w:val="none" w:sz="0" w:space="0" w:color="auto"/>
            <w:left w:val="none" w:sz="0" w:space="0" w:color="auto"/>
            <w:bottom w:val="none" w:sz="0" w:space="0" w:color="auto"/>
            <w:right w:val="none" w:sz="0" w:space="0" w:color="auto"/>
          </w:divBdr>
        </w:div>
        <w:div w:id="1536117010">
          <w:marLeft w:val="0"/>
          <w:marRight w:val="0"/>
          <w:marTop w:val="0"/>
          <w:marBottom w:val="0"/>
          <w:divBdr>
            <w:top w:val="none" w:sz="0" w:space="0" w:color="auto"/>
            <w:left w:val="none" w:sz="0" w:space="0" w:color="auto"/>
            <w:bottom w:val="none" w:sz="0" w:space="0" w:color="auto"/>
            <w:right w:val="none" w:sz="0" w:space="0" w:color="auto"/>
          </w:divBdr>
        </w:div>
        <w:div w:id="1545412158">
          <w:marLeft w:val="0"/>
          <w:marRight w:val="0"/>
          <w:marTop w:val="0"/>
          <w:marBottom w:val="0"/>
          <w:divBdr>
            <w:top w:val="none" w:sz="0" w:space="0" w:color="auto"/>
            <w:left w:val="none" w:sz="0" w:space="0" w:color="auto"/>
            <w:bottom w:val="none" w:sz="0" w:space="0" w:color="auto"/>
            <w:right w:val="none" w:sz="0" w:space="0" w:color="auto"/>
          </w:divBdr>
        </w:div>
        <w:div w:id="1604650914">
          <w:marLeft w:val="0"/>
          <w:marRight w:val="0"/>
          <w:marTop w:val="0"/>
          <w:marBottom w:val="0"/>
          <w:divBdr>
            <w:top w:val="none" w:sz="0" w:space="0" w:color="auto"/>
            <w:left w:val="none" w:sz="0" w:space="0" w:color="auto"/>
            <w:bottom w:val="none" w:sz="0" w:space="0" w:color="auto"/>
            <w:right w:val="none" w:sz="0" w:space="0" w:color="auto"/>
          </w:divBdr>
        </w:div>
        <w:div w:id="1621720235">
          <w:marLeft w:val="0"/>
          <w:marRight w:val="0"/>
          <w:marTop w:val="0"/>
          <w:marBottom w:val="0"/>
          <w:divBdr>
            <w:top w:val="none" w:sz="0" w:space="0" w:color="auto"/>
            <w:left w:val="none" w:sz="0" w:space="0" w:color="auto"/>
            <w:bottom w:val="none" w:sz="0" w:space="0" w:color="auto"/>
            <w:right w:val="none" w:sz="0" w:space="0" w:color="auto"/>
          </w:divBdr>
        </w:div>
        <w:div w:id="1633438090">
          <w:marLeft w:val="0"/>
          <w:marRight w:val="0"/>
          <w:marTop w:val="0"/>
          <w:marBottom w:val="0"/>
          <w:divBdr>
            <w:top w:val="none" w:sz="0" w:space="0" w:color="auto"/>
            <w:left w:val="none" w:sz="0" w:space="0" w:color="auto"/>
            <w:bottom w:val="none" w:sz="0" w:space="0" w:color="auto"/>
            <w:right w:val="none" w:sz="0" w:space="0" w:color="auto"/>
          </w:divBdr>
        </w:div>
        <w:div w:id="1741559378">
          <w:marLeft w:val="0"/>
          <w:marRight w:val="0"/>
          <w:marTop w:val="0"/>
          <w:marBottom w:val="0"/>
          <w:divBdr>
            <w:top w:val="none" w:sz="0" w:space="0" w:color="auto"/>
            <w:left w:val="none" w:sz="0" w:space="0" w:color="auto"/>
            <w:bottom w:val="none" w:sz="0" w:space="0" w:color="auto"/>
            <w:right w:val="none" w:sz="0" w:space="0" w:color="auto"/>
          </w:divBdr>
        </w:div>
        <w:div w:id="1769153499">
          <w:marLeft w:val="0"/>
          <w:marRight w:val="0"/>
          <w:marTop w:val="0"/>
          <w:marBottom w:val="0"/>
          <w:divBdr>
            <w:top w:val="none" w:sz="0" w:space="0" w:color="auto"/>
            <w:left w:val="none" w:sz="0" w:space="0" w:color="auto"/>
            <w:bottom w:val="none" w:sz="0" w:space="0" w:color="auto"/>
            <w:right w:val="none" w:sz="0" w:space="0" w:color="auto"/>
          </w:divBdr>
        </w:div>
        <w:div w:id="1788114632">
          <w:marLeft w:val="0"/>
          <w:marRight w:val="0"/>
          <w:marTop w:val="0"/>
          <w:marBottom w:val="0"/>
          <w:divBdr>
            <w:top w:val="none" w:sz="0" w:space="0" w:color="auto"/>
            <w:left w:val="none" w:sz="0" w:space="0" w:color="auto"/>
            <w:bottom w:val="none" w:sz="0" w:space="0" w:color="auto"/>
            <w:right w:val="none" w:sz="0" w:space="0" w:color="auto"/>
          </w:divBdr>
        </w:div>
        <w:div w:id="1791361630">
          <w:marLeft w:val="0"/>
          <w:marRight w:val="0"/>
          <w:marTop w:val="0"/>
          <w:marBottom w:val="0"/>
          <w:divBdr>
            <w:top w:val="none" w:sz="0" w:space="0" w:color="auto"/>
            <w:left w:val="none" w:sz="0" w:space="0" w:color="auto"/>
            <w:bottom w:val="none" w:sz="0" w:space="0" w:color="auto"/>
            <w:right w:val="none" w:sz="0" w:space="0" w:color="auto"/>
          </w:divBdr>
        </w:div>
        <w:div w:id="1803885453">
          <w:marLeft w:val="0"/>
          <w:marRight w:val="0"/>
          <w:marTop w:val="0"/>
          <w:marBottom w:val="0"/>
          <w:divBdr>
            <w:top w:val="none" w:sz="0" w:space="0" w:color="auto"/>
            <w:left w:val="none" w:sz="0" w:space="0" w:color="auto"/>
            <w:bottom w:val="none" w:sz="0" w:space="0" w:color="auto"/>
            <w:right w:val="none" w:sz="0" w:space="0" w:color="auto"/>
          </w:divBdr>
        </w:div>
        <w:div w:id="1809739489">
          <w:marLeft w:val="0"/>
          <w:marRight w:val="0"/>
          <w:marTop w:val="0"/>
          <w:marBottom w:val="0"/>
          <w:divBdr>
            <w:top w:val="none" w:sz="0" w:space="0" w:color="auto"/>
            <w:left w:val="none" w:sz="0" w:space="0" w:color="auto"/>
            <w:bottom w:val="none" w:sz="0" w:space="0" w:color="auto"/>
            <w:right w:val="none" w:sz="0" w:space="0" w:color="auto"/>
          </w:divBdr>
        </w:div>
        <w:div w:id="1843006760">
          <w:marLeft w:val="0"/>
          <w:marRight w:val="0"/>
          <w:marTop w:val="0"/>
          <w:marBottom w:val="0"/>
          <w:divBdr>
            <w:top w:val="none" w:sz="0" w:space="0" w:color="auto"/>
            <w:left w:val="none" w:sz="0" w:space="0" w:color="auto"/>
            <w:bottom w:val="none" w:sz="0" w:space="0" w:color="auto"/>
            <w:right w:val="none" w:sz="0" w:space="0" w:color="auto"/>
          </w:divBdr>
        </w:div>
        <w:div w:id="1893341411">
          <w:marLeft w:val="0"/>
          <w:marRight w:val="0"/>
          <w:marTop w:val="0"/>
          <w:marBottom w:val="0"/>
          <w:divBdr>
            <w:top w:val="none" w:sz="0" w:space="0" w:color="auto"/>
            <w:left w:val="none" w:sz="0" w:space="0" w:color="auto"/>
            <w:bottom w:val="none" w:sz="0" w:space="0" w:color="auto"/>
            <w:right w:val="none" w:sz="0" w:space="0" w:color="auto"/>
          </w:divBdr>
        </w:div>
        <w:div w:id="1919055439">
          <w:marLeft w:val="0"/>
          <w:marRight w:val="0"/>
          <w:marTop w:val="0"/>
          <w:marBottom w:val="0"/>
          <w:divBdr>
            <w:top w:val="none" w:sz="0" w:space="0" w:color="auto"/>
            <w:left w:val="none" w:sz="0" w:space="0" w:color="auto"/>
            <w:bottom w:val="none" w:sz="0" w:space="0" w:color="auto"/>
            <w:right w:val="none" w:sz="0" w:space="0" w:color="auto"/>
          </w:divBdr>
        </w:div>
        <w:div w:id="1925413661">
          <w:marLeft w:val="0"/>
          <w:marRight w:val="0"/>
          <w:marTop w:val="0"/>
          <w:marBottom w:val="0"/>
          <w:divBdr>
            <w:top w:val="none" w:sz="0" w:space="0" w:color="auto"/>
            <w:left w:val="none" w:sz="0" w:space="0" w:color="auto"/>
            <w:bottom w:val="none" w:sz="0" w:space="0" w:color="auto"/>
            <w:right w:val="none" w:sz="0" w:space="0" w:color="auto"/>
          </w:divBdr>
        </w:div>
        <w:div w:id="1984457888">
          <w:marLeft w:val="0"/>
          <w:marRight w:val="0"/>
          <w:marTop w:val="0"/>
          <w:marBottom w:val="0"/>
          <w:divBdr>
            <w:top w:val="none" w:sz="0" w:space="0" w:color="auto"/>
            <w:left w:val="none" w:sz="0" w:space="0" w:color="auto"/>
            <w:bottom w:val="none" w:sz="0" w:space="0" w:color="auto"/>
            <w:right w:val="none" w:sz="0" w:space="0" w:color="auto"/>
          </w:divBdr>
        </w:div>
        <w:div w:id="2016766481">
          <w:marLeft w:val="0"/>
          <w:marRight w:val="0"/>
          <w:marTop w:val="0"/>
          <w:marBottom w:val="0"/>
          <w:divBdr>
            <w:top w:val="none" w:sz="0" w:space="0" w:color="auto"/>
            <w:left w:val="none" w:sz="0" w:space="0" w:color="auto"/>
            <w:bottom w:val="none" w:sz="0" w:space="0" w:color="auto"/>
            <w:right w:val="none" w:sz="0" w:space="0" w:color="auto"/>
          </w:divBdr>
        </w:div>
        <w:div w:id="2021928288">
          <w:marLeft w:val="0"/>
          <w:marRight w:val="0"/>
          <w:marTop w:val="0"/>
          <w:marBottom w:val="0"/>
          <w:divBdr>
            <w:top w:val="none" w:sz="0" w:space="0" w:color="auto"/>
            <w:left w:val="none" w:sz="0" w:space="0" w:color="auto"/>
            <w:bottom w:val="none" w:sz="0" w:space="0" w:color="auto"/>
            <w:right w:val="none" w:sz="0" w:space="0" w:color="auto"/>
          </w:divBdr>
        </w:div>
        <w:div w:id="2106608471">
          <w:marLeft w:val="0"/>
          <w:marRight w:val="0"/>
          <w:marTop w:val="0"/>
          <w:marBottom w:val="0"/>
          <w:divBdr>
            <w:top w:val="none" w:sz="0" w:space="0" w:color="auto"/>
            <w:left w:val="none" w:sz="0" w:space="0" w:color="auto"/>
            <w:bottom w:val="none" w:sz="0" w:space="0" w:color="auto"/>
            <w:right w:val="none" w:sz="0" w:space="0" w:color="auto"/>
          </w:divBdr>
        </w:div>
        <w:div w:id="2113285472">
          <w:marLeft w:val="0"/>
          <w:marRight w:val="0"/>
          <w:marTop w:val="0"/>
          <w:marBottom w:val="0"/>
          <w:divBdr>
            <w:top w:val="none" w:sz="0" w:space="0" w:color="auto"/>
            <w:left w:val="none" w:sz="0" w:space="0" w:color="auto"/>
            <w:bottom w:val="none" w:sz="0" w:space="0" w:color="auto"/>
            <w:right w:val="none" w:sz="0" w:space="0" w:color="auto"/>
          </w:divBdr>
        </w:div>
        <w:div w:id="2126272274">
          <w:marLeft w:val="0"/>
          <w:marRight w:val="0"/>
          <w:marTop w:val="0"/>
          <w:marBottom w:val="0"/>
          <w:divBdr>
            <w:top w:val="none" w:sz="0" w:space="0" w:color="auto"/>
            <w:left w:val="none" w:sz="0" w:space="0" w:color="auto"/>
            <w:bottom w:val="none" w:sz="0" w:space="0" w:color="auto"/>
            <w:right w:val="none" w:sz="0" w:space="0" w:color="auto"/>
          </w:divBdr>
        </w:div>
        <w:div w:id="2128160121">
          <w:marLeft w:val="0"/>
          <w:marRight w:val="0"/>
          <w:marTop w:val="0"/>
          <w:marBottom w:val="0"/>
          <w:divBdr>
            <w:top w:val="none" w:sz="0" w:space="0" w:color="auto"/>
            <w:left w:val="none" w:sz="0" w:space="0" w:color="auto"/>
            <w:bottom w:val="none" w:sz="0" w:space="0" w:color="auto"/>
            <w:right w:val="none" w:sz="0" w:space="0" w:color="auto"/>
          </w:divBdr>
        </w:div>
      </w:divsChild>
    </w:div>
    <w:div w:id="1272013231">
      <w:bodyDiv w:val="1"/>
      <w:marLeft w:val="0"/>
      <w:marRight w:val="0"/>
      <w:marTop w:val="0"/>
      <w:marBottom w:val="0"/>
      <w:divBdr>
        <w:top w:val="none" w:sz="0" w:space="0" w:color="auto"/>
        <w:left w:val="none" w:sz="0" w:space="0" w:color="auto"/>
        <w:bottom w:val="none" w:sz="0" w:space="0" w:color="auto"/>
        <w:right w:val="none" w:sz="0" w:space="0" w:color="auto"/>
      </w:divBdr>
    </w:div>
    <w:div w:id="1477183536">
      <w:bodyDiv w:val="1"/>
      <w:marLeft w:val="0"/>
      <w:marRight w:val="0"/>
      <w:marTop w:val="0"/>
      <w:marBottom w:val="0"/>
      <w:divBdr>
        <w:top w:val="none" w:sz="0" w:space="0" w:color="auto"/>
        <w:left w:val="none" w:sz="0" w:space="0" w:color="auto"/>
        <w:bottom w:val="none" w:sz="0" w:space="0" w:color="auto"/>
        <w:right w:val="none" w:sz="0" w:space="0" w:color="auto"/>
      </w:divBdr>
    </w:div>
    <w:div w:id="1717848862">
      <w:bodyDiv w:val="1"/>
      <w:marLeft w:val="0"/>
      <w:marRight w:val="0"/>
      <w:marTop w:val="0"/>
      <w:marBottom w:val="0"/>
      <w:divBdr>
        <w:top w:val="none" w:sz="0" w:space="0" w:color="auto"/>
        <w:left w:val="none" w:sz="0" w:space="0" w:color="auto"/>
        <w:bottom w:val="none" w:sz="0" w:space="0" w:color="auto"/>
        <w:right w:val="none" w:sz="0" w:space="0" w:color="auto"/>
      </w:divBdr>
      <w:divsChild>
        <w:div w:id="22175284">
          <w:marLeft w:val="0"/>
          <w:marRight w:val="0"/>
          <w:marTop w:val="0"/>
          <w:marBottom w:val="0"/>
          <w:divBdr>
            <w:top w:val="none" w:sz="0" w:space="0" w:color="auto"/>
            <w:left w:val="none" w:sz="0" w:space="0" w:color="auto"/>
            <w:bottom w:val="none" w:sz="0" w:space="0" w:color="auto"/>
            <w:right w:val="none" w:sz="0" w:space="0" w:color="auto"/>
          </w:divBdr>
          <w:divsChild>
            <w:div w:id="1980651092">
              <w:marLeft w:val="0"/>
              <w:marRight w:val="0"/>
              <w:marTop w:val="0"/>
              <w:marBottom w:val="0"/>
              <w:divBdr>
                <w:top w:val="none" w:sz="0" w:space="0" w:color="auto"/>
                <w:left w:val="none" w:sz="0" w:space="0" w:color="auto"/>
                <w:bottom w:val="none" w:sz="0" w:space="0" w:color="auto"/>
                <w:right w:val="none" w:sz="0" w:space="0" w:color="auto"/>
              </w:divBdr>
            </w:div>
          </w:divsChild>
        </w:div>
        <w:div w:id="549804612">
          <w:marLeft w:val="0"/>
          <w:marRight w:val="0"/>
          <w:marTop w:val="0"/>
          <w:marBottom w:val="0"/>
          <w:divBdr>
            <w:top w:val="none" w:sz="0" w:space="0" w:color="auto"/>
            <w:left w:val="none" w:sz="0" w:space="0" w:color="auto"/>
            <w:bottom w:val="none" w:sz="0" w:space="0" w:color="auto"/>
            <w:right w:val="none" w:sz="0" w:space="0" w:color="auto"/>
          </w:divBdr>
          <w:divsChild>
            <w:div w:id="101152654">
              <w:marLeft w:val="0"/>
              <w:marRight w:val="0"/>
              <w:marTop w:val="0"/>
              <w:marBottom w:val="0"/>
              <w:divBdr>
                <w:top w:val="none" w:sz="0" w:space="0" w:color="auto"/>
                <w:left w:val="none" w:sz="0" w:space="0" w:color="auto"/>
                <w:bottom w:val="none" w:sz="0" w:space="0" w:color="auto"/>
                <w:right w:val="none" w:sz="0" w:space="0" w:color="auto"/>
              </w:divBdr>
            </w:div>
          </w:divsChild>
        </w:div>
        <w:div w:id="608198378">
          <w:marLeft w:val="0"/>
          <w:marRight w:val="0"/>
          <w:marTop w:val="0"/>
          <w:marBottom w:val="0"/>
          <w:divBdr>
            <w:top w:val="none" w:sz="0" w:space="0" w:color="auto"/>
            <w:left w:val="none" w:sz="0" w:space="0" w:color="auto"/>
            <w:bottom w:val="none" w:sz="0" w:space="0" w:color="auto"/>
            <w:right w:val="none" w:sz="0" w:space="0" w:color="auto"/>
          </w:divBdr>
          <w:divsChild>
            <w:div w:id="1719163414">
              <w:marLeft w:val="0"/>
              <w:marRight w:val="0"/>
              <w:marTop w:val="0"/>
              <w:marBottom w:val="0"/>
              <w:divBdr>
                <w:top w:val="none" w:sz="0" w:space="0" w:color="auto"/>
                <w:left w:val="none" w:sz="0" w:space="0" w:color="auto"/>
                <w:bottom w:val="none" w:sz="0" w:space="0" w:color="auto"/>
                <w:right w:val="none" w:sz="0" w:space="0" w:color="auto"/>
              </w:divBdr>
            </w:div>
          </w:divsChild>
        </w:div>
        <w:div w:id="942302028">
          <w:marLeft w:val="0"/>
          <w:marRight w:val="0"/>
          <w:marTop w:val="0"/>
          <w:marBottom w:val="0"/>
          <w:divBdr>
            <w:top w:val="none" w:sz="0" w:space="0" w:color="auto"/>
            <w:left w:val="none" w:sz="0" w:space="0" w:color="auto"/>
            <w:bottom w:val="none" w:sz="0" w:space="0" w:color="auto"/>
            <w:right w:val="none" w:sz="0" w:space="0" w:color="auto"/>
          </w:divBdr>
          <w:divsChild>
            <w:div w:id="301036190">
              <w:marLeft w:val="0"/>
              <w:marRight w:val="0"/>
              <w:marTop w:val="0"/>
              <w:marBottom w:val="0"/>
              <w:divBdr>
                <w:top w:val="none" w:sz="0" w:space="0" w:color="auto"/>
                <w:left w:val="none" w:sz="0" w:space="0" w:color="auto"/>
                <w:bottom w:val="none" w:sz="0" w:space="0" w:color="auto"/>
                <w:right w:val="none" w:sz="0" w:space="0" w:color="auto"/>
              </w:divBdr>
            </w:div>
          </w:divsChild>
        </w:div>
        <w:div w:id="1370762950">
          <w:marLeft w:val="0"/>
          <w:marRight w:val="0"/>
          <w:marTop w:val="0"/>
          <w:marBottom w:val="0"/>
          <w:divBdr>
            <w:top w:val="none" w:sz="0" w:space="0" w:color="auto"/>
            <w:left w:val="none" w:sz="0" w:space="0" w:color="auto"/>
            <w:bottom w:val="none" w:sz="0" w:space="0" w:color="auto"/>
            <w:right w:val="none" w:sz="0" w:space="0" w:color="auto"/>
          </w:divBdr>
          <w:divsChild>
            <w:div w:id="2004355989">
              <w:marLeft w:val="0"/>
              <w:marRight w:val="0"/>
              <w:marTop w:val="0"/>
              <w:marBottom w:val="0"/>
              <w:divBdr>
                <w:top w:val="none" w:sz="0" w:space="0" w:color="auto"/>
                <w:left w:val="none" w:sz="0" w:space="0" w:color="auto"/>
                <w:bottom w:val="none" w:sz="0" w:space="0" w:color="auto"/>
                <w:right w:val="none" w:sz="0" w:space="0" w:color="auto"/>
              </w:divBdr>
            </w:div>
          </w:divsChild>
        </w:div>
        <w:div w:id="1502160445">
          <w:marLeft w:val="0"/>
          <w:marRight w:val="0"/>
          <w:marTop w:val="0"/>
          <w:marBottom w:val="0"/>
          <w:divBdr>
            <w:top w:val="none" w:sz="0" w:space="0" w:color="auto"/>
            <w:left w:val="none" w:sz="0" w:space="0" w:color="auto"/>
            <w:bottom w:val="none" w:sz="0" w:space="0" w:color="auto"/>
            <w:right w:val="none" w:sz="0" w:space="0" w:color="auto"/>
          </w:divBdr>
          <w:divsChild>
            <w:div w:id="191961529">
              <w:marLeft w:val="0"/>
              <w:marRight w:val="0"/>
              <w:marTop w:val="0"/>
              <w:marBottom w:val="0"/>
              <w:divBdr>
                <w:top w:val="none" w:sz="0" w:space="0" w:color="auto"/>
                <w:left w:val="none" w:sz="0" w:space="0" w:color="auto"/>
                <w:bottom w:val="none" w:sz="0" w:space="0" w:color="auto"/>
                <w:right w:val="none" w:sz="0" w:space="0" w:color="auto"/>
              </w:divBdr>
            </w:div>
          </w:divsChild>
        </w:div>
        <w:div w:id="1598907019">
          <w:marLeft w:val="0"/>
          <w:marRight w:val="0"/>
          <w:marTop w:val="0"/>
          <w:marBottom w:val="0"/>
          <w:divBdr>
            <w:top w:val="none" w:sz="0" w:space="0" w:color="auto"/>
            <w:left w:val="none" w:sz="0" w:space="0" w:color="auto"/>
            <w:bottom w:val="none" w:sz="0" w:space="0" w:color="auto"/>
            <w:right w:val="none" w:sz="0" w:space="0" w:color="auto"/>
          </w:divBdr>
          <w:divsChild>
            <w:div w:id="662007271">
              <w:marLeft w:val="0"/>
              <w:marRight w:val="0"/>
              <w:marTop w:val="0"/>
              <w:marBottom w:val="0"/>
              <w:divBdr>
                <w:top w:val="none" w:sz="0" w:space="0" w:color="auto"/>
                <w:left w:val="none" w:sz="0" w:space="0" w:color="auto"/>
                <w:bottom w:val="none" w:sz="0" w:space="0" w:color="auto"/>
                <w:right w:val="none" w:sz="0" w:space="0" w:color="auto"/>
              </w:divBdr>
            </w:div>
          </w:divsChild>
        </w:div>
        <w:div w:id="1809391738">
          <w:marLeft w:val="0"/>
          <w:marRight w:val="0"/>
          <w:marTop w:val="0"/>
          <w:marBottom w:val="0"/>
          <w:divBdr>
            <w:top w:val="none" w:sz="0" w:space="0" w:color="auto"/>
            <w:left w:val="none" w:sz="0" w:space="0" w:color="auto"/>
            <w:bottom w:val="none" w:sz="0" w:space="0" w:color="auto"/>
            <w:right w:val="none" w:sz="0" w:space="0" w:color="auto"/>
          </w:divBdr>
          <w:divsChild>
            <w:div w:id="1778795270">
              <w:marLeft w:val="0"/>
              <w:marRight w:val="0"/>
              <w:marTop w:val="0"/>
              <w:marBottom w:val="0"/>
              <w:divBdr>
                <w:top w:val="none" w:sz="0" w:space="0" w:color="auto"/>
                <w:left w:val="none" w:sz="0" w:space="0" w:color="auto"/>
                <w:bottom w:val="none" w:sz="0" w:space="0" w:color="auto"/>
                <w:right w:val="none" w:sz="0" w:space="0" w:color="auto"/>
              </w:divBdr>
            </w:div>
          </w:divsChild>
        </w:div>
        <w:div w:id="2026443734">
          <w:marLeft w:val="0"/>
          <w:marRight w:val="0"/>
          <w:marTop w:val="0"/>
          <w:marBottom w:val="0"/>
          <w:divBdr>
            <w:top w:val="none" w:sz="0" w:space="0" w:color="auto"/>
            <w:left w:val="none" w:sz="0" w:space="0" w:color="auto"/>
            <w:bottom w:val="none" w:sz="0" w:space="0" w:color="auto"/>
            <w:right w:val="none" w:sz="0" w:space="0" w:color="auto"/>
          </w:divBdr>
          <w:divsChild>
            <w:div w:id="1986885917">
              <w:marLeft w:val="0"/>
              <w:marRight w:val="0"/>
              <w:marTop w:val="0"/>
              <w:marBottom w:val="0"/>
              <w:divBdr>
                <w:top w:val="none" w:sz="0" w:space="0" w:color="auto"/>
                <w:left w:val="none" w:sz="0" w:space="0" w:color="auto"/>
                <w:bottom w:val="none" w:sz="0" w:space="0" w:color="auto"/>
                <w:right w:val="none" w:sz="0" w:space="0" w:color="auto"/>
              </w:divBdr>
            </w:div>
          </w:divsChild>
        </w:div>
        <w:div w:id="2138639252">
          <w:marLeft w:val="0"/>
          <w:marRight w:val="0"/>
          <w:marTop w:val="0"/>
          <w:marBottom w:val="0"/>
          <w:divBdr>
            <w:top w:val="none" w:sz="0" w:space="0" w:color="auto"/>
            <w:left w:val="none" w:sz="0" w:space="0" w:color="auto"/>
            <w:bottom w:val="none" w:sz="0" w:space="0" w:color="auto"/>
            <w:right w:val="none" w:sz="0" w:space="0" w:color="auto"/>
          </w:divBdr>
          <w:divsChild>
            <w:div w:id="32135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50230">
      <w:bodyDiv w:val="1"/>
      <w:marLeft w:val="0"/>
      <w:marRight w:val="0"/>
      <w:marTop w:val="0"/>
      <w:marBottom w:val="0"/>
      <w:divBdr>
        <w:top w:val="none" w:sz="0" w:space="0" w:color="auto"/>
        <w:left w:val="none" w:sz="0" w:space="0" w:color="auto"/>
        <w:bottom w:val="none" w:sz="0" w:space="0" w:color="auto"/>
        <w:right w:val="none" w:sz="0" w:space="0" w:color="auto"/>
      </w:divBdr>
    </w:div>
    <w:div w:id="1827933981">
      <w:bodyDiv w:val="1"/>
      <w:marLeft w:val="0"/>
      <w:marRight w:val="0"/>
      <w:marTop w:val="0"/>
      <w:marBottom w:val="0"/>
      <w:divBdr>
        <w:top w:val="none" w:sz="0" w:space="0" w:color="auto"/>
        <w:left w:val="none" w:sz="0" w:space="0" w:color="auto"/>
        <w:bottom w:val="none" w:sz="0" w:space="0" w:color="auto"/>
        <w:right w:val="none" w:sz="0" w:space="0" w:color="auto"/>
      </w:divBdr>
      <w:divsChild>
        <w:div w:id="29037563">
          <w:marLeft w:val="0"/>
          <w:marRight w:val="0"/>
          <w:marTop w:val="0"/>
          <w:marBottom w:val="0"/>
          <w:divBdr>
            <w:top w:val="none" w:sz="0" w:space="0" w:color="auto"/>
            <w:left w:val="none" w:sz="0" w:space="0" w:color="auto"/>
            <w:bottom w:val="none" w:sz="0" w:space="0" w:color="auto"/>
            <w:right w:val="none" w:sz="0" w:space="0" w:color="auto"/>
          </w:divBdr>
        </w:div>
        <w:div w:id="32927631">
          <w:marLeft w:val="0"/>
          <w:marRight w:val="0"/>
          <w:marTop w:val="0"/>
          <w:marBottom w:val="0"/>
          <w:divBdr>
            <w:top w:val="none" w:sz="0" w:space="0" w:color="auto"/>
            <w:left w:val="none" w:sz="0" w:space="0" w:color="auto"/>
            <w:bottom w:val="none" w:sz="0" w:space="0" w:color="auto"/>
            <w:right w:val="none" w:sz="0" w:space="0" w:color="auto"/>
          </w:divBdr>
        </w:div>
        <w:div w:id="89131454">
          <w:marLeft w:val="0"/>
          <w:marRight w:val="0"/>
          <w:marTop w:val="0"/>
          <w:marBottom w:val="0"/>
          <w:divBdr>
            <w:top w:val="none" w:sz="0" w:space="0" w:color="auto"/>
            <w:left w:val="none" w:sz="0" w:space="0" w:color="auto"/>
            <w:bottom w:val="none" w:sz="0" w:space="0" w:color="auto"/>
            <w:right w:val="none" w:sz="0" w:space="0" w:color="auto"/>
          </w:divBdr>
        </w:div>
        <w:div w:id="141968448">
          <w:marLeft w:val="0"/>
          <w:marRight w:val="0"/>
          <w:marTop w:val="0"/>
          <w:marBottom w:val="0"/>
          <w:divBdr>
            <w:top w:val="none" w:sz="0" w:space="0" w:color="auto"/>
            <w:left w:val="none" w:sz="0" w:space="0" w:color="auto"/>
            <w:bottom w:val="none" w:sz="0" w:space="0" w:color="auto"/>
            <w:right w:val="none" w:sz="0" w:space="0" w:color="auto"/>
          </w:divBdr>
        </w:div>
        <w:div w:id="155000967">
          <w:marLeft w:val="0"/>
          <w:marRight w:val="0"/>
          <w:marTop w:val="0"/>
          <w:marBottom w:val="0"/>
          <w:divBdr>
            <w:top w:val="none" w:sz="0" w:space="0" w:color="auto"/>
            <w:left w:val="none" w:sz="0" w:space="0" w:color="auto"/>
            <w:bottom w:val="none" w:sz="0" w:space="0" w:color="auto"/>
            <w:right w:val="none" w:sz="0" w:space="0" w:color="auto"/>
          </w:divBdr>
          <w:divsChild>
            <w:div w:id="964583848">
              <w:marLeft w:val="-75"/>
              <w:marRight w:val="0"/>
              <w:marTop w:val="30"/>
              <w:marBottom w:val="30"/>
              <w:divBdr>
                <w:top w:val="none" w:sz="0" w:space="0" w:color="auto"/>
                <w:left w:val="none" w:sz="0" w:space="0" w:color="auto"/>
                <w:bottom w:val="none" w:sz="0" w:space="0" w:color="auto"/>
                <w:right w:val="none" w:sz="0" w:space="0" w:color="auto"/>
              </w:divBdr>
              <w:divsChild>
                <w:div w:id="54472614">
                  <w:marLeft w:val="0"/>
                  <w:marRight w:val="0"/>
                  <w:marTop w:val="0"/>
                  <w:marBottom w:val="0"/>
                  <w:divBdr>
                    <w:top w:val="none" w:sz="0" w:space="0" w:color="auto"/>
                    <w:left w:val="none" w:sz="0" w:space="0" w:color="auto"/>
                    <w:bottom w:val="none" w:sz="0" w:space="0" w:color="auto"/>
                    <w:right w:val="none" w:sz="0" w:space="0" w:color="auto"/>
                  </w:divBdr>
                  <w:divsChild>
                    <w:div w:id="1208448876">
                      <w:marLeft w:val="0"/>
                      <w:marRight w:val="0"/>
                      <w:marTop w:val="0"/>
                      <w:marBottom w:val="0"/>
                      <w:divBdr>
                        <w:top w:val="none" w:sz="0" w:space="0" w:color="auto"/>
                        <w:left w:val="none" w:sz="0" w:space="0" w:color="auto"/>
                        <w:bottom w:val="none" w:sz="0" w:space="0" w:color="auto"/>
                        <w:right w:val="none" w:sz="0" w:space="0" w:color="auto"/>
                      </w:divBdr>
                    </w:div>
                  </w:divsChild>
                </w:div>
                <w:div w:id="113714187">
                  <w:marLeft w:val="0"/>
                  <w:marRight w:val="0"/>
                  <w:marTop w:val="0"/>
                  <w:marBottom w:val="0"/>
                  <w:divBdr>
                    <w:top w:val="none" w:sz="0" w:space="0" w:color="auto"/>
                    <w:left w:val="none" w:sz="0" w:space="0" w:color="auto"/>
                    <w:bottom w:val="none" w:sz="0" w:space="0" w:color="auto"/>
                    <w:right w:val="none" w:sz="0" w:space="0" w:color="auto"/>
                  </w:divBdr>
                  <w:divsChild>
                    <w:div w:id="623193945">
                      <w:marLeft w:val="0"/>
                      <w:marRight w:val="0"/>
                      <w:marTop w:val="0"/>
                      <w:marBottom w:val="0"/>
                      <w:divBdr>
                        <w:top w:val="none" w:sz="0" w:space="0" w:color="auto"/>
                        <w:left w:val="none" w:sz="0" w:space="0" w:color="auto"/>
                        <w:bottom w:val="none" w:sz="0" w:space="0" w:color="auto"/>
                        <w:right w:val="none" w:sz="0" w:space="0" w:color="auto"/>
                      </w:divBdr>
                    </w:div>
                  </w:divsChild>
                </w:div>
                <w:div w:id="169217191">
                  <w:marLeft w:val="0"/>
                  <w:marRight w:val="0"/>
                  <w:marTop w:val="0"/>
                  <w:marBottom w:val="0"/>
                  <w:divBdr>
                    <w:top w:val="none" w:sz="0" w:space="0" w:color="auto"/>
                    <w:left w:val="none" w:sz="0" w:space="0" w:color="auto"/>
                    <w:bottom w:val="none" w:sz="0" w:space="0" w:color="auto"/>
                    <w:right w:val="none" w:sz="0" w:space="0" w:color="auto"/>
                  </w:divBdr>
                  <w:divsChild>
                    <w:div w:id="1261641767">
                      <w:marLeft w:val="0"/>
                      <w:marRight w:val="0"/>
                      <w:marTop w:val="0"/>
                      <w:marBottom w:val="0"/>
                      <w:divBdr>
                        <w:top w:val="none" w:sz="0" w:space="0" w:color="auto"/>
                        <w:left w:val="none" w:sz="0" w:space="0" w:color="auto"/>
                        <w:bottom w:val="none" w:sz="0" w:space="0" w:color="auto"/>
                        <w:right w:val="none" w:sz="0" w:space="0" w:color="auto"/>
                      </w:divBdr>
                    </w:div>
                  </w:divsChild>
                </w:div>
                <w:div w:id="231282827">
                  <w:marLeft w:val="0"/>
                  <w:marRight w:val="0"/>
                  <w:marTop w:val="0"/>
                  <w:marBottom w:val="0"/>
                  <w:divBdr>
                    <w:top w:val="none" w:sz="0" w:space="0" w:color="auto"/>
                    <w:left w:val="none" w:sz="0" w:space="0" w:color="auto"/>
                    <w:bottom w:val="none" w:sz="0" w:space="0" w:color="auto"/>
                    <w:right w:val="none" w:sz="0" w:space="0" w:color="auto"/>
                  </w:divBdr>
                  <w:divsChild>
                    <w:div w:id="1756825758">
                      <w:marLeft w:val="0"/>
                      <w:marRight w:val="0"/>
                      <w:marTop w:val="0"/>
                      <w:marBottom w:val="0"/>
                      <w:divBdr>
                        <w:top w:val="none" w:sz="0" w:space="0" w:color="auto"/>
                        <w:left w:val="none" w:sz="0" w:space="0" w:color="auto"/>
                        <w:bottom w:val="none" w:sz="0" w:space="0" w:color="auto"/>
                        <w:right w:val="none" w:sz="0" w:space="0" w:color="auto"/>
                      </w:divBdr>
                    </w:div>
                  </w:divsChild>
                </w:div>
                <w:div w:id="235166054">
                  <w:marLeft w:val="0"/>
                  <w:marRight w:val="0"/>
                  <w:marTop w:val="0"/>
                  <w:marBottom w:val="0"/>
                  <w:divBdr>
                    <w:top w:val="none" w:sz="0" w:space="0" w:color="auto"/>
                    <w:left w:val="none" w:sz="0" w:space="0" w:color="auto"/>
                    <w:bottom w:val="none" w:sz="0" w:space="0" w:color="auto"/>
                    <w:right w:val="none" w:sz="0" w:space="0" w:color="auto"/>
                  </w:divBdr>
                  <w:divsChild>
                    <w:div w:id="247812526">
                      <w:marLeft w:val="0"/>
                      <w:marRight w:val="0"/>
                      <w:marTop w:val="0"/>
                      <w:marBottom w:val="0"/>
                      <w:divBdr>
                        <w:top w:val="none" w:sz="0" w:space="0" w:color="auto"/>
                        <w:left w:val="none" w:sz="0" w:space="0" w:color="auto"/>
                        <w:bottom w:val="none" w:sz="0" w:space="0" w:color="auto"/>
                        <w:right w:val="none" w:sz="0" w:space="0" w:color="auto"/>
                      </w:divBdr>
                    </w:div>
                  </w:divsChild>
                </w:div>
                <w:div w:id="237322876">
                  <w:marLeft w:val="0"/>
                  <w:marRight w:val="0"/>
                  <w:marTop w:val="0"/>
                  <w:marBottom w:val="0"/>
                  <w:divBdr>
                    <w:top w:val="none" w:sz="0" w:space="0" w:color="auto"/>
                    <w:left w:val="none" w:sz="0" w:space="0" w:color="auto"/>
                    <w:bottom w:val="none" w:sz="0" w:space="0" w:color="auto"/>
                    <w:right w:val="none" w:sz="0" w:space="0" w:color="auto"/>
                  </w:divBdr>
                  <w:divsChild>
                    <w:div w:id="1572042637">
                      <w:marLeft w:val="0"/>
                      <w:marRight w:val="0"/>
                      <w:marTop w:val="0"/>
                      <w:marBottom w:val="0"/>
                      <w:divBdr>
                        <w:top w:val="none" w:sz="0" w:space="0" w:color="auto"/>
                        <w:left w:val="none" w:sz="0" w:space="0" w:color="auto"/>
                        <w:bottom w:val="none" w:sz="0" w:space="0" w:color="auto"/>
                        <w:right w:val="none" w:sz="0" w:space="0" w:color="auto"/>
                      </w:divBdr>
                    </w:div>
                  </w:divsChild>
                </w:div>
                <w:div w:id="290673306">
                  <w:marLeft w:val="0"/>
                  <w:marRight w:val="0"/>
                  <w:marTop w:val="0"/>
                  <w:marBottom w:val="0"/>
                  <w:divBdr>
                    <w:top w:val="none" w:sz="0" w:space="0" w:color="auto"/>
                    <w:left w:val="none" w:sz="0" w:space="0" w:color="auto"/>
                    <w:bottom w:val="none" w:sz="0" w:space="0" w:color="auto"/>
                    <w:right w:val="none" w:sz="0" w:space="0" w:color="auto"/>
                  </w:divBdr>
                  <w:divsChild>
                    <w:div w:id="233441141">
                      <w:marLeft w:val="0"/>
                      <w:marRight w:val="0"/>
                      <w:marTop w:val="0"/>
                      <w:marBottom w:val="0"/>
                      <w:divBdr>
                        <w:top w:val="none" w:sz="0" w:space="0" w:color="auto"/>
                        <w:left w:val="none" w:sz="0" w:space="0" w:color="auto"/>
                        <w:bottom w:val="none" w:sz="0" w:space="0" w:color="auto"/>
                        <w:right w:val="none" w:sz="0" w:space="0" w:color="auto"/>
                      </w:divBdr>
                    </w:div>
                  </w:divsChild>
                </w:div>
                <w:div w:id="349381980">
                  <w:marLeft w:val="0"/>
                  <w:marRight w:val="0"/>
                  <w:marTop w:val="0"/>
                  <w:marBottom w:val="0"/>
                  <w:divBdr>
                    <w:top w:val="none" w:sz="0" w:space="0" w:color="auto"/>
                    <w:left w:val="none" w:sz="0" w:space="0" w:color="auto"/>
                    <w:bottom w:val="none" w:sz="0" w:space="0" w:color="auto"/>
                    <w:right w:val="none" w:sz="0" w:space="0" w:color="auto"/>
                  </w:divBdr>
                  <w:divsChild>
                    <w:div w:id="1513688879">
                      <w:marLeft w:val="0"/>
                      <w:marRight w:val="0"/>
                      <w:marTop w:val="0"/>
                      <w:marBottom w:val="0"/>
                      <w:divBdr>
                        <w:top w:val="none" w:sz="0" w:space="0" w:color="auto"/>
                        <w:left w:val="none" w:sz="0" w:space="0" w:color="auto"/>
                        <w:bottom w:val="none" w:sz="0" w:space="0" w:color="auto"/>
                        <w:right w:val="none" w:sz="0" w:space="0" w:color="auto"/>
                      </w:divBdr>
                    </w:div>
                  </w:divsChild>
                </w:div>
                <w:div w:id="732125202">
                  <w:marLeft w:val="0"/>
                  <w:marRight w:val="0"/>
                  <w:marTop w:val="0"/>
                  <w:marBottom w:val="0"/>
                  <w:divBdr>
                    <w:top w:val="none" w:sz="0" w:space="0" w:color="auto"/>
                    <w:left w:val="none" w:sz="0" w:space="0" w:color="auto"/>
                    <w:bottom w:val="none" w:sz="0" w:space="0" w:color="auto"/>
                    <w:right w:val="none" w:sz="0" w:space="0" w:color="auto"/>
                  </w:divBdr>
                  <w:divsChild>
                    <w:div w:id="1224952885">
                      <w:marLeft w:val="0"/>
                      <w:marRight w:val="0"/>
                      <w:marTop w:val="0"/>
                      <w:marBottom w:val="0"/>
                      <w:divBdr>
                        <w:top w:val="none" w:sz="0" w:space="0" w:color="auto"/>
                        <w:left w:val="none" w:sz="0" w:space="0" w:color="auto"/>
                        <w:bottom w:val="none" w:sz="0" w:space="0" w:color="auto"/>
                        <w:right w:val="none" w:sz="0" w:space="0" w:color="auto"/>
                      </w:divBdr>
                    </w:div>
                  </w:divsChild>
                </w:div>
                <w:div w:id="1020815389">
                  <w:marLeft w:val="0"/>
                  <w:marRight w:val="0"/>
                  <w:marTop w:val="0"/>
                  <w:marBottom w:val="0"/>
                  <w:divBdr>
                    <w:top w:val="none" w:sz="0" w:space="0" w:color="auto"/>
                    <w:left w:val="none" w:sz="0" w:space="0" w:color="auto"/>
                    <w:bottom w:val="none" w:sz="0" w:space="0" w:color="auto"/>
                    <w:right w:val="none" w:sz="0" w:space="0" w:color="auto"/>
                  </w:divBdr>
                  <w:divsChild>
                    <w:div w:id="1008949119">
                      <w:marLeft w:val="0"/>
                      <w:marRight w:val="0"/>
                      <w:marTop w:val="0"/>
                      <w:marBottom w:val="0"/>
                      <w:divBdr>
                        <w:top w:val="none" w:sz="0" w:space="0" w:color="auto"/>
                        <w:left w:val="none" w:sz="0" w:space="0" w:color="auto"/>
                        <w:bottom w:val="none" w:sz="0" w:space="0" w:color="auto"/>
                        <w:right w:val="none" w:sz="0" w:space="0" w:color="auto"/>
                      </w:divBdr>
                    </w:div>
                  </w:divsChild>
                </w:div>
                <w:div w:id="1036156482">
                  <w:marLeft w:val="0"/>
                  <w:marRight w:val="0"/>
                  <w:marTop w:val="0"/>
                  <w:marBottom w:val="0"/>
                  <w:divBdr>
                    <w:top w:val="none" w:sz="0" w:space="0" w:color="auto"/>
                    <w:left w:val="none" w:sz="0" w:space="0" w:color="auto"/>
                    <w:bottom w:val="none" w:sz="0" w:space="0" w:color="auto"/>
                    <w:right w:val="none" w:sz="0" w:space="0" w:color="auto"/>
                  </w:divBdr>
                  <w:divsChild>
                    <w:div w:id="609556236">
                      <w:marLeft w:val="0"/>
                      <w:marRight w:val="0"/>
                      <w:marTop w:val="0"/>
                      <w:marBottom w:val="0"/>
                      <w:divBdr>
                        <w:top w:val="none" w:sz="0" w:space="0" w:color="auto"/>
                        <w:left w:val="none" w:sz="0" w:space="0" w:color="auto"/>
                        <w:bottom w:val="none" w:sz="0" w:space="0" w:color="auto"/>
                        <w:right w:val="none" w:sz="0" w:space="0" w:color="auto"/>
                      </w:divBdr>
                    </w:div>
                  </w:divsChild>
                </w:div>
                <w:div w:id="1077746158">
                  <w:marLeft w:val="0"/>
                  <w:marRight w:val="0"/>
                  <w:marTop w:val="0"/>
                  <w:marBottom w:val="0"/>
                  <w:divBdr>
                    <w:top w:val="none" w:sz="0" w:space="0" w:color="auto"/>
                    <w:left w:val="none" w:sz="0" w:space="0" w:color="auto"/>
                    <w:bottom w:val="none" w:sz="0" w:space="0" w:color="auto"/>
                    <w:right w:val="none" w:sz="0" w:space="0" w:color="auto"/>
                  </w:divBdr>
                  <w:divsChild>
                    <w:div w:id="1259563230">
                      <w:marLeft w:val="0"/>
                      <w:marRight w:val="0"/>
                      <w:marTop w:val="0"/>
                      <w:marBottom w:val="0"/>
                      <w:divBdr>
                        <w:top w:val="none" w:sz="0" w:space="0" w:color="auto"/>
                        <w:left w:val="none" w:sz="0" w:space="0" w:color="auto"/>
                        <w:bottom w:val="none" w:sz="0" w:space="0" w:color="auto"/>
                        <w:right w:val="none" w:sz="0" w:space="0" w:color="auto"/>
                      </w:divBdr>
                    </w:div>
                  </w:divsChild>
                </w:div>
                <w:div w:id="1252592917">
                  <w:marLeft w:val="0"/>
                  <w:marRight w:val="0"/>
                  <w:marTop w:val="0"/>
                  <w:marBottom w:val="0"/>
                  <w:divBdr>
                    <w:top w:val="none" w:sz="0" w:space="0" w:color="auto"/>
                    <w:left w:val="none" w:sz="0" w:space="0" w:color="auto"/>
                    <w:bottom w:val="none" w:sz="0" w:space="0" w:color="auto"/>
                    <w:right w:val="none" w:sz="0" w:space="0" w:color="auto"/>
                  </w:divBdr>
                  <w:divsChild>
                    <w:div w:id="1748990786">
                      <w:marLeft w:val="0"/>
                      <w:marRight w:val="0"/>
                      <w:marTop w:val="0"/>
                      <w:marBottom w:val="0"/>
                      <w:divBdr>
                        <w:top w:val="none" w:sz="0" w:space="0" w:color="auto"/>
                        <w:left w:val="none" w:sz="0" w:space="0" w:color="auto"/>
                        <w:bottom w:val="none" w:sz="0" w:space="0" w:color="auto"/>
                        <w:right w:val="none" w:sz="0" w:space="0" w:color="auto"/>
                      </w:divBdr>
                    </w:div>
                  </w:divsChild>
                </w:div>
                <w:div w:id="1358890776">
                  <w:marLeft w:val="0"/>
                  <w:marRight w:val="0"/>
                  <w:marTop w:val="0"/>
                  <w:marBottom w:val="0"/>
                  <w:divBdr>
                    <w:top w:val="none" w:sz="0" w:space="0" w:color="auto"/>
                    <w:left w:val="none" w:sz="0" w:space="0" w:color="auto"/>
                    <w:bottom w:val="none" w:sz="0" w:space="0" w:color="auto"/>
                    <w:right w:val="none" w:sz="0" w:space="0" w:color="auto"/>
                  </w:divBdr>
                  <w:divsChild>
                    <w:div w:id="363864936">
                      <w:marLeft w:val="0"/>
                      <w:marRight w:val="0"/>
                      <w:marTop w:val="0"/>
                      <w:marBottom w:val="0"/>
                      <w:divBdr>
                        <w:top w:val="none" w:sz="0" w:space="0" w:color="auto"/>
                        <w:left w:val="none" w:sz="0" w:space="0" w:color="auto"/>
                        <w:bottom w:val="none" w:sz="0" w:space="0" w:color="auto"/>
                        <w:right w:val="none" w:sz="0" w:space="0" w:color="auto"/>
                      </w:divBdr>
                    </w:div>
                  </w:divsChild>
                </w:div>
                <w:div w:id="1421171933">
                  <w:marLeft w:val="0"/>
                  <w:marRight w:val="0"/>
                  <w:marTop w:val="0"/>
                  <w:marBottom w:val="0"/>
                  <w:divBdr>
                    <w:top w:val="none" w:sz="0" w:space="0" w:color="auto"/>
                    <w:left w:val="none" w:sz="0" w:space="0" w:color="auto"/>
                    <w:bottom w:val="none" w:sz="0" w:space="0" w:color="auto"/>
                    <w:right w:val="none" w:sz="0" w:space="0" w:color="auto"/>
                  </w:divBdr>
                  <w:divsChild>
                    <w:div w:id="1777171360">
                      <w:marLeft w:val="0"/>
                      <w:marRight w:val="0"/>
                      <w:marTop w:val="0"/>
                      <w:marBottom w:val="0"/>
                      <w:divBdr>
                        <w:top w:val="none" w:sz="0" w:space="0" w:color="auto"/>
                        <w:left w:val="none" w:sz="0" w:space="0" w:color="auto"/>
                        <w:bottom w:val="none" w:sz="0" w:space="0" w:color="auto"/>
                        <w:right w:val="none" w:sz="0" w:space="0" w:color="auto"/>
                      </w:divBdr>
                    </w:div>
                  </w:divsChild>
                </w:div>
                <w:div w:id="1547637925">
                  <w:marLeft w:val="0"/>
                  <w:marRight w:val="0"/>
                  <w:marTop w:val="0"/>
                  <w:marBottom w:val="0"/>
                  <w:divBdr>
                    <w:top w:val="none" w:sz="0" w:space="0" w:color="auto"/>
                    <w:left w:val="none" w:sz="0" w:space="0" w:color="auto"/>
                    <w:bottom w:val="none" w:sz="0" w:space="0" w:color="auto"/>
                    <w:right w:val="none" w:sz="0" w:space="0" w:color="auto"/>
                  </w:divBdr>
                  <w:divsChild>
                    <w:div w:id="824712023">
                      <w:marLeft w:val="0"/>
                      <w:marRight w:val="0"/>
                      <w:marTop w:val="0"/>
                      <w:marBottom w:val="0"/>
                      <w:divBdr>
                        <w:top w:val="none" w:sz="0" w:space="0" w:color="auto"/>
                        <w:left w:val="none" w:sz="0" w:space="0" w:color="auto"/>
                        <w:bottom w:val="none" w:sz="0" w:space="0" w:color="auto"/>
                        <w:right w:val="none" w:sz="0" w:space="0" w:color="auto"/>
                      </w:divBdr>
                    </w:div>
                  </w:divsChild>
                </w:div>
                <w:div w:id="1633947323">
                  <w:marLeft w:val="0"/>
                  <w:marRight w:val="0"/>
                  <w:marTop w:val="0"/>
                  <w:marBottom w:val="0"/>
                  <w:divBdr>
                    <w:top w:val="none" w:sz="0" w:space="0" w:color="auto"/>
                    <w:left w:val="none" w:sz="0" w:space="0" w:color="auto"/>
                    <w:bottom w:val="none" w:sz="0" w:space="0" w:color="auto"/>
                    <w:right w:val="none" w:sz="0" w:space="0" w:color="auto"/>
                  </w:divBdr>
                  <w:divsChild>
                    <w:div w:id="2060863195">
                      <w:marLeft w:val="0"/>
                      <w:marRight w:val="0"/>
                      <w:marTop w:val="0"/>
                      <w:marBottom w:val="0"/>
                      <w:divBdr>
                        <w:top w:val="none" w:sz="0" w:space="0" w:color="auto"/>
                        <w:left w:val="none" w:sz="0" w:space="0" w:color="auto"/>
                        <w:bottom w:val="none" w:sz="0" w:space="0" w:color="auto"/>
                        <w:right w:val="none" w:sz="0" w:space="0" w:color="auto"/>
                      </w:divBdr>
                    </w:div>
                  </w:divsChild>
                </w:div>
                <w:div w:id="1762217818">
                  <w:marLeft w:val="0"/>
                  <w:marRight w:val="0"/>
                  <w:marTop w:val="0"/>
                  <w:marBottom w:val="0"/>
                  <w:divBdr>
                    <w:top w:val="none" w:sz="0" w:space="0" w:color="auto"/>
                    <w:left w:val="none" w:sz="0" w:space="0" w:color="auto"/>
                    <w:bottom w:val="none" w:sz="0" w:space="0" w:color="auto"/>
                    <w:right w:val="none" w:sz="0" w:space="0" w:color="auto"/>
                  </w:divBdr>
                  <w:divsChild>
                    <w:div w:id="636108440">
                      <w:marLeft w:val="0"/>
                      <w:marRight w:val="0"/>
                      <w:marTop w:val="0"/>
                      <w:marBottom w:val="0"/>
                      <w:divBdr>
                        <w:top w:val="none" w:sz="0" w:space="0" w:color="auto"/>
                        <w:left w:val="none" w:sz="0" w:space="0" w:color="auto"/>
                        <w:bottom w:val="none" w:sz="0" w:space="0" w:color="auto"/>
                        <w:right w:val="none" w:sz="0" w:space="0" w:color="auto"/>
                      </w:divBdr>
                    </w:div>
                  </w:divsChild>
                </w:div>
                <w:div w:id="1818959099">
                  <w:marLeft w:val="0"/>
                  <w:marRight w:val="0"/>
                  <w:marTop w:val="0"/>
                  <w:marBottom w:val="0"/>
                  <w:divBdr>
                    <w:top w:val="none" w:sz="0" w:space="0" w:color="auto"/>
                    <w:left w:val="none" w:sz="0" w:space="0" w:color="auto"/>
                    <w:bottom w:val="none" w:sz="0" w:space="0" w:color="auto"/>
                    <w:right w:val="none" w:sz="0" w:space="0" w:color="auto"/>
                  </w:divBdr>
                  <w:divsChild>
                    <w:div w:id="381751173">
                      <w:marLeft w:val="0"/>
                      <w:marRight w:val="0"/>
                      <w:marTop w:val="0"/>
                      <w:marBottom w:val="0"/>
                      <w:divBdr>
                        <w:top w:val="none" w:sz="0" w:space="0" w:color="auto"/>
                        <w:left w:val="none" w:sz="0" w:space="0" w:color="auto"/>
                        <w:bottom w:val="none" w:sz="0" w:space="0" w:color="auto"/>
                        <w:right w:val="none" w:sz="0" w:space="0" w:color="auto"/>
                      </w:divBdr>
                    </w:div>
                  </w:divsChild>
                </w:div>
                <w:div w:id="1954171350">
                  <w:marLeft w:val="0"/>
                  <w:marRight w:val="0"/>
                  <w:marTop w:val="0"/>
                  <w:marBottom w:val="0"/>
                  <w:divBdr>
                    <w:top w:val="none" w:sz="0" w:space="0" w:color="auto"/>
                    <w:left w:val="none" w:sz="0" w:space="0" w:color="auto"/>
                    <w:bottom w:val="none" w:sz="0" w:space="0" w:color="auto"/>
                    <w:right w:val="none" w:sz="0" w:space="0" w:color="auto"/>
                  </w:divBdr>
                  <w:divsChild>
                    <w:div w:id="87519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352181">
          <w:marLeft w:val="0"/>
          <w:marRight w:val="0"/>
          <w:marTop w:val="0"/>
          <w:marBottom w:val="0"/>
          <w:divBdr>
            <w:top w:val="none" w:sz="0" w:space="0" w:color="auto"/>
            <w:left w:val="none" w:sz="0" w:space="0" w:color="auto"/>
            <w:bottom w:val="none" w:sz="0" w:space="0" w:color="auto"/>
            <w:right w:val="none" w:sz="0" w:space="0" w:color="auto"/>
          </w:divBdr>
        </w:div>
        <w:div w:id="315652737">
          <w:marLeft w:val="0"/>
          <w:marRight w:val="0"/>
          <w:marTop w:val="0"/>
          <w:marBottom w:val="0"/>
          <w:divBdr>
            <w:top w:val="none" w:sz="0" w:space="0" w:color="auto"/>
            <w:left w:val="none" w:sz="0" w:space="0" w:color="auto"/>
            <w:bottom w:val="none" w:sz="0" w:space="0" w:color="auto"/>
            <w:right w:val="none" w:sz="0" w:space="0" w:color="auto"/>
          </w:divBdr>
        </w:div>
        <w:div w:id="327946968">
          <w:marLeft w:val="0"/>
          <w:marRight w:val="0"/>
          <w:marTop w:val="0"/>
          <w:marBottom w:val="0"/>
          <w:divBdr>
            <w:top w:val="none" w:sz="0" w:space="0" w:color="auto"/>
            <w:left w:val="none" w:sz="0" w:space="0" w:color="auto"/>
            <w:bottom w:val="none" w:sz="0" w:space="0" w:color="auto"/>
            <w:right w:val="none" w:sz="0" w:space="0" w:color="auto"/>
          </w:divBdr>
        </w:div>
        <w:div w:id="333799495">
          <w:marLeft w:val="0"/>
          <w:marRight w:val="0"/>
          <w:marTop w:val="0"/>
          <w:marBottom w:val="0"/>
          <w:divBdr>
            <w:top w:val="none" w:sz="0" w:space="0" w:color="auto"/>
            <w:left w:val="none" w:sz="0" w:space="0" w:color="auto"/>
            <w:bottom w:val="none" w:sz="0" w:space="0" w:color="auto"/>
            <w:right w:val="none" w:sz="0" w:space="0" w:color="auto"/>
          </w:divBdr>
        </w:div>
        <w:div w:id="339697862">
          <w:marLeft w:val="0"/>
          <w:marRight w:val="0"/>
          <w:marTop w:val="0"/>
          <w:marBottom w:val="0"/>
          <w:divBdr>
            <w:top w:val="none" w:sz="0" w:space="0" w:color="auto"/>
            <w:left w:val="none" w:sz="0" w:space="0" w:color="auto"/>
            <w:bottom w:val="none" w:sz="0" w:space="0" w:color="auto"/>
            <w:right w:val="none" w:sz="0" w:space="0" w:color="auto"/>
          </w:divBdr>
        </w:div>
        <w:div w:id="436296990">
          <w:marLeft w:val="0"/>
          <w:marRight w:val="0"/>
          <w:marTop w:val="0"/>
          <w:marBottom w:val="0"/>
          <w:divBdr>
            <w:top w:val="none" w:sz="0" w:space="0" w:color="auto"/>
            <w:left w:val="none" w:sz="0" w:space="0" w:color="auto"/>
            <w:bottom w:val="none" w:sz="0" w:space="0" w:color="auto"/>
            <w:right w:val="none" w:sz="0" w:space="0" w:color="auto"/>
          </w:divBdr>
        </w:div>
        <w:div w:id="453671053">
          <w:marLeft w:val="0"/>
          <w:marRight w:val="0"/>
          <w:marTop w:val="0"/>
          <w:marBottom w:val="0"/>
          <w:divBdr>
            <w:top w:val="none" w:sz="0" w:space="0" w:color="auto"/>
            <w:left w:val="none" w:sz="0" w:space="0" w:color="auto"/>
            <w:bottom w:val="none" w:sz="0" w:space="0" w:color="auto"/>
            <w:right w:val="none" w:sz="0" w:space="0" w:color="auto"/>
          </w:divBdr>
        </w:div>
        <w:div w:id="699669293">
          <w:marLeft w:val="0"/>
          <w:marRight w:val="0"/>
          <w:marTop w:val="0"/>
          <w:marBottom w:val="0"/>
          <w:divBdr>
            <w:top w:val="none" w:sz="0" w:space="0" w:color="auto"/>
            <w:left w:val="none" w:sz="0" w:space="0" w:color="auto"/>
            <w:bottom w:val="none" w:sz="0" w:space="0" w:color="auto"/>
            <w:right w:val="none" w:sz="0" w:space="0" w:color="auto"/>
          </w:divBdr>
        </w:div>
        <w:div w:id="730812332">
          <w:marLeft w:val="0"/>
          <w:marRight w:val="0"/>
          <w:marTop w:val="0"/>
          <w:marBottom w:val="0"/>
          <w:divBdr>
            <w:top w:val="none" w:sz="0" w:space="0" w:color="auto"/>
            <w:left w:val="none" w:sz="0" w:space="0" w:color="auto"/>
            <w:bottom w:val="none" w:sz="0" w:space="0" w:color="auto"/>
            <w:right w:val="none" w:sz="0" w:space="0" w:color="auto"/>
          </w:divBdr>
        </w:div>
        <w:div w:id="758596819">
          <w:marLeft w:val="0"/>
          <w:marRight w:val="0"/>
          <w:marTop w:val="0"/>
          <w:marBottom w:val="0"/>
          <w:divBdr>
            <w:top w:val="none" w:sz="0" w:space="0" w:color="auto"/>
            <w:left w:val="none" w:sz="0" w:space="0" w:color="auto"/>
            <w:bottom w:val="none" w:sz="0" w:space="0" w:color="auto"/>
            <w:right w:val="none" w:sz="0" w:space="0" w:color="auto"/>
          </w:divBdr>
          <w:divsChild>
            <w:div w:id="160971278">
              <w:marLeft w:val="0"/>
              <w:marRight w:val="0"/>
              <w:marTop w:val="0"/>
              <w:marBottom w:val="0"/>
              <w:divBdr>
                <w:top w:val="none" w:sz="0" w:space="0" w:color="auto"/>
                <w:left w:val="none" w:sz="0" w:space="0" w:color="auto"/>
                <w:bottom w:val="none" w:sz="0" w:space="0" w:color="auto"/>
                <w:right w:val="none" w:sz="0" w:space="0" w:color="auto"/>
              </w:divBdr>
            </w:div>
            <w:div w:id="275870100">
              <w:marLeft w:val="0"/>
              <w:marRight w:val="0"/>
              <w:marTop w:val="0"/>
              <w:marBottom w:val="0"/>
              <w:divBdr>
                <w:top w:val="none" w:sz="0" w:space="0" w:color="auto"/>
                <w:left w:val="none" w:sz="0" w:space="0" w:color="auto"/>
                <w:bottom w:val="none" w:sz="0" w:space="0" w:color="auto"/>
                <w:right w:val="none" w:sz="0" w:space="0" w:color="auto"/>
              </w:divBdr>
            </w:div>
            <w:div w:id="496850295">
              <w:marLeft w:val="0"/>
              <w:marRight w:val="0"/>
              <w:marTop w:val="0"/>
              <w:marBottom w:val="0"/>
              <w:divBdr>
                <w:top w:val="none" w:sz="0" w:space="0" w:color="auto"/>
                <w:left w:val="none" w:sz="0" w:space="0" w:color="auto"/>
                <w:bottom w:val="none" w:sz="0" w:space="0" w:color="auto"/>
                <w:right w:val="none" w:sz="0" w:space="0" w:color="auto"/>
              </w:divBdr>
            </w:div>
            <w:div w:id="748163288">
              <w:marLeft w:val="0"/>
              <w:marRight w:val="0"/>
              <w:marTop w:val="0"/>
              <w:marBottom w:val="0"/>
              <w:divBdr>
                <w:top w:val="none" w:sz="0" w:space="0" w:color="auto"/>
                <w:left w:val="none" w:sz="0" w:space="0" w:color="auto"/>
                <w:bottom w:val="none" w:sz="0" w:space="0" w:color="auto"/>
                <w:right w:val="none" w:sz="0" w:space="0" w:color="auto"/>
              </w:divBdr>
            </w:div>
            <w:div w:id="866454979">
              <w:marLeft w:val="0"/>
              <w:marRight w:val="0"/>
              <w:marTop w:val="0"/>
              <w:marBottom w:val="0"/>
              <w:divBdr>
                <w:top w:val="none" w:sz="0" w:space="0" w:color="auto"/>
                <w:left w:val="none" w:sz="0" w:space="0" w:color="auto"/>
                <w:bottom w:val="none" w:sz="0" w:space="0" w:color="auto"/>
                <w:right w:val="none" w:sz="0" w:space="0" w:color="auto"/>
              </w:divBdr>
            </w:div>
            <w:div w:id="903681931">
              <w:marLeft w:val="0"/>
              <w:marRight w:val="0"/>
              <w:marTop w:val="0"/>
              <w:marBottom w:val="0"/>
              <w:divBdr>
                <w:top w:val="none" w:sz="0" w:space="0" w:color="auto"/>
                <w:left w:val="none" w:sz="0" w:space="0" w:color="auto"/>
                <w:bottom w:val="none" w:sz="0" w:space="0" w:color="auto"/>
                <w:right w:val="none" w:sz="0" w:space="0" w:color="auto"/>
              </w:divBdr>
            </w:div>
            <w:div w:id="1056968995">
              <w:marLeft w:val="0"/>
              <w:marRight w:val="0"/>
              <w:marTop w:val="0"/>
              <w:marBottom w:val="0"/>
              <w:divBdr>
                <w:top w:val="none" w:sz="0" w:space="0" w:color="auto"/>
                <w:left w:val="none" w:sz="0" w:space="0" w:color="auto"/>
                <w:bottom w:val="none" w:sz="0" w:space="0" w:color="auto"/>
                <w:right w:val="none" w:sz="0" w:space="0" w:color="auto"/>
              </w:divBdr>
            </w:div>
            <w:div w:id="1089349333">
              <w:marLeft w:val="0"/>
              <w:marRight w:val="0"/>
              <w:marTop w:val="0"/>
              <w:marBottom w:val="0"/>
              <w:divBdr>
                <w:top w:val="none" w:sz="0" w:space="0" w:color="auto"/>
                <w:left w:val="none" w:sz="0" w:space="0" w:color="auto"/>
                <w:bottom w:val="none" w:sz="0" w:space="0" w:color="auto"/>
                <w:right w:val="none" w:sz="0" w:space="0" w:color="auto"/>
              </w:divBdr>
            </w:div>
            <w:div w:id="1245996805">
              <w:marLeft w:val="0"/>
              <w:marRight w:val="0"/>
              <w:marTop w:val="0"/>
              <w:marBottom w:val="0"/>
              <w:divBdr>
                <w:top w:val="none" w:sz="0" w:space="0" w:color="auto"/>
                <w:left w:val="none" w:sz="0" w:space="0" w:color="auto"/>
                <w:bottom w:val="none" w:sz="0" w:space="0" w:color="auto"/>
                <w:right w:val="none" w:sz="0" w:space="0" w:color="auto"/>
              </w:divBdr>
            </w:div>
            <w:div w:id="1318411602">
              <w:marLeft w:val="0"/>
              <w:marRight w:val="0"/>
              <w:marTop w:val="0"/>
              <w:marBottom w:val="0"/>
              <w:divBdr>
                <w:top w:val="none" w:sz="0" w:space="0" w:color="auto"/>
                <w:left w:val="none" w:sz="0" w:space="0" w:color="auto"/>
                <w:bottom w:val="none" w:sz="0" w:space="0" w:color="auto"/>
                <w:right w:val="none" w:sz="0" w:space="0" w:color="auto"/>
              </w:divBdr>
            </w:div>
            <w:div w:id="1321033268">
              <w:marLeft w:val="0"/>
              <w:marRight w:val="0"/>
              <w:marTop w:val="0"/>
              <w:marBottom w:val="0"/>
              <w:divBdr>
                <w:top w:val="none" w:sz="0" w:space="0" w:color="auto"/>
                <w:left w:val="none" w:sz="0" w:space="0" w:color="auto"/>
                <w:bottom w:val="none" w:sz="0" w:space="0" w:color="auto"/>
                <w:right w:val="none" w:sz="0" w:space="0" w:color="auto"/>
              </w:divBdr>
            </w:div>
            <w:div w:id="1430538239">
              <w:marLeft w:val="0"/>
              <w:marRight w:val="0"/>
              <w:marTop w:val="0"/>
              <w:marBottom w:val="0"/>
              <w:divBdr>
                <w:top w:val="none" w:sz="0" w:space="0" w:color="auto"/>
                <w:left w:val="none" w:sz="0" w:space="0" w:color="auto"/>
                <w:bottom w:val="none" w:sz="0" w:space="0" w:color="auto"/>
                <w:right w:val="none" w:sz="0" w:space="0" w:color="auto"/>
              </w:divBdr>
            </w:div>
            <w:div w:id="1618022347">
              <w:marLeft w:val="0"/>
              <w:marRight w:val="0"/>
              <w:marTop w:val="0"/>
              <w:marBottom w:val="0"/>
              <w:divBdr>
                <w:top w:val="none" w:sz="0" w:space="0" w:color="auto"/>
                <w:left w:val="none" w:sz="0" w:space="0" w:color="auto"/>
                <w:bottom w:val="none" w:sz="0" w:space="0" w:color="auto"/>
                <w:right w:val="none" w:sz="0" w:space="0" w:color="auto"/>
              </w:divBdr>
            </w:div>
            <w:div w:id="1712418459">
              <w:marLeft w:val="0"/>
              <w:marRight w:val="0"/>
              <w:marTop w:val="0"/>
              <w:marBottom w:val="0"/>
              <w:divBdr>
                <w:top w:val="none" w:sz="0" w:space="0" w:color="auto"/>
                <w:left w:val="none" w:sz="0" w:space="0" w:color="auto"/>
                <w:bottom w:val="none" w:sz="0" w:space="0" w:color="auto"/>
                <w:right w:val="none" w:sz="0" w:space="0" w:color="auto"/>
              </w:divBdr>
            </w:div>
            <w:div w:id="1816946599">
              <w:marLeft w:val="0"/>
              <w:marRight w:val="0"/>
              <w:marTop w:val="0"/>
              <w:marBottom w:val="0"/>
              <w:divBdr>
                <w:top w:val="none" w:sz="0" w:space="0" w:color="auto"/>
                <w:left w:val="none" w:sz="0" w:space="0" w:color="auto"/>
                <w:bottom w:val="none" w:sz="0" w:space="0" w:color="auto"/>
                <w:right w:val="none" w:sz="0" w:space="0" w:color="auto"/>
              </w:divBdr>
            </w:div>
            <w:div w:id="1933538714">
              <w:marLeft w:val="0"/>
              <w:marRight w:val="0"/>
              <w:marTop w:val="0"/>
              <w:marBottom w:val="0"/>
              <w:divBdr>
                <w:top w:val="none" w:sz="0" w:space="0" w:color="auto"/>
                <w:left w:val="none" w:sz="0" w:space="0" w:color="auto"/>
                <w:bottom w:val="none" w:sz="0" w:space="0" w:color="auto"/>
                <w:right w:val="none" w:sz="0" w:space="0" w:color="auto"/>
              </w:divBdr>
            </w:div>
            <w:div w:id="1975207485">
              <w:marLeft w:val="0"/>
              <w:marRight w:val="0"/>
              <w:marTop w:val="0"/>
              <w:marBottom w:val="0"/>
              <w:divBdr>
                <w:top w:val="none" w:sz="0" w:space="0" w:color="auto"/>
                <w:left w:val="none" w:sz="0" w:space="0" w:color="auto"/>
                <w:bottom w:val="none" w:sz="0" w:space="0" w:color="auto"/>
                <w:right w:val="none" w:sz="0" w:space="0" w:color="auto"/>
              </w:divBdr>
            </w:div>
          </w:divsChild>
        </w:div>
        <w:div w:id="806819432">
          <w:marLeft w:val="0"/>
          <w:marRight w:val="0"/>
          <w:marTop w:val="0"/>
          <w:marBottom w:val="0"/>
          <w:divBdr>
            <w:top w:val="none" w:sz="0" w:space="0" w:color="auto"/>
            <w:left w:val="none" w:sz="0" w:space="0" w:color="auto"/>
            <w:bottom w:val="none" w:sz="0" w:space="0" w:color="auto"/>
            <w:right w:val="none" w:sz="0" w:space="0" w:color="auto"/>
          </w:divBdr>
        </w:div>
        <w:div w:id="859858788">
          <w:marLeft w:val="0"/>
          <w:marRight w:val="0"/>
          <w:marTop w:val="0"/>
          <w:marBottom w:val="0"/>
          <w:divBdr>
            <w:top w:val="none" w:sz="0" w:space="0" w:color="auto"/>
            <w:left w:val="none" w:sz="0" w:space="0" w:color="auto"/>
            <w:bottom w:val="none" w:sz="0" w:space="0" w:color="auto"/>
            <w:right w:val="none" w:sz="0" w:space="0" w:color="auto"/>
          </w:divBdr>
        </w:div>
        <w:div w:id="877428262">
          <w:marLeft w:val="0"/>
          <w:marRight w:val="0"/>
          <w:marTop w:val="0"/>
          <w:marBottom w:val="0"/>
          <w:divBdr>
            <w:top w:val="none" w:sz="0" w:space="0" w:color="auto"/>
            <w:left w:val="none" w:sz="0" w:space="0" w:color="auto"/>
            <w:bottom w:val="none" w:sz="0" w:space="0" w:color="auto"/>
            <w:right w:val="none" w:sz="0" w:space="0" w:color="auto"/>
          </w:divBdr>
        </w:div>
        <w:div w:id="906108815">
          <w:marLeft w:val="0"/>
          <w:marRight w:val="0"/>
          <w:marTop w:val="0"/>
          <w:marBottom w:val="0"/>
          <w:divBdr>
            <w:top w:val="none" w:sz="0" w:space="0" w:color="auto"/>
            <w:left w:val="none" w:sz="0" w:space="0" w:color="auto"/>
            <w:bottom w:val="none" w:sz="0" w:space="0" w:color="auto"/>
            <w:right w:val="none" w:sz="0" w:space="0" w:color="auto"/>
          </w:divBdr>
        </w:div>
        <w:div w:id="963853312">
          <w:marLeft w:val="0"/>
          <w:marRight w:val="0"/>
          <w:marTop w:val="0"/>
          <w:marBottom w:val="0"/>
          <w:divBdr>
            <w:top w:val="none" w:sz="0" w:space="0" w:color="auto"/>
            <w:left w:val="none" w:sz="0" w:space="0" w:color="auto"/>
            <w:bottom w:val="none" w:sz="0" w:space="0" w:color="auto"/>
            <w:right w:val="none" w:sz="0" w:space="0" w:color="auto"/>
          </w:divBdr>
        </w:div>
        <w:div w:id="968127232">
          <w:marLeft w:val="0"/>
          <w:marRight w:val="0"/>
          <w:marTop w:val="0"/>
          <w:marBottom w:val="0"/>
          <w:divBdr>
            <w:top w:val="none" w:sz="0" w:space="0" w:color="auto"/>
            <w:left w:val="none" w:sz="0" w:space="0" w:color="auto"/>
            <w:bottom w:val="none" w:sz="0" w:space="0" w:color="auto"/>
            <w:right w:val="none" w:sz="0" w:space="0" w:color="auto"/>
          </w:divBdr>
        </w:div>
        <w:div w:id="1017929347">
          <w:marLeft w:val="0"/>
          <w:marRight w:val="0"/>
          <w:marTop w:val="0"/>
          <w:marBottom w:val="0"/>
          <w:divBdr>
            <w:top w:val="none" w:sz="0" w:space="0" w:color="auto"/>
            <w:left w:val="none" w:sz="0" w:space="0" w:color="auto"/>
            <w:bottom w:val="none" w:sz="0" w:space="0" w:color="auto"/>
            <w:right w:val="none" w:sz="0" w:space="0" w:color="auto"/>
          </w:divBdr>
        </w:div>
        <w:div w:id="1042947432">
          <w:marLeft w:val="0"/>
          <w:marRight w:val="0"/>
          <w:marTop w:val="0"/>
          <w:marBottom w:val="0"/>
          <w:divBdr>
            <w:top w:val="none" w:sz="0" w:space="0" w:color="auto"/>
            <w:left w:val="none" w:sz="0" w:space="0" w:color="auto"/>
            <w:bottom w:val="none" w:sz="0" w:space="0" w:color="auto"/>
            <w:right w:val="none" w:sz="0" w:space="0" w:color="auto"/>
          </w:divBdr>
        </w:div>
        <w:div w:id="1049189359">
          <w:marLeft w:val="0"/>
          <w:marRight w:val="0"/>
          <w:marTop w:val="0"/>
          <w:marBottom w:val="0"/>
          <w:divBdr>
            <w:top w:val="none" w:sz="0" w:space="0" w:color="auto"/>
            <w:left w:val="none" w:sz="0" w:space="0" w:color="auto"/>
            <w:bottom w:val="none" w:sz="0" w:space="0" w:color="auto"/>
            <w:right w:val="none" w:sz="0" w:space="0" w:color="auto"/>
          </w:divBdr>
        </w:div>
        <w:div w:id="1074083627">
          <w:marLeft w:val="0"/>
          <w:marRight w:val="0"/>
          <w:marTop w:val="0"/>
          <w:marBottom w:val="0"/>
          <w:divBdr>
            <w:top w:val="none" w:sz="0" w:space="0" w:color="auto"/>
            <w:left w:val="none" w:sz="0" w:space="0" w:color="auto"/>
            <w:bottom w:val="none" w:sz="0" w:space="0" w:color="auto"/>
            <w:right w:val="none" w:sz="0" w:space="0" w:color="auto"/>
          </w:divBdr>
        </w:div>
        <w:div w:id="1175418774">
          <w:marLeft w:val="0"/>
          <w:marRight w:val="0"/>
          <w:marTop w:val="0"/>
          <w:marBottom w:val="0"/>
          <w:divBdr>
            <w:top w:val="none" w:sz="0" w:space="0" w:color="auto"/>
            <w:left w:val="none" w:sz="0" w:space="0" w:color="auto"/>
            <w:bottom w:val="none" w:sz="0" w:space="0" w:color="auto"/>
            <w:right w:val="none" w:sz="0" w:space="0" w:color="auto"/>
          </w:divBdr>
        </w:div>
        <w:div w:id="1230967482">
          <w:marLeft w:val="0"/>
          <w:marRight w:val="0"/>
          <w:marTop w:val="0"/>
          <w:marBottom w:val="0"/>
          <w:divBdr>
            <w:top w:val="none" w:sz="0" w:space="0" w:color="auto"/>
            <w:left w:val="none" w:sz="0" w:space="0" w:color="auto"/>
            <w:bottom w:val="none" w:sz="0" w:space="0" w:color="auto"/>
            <w:right w:val="none" w:sz="0" w:space="0" w:color="auto"/>
          </w:divBdr>
        </w:div>
        <w:div w:id="1422527946">
          <w:marLeft w:val="0"/>
          <w:marRight w:val="0"/>
          <w:marTop w:val="0"/>
          <w:marBottom w:val="0"/>
          <w:divBdr>
            <w:top w:val="none" w:sz="0" w:space="0" w:color="auto"/>
            <w:left w:val="none" w:sz="0" w:space="0" w:color="auto"/>
            <w:bottom w:val="none" w:sz="0" w:space="0" w:color="auto"/>
            <w:right w:val="none" w:sz="0" w:space="0" w:color="auto"/>
          </w:divBdr>
        </w:div>
        <w:div w:id="1451823438">
          <w:marLeft w:val="0"/>
          <w:marRight w:val="0"/>
          <w:marTop w:val="0"/>
          <w:marBottom w:val="0"/>
          <w:divBdr>
            <w:top w:val="none" w:sz="0" w:space="0" w:color="auto"/>
            <w:left w:val="none" w:sz="0" w:space="0" w:color="auto"/>
            <w:bottom w:val="none" w:sz="0" w:space="0" w:color="auto"/>
            <w:right w:val="none" w:sz="0" w:space="0" w:color="auto"/>
          </w:divBdr>
          <w:divsChild>
            <w:div w:id="179197383">
              <w:marLeft w:val="-75"/>
              <w:marRight w:val="0"/>
              <w:marTop w:val="30"/>
              <w:marBottom w:val="30"/>
              <w:divBdr>
                <w:top w:val="none" w:sz="0" w:space="0" w:color="auto"/>
                <w:left w:val="none" w:sz="0" w:space="0" w:color="auto"/>
                <w:bottom w:val="none" w:sz="0" w:space="0" w:color="auto"/>
                <w:right w:val="none" w:sz="0" w:space="0" w:color="auto"/>
              </w:divBdr>
              <w:divsChild>
                <w:div w:id="201483469">
                  <w:marLeft w:val="0"/>
                  <w:marRight w:val="0"/>
                  <w:marTop w:val="0"/>
                  <w:marBottom w:val="0"/>
                  <w:divBdr>
                    <w:top w:val="none" w:sz="0" w:space="0" w:color="auto"/>
                    <w:left w:val="none" w:sz="0" w:space="0" w:color="auto"/>
                    <w:bottom w:val="none" w:sz="0" w:space="0" w:color="auto"/>
                    <w:right w:val="none" w:sz="0" w:space="0" w:color="auto"/>
                  </w:divBdr>
                  <w:divsChild>
                    <w:div w:id="735477145">
                      <w:marLeft w:val="0"/>
                      <w:marRight w:val="0"/>
                      <w:marTop w:val="0"/>
                      <w:marBottom w:val="0"/>
                      <w:divBdr>
                        <w:top w:val="none" w:sz="0" w:space="0" w:color="auto"/>
                        <w:left w:val="none" w:sz="0" w:space="0" w:color="auto"/>
                        <w:bottom w:val="none" w:sz="0" w:space="0" w:color="auto"/>
                        <w:right w:val="none" w:sz="0" w:space="0" w:color="auto"/>
                      </w:divBdr>
                    </w:div>
                  </w:divsChild>
                </w:div>
                <w:div w:id="313677833">
                  <w:marLeft w:val="0"/>
                  <w:marRight w:val="0"/>
                  <w:marTop w:val="0"/>
                  <w:marBottom w:val="0"/>
                  <w:divBdr>
                    <w:top w:val="none" w:sz="0" w:space="0" w:color="auto"/>
                    <w:left w:val="none" w:sz="0" w:space="0" w:color="auto"/>
                    <w:bottom w:val="none" w:sz="0" w:space="0" w:color="auto"/>
                    <w:right w:val="none" w:sz="0" w:space="0" w:color="auto"/>
                  </w:divBdr>
                  <w:divsChild>
                    <w:div w:id="1285114786">
                      <w:marLeft w:val="0"/>
                      <w:marRight w:val="0"/>
                      <w:marTop w:val="0"/>
                      <w:marBottom w:val="0"/>
                      <w:divBdr>
                        <w:top w:val="none" w:sz="0" w:space="0" w:color="auto"/>
                        <w:left w:val="none" w:sz="0" w:space="0" w:color="auto"/>
                        <w:bottom w:val="none" w:sz="0" w:space="0" w:color="auto"/>
                        <w:right w:val="none" w:sz="0" w:space="0" w:color="auto"/>
                      </w:divBdr>
                    </w:div>
                  </w:divsChild>
                </w:div>
                <w:div w:id="422730312">
                  <w:marLeft w:val="0"/>
                  <w:marRight w:val="0"/>
                  <w:marTop w:val="0"/>
                  <w:marBottom w:val="0"/>
                  <w:divBdr>
                    <w:top w:val="none" w:sz="0" w:space="0" w:color="auto"/>
                    <w:left w:val="none" w:sz="0" w:space="0" w:color="auto"/>
                    <w:bottom w:val="none" w:sz="0" w:space="0" w:color="auto"/>
                    <w:right w:val="none" w:sz="0" w:space="0" w:color="auto"/>
                  </w:divBdr>
                  <w:divsChild>
                    <w:div w:id="87122898">
                      <w:marLeft w:val="0"/>
                      <w:marRight w:val="0"/>
                      <w:marTop w:val="0"/>
                      <w:marBottom w:val="0"/>
                      <w:divBdr>
                        <w:top w:val="none" w:sz="0" w:space="0" w:color="auto"/>
                        <w:left w:val="none" w:sz="0" w:space="0" w:color="auto"/>
                        <w:bottom w:val="none" w:sz="0" w:space="0" w:color="auto"/>
                        <w:right w:val="none" w:sz="0" w:space="0" w:color="auto"/>
                      </w:divBdr>
                    </w:div>
                  </w:divsChild>
                </w:div>
                <w:div w:id="455024077">
                  <w:marLeft w:val="0"/>
                  <w:marRight w:val="0"/>
                  <w:marTop w:val="0"/>
                  <w:marBottom w:val="0"/>
                  <w:divBdr>
                    <w:top w:val="none" w:sz="0" w:space="0" w:color="auto"/>
                    <w:left w:val="none" w:sz="0" w:space="0" w:color="auto"/>
                    <w:bottom w:val="none" w:sz="0" w:space="0" w:color="auto"/>
                    <w:right w:val="none" w:sz="0" w:space="0" w:color="auto"/>
                  </w:divBdr>
                  <w:divsChild>
                    <w:div w:id="1234587914">
                      <w:marLeft w:val="0"/>
                      <w:marRight w:val="0"/>
                      <w:marTop w:val="0"/>
                      <w:marBottom w:val="0"/>
                      <w:divBdr>
                        <w:top w:val="none" w:sz="0" w:space="0" w:color="auto"/>
                        <w:left w:val="none" w:sz="0" w:space="0" w:color="auto"/>
                        <w:bottom w:val="none" w:sz="0" w:space="0" w:color="auto"/>
                        <w:right w:val="none" w:sz="0" w:space="0" w:color="auto"/>
                      </w:divBdr>
                    </w:div>
                  </w:divsChild>
                </w:div>
                <w:div w:id="478890350">
                  <w:marLeft w:val="0"/>
                  <w:marRight w:val="0"/>
                  <w:marTop w:val="0"/>
                  <w:marBottom w:val="0"/>
                  <w:divBdr>
                    <w:top w:val="none" w:sz="0" w:space="0" w:color="auto"/>
                    <w:left w:val="none" w:sz="0" w:space="0" w:color="auto"/>
                    <w:bottom w:val="none" w:sz="0" w:space="0" w:color="auto"/>
                    <w:right w:val="none" w:sz="0" w:space="0" w:color="auto"/>
                  </w:divBdr>
                  <w:divsChild>
                    <w:div w:id="418336097">
                      <w:marLeft w:val="0"/>
                      <w:marRight w:val="0"/>
                      <w:marTop w:val="0"/>
                      <w:marBottom w:val="0"/>
                      <w:divBdr>
                        <w:top w:val="none" w:sz="0" w:space="0" w:color="auto"/>
                        <w:left w:val="none" w:sz="0" w:space="0" w:color="auto"/>
                        <w:bottom w:val="none" w:sz="0" w:space="0" w:color="auto"/>
                        <w:right w:val="none" w:sz="0" w:space="0" w:color="auto"/>
                      </w:divBdr>
                    </w:div>
                  </w:divsChild>
                </w:div>
                <w:div w:id="548610415">
                  <w:marLeft w:val="0"/>
                  <w:marRight w:val="0"/>
                  <w:marTop w:val="0"/>
                  <w:marBottom w:val="0"/>
                  <w:divBdr>
                    <w:top w:val="none" w:sz="0" w:space="0" w:color="auto"/>
                    <w:left w:val="none" w:sz="0" w:space="0" w:color="auto"/>
                    <w:bottom w:val="none" w:sz="0" w:space="0" w:color="auto"/>
                    <w:right w:val="none" w:sz="0" w:space="0" w:color="auto"/>
                  </w:divBdr>
                  <w:divsChild>
                    <w:div w:id="327950356">
                      <w:marLeft w:val="0"/>
                      <w:marRight w:val="0"/>
                      <w:marTop w:val="0"/>
                      <w:marBottom w:val="0"/>
                      <w:divBdr>
                        <w:top w:val="none" w:sz="0" w:space="0" w:color="auto"/>
                        <w:left w:val="none" w:sz="0" w:space="0" w:color="auto"/>
                        <w:bottom w:val="none" w:sz="0" w:space="0" w:color="auto"/>
                        <w:right w:val="none" w:sz="0" w:space="0" w:color="auto"/>
                      </w:divBdr>
                    </w:div>
                  </w:divsChild>
                </w:div>
                <w:div w:id="737365742">
                  <w:marLeft w:val="0"/>
                  <w:marRight w:val="0"/>
                  <w:marTop w:val="0"/>
                  <w:marBottom w:val="0"/>
                  <w:divBdr>
                    <w:top w:val="none" w:sz="0" w:space="0" w:color="auto"/>
                    <w:left w:val="none" w:sz="0" w:space="0" w:color="auto"/>
                    <w:bottom w:val="none" w:sz="0" w:space="0" w:color="auto"/>
                    <w:right w:val="none" w:sz="0" w:space="0" w:color="auto"/>
                  </w:divBdr>
                  <w:divsChild>
                    <w:div w:id="279385878">
                      <w:marLeft w:val="0"/>
                      <w:marRight w:val="0"/>
                      <w:marTop w:val="0"/>
                      <w:marBottom w:val="0"/>
                      <w:divBdr>
                        <w:top w:val="none" w:sz="0" w:space="0" w:color="auto"/>
                        <w:left w:val="none" w:sz="0" w:space="0" w:color="auto"/>
                        <w:bottom w:val="none" w:sz="0" w:space="0" w:color="auto"/>
                        <w:right w:val="none" w:sz="0" w:space="0" w:color="auto"/>
                      </w:divBdr>
                    </w:div>
                  </w:divsChild>
                </w:div>
                <w:div w:id="786389390">
                  <w:marLeft w:val="0"/>
                  <w:marRight w:val="0"/>
                  <w:marTop w:val="0"/>
                  <w:marBottom w:val="0"/>
                  <w:divBdr>
                    <w:top w:val="none" w:sz="0" w:space="0" w:color="auto"/>
                    <w:left w:val="none" w:sz="0" w:space="0" w:color="auto"/>
                    <w:bottom w:val="none" w:sz="0" w:space="0" w:color="auto"/>
                    <w:right w:val="none" w:sz="0" w:space="0" w:color="auto"/>
                  </w:divBdr>
                  <w:divsChild>
                    <w:div w:id="1578436943">
                      <w:marLeft w:val="0"/>
                      <w:marRight w:val="0"/>
                      <w:marTop w:val="0"/>
                      <w:marBottom w:val="0"/>
                      <w:divBdr>
                        <w:top w:val="none" w:sz="0" w:space="0" w:color="auto"/>
                        <w:left w:val="none" w:sz="0" w:space="0" w:color="auto"/>
                        <w:bottom w:val="none" w:sz="0" w:space="0" w:color="auto"/>
                        <w:right w:val="none" w:sz="0" w:space="0" w:color="auto"/>
                      </w:divBdr>
                    </w:div>
                  </w:divsChild>
                </w:div>
                <w:div w:id="801773523">
                  <w:marLeft w:val="0"/>
                  <w:marRight w:val="0"/>
                  <w:marTop w:val="0"/>
                  <w:marBottom w:val="0"/>
                  <w:divBdr>
                    <w:top w:val="none" w:sz="0" w:space="0" w:color="auto"/>
                    <w:left w:val="none" w:sz="0" w:space="0" w:color="auto"/>
                    <w:bottom w:val="none" w:sz="0" w:space="0" w:color="auto"/>
                    <w:right w:val="none" w:sz="0" w:space="0" w:color="auto"/>
                  </w:divBdr>
                  <w:divsChild>
                    <w:div w:id="929238268">
                      <w:marLeft w:val="0"/>
                      <w:marRight w:val="0"/>
                      <w:marTop w:val="0"/>
                      <w:marBottom w:val="0"/>
                      <w:divBdr>
                        <w:top w:val="none" w:sz="0" w:space="0" w:color="auto"/>
                        <w:left w:val="none" w:sz="0" w:space="0" w:color="auto"/>
                        <w:bottom w:val="none" w:sz="0" w:space="0" w:color="auto"/>
                        <w:right w:val="none" w:sz="0" w:space="0" w:color="auto"/>
                      </w:divBdr>
                    </w:div>
                  </w:divsChild>
                </w:div>
                <w:div w:id="810370661">
                  <w:marLeft w:val="0"/>
                  <w:marRight w:val="0"/>
                  <w:marTop w:val="0"/>
                  <w:marBottom w:val="0"/>
                  <w:divBdr>
                    <w:top w:val="none" w:sz="0" w:space="0" w:color="auto"/>
                    <w:left w:val="none" w:sz="0" w:space="0" w:color="auto"/>
                    <w:bottom w:val="none" w:sz="0" w:space="0" w:color="auto"/>
                    <w:right w:val="none" w:sz="0" w:space="0" w:color="auto"/>
                  </w:divBdr>
                  <w:divsChild>
                    <w:div w:id="464080749">
                      <w:marLeft w:val="0"/>
                      <w:marRight w:val="0"/>
                      <w:marTop w:val="0"/>
                      <w:marBottom w:val="0"/>
                      <w:divBdr>
                        <w:top w:val="none" w:sz="0" w:space="0" w:color="auto"/>
                        <w:left w:val="none" w:sz="0" w:space="0" w:color="auto"/>
                        <w:bottom w:val="none" w:sz="0" w:space="0" w:color="auto"/>
                        <w:right w:val="none" w:sz="0" w:space="0" w:color="auto"/>
                      </w:divBdr>
                    </w:div>
                  </w:divsChild>
                </w:div>
                <w:div w:id="894392847">
                  <w:marLeft w:val="0"/>
                  <w:marRight w:val="0"/>
                  <w:marTop w:val="0"/>
                  <w:marBottom w:val="0"/>
                  <w:divBdr>
                    <w:top w:val="none" w:sz="0" w:space="0" w:color="auto"/>
                    <w:left w:val="none" w:sz="0" w:space="0" w:color="auto"/>
                    <w:bottom w:val="none" w:sz="0" w:space="0" w:color="auto"/>
                    <w:right w:val="none" w:sz="0" w:space="0" w:color="auto"/>
                  </w:divBdr>
                  <w:divsChild>
                    <w:div w:id="1841308816">
                      <w:marLeft w:val="0"/>
                      <w:marRight w:val="0"/>
                      <w:marTop w:val="0"/>
                      <w:marBottom w:val="0"/>
                      <w:divBdr>
                        <w:top w:val="none" w:sz="0" w:space="0" w:color="auto"/>
                        <w:left w:val="none" w:sz="0" w:space="0" w:color="auto"/>
                        <w:bottom w:val="none" w:sz="0" w:space="0" w:color="auto"/>
                        <w:right w:val="none" w:sz="0" w:space="0" w:color="auto"/>
                      </w:divBdr>
                    </w:div>
                  </w:divsChild>
                </w:div>
                <w:div w:id="994452628">
                  <w:marLeft w:val="0"/>
                  <w:marRight w:val="0"/>
                  <w:marTop w:val="0"/>
                  <w:marBottom w:val="0"/>
                  <w:divBdr>
                    <w:top w:val="none" w:sz="0" w:space="0" w:color="auto"/>
                    <w:left w:val="none" w:sz="0" w:space="0" w:color="auto"/>
                    <w:bottom w:val="none" w:sz="0" w:space="0" w:color="auto"/>
                    <w:right w:val="none" w:sz="0" w:space="0" w:color="auto"/>
                  </w:divBdr>
                  <w:divsChild>
                    <w:div w:id="1619919036">
                      <w:marLeft w:val="0"/>
                      <w:marRight w:val="0"/>
                      <w:marTop w:val="0"/>
                      <w:marBottom w:val="0"/>
                      <w:divBdr>
                        <w:top w:val="none" w:sz="0" w:space="0" w:color="auto"/>
                        <w:left w:val="none" w:sz="0" w:space="0" w:color="auto"/>
                        <w:bottom w:val="none" w:sz="0" w:space="0" w:color="auto"/>
                        <w:right w:val="none" w:sz="0" w:space="0" w:color="auto"/>
                      </w:divBdr>
                    </w:div>
                  </w:divsChild>
                </w:div>
                <w:div w:id="1016082632">
                  <w:marLeft w:val="0"/>
                  <w:marRight w:val="0"/>
                  <w:marTop w:val="0"/>
                  <w:marBottom w:val="0"/>
                  <w:divBdr>
                    <w:top w:val="none" w:sz="0" w:space="0" w:color="auto"/>
                    <w:left w:val="none" w:sz="0" w:space="0" w:color="auto"/>
                    <w:bottom w:val="none" w:sz="0" w:space="0" w:color="auto"/>
                    <w:right w:val="none" w:sz="0" w:space="0" w:color="auto"/>
                  </w:divBdr>
                  <w:divsChild>
                    <w:div w:id="141165566">
                      <w:marLeft w:val="0"/>
                      <w:marRight w:val="0"/>
                      <w:marTop w:val="0"/>
                      <w:marBottom w:val="0"/>
                      <w:divBdr>
                        <w:top w:val="none" w:sz="0" w:space="0" w:color="auto"/>
                        <w:left w:val="none" w:sz="0" w:space="0" w:color="auto"/>
                        <w:bottom w:val="none" w:sz="0" w:space="0" w:color="auto"/>
                        <w:right w:val="none" w:sz="0" w:space="0" w:color="auto"/>
                      </w:divBdr>
                    </w:div>
                  </w:divsChild>
                </w:div>
                <w:div w:id="1137068548">
                  <w:marLeft w:val="0"/>
                  <w:marRight w:val="0"/>
                  <w:marTop w:val="0"/>
                  <w:marBottom w:val="0"/>
                  <w:divBdr>
                    <w:top w:val="none" w:sz="0" w:space="0" w:color="auto"/>
                    <w:left w:val="none" w:sz="0" w:space="0" w:color="auto"/>
                    <w:bottom w:val="none" w:sz="0" w:space="0" w:color="auto"/>
                    <w:right w:val="none" w:sz="0" w:space="0" w:color="auto"/>
                  </w:divBdr>
                  <w:divsChild>
                    <w:div w:id="1573663516">
                      <w:marLeft w:val="0"/>
                      <w:marRight w:val="0"/>
                      <w:marTop w:val="0"/>
                      <w:marBottom w:val="0"/>
                      <w:divBdr>
                        <w:top w:val="none" w:sz="0" w:space="0" w:color="auto"/>
                        <w:left w:val="none" w:sz="0" w:space="0" w:color="auto"/>
                        <w:bottom w:val="none" w:sz="0" w:space="0" w:color="auto"/>
                        <w:right w:val="none" w:sz="0" w:space="0" w:color="auto"/>
                      </w:divBdr>
                    </w:div>
                  </w:divsChild>
                </w:div>
                <w:div w:id="1139762159">
                  <w:marLeft w:val="0"/>
                  <w:marRight w:val="0"/>
                  <w:marTop w:val="0"/>
                  <w:marBottom w:val="0"/>
                  <w:divBdr>
                    <w:top w:val="none" w:sz="0" w:space="0" w:color="auto"/>
                    <w:left w:val="none" w:sz="0" w:space="0" w:color="auto"/>
                    <w:bottom w:val="none" w:sz="0" w:space="0" w:color="auto"/>
                    <w:right w:val="none" w:sz="0" w:space="0" w:color="auto"/>
                  </w:divBdr>
                  <w:divsChild>
                    <w:div w:id="566918064">
                      <w:marLeft w:val="0"/>
                      <w:marRight w:val="0"/>
                      <w:marTop w:val="0"/>
                      <w:marBottom w:val="0"/>
                      <w:divBdr>
                        <w:top w:val="none" w:sz="0" w:space="0" w:color="auto"/>
                        <w:left w:val="none" w:sz="0" w:space="0" w:color="auto"/>
                        <w:bottom w:val="none" w:sz="0" w:space="0" w:color="auto"/>
                        <w:right w:val="none" w:sz="0" w:space="0" w:color="auto"/>
                      </w:divBdr>
                    </w:div>
                  </w:divsChild>
                </w:div>
                <w:div w:id="1186165188">
                  <w:marLeft w:val="0"/>
                  <w:marRight w:val="0"/>
                  <w:marTop w:val="0"/>
                  <w:marBottom w:val="0"/>
                  <w:divBdr>
                    <w:top w:val="none" w:sz="0" w:space="0" w:color="auto"/>
                    <w:left w:val="none" w:sz="0" w:space="0" w:color="auto"/>
                    <w:bottom w:val="none" w:sz="0" w:space="0" w:color="auto"/>
                    <w:right w:val="none" w:sz="0" w:space="0" w:color="auto"/>
                  </w:divBdr>
                  <w:divsChild>
                    <w:div w:id="33046454">
                      <w:marLeft w:val="0"/>
                      <w:marRight w:val="0"/>
                      <w:marTop w:val="0"/>
                      <w:marBottom w:val="0"/>
                      <w:divBdr>
                        <w:top w:val="none" w:sz="0" w:space="0" w:color="auto"/>
                        <w:left w:val="none" w:sz="0" w:space="0" w:color="auto"/>
                        <w:bottom w:val="none" w:sz="0" w:space="0" w:color="auto"/>
                        <w:right w:val="none" w:sz="0" w:space="0" w:color="auto"/>
                      </w:divBdr>
                    </w:div>
                  </w:divsChild>
                </w:div>
                <w:div w:id="1219171904">
                  <w:marLeft w:val="0"/>
                  <w:marRight w:val="0"/>
                  <w:marTop w:val="0"/>
                  <w:marBottom w:val="0"/>
                  <w:divBdr>
                    <w:top w:val="none" w:sz="0" w:space="0" w:color="auto"/>
                    <w:left w:val="none" w:sz="0" w:space="0" w:color="auto"/>
                    <w:bottom w:val="none" w:sz="0" w:space="0" w:color="auto"/>
                    <w:right w:val="none" w:sz="0" w:space="0" w:color="auto"/>
                  </w:divBdr>
                  <w:divsChild>
                    <w:div w:id="862790677">
                      <w:marLeft w:val="0"/>
                      <w:marRight w:val="0"/>
                      <w:marTop w:val="0"/>
                      <w:marBottom w:val="0"/>
                      <w:divBdr>
                        <w:top w:val="none" w:sz="0" w:space="0" w:color="auto"/>
                        <w:left w:val="none" w:sz="0" w:space="0" w:color="auto"/>
                        <w:bottom w:val="none" w:sz="0" w:space="0" w:color="auto"/>
                        <w:right w:val="none" w:sz="0" w:space="0" w:color="auto"/>
                      </w:divBdr>
                    </w:div>
                  </w:divsChild>
                </w:div>
                <w:div w:id="1219591746">
                  <w:marLeft w:val="0"/>
                  <w:marRight w:val="0"/>
                  <w:marTop w:val="0"/>
                  <w:marBottom w:val="0"/>
                  <w:divBdr>
                    <w:top w:val="none" w:sz="0" w:space="0" w:color="auto"/>
                    <w:left w:val="none" w:sz="0" w:space="0" w:color="auto"/>
                    <w:bottom w:val="none" w:sz="0" w:space="0" w:color="auto"/>
                    <w:right w:val="none" w:sz="0" w:space="0" w:color="auto"/>
                  </w:divBdr>
                  <w:divsChild>
                    <w:div w:id="855771412">
                      <w:marLeft w:val="0"/>
                      <w:marRight w:val="0"/>
                      <w:marTop w:val="0"/>
                      <w:marBottom w:val="0"/>
                      <w:divBdr>
                        <w:top w:val="none" w:sz="0" w:space="0" w:color="auto"/>
                        <w:left w:val="none" w:sz="0" w:space="0" w:color="auto"/>
                        <w:bottom w:val="none" w:sz="0" w:space="0" w:color="auto"/>
                        <w:right w:val="none" w:sz="0" w:space="0" w:color="auto"/>
                      </w:divBdr>
                    </w:div>
                  </w:divsChild>
                </w:div>
                <w:div w:id="1313868335">
                  <w:marLeft w:val="0"/>
                  <w:marRight w:val="0"/>
                  <w:marTop w:val="0"/>
                  <w:marBottom w:val="0"/>
                  <w:divBdr>
                    <w:top w:val="none" w:sz="0" w:space="0" w:color="auto"/>
                    <w:left w:val="none" w:sz="0" w:space="0" w:color="auto"/>
                    <w:bottom w:val="none" w:sz="0" w:space="0" w:color="auto"/>
                    <w:right w:val="none" w:sz="0" w:space="0" w:color="auto"/>
                  </w:divBdr>
                  <w:divsChild>
                    <w:div w:id="863060168">
                      <w:marLeft w:val="0"/>
                      <w:marRight w:val="0"/>
                      <w:marTop w:val="0"/>
                      <w:marBottom w:val="0"/>
                      <w:divBdr>
                        <w:top w:val="none" w:sz="0" w:space="0" w:color="auto"/>
                        <w:left w:val="none" w:sz="0" w:space="0" w:color="auto"/>
                        <w:bottom w:val="none" w:sz="0" w:space="0" w:color="auto"/>
                        <w:right w:val="none" w:sz="0" w:space="0" w:color="auto"/>
                      </w:divBdr>
                    </w:div>
                  </w:divsChild>
                </w:div>
                <w:div w:id="1437946014">
                  <w:marLeft w:val="0"/>
                  <w:marRight w:val="0"/>
                  <w:marTop w:val="0"/>
                  <w:marBottom w:val="0"/>
                  <w:divBdr>
                    <w:top w:val="none" w:sz="0" w:space="0" w:color="auto"/>
                    <w:left w:val="none" w:sz="0" w:space="0" w:color="auto"/>
                    <w:bottom w:val="none" w:sz="0" w:space="0" w:color="auto"/>
                    <w:right w:val="none" w:sz="0" w:space="0" w:color="auto"/>
                  </w:divBdr>
                  <w:divsChild>
                    <w:div w:id="796265118">
                      <w:marLeft w:val="0"/>
                      <w:marRight w:val="0"/>
                      <w:marTop w:val="0"/>
                      <w:marBottom w:val="0"/>
                      <w:divBdr>
                        <w:top w:val="none" w:sz="0" w:space="0" w:color="auto"/>
                        <w:left w:val="none" w:sz="0" w:space="0" w:color="auto"/>
                        <w:bottom w:val="none" w:sz="0" w:space="0" w:color="auto"/>
                        <w:right w:val="none" w:sz="0" w:space="0" w:color="auto"/>
                      </w:divBdr>
                    </w:div>
                  </w:divsChild>
                </w:div>
                <w:div w:id="1524125382">
                  <w:marLeft w:val="0"/>
                  <w:marRight w:val="0"/>
                  <w:marTop w:val="0"/>
                  <w:marBottom w:val="0"/>
                  <w:divBdr>
                    <w:top w:val="none" w:sz="0" w:space="0" w:color="auto"/>
                    <w:left w:val="none" w:sz="0" w:space="0" w:color="auto"/>
                    <w:bottom w:val="none" w:sz="0" w:space="0" w:color="auto"/>
                    <w:right w:val="none" w:sz="0" w:space="0" w:color="auto"/>
                  </w:divBdr>
                  <w:divsChild>
                    <w:div w:id="526990706">
                      <w:marLeft w:val="0"/>
                      <w:marRight w:val="0"/>
                      <w:marTop w:val="0"/>
                      <w:marBottom w:val="0"/>
                      <w:divBdr>
                        <w:top w:val="none" w:sz="0" w:space="0" w:color="auto"/>
                        <w:left w:val="none" w:sz="0" w:space="0" w:color="auto"/>
                        <w:bottom w:val="none" w:sz="0" w:space="0" w:color="auto"/>
                        <w:right w:val="none" w:sz="0" w:space="0" w:color="auto"/>
                      </w:divBdr>
                    </w:div>
                  </w:divsChild>
                </w:div>
                <w:div w:id="1607686894">
                  <w:marLeft w:val="0"/>
                  <w:marRight w:val="0"/>
                  <w:marTop w:val="0"/>
                  <w:marBottom w:val="0"/>
                  <w:divBdr>
                    <w:top w:val="none" w:sz="0" w:space="0" w:color="auto"/>
                    <w:left w:val="none" w:sz="0" w:space="0" w:color="auto"/>
                    <w:bottom w:val="none" w:sz="0" w:space="0" w:color="auto"/>
                    <w:right w:val="none" w:sz="0" w:space="0" w:color="auto"/>
                  </w:divBdr>
                  <w:divsChild>
                    <w:div w:id="1067067794">
                      <w:marLeft w:val="0"/>
                      <w:marRight w:val="0"/>
                      <w:marTop w:val="0"/>
                      <w:marBottom w:val="0"/>
                      <w:divBdr>
                        <w:top w:val="none" w:sz="0" w:space="0" w:color="auto"/>
                        <w:left w:val="none" w:sz="0" w:space="0" w:color="auto"/>
                        <w:bottom w:val="none" w:sz="0" w:space="0" w:color="auto"/>
                        <w:right w:val="none" w:sz="0" w:space="0" w:color="auto"/>
                      </w:divBdr>
                    </w:div>
                  </w:divsChild>
                </w:div>
                <w:div w:id="1643004881">
                  <w:marLeft w:val="0"/>
                  <w:marRight w:val="0"/>
                  <w:marTop w:val="0"/>
                  <w:marBottom w:val="0"/>
                  <w:divBdr>
                    <w:top w:val="none" w:sz="0" w:space="0" w:color="auto"/>
                    <w:left w:val="none" w:sz="0" w:space="0" w:color="auto"/>
                    <w:bottom w:val="none" w:sz="0" w:space="0" w:color="auto"/>
                    <w:right w:val="none" w:sz="0" w:space="0" w:color="auto"/>
                  </w:divBdr>
                  <w:divsChild>
                    <w:div w:id="1383627490">
                      <w:marLeft w:val="0"/>
                      <w:marRight w:val="0"/>
                      <w:marTop w:val="0"/>
                      <w:marBottom w:val="0"/>
                      <w:divBdr>
                        <w:top w:val="none" w:sz="0" w:space="0" w:color="auto"/>
                        <w:left w:val="none" w:sz="0" w:space="0" w:color="auto"/>
                        <w:bottom w:val="none" w:sz="0" w:space="0" w:color="auto"/>
                        <w:right w:val="none" w:sz="0" w:space="0" w:color="auto"/>
                      </w:divBdr>
                    </w:div>
                  </w:divsChild>
                </w:div>
                <w:div w:id="1763796352">
                  <w:marLeft w:val="0"/>
                  <w:marRight w:val="0"/>
                  <w:marTop w:val="0"/>
                  <w:marBottom w:val="0"/>
                  <w:divBdr>
                    <w:top w:val="none" w:sz="0" w:space="0" w:color="auto"/>
                    <w:left w:val="none" w:sz="0" w:space="0" w:color="auto"/>
                    <w:bottom w:val="none" w:sz="0" w:space="0" w:color="auto"/>
                    <w:right w:val="none" w:sz="0" w:space="0" w:color="auto"/>
                  </w:divBdr>
                  <w:divsChild>
                    <w:div w:id="327949707">
                      <w:marLeft w:val="0"/>
                      <w:marRight w:val="0"/>
                      <w:marTop w:val="0"/>
                      <w:marBottom w:val="0"/>
                      <w:divBdr>
                        <w:top w:val="none" w:sz="0" w:space="0" w:color="auto"/>
                        <w:left w:val="none" w:sz="0" w:space="0" w:color="auto"/>
                        <w:bottom w:val="none" w:sz="0" w:space="0" w:color="auto"/>
                        <w:right w:val="none" w:sz="0" w:space="0" w:color="auto"/>
                      </w:divBdr>
                    </w:div>
                  </w:divsChild>
                </w:div>
                <w:div w:id="2092503829">
                  <w:marLeft w:val="0"/>
                  <w:marRight w:val="0"/>
                  <w:marTop w:val="0"/>
                  <w:marBottom w:val="0"/>
                  <w:divBdr>
                    <w:top w:val="none" w:sz="0" w:space="0" w:color="auto"/>
                    <w:left w:val="none" w:sz="0" w:space="0" w:color="auto"/>
                    <w:bottom w:val="none" w:sz="0" w:space="0" w:color="auto"/>
                    <w:right w:val="none" w:sz="0" w:space="0" w:color="auto"/>
                  </w:divBdr>
                  <w:divsChild>
                    <w:div w:id="18278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495073">
          <w:marLeft w:val="0"/>
          <w:marRight w:val="0"/>
          <w:marTop w:val="0"/>
          <w:marBottom w:val="0"/>
          <w:divBdr>
            <w:top w:val="none" w:sz="0" w:space="0" w:color="auto"/>
            <w:left w:val="none" w:sz="0" w:space="0" w:color="auto"/>
            <w:bottom w:val="none" w:sz="0" w:space="0" w:color="auto"/>
            <w:right w:val="none" w:sz="0" w:space="0" w:color="auto"/>
          </w:divBdr>
        </w:div>
        <w:div w:id="1605650599">
          <w:marLeft w:val="0"/>
          <w:marRight w:val="0"/>
          <w:marTop w:val="0"/>
          <w:marBottom w:val="0"/>
          <w:divBdr>
            <w:top w:val="none" w:sz="0" w:space="0" w:color="auto"/>
            <w:left w:val="none" w:sz="0" w:space="0" w:color="auto"/>
            <w:bottom w:val="none" w:sz="0" w:space="0" w:color="auto"/>
            <w:right w:val="none" w:sz="0" w:space="0" w:color="auto"/>
          </w:divBdr>
        </w:div>
        <w:div w:id="1617252782">
          <w:marLeft w:val="0"/>
          <w:marRight w:val="0"/>
          <w:marTop w:val="0"/>
          <w:marBottom w:val="0"/>
          <w:divBdr>
            <w:top w:val="none" w:sz="0" w:space="0" w:color="auto"/>
            <w:left w:val="none" w:sz="0" w:space="0" w:color="auto"/>
            <w:bottom w:val="none" w:sz="0" w:space="0" w:color="auto"/>
            <w:right w:val="none" w:sz="0" w:space="0" w:color="auto"/>
          </w:divBdr>
        </w:div>
        <w:div w:id="1626547487">
          <w:marLeft w:val="0"/>
          <w:marRight w:val="0"/>
          <w:marTop w:val="0"/>
          <w:marBottom w:val="0"/>
          <w:divBdr>
            <w:top w:val="none" w:sz="0" w:space="0" w:color="auto"/>
            <w:left w:val="none" w:sz="0" w:space="0" w:color="auto"/>
            <w:bottom w:val="none" w:sz="0" w:space="0" w:color="auto"/>
            <w:right w:val="none" w:sz="0" w:space="0" w:color="auto"/>
          </w:divBdr>
        </w:div>
        <w:div w:id="1667434114">
          <w:marLeft w:val="0"/>
          <w:marRight w:val="0"/>
          <w:marTop w:val="0"/>
          <w:marBottom w:val="0"/>
          <w:divBdr>
            <w:top w:val="none" w:sz="0" w:space="0" w:color="auto"/>
            <w:left w:val="none" w:sz="0" w:space="0" w:color="auto"/>
            <w:bottom w:val="none" w:sz="0" w:space="0" w:color="auto"/>
            <w:right w:val="none" w:sz="0" w:space="0" w:color="auto"/>
          </w:divBdr>
        </w:div>
        <w:div w:id="1724938418">
          <w:marLeft w:val="0"/>
          <w:marRight w:val="0"/>
          <w:marTop w:val="0"/>
          <w:marBottom w:val="0"/>
          <w:divBdr>
            <w:top w:val="none" w:sz="0" w:space="0" w:color="auto"/>
            <w:left w:val="none" w:sz="0" w:space="0" w:color="auto"/>
            <w:bottom w:val="none" w:sz="0" w:space="0" w:color="auto"/>
            <w:right w:val="none" w:sz="0" w:space="0" w:color="auto"/>
          </w:divBdr>
        </w:div>
        <w:div w:id="1733234790">
          <w:marLeft w:val="0"/>
          <w:marRight w:val="0"/>
          <w:marTop w:val="0"/>
          <w:marBottom w:val="0"/>
          <w:divBdr>
            <w:top w:val="none" w:sz="0" w:space="0" w:color="auto"/>
            <w:left w:val="none" w:sz="0" w:space="0" w:color="auto"/>
            <w:bottom w:val="none" w:sz="0" w:space="0" w:color="auto"/>
            <w:right w:val="none" w:sz="0" w:space="0" w:color="auto"/>
          </w:divBdr>
        </w:div>
        <w:div w:id="1758555622">
          <w:marLeft w:val="0"/>
          <w:marRight w:val="0"/>
          <w:marTop w:val="0"/>
          <w:marBottom w:val="0"/>
          <w:divBdr>
            <w:top w:val="none" w:sz="0" w:space="0" w:color="auto"/>
            <w:left w:val="none" w:sz="0" w:space="0" w:color="auto"/>
            <w:bottom w:val="none" w:sz="0" w:space="0" w:color="auto"/>
            <w:right w:val="none" w:sz="0" w:space="0" w:color="auto"/>
          </w:divBdr>
          <w:divsChild>
            <w:div w:id="177039130">
              <w:marLeft w:val="-75"/>
              <w:marRight w:val="0"/>
              <w:marTop w:val="30"/>
              <w:marBottom w:val="30"/>
              <w:divBdr>
                <w:top w:val="none" w:sz="0" w:space="0" w:color="auto"/>
                <w:left w:val="none" w:sz="0" w:space="0" w:color="auto"/>
                <w:bottom w:val="none" w:sz="0" w:space="0" w:color="auto"/>
                <w:right w:val="none" w:sz="0" w:space="0" w:color="auto"/>
              </w:divBdr>
              <w:divsChild>
                <w:div w:id="39205685">
                  <w:marLeft w:val="0"/>
                  <w:marRight w:val="0"/>
                  <w:marTop w:val="0"/>
                  <w:marBottom w:val="0"/>
                  <w:divBdr>
                    <w:top w:val="none" w:sz="0" w:space="0" w:color="auto"/>
                    <w:left w:val="none" w:sz="0" w:space="0" w:color="auto"/>
                    <w:bottom w:val="none" w:sz="0" w:space="0" w:color="auto"/>
                    <w:right w:val="none" w:sz="0" w:space="0" w:color="auto"/>
                  </w:divBdr>
                  <w:divsChild>
                    <w:div w:id="396709296">
                      <w:marLeft w:val="0"/>
                      <w:marRight w:val="0"/>
                      <w:marTop w:val="0"/>
                      <w:marBottom w:val="0"/>
                      <w:divBdr>
                        <w:top w:val="none" w:sz="0" w:space="0" w:color="auto"/>
                        <w:left w:val="none" w:sz="0" w:space="0" w:color="auto"/>
                        <w:bottom w:val="none" w:sz="0" w:space="0" w:color="auto"/>
                        <w:right w:val="none" w:sz="0" w:space="0" w:color="auto"/>
                      </w:divBdr>
                    </w:div>
                  </w:divsChild>
                </w:div>
                <w:div w:id="40176048">
                  <w:marLeft w:val="0"/>
                  <w:marRight w:val="0"/>
                  <w:marTop w:val="0"/>
                  <w:marBottom w:val="0"/>
                  <w:divBdr>
                    <w:top w:val="none" w:sz="0" w:space="0" w:color="auto"/>
                    <w:left w:val="none" w:sz="0" w:space="0" w:color="auto"/>
                    <w:bottom w:val="none" w:sz="0" w:space="0" w:color="auto"/>
                    <w:right w:val="none" w:sz="0" w:space="0" w:color="auto"/>
                  </w:divBdr>
                  <w:divsChild>
                    <w:div w:id="2013533389">
                      <w:marLeft w:val="0"/>
                      <w:marRight w:val="0"/>
                      <w:marTop w:val="0"/>
                      <w:marBottom w:val="0"/>
                      <w:divBdr>
                        <w:top w:val="none" w:sz="0" w:space="0" w:color="auto"/>
                        <w:left w:val="none" w:sz="0" w:space="0" w:color="auto"/>
                        <w:bottom w:val="none" w:sz="0" w:space="0" w:color="auto"/>
                        <w:right w:val="none" w:sz="0" w:space="0" w:color="auto"/>
                      </w:divBdr>
                    </w:div>
                  </w:divsChild>
                </w:div>
                <w:div w:id="82849299">
                  <w:marLeft w:val="0"/>
                  <w:marRight w:val="0"/>
                  <w:marTop w:val="0"/>
                  <w:marBottom w:val="0"/>
                  <w:divBdr>
                    <w:top w:val="none" w:sz="0" w:space="0" w:color="auto"/>
                    <w:left w:val="none" w:sz="0" w:space="0" w:color="auto"/>
                    <w:bottom w:val="none" w:sz="0" w:space="0" w:color="auto"/>
                    <w:right w:val="none" w:sz="0" w:space="0" w:color="auto"/>
                  </w:divBdr>
                  <w:divsChild>
                    <w:div w:id="567810036">
                      <w:marLeft w:val="0"/>
                      <w:marRight w:val="0"/>
                      <w:marTop w:val="0"/>
                      <w:marBottom w:val="0"/>
                      <w:divBdr>
                        <w:top w:val="none" w:sz="0" w:space="0" w:color="auto"/>
                        <w:left w:val="none" w:sz="0" w:space="0" w:color="auto"/>
                        <w:bottom w:val="none" w:sz="0" w:space="0" w:color="auto"/>
                        <w:right w:val="none" w:sz="0" w:space="0" w:color="auto"/>
                      </w:divBdr>
                    </w:div>
                  </w:divsChild>
                </w:div>
                <w:div w:id="256331976">
                  <w:marLeft w:val="0"/>
                  <w:marRight w:val="0"/>
                  <w:marTop w:val="0"/>
                  <w:marBottom w:val="0"/>
                  <w:divBdr>
                    <w:top w:val="none" w:sz="0" w:space="0" w:color="auto"/>
                    <w:left w:val="none" w:sz="0" w:space="0" w:color="auto"/>
                    <w:bottom w:val="none" w:sz="0" w:space="0" w:color="auto"/>
                    <w:right w:val="none" w:sz="0" w:space="0" w:color="auto"/>
                  </w:divBdr>
                  <w:divsChild>
                    <w:div w:id="79524946">
                      <w:marLeft w:val="0"/>
                      <w:marRight w:val="0"/>
                      <w:marTop w:val="0"/>
                      <w:marBottom w:val="0"/>
                      <w:divBdr>
                        <w:top w:val="none" w:sz="0" w:space="0" w:color="auto"/>
                        <w:left w:val="none" w:sz="0" w:space="0" w:color="auto"/>
                        <w:bottom w:val="none" w:sz="0" w:space="0" w:color="auto"/>
                        <w:right w:val="none" w:sz="0" w:space="0" w:color="auto"/>
                      </w:divBdr>
                    </w:div>
                  </w:divsChild>
                </w:div>
                <w:div w:id="328948061">
                  <w:marLeft w:val="0"/>
                  <w:marRight w:val="0"/>
                  <w:marTop w:val="0"/>
                  <w:marBottom w:val="0"/>
                  <w:divBdr>
                    <w:top w:val="none" w:sz="0" w:space="0" w:color="auto"/>
                    <w:left w:val="none" w:sz="0" w:space="0" w:color="auto"/>
                    <w:bottom w:val="none" w:sz="0" w:space="0" w:color="auto"/>
                    <w:right w:val="none" w:sz="0" w:space="0" w:color="auto"/>
                  </w:divBdr>
                  <w:divsChild>
                    <w:div w:id="291448812">
                      <w:marLeft w:val="0"/>
                      <w:marRight w:val="0"/>
                      <w:marTop w:val="0"/>
                      <w:marBottom w:val="0"/>
                      <w:divBdr>
                        <w:top w:val="none" w:sz="0" w:space="0" w:color="auto"/>
                        <w:left w:val="none" w:sz="0" w:space="0" w:color="auto"/>
                        <w:bottom w:val="none" w:sz="0" w:space="0" w:color="auto"/>
                        <w:right w:val="none" w:sz="0" w:space="0" w:color="auto"/>
                      </w:divBdr>
                    </w:div>
                  </w:divsChild>
                </w:div>
                <w:div w:id="336617366">
                  <w:marLeft w:val="0"/>
                  <w:marRight w:val="0"/>
                  <w:marTop w:val="0"/>
                  <w:marBottom w:val="0"/>
                  <w:divBdr>
                    <w:top w:val="none" w:sz="0" w:space="0" w:color="auto"/>
                    <w:left w:val="none" w:sz="0" w:space="0" w:color="auto"/>
                    <w:bottom w:val="none" w:sz="0" w:space="0" w:color="auto"/>
                    <w:right w:val="none" w:sz="0" w:space="0" w:color="auto"/>
                  </w:divBdr>
                  <w:divsChild>
                    <w:div w:id="618991771">
                      <w:marLeft w:val="0"/>
                      <w:marRight w:val="0"/>
                      <w:marTop w:val="0"/>
                      <w:marBottom w:val="0"/>
                      <w:divBdr>
                        <w:top w:val="none" w:sz="0" w:space="0" w:color="auto"/>
                        <w:left w:val="none" w:sz="0" w:space="0" w:color="auto"/>
                        <w:bottom w:val="none" w:sz="0" w:space="0" w:color="auto"/>
                        <w:right w:val="none" w:sz="0" w:space="0" w:color="auto"/>
                      </w:divBdr>
                    </w:div>
                  </w:divsChild>
                </w:div>
                <w:div w:id="506556332">
                  <w:marLeft w:val="0"/>
                  <w:marRight w:val="0"/>
                  <w:marTop w:val="0"/>
                  <w:marBottom w:val="0"/>
                  <w:divBdr>
                    <w:top w:val="none" w:sz="0" w:space="0" w:color="auto"/>
                    <w:left w:val="none" w:sz="0" w:space="0" w:color="auto"/>
                    <w:bottom w:val="none" w:sz="0" w:space="0" w:color="auto"/>
                    <w:right w:val="none" w:sz="0" w:space="0" w:color="auto"/>
                  </w:divBdr>
                  <w:divsChild>
                    <w:div w:id="568003716">
                      <w:marLeft w:val="0"/>
                      <w:marRight w:val="0"/>
                      <w:marTop w:val="0"/>
                      <w:marBottom w:val="0"/>
                      <w:divBdr>
                        <w:top w:val="none" w:sz="0" w:space="0" w:color="auto"/>
                        <w:left w:val="none" w:sz="0" w:space="0" w:color="auto"/>
                        <w:bottom w:val="none" w:sz="0" w:space="0" w:color="auto"/>
                        <w:right w:val="none" w:sz="0" w:space="0" w:color="auto"/>
                      </w:divBdr>
                    </w:div>
                  </w:divsChild>
                </w:div>
                <w:div w:id="1064910819">
                  <w:marLeft w:val="0"/>
                  <w:marRight w:val="0"/>
                  <w:marTop w:val="0"/>
                  <w:marBottom w:val="0"/>
                  <w:divBdr>
                    <w:top w:val="none" w:sz="0" w:space="0" w:color="auto"/>
                    <w:left w:val="none" w:sz="0" w:space="0" w:color="auto"/>
                    <w:bottom w:val="none" w:sz="0" w:space="0" w:color="auto"/>
                    <w:right w:val="none" w:sz="0" w:space="0" w:color="auto"/>
                  </w:divBdr>
                  <w:divsChild>
                    <w:div w:id="18360608">
                      <w:marLeft w:val="0"/>
                      <w:marRight w:val="0"/>
                      <w:marTop w:val="0"/>
                      <w:marBottom w:val="0"/>
                      <w:divBdr>
                        <w:top w:val="none" w:sz="0" w:space="0" w:color="auto"/>
                        <w:left w:val="none" w:sz="0" w:space="0" w:color="auto"/>
                        <w:bottom w:val="none" w:sz="0" w:space="0" w:color="auto"/>
                        <w:right w:val="none" w:sz="0" w:space="0" w:color="auto"/>
                      </w:divBdr>
                    </w:div>
                  </w:divsChild>
                </w:div>
                <w:div w:id="1173303353">
                  <w:marLeft w:val="0"/>
                  <w:marRight w:val="0"/>
                  <w:marTop w:val="0"/>
                  <w:marBottom w:val="0"/>
                  <w:divBdr>
                    <w:top w:val="none" w:sz="0" w:space="0" w:color="auto"/>
                    <w:left w:val="none" w:sz="0" w:space="0" w:color="auto"/>
                    <w:bottom w:val="none" w:sz="0" w:space="0" w:color="auto"/>
                    <w:right w:val="none" w:sz="0" w:space="0" w:color="auto"/>
                  </w:divBdr>
                  <w:divsChild>
                    <w:div w:id="610550377">
                      <w:marLeft w:val="0"/>
                      <w:marRight w:val="0"/>
                      <w:marTop w:val="0"/>
                      <w:marBottom w:val="0"/>
                      <w:divBdr>
                        <w:top w:val="none" w:sz="0" w:space="0" w:color="auto"/>
                        <w:left w:val="none" w:sz="0" w:space="0" w:color="auto"/>
                        <w:bottom w:val="none" w:sz="0" w:space="0" w:color="auto"/>
                        <w:right w:val="none" w:sz="0" w:space="0" w:color="auto"/>
                      </w:divBdr>
                    </w:div>
                  </w:divsChild>
                </w:div>
                <w:div w:id="1463034625">
                  <w:marLeft w:val="0"/>
                  <w:marRight w:val="0"/>
                  <w:marTop w:val="0"/>
                  <w:marBottom w:val="0"/>
                  <w:divBdr>
                    <w:top w:val="none" w:sz="0" w:space="0" w:color="auto"/>
                    <w:left w:val="none" w:sz="0" w:space="0" w:color="auto"/>
                    <w:bottom w:val="none" w:sz="0" w:space="0" w:color="auto"/>
                    <w:right w:val="none" w:sz="0" w:space="0" w:color="auto"/>
                  </w:divBdr>
                  <w:divsChild>
                    <w:div w:id="2095079339">
                      <w:marLeft w:val="0"/>
                      <w:marRight w:val="0"/>
                      <w:marTop w:val="0"/>
                      <w:marBottom w:val="0"/>
                      <w:divBdr>
                        <w:top w:val="none" w:sz="0" w:space="0" w:color="auto"/>
                        <w:left w:val="none" w:sz="0" w:space="0" w:color="auto"/>
                        <w:bottom w:val="none" w:sz="0" w:space="0" w:color="auto"/>
                        <w:right w:val="none" w:sz="0" w:space="0" w:color="auto"/>
                      </w:divBdr>
                    </w:div>
                  </w:divsChild>
                </w:div>
                <w:div w:id="1564557687">
                  <w:marLeft w:val="0"/>
                  <w:marRight w:val="0"/>
                  <w:marTop w:val="0"/>
                  <w:marBottom w:val="0"/>
                  <w:divBdr>
                    <w:top w:val="none" w:sz="0" w:space="0" w:color="auto"/>
                    <w:left w:val="none" w:sz="0" w:space="0" w:color="auto"/>
                    <w:bottom w:val="none" w:sz="0" w:space="0" w:color="auto"/>
                    <w:right w:val="none" w:sz="0" w:space="0" w:color="auto"/>
                  </w:divBdr>
                  <w:divsChild>
                    <w:div w:id="2103605446">
                      <w:marLeft w:val="0"/>
                      <w:marRight w:val="0"/>
                      <w:marTop w:val="0"/>
                      <w:marBottom w:val="0"/>
                      <w:divBdr>
                        <w:top w:val="none" w:sz="0" w:space="0" w:color="auto"/>
                        <w:left w:val="none" w:sz="0" w:space="0" w:color="auto"/>
                        <w:bottom w:val="none" w:sz="0" w:space="0" w:color="auto"/>
                        <w:right w:val="none" w:sz="0" w:space="0" w:color="auto"/>
                      </w:divBdr>
                    </w:div>
                  </w:divsChild>
                </w:div>
                <w:div w:id="1673339662">
                  <w:marLeft w:val="0"/>
                  <w:marRight w:val="0"/>
                  <w:marTop w:val="0"/>
                  <w:marBottom w:val="0"/>
                  <w:divBdr>
                    <w:top w:val="none" w:sz="0" w:space="0" w:color="auto"/>
                    <w:left w:val="none" w:sz="0" w:space="0" w:color="auto"/>
                    <w:bottom w:val="none" w:sz="0" w:space="0" w:color="auto"/>
                    <w:right w:val="none" w:sz="0" w:space="0" w:color="auto"/>
                  </w:divBdr>
                  <w:divsChild>
                    <w:div w:id="2118212086">
                      <w:marLeft w:val="0"/>
                      <w:marRight w:val="0"/>
                      <w:marTop w:val="0"/>
                      <w:marBottom w:val="0"/>
                      <w:divBdr>
                        <w:top w:val="none" w:sz="0" w:space="0" w:color="auto"/>
                        <w:left w:val="none" w:sz="0" w:space="0" w:color="auto"/>
                        <w:bottom w:val="none" w:sz="0" w:space="0" w:color="auto"/>
                        <w:right w:val="none" w:sz="0" w:space="0" w:color="auto"/>
                      </w:divBdr>
                    </w:div>
                  </w:divsChild>
                </w:div>
                <w:div w:id="1797676486">
                  <w:marLeft w:val="0"/>
                  <w:marRight w:val="0"/>
                  <w:marTop w:val="0"/>
                  <w:marBottom w:val="0"/>
                  <w:divBdr>
                    <w:top w:val="none" w:sz="0" w:space="0" w:color="auto"/>
                    <w:left w:val="none" w:sz="0" w:space="0" w:color="auto"/>
                    <w:bottom w:val="none" w:sz="0" w:space="0" w:color="auto"/>
                    <w:right w:val="none" w:sz="0" w:space="0" w:color="auto"/>
                  </w:divBdr>
                  <w:divsChild>
                    <w:div w:id="1249344747">
                      <w:marLeft w:val="0"/>
                      <w:marRight w:val="0"/>
                      <w:marTop w:val="0"/>
                      <w:marBottom w:val="0"/>
                      <w:divBdr>
                        <w:top w:val="none" w:sz="0" w:space="0" w:color="auto"/>
                        <w:left w:val="none" w:sz="0" w:space="0" w:color="auto"/>
                        <w:bottom w:val="none" w:sz="0" w:space="0" w:color="auto"/>
                        <w:right w:val="none" w:sz="0" w:space="0" w:color="auto"/>
                      </w:divBdr>
                    </w:div>
                  </w:divsChild>
                </w:div>
                <w:div w:id="1839074559">
                  <w:marLeft w:val="0"/>
                  <w:marRight w:val="0"/>
                  <w:marTop w:val="0"/>
                  <w:marBottom w:val="0"/>
                  <w:divBdr>
                    <w:top w:val="none" w:sz="0" w:space="0" w:color="auto"/>
                    <w:left w:val="none" w:sz="0" w:space="0" w:color="auto"/>
                    <w:bottom w:val="none" w:sz="0" w:space="0" w:color="auto"/>
                    <w:right w:val="none" w:sz="0" w:space="0" w:color="auto"/>
                  </w:divBdr>
                  <w:divsChild>
                    <w:div w:id="111636971">
                      <w:marLeft w:val="0"/>
                      <w:marRight w:val="0"/>
                      <w:marTop w:val="0"/>
                      <w:marBottom w:val="0"/>
                      <w:divBdr>
                        <w:top w:val="none" w:sz="0" w:space="0" w:color="auto"/>
                        <w:left w:val="none" w:sz="0" w:space="0" w:color="auto"/>
                        <w:bottom w:val="none" w:sz="0" w:space="0" w:color="auto"/>
                        <w:right w:val="none" w:sz="0" w:space="0" w:color="auto"/>
                      </w:divBdr>
                    </w:div>
                  </w:divsChild>
                </w:div>
                <w:div w:id="1847670851">
                  <w:marLeft w:val="0"/>
                  <w:marRight w:val="0"/>
                  <w:marTop w:val="0"/>
                  <w:marBottom w:val="0"/>
                  <w:divBdr>
                    <w:top w:val="none" w:sz="0" w:space="0" w:color="auto"/>
                    <w:left w:val="none" w:sz="0" w:space="0" w:color="auto"/>
                    <w:bottom w:val="none" w:sz="0" w:space="0" w:color="auto"/>
                    <w:right w:val="none" w:sz="0" w:space="0" w:color="auto"/>
                  </w:divBdr>
                  <w:divsChild>
                    <w:div w:id="306982024">
                      <w:marLeft w:val="0"/>
                      <w:marRight w:val="0"/>
                      <w:marTop w:val="0"/>
                      <w:marBottom w:val="0"/>
                      <w:divBdr>
                        <w:top w:val="none" w:sz="0" w:space="0" w:color="auto"/>
                        <w:left w:val="none" w:sz="0" w:space="0" w:color="auto"/>
                        <w:bottom w:val="none" w:sz="0" w:space="0" w:color="auto"/>
                        <w:right w:val="none" w:sz="0" w:space="0" w:color="auto"/>
                      </w:divBdr>
                    </w:div>
                  </w:divsChild>
                </w:div>
                <w:div w:id="1930380893">
                  <w:marLeft w:val="0"/>
                  <w:marRight w:val="0"/>
                  <w:marTop w:val="0"/>
                  <w:marBottom w:val="0"/>
                  <w:divBdr>
                    <w:top w:val="none" w:sz="0" w:space="0" w:color="auto"/>
                    <w:left w:val="none" w:sz="0" w:space="0" w:color="auto"/>
                    <w:bottom w:val="none" w:sz="0" w:space="0" w:color="auto"/>
                    <w:right w:val="none" w:sz="0" w:space="0" w:color="auto"/>
                  </w:divBdr>
                  <w:divsChild>
                    <w:div w:id="177859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512483">
          <w:marLeft w:val="0"/>
          <w:marRight w:val="0"/>
          <w:marTop w:val="0"/>
          <w:marBottom w:val="0"/>
          <w:divBdr>
            <w:top w:val="none" w:sz="0" w:space="0" w:color="auto"/>
            <w:left w:val="none" w:sz="0" w:space="0" w:color="auto"/>
            <w:bottom w:val="none" w:sz="0" w:space="0" w:color="auto"/>
            <w:right w:val="none" w:sz="0" w:space="0" w:color="auto"/>
          </w:divBdr>
        </w:div>
        <w:div w:id="1873684486">
          <w:marLeft w:val="0"/>
          <w:marRight w:val="0"/>
          <w:marTop w:val="0"/>
          <w:marBottom w:val="0"/>
          <w:divBdr>
            <w:top w:val="none" w:sz="0" w:space="0" w:color="auto"/>
            <w:left w:val="none" w:sz="0" w:space="0" w:color="auto"/>
            <w:bottom w:val="none" w:sz="0" w:space="0" w:color="auto"/>
            <w:right w:val="none" w:sz="0" w:space="0" w:color="auto"/>
          </w:divBdr>
        </w:div>
        <w:div w:id="1898005177">
          <w:marLeft w:val="0"/>
          <w:marRight w:val="0"/>
          <w:marTop w:val="0"/>
          <w:marBottom w:val="0"/>
          <w:divBdr>
            <w:top w:val="none" w:sz="0" w:space="0" w:color="auto"/>
            <w:left w:val="none" w:sz="0" w:space="0" w:color="auto"/>
            <w:bottom w:val="none" w:sz="0" w:space="0" w:color="auto"/>
            <w:right w:val="none" w:sz="0" w:space="0" w:color="auto"/>
          </w:divBdr>
        </w:div>
        <w:div w:id="1909923345">
          <w:marLeft w:val="0"/>
          <w:marRight w:val="0"/>
          <w:marTop w:val="0"/>
          <w:marBottom w:val="0"/>
          <w:divBdr>
            <w:top w:val="none" w:sz="0" w:space="0" w:color="auto"/>
            <w:left w:val="none" w:sz="0" w:space="0" w:color="auto"/>
            <w:bottom w:val="none" w:sz="0" w:space="0" w:color="auto"/>
            <w:right w:val="none" w:sz="0" w:space="0" w:color="auto"/>
          </w:divBdr>
        </w:div>
        <w:div w:id="1997030733">
          <w:marLeft w:val="0"/>
          <w:marRight w:val="0"/>
          <w:marTop w:val="0"/>
          <w:marBottom w:val="0"/>
          <w:divBdr>
            <w:top w:val="none" w:sz="0" w:space="0" w:color="auto"/>
            <w:left w:val="none" w:sz="0" w:space="0" w:color="auto"/>
            <w:bottom w:val="none" w:sz="0" w:space="0" w:color="auto"/>
            <w:right w:val="none" w:sz="0" w:space="0" w:color="auto"/>
          </w:divBdr>
        </w:div>
        <w:div w:id="2017658001">
          <w:marLeft w:val="0"/>
          <w:marRight w:val="0"/>
          <w:marTop w:val="0"/>
          <w:marBottom w:val="0"/>
          <w:divBdr>
            <w:top w:val="none" w:sz="0" w:space="0" w:color="auto"/>
            <w:left w:val="none" w:sz="0" w:space="0" w:color="auto"/>
            <w:bottom w:val="none" w:sz="0" w:space="0" w:color="auto"/>
            <w:right w:val="none" w:sz="0" w:space="0" w:color="auto"/>
          </w:divBdr>
        </w:div>
        <w:div w:id="2064791307">
          <w:marLeft w:val="0"/>
          <w:marRight w:val="0"/>
          <w:marTop w:val="0"/>
          <w:marBottom w:val="0"/>
          <w:divBdr>
            <w:top w:val="none" w:sz="0" w:space="0" w:color="auto"/>
            <w:left w:val="none" w:sz="0" w:space="0" w:color="auto"/>
            <w:bottom w:val="none" w:sz="0" w:space="0" w:color="auto"/>
            <w:right w:val="none" w:sz="0" w:space="0" w:color="auto"/>
          </w:divBdr>
        </w:div>
        <w:div w:id="2089227293">
          <w:marLeft w:val="0"/>
          <w:marRight w:val="0"/>
          <w:marTop w:val="0"/>
          <w:marBottom w:val="0"/>
          <w:divBdr>
            <w:top w:val="none" w:sz="0" w:space="0" w:color="auto"/>
            <w:left w:val="none" w:sz="0" w:space="0" w:color="auto"/>
            <w:bottom w:val="none" w:sz="0" w:space="0" w:color="auto"/>
            <w:right w:val="none" w:sz="0" w:space="0" w:color="auto"/>
          </w:divBdr>
        </w:div>
        <w:div w:id="2103867711">
          <w:marLeft w:val="0"/>
          <w:marRight w:val="0"/>
          <w:marTop w:val="0"/>
          <w:marBottom w:val="0"/>
          <w:divBdr>
            <w:top w:val="none" w:sz="0" w:space="0" w:color="auto"/>
            <w:left w:val="none" w:sz="0" w:space="0" w:color="auto"/>
            <w:bottom w:val="none" w:sz="0" w:space="0" w:color="auto"/>
            <w:right w:val="none" w:sz="0" w:space="0" w:color="auto"/>
          </w:divBdr>
        </w:div>
        <w:div w:id="2126607758">
          <w:marLeft w:val="0"/>
          <w:marRight w:val="0"/>
          <w:marTop w:val="0"/>
          <w:marBottom w:val="0"/>
          <w:divBdr>
            <w:top w:val="none" w:sz="0" w:space="0" w:color="auto"/>
            <w:left w:val="none" w:sz="0" w:space="0" w:color="auto"/>
            <w:bottom w:val="none" w:sz="0" w:space="0" w:color="auto"/>
            <w:right w:val="none" w:sz="0" w:space="0" w:color="auto"/>
          </w:divBdr>
        </w:div>
      </w:divsChild>
    </w:div>
    <w:div w:id="2026054563">
      <w:bodyDiv w:val="1"/>
      <w:marLeft w:val="0"/>
      <w:marRight w:val="0"/>
      <w:marTop w:val="0"/>
      <w:marBottom w:val="0"/>
      <w:divBdr>
        <w:top w:val="none" w:sz="0" w:space="0" w:color="auto"/>
        <w:left w:val="none" w:sz="0" w:space="0" w:color="auto"/>
        <w:bottom w:val="none" w:sz="0" w:space="0" w:color="auto"/>
        <w:right w:val="none" w:sz="0" w:space="0" w:color="auto"/>
      </w:divBdr>
      <w:divsChild>
        <w:div w:id="668749451">
          <w:marLeft w:val="0"/>
          <w:marRight w:val="0"/>
          <w:marTop w:val="0"/>
          <w:marBottom w:val="0"/>
          <w:divBdr>
            <w:top w:val="none" w:sz="0" w:space="0" w:color="auto"/>
            <w:left w:val="none" w:sz="0" w:space="0" w:color="auto"/>
            <w:bottom w:val="none" w:sz="0" w:space="0" w:color="auto"/>
            <w:right w:val="none" w:sz="0" w:space="0" w:color="auto"/>
          </w:divBdr>
        </w:div>
        <w:div w:id="1687053669">
          <w:marLeft w:val="0"/>
          <w:marRight w:val="0"/>
          <w:marTop w:val="0"/>
          <w:marBottom w:val="0"/>
          <w:divBdr>
            <w:top w:val="none" w:sz="0" w:space="0" w:color="auto"/>
            <w:left w:val="none" w:sz="0" w:space="0" w:color="auto"/>
            <w:bottom w:val="none" w:sz="0" w:space="0" w:color="auto"/>
            <w:right w:val="none" w:sz="0" w:space="0" w:color="auto"/>
          </w:divBdr>
        </w:div>
        <w:div w:id="2054650062">
          <w:marLeft w:val="0"/>
          <w:marRight w:val="0"/>
          <w:marTop w:val="0"/>
          <w:marBottom w:val="0"/>
          <w:divBdr>
            <w:top w:val="none" w:sz="0" w:space="0" w:color="auto"/>
            <w:left w:val="none" w:sz="0" w:space="0" w:color="auto"/>
            <w:bottom w:val="none" w:sz="0" w:space="0" w:color="auto"/>
            <w:right w:val="none" w:sz="0" w:space="0" w:color="auto"/>
          </w:divBdr>
        </w:div>
        <w:div w:id="2083136734">
          <w:marLeft w:val="0"/>
          <w:marRight w:val="0"/>
          <w:marTop w:val="0"/>
          <w:marBottom w:val="0"/>
          <w:divBdr>
            <w:top w:val="none" w:sz="0" w:space="0" w:color="auto"/>
            <w:left w:val="none" w:sz="0" w:space="0" w:color="auto"/>
            <w:bottom w:val="none" w:sz="0" w:space="0" w:color="auto"/>
            <w:right w:val="none" w:sz="0" w:space="0" w:color="auto"/>
          </w:divBdr>
        </w:div>
      </w:divsChild>
    </w:div>
    <w:div w:id="2059930664">
      <w:bodyDiv w:val="1"/>
      <w:marLeft w:val="0"/>
      <w:marRight w:val="0"/>
      <w:marTop w:val="0"/>
      <w:marBottom w:val="0"/>
      <w:divBdr>
        <w:top w:val="none" w:sz="0" w:space="0" w:color="auto"/>
        <w:left w:val="none" w:sz="0" w:space="0" w:color="auto"/>
        <w:bottom w:val="none" w:sz="0" w:space="0" w:color="auto"/>
        <w:right w:val="none" w:sz="0" w:space="0" w:color="auto"/>
      </w:divBdr>
      <w:divsChild>
        <w:div w:id="1635869579">
          <w:marLeft w:val="0"/>
          <w:marRight w:val="0"/>
          <w:marTop w:val="0"/>
          <w:marBottom w:val="0"/>
          <w:divBdr>
            <w:top w:val="none" w:sz="0" w:space="0" w:color="auto"/>
            <w:left w:val="none" w:sz="0" w:space="0" w:color="auto"/>
            <w:bottom w:val="none" w:sz="0" w:space="0" w:color="auto"/>
            <w:right w:val="none" w:sz="0" w:space="0" w:color="auto"/>
          </w:divBdr>
        </w:div>
        <w:div w:id="20386968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map22.vims.edu/VACoastalResourcesTool/" TargetMode="External"/><Relationship Id="rId21" Type="http://schemas.openxmlformats.org/officeDocument/2006/relationships/hyperlink" Target="https://www.chesapeakebay.net/what/goals/vital-habitats" TargetMode="External"/><Relationship Id="rId63" Type="http://schemas.openxmlformats.org/officeDocument/2006/relationships/hyperlink" Target="https://www.deq.virginia.gov/home/showpublisheddocument/4334/637462334964400000" TargetMode="External"/><Relationship Id="rId159" Type="http://schemas.openxmlformats.org/officeDocument/2006/relationships/image" Target="media/image33.png"/><Relationship Id="rId170" Type="http://schemas.openxmlformats.org/officeDocument/2006/relationships/image" Target="media/image44.png"/><Relationship Id="rId226" Type="http://schemas.openxmlformats.org/officeDocument/2006/relationships/image" Target="media/image96.jpeg"/><Relationship Id="rId268" Type="http://schemas.openxmlformats.org/officeDocument/2006/relationships/hyperlink" Target="https://doi.org/10.4319/lo.1958.3.3.0346" TargetMode="External"/><Relationship Id="rId32" Type="http://schemas.openxmlformats.org/officeDocument/2006/relationships/hyperlink" Target="https://www.deq.virginia.gov/our-programs/water/chesapeake-bay" TargetMode="External"/><Relationship Id="rId74" Type="http://schemas.openxmlformats.org/officeDocument/2006/relationships/hyperlink" Target="https://www.epa.gov/tmdl/Vision" TargetMode="External"/><Relationship Id="rId128" Type="http://schemas.openxmlformats.org/officeDocument/2006/relationships/header" Target="header1.xml"/><Relationship Id="rId5" Type="http://schemas.openxmlformats.org/officeDocument/2006/relationships/numbering" Target="numbering.xml"/><Relationship Id="rId181" Type="http://schemas.openxmlformats.org/officeDocument/2006/relationships/image" Target="media/image55.png"/><Relationship Id="rId237" Type="http://schemas.openxmlformats.org/officeDocument/2006/relationships/image" Target="media/image104.jpeg"/><Relationship Id="rId258" Type="http://schemas.openxmlformats.org/officeDocument/2006/relationships/hyperlink" Target="https://doi.org/10.1002/etc.5620210929" TargetMode="External"/><Relationship Id="rId279" Type="http://schemas.openxmlformats.org/officeDocument/2006/relationships/theme" Target="theme/theme1.xml"/><Relationship Id="rId22" Type="http://schemas.openxmlformats.org/officeDocument/2006/relationships/hyperlink" Target="https://www.deq.virginia.gov/home/showpublisheddocument/15685" TargetMode="External"/><Relationship Id="rId43" Type="http://schemas.openxmlformats.org/officeDocument/2006/relationships/hyperlink" Target="https://www.deq.virginia.gov/our-programs/water/water-quality/implementation" TargetMode="External"/><Relationship Id="rId64" Type="http://schemas.openxmlformats.org/officeDocument/2006/relationships/hyperlink" Target="https://www.deq.virginia.gov/home/showpublisheddocument/8346/637540014441970000" TargetMode="External"/><Relationship Id="rId118" Type="http://schemas.openxmlformats.org/officeDocument/2006/relationships/hyperlink" Target="https://vadeq.maps.arcgis.com/apps/webappviewer/index.html?id=bad3e23c0d6545a1b6b36c1a45e8ed43" TargetMode="External"/><Relationship Id="rId139" Type="http://schemas.openxmlformats.org/officeDocument/2006/relationships/image" Target="media/image13.png"/><Relationship Id="rId85" Type="http://schemas.openxmlformats.org/officeDocument/2006/relationships/hyperlink" Target="https://coast.noaa.gov/czm/act/sections/" TargetMode="External"/><Relationship Id="rId150" Type="http://schemas.openxmlformats.org/officeDocument/2006/relationships/image" Target="media/image24.png"/><Relationship Id="rId171" Type="http://schemas.openxmlformats.org/officeDocument/2006/relationships/image" Target="media/image45.png"/><Relationship Id="rId192" Type="http://schemas.openxmlformats.org/officeDocument/2006/relationships/image" Target="media/image66.png"/><Relationship Id="rId206" Type="http://schemas.openxmlformats.org/officeDocument/2006/relationships/image" Target="media/image77.emf"/><Relationship Id="rId227" Type="http://schemas.openxmlformats.org/officeDocument/2006/relationships/image" Target="media/image97.jpeg"/><Relationship Id="rId248" Type="http://schemas.openxmlformats.org/officeDocument/2006/relationships/hyperlink" Target="https://www.deq.virginia.gov/home/showpublisheddocument/4481/638428104627430000" TargetMode="External"/><Relationship Id="rId269" Type="http://schemas.openxmlformats.org/officeDocument/2006/relationships/hyperlink" Target="https://nepis.epa.gov/Exe/ZyPDF.cgi/30006DOD.PDF?Dockey=30006DOD.PDF" TargetMode="External"/><Relationship Id="rId12" Type="http://schemas.openxmlformats.org/officeDocument/2006/relationships/footer" Target="footer1.xml"/><Relationship Id="rId33" Type="http://schemas.openxmlformats.org/officeDocument/2006/relationships/hyperlink" Target="https://www.deq.virginia.gov/our-programs/water/water-quality/monitoring/chesapeake-bay-monitoring" TargetMode="External"/><Relationship Id="rId108" Type="http://schemas.openxmlformats.org/officeDocument/2006/relationships/hyperlink" Target="https://www.vdh.virginia.gov/environmental-health/environmental-health-services/shellfish-safety/" TargetMode="External"/><Relationship Id="rId129" Type="http://schemas.openxmlformats.org/officeDocument/2006/relationships/hyperlink" Target="mailto:CitizenWater@deq.virginia.gov" TargetMode="External"/><Relationship Id="rId54" Type="http://schemas.openxmlformats.org/officeDocument/2006/relationships/hyperlink" Target="https://www.deq.virginia.gov/our-programs/land-waste/solid-hazardous-waste" TargetMode="External"/><Relationship Id="rId75" Type="http://schemas.openxmlformats.org/officeDocument/2006/relationships/hyperlink" Target="https://www.epa.gov/beaches/submitting-beach-data-epa" TargetMode="External"/><Relationship Id="rId96" Type="http://schemas.openxmlformats.org/officeDocument/2006/relationships/hyperlink" Target="https://ricerivers.vcu.edu/research-and-restoration/virginia-oyster-shell-recycling-program/" TargetMode="External"/><Relationship Id="rId140" Type="http://schemas.openxmlformats.org/officeDocument/2006/relationships/image" Target="media/image14.png"/><Relationship Id="rId161" Type="http://schemas.openxmlformats.org/officeDocument/2006/relationships/image" Target="media/image35.png"/><Relationship Id="rId182" Type="http://schemas.openxmlformats.org/officeDocument/2006/relationships/image" Target="media/image56.png"/><Relationship Id="rId217" Type="http://schemas.openxmlformats.org/officeDocument/2006/relationships/image" Target="media/image87.jpeg"/><Relationship Id="rId6" Type="http://schemas.openxmlformats.org/officeDocument/2006/relationships/styles" Target="styles.xml"/><Relationship Id="rId238" Type="http://schemas.openxmlformats.org/officeDocument/2006/relationships/image" Target="media/image105.jpeg"/><Relationship Id="rId259" Type="http://schemas.openxmlformats.org/officeDocument/2006/relationships/hyperlink" Target="https://doi.org/10.1007/978-94-017-0299-7_14" TargetMode="External"/><Relationship Id="rId23" Type="http://schemas.openxmlformats.org/officeDocument/2006/relationships/hyperlink" Target="http://www.ecfr.gov/cgi-bin/text-idx?tpl=/ecfrbrowse/Title40/40cfr130_main_02.tpl" TargetMode="External"/><Relationship Id="rId119" Type="http://schemas.openxmlformats.org/officeDocument/2006/relationships/hyperlink" Target="https://register.dls.virginia.gov/home.aspx" TargetMode="External"/><Relationship Id="rId270" Type="http://schemas.openxmlformats.org/officeDocument/2006/relationships/hyperlink" Target="https://www.epa.gov/national-aquatic-resource-surveys/national-coastal-condition-assessment-2010-report" TargetMode="External"/><Relationship Id="rId44" Type="http://schemas.openxmlformats.org/officeDocument/2006/relationships/hyperlink" Target="https://www.deq.virginia.gov/our-programs/water/water-quality/implementation/implementation-projects" TargetMode="External"/><Relationship Id="rId65" Type="http://schemas.openxmlformats.org/officeDocument/2006/relationships/hyperlink" Target="https://www.deq.virginia.gov/our-programs/water/water-quality/monitoring" TargetMode="External"/><Relationship Id="rId86" Type="http://schemas.openxmlformats.org/officeDocument/2006/relationships/hyperlink" Target="https://www.plantvirginianatives.org/" TargetMode="External"/><Relationship Id="rId130" Type="http://schemas.openxmlformats.org/officeDocument/2006/relationships/header" Target="header2.xml"/><Relationship Id="rId151" Type="http://schemas.openxmlformats.org/officeDocument/2006/relationships/image" Target="media/image25.png"/><Relationship Id="rId172" Type="http://schemas.openxmlformats.org/officeDocument/2006/relationships/image" Target="media/image46.png"/><Relationship Id="rId193" Type="http://schemas.openxmlformats.org/officeDocument/2006/relationships/image" Target="media/image67.png"/><Relationship Id="rId207" Type="http://schemas.openxmlformats.org/officeDocument/2006/relationships/image" Target="media/image78.jpeg"/><Relationship Id="rId228" Type="http://schemas.openxmlformats.org/officeDocument/2006/relationships/image" Target="media/image98.jpeg"/><Relationship Id="rId249" Type="http://schemas.openxmlformats.org/officeDocument/2006/relationships/hyperlink" Target="http://law.lis.virginia.gov/admincode/title9/agency25/chapter260/" TargetMode="External"/><Relationship Id="rId13" Type="http://schemas.openxmlformats.org/officeDocument/2006/relationships/image" Target="media/image2.png"/><Relationship Id="rId109" Type="http://schemas.openxmlformats.org/officeDocument/2006/relationships/hyperlink" Target="https://www.vdh.virginia.gov/drinking-water/source-water-programs/" TargetMode="External"/><Relationship Id="rId260" Type="http://schemas.openxmlformats.org/officeDocument/2006/relationships/hyperlink" Target="https://doi.org/10.1007/s002440010216" TargetMode="External"/><Relationship Id="rId34" Type="http://schemas.openxmlformats.org/officeDocument/2006/relationships/hyperlink" Target="https://www.deq.virginia.gov/our-programs/water/chesapeake-bay/chesapeake-bay-nutrient-sediment-reduction-milestones" TargetMode="External"/><Relationship Id="rId55" Type="http://schemas.openxmlformats.org/officeDocument/2006/relationships/hyperlink" Target="https://www.deq.virginia.gov/our-programs/water/water-quantity/water-supply-planning/virginia-water-resources-plan" TargetMode="External"/><Relationship Id="rId76" Type="http://schemas.openxmlformats.org/officeDocument/2006/relationships/hyperlink" Target="https://www.epa.gov/chesapeake-bay-tmdl" TargetMode="External"/><Relationship Id="rId97" Type="http://schemas.openxmlformats.org/officeDocument/2006/relationships/hyperlink" Target="https://www.vdacs.virginia.gov/pesticide-collection.shtml" TargetMode="External"/><Relationship Id="rId120" Type="http://schemas.openxmlformats.org/officeDocument/2006/relationships/hyperlink" Target="https://www.townhall.virginia.gov/" TargetMode="External"/><Relationship Id="rId141" Type="http://schemas.openxmlformats.org/officeDocument/2006/relationships/image" Target="media/image15.png"/><Relationship Id="rId7" Type="http://schemas.openxmlformats.org/officeDocument/2006/relationships/settings" Target="settings.xml"/><Relationship Id="rId162" Type="http://schemas.openxmlformats.org/officeDocument/2006/relationships/image" Target="media/image36.png"/><Relationship Id="rId183" Type="http://schemas.openxmlformats.org/officeDocument/2006/relationships/image" Target="media/image57.png"/><Relationship Id="rId218" Type="http://schemas.openxmlformats.org/officeDocument/2006/relationships/image" Target="media/image88.jpeg"/><Relationship Id="rId239" Type="http://schemas.openxmlformats.org/officeDocument/2006/relationships/image" Target="media/image106.png"/><Relationship Id="rId250" Type="http://schemas.openxmlformats.org/officeDocument/2006/relationships/hyperlink" Target="http://www.epa.gov/nheerl/arm/" TargetMode="External"/><Relationship Id="rId271" Type="http://schemas.openxmlformats.org/officeDocument/2006/relationships/hyperlink" Target="https://www.epa.gov/national-aquatic-resource-surveys/national-coastal-condition-assessment-2010-technical-report" TargetMode="External"/><Relationship Id="rId24" Type="http://schemas.openxmlformats.org/officeDocument/2006/relationships/hyperlink" Target="https://law.lis.virginia.gov/vacodefull/title62.1/chapter3.1/article4.01/" TargetMode="External"/><Relationship Id="rId45" Type="http://schemas.openxmlformats.org/officeDocument/2006/relationships/hyperlink" Target="https://www.deq.virginia.gov/our-programs/coastal-zone-management/coastal-mapping" TargetMode="External"/><Relationship Id="rId66" Type="http://schemas.openxmlformats.org/officeDocument/2006/relationships/hyperlink" Target="https://www.deq.virginia.gov/our-programs/water/water-quality/water-quality-success-stories" TargetMode="External"/><Relationship Id="rId87" Type="http://schemas.openxmlformats.org/officeDocument/2006/relationships/hyperlink" Target="https://d18lev1ok5leia.cloudfront.net/chesapeakebay/documents/ChesBayToxics_finaldraft_11513b.pdf" TargetMode="External"/><Relationship Id="rId110" Type="http://schemas.openxmlformats.org/officeDocument/2006/relationships/hyperlink" Target="https://www.vdh.virginia.gov/waterborne-hazards-control/" TargetMode="External"/><Relationship Id="rId131" Type="http://schemas.openxmlformats.org/officeDocument/2006/relationships/footer" Target="footer3.xml"/><Relationship Id="rId152" Type="http://schemas.openxmlformats.org/officeDocument/2006/relationships/image" Target="media/image26.png"/><Relationship Id="rId173" Type="http://schemas.openxmlformats.org/officeDocument/2006/relationships/image" Target="media/image47.png"/><Relationship Id="rId194" Type="http://schemas.openxmlformats.org/officeDocument/2006/relationships/image" Target="media/image68.png"/><Relationship Id="rId208" Type="http://schemas.openxmlformats.org/officeDocument/2006/relationships/image" Target="media/image79.jpeg"/><Relationship Id="rId229" Type="http://schemas.openxmlformats.org/officeDocument/2006/relationships/image" Target="media/image99.jpeg"/><Relationship Id="rId240" Type="http://schemas.openxmlformats.org/officeDocument/2006/relationships/image" Target="media/image107.png"/><Relationship Id="rId261" Type="http://schemas.openxmlformats.org/officeDocument/2006/relationships/hyperlink" Target="https://www.jstor.org/stable/1353166" TargetMode="External"/><Relationship Id="rId14" Type="http://schemas.openxmlformats.org/officeDocument/2006/relationships/image" Target="media/image3.png"/><Relationship Id="rId35" Type="http://schemas.openxmlformats.org/officeDocument/2006/relationships/hyperlink" Target="https://www.deq.virginia.gov/our-programs/water/water-quality/monitoring/citizen-monitoring" TargetMode="External"/><Relationship Id="rId56" Type="http://schemas.openxmlformats.org/officeDocument/2006/relationships/hyperlink" Target="https://www.deq.virginia.gov/our-programs/coastal-zone-management/strategic-planning-and-funding" TargetMode="External"/><Relationship Id="rId77" Type="http://schemas.openxmlformats.org/officeDocument/2006/relationships/hyperlink" Target="https://www.epa.gov/waterdata/hows-my-waterway" TargetMode="External"/><Relationship Id="rId100" Type="http://schemas.openxmlformats.org/officeDocument/2006/relationships/hyperlink" Target="https://www.vdh.virginia.gov/waterborne-hazards-control/swimming-advisories-and-monitored-beaches-map/" TargetMode="External"/><Relationship Id="rId8" Type="http://schemas.openxmlformats.org/officeDocument/2006/relationships/webSettings" Target="webSettings.xml"/><Relationship Id="rId98" Type="http://schemas.openxmlformats.org/officeDocument/2006/relationships/hyperlink" Target="https://www.vdacs.virginia.gov/pesticide-container-recycling.shtml" TargetMode="External"/><Relationship Id="rId121" Type="http://schemas.openxmlformats.org/officeDocument/2006/relationships/hyperlink" Target="https://scholarworks.wm.edu/reports/2858/" TargetMode="External"/><Relationship Id="rId142" Type="http://schemas.openxmlformats.org/officeDocument/2006/relationships/image" Target="media/image16.png"/><Relationship Id="rId163" Type="http://schemas.openxmlformats.org/officeDocument/2006/relationships/image" Target="media/image37.png"/><Relationship Id="rId184" Type="http://schemas.openxmlformats.org/officeDocument/2006/relationships/image" Target="media/image58.png"/><Relationship Id="rId219" Type="http://schemas.openxmlformats.org/officeDocument/2006/relationships/image" Target="media/image89.png"/><Relationship Id="rId230" Type="http://schemas.openxmlformats.org/officeDocument/2006/relationships/image" Target="media/image100.png"/><Relationship Id="rId251" Type="http://schemas.openxmlformats.org/officeDocument/2006/relationships/hyperlink" Target="http://www.jstatsoft.org/v63/i02/" TargetMode="External"/><Relationship Id="rId25" Type="http://schemas.openxmlformats.org/officeDocument/2006/relationships/hyperlink" Target="https://law.lis.virginia.gov/admincode/title9/agency25/chapter260/section185/" TargetMode="External"/><Relationship Id="rId46" Type="http://schemas.openxmlformats.org/officeDocument/2006/relationships/hyperlink" Target="https://www.deq.virginia.gov/our-programs/water/water-quality/nonpoint-source-management/funding-grant-and-project-resources" TargetMode="External"/><Relationship Id="rId67" Type="http://schemas.openxmlformats.org/officeDocument/2006/relationships/hyperlink" Target="https://www.deq.virginia.gov/our-programs/water/water-quantity/water-supply-planning" TargetMode="External"/><Relationship Id="rId272" Type="http://schemas.openxmlformats.org/officeDocument/2006/relationships/hyperlink" Target="https://www.epa.gov/national-aquatic-resource-surveys/national-coastal-condition-assessment-2015-technical-support" TargetMode="External"/><Relationship Id="rId88" Type="http://schemas.openxmlformats.org/officeDocument/2006/relationships/hyperlink" Target="https://wdr.water.usgs.gov/" TargetMode="External"/><Relationship Id="rId111" Type="http://schemas.openxmlformats.org/officeDocument/2006/relationships/hyperlink" Target="https://www.vdh.virginia.gov/waterborne-hazards-control/statistics/" TargetMode="External"/><Relationship Id="rId132" Type="http://schemas.openxmlformats.org/officeDocument/2006/relationships/header" Target="header3.xml"/><Relationship Id="rId153" Type="http://schemas.openxmlformats.org/officeDocument/2006/relationships/image" Target="media/image27.png"/><Relationship Id="rId174" Type="http://schemas.openxmlformats.org/officeDocument/2006/relationships/image" Target="media/image48.png"/><Relationship Id="rId195" Type="http://schemas.openxmlformats.org/officeDocument/2006/relationships/image" Target="media/image69.png"/><Relationship Id="rId209" Type="http://schemas.openxmlformats.org/officeDocument/2006/relationships/image" Target="media/image80.jpeg"/><Relationship Id="rId220" Type="http://schemas.openxmlformats.org/officeDocument/2006/relationships/image" Target="media/image90.jpeg"/><Relationship Id="rId241" Type="http://schemas.openxmlformats.org/officeDocument/2006/relationships/hyperlink" Target="https://www.deq.virginia.gov/our-programs/coastal-zone-management" TargetMode="External"/><Relationship Id="rId15" Type="http://schemas.openxmlformats.org/officeDocument/2006/relationships/image" Target="media/image4.jpeg"/><Relationship Id="rId36" Type="http://schemas.openxmlformats.org/officeDocument/2006/relationships/hyperlink" Target="https://www.deq.virginia.gov/home/showpublisheddocument/12448/637704018822470000" TargetMode="External"/><Relationship Id="rId57" Type="http://schemas.openxmlformats.org/officeDocument/2006/relationships/hyperlink" Target="https://www.deq.virginia.gov/our-programs/land-waste/petroleum-tanks/underground-storage-tanks" TargetMode="External"/><Relationship Id="rId262" Type="http://schemas.openxmlformats.org/officeDocument/2006/relationships/hyperlink" Target="https://doi.org/10.1007/BF02692220" TargetMode="External"/><Relationship Id="rId78" Type="http://schemas.openxmlformats.org/officeDocument/2006/relationships/hyperlink" Target="https://www.epa.gov/beaches/national-list-beaches" TargetMode="External"/><Relationship Id="rId99" Type="http://schemas.openxmlformats.org/officeDocument/2006/relationships/hyperlink" Target="https://www.vdh.virginia.gov/waterborne-hazards-control/algal-bloom-surveillance-map/" TargetMode="External"/><Relationship Id="rId101" Type="http://schemas.openxmlformats.org/officeDocument/2006/relationships/hyperlink" Target="https://www.vdh.virginia.gov/waterborne-hazards-control/statistics/monitoring-and-advisory-data-by-year/" TargetMode="External"/><Relationship Id="rId122" Type="http://schemas.openxmlformats.org/officeDocument/2006/relationships/hyperlink" Target="https://www.chesapeakebay.net/who/group/integrated-trends-analysis-team" TargetMode="External"/><Relationship Id="rId143" Type="http://schemas.openxmlformats.org/officeDocument/2006/relationships/image" Target="media/image17.jpg"/><Relationship Id="rId164" Type="http://schemas.openxmlformats.org/officeDocument/2006/relationships/image" Target="media/image38.png"/><Relationship Id="rId185" Type="http://schemas.openxmlformats.org/officeDocument/2006/relationships/image" Target="media/image59.png"/><Relationship Id="rId9" Type="http://schemas.openxmlformats.org/officeDocument/2006/relationships/footnotes" Target="footnotes.xml"/><Relationship Id="rId210" Type="http://schemas.openxmlformats.org/officeDocument/2006/relationships/image" Target="media/image81.jpeg"/><Relationship Id="rId26" Type="http://schemas.openxmlformats.org/officeDocument/2006/relationships/hyperlink" Target="https://law.lis.virginia.gov/admincode/title9/agency25/chapter260/section50/" TargetMode="External"/><Relationship Id="rId231" Type="http://schemas.openxmlformats.org/officeDocument/2006/relationships/image" Target="media/image101.jpeg"/><Relationship Id="rId252" Type="http://schemas.openxmlformats.org/officeDocument/2006/relationships/hyperlink" Target="https://www.deq.virginia.gov/home/showpublisheddocument/2343/637436416905200000" TargetMode="External"/><Relationship Id="rId273" Type="http://schemas.openxmlformats.org/officeDocument/2006/relationships/hyperlink" Target="https://doi.org/10.2307/1352728" TargetMode="External"/><Relationship Id="rId47" Type="http://schemas.openxmlformats.org/officeDocument/2006/relationships/hyperlink" Target="https://www.deq.virginia.gov/our-programs/land-waste/land-remediation" TargetMode="External"/><Relationship Id="rId68" Type="http://schemas.openxmlformats.org/officeDocument/2006/relationships/hyperlink" Target="https://www.deq.virginia.gov/permits/water/water-withdrawal" TargetMode="External"/><Relationship Id="rId89" Type="http://schemas.openxmlformats.org/officeDocument/2006/relationships/hyperlink" Target="https://rconnect.usgs.gov/vawv-groundwater/" TargetMode="External"/><Relationship Id="rId112" Type="http://schemas.openxmlformats.org/officeDocument/2006/relationships/hyperlink" Target="http://vecos.vims.edu/Content.aspx?idContent=44" TargetMode="External"/><Relationship Id="rId133" Type="http://schemas.openxmlformats.org/officeDocument/2006/relationships/header" Target="header4.xml"/><Relationship Id="rId154" Type="http://schemas.openxmlformats.org/officeDocument/2006/relationships/image" Target="media/image28.png"/><Relationship Id="rId175" Type="http://schemas.openxmlformats.org/officeDocument/2006/relationships/image" Target="media/image49.png"/><Relationship Id="rId196" Type="http://schemas.openxmlformats.org/officeDocument/2006/relationships/image" Target="media/image70.png"/><Relationship Id="rId200" Type="http://schemas.openxmlformats.org/officeDocument/2006/relationships/image" Target="media/image74.png"/><Relationship Id="rId16" Type="http://schemas.openxmlformats.org/officeDocument/2006/relationships/image" Target="media/image5.png"/><Relationship Id="rId221" Type="http://schemas.openxmlformats.org/officeDocument/2006/relationships/image" Target="media/image91.jpeg"/><Relationship Id="rId242" Type="http://schemas.openxmlformats.org/officeDocument/2006/relationships/image" Target="media/image108.png"/><Relationship Id="rId263" Type="http://schemas.openxmlformats.org/officeDocument/2006/relationships/hyperlink" Target="https://doi.org/10.1016/0025-326X(85)90290-5" TargetMode="External"/><Relationship Id="rId37" Type="http://schemas.openxmlformats.org/officeDocument/2006/relationships/hyperlink" Target="https://www.deq.virginia.gov/our-programs/coastal-zone-management/coastal-mapping/coastal-gems" TargetMode="External"/><Relationship Id="rId58" Type="http://schemas.openxmlformats.org/officeDocument/2006/relationships/hyperlink" Target="https://www.deq.virginia.gov/our-programs/coastal-zone-management/about-czm/virginia-coastal-policy-team" TargetMode="External"/><Relationship Id="rId79" Type="http://schemas.openxmlformats.org/officeDocument/2006/relationships/hyperlink" Target="https://www.epa.gov/environmental-topics/water-topics" TargetMode="External"/><Relationship Id="rId102" Type="http://schemas.openxmlformats.org/officeDocument/2006/relationships/hyperlink" Target="https://www.vdh.virginia.gov/waterborne-hazards-control/beach-monitoring/" TargetMode="External"/><Relationship Id="rId123" Type="http://schemas.openxmlformats.org/officeDocument/2006/relationships/hyperlink" Target="https://cast.chesapeakebay.net/Home/TMDLTracking" TargetMode="External"/><Relationship Id="rId144" Type="http://schemas.openxmlformats.org/officeDocument/2006/relationships/image" Target="media/image18.png"/><Relationship Id="rId90" Type="http://schemas.openxmlformats.org/officeDocument/2006/relationships/hyperlink" Target="https://waterdata.usgs.gov/va/nwis/gw/" TargetMode="External"/><Relationship Id="rId165" Type="http://schemas.openxmlformats.org/officeDocument/2006/relationships/image" Target="media/image39.png"/><Relationship Id="rId186" Type="http://schemas.openxmlformats.org/officeDocument/2006/relationships/image" Target="media/image60.png"/><Relationship Id="rId211" Type="http://schemas.openxmlformats.org/officeDocument/2006/relationships/image" Target="media/image82.jpeg"/><Relationship Id="rId232" Type="http://schemas.openxmlformats.org/officeDocument/2006/relationships/image" Target="media/image102.png"/><Relationship Id="rId253" Type="http://schemas.openxmlformats.org/officeDocument/2006/relationships/hyperlink" Target="https://www.deq.virginia.gov/home/showpublisheddocument/4313/637461491358800000" TargetMode="External"/><Relationship Id="rId274" Type="http://schemas.openxmlformats.org/officeDocument/2006/relationships/hyperlink" Target="https://doi.org/10.1007/s10584-014-1295-9" TargetMode="External"/><Relationship Id="rId27" Type="http://schemas.openxmlformats.org/officeDocument/2006/relationships/hyperlink" Target="https://law.lis.virginia.gov/vacode/title62.1/chapter3.1/section62.1-44.19:11/" TargetMode="External"/><Relationship Id="rId48" Type="http://schemas.openxmlformats.org/officeDocument/2006/relationships/hyperlink" Target="https://www.deq.virginia.gov/topics-of-interest/per-and-polyfluoroalkyl-substances-pfas" TargetMode="External"/><Relationship Id="rId69" Type="http://schemas.openxmlformats.org/officeDocument/2006/relationships/hyperlink" Target="https://www.deq.virginia.gov/our-programs/water/wetlands-streams" TargetMode="External"/><Relationship Id="rId113" Type="http://schemas.openxmlformats.org/officeDocument/2006/relationships/hyperlink" Target="http://vecos.vims.edu/" TargetMode="External"/><Relationship Id="rId134" Type="http://schemas.openxmlformats.org/officeDocument/2006/relationships/footer" Target="footer4.xml"/><Relationship Id="rId80" Type="http://schemas.openxmlformats.org/officeDocument/2006/relationships/hyperlink" Target="https://www.icdp-online.org/projects/by-continent/the-americas/north-america/petm-usa" TargetMode="External"/><Relationship Id="rId155" Type="http://schemas.openxmlformats.org/officeDocument/2006/relationships/image" Target="media/image29.png"/><Relationship Id="rId176" Type="http://schemas.openxmlformats.org/officeDocument/2006/relationships/image" Target="media/image50.png"/><Relationship Id="rId197" Type="http://schemas.openxmlformats.org/officeDocument/2006/relationships/image" Target="media/image71.png"/><Relationship Id="rId201" Type="http://schemas.openxmlformats.org/officeDocument/2006/relationships/image" Target="media/image75.png"/><Relationship Id="rId222" Type="http://schemas.openxmlformats.org/officeDocument/2006/relationships/image" Target="media/image92.png"/><Relationship Id="rId243" Type="http://schemas.openxmlformats.org/officeDocument/2006/relationships/image" Target="media/image109.jpeg"/><Relationship Id="rId264" Type="http://schemas.openxmlformats.org/officeDocument/2006/relationships/hyperlink" Target="https://doi.org/10.1007/BF02472006" TargetMode="External"/><Relationship Id="rId17" Type="http://schemas.openxmlformats.org/officeDocument/2006/relationships/hyperlink" Target="https://www.chesapeakebay.net/" TargetMode="External"/><Relationship Id="rId38" Type="http://schemas.openxmlformats.org/officeDocument/2006/relationships/hyperlink" Target="https://apps.deq.virginia.gov/EDM/" TargetMode="External"/><Relationship Id="rId59" Type="http://schemas.openxmlformats.org/officeDocument/2006/relationships/hyperlink" Target="https://geohub-vadeq.hub.arcgis.com/datasets/fb163586abec4e079ab293823e3bd15e/about" TargetMode="External"/><Relationship Id="rId103" Type="http://schemas.openxmlformats.org/officeDocument/2006/relationships/hyperlink" Target="https://www.vdh.virginia.gov/content/uploads/sites/178/2023/07/Cyanobacteria-Bloom-Response-Job-Aid-July-2023.pdf" TargetMode="External"/><Relationship Id="rId124" Type="http://schemas.openxmlformats.org/officeDocument/2006/relationships/image" Target="media/image6.png"/><Relationship Id="rId70" Type="http://schemas.openxmlformats.org/officeDocument/2006/relationships/hyperlink" Target="https://www.deq.virginia.gov/our-programs/water/water-quality/assessments/wqa-guidance-manual" TargetMode="External"/><Relationship Id="rId91" Type="http://schemas.openxmlformats.org/officeDocument/2006/relationships/hyperlink" Target="https://pubs.usgs.gov/publication/sir20195093" TargetMode="External"/><Relationship Id="rId145" Type="http://schemas.openxmlformats.org/officeDocument/2006/relationships/image" Target="media/image19.png"/><Relationship Id="rId166" Type="http://schemas.openxmlformats.org/officeDocument/2006/relationships/image" Target="media/image40.png"/><Relationship Id="rId187" Type="http://schemas.openxmlformats.org/officeDocument/2006/relationships/image" Target="media/image61.png"/><Relationship Id="rId1" Type="http://schemas.openxmlformats.org/officeDocument/2006/relationships/customXml" Target="../customXml/item1.xml"/><Relationship Id="rId212" Type="http://schemas.openxmlformats.org/officeDocument/2006/relationships/image" Target="media/image83.jpeg"/><Relationship Id="rId233" Type="http://schemas.openxmlformats.org/officeDocument/2006/relationships/image" Target="cid:4ea1f71b-498d-4f3a-b20e-432c3657f939" TargetMode="External"/><Relationship Id="rId254" Type="http://schemas.openxmlformats.org/officeDocument/2006/relationships/hyperlink" Target="https://www.deq.virginia.gov/home/showpublisheddocument/4315/637461491365370000" TargetMode="External"/><Relationship Id="rId28" Type="http://schemas.openxmlformats.org/officeDocument/2006/relationships/hyperlink" Target="https://www.dcr.virginia.gov/soil-and-water/npsassmt" TargetMode="External"/><Relationship Id="rId49" Type="http://schemas.openxmlformats.org/officeDocument/2006/relationships/hyperlink" Target="https://www.deq.virginia.gov/our-programs/pollution-prevention" TargetMode="External"/><Relationship Id="rId114" Type="http://schemas.openxmlformats.org/officeDocument/2006/relationships/hyperlink" Target="https://law.lis.virginia.gov/admincode/title9/agency25/chapter260/section185/" TargetMode="External"/><Relationship Id="rId275" Type="http://schemas.openxmlformats.org/officeDocument/2006/relationships/hyperlink" Target="https://www.census.gov/library/visualizations/interactive/bps-new-privately-owned-housing-unit-authorizations.html" TargetMode="External"/><Relationship Id="rId60" Type="http://schemas.openxmlformats.org/officeDocument/2006/relationships/hyperlink" Target="https://www.deq.virginia.gov/our-programs/pollution-prevention/virginia-environmental-excellence-program" TargetMode="External"/><Relationship Id="rId81" Type="http://schemas.openxmlformats.org/officeDocument/2006/relationships/hyperlink" Target="https://www.midatlanticocean.org/" TargetMode="External"/><Relationship Id="rId135" Type="http://schemas.openxmlformats.org/officeDocument/2006/relationships/image" Target="media/image9.png"/><Relationship Id="rId156" Type="http://schemas.openxmlformats.org/officeDocument/2006/relationships/image" Target="media/image30.png"/><Relationship Id="rId177" Type="http://schemas.openxmlformats.org/officeDocument/2006/relationships/image" Target="media/image51.png"/><Relationship Id="rId198" Type="http://schemas.openxmlformats.org/officeDocument/2006/relationships/image" Target="media/image72.png"/><Relationship Id="rId202" Type="http://schemas.openxmlformats.org/officeDocument/2006/relationships/image" Target="media/image76.emf"/><Relationship Id="rId223" Type="http://schemas.openxmlformats.org/officeDocument/2006/relationships/image" Target="media/image93.jpeg"/><Relationship Id="rId244" Type="http://schemas.openxmlformats.org/officeDocument/2006/relationships/image" Target="media/image110.png"/><Relationship Id="rId18" Type="http://schemas.openxmlformats.org/officeDocument/2006/relationships/hyperlink" Target="https://www.chesapeakebay.net/issues" TargetMode="External"/><Relationship Id="rId39" Type="http://schemas.openxmlformats.org/officeDocument/2006/relationships/hyperlink" Target="https://www.deq.virginia.gov/our-programs/water/water-quality/monitoring/fish-tissue-monitoring" TargetMode="External"/><Relationship Id="rId265" Type="http://schemas.openxmlformats.org/officeDocument/2006/relationships/hyperlink" Target="https://doi.org/10.1007/s002440010075" TargetMode="External"/><Relationship Id="rId50" Type="http://schemas.openxmlformats.org/officeDocument/2006/relationships/hyperlink" Target="https://www.deq.virginia.gov/our-programs/pollution-prevention/case-studies" TargetMode="External"/><Relationship Id="rId104" Type="http://schemas.openxmlformats.org/officeDocument/2006/relationships/hyperlink" Target="https://www.vdh.virginia.gov/environmental-health/public-health-toxicology/fish-consumption-advisory/" TargetMode="External"/><Relationship Id="rId125" Type="http://schemas.openxmlformats.org/officeDocument/2006/relationships/footer" Target="footer2.xml"/><Relationship Id="rId146" Type="http://schemas.openxmlformats.org/officeDocument/2006/relationships/image" Target="media/image20.png"/><Relationship Id="rId167" Type="http://schemas.openxmlformats.org/officeDocument/2006/relationships/image" Target="media/image41.png"/><Relationship Id="rId188" Type="http://schemas.openxmlformats.org/officeDocument/2006/relationships/image" Target="media/image62.png"/><Relationship Id="rId71" Type="http://schemas.openxmlformats.org/officeDocument/2006/relationships/hyperlink" Target="https://www.deq.virginia.gov/our-programs/water/water-quality/monitoring/water-quality-monitoring-plan" TargetMode="External"/><Relationship Id="rId92" Type="http://schemas.openxmlformats.org/officeDocument/2006/relationships/hyperlink" Target="https://www.usgs.gov/centers/chesapeake-bay-activities/science/chesapeake-bay-water-quality-loads-and-trends/" TargetMode="External"/><Relationship Id="rId213" Type="http://schemas.openxmlformats.org/officeDocument/2006/relationships/image" Target="media/image84.jpeg"/><Relationship Id="rId234" Type="http://schemas.openxmlformats.org/officeDocument/2006/relationships/hyperlink" Target="https://www.deq.virginia.gov/our-programs/water/water-quality/implementation/no-discharge-zone-program" TargetMode="External"/><Relationship Id="rId2" Type="http://schemas.openxmlformats.org/officeDocument/2006/relationships/customXml" Target="../customXml/item2.xml"/><Relationship Id="rId29" Type="http://schemas.openxmlformats.org/officeDocument/2006/relationships/hyperlink" Target="https://consapps.dcr.virginia.gov/htdocs/progs/NPSass22/ldrnktype22.aspx" TargetMode="External"/><Relationship Id="rId255" Type="http://schemas.openxmlformats.org/officeDocument/2006/relationships/hyperlink" Target="https://www.deq.virginia.gov/home/showpublisheddocument/4319/637461491379900000" TargetMode="External"/><Relationship Id="rId276" Type="http://schemas.openxmlformats.org/officeDocument/2006/relationships/hyperlink" Target="http://www.cbf.org/resources/facts/tulloch_2.htm" TargetMode="External"/><Relationship Id="rId40" Type="http://schemas.openxmlformats.org/officeDocument/2006/relationships/hyperlink" Target="https://www.deq.virginia.gov/our-programs/water/water-quantity/groundwater-characterization-program" TargetMode="External"/><Relationship Id="rId115" Type="http://schemas.openxmlformats.org/officeDocument/2006/relationships/hyperlink" Target="https://law.lis.virginia.gov/admincode/title12/agency5/chapter135/" TargetMode="External"/><Relationship Id="rId136" Type="http://schemas.openxmlformats.org/officeDocument/2006/relationships/image" Target="media/image10.png"/><Relationship Id="rId157" Type="http://schemas.openxmlformats.org/officeDocument/2006/relationships/image" Target="media/image31.png"/><Relationship Id="rId178" Type="http://schemas.openxmlformats.org/officeDocument/2006/relationships/image" Target="media/image52.png"/><Relationship Id="rId61" Type="http://schemas.openxmlformats.org/officeDocument/2006/relationships/hyperlink" Target="https://www.deq.virginia.gov/our-programs/pollution-prevention/virginia-green" TargetMode="External"/><Relationship Id="rId82" Type="http://schemas.openxmlformats.org/officeDocument/2006/relationships/hyperlink" Target="https://www.usgs.gov/centers/eros/science/national-land-cover-database" TargetMode="External"/><Relationship Id="rId199" Type="http://schemas.openxmlformats.org/officeDocument/2006/relationships/image" Target="media/image73.png"/><Relationship Id="rId203" Type="http://schemas.openxmlformats.org/officeDocument/2006/relationships/footer" Target="footer5.xml"/><Relationship Id="rId19" Type="http://schemas.openxmlformats.org/officeDocument/2006/relationships/hyperlink" Target="https://www.chesapeakebay.net/what/data" TargetMode="External"/><Relationship Id="rId224" Type="http://schemas.openxmlformats.org/officeDocument/2006/relationships/image" Target="media/image94.jpeg"/><Relationship Id="rId245" Type="http://schemas.openxmlformats.org/officeDocument/2006/relationships/hyperlink" Target="http://www.deq.virginia.gov/Programs/CoastalZoneManagement/CZMIssuesInitiatives/OceanPlanning/VirginiaRoleonMidAtlanticCouncilontheOcean.aspx" TargetMode="External"/><Relationship Id="rId266" Type="http://schemas.openxmlformats.org/officeDocument/2006/relationships/hyperlink" Target="https://doi.org/10.1016/S1470-160X(01)00010-3" TargetMode="External"/><Relationship Id="rId30" Type="http://schemas.openxmlformats.org/officeDocument/2006/relationships/hyperlink" Target="https://www.deq.virginia.gov/our-programs/coastal-zone-management/about-czm" TargetMode="External"/><Relationship Id="rId105" Type="http://schemas.openxmlformats.org/officeDocument/2006/relationships/hyperlink" Target="https://www.vdh.virginia.gov/content/uploads/sites/178/2021/03/Guidance_for_Cyanobacteria_Recreational_Advisory_Mgt.pdf" TargetMode="External"/><Relationship Id="rId126" Type="http://schemas.openxmlformats.org/officeDocument/2006/relationships/image" Target="media/image7.png"/><Relationship Id="rId147" Type="http://schemas.openxmlformats.org/officeDocument/2006/relationships/image" Target="media/image21.png"/><Relationship Id="rId168" Type="http://schemas.openxmlformats.org/officeDocument/2006/relationships/image" Target="media/image42.png"/><Relationship Id="rId51" Type="http://schemas.openxmlformats.org/officeDocument/2006/relationships/hyperlink" Target="https://www.deq.virginia.gov/our-programs/water/water-quality/monitoring/probabilistic-monitoring" TargetMode="External"/><Relationship Id="rId72" Type="http://schemas.openxmlformats.org/officeDocument/2006/relationships/hyperlink" Target="https://www.deq.virginia.gov/our-programs/water/water-quality/standards" TargetMode="External"/><Relationship Id="rId93" Type="http://schemas.openxmlformats.org/officeDocument/2006/relationships/hyperlink" Target="https://pubs.usgs.gov/publication/sir20225049" TargetMode="External"/><Relationship Id="rId189" Type="http://schemas.openxmlformats.org/officeDocument/2006/relationships/image" Target="media/image63.png"/><Relationship Id="rId3" Type="http://schemas.openxmlformats.org/officeDocument/2006/relationships/customXml" Target="../customXml/item3.xml"/><Relationship Id="rId214" Type="http://schemas.openxmlformats.org/officeDocument/2006/relationships/chart" Target="charts/chart1.xml"/><Relationship Id="rId235" Type="http://schemas.openxmlformats.org/officeDocument/2006/relationships/hyperlink" Target="https://law.lis.virginia.gov/vacode/title62.1/chapter3.1/section62.1-44.33/" TargetMode="External"/><Relationship Id="rId256" Type="http://schemas.openxmlformats.org/officeDocument/2006/relationships/hyperlink" Target="https://repository.library.noaa.gov/view/noaa/8442" TargetMode="External"/><Relationship Id="rId277" Type="http://schemas.openxmlformats.org/officeDocument/2006/relationships/hyperlink" Target="http://www.vims.edu/ccrm/wetlands" TargetMode="External"/><Relationship Id="rId116" Type="http://schemas.openxmlformats.org/officeDocument/2006/relationships/hyperlink" Target="https://law.lis.virginia.gov/admincode/title9/agency25/chapter260/" TargetMode="External"/><Relationship Id="rId137" Type="http://schemas.openxmlformats.org/officeDocument/2006/relationships/image" Target="media/image11.png"/><Relationship Id="rId158" Type="http://schemas.openxmlformats.org/officeDocument/2006/relationships/image" Target="media/image32.png"/><Relationship Id="rId20" Type="http://schemas.openxmlformats.org/officeDocument/2006/relationships/hyperlink" Target="https://www.chesapeakebay.net/what/goals/toxic-contaminants" TargetMode="External"/><Relationship Id="rId41" Type="http://schemas.openxmlformats.org/officeDocument/2006/relationships/hyperlink" Target="https://www.deq.virginia.gov/topics-of-interest/harmful-algal-blooms" TargetMode="External"/><Relationship Id="rId62" Type="http://schemas.openxmlformats.org/officeDocument/2006/relationships/hyperlink" Target="https://www.deq.virginia.gov/our-programs/coastal-zone-management/coastal-conservation/native-plant-marketing" TargetMode="External"/><Relationship Id="rId83" Type="http://schemas.openxmlformats.org/officeDocument/2006/relationships/hyperlink" Target="https://www.mrlc.gov/data/legends/national-land-cover-database-class-legend-and-description" TargetMode="External"/><Relationship Id="rId179" Type="http://schemas.openxmlformats.org/officeDocument/2006/relationships/image" Target="media/image53.png"/><Relationship Id="rId190" Type="http://schemas.openxmlformats.org/officeDocument/2006/relationships/image" Target="media/image64.png"/><Relationship Id="rId204" Type="http://schemas.openxmlformats.org/officeDocument/2006/relationships/header" Target="header5.xml"/><Relationship Id="rId225" Type="http://schemas.openxmlformats.org/officeDocument/2006/relationships/image" Target="media/image95.jpeg"/><Relationship Id="rId246" Type="http://schemas.openxmlformats.org/officeDocument/2006/relationships/hyperlink" Target="http://www.deq.state.va.us/Programs/CoastalZoneManagement/DescriptionBoundary/VirginiaCoastalPolicyTeam.aspx" TargetMode="External"/><Relationship Id="rId267" Type="http://schemas.openxmlformats.org/officeDocument/2006/relationships/hyperlink" Target="https://doi.org/10.1016/j.ecolind.2017.08.067" TargetMode="External"/><Relationship Id="rId106" Type="http://schemas.openxmlformats.org/officeDocument/2006/relationships/hyperlink" Target="https://www.vdh.virginia.gov/waterborne-hazards-control/harmful-algal-blooms/virginia-hab-task-force/" TargetMode="External"/><Relationship Id="rId127" Type="http://schemas.openxmlformats.org/officeDocument/2006/relationships/image" Target="media/image8.png"/><Relationship Id="rId10" Type="http://schemas.openxmlformats.org/officeDocument/2006/relationships/endnotes" Target="endnotes.xml"/><Relationship Id="rId31" Type="http://schemas.openxmlformats.org/officeDocument/2006/relationships/hyperlink" Target="https://www.deq.virginia.gov/get-involved/about-us" TargetMode="External"/><Relationship Id="rId52" Type="http://schemas.openxmlformats.org/officeDocument/2006/relationships/hyperlink" Target="https://www.deq.virginia.gov/our-programs/coastal-zone-management/coastal-conservation/marine-debris" TargetMode="External"/><Relationship Id="rId73" Type="http://schemas.openxmlformats.org/officeDocument/2006/relationships/hyperlink" Target="https://dwr.virginia.gov/" TargetMode="External"/><Relationship Id="rId94" Type="http://schemas.openxmlformats.org/officeDocument/2006/relationships/hyperlink" Target="https://www.sciencebase.gov/catalog/item/6310a254d34e36012efa0e4f" TargetMode="External"/><Relationship Id="rId148" Type="http://schemas.openxmlformats.org/officeDocument/2006/relationships/image" Target="media/image22.png"/><Relationship Id="rId169" Type="http://schemas.openxmlformats.org/officeDocument/2006/relationships/image" Target="media/image43.png"/><Relationship Id="rId4" Type="http://schemas.openxmlformats.org/officeDocument/2006/relationships/customXml" Target="../customXml/item4.xml"/><Relationship Id="rId180" Type="http://schemas.openxmlformats.org/officeDocument/2006/relationships/image" Target="media/image54.png"/><Relationship Id="rId215" Type="http://schemas.openxmlformats.org/officeDocument/2006/relationships/image" Target="media/image85.jpeg"/><Relationship Id="rId236" Type="http://schemas.openxmlformats.org/officeDocument/2006/relationships/image" Target="media/image103.jpeg"/><Relationship Id="rId257" Type="http://schemas.openxmlformats.org/officeDocument/2006/relationships/hyperlink" Target="https://www.deq.virginia.gov/our-programs/water/water-quality/assessments/wqa-guidance-manual" TargetMode="External"/><Relationship Id="rId278" Type="http://schemas.openxmlformats.org/officeDocument/2006/relationships/fontTable" Target="fontTable.xml"/><Relationship Id="rId42" Type="http://schemas.openxmlformats.org/officeDocument/2006/relationships/hyperlink" Target="https://www.deq.virginia.gov/" TargetMode="External"/><Relationship Id="rId84" Type="http://schemas.openxmlformats.org/officeDocument/2006/relationships/hyperlink" Target="https://marinedebris.noaa.gov/regional-action-plan/mid-atlantic-marine-debris-action-plan" TargetMode="External"/><Relationship Id="rId138" Type="http://schemas.openxmlformats.org/officeDocument/2006/relationships/image" Target="media/image12.png"/><Relationship Id="rId191" Type="http://schemas.openxmlformats.org/officeDocument/2006/relationships/image" Target="media/image65.png"/><Relationship Id="rId205" Type="http://schemas.openxmlformats.org/officeDocument/2006/relationships/header" Target="header6.xml"/><Relationship Id="rId247" Type="http://schemas.openxmlformats.org/officeDocument/2006/relationships/image" Target="media/image111.jpeg"/><Relationship Id="rId107" Type="http://schemas.openxmlformats.org/officeDocument/2006/relationships/hyperlink" Target="https://www.vdh.virginia.gov/waterborne-hazards-control/harmful-algal-bloom-online-report-form/" TargetMode="External"/><Relationship Id="rId11" Type="http://schemas.openxmlformats.org/officeDocument/2006/relationships/image" Target="media/image1.png"/><Relationship Id="rId53" Type="http://schemas.openxmlformats.org/officeDocument/2006/relationships/hyperlink" Target="https://www.deq.virginia.gov/our-programs/water/water-quality/monitoring/biological-monitoring" TargetMode="External"/><Relationship Id="rId149" Type="http://schemas.openxmlformats.org/officeDocument/2006/relationships/image" Target="media/image23.png"/><Relationship Id="rId95" Type="http://schemas.openxmlformats.org/officeDocument/2006/relationships/hyperlink" Target="https://www.sciencebase.gov/catalog/item/61e821f0d34e3618e01e481a" TargetMode="External"/><Relationship Id="rId160" Type="http://schemas.openxmlformats.org/officeDocument/2006/relationships/image" Target="media/image34.png"/><Relationship Id="rId216" Type="http://schemas.openxmlformats.org/officeDocument/2006/relationships/image" Target="media/image86.jpeg"/></Relationships>
</file>

<file path=word/_rels/footnotes.xml.rels><?xml version="1.0" encoding="UTF-8" standalone="yes"?>
<Relationships xmlns="http://schemas.openxmlformats.org/package/2006/relationships"><Relationship Id="rId1" Type="http://schemas.openxmlformats.org/officeDocument/2006/relationships/hyperlink" Target="https://www.deq.virginia.gov/our-programs/water/water-quality/monitoring/probabilistic-monitoring"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https://covgov-my.sharepoint.com/personal/amanda_shaver_deq_virginia_gov/Documents/abshaver/IR/2024%20IR/Bay%20Assessment/Chapter/Bay_assessment_category2024I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[Bay_assessment_category2024IR.xlsx]everything!$C$1</c:f>
              <c:strCache>
                <c:ptCount val="1"/>
                <c:pt idx="0">
                  <c:v>Not Supporting (Category 4A)</c:v>
                </c:pt>
              </c:strCache>
            </c:strRef>
          </c:tx>
          <c:spPr>
            <a:solidFill>
              <a:srgbClr val="8E4A80"/>
            </a:solidFill>
          </c:spPr>
          <c:invertIfNegative val="0"/>
          <c:cat>
            <c:multiLvlStrRef>
              <c:f>[Bay_assessment_category2024IR.xlsx]everything!$A$2:$B$5</c:f>
              <c:multiLvlStrCache>
                <c:ptCount val="4"/>
                <c:lvl>
                  <c:pt idx="0">
                    <c:v>Open Water</c:v>
                  </c:pt>
                  <c:pt idx="1">
                    <c:v>Deep Water</c:v>
                  </c:pt>
                  <c:pt idx="2">
                    <c:v>Deep Channel</c:v>
                  </c:pt>
                  <c:pt idx="3">
                    <c:v>Shallow Water**</c:v>
                  </c:pt>
                </c:lvl>
                <c:lvl>
                  <c:pt idx="0">
                    <c:v>2173 sq-mi</c:v>
                  </c:pt>
                  <c:pt idx="1">
                    <c:v>473 sq-mi</c:v>
                  </c:pt>
                  <c:pt idx="2">
                    <c:v>162 sq-mi</c:v>
                  </c:pt>
                  <c:pt idx="3">
                    <c:v>128 sq-mi</c:v>
                  </c:pt>
                </c:lvl>
              </c:multiLvlStrCache>
            </c:multiLvlStrRef>
          </c:cat>
          <c:val>
            <c:numRef>
              <c:f>[Bay_assessment_category2024IR.xlsx]everything!$C$2:$C$5</c:f>
              <c:numCache>
                <c:formatCode>General</c:formatCode>
                <c:ptCount val="4"/>
                <c:pt idx="0">
                  <c:v>12</c:v>
                </c:pt>
                <c:pt idx="1">
                  <c:v>33</c:v>
                </c:pt>
                <c:pt idx="3">
                  <c:v>93.885900000000007</c:v>
                </c:pt>
              </c:numCache>
            </c:numRef>
          </c:val>
          <c:extLst>
            <c:ext xmlns:c16="http://schemas.microsoft.com/office/drawing/2014/chart" uri="{C3380CC4-5D6E-409C-BE32-E72D297353CC}">
              <c16:uniqueId val="{00000000-4FBC-4C32-8672-19BB12BD4274}"/>
            </c:ext>
          </c:extLst>
        </c:ser>
        <c:ser>
          <c:idx val="1"/>
          <c:order val="1"/>
          <c:tx>
            <c:strRef>
              <c:f>[Bay_assessment_category2024IR.xlsx]everything!$D$1</c:f>
              <c:strCache>
                <c:ptCount val="1"/>
                <c:pt idx="0">
                  <c:v>Not Supporting (Category 4D)*</c:v>
                </c:pt>
              </c:strCache>
            </c:strRef>
          </c:tx>
          <c:spPr>
            <a:solidFill>
              <a:srgbClr val="C9E6F9"/>
            </a:solidFill>
          </c:spPr>
          <c:invertIfNegative val="0"/>
          <c:cat>
            <c:multiLvlStrRef>
              <c:f>[Bay_assessment_category2024IR.xlsx]everything!$A$2:$B$5</c:f>
              <c:multiLvlStrCache>
                <c:ptCount val="4"/>
                <c:lvl>
                  <c:pt idx="0">
                    <c:v>Open Water</c:v>
                  </c:pt>
                  <c:pt idx="1">
                    <c:v>Deep Water</c:v>
                  </c:pt>
                  <c:pt idx="2">
                    <c:v>Deep Channel</c:v>
                  </c:pt>
                  <c:pt idx="3">
                    <c:v>Shallow Water**</c:v>
                  </c:pt>
                </c:lvl>
                <c:lvl>
                  <c:pt idx="0">
                    <c:v>2173 sq-mi</c:v>
                  </c:pt>
                  <c:pt idx="1">
                    <c:v>473 sq-mi</c:v>
                  </c:pt>
                  <c:pt idx="2">
                    <c:v>162 sq-mi</c:v>
                  </c:pt>
                  <c:pt idx="3">
                    <c:v>128 sq-mi</c:v>
                  </c:pt>
                </c:lvl>
              </c:multiLvlStrCache>
            </c:multiLvlStrRef>
          </c:cat>
          <c:val>
            <c:numRef>
              <c:f>[Bay_assessment_category2024IR.xlsx]everything!$D$2:$D$5</c:f>
              <c:numCache>
                <c:formatCode>General</c:formatCode>
                <c:ptCount val="4"/>
                <c:pt idx="0">
                  <c:v>52</c:v>
                </c:pt>
                <c:pt idx="1">
                  <c:v>454</c:v>
                </c:pt>
                <c:pt idx="2">
                  <c:v>148</c:v>
                </c:pt>
              </c:numCache>
            </c:numRef>
          </c:val>
          <c:extLst>
            <c:ext xmlns:c16="http://schemas.microsoft.com/office/drawing/2014/chart" uri="{C3380CC4-5D6E-409C-BE32-E72D297353CC}">
              <c16:uniqueId val="{00000001-4FBC-4C32-8672-19BB12BD4274}"/>
            </c:ext>
          </c:extLst>
        </c:ser>
        <c:ser>
          <c:idx val="2"/>
          <c:order val="2"/>
          <c:tx>
            <c:strRef>
              <c:f>[Bay_assessment_category2024IR.xlsx]everything!$E$1</c:f>
              <c:strCache>
                <c:ptCount val="1"/>
                <c:pt idx="0">
                  <c:v>Fully Supporting (Category 2)</c:v>
                </c:pt>
              </c:strCache>
            </c:strRef>
          </c:tx>
          <c:spPr>
            <a:solidFill>
              <a:srgbClr val="006F55"/>
            </a:solidFill>
          </c:spPr>
          <c:invertIfNegative val="0"/>
          <c:cat>
            <c:multiLvlStrRef>
              <c:f>[Bay_assessment_category2024IR.xlsx]everything!$A$2:$B$5</c:f>
              <c:multiLvlStrCache>
                <c:ptCount val="4"/>
                <c:lvl>
                  <c:pt idx="0">
                    <c:v>Open Water</c:v>
                  </c:pt>
                  <c:pt idx="1">
                    <c:v>Deep Water</c:v>
                  </c:pt>
                  <c:pt idx="2">
                    <c:v>Deep Channel</c:v>
                  </c:pt>
                  <c:pt idx="3">
                    <c:v>Shallow Water**</c:v>
                  </c:pt>
                </c:lvl>
                <c:lvl>
                  <c:pt idx="0">
                    <c:v>2173 sq-mi</c:v>
                  </c:pt>
                  <c:pt idx="1">
                    <c:v>473 sq-mi</c:v>
                  </c:pt>
                  <c:pt idx="2">
                    <c:v>162 sq-mi</c:v>
                  </c:pt>
                  <c:pt idx="3">
                    <c:v>128 sq-mi</c:v>
                  </c:pt>
                </c:lvl>
              </c:multiLvlStrCache>
            </c:multiLvlStrRef>
          </c:cat>
          <c:val>
            <c:numRef>
              <c:f>[Bay_assessment_category2024IR.xlsx]everything!$E$2:$E$5</c:f>
              <c:numCache>
                <c:formatCode>General</c:formatCode>
                <c:ptCount val="4"/>
                <c:pt idx="0">
                  <c:v>36</c:v>
                </c:pt>
                <c:pt idx="1">
                  <c:v>123</c:v>
                </c:pt>
                <c:pt idx="2">
                  <c:v>78</c:v>
                </c:pt>
                <c:pt idx="3">
                  <c:v>6.1140999999999996</c:v>
                </c:pt>
              </c:numCache>
            </c:numRef>
          </c:val>
          <c:extLst>
            <c:ext xmlns:c16="http://schemas.microsoft.com/office/drawing/2014/chart" uri="{C3380CC4-5D6E-409C-BE32-E72D297353CC}">
              <c16:uniqueId val="{00000002-4FBC-4C32-8672-19BB12BD4274}"/>
            </c:ext>
          </c:extLst>
        </c:ser>
        <c:dLbls>
          <c:showLegendKey val="0"/>
          <c:showVal val="0"/>
          <c:showCatName val="0"/>
          <c:showSerName val="0"/>
          <c:showPercent val="0"/>
          <c:showBubbleSize val="0"/>
        </c:dLbls>
        <c:gapWidth val="150"/>
        <c:overlap val="100"/>
        <c:axId val="494294528"/>
        <c:axId val="494296064"/>
      </c:barChart>
      <c:catAx>
        <c:axId val="494294528"/>
        <c:scaling>
          <c:orientation val="minMax"/>
        </c:scaling>
        <c:delete val="0"/>
        <c:axPos val="b"/>
        <c:numFmt formatCode="General" sourceLinked="0"/>
        <c:majorTickMark val="out"/>
        <c:minorTickMark val="none"/>
        <c:tickLblPos val="nextTo"/>
        <c:txPr>
          <a:bodyPr/>
          <a:lstStyle/>
          <a:p>
            <a:pPr>
              <a:defRPr sz="1600"/>
            </a:pPr>
            <a:endParaRPr lang="en-US"/>
          </a:p>
        </c:txPr>
        <c:crossAx val="494296064"/>
        <c:crosses val="autoZero"/>
        <c:auto val="1"/>
        <c:lblAlgn val="ctr"/>
        <c:lblOffset val="100"/>
        <c:noMultiLvlLbl val="0"/>
      </c:catAx>
      <c:valAx>
        <c:axId val="494296064"/>
        <c:scaling>
          <c:orientation val="minMax"/>
        </c:scaling>
        <c:delete val="0"/>
        <c:axPos val="l"/>
        <c:majorGridlines/>
        <c:title>
          <c:tx>
            <c:rich>
              <a:bodyPr rot="-5400000" vert="horz"/>
              <a:lstStyle/>
              <a:p>
                <a:pPr>
                  <a:defRPr sz="1600"/>
                </a:pPr>
                <a:r>
                  <a:rPr lang="en-US" sz="1600"/>
                  <a:t>% Bay Mainstem</a:t>
                </a:r>
                <a:r>
                  <a:rPr lang="en-US" sz="1600" baseline="0"/>
                  <a:t> and tributaries, by area</a:t>
                </a:r>
                <a:endParaRPr lang="en-US" sz="1600"/>
              </a:p>
            </c:rich>
          </c:tx>
          <c:layout>
            <c:manualLayout>
              <c:xMode val="edge"/>
              <c:yMode val="edge"/>
              <c:x val="8.1911262798634813E-3"/>
              <c:y val="0.19497280072366932"/>
            </c:manualLayout>
          </c:layout>
          <c:overlay val="0"/>
        </c:title>
        <c:numFmt formatCode="0%" sourceLinked="1"/>
        <c:majorTickMark val="out"/>
        <c:minorTickMark val="none"/>
        <c:tickLblPos val="nextTo"/>
        <c:txPr>
          <a:bodyPr/>
          <a:lstStyle/>
          <a:p>
            <a:pPr>
              <a:defRPr sz="1200"/>
            </a:pPr>
            <a:endParaRPr lang="en-US"/>
          </a:p>
        </c:txPr>
        <c:crossAx val="494294528"/>
        <c:crosses val="autoZero"/>
        <c:crossBetween val="between"/>
      </c:valAx>
    </c:plotArea>
    <c:legend>
      <c:legendPos val="r"/>
      <c:overlay val="0"/>
      <c:txPr>
        <a:bodyPr/>
        <a:lstStyle/>
        <a:p>
          <a:pPr>
            <a:defRPr sz="16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f8457998-39e2-4bc1-be68-7fc758322aa6">
      <UserInfo>
        <DisplayName>Calos, Irina (DEQ)</DisplayName>
        <AccountId>654</AccountId>
        <AccountType/>
      </UserInfo>
    </SharedWithUsers>
    <lcf76f155ced4ddcb4097134ff3c332f xmlns="1bce6e7f-abb7-4df0-9abf-c336bb9bd505">
      <Terms xmlns="http://schemas.microsoft.com/office/infopath/2007/PartnerControls"/>
    </lcf76f155ced4ddcb4097134ff3c332f>
    <TaxCatchAll xmlns="f8457998-39e2-4bc1-be68-7fc758322aa6"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5C6B48200773C438762662A64F44904" ma:contentTypeVersion="15" ma:contentTypeDescription="Create a new document." ma:contentTypeScope="" ma:versionID="dbe8e5654ff220439e97a4a04e6b82fd">
  <xsd:schema xmlns:xsd="http://www.w3.org/2001/XMLSchema" xmlns:xs="http://www.w3.org/2001/XMLSchema" xmlns:p="http://schemas.microsoft.com/office/2006/metadata/properties" xmlns:ns2="1bce6e7f-abb7-4df0-9abf-c336bb9bd505" xmlns:ns3="f8457998-39e2-4bc1-be68-7fc758322aa6" targetNamespace="http://schemas.microsoft.com/office/2006/metadata/properties" ma:root="true" ma:fieldsID="2955d8600ba406a9280c675613dc5193" ns2:_="" ns3:_="">
    <xsd:import namespace="1bce6e7f-abb7-4df0-9abf-c336bb9bd505"/>
    <xsd:import namespace="f8457998-39e2-4bc1-be68-7fc758322aa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GenerationTime" minOccurs="0"/>
                <xsd:element ref="ns2:MediaServiceEventHashCode" minOccurs="0"/>
                <xsd:element ref="ns2:MediaLengthInSeconds" minOccurs="0"/>
                <xsd:element ref="ns2:MediaServiceDateTaken" minOccurs="0"/>
                <xsd:element ref="ns3:SharedWithUsers" minOccurs="0"/>
                <xsd:element ref="ns3:SharedWithDetails" minOccurs="0"/>
                <xsd:element ref="ns2:lcf76f155ced4ddcb4097134ff3c332f" minOccurs="0"/>
                <xsd:element ref="ns3:TaxCatchAll"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ce6e7f-abb7-4df0-9abf-c336bb9bd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0920e099-540f-4e49-b54d-0e500676ccfd"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8457998-39e2-4bc1-be68-7fc758322aa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7d5c4d05-836a-4199-a9aa-c052a3c6b37b}" ma:internalName="TaxCatchAll" ma:showField="CatchAllData" ma:web="f8457998-39e2-4bc1-be68-7fc758322aa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5FD9777-F2B8-48B5-A10E-09F58AF12B86}">
  <ds:schemaRefs>
    <ds:schemaRef ds:uri="http://schemas.microsoft.com/office/2006/metadata/properties"/>
    <ds:schemaRef ds:uri="http://schemas.microsoft.com/office/infopath/2007/PartnerControls"/>
    <ds:schemaRef ds:uri="f8457998-39e2-4bc1-be68-7fc758322aa6"/>
    <ds:schemaRef ds:uri="1bce6e7f-abb7-4df0-9abf-c336bb9bd505"/>
  </ds:schemaRefs>
</ds:datastoreItem>
</file>

<file path=customXml/itemProps2.xml><?xml version="1.0" encoding="utf-8"?>
<ds:datastoreItem xmlns:ds="http://schemas.openxmlformats.org/officeDocument/2006/customXml" ds:itemID="{10C4BD26-6512-478C-9080-EAC94F76445B}">
  <ds:schemaRefs>
    <ds:schemaRef ds:uri="http://schemas.openxmlformats.org/officeDocument/2006/bibliography"/>
  </ds:schemaRefs>
</ds:datastoreItem>
</file>

<file path=customXml/itemProps3.xml><?xml version="1.0" encoding="utf-8"?>
<ds:datastoreItem xmlns:ds="http://schemas.openxmlformats.org/officeDocument/2006/customXml" ds:itemID="{CCD5022A-DEA0-465E-BEDE-34AAC5A6942D}">
  <ds:schemaRefs>
    <ds:schemaRef ds:uri="http://schemas.microsoft.com/sharepoint/v3/contenttype/forms"/>
  </ds:schemaRefs>
</ds:datastoreItem>
</file>

<file path=customXml/itemProps4.xml><?xml version="1.0" encoding="utf-8"?>
<ds:datastoreItem xmlns:ds="http://schemas.openxmlformats.org/officeDocument/2006/customXml" ds:itemID="{00B2ABBE-B9A7-41EB-ABFF-1F67CFFF1D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ce6e7f-abb7-4df0-9abf-c336bb9bd505"/>
    <ds:schemaRef ds:uri="f8457998-39e2-4bc1-be68-7fc758322a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280</TotalTime>
  <Pages>1</Pages>
  <Words>101028</Words>
  <Characters>575860</Characters>
  <Application>Microsoft Office Word</Application>
  <DocSecurity>0</DocSecurity>
  <Lines>4798</Lines>
  <Paragraphs>1351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675537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Baker, Cleo (DEQ)</cp:lastModifiedBy>
  <cp:revision>521</cp:revision>
  <cp:lastPrinted>2023-12-08T12:11:00Z</cp:lastPrinted>
  <dcterms:created xsi:type="dcterms:W3CDTF">2024-05-28T17:14:00Z</dcterms:created>
  <dcterms:modified xsi:type="dcterms:W3CDTF">2025-07-31T11:47:00Z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0x01010005C6B48200773C438762662A64F44904</vt:lpwstr>
  </property>
</Properties>
</file>