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266433656"/>
        <w:docPartObj>
          <w:docPartGallery w:val="Table of Contents"/>
          <w:docPartUnique/>
        </w:docPartObj>
      </w:sdtPr>
      <w:sdtEndPr>
        <w:rPr>
          <w:b/>
          <w:bCs/>
          <w:noProof/>
        </w:rPr>
      </w:sdtEndPr>
      <w:sdtContent>
        <w:p w14:paraId="5C196E1C" w14:textId="77777777" w:rsidR="004B1B22" w:rsidRDefault="004B1B22">
          <w:pPr>
            <w:pStyle w:val="TOCHeading"/>
          </w:pPr>
          <w:r>
            <w:t>Contents</w:t>
          </w:r>
        </w:p>
        <w:p w14:paraId="48EAF5E2" w14:textId="61946FEB" w:rsidR="00CD3302" w:rsidRDefault="004B1B22">
          <w:pPr>
            <w:pStyle w:val="TOC1"/>
            <w:tabs>
              <w:tab w:val="right" w:leader="dot" w:pos="9350"/>
            </w:tabs>
            <w:rPr>
              <w:rFonts w:eastAsiaTheme="minorEastAsia"/>
              <w:noProof/>
              <w:kern w:val="2"/>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55874695" w:history="1">
            <w:r w:rsidR="00CD3302" w:rsidRPr="007F6BA0">
              <w:rPr>
                <w:rStyle w:val="Hyperlink"/>
                <w:noProof/>
              </w:rPr>
              <w:t>CHAPTER 7: CHANGES TO GENERAL PERMITS</w:t>
            </w:r>
            <w:r w:rsidR="00CD3302">
              <w:rPr>
                <w:noProof/>
                <w:webHidden/>
              </w:rPr>
              <w:tab/>
            </w:r>
            <w:r w:rsidR="00CD3302">
              <w:rPr>
                <w:noProof/>
                <w:webHidden/>
              </w:rPr>
              <w:fldChar w:fldCharType="begin"/>
            </w:r>
            <w:r w:rsidR="00CD3302">
              <w:rPr>
                <w:noProof/>
                <w:webHidden/>
              </w:rPr>
              <w:instrText xml:space="preserve"> PAGEREF _Toc155874695 \h </w:instrText>
            </w:r>
            <w:r w:rsidR="00CD3302">
              <w:rPr>
                <w:noProof/>
                <w:webHidden/>
              </w:rPr>
            </w:r>
            <w:r w:rsidR="00CD3302">
              <w:rPr>
                <w:noProof/>
                <w:webHidden/>
              </w:rPr>
              <w:fldChar w:fldCharType="separate"/>
            </w:r>
            <w:r w:rsidR="00CD3302">
              <w:rPr>
                <w:noProof/>
                <w:webHidden/>
              </w:rPr>
              <w:t>1</w:t>
            </w:r>
            <w:r w:rsidR="00CD3302">
              <w:rPr>
                <w:noProof/>
                <w:webHidden/>
              </w:rPr>
              <w:fldChar w:fldCharType="end"/>
            </w:r>
          </w:hyperlink>
        </w:p>
        <w:p w14:paraId="78E7ABC0" w14:textId="2ADE4FEC" w:rsidR="00CD3302" w:rsidRDefault="00CD3302">
          <w:pPr>
            <w:pStyle w:val="TOC2"/>
            <w:tabs>
              <w:tab w:val="right" w:leader="dot" w:pos="9350"/>
            </w:tabs>
            <w:rPr>
              <w:rFonts w:eastAsiaTheme="minorEastAsia"/>
              <w:noProof/>
              <w:kern w:val="2"/>
              <w14:ligatures w14:val="standardContextual"/>
            </w:rPr>
          </w:pPr>
          <w:hyperlink w:anchor="_Toc155874696" w:history="1">
            <w:r w:rsidRPr="007F6BA0">
              <w:rPr>
                <w:rStyle w:val="Hyperlink"/>
                <w:noProof/>
              </w:rPr>
              <w:t>7.1 Notice of Planned Change (NOPC)</w:t>
            </w:r>
            <w:r>
              <w:rPr>
                <w:noProof/>
                <w:webHidden/>
              </w:rPr>
              <w:tab/>
            </w:r>
            <w:r>
              <w:rPr>
                <w:noProof/>
                <w:webHidden/>
              </w:rPr>
              <w:fldChar w:fldCharType="begin"/>
            </w:r>
            <w:r>
              <w:rPr>
                <w:noProof/>
                <w:webHidden/>
              </w:rPr>
              <w:instrText xml:space="preserve"> PAGEREF _Toc155874696 \h </w:instrText>
            </w:r>
            <w:r>
              <w:rPr>
                <w:noProof/>
                <w:webHidden/>
              </w:rPr>
            </w:r>
            <w:r>
              <w:rPr>
                <w:noProof/>
                <w:webHidden/>
              </w:rPr>
              <w:fldChar w:fldCharType="separate"/>
            </w:r>
            <w:r>
              <w:rPr>
                <w:noProof/>
                <w:webHidden/>
              </w:rPr>
              <w:t>1</w:t>
            </w:r>
            <w:r>
              <w:rPr>
                <w:noProof/>
                <w:webHidden/>
              </w:rPr>
              <w:fldChar w:fldCharType="end"/>
            </w:r>
          </w:hyperlink>
        </w:p>
        <w:p w14:paraId="6AB4DDFB" w14:textId="1996A571" w:rsidR="00CD3302" w:rsidRDefault="00CD3302">
          <w:pPr>
            <w:pStyle w:val="TOC3"/>
            <w:tabs>
              <w:tab w:val="right" w:leader="dot" w:pos="9350"/>
            </w:tabs>
            <w:rPr>
              <w:rFonts w:eastAsiaTheme="minorEastAsia"/>
              <w:noProof/>
              <w:kern w:val="2"/>
              <w14:ligatures w14:val="standardContextual"/>
            </w:rPr>
          </w:pPr>
          <w:hyperlink w:anchor="_Toc155874697" w:history="1">
            <w:r w:rsidRPr="007F6BA0">
              <w:rPr>
                <w:rStyle w:val="Hyperlink"/>
                <w:noProof/>
              </w:rPr>
              <w:t>7.1.1 Allowable Changes Under a NOPC</w:t>
            </w:r>
            <w:r>
              <w:rPr>
                <w:noProof/>
                <w:webHidden/>
              </w:rPr>
              <w:tab/>
            </w:r>
            <w:r>
              <w:rPr>
                <w:noProof/>
                <w:webHidden/>
              </w:rPr>
              <w:fldChar w:fldCharType="begin"/>
            </w:r>
            <w:r>
              <w:rPr>
                <w:noProof/>
                <w:webHidden/>
              </w:rPr>
              <w:instrText xml:space="preserve"> PAGEREF _Toc155874697 \h </w:instrText>
            </w:r>
            <w:r>
              <w:rPr>
                <w:noProof/>
                <w:webHidden/>
              </w:rPr>
            </w:r>
            <w:r>
              <w:rPr>
                <w:noProof/>
                <w:webHidden/>
              </w:rPr>
              <w:fldChar w:fldCharType="separate"/>
            </w:r>
            <w:r>
              <w:rPr>
                <w:noProof/>
                <w:webHidden/>
              </w:rPr>
              <w:t>1</w:t>
            </w:r>
            <w:r>
              <w:rPr>
                <w:noProof/>
                <w:webHidden/>
              </w:rPr>
              <w:fldChar w:fldCharType="end"/>
            </w:r>
          </w:hyperlink>
        </w:p>
        <w:p w14:paraId="37B4E27E" w14:textId="402E3C9A" w:rsidR="00CD3302" w:rsidRDefault="00CD3302">
          <w:pPr>
            <w:pStyle w:val="TOC3"/>
            <w:tabs>
              <w:tab w:val="right" w:leader="dot" w:pos="9350"/>
            </w:tabs>
            <w:rPr>
              <w:rFonts w:eastAsiaTheme="minorEastAsia"/>
              <w:noProof/>
              <w:kern w:val="2"/>
              <w14:ligatures w14:val="standardContextual"/>
            </w:rPr>
          </w:pPr>
          <w:hyperlink w:anchor="_Toc155874698" w:history="1">
            <w:r w:rsidRPr="007F6BA0">
              <w:rPr>
                <w:rStyle w:val="Hyperlink"/>
                <w:noProof/>
              </w:rPr>
              <w:t>7.1.2 Processing a NOPC</w:t>
            </w:r>
            <w:r>
              <w:rPr>
                <w:noProof/>
                <w:webHidden/>
              </w:rPr>
              <w:tab/>
            </w:r>
            <w:r>
              <w:rPr>
                <w:noProof/>
                <w:webHidden/>
              </w:rPr>
              <w:fldChar w:fldCharType="begin"/>
            </w:r>
            <w:r>
              <w:rPr>
                <w:noProof/>
                <w:webHidden/>
              </w:rPr>
              <w:instrText xml:space="preserve"> PAGEREF _Toc155874698 \h </w:instrText>
            </w:r>
            <w:r>
              <w:rPr>
                <w:noProof/>
                <w:webHidden/>
              </w:rPr>
            </w:r>
            <w:r>
              <w:rPr>
                <w:noProof/>
                <w:webHidden/>
              </w:rPr>
              <w:fldChar w:fldCharType="separate"/>
            </w:r>
            <w:r>
              <w:rPr>
                <w:noProof/>
                <w:webHidden/>
              </w:rPr>
              <w:t>3</w:t>
            </w:r>
            <w:r>
              <w:rPr>
                <w:noProof/>
                <w:webHidden/>
              </w:rPr>
              <w:fldChar w:fldCharType="end"/>
            </w:r>
          </w:hyperlink>
        </w:p>
        <w:p w14:paraId="3161BC5D" w14:textId="6D216A4F" w:rsidR="00CD3302" w:rsidRDefault="00CD3302">
          <w:pPr>
            <w:pStyle w:val="TOC3"/>
            <w:tabs>
              <w:tab w:val="right" w:leader="dot" w:pos="9350"/>
            </w:tabs>
            <w:rPr>
              <w:rFonts w:eastAsiaTheme="minorEastAsia"/>
              <w:noProof/>
              <w:kern w:val="2"/>
              <w14:ligatures w14:val="standardContextual"/>
            </w:rPr>
          </w:pPr>
          <w:hyperlink w:anchor="_Toc155874699" w:history="1">
            <w:r w:rsidRPr="007F6BA0">
              <w:rPr>
                <w:rStyle w:val="Hyperlink"/>
                <w:noProof/>
              </w:rPr>
              <w:t>7.1.3 Denying a NOPC</w:t>
            </w:r>
            <w:r>
              <w:rPr>
                <w:noProof/>
                <w:webHidden/>
              </w:rPr>
              <w:tab/>
            </w:r>
            <w:r>
              <w:rPr>
                <w:noProof/>
                <w:webHidden/>
              </w:rPr>
              <w:fldChar w:fldCharType="begin"/>
            </w:r>
            <w:r>
              <w:rPr>
                <w:noProof/>
                <w:webHidden/>
              </w:rPr>
              <w:instrText xml:space="preserve"> PAGEREF _Toc155874699 \h </w:instrText>
            </w:r>
            <w:r>
              <w:rPr>
                <w:noProof/>
                <w:webHidden/>
              </w:rPr>
            </w:r>
            <w:r>
              <w:rPr>
                <w:noProof/>
                <w:webHidden/>
              </w:rPr>
              <w:fldChar w:fldCharType="separate"/>
            </w:r>
            <w:r>
              <w:rPr>
                <w:noProof/>
                <w:webHidden/>
              </w:rPr>
              <w:t>4</w:t>
            </w:r>
            <w:r>
              <w:rPr>
                <w:noProof/>
                <w:webHidden/>
              </w:rPr>
              <w:fldChar w:fldCharType="end"/>
            </w:r>
          </w:hyperlink>
        </w:p>
        <w:p w14:paraId="0D84054B" w14:textId="25F99052" w:rsidR="00CD3302" w:rsidRDefault="00CD3302">
          <w:pPr>
            <w:pStyle w:val="TOC2"/>
            <w:tabs>
              <w:tab w:val="right" w:leader="dot" w:pos="9350"/>
            </w:tabs>
            <w:rPr>
              <w:rFonts w:eastAsiaTheme="minorEastAsia"/>
              <w:noProof/>
              <w:kern w:val="2"/>
              <w14:ligatures w14:val="standardContextual"/>
            </w:rPr>
          </w:pPr>
          <w:hyperlink w:anchor="_Toc155874700" w:history="1">
            <w:r w:rsidRPr="007F6BA0">
              <w:rPr>
                <w:rStyle w:val="Hyperlink"/>
                <w:noProof/>
              </w:rPr>
              <w:t>7.2 Transfer of Permit Coverage</w:t>
            </w:r>
            <w:r>
              <w:rPr>
                <w:noProof/>
                <w:webHidden/>
              </w:rPr>
              <w:tab/>
            </w:r>
            <w:r>
              <w:rPr>
                <w:noProof/>
                <w:webHidden/>
              </w:rPr>
              <w:fldChar w:fldCharType="begin"/>
            </w:r>
            <w:r>
              <w:rPr>
                <w:noProof/>
                <w:webHidden/>
              </w:rPr>
              <w:instrText xml:space="preserve"> PAGEREF _Toc155874700 \h </w:instrText>
            </w:r>
            <w:r>
              <w:rPr>
                <w:noProof/>
                <w:webHidden/>
              </w:rPr>
            </w:r>
            <w:r>
              <w:rPr>
                <w:noProof/>
                <w:webHidden/>
              </w:rPr>
              <w:fldChar w:fldCharType="separate"/>
            </w:r>
            <w:r>
              <w:rPr>
                <w:noProof/>
                <w:webHidden/>
              </w:rPr>
              <w:t>4</w:t>
            </w:r>
            <w:r>
              <w:rPr>
                <w:noProof/>
                <w:webHidden/>
              </w:rPr>
              <w:fldChar w:fldCharType="end"/>
            </w:r>
          </w:hyperlink>
        </w:p>
        <w:p w14:paraId="1CCBC8FE" w14:textId="506A35A0" w:rsidR="00CD3302" w:rsidRDefault="00CD3302">
          <w:pPr>
            <w:pStyle w:val="TOC2"/>
            <w:tabs>
              <w:tab w:val="right" w:leader="dot" w:pos="9350"/>
            </w:tabs>
            <w:rPr>
              <w:rFonts w:eastAsiaTheme="minorEastAsia"/>
              <w:noProof/>
              <w:kern w:val="2"/>
              <w14:ligatures w14:val="standardContextual"/>
            </w:rPr>
          </w:pPr>
          <w:hyperlink w:anchor="_Toc155874701" w:history="1">
            <w:r w:rsidRPr="007F6BA0">
              <w:rPr>
                <w:rStyle w:val="Hyperlink"/>
                <w:noProof/>
              </w:rPr>
              <w:t>7.3 Changes that Exceed General Permit Limits</w:t>
            </w:r>
            <w:r>
              <w:rPr>
                <w:noProof/>
                <w:webHidden/>
              </w:rPr>
              <w:tab/>
            </w:r>
            <w:r>
              <w:rPr>
                <w:noProof/>
                <w:webHidden/>
              </w:rPr>
              <w:fldChar w:fldCharType="begin"/>
            </w:r>
            <w:r>
              <w:rPr>
                <w:noProof/>
                <w:webHidden/>
              </w:rPr>
              <w:instrText xml:space="preserve"> PAGEREF _Toc155874701 \h </w:instrText>
            </w:r>
            <w:r>
              <w:rPr>
                <w:noProof/>
                <w:webHidden/>
              </w:rPr>
            </w:r>
            <w:r>
              <w:rPr>
                <w:noProof/>
                <w:webHidden/>
              </w:rPr>
              <w:fldChar w:fldCharType="separate"/>
            </w:r>
            <w:r>
              <w:rPr>
                <w:noProof/>
                <w:webHidden/>
              </w:rPr>
              <w:t>4</w:t>
            </w:r>
            <w:r>
              <w:rPr>
                <w:noProof/>
                <w:webHidden/>
              </w:rPr>
              <w:fldChar w:fldCharType="end"/>
            </w:r>
          </w:hyperlink>
        </w:p>
        <w:p w14:paraId="001ADA6E" w14:textId="50EA7B55" w:rsidR="004B1B22" w:rsidRDefault="004B1B22">
          <w:r>
            <w:rPr>
              <w:b/>
              <w:bCs/>
              <w:noProof/>
            </w:rPr>
            <w:fldChar w:fldCharType="end"/>
          </w:r>
        </w:p>
      </w:sdtContent>
    </w:sdt>
    <w:p w14:paraId="213A699B" w14:textId="77777777" w:rsidR="004B1B22" w:rsidRDefault="004B1B22" w:rsidP="004B1B22"/>
    <w:p w14:paraId="58F22943" w14:textId="77777777" w:rsidR="002659FB" w:rsidRDefault="00DF6607" w:rsidP="00DF6607">
      <w:pPr>
        <w:pStyle w:val="Heading1"/>
      </w:pPr>
      <w:bookmarkStart w:id="0" w:name="_Toc155874695"/>
      <w:r>
        <w:t>CHAPTER 7: CHANGES TO GENERAL PERMITS</w:t>
      </w:r>
      <w:bookmarkEnd w:id="0"/>
    </w:p>
    <w:p w14:paraId="5D25E247" w14:textId="77777777" w:rsidR="00DF6607" w:rsidRDefault="00DF6607" w:rsidP="00DF6607">
      <w:pPr>
        <w:pStyle w:val="Heading2"/>
      </w:pPr>
      <w:bookmarkStart w:id="1" w:name="_Toc155874696"/>
      <w:r>
        <w:t>7.1 Notice of Planned Change (NOPC)</w:t>
      </w:r>
      <w:bookmarkEnd w:id="1"/>
    </w:p>
    <w:p w14:paraId="1166B010" w14:textId="78C5BEB3" w:rsidR="00DF6607" w:rsidRDefault="005541C9" w:rsidP="00DF6607">
      <w:pPr>
        <w:rPr>
          <w:rFonts w:eastAsia="Times New Roman"/>
          <w:b/>
        </w:rPr>
      </w:pPr>
      <w:r>
        <w:rPr>
          <w:rFonts w:eastAsia="Times New Roman"/>
          <w:bCs/>
        </w:rPr>
        <w:t xml:space="preserve">Provisions regarding Notices of Planned Change are found in each VWP general permit regulation: </w:t>
      </w:r>
      <w:hyperlink r:id="rId11" w:history="1">
        <w:r w:rsidR="00DF6607" w:rsidRPr="00D237F0">
          <w:rPr>
            <w:rStyle w:val="Hyperlink"/>
            <w:rFonts w:eastAsia="Times New Roman"/>
            <w:b/>
          </w:rPr>
          <w:t>9VAC25-660-80</w:t>
        </w:r>
      </w:hyperlink>
      <w:r w:rsidR="00DF6607" w:rsidRPr="00C47BCA">
        <w:rPr>
          <w:rFonts w:eastAsia="Times New Roman"/>
          <w:b/>
        </w:rPr>
        <w:t xml:space="preserve"> (WP1); </w:t>
      </w:r>
      <w:hyperlink r:id="rId12" w:history="1">
        <w:r w:rsidR="00DF6607" w:rsidRPr="00D66C99">
          <w:rPr>
            <w:rStyle w:val="Hyperlink"/>
            <w:rFonts w:eastAsia="Times New Roman"/>
            <w:b/>
          </w:rPr>
          <w:t>9VAC25-670-80</w:t>
        </w:r>
      </w:hyperlink>
      <w:r w:rsidR="00DF6607" w:rsidRPr="00C47BCA">
        <w:rPr>
          <w:rFonts w:eastAsia="Times New Roman"/>
          <w:b/>
        </w:rPr>
        <w:t xml:space="preserve"> (WP2); </w:t>
      </w:r>
      <w:hyperlink r:id="rId13" w:history="1">
        <w:r w:rsidR="00DF6607" w:rsidRPr="00D66C99">
          <w:rPr>
            <w:rStyle w:val="Hyperlink"/>
            <w:rFonts w:eastAsia="Times New Roman"/>
            <w:b/>
          </w:rPr>
          <w:t>9VAC25-680-80</w:t>
        </w:r>
      </w:hyperlink>
      <w:r w:rsidR="00DF6607" w:rsidRPr="00C47BCA">
        <w:rPr>
          <w:rFonts w:eastAsia="Times New Roman"/>
          <w:b/>
        </w:rPr>
        <w:t xml:space="preserve"> (WP3); </w:t>
      </w:r>
      <w:hyperlink r:id="rId14" w:history="1">
        <w:r w:rsidR="00DF6607" w:rsidRPr="009A3F5A">
          <w:rPr>
            <w:rStyle w:val="Hyperlink"/>
            <w:rFonts w:eastAsia="Times New Roman"/>
            <w:b/>
          </w:rPr>
          <w:t>9VAC25-690-80</w:t>
        </w:r>
      </w:hyperlink>
      <w:r w:rsidR="00DF6607" w:rsidRPr="00C47BCA">
        <w:rPr>
          <w:rFonts w:eastAsia="Times New Roman"/>
          <w:b/>
        </w:rPr>
        <w:t xml:space="preserve"> (WP4)</w:t>
      </w:r>
    </w:p>
    <w:p w14:paraId="2B7D095D" w14:textId="77777777" w:rsidR="00DF6607" w:rsidRPr="00F7685A" w:rsidRDefault="00DF6607" w:rsidP="00DF6607">
      <w:pPr>
        <w:jc w:val="both"/>
      </w:pPr>
      <w:r>
        <w:t>Upon written request by the permittee, coverage under a general permit may be modified through a Notice of Planned Change (NOPC) request that meets the regulatory criteria of the respective general permit and Section 80 of each general permit regulation.  Any NOPC request should be made in writing (email format is sufficient) by the permittee or their authorized agent.   A permit application fee is not required to process a NOPC.  See Section 80 of each general permit regulat</w:t>
      </w:r>
      <w:r w:rsidRPr="00F7685A">
        <w:t xml:space="preserve">ion which discusses NOPCs. </w:t>
      </w:r>
    </w:p>
    <w:p w14:paraId="76DD0D6C" w14:textId="77777777" w:rsidR="00DF6607" w:rsidRDefault="00DF6607" w:rsidP="00DF6607">
      <w:pPr>
        <w:jc w:val="both"/>
        <w:rPr>
          <w:b/>
        </w:rPr>
      </w:pPr>
      <w:r w:rsidRPr="00F7685A">
        <w:rPr>
          <w:b/>
        </w:rPr>
        <w:t xml:space="preserve">NOTE:  Staff must consult Chapter 6 for </w:t>
      </w:r>
      <w:r>
        <w:rPr>
          <w:b/>
        </w:rPr>
        <w:t xml:space="preserve">the </w:t>
      </w:r>
      <w:r w:rsidRPr="00F7685A">
        <w:rPr>
          <w:b/>
        </w:rPr>
        <w:t>S</w:t>
      </w:r>
      <w:r>
        <w:rPr>
          <w:b/>
        </w:rPr>
        <w:t xml:space="preserve">tate </w:t>
      </w:r>
      <w:r w:rsidRPr="00F7685A">
        <w:rPr>
          <w:b/>
        </w:rPr>
        <w:t>P</w:t>
      </w:r>
      <w:r>
        <w:rPr>
          <w:b/>
        </w:rPr>
        <w:t xml:space="preserve">rogram </w:t>
      </w:r>
      <w:r w:rsidRPr="00F7685A">
        <w:rPr>
          <w:b/>
        </w:rPr>
        <w:t>G</w:t>
      </w:r>
      <w:r>
        <w:rPr>
          <w:b/>
        </w:rPr>
        <w:t xml:space="preserve">eneral </w:t>
      </w:r>
      <w:r w:rsidRPr="00F7685A">
        <w:rPr>
          <w:b/>
        </w:rPr>
        <w:t>P</w:t>
      </w:r>
      <w:r>
        <w:rPr>
          <w:b/>
        </w:rPr>
        <w:t>ermit (SPGP)</w:t>
      </w:r>
      <w:r w:rsidRPr="00F7685A">
        <w:rPr>
          <w:b/>
        </w:rPr>
        <w:t xml:space="preserve"> to determine if the proposed changes requested in the NOPC warrant any actions under the SPGP.</w:t>
      </w:r>
    </w:p>
    <w:p w14:paraId="1958E3DE" w14:textId="77777777" w:rsidR="00DF6607" w:rsidRDefault="0003411C" w:rsidP="0003411C">
      <w:pPr>
        <w:pStyle w:val="Heading3"/>
      </w:pPr>
      <w:bookmarkStart w:id="2" w:name="_Toc155874697"/>
      <w:r>
        <w:t>7.1.1 Allowable Changes Under a NOPC</w:t>
      </w:r>
      <w:bookmarkEnd w:id="2"/>
    </w:p>
    <w:p w14:paraId="022A8A67" w14:textId="77777777" w:rsidR="0003411C" w:rsidRDefault="0003411C" w:rsidP="0003411C">
      <w:r>
        <w:t>Changes to the permit coverage that may occur under NOPC are as follows:</w:t>
      </w:r>
    </w:p>
    <w:p w14:paraId="350C4139" w14:textId="77777777" w:rsidR="0003411C" w:rsidRPr="00A93485" w:rsidRDefault="00BB1E47" w:rsidP="00A93485">
      <w:pPr>
        <w:pStyle w:val="ListParagraph"/>
        <w:numPr>
          <w:ilvl w:val="0"/>
          <w:numId w:val="3"/>
        </w:numPr>
        <w:jc w:val="both"/>
        <w:rPr>
          <w:sz w:val="22"/>
          <w:szCs w:val="22"/>
        </w:rPr>
      </w:pPr>
      <w:r>
        <w:rPr>
          <w:b/>
          <w:sz w:val="22"/>
          <w:szCs w:val="22"/>
        </w:rPr>
        <w:t>Impact Increase</w:t>
      </w:r>
      <w:r w:rsidR="0003411C" w:rsidRPr="00A93485">
        <w:rPr>
          <w:b/>
          <w:sz w:val="22"/>
          <w:szCs w:val="22"/>
        </w:rPr>
        <w:t>:</w:t>
      </w:r>
      <w:r w:rsidR="0003411C" w:rsidRPr="00A93485">
        <w:rPr>
          <w:sz w:val="22"/>
          <w:szCs w:val="22"/>
        </w:rPr>
        <w:t xml:space="preserve"> A cumulative increase (after original coverage) in </w:t>
      </w:r>
      <w:r w:rsidR="0003411C" w:rsidRPr="00A93485">
        <w:rPr>
          <w:i/>
          <w:sz w:val="22"/>
          <w:szCs w:val="22"/>
        </w:rPr>
        <w:t>permanent</w:t>
      </w:r>
      <w:r w:rsidR="0003411C" w:rsidRPr="00A93485">
        <w:rPr>
          <w:sz w:val="22"/>
          <w:szCs w:val="22"/>
        </w:rPr>
        <w:t xml:space="preserve"> surface water impacts of up to 0.25 acre (10,890 square feet) of wetlands and open waters and 100 linear feet of stream channel, that meet the requirements of </w:t>
      </w:r>
      <w:r>
        <w:rPr>
          <w:sz w:val="22"/>
          <w:szCs w:val="22"/>
        </w:rPr>
        <w:t xml:space="preserve"> Subdivision </w:t>
      </w:r>
      <w:r w:rsidR="0003411C" w:rsidRPr="00A93485">
        <w:rPr>
          <w:sz w:val="22"/>
          <w:szCs w:val="22"/>
        </w:rPr>
        <w:t>80 B 1.</w:t>
      </w:r>
    </w:p>
    <w:p w14:paraId="322EFD34" w14:textId="77777777" w:rsidR="0003411C" w:rsidRDefault="0003411C" w:rsidP="0003411C">
      <w:pPr>
        <w:ind w:left="720"/>
      </w:pPr>
      <w:bookmarkStart w:id="3" w:name="_Toc442187439"/>
      <w:r w:rsidRPr="00870D93">
        <w:t xml:space="preserve">Table </w:t>
      </w:r>
      <w:r>
        <w:t>1:</w:t>
      </w:r>
      <w:r w:rsidRPr="00870D93">
        <w:t xml:space="preserve"> </w:t>
      </w:r>
      <w:r>
        <w:t>NOPC</w:t>
      </w:r>
      <w:r w:rsidRPr="00870D93">
        <w:t xml:space="preserve"> Impacts Thresholds</w:t>
      </w:r>
      <w:bookmarkEnd w:id="3"/>
    </w:p>
    <w:tbl>
      <w:tblPr>
        <w:tblStyle w:val="TableGrid"/>
        <w:tblW w:w="0" w:type="auto"/>
        <w:tblInd w:w="918" w:type="dxa"/>
        <w:tblLook w:val="04A0" w:firstRow="1" w:lastRow="0" w:firstColumn="1" w:lastColumn="0" w:noHBand="0" w:noVBand="1"/>
        <w:tblCaption w:val="Table 1: NOPC Impacts Thresholds"/>
        <w:tblDescription w:val="Limits that qualify for a Notice of Planned Change"/>
      </w:tblPr>
      <w:tblGrid>
        <w:gridCol w:w="2520"/>
        <w:gridCol w:w="2250"/>
        <w:gridCol w:w="1980"/>
      </w:tblGrid>
      <w:tr w:rsidR="0003411C" w14:paraId="0DE748D8" w14:textId="77777777" w:rsidTr="00C00D01">
        <w:trPr>
          <w:trHeight w:val="656"/>
          <w:tblHeader/>
        </w:trPr>
        <w:tc>
          <w:tcPr>
            <w:tcW w:w="2520" w:type="dxa"/>
            <w:shd w:val="clear" w:color="auto" w:fill="DEEAF6" w:themeFill="accent1" w:themeFillTint="33"/>
            <w:vAlign w:val="center"/>
          </w:tcPr>
          <w:p w14:paraId="4FB48809" w14:textId="77777777" w:rsidR="0003411C" w:rsidRPr="00870D93" w:rsidRDefault="0003411C" w:rsidP="00811C77">
            <w:pPr>
              <w:jc w:val="center"/>
              <w:rPr>
                <w:b/>
              </w:rPr>
            </w:pPr>
            <w:r w:rsidRPr="00870D93">
              <w:rPr>
                <w:b/>
              </w:rPr>
              <w:t>Resource</w:t>
            </w:r>
          </w:p>
        </w:tc>
        <w:tc>
          <w:tcPr>
            <w:tcW w:w="2250" w:type="dxa"/>
            <w:shd w:val="clear" w:color="auto" w:fill="DEEAF6" w:themeFill="accent1" w:themeFillTint="33"/>
            <w:vAlign w:val="center"/>
          </w:tcPr>
          <w:p w14:paraId="5BD39A6F" w14:textId="77777777" w:rsidR="0003411C" w:rsidRPr="00A91382" w:rsidRDefault="0003411C" w:rsidP="00811C77">
            <w:pPr>
              <w:jc w:val="center"/>
              <w:rPr>
                <w:b/>
              </w:rPr>
            </w:pPr>
            <w:r>
              <w:rPr>
                <w:b/>
              </w:rPr>
              <w:t xml:space="preserve">Permanent </w:t>
            </w:r>
            <w:r w:rsidRPr="00870D93">
              <w:rPr>
                <w:b/>
              </w:rPr>
              <w:t>Impact Increase</w:t>
            </w:r>
            <w:r>
              <w:rPr>
                <w:b/>
              </w:rPr>
              <w:t>*</w:t>
            </w:r>
          </w:p>
        </w:tc>
        <w:tc>
          <w:tcPr>
            <w:tcW w:w="1980" w:type="dxa"/>
            <w:shd w:val="clear" w:color="auto" w:fill="DEEAF6" w:themeFill="accent1" w:themeFillTint="33"/>
            <w:vAlign w:val="center"/>
          </w:tcPr>
          <w:p w14:paraId="5FD87402" w14:textId="77777777" w:rsidR="0003411C" w:rsidRDefault="0003411C" w:rsidP="00811C77">
            <w:pPr>
              <w:jc w:val="center"/>
              <w:rPr>
                <w:b/>
              </w:rPr>
            </w:pPr>
            <w:r>
              <w:rPr>
                <w:b/>
              </w:rPr>
              <w:t>Temporary Impact Increase*</w:t>
            </w:r>
          </w:p>
        </w:tc>
      </w:tr>
      <w:tr w:rsidR="0003411C" w14:paraId="72294A2C" w14:textId="77777777" w:rsidTr="00811C77">
        <w:tc>
          <w:tcPr>
            <w:tcW w:w="2520" w:type="dxa"/>
            <w:vAlign w:val="center"/>
          </w:tcPr>
          <w:p w14:paraId="7CE25152" w14:textId="77777777" w:rsidR="0003411C" w:rsidRDefault="0003411C" w:rsidP="00811C77">
            <w:pPr>
              <w:jc w:val="center"/>
            </w:pPr>
            <w:r>
              <w:t>Wetlands and Open Water</w:t>
            </w:r>
          </w:p>
        </w:tc>
        <w:tc>
          <w:tcPr>
            <w:tcW w:w="2250" w:type="dxa"/>
            <w:vAlign w:val="center"/>
          </w:tcPr>
          <w:p w14:paraId="1156A23D" w14:textId="77777777" w:rsidR="0003411C" w:rsidRDefault="0003411C" w:rsidP="00811C77">
            <w:pPr>
              <w:jc w:val="center"/>
            </w:pPr>
            <w:r>
              <w:t>≤ 0.25 Acre</w:t>
            </w:r>
          </w:p>
          <w:p w14:paraId="439AC3EB" w14:textId="77777777" w:rsidR="0003411C" w:rsidRDefault="0003411C" w:rsidP="00811C77">
            <w:pPr>
              <w:jc w:val="center"/>
            </w:pPr>
            <w:r>
              <w:t>(10,890 Square Feet)</w:t>
            </w:r>
          </w:p>
        </w:tc>
        <w:tc>
          <w:tcPr>
            <w:tcW w:w="1980" w:type="dxa"/>
            <w:vAlign w:val="center"/>
          </w:tcPr>
          <w:p w14:paraId="235AEC55" w14:textId="77777777" w:rsidR="0003411C" w:rsidRDefault="0003411C" w:rsidP="00811C77">
            <w:pPr>
              <w:jc w:val="center"/>
            </w:pPr>
            <w:r>
              <w:t>No threshold</w:t>
            </w:r>
          </w:p>
        </w:tc>
      </w:tr>
      <w:tr w:rsidR="0003411C" w14:paraId="73B8F6D9" w14:textId="77777777" w:rsidTr="00811C77">
        <w:tc>
          <w:tcPr>
            <w:tcW w:w="2520" w:type="dxa"/>
            <w:vAlign w:val="center"/>
          </w:tcPr>
          <w:p w14:paraId="350F7D42" w14:textId="77777777" w:rsidR="0003411C" w:rsidRDefault="0003411C" w:rsidP="00811C77">
            <w:pPr>
              <w:jc w:val="center"/>
            </w:pPr>
            <w:r>
              <w:t>Streams</w:t>
            </w:r>
          </w:p>
        </w:tc>
        <w:tc>
          <w:tcPr>
            <w:tcW w:w="2250" w:type="dxa"/>
            <w:vAlign w:val="center"/>
          </w:tcPr>
          <w:p w14:paraId="2E452FCF" w14:textId="77777777" w:rsidR="0003411C" w:rsidRDefault="0003411C" w:rsidP="00811C77">
            <w:pPr>
              <w:jc w:val="center"/>
            </w:pPr>
            <w:r>
              <w:t>&lt; 100 Linear Feet</w:t>
            </w:r>
          </w:p>
        </w:tc>
        <w:tc>
          <w:tcPr>
            <w:tcW w:w="1980" w:type="dxa"/>
            <w:vAlign w:val="center"/>
          </w:tcPr>
          <w:p w14:paraId="2F47E214" w14:textId="77777777" w:rsidR="0003411C" w:rsidRDefault="0003411C" w:rsidP="00811C77">
            <w:pPr>
              <w:jc w:val="center"/>
            </w:pPr>
            <w:r>
              <w:t>No threshold</w:t>
            </w:r>
          </w:p>
        </w:tc>
      </w:tr>
    </w:tbl>
    <w:p w14:paraId="19E2DE04" w14:textId="77777777" w:rsidR="0003411C" w:rsidRPr="00451BDB" w:rsidRDefault="0003411C" w:rsidP="0003411C">
      <w:pPr>
        <w:ind w:left="720"/>
        <w:rPr>
          <w:sz w:val="20"/>
          <w:szCs w:val="20"/>
        </w:rPr>
      </w:pPr>
      <w:r w:rsidRPr="00451BDB">
        <w:rPr>
          <w:sz w:val="20"/>
          <w:szCs w:val="20"/>
        </w:rPr>
        <w:t xml:space="preserve">*Total impacts (permanent and temporary) may not exceed the applicable </w:t>
      </w:r>
      <w:r w:rsidRPr="00451BDB">
        <w:rPr>
          <w:i/>
          <w:sz w:val="20"/>
          <w:szCs w:val="20"/>
        </w:rPr>
        <w:t>general permit</w:t>
      </w:r>
      <w:r w:rsidRPr="00451BDB">
        <w:rPr>
          <w:sz w:val="20"/>
          <w:szCs w:val="20"/>
        </w:rPr>
        <w:t xml:space="preserve"> threshold.</w:t>
      </w:r>
    </w:p>
    <w:p w14:paraId="2F6C0A9C" w14:textId="77777777" w:rsidR="0003411C" w:rsidRDefault="0003411C" w:rsidP="0003411C">
      <w:pPr>
        <w:ind w:left="720"/>
        <w:jc w:val="both"/>
      </w:pPr>
      <w:r>
        <w:t xml:space="preserve">If the cumulative additional </w:t>
      </w:r>
      <w:r w:rsidRPr="00B7210A">
        <w:rPr>
          <w:i/>
        </w:rPr>
        <w:t>permanent</w:t>
      </w:r>
      <w:r>
        <w:t xml:space="preserve"> impacts cause an </w:t>
      </w:r>
      <w:r w:rsidR="00832627">
        <w:t>exceedance</w:t>
      </w:r>
      <w:r>
        <w:t xml:space="preserve"> of the reporting-only thresholds (0.10 acre of wetlands or open waters, or 300 linear feet of stream channel), the </w:t>
      </w:r>
      <w:r>
        <w:lastRenderedPageBreak/>
        <w:t xml:space="preserve">permittee must apply for a Notice of Planned </w:t>
      </w:r>
      <w:proofErr w:type="gramStart"/>
      <w:r>
        <w:t>Change, and</w:t>
      </w:r>
      <w:proofErr w:type="gramEnd"/>
      <w:r>
        <w:t xml:space="preserve"> may be required to provide compensatory mitigation and/or additional information.</w:t>
      </w:r>
    </w:p>
    <w:p w14:paraId="5EDFBD44" w14:textId="77777777" w:rsidR="0003411C" w:rsidRDefault="0003411C" w:rsidP="0003411C">
      <w:pPr>
        <w:ind w:left="720"/>
        <w:jc w:val="both"/>
      </w:pPr>
      <w:r>
        <w:t xml:space="preserve">For an increase in </w:t>
      </w:r>
      <w:r w:rsidRPr="00B7210A">
        <w:rPr>
          <w:i/>
        </w:rPr>
        <w:t>temporary</w:t>
      </w:r>
      <w:r>
        <w:t xml:space="preserve"> impacts within the original project boundary</w:t>
      </w:r>
      <w:r w:rsidRPr="000D27A2">
        <w:t xml:space="preserve"> </w:t>
      </w:r>
      <w:r>
        <w:t xml:space="preserve">or in areas directly related to off-site work (see </w:t>
      </w:r>
      <w:r w:rsidR="006426FA">
        <w:t xml:space="preserve">subdivision </w:t>
      </w:r>
      <w:r>
        <w:t xml:space="preserve">80 B 1 b), the permittee shall submit to DEQ a written statement that addresses all the items identified in -80 B 1 h.  The notice shall be submitted a minimum of 10 days prior to initiating the impact.  If DEQ does not respond to the notification within the 10 days, the additional temporary impacts are deemed </w:t>
      </w:r>
      <w:proofErr w:type="gramStart"/>
      <w:r>
        <w:t>approved</w:t>
      </w:r>
      <w:proofErr w:type="gramEnd"/>
      <w:r>
        <w:t xml:space="preserve"> and the permittee may proceed with initiating the additional temporary impacts.  Staff should still process a NOPC to identify the approved additional temporary impacts in the coverage letter.</w:t>
      </w:r>
    </w:p>
    <w:p w14:paraId="486CB531" w14:textId="0959201F" w:rsidR="0003411C" w:rsidRDefault="0003411C" w:rsidP="0003411C">
      <w:pPr>
        <w:ind w:left="720"/>
        <w:jc w:val="both"/>
      </w:pPr>
      <w:r>
        <w:t>If the original application process indicated no threatened or endangered (</w:t>
      </w:r>
      <w:r w:rsidR="001027FA">
        <w:t>T-E</w:t>
      </w:r>
      <w:r>
        <w:t xml:space="preserve">) species </w:t>
      </w:r>
      <w:proofErr w:type="gramStart"/>
      <w:r>
        <w:t>concerns</w:t>
      </w:r>
      <w:proofErr w:type="gramEnd"/>
      <w:r>
        <w:t xml:space="preserve"> then the NOPC does not require coordination with </w:t>
      </w:r>
      <w:r w:rsidR="000F1FAB">
        <w:t>the Virginia Department of Wildlife Resources (</w:t>
      </w:r>
      <w:r w:rsidR="001027FA">
        <w:t>VDWR</w:t>
      </w:r>
      <w:r w:rsidR="000F1FAB">
        <w:t>)</w:t>
      </w:r>
      <w:r w:rsidR="005F0258">
        <w:t xml:space="preserve"> and</w:t>
      </w:r>
      <w:r w:rsidR="000F1FAB">
        <w:t xml:space="preserve"> the Virginia Department of Conservation and Recreation (</w:t>
      </w:r>
      <w:r w:rsidR="001027FA">
        <w:t>VDCR</w:t>
      </w:r>
      <w:r w:rsidR="000F1FAB">
        <w:t>)</w:t>
      </w:r>
      <w:r w:rsidR="005F0258">
        <w:t>.</w:t>
      </w:r>
      <w:r>
        <w:t xml:space="preserve"> If there were </w:t>
      </w:r>
      <w:r w:rsidR="001027FA">
        <w:t>T-E</w:t>
      </w:r>
      <w:r>
        <w:t xml:space="preserve"> concerns or conditions of coverage in the original permit process, the permittee is to provide sufficient documentation that any additional impacts will not impact federal or state listed </w:t>
      </w:r>
      <w:r w:rsidR="001027FA">
        <w:t>T-E</w:t>
      </w:r>
      <w:r>
        <w:t xml:space="preserve"> species, designated critical habitat, or taking of a </w:t>
      </w:r>
      <w:r w:rsidR="001027FA">
        <w:t>T-E</w:t>
      </w:r>
      <w:r>
        <w:t xml:space="preserve"> species.  In these cases, staff may determine </w:t>
      </w:r>
      <w:r w:rsidR="000F1FAB">
        <w:t xml:space="preserve">that </w:t>
      </w:r>
      <w:r>
        <w:t xml:space="preserve">coordination with </w:t>
      </w:r>
      <w:r w:rsidR="001027FA">
        <w:t>VDWR</w:t>
      </w:r>
      <w:r w:rsidR="005F0258">
        <w:t xml:space="preserve"> and/or</w:t>
      </w:r>
      <w:r w:rsidR="000F1FAB">
        <w:t xml:space="preserve"> </w:t>
      </w:r>
      <w:r w:rsidR="001027FA">
        <w:t>VDCR</w:t>
      </w:r>
      <w:r w:rsidR="000F1FAB">
        <w:t xml:space="preserve"> is</w:t>
      </w:r>
      <w:r>
        <w:t xml:space="preserve"> necessary.</w:t>
      </w:r>
    </w:p>
    <w:p w14:paraId="0D6FEA54" w14:textId="77777777" w:rsidR="0003411C" w:rsidRDefault="0003411C" w:rsidP="0003411C">
      <w:pPr>
        <w:ind w:left="720"/>
        <w:jc w:val="both"/>
      </w:pPr>
      <w:r>
        <w:t>All proposed additional impacts shall demonstrate avoidance and minimization of the proposed impacts and that those impacts shall not impact threatened or endangered species. Appropriate compensation, if required, must be proposed (for general permit coverage that is above the threshold for the compensation requirement, i.e., not a reporting-only coverage.)</w:t>
      </w:r>
    </w:p>
    <w:p w14:paraId="197D3D9C" w14:textId="77777777" w:rsidR="0003411C" w:rsidRDefault="0003411C" w:rsidP="0003411C">
      <w:pPr>
        <w:ind w:left="720"/>
        <w:jc w:val="both"/>
      </w:pPr>
      <w:r>
        <w:t xml:space="preserve">Additional impacts are to be located within the project boundary of the original coverage or in areas directly related to off-site work (see </w:t>
      </w:r>
      <w:r w:rsidR="006426FA">
        <w:t xml:space="preserve">subdivision </w:t>
      </w:r>
      <w:r>
        <w:t>80-B 1 b).  Impacts proposed in “new” areas not within those areas of the original coverage are to be considered under a new application for coverage which must address the original work as well as the “new” areas.</w:t>
      </w:r>
    </w:p>
    <w:p w14:paraId="74B139C6" w14:textId="77777777" w:rsidR="0003411C" w:rsidRDefault="0003411C" w:rsidP="00A93485">
      <w:pPr>
        <w:ind w:left="720"/>
        <w:contextualSpacing/>
        <w:jc w:val="both"/>
      </w:pPr>
      <w:r>
        <w:t xml:space="preserve">The cumulative permanent and temporary impacts authorized shall not exceed the </w:t>
      </w:r>
      <w:r w:rsidRPr="008A3AD5">
        <w:rPr>
          <w:i/>
        </w:rPr>
        <w:t>general permit threshold</w:t>
      </w:r>
      <w:r>
        <w:t>, as specified in the applicable general permit (Section 100 of each general permit regulation).  Should the applicable threshold be exceeded, the permittee must reapply, either for a qualifying general permit coverage that has a higher threshold (e.g., WP1 may still qualify for WP4) or for a VWP individual permit for the entire project.</w:t>
      </w:r>
      <w:r w:rsidRPr="008A3AD5">
        <w:t xml:space="preserve"> </w:t>
      </w:r>
      <w:r>
        <w:t xml:space="preserve">In this case, </w:t>
      </w:r>
      <w:r w:rsidRPr="002E7525">
        <w:t xml:space="preserve">the current permit coverage </w:t>
      </w:r>
      <w:r>
        <w:t>must be</w:t>
      </w:r>
      <w:r w:rsidRPr="002E7525">
        <w:t xml:space="preserve"> terminated </w:t>
      </w:r>
      <w:r>
        <w:t>(s</w:t>
      </w:r>
      <w:r w:rsidRPr="002E7525">
        <w:t xml:space="preserve">ee </w:t>
      </w:r>
      <w:r w:rsidRPr="00737BEA">
        <w:t>Chapter 9</w:t>
      </w:r>
      <w:r>
        <w:t>).</w:t>
      </w:r>
    </w:p>
    <w:p w14:paraId="4E02524C" w14:textId="4B2246FD" w:rsidR="00A93485" w:rsidRDefault="00BB1E47" w:rsidP="00460600">
      <w:pPr>
        <w:pStyle w:val="ListParagraph"/>
        <w:numPr>
          <w:ilvl w:val="0"/>
          <w:numId w:val="3"/>
        </w:numPr>
        <w:jc w:val="both"/>
        <w:rPr>
          <w:sz w:val="22"/>
          <w:szCs w:val="22"/>
        </w:rPr>
      </w:pPr>
      <w:r>
        <w:rPr>
          <w:b/>
          <w:sz w:val="22"/>
          <w:szCs w:val="22"/>
        </w:rPr>
        <w:t xml:space="preserve">Impact Decrease (Subdivision </w:t>
      </w:r>
      <w:r w:rsidR="0003411C" w:rsidRPr="00BF58CE">
        <w:rPr>
          <w:b/>
          <w:sz w:val="22"/>
          <w:szCs w:val="22"/>
        </w:rPr>
        <w:t>80 B 2):</w:t>
      </w:r>
      <w:r w:rsidR="0003411C" w:rsidRPr="00A93485">
        <w:rPr>
          <w:sz w:val="22"/>
          <w:szCs w:val="22"/>
        </w:rPr>
        <w:t xml:space="preserve"> A decrease in </w:t>
      </w:r>
      <w:r w:rsidR="0003411C" w:rsidRPr="00BF58CE">
        <w:rPr>
          <w:i/>
          <w:sz w:val="22"/>
          <w:szCs w:val="22"/>
        </w:rPr>
        <w:t>permanent and temporary</w:t>
      </w:r>
      <w:r w:rsidR="0003411C" w:rsidRPr="00A93485">
        <w:rPr>
          <w:sz w:val="22"/>
          <w:szCs w:val="22"/>
        </w:rPr>
        <w:t xml:space="preserve"> surface water impacts.  The compensation requirement may be reduced accordingly, provided that the resulting compensation still meets the regulatory requirements for compensation. If the reduction brings the total </w:t>
      </w:r>
      <w:r w:rsidR="0003411C" w:rsidRPr="00BF58CE">
        <w:rPr>
          <w:i/>
          <w:sz w:val="22"/>
          <w:szCs w:val="22"/>
        </w:rPr>
        <w:t>permanent</w:t>
      </w:r>
      <w:r w:rsidR="0003411C" w:rsidRPr="00A93485">
        <w:rPr>
          <w:sz w:val="22"/>
          <w:szCs w:val="22"/>
        </w:rPr>
        <w:t xml:space="preserve"> impacts down below the reporting-only thresholds (0.10 acre of wetlands or open waters, or 300 linear feet of stream channel), process a NOPC, including any change to compensation requirements in the </w:t>
      </w:r>
      <w:r w:rsidR="0003411C" w:rsidRPr="00BF58CE">
        <w:rPr>
          <w:i/>
          <w:sz w:val="22"/>
          <w:szCs w:val="22"/>
        </w:rPr>
        <w:t>NOPC and Transfer Transmittal</w:t>
      </w:r>
      <w:r w:rsidR="0003411C" w:rsidRPr="00A93485">
        <w:rPr>
          <w:sz w:val="22"/>
          <w:szCs w:val="22"/>
        </w:rPr>
        <w:t xml:space="preserve"> template</w:t>
      </w:r>
      <w:r w:rsidR="00CC39F1">
        <w:rPr>
          <w:sz w:val="22"/>
          <w:szCs w:val="22"/>
        </w:rPr>
        <w:t xml:space="preserve"> (Ch 7 and Ch 10)</w:t>
      </w:r>
      <w:r w:rsidR="0003411C" w:rsidRPr="00A93485">
        <w:rPr>
          <w:sz w:val="22"/>
          <w:szCs w:val="22"/>
        </w:rPr>
        <w:t>. DEQ is not responsible for ensuring any purchased credits are refunded.</w:t>
      </w:r>
    </w:p>
    <w:p w14:paraId="4A1C00B4" w14:textId="77777777" w:rsidR="00BF58CE" w:rsidRDefault="00BF58CE" w:rsidP="00BF58CE">
      <w:pPr>
        <w:pStyle w:val="ListParagraph"/>
        <w:jc w:val="both"/>
        <w:rPr>
          <w:sz w:val="22"/>
          <w:szCs w:val="22"/>
        </w:rPr>
      </w:pPr>
    </w:p>
    <w:p w14:paraId="2F53E417" w14:textId="77777777" w:rsidR="00BF58CE" w:rsidRDefault="00BF58CE" w:rsidP="00BF58CE">
      <w:pPr>
        <w:pStyle w:val="ListParagraph"/>
        <w:numPr>
          <w:ilvl w:val="0"/>
          <w:numId w:val="3"/>
        </w:numPr>
        <w:jc w:val="both"/>
        <w:rPr>
          <w:sz w:val="22"/>
          <w:szCs w:val="22"/>
        </w:rPr>
      </w:pPr>
      <w:r w:rsidRPr="00BF58CE">
        <w:rPr>
          <w:b/>
          <w:sz w:val="22"/>
          <w:szCs w:val="22"/>
        </w:rPr>
        <w:t>Change in project plans but not impacts (</w:t>
      </w:r>
      <w:r w:rsidR="00BB1E47">
        <w:rPr>
          <w:b/>
          <w:sz w:val="22"/>
          <w:szCs w:val="22"/>
        </w:rPr>
        <w:t xml:space="preserve">Subdivision </w:t>
      </w:r>
      <w:r w:rsidRPr="00BF58CE">
        <w:rPr>
          <w:b/>
          <w:sz w:val="22"/>
          <w:szCs w:val="22"/>
        </w:rPr>
        <w:t>80 B 3):</w:t>
      </w:r>
      <w:r w:rsidRPr="00BF58CE">
        <w:rPr>
          <w:sz w:val="22"/>
          <w:szCs w:val="22"/>
        </w:rPr>
        <w:t xml:space="preserve">  A change to the authorized project plans or use that does not result in changes to authorized surface water impacts or required compensation may be authorized under this criterion. For instance, a project purpose may change from residential to industrial.  Any such change that also results in changes to surface water </w:t>
      </w:r>
      <w:r w:rsidRPr="00BF58CE">
        <w:rPr>
          <w:sz w:val="22"/>
          <w:szCs w:val="22"/>
        </w:rPr>
        <w:lastRenderedPageBreak/>
        <w:t>impacts may be allowed as long as the requirements for additional surface water impacts are met (i.e., impact threshold and location).</w:t>
      </w:r>
    </w:p>
    <w:p w14:paraId="40621302" w14:textId="77777777" w:rsidR="00BF58CE" w:rsidRPr="00BF58CE" w:rsidRDefault="00BF58CE" w:rsidP="00BF58CE">
      <w:pPr>
        <w:pStyle w:val="ListParagraph"/>
        <w:rPr>
          <w:sz w:val="22"/>
          <w:szCs w:val="22"/>
        </w:rPr>
      </w:pPr>
    </w:p>
    <w:p w14:paraId="0D80069A" w14:textId="77777777" w:rsidR="00BF58CE" w:rsidRDefault="00BF58CE" w:rsidP="00BF58CE">
      <w:pPr>
        <w:pStyle w:val="ListParagraph"/>
        <w:numPr>
          <w:ilvl w:val="0"/>
          <w:numId w:val="3"/>
        </w:numPr>
        <w:jc w:val="both"/>
        <w:rPr>
          <w:sz w:val="22"/>
          <w:szCs w:val="22"/>
        </w:rPr>
      </w:pPr>
      <w:r w:rsidRPr="00BF58CE">
        <w:rPr>
          <w:b/>
          <w:sz w:val="22"/>
          <w:szCs w:val="22"/>
        </w:rPr>
        <w:t>Change in Compensation (</w:t>
      </w:r>
      <w:r w:rsidR="00BB1E47">
        <w:rPr>
          <w:b/>
          <w:sz w:val="22"/>
          <w:szCs w:val="22"/>
        </w:rPr>
        <w:t xml:space="preserve">Subdivision </w:t>
      </w:r>
      <w:r w:rsidRPr="00BF58CE">
        <w:rPr>
          <w:b/>
          <w:sz w:val="22"/>
          <w:szCs w:val="22"/>
        </w:rPr>
        <w:t>80 B 4):</w:t>
      </w:r>
      <w:r w:rsidRPr="00BF58CE">
        <w:rPr>
          <w:sz w:val="22"/>
          <w:szCs w:val="22"/>
        </w:rPr>
        <w:t xml:space="preserve">  An NOPC may be used to substitute a specific, DEQ-approved mitigation bank or in-lieu fee program with another DEQ-approved mitigation bank or in-lieu fee program, or substitute all or a portion of the prior authorized permittee-responsible compensation with a purchase of mitigation credits from a DEQ-approved mitigation bank or in-lieu fee program. The </w:t>
      </w:r>
      <w:proofErr w:type="gramStart"/>
      <w:r w:rsidRPr="00BF58CE">
        <w:rPr>
          <w:sz w:val="22"/>
          <w:szCs w:val="22"/>
        </w:rPr>
        <w:t>amount</w:t>
      </w:r>
      <w:proofErr w:type="gramEnd"/>
      <w:r w:rsidRPr="00BF58CE">
        <w:rPr>
          <w:sz w:val="22"/>
          <w:szCs w:val="22"/>
        </w:rPr>
        <w:t xml:space="preserve"> of credits proposed to be purchased shall be sufficient to meet the compensatory mitigation requirement. An NOPC may not be used to change from a more preferred mitigation method to a lesser preferred mitigation method.</w:t>
      </w:r>
    </w:p>
    <w:p w14:paraId="0389F161" w14:textId="77777777" w:rsidR="00BF58CE" w:rsidRPr="00BF58CE" w:rsidRDefault="00BF58CE" w:rsidP="00BF58CE">
      <w:pPr>
        <w:pStyle w:val="ListParagraph"/>
        <w:rPr>
          <w:sz w:val="22"/>
          <w:szCs w:val="22"/>
        </w:rPr>
      </w:pPr>
    </w:p>
    <w:p w14:paraId="5DFDC8E3" w14:textId="77777777" w:rsidR="00BF58CE" w:rsidRDefault="00BF58CE" w:rsidP="00BF58CE">
      <w:pPr>
        <w:pStyle w:val="ListParagraph"/>
        <w:numPr>
          <w:ilvl w:val="0"/>
          <w:numId w:val="3"/>
        </w:numPr>
        <w:jc w:val="both"/>
        <w:rPr>
          <w:sz w:val="22"/>
          <w:szCs w:val="22"/>
        </w:rPr>
      </w:pPr>
      <w:r w:rsidRPr="00BF58CE">
        <w:rPr>
          <w:b/>
          <w:sz w:val="22"/>
          <w:szCs w:val="22"/>
        </w:rPr>
        <w:t>Typographical Error (</w:t>
      </w:r>
      <w:r w:rsidR="00BB1E47">
        <w:rPr>
          <w:b/>
          <w:sz w:val="22"/>
          <w:szCs w:val="22"/>
        </w:rPr>
        <w:t xml:space="preserve">Subdivision </w:t>
      </w:r>
      <w:r w:rsidRPr="00BF58CE">
        <w:rPr>
          <w:b/>
          <w:sz w:val="22"/>
          <w:szCs w:val="22"/>
        </w:rPr>
        <w:t xml:space="preserve">80 B 5):  </w:t>
      </w:r>
      <w:r w:rsidRPr="00BF58CE">
        <w:rPr>
          <w:sz w:val="22"/>
          <w:szCs w:val="22"/>
        </w:rPr>
        <w:t>Any typographical errors in the coverage letter may be revised under this criterion.</w:t>
      </w:r>
    </w:p>
    <w:p w14:paraId="6C10A493" w14:textId="77777777" w:rsidR="00BF58CE" w:rsidRPr="00BF58CE" w:rsidRDefault="00BF58CE" w:rsidP="00BF58CE">
      <w:pPr>
        <w:pStyle w:val="ListParagraph"/>
        <w:rPr>
          <w:sz w:val="22"/>
          <w:szCs w:val="22"/>
        </w:rPr>
      </w:pPr>
    </w:p>
    <w:p w14:paraId="55867BC2" w14:textId="77777777" w:rsidR="00BF58CE" w:rsidRDefault="00BF58CE" w:rsidP="00BF58CE">
      <w:pPr>
        <w:jc w:val="both"/>
      </w:pPr>
      <w:r w:rsidRPr="00A65278">
        <w:t>NOPCs do not have regulatory deadlines to review and complete the action</w:t>
      </w:r>
      <w:r>
        <w:t>, nor do these actions require application fees at this time</w:t>
      </w:r>
      <w:r w:rsidRPr="00A65278">
        <w:t xml:space="preserve">.  However, </w:t>
      </w:r>
      <w:r>
        <w:t>staff</w:t>
      </w:r>
      <w:r w:rsidRPr="00A65278">
        <w:t xml:space="preserve"> is </w:t>
      </w:r>
      <w:r>
        <w:t xml:space="preserve">encouraged </w:t>
      </w:r>
      <w:r w:rsidRPr="00A65278">
        <w:t xml:space="preserve">to process NOPCs using the </w:t>
      </w:r>
      <w:r>
        <w:t>general permit timeframes.  Therefore,</w:t>
      </w:r>
      <w:r w:rsidRPr="00A65278">
        <w:t xml:space="preserve"> </w:t>
      </w:r>
      <w:r>
        <w:t xml:space="preserve">reviews of </w:t>
      </w:r>
      <w:r w:rsidRPr="00A65278">
        <w:t xml:space="preserve">NOPC requests and </w:t>
      </w:r>
      <w:r>
        <w:t>initial requests</w:t>
      </w:r>
      <w:r w:rsidRPr="00A65278">
        <w:t xml:space="preserve"> for additional information should be conducted within 15 days </w:t>
      </w:r>
      <w:r>
        <w:t xml:space="preserve">(10 days for VDOT projects) </w:t>
      </w:r>
      <w:r w:rsidRPr="00A65278">
        <w:t>of receipt</w:t>
      </w:r>
      <w:r>
        <w:t xml:space="preserve"> as time allows</w:t>
      </w:r>
      <w:r w:rsidRPr="00A65278">
        <w:t xml:space="preserve">.  Approval or denial of the NOPC should be completed within 45 days </w:t>
      </w:r>
      <w:r>
        <w:t xml:space="preserve">(30 days for VDOT projects) </w:t>
      </w:r>
      <w:r w:rsidRPr="00A65278">
        <w:t xml:space="preserve">of </w:t>
      </w:r>
      <w:r>
        <w:t>receiving</w:t>
      </w:r>
      <w:r w:rsidRPr="00A65278">
        <w:t xml:space="preserve"> all necessary information </w:t>
      </w:r>
      <w:r>
        <w:t>associated with the request</w:t>
      </w:r>
      <w:r w:rsidRPr="00A65278">
        <w:t>.</w:t>
      </w:r>
    </w:p>
    <w:p w14:paraId="2346B219" w14:textId="77777777" w:rsidR="00AD46A0" w:rsidRDefault="00AD46A0" w:rsidP="00AD46A0">
      <w:pPr>
        <w:pStyle w:val="Heading3"/>
      </w:pPr>
      <w:bookmarkStart w:id="4" w:name="_Toc155874698"/>
      <w:r>
        <w:t>7.1.2 Processing a NOPC</w:t>
      </w:r>
      <w:bookmarkEnd w:id="4"/>
    </w:p>
    <w:p w14:paraId="6A2B1CC8" w14:textId="77777777" w:rsidR="00AD46A0" w:rsidRDefault="00AD46A0" w:rsidP="00AD46A0">
      <w:r w:rsidRPr="00964CD4">
        <w:t xml:space="preserve">The steps for processing a NOPC </w:t>
      </w:r>
      <w:r>
        <w:t>are</w:t>
      </w:r>
      <w:r w:rsidRPr="00964CD4">
        <w:t xml:space="preserve"> as follows:</w:t>
      </w:r>
    </w:p>
    <w:p w14:paraId="12FC0B3C" w14:textId="77777777" w:rsidR="00AD46A0" w:rsidRPr="00AD46A0" w:rsidRDefault="00AD46A0" w:rsidP="00AD46A0">
      <w:pPr>
        <w:pStyle w:val="ListParagraph"/>
        <w:numPr>
          <w:ilvl w:val="0"/>
          <w:numId w:val="5"/>
        </w:numPr>
        <w:jc w:val="both"/>
        <w:rPr>
          <w:sz w:val="22"/>
          <w:szCs w:val="22"/>
        </w:rPr>
      </w:pPr>
      <w:r w:rsidRPr="00AD46A0">
        <w:rPr>
          <w:i/>
          <w:sz w:val="22"/>
          <w:szCs w:val="22"/>
        </w:rPr>
        <w:t xml:space="preserve">Log NOPC request </w:t>
      </w:r>
      <w:r w:rsidRPr="00AD46A0">
        <w:rPr>
          <w:sz w:val="22"/>
          <w:szCs w:val="22"/>
        </w:rPr>
        <w:t>– Update CEDS following the CEDS manual.</w:t>
      </w:r>
    </w:p>
    <w:p w14:paraId="6A47C9D2" w14:textId="77777777" w:rsidR="00AD46A0" w:rsidRPr="00AD46A0" w:rsidRDefault="00AD46A0" w:rsidP="00AD46A0">
      <w:pPr>
        <w:pStyle w:val="ListParagraph"/>
        <w:numPr>
          <w:ilvl w:val="0"/>
          <w:numId w:val="5"/>
        </w:numPr>
        <w:jc w:val="both"/>
        <w:rPr>
          <w:sz w:val="22"/>
          <w:szCs w:val="22"/>
        </w:rPr>
      </w:pPr>
      <w:r w:rsidRPr="00AD46A0">
        <w:rPr>
          <w:i/>
          <w:sz w:val="22"/>
          <w:szCs w:val="22"/>
        </w:rPr>
        <w:t xml:space="preserve">Review the NOPC request </w:t>
      </w:r>
      <w:r w:rsidRPr="00AD46A0">
        <w:rPr>
          <w:sz w:val="22"/>
          <w:szCs w:val="22"/>
        </w:rPr>
        <w:t>– Review the request to determine if it qualifies for a NOPC in accordance with Section 80 of the applicable general permit regulation and whether additional information is needed to review the request.  For NOPCs that request an increase in permanent surface water impacts, the following information should be provided at a minimum:</w:t>
      </w:r>
    </w:p>
    <w:p w14:paraId="5F167300" w14:textId="77777777" w:rsidR="00AD46A0" w:rsidRPr="00AD46A0" w:rsidRDefault="00AD46A0" w:rsidP="00AD46A0">
      <w:pPr>
        <w:pStyle w:val="ListParagraph"/>
        <w:numPr>
          <w:ilvl w:val="1"/>
          <w:numId w:val="5"/>
        </w:numPr>
        <w:jc w:val="both"/>
        <w:rPr>
          <w:sz w:val="22"/>
          <w:szCs w:val="22"/>
        </w:rPr>
      </w:pPr>
      <w:r w:rsidRPr="00AD46A0">
        <w:rPr>
          <w:sz w:val="22"/>
          <w:szCs w:val="22"/>
        </w:rPr>
        <w:t>Detailed description of the proposed change(s), including (as appropriate) the location of the change(s) (for example, Station Number, Impact Area, etc.).</w:t>
      </w:r>
    </w:p>
    <w:p w14:paraId="7B46AE8C" w14:textId="77777777" w:rsidR="00AD46A0" w:rsidRPr="00AD46A0" w:rsidRDefault="00AD46A0" w:rsidP="00AD46A0">
      <w:pPr>
        <w:pStyle w:val="ListParagraph"/>
        <w:numPr>
          <w:ilvl w:val="1"/>
          <w:numId w:val="5"/>
        </w:numPr>
        <w:jc w:val="both"/>
        <w:rPr>
          <w:sz w:val="22"/>
          <w:szCs w:val="22"/>
        </w:rPr>
      </w:pPr>
      <w:r w:rsidRPr="00AD46A0">
        <w:rPr>
          <w:sz w:val="22"/>
          <w:szCs w:val="22"/>
        </w:rPr>
        <w:t>Documentation that the proposed impacts have been avoided and minimized to the maximum extent practicable.</w:t>
      </w:r>
    </w:p>
    <w:p w14:paraId="61A3321C" w14:textId="77777777" w:rsidR="00AD46A0" w:rsidRPr="00AD46A0" w:rsidRDefault="00AD46A0" w:rsidP="00AD46A0">
      <w:pPr>
        <w:pStyle w:val="ListParagraph"/>
        <w:numPr>
          <w:ilvl w:val="1"/>
          <w:numId w:val="5"/>
        </w:numPr>
        <w:jc w:val="both"/>
        <w:rPr>
          <w:sz w:val="22"/>
          <w:szCs w:val="22"/>
        </w:rPr>
      </w:pPr>
      <w:r w:rsidRPr="00AD46A0">
        <w:rPr>
          <w:sz w:val="22"/>
          <w:szCs w:val="22"/>
        </w:rPr>
        <w:t>Revised impacts map(s) and table, to include a to-scale hardcopy map(s) as needed.</w:t>
      </w:r>
    </w:p>
    <w:p w14:paraId="4CC642C0" w14:textId="77777777" w:rsidR="00AD46A0" w:rsidRPr="00AD46A0" w:rsidRDefault="00AD46A0" w:rsidP="00AD46A0">
      <w:pPr>
        <w:pStyle w:val="ListParagraph"/>
        <w:numPr>
          <w:ilvl w:val="1"/>
          <w:numId w:val="5"/>
        </w:numPr>
        <w:jc w:val="both"/>
        <w:rPr>
          <w:sz w:val="22"/>
          <w:szCs w:val="22"/>
        </w:rPr>
      </w:pPr>
      <w:r w:rsidRPr="00AD46A0">
        <w:rPr>
          <w:sz w:val="22"/>
          <w:szCs w:val="22"/>
        </w:rPr>
        <w:t>Conceptual compensation plan for additional permanent impacts (if applicable).</w:t>
      </w:r>
    </w:p>
    <w:p w14:paraId="6CFB8CC6" w14:textId="24C99B08" w:rsidR="00AD46A0" w:rsidRDefault="00AD46A0" w:rsidP="00AD46A0">
      <w:pPr>
        <w:pStyle w:val="ListParagraph"/>
        <w:numPr>
          <w:ilvl w:val="1"/>
          <w:numId w:val="5"/>
        </w:numPr>
        <w:jc w:val="both"/>
      </w:pPr>
      <w:r w:rsidRPr="00AD46A0">
        <w:rPr>
          <w:sz w:val="22"/>
          <w:szCs w:val="22"/>
        </w:rPr>
        <w:t xml:space="preserve">Documentation that the proposed change will not impact threatened and/or endangered species.  In some cases, the NOPC may affect </w:t>
      </w:r>
      <w:r w:rsidR="001027FA">
        <w:rPr>
          <w:sz w:val="22"/>
          <w:szCs w:val="22"/>
        </w:rPr>
        <w:t>T-E</w:t>
      </w:r>
      <w:r w:rsidRPr="00AD46A0">
        <w:rPr>
          <w:sz w:val="22"/>
          <w:szCs w:val="22"/>
        </w:rPr>
        <w:t xml:space="preserve"> conditions of coverage and staff may have to the coordinate the NOPC with the appropriate agencies.</w:t>
      </w:r>
    </w:p>
    <w:p w14:paraId="09547DA5" w14:textId="77777777" w:rsidR="00AD46A0" w:rsidRDefault="00AD46A0" w:rsidP="00AD46A0">
      <w:pPr>
        <w:ind w:left="720"/>
        <w:jc w:val="both"/>
      </w:pPr>
      <w:r>
        <w:t xml:space="preserve">Review should include ensuring that the new impact totals, including the new areas, are within the impact thresholds for the applicable general permit and the NOPC thresholds. If the impacts proposed in the NOPC are </w:t>
      </w:r>
      <w:r w:rsidRPr="00F84D34">
        <w:rPr>
          <w:u w:val="single"/>
        </w:rPr>
        <w:t>not</w:t>
      </w:r>
      <w:r>
        <w:t xml:space="preserve"> within the originally authorized project boundary or </w:t>
      </w:r>
      <w:r w:rsidRPr="00F84D34">
        <w:rPr>
          <w:u w:val="single"/>
        </w:rPr>
        <w:t>not</w:t>
      </w:r>
      <w:r>
        <w:t xml:space="preserve"> located in areas of </w:t>
      </w:r>
      <w:proofErr w:type="gramStart"/>
      <w:r>
        <w:t>directly-related</w:t>
      </w:r>
      <w:proofErr w:type="gramEnd"/>
      <w:r>
        <w:t xml:space="preserve"> off-site work, then the proposed additional impacts do not qualify for a NOPC (</w:t>
      </w:r>
      <w:r w:rsidRPr="009C2286">
        <w:t>see 7.</w:t>
      </w:r>
      <w:r w:rsidR="009C2286" w:rsidRPr="009C2286">
        <w:t>1</w:t>
      </w:r>
      <w:r w:rsidRPr="009C2286">
        <w:t>.3 below</w:t>
      </w:r>
      <w:r>
        <w:t>).</w:t>
      </w:r>
    </w:p>
    <w:p w14:paraId="0964E435" w14:textId="77777777" w:rsidR="00AD46A0" w:rsidRPr="00AD46A0" w:rsidRDefault="00AD46A0" w:rsidP="00AD46A0">
      <w:pPr>
        <w:pStyle w:val="ListParagraph"/>
        <w:numPr>
          <w:ilvl w:val="0"/>
          <w:numId w:val="5"/>
        </w:numPr>
        <w:jc w:val="both"/>
        <w:rPr>
          <w:sz w:val="22"/>
          <w:szCs w:val="22"/>
        </w:rPr>
      </w:pPr>
      <w:r w:rsidRPr="00AD46A0">
        <w:rPr>
          <w:i/>
          <w:sz w:val="22"/>
          <w:szCs w:val="22"/>
        </w:rPr>
        <w:t xml:space="preserve">Request additional information – </w:t>
      </w:r>
      <w:r w:rsidRPr="00AD46A0">
        <w:rPr>
          <w:sz w:val="22"/>
          <w:szCs w:val="22"/>
        </w:rPr>
        <w:t xml:space="preserve">Request any additional information necessary to adequately assess the request.  Examples of possible additional information needs are signed </w:t>
      </w:r>
      <w:r w:rsidR="005860F3">
        <w:rPr>
          <w:sz w:val="22"/>
          <w:szCs w:val="22"/>
        </w:rPr>
        <w:t>transfer</w:t>
      </w:r>
      <w:r w:rsidRPr="00AD46A0">
        <w:rPr>
          <w:sz w:val="22"/>
          <w:szCs w:val="22"/>
        </w:rPr>
        <w:t xml:space="preserve"> request forms, project (notice of planned change) purpose and need, revised impact maps (including a to-</w:t>
      </w:r>
      <w:r w:rsidRPr="00AD46A0">
        <w:rPr>
          <w:sz w:val="22"/>
          <w:szCs w:val="22"/>
        </w:rPr>
        <w:lastRenderedPageBreak/>
        <w:t>scale hardcopy if necessary), efforts to avoid and minimize additional impacts, and full mitigation of additional permanent impacts at ratios required by the general permit.</w:t>
      </w:r>
    </w:p>
    <w:p w14:paraId="7E9380BE" w14:textId="374AB61B" w:rsidR="00AD46A0" w:rsidRPr="00AD46A0" w:rsidRDefault="00AD46A0" w:rsidP="00AD46A0">
      <w:pPr>
        <w:pStyle w:val="ListParagraph"/>
        <w:numPr>
          <w:ilvl w:val="0"/>
          <w:numId w:val="5"/>
        </w:numPr>
        <w:jc w:val="both"/>
        <w:rPr>
          <w:sz w:val="22"/>
          <w:szCs w:val="22"/>
        </w:rPr>
      </w:pPr>
      <w:r w:rsidRPr="00AD46A0">
        <w:rPr>
          <w:i/>
          <w:sz w:val="22"/>
          <w:szCs w:val="22"/>
        </w:rPr>
        <w:t>Draft NOPC</w:t>
      </w:r>
      <w:r w:rsidRPr="00AD46A0">
        <w:rPr>
          <w:sz w:val="22"/>
          <w:szCs w:val="22"/>
        </w:rPr>
        <w:t xml:space="preserve"> – The permit writer drafts a NOPC approval </w:t>
      </w:r>
      <w:r w:rsidR="00385084">
        <w:rPr>
          <w:sz w:val="22"/>
          <w:szCs w:val="22"/>
        </w:rPr>
        <w:t xml:space="preserve">letter </w:t>
      </w:r>
      <w:r w:rsidRPr="00AD46A0">
        <w:rPr>
          <w:sz w:val="22"/>
          <w:szCs w:val="22"/>
        </w:rPr>
        <w:t xml:space="preserve">using the </w:t>
      </w:r>
      <w:r w:rsidRPr="00AD46A0">
        <w:rPr>
          <w:i/>
          <w:sz w:val="22"/>
          <w:szCs w:val="22"/>
        </w:rPr>
        <w:t>NOPC and Transfer Transmittal</w:t>
      </w:r>
      <w:r w:rsidRPr="00AD46A0">
        <w:rPr>
          <w:sz w:val="22"/>
          <w:szCs w:val="22"/>
        </w:rPr>
        <w:t xml:space="preserve"> template</w:t>
      </w:r>
      <w:r w:rsidR="00385084">
        <w:rPr>
          <w:sz w:val="22"/>
          <w:szCs w:val="22"/>
        </w:rPr>
        <w:t xml:space="preserve"> (template used for either action alone, or in combination</w:t>
      </w:r>
      <w:r w:rsidR="00CC39F1">
        <w:rPr>
          <w:sz w:val="22"/>
          <w:szCs w:val="22"/>
        </w:rPr>
        <w:t xml:space="preserve"> – see Ch 7 and Ch 10</w:t>
      </w:r>
      <w:r w:rsidR="00385084">
        <w:rPr>
          <w:sz w:val="22"/>
          <w:szCs w:val="22"/>
        </w:rPr>
        <w:t>)</w:t>
      </w:r>
      <w:r w:rsidRPr="00AD46A0">
        <w:rPr>
          <w:sz w:val="22"/>
          <w:szCs w:val="22"/>
        </w:rPr>
        <w:t>.  Revise only the relevant portions of the general permit coverage letter</w:t>
      </w:r>
      <w:r w:rsidR="00385084">
        <w:rPr>
          <w:sz w:val="22"/>
          <w:szCs w:val="22"/>
        </w:rPr>
        <w:t xml:space="preserve"> [</w:t>
      </w:r>
      <w:r w:rsidRPr="00AD46A0">
        <w:rPr>
          <w:sz w:val="22"/>
          <w:szCs w:val="22"/>
        </w:rPr>
        <w:t>in the case of an authorization provided before August 2, 2016, the general permit authorization cover page</w:t>
      </w:r>
      <w:r w:rsidR="00385084">
        <w:rPr>
          <w:sz w:val="22"/>
          <w:szCs w:val="22"/>
        </w:rPr>
        <w:t>]</w:t>
      </w:r>
      <w:r w:rsidRPr="00AD46A0">
        <w:rPr>
          <w:sz w:val="22"/>
          <w:szCs w:val="22"/>
        </w:rPr>
        <w:t>. If the NOPC action needs further clarification or explanation, staff may choose to draft a separate document, such as a permit summary sheet.</w:t>
      </w:r>
    </w:p>
    <w:p w14:paraId="7BBF01C4" w14:textId="77777777" w:rsidR="00AD46A0" w:rsidRPr="00AD46A0" w:rsidRDefault="00AD46A0" w:rsidP="00AD46A0">
      <w:pPr>
        <w:pStyle w:val="ListParagraph"/>
        <w:numPr>
          <w:ilvl w:val="0"/>
          <w:numId w:val="5"/>
        </w:numPr>
        <w:jc w:val="both"/>
        <w:rPr>
          <w:sz w:val="22"/>
          <w:szCs w:val="22"/>
        </w:rPr>
      </w:pPr>
      <w:r w:rsidRPr="00AD46A0">
        <w:rPr>
          <w:i/>
          <w:sz w:val="22"/>
          <w:szCs w:val="22"/>
        </w:rPr>
        <w:t xml:space="preserve">Attach the applicable General Permit – </w:t>
      </w:r>
      <w:r w:rsidRPr="00AD46A0">
        <w:rPr>
          <w:sz w:val="22"/>
          <w:szCs w:val="22"/>
        </w:rPr>
        <w:t>For general permit authorizations provided before August 2, 2106, attach the general permit conditions provided with the original general permit authorization. Since new regulatory requirements may now apply, however, add any necessary additional conditions to the general permit authorization cover page as Authorization Notes.</w:t>
      </w:r>
      <w:r w:rsidR="00385084">
        <w:rPr>
          <w:sz w:val="22"/>
          <w:szCs w:val="22"/>
        </w:rPr>
        <w:t xml:space="preserve"> The ‘NOPC package’ consists of the NOPC and Transfer Transmittal letter; the revised general permit authorization cover page; and a copy of the original general permit provided to the permittee.</w:t>
      </w:r>
    </w:p>
    <w:p w14:paraId="69B3A912" w14:textId="77777777" w:rsidR="00AD46A0" w:rsidRPr="00AD46A0" w:rsidRDefault="00AD46A0" w:rsidP="00AD46A0">
      <w:pPr>
        <w:pStyle w:val="ListParagraph"/>
        <w:numPr>
          <w:ilvl w:val="0"/>
          <w:numId w:val="5"/>
        </w:numPr>
        <w:jc w:val="both"/>
        <w:rPr>
          <w:sz w:val="22"/>
          <w:szCs w:val="22"/>
        </w:rPr>
      </w:pPr>
      <w:r w:rsidRPr="00AD46A0">
        <w:rPr>
          <w:i/>
          <w:sz w:val="22"/>
          <w:szCs w:val="22"/>
        </w:rPr>
        <w:t xml:space="preserve">NOPC Approval – </w:t>
      </w:r>
      <w:r w:rsidRPr="00AD46A0">
        <w:rPr>
          <w:sz w:val="22"/>
          <w:szCs w:val="22"/>
        </w:rPr>
        <w:t>The NOPC’s package is signed by the Regional VWP Program Manager.  Once signed, it is distributed to the permittee, with the appropriate copies to the agent and USACE (if applicable).</w:t>
      </w:r>
    </w:p>
    <w:p w14:paraId="2C6A14E5" w14:textId="77777777" w:rsidR="00AD46A0" w:rsidRDefault="00AD46A0" w:rsidP="00AD46A0">
      <w:pPr>
        <w:pStyle w:val="ListParagraph"/>
        <w:numPr>
          <w:ilvl w:val="0"/>
          <w:numId w:val="5"/>
        </w:numPr>
        <w:jc w:val="both"/>
        <w:rPr>
          <w:sz w:val="22"/>
          <w:szCs w:val="22"/>
        </w:rPr>
      </w:pPr>
      <w:r w:rsidRPr="00AD46A0">
        <w:rPr>
          <w:i/>
          <w:sz w:val="22"/>
          <w:szCs w:val="22"/>
        </w:rPr>
        <w:t>Update CEDS</w:t>
      </w:r>
      <w:r w:rsidRPr="00AD46A0">
        <w:rPr>
          <w:sz w:val="22"/>
          <w:szCs w:val="22"/>
        </w:rPr>
        <w:t xml:space="preserve"> – The permit writer updates CEDS following the CEDS manual and uploads appropriate documents to ECM.</w:t>
      </w:r>
    </w:p>
    <w:p w14:paraId="7CB06A9B" w14:textId="77777777" w:rsidR="00AD46A0" w:rsidRDefault="00AD46A0" w:rsidP="00AD46A0">
      <w:pPr>
        <w:pStyle w:val="Heading3"/>
      </w:pPr>
      <w:bookmarkStart w:id="5" w:name="_Toc155874699"/>
      <w:r>
        <w:t>7.1.3 Denying a NOPC</w:t>
      </w:r>
      <w:bookmarkEnd w:id="5"/>
    </w:p>
    <w:p w14:paraId="16F6BF36" w14:textId="77777777" w:rsidR="00AD46A0" w:rsidRDefault="00AD46A0" w:rsidP="00AD46A0">
      <w:pPr>
        <w:jc w:val="both"/>
      </w:pPr>
      <w:r w:rsidRPr="001274F0">
        <w:t>In the event that DEQ Staff determines that a</w:t>
      </w:r>
      <w:r>
        <w:t>n</w:t>
      </w:r>
      <w:r w:rsidRPr="001274F0">
        <w:t xml:space="preserve"> NOPC request does not </w:t>
      </w:r>
      <w:r>
        <w:t>comply</w:t>
      </w:r>
      <w:r w:rsidRPr="001274F0">
        <w:t xml:space="preserve"> with the</w:t>
      </w:r>
      <w:r>
        <w:t xml:space="preserve"> regulatory</w:t>
      </w:r>
      <w:r w:rsidRPr="001274F0">
        <w:t xml:space="preserve"> NOPC requirements, appropriate justification </w:t>
      </w:r>
      <w:r>
        <w:t xml:space="preserve">must </w:t>
      </w:r>
      <w:r w:rsidRPr="001274F0">
        <w:t xml:space="preserve">be documented </w:t>
      </w:r>
      <w:r>
        <w:t>in the file and communicated</w:t>
      </w:r>
      <w:r w:rsidRPr="001274F0">
        <w:t xml:space="preserve"> to the permittee.  </w:t>
      </w:r>
      <w:r>
        <w:t>A NOPC</w:t>
      </w:r>
      <w:r w:rsidRPr="001274F0">
        <w:t xml:space="preserve"> request may not qualify </w:t>
      </w:r>
      <w:r>
        <w:t>due to</w:t>
      </w:r>
      <w:r w:rsidRPr="001274F0">
        <w:t xml:space="preserve"> inadequate avoidance and minimization of proposed additional </w:t>
      </w:r>
      <w:r>
        <w:t xml:space="preserve">permanent </w:t>
      </w:r>
      <w:r w:rsidRPr="001274F0">
        <w:t>impacts or</w:t>
      </w:r>
      <w:r>
        <w:t xml:space="preserve"> the </w:t>
      </w:r>
      <w:r w:rsidRPr="001274F0">
        <w:t>increase in impacts</w:t>
      </w:r>
      <w:r>
        <w:t xml:space="preserve"> exceeds the NOPC or general permit thresholds</w:t>
      </w:r>
      <w:r w:rsidRPr="001274F0">
        <w:t>.</w:t>
      </w:r>
    </w:p>
    <w:p w14:paraId="13123AAF" w14:textId="77777777" w:rsidR="00AD46A0" w:rsidRPr="00AD46A0" w:rsidRDefault="00AD46A0" w:rsidP="00AD46A0">
      <w:pPr>
        <w:pStyle w:val="ListParagraph"/>
        <w:numPr>
          <w:ilvl w:val="0"/>
          <w:numId w:val="10"/>
        </w:numPr>
        <w:jc w:val="both"/>
        <w:rPr>
          <w:sz w:val="22"/>
          <w:szCs w:val="22"/>
        </w:rPr>
      </w:pPr>
      <w:r w:rsidRPr="00AD46A0">
        <w:rPr>
          <w:sz w:val="22"/>
          <w:szCs w:val="22"/>
        </w:rPr>
        <w:t>Notification to the permittee that the request cannot be processed due to lack of avoidance and minimization or other decision that staff must make should be signed by the Regional VWP Program Manager and mailed to the permittee (email is acceptable).</w:t>
      </w:r>
    </w:p>
    <w:p w14:paraId="3D620AAA" w14:textId="77777777" w:rsidR="00AD46A0" w:rsidRPr="00AD46A0" w:rsidRDefault="00AD46A0" w:rsidP="00AD46A0">
      <w:pPr>
        <w:pStyle w:val="ListParagraph"/>
        <w:numPr>
          <w:ilvl w:val="0"/>
          <w:numId w:val="10"/>
        </w:numPr>
        <w:jc w:val="both"/>
      </w:pPr>
      <w:r w:rsidRPr="00AD46A0">
        <w:rPr>
          <w:sz w:val="22"/>
          <w:szCs w:val="22"/>
        </w:rPr>
        <w:t>Notification to the permittee that the request cannot be processed because the request clearly does qualify for any of the NOPC criterion can be sent by staff.</w:t>
      </w:r>
    </w:p>
    <w:p w14:paraId="753FF359" w14:textId="77777777" w:rsidR="00AD46A0" w:rsidRDefault="00AD46A0" w:rsidP="00AD46A0">
      <w:pPr>
        <w:jc w:val="both"/>
      </w:pPr>
      <w:r>
        <w:t>Staff should discuss the matter with the permittee (or their authorized agent) prior to sending the notification and address any concerns of submitting an application requesting new coverage under a general permit upon termination of the existing permit coverage.</w:t>
      </w:r>
    </w:p>
    <w:p w14:paraId="31678423" w14:textId="77777777" w:rsidR="00AD46A0" w:rsidRDefault="00AD46A0" w:rsidP="00AD46A0">
      <w:pPr>
        <w:pStyle w:val="Heading2"/>
      </w:pPr>
      <w:bookmarkStart w:id="6" w:name="_Toc155874700"/>
      <w:r>
        <w:t>7.2 Transfer of Permit Coverage</w:t>
      </w:r>
      <w:bookmarkEnd w:id="6"/>
    </w:p>
    <w:p w14:paraId="6B44EE48" w14:textId="31EAA8FB" w:rsidR="00AD46A0" w:rsidRDefault="00E840C4" w:rsidP="00AD46A0">
      <w:pPr>
        <w:rPr>
          <w:rFonts w:eastAsia="Times New Roman"/>
          <w:b/>
        </w:rPr>
      </w:pPr>
      <w:r>
        <w:rPr>
          <w:rFonts w:eastAsia="Times New Roman"/>
          <w:bCs/>
        </w:rPr>
        <w:t xml:space="preserve">Provisions regarding Transfers are found in each VWP general permit regulation: </w:t>
      </w:r>
      <w:hyperlink r:id="rId15" w:history="1">
        <w:r w:rsidR="00AD46A0" w:rsidRPr="000A5720">
          <w:rPr>
            <w:rStyle w:val="Hyperlink"/>
            <w:rFonts w:eastAsia="Times New Roman"/>
            <w:b/>
          </w:rPr>
          <w:t>9VAC25-660-</w:t>
        </w:r>
        <w:r w:rsidR="00AD46A0" w:rsidRPr="000A5720">
          <w:rPr>
            <w:rStyle w:val="Hyperlink"/>
            <w:b/>
          </w:rPr>
          <w:t>100</w:t>
        </w:r>
      </w:hyperlink>
      <w:r w:rsidR="00AD46A0" w:rsidRPr="00F7685A">
        <w:rPr>
          <w:b/>
        </w:rPr>
        <w:t xml:space="preserve"> Part III</w:t>
      </w:r>
      <w:r w:rsidR="000A5720">
        <w:rPr>
          <w:b/>
        </w:rPr>
        <w:t>.</w:t>
      </w:r>
      <w:r w:rsidR="00AD46A0" w:rsidRPr="00F7685A">
        <w:rPr>
          <w:b/>
        </w:rPr>
        <w:t>H</w:t>
      </w:r>
      <w:r w:rsidR="00AD46A0" w:rsidRPr="00F7685A">
        <w:rPr>
          <w:rFonts w:eastAsia="Times New Roman"/>
          <w:b/>
        </w:rPr>
        <w:t xml:space="preserve"> (WP1); </w:t>
      </w:r>
      <w:hyperlink r:id="rId16" w:history="1">
        <w:r w:rsidR="00AD46A0" w:rsidRPr="00552861">
          <w:rPr>
            <w:rStyle w:val="Hyperlink"/>
            <w:rFonts w:eastAsia="Times New Roman"/>
            <w:b/>
          </w:rPr>
          <w:t>9VAC25-670-</w:t>
        </w:r>
        <w:r w:rsidR="00AD46A0" w:rsidRPr="00552861">
          <w:rPr>
            <w:rStyle w:val="Hyperlink"/>
            <w:b/>
          </w:rPr>
          <w:t>100</w:t>
        </w:r>
      </w:hyperlink>
      <w:r w:rsidR="00AD46A0" w:rsidRPr="00F7685A">
        <w:rPr>
          <w:b/>
        </w:rPr>
        <w:t xml:space="preserve"> Part III</w:t>
      </w:r>
      <w:r w:rsidR="00552861">
        <w:rPr>
          <w:b/>
        </w:rPr>
        <w:t>.</w:t>
      </w:r>
      <w:r w:rsidR="00AD46A0" w:rsidRPr="00F7685A">
        <w:rPr>
          <w:b/>
        </w:rPr>
        <w:t>H</w:t>
      </w:r>
      <w:r w:rsidR="00AD46A0" w:rsidRPr="00F7685A">
        <w:rPr>
          <w:rFonts w:eastAsia="Times New Roman"/>
          <w:b/>
        </w:rPr>
        <w:t xml:space="preserve"> (WP2); </w:t>
      </w:r>
      <w:hyperlink r:id="rId17" w:history="1">
        <w:r w:rsidR="00AD46A0" w:rsidRPr="00867B8B">
          <w:rPr>
            <w:rStyle w:val="Hyperlink"/>
            <w:rFonts w:eastAsia="Times New Roman"/>
            <w:b/>
          </w:rPr>
          <w:t>9VAC25-680</w:t>
        </w:r>
        <w:r w:rsidR="00AD46A0" w:rsidRPr="00867B8B">
          <w:rPr>
            <w:rStyle w:val="Hyperlink"/>
            <w:b/>
          </w:rPr>
          <w:t>-100</w:t>
        </w:r>
      </w:hyperlink>
      <w:r w:rsidR="00AD46A0" w:rsidRPr="00F7685A">
        <w:rPr>
          <w:b/>
        </w:rPr>
        <w:t xml:space="preserve"> Part III</w:t>
      </w:r>
      <w:r w:rsidR="00552861">
        <w:rPr>
          <w:b/>
        </w:rPr>
        <w:t>.</w:t>
      </w:r>
      <w:r w:rsidR="00AD46A0" w:rsidRPr="00F7685A">
        <w:rPr>
          <w:b/>
        </w:rPr>
        <w:t>H</w:t>
      </w:r>
      <w:r w:rsidR="00AD46A0" w:rsidRPr="00F7685A">
        <w:rPr>
          <w:rFonts w:eastAsia="Times New Roman"/>
          <w:b/>
        </w:rPr>
        <w:t xml:space="preserve"> (WP3); </w:t>
      </w:r>
      <w:hyperlink r:id="rId18" w:history="1">
        <w:r w:rsidR="00AD46A0" w:rsidRPr="00BA1617">
          <w:rPr>
            <w:rStyle w:val="Hyperlink"/>
            <w:rFonts w:eastAsia="Times New Roman"/>
            <w:b/>
          </w:rPr>
          <w:t>9VAC25-690</w:t>
        </w:r>
        <w:r w:rsidR="00AD46A0" w:rsidRPr="00BA1617">
          <w:rPr>
            <w:rStyle w:val="Hyperlink"/>
            <w:b/>
          </w:rPr>
          <w:t>-100</w:t>
        </w:r>
      </w:hyperlink>
      <w:r w:rsidR="00AD46A0" w:rsidRPr="00F7685A">
        <w:rPr>
          <w:b/>
        </w:rPr>
        <w:t xml:space="preserve"> Part III</w:t>
      </w:r>
      <w:r w:rsidR="00552861">
        <w:rPr>
          <w:b/>
        </w:rPr>
        <w:t>.</w:t>
      </w:r>
      <w:r w:rsidR="00AD46A0" w:rsidRPr="00F7685A">
        <w:rPr>
          <w:b/>
        </w:rPr>
        <w:t>H</w:t>
      </w:r>
      <w:r w:rsidR="00AD46A0" w:rsidRPr="00F7685A">
        <w:rPr>
          <w:rFonts w:eastAsia="Times New Roman"/>
          <w:b/>
        </w:rPr>
        <w:t xml:space="preserve"> (WP4)</w:t>
      </w:r>
    </w:p>
    <w:p w14:paraId="4E762981" w14:textId="77777777" w:rsidR="00AD46A0" w:rsidRDefault="00AD46A0" w:rsidP="00895D4F">
      <w:pPr>
        <w:jc w:val="both"/>
      </w:pPr>
      <w:r>
        <w:t>At this time, a transfer of VWP general permit coverage is processed like a Notice of Planned Change (NOPC), as discussed in Chapter 10.</w:t>
      </w:r>
    </w:p>
    <w:p w14:paraId="262322B1" w14:textId="77777777" w:rsidR="001E354A" w:rsidRDefault="001E354A" w:rsidP="009F40AE">
      <w:pPr>
        <w:pStyle w:val="Heading2"/>
        <w:jc w:val="both"/>
      </w:pPr>
      <w:bookmarkStart w:id="7" w:name="_Toc155874701"/>
      <w:r>
        <w:t>7.3 Changes that Exceed General Permit Limits</w:t>
      </w:r>
      <w:bookmarkEnd w:id="7"/>
    </w:p>
    <w:p w14:paraId="2CF69833" w14:textId="209D91C9" w:rsidR="001E354A" w:rsidRDefault="001E354A" w:rsidP="009F40AE">
      <w:pPr>
        <w:jc w:val="both"/>
      </w:pPr>
      <w:r>
        <w:t xml:space="preserve">Should a project change after being authorized under a VWP general permit coverage, such that the general permit acreage or linear footage limits are exceeded, the </w:t>
      </w:r>
      <w:r w:rsidR="00CA106D">
        <w:t xml:space="preserve">activity(ies) may qualify for </w:t>
      </w:r>
      <w:r>
        <w:t>a VWP individual permit. In most cases, the permittee will be required to terminate the general permit coverage and proceed with the project under the VWP individual permit process. This includes an application fee.</w:t>
      </w:r>
    </w:p>
    <w:p w14:paraId="6C52D7AC" w14:textId="15AA40FF" w:rsidR="00BD35AC" w:rsidRDefault="001E354A" w:rsidP="009F40AE">
      <w:pPr>
        <w:jc w:val="both"/>
      </w:pPr>
      <w:r>
        <w:lastRenderedPageBreak/>
        <w:t>At a minimum, this situation will incur the $2,400 application fee for a VWP individual permit.</w:t>
      </w:r>
      <w:r w:rsidR="00BD35AC" w:rsidRPr="00BD35AC">
        <w:t xml:space="preserve"> </w:t>
      </w:r>
      <w:r w:rsidR="00BD35AC">
        <w:t xml:space="preserve">Additional </w:t>
      </w:r>
      <w:r w:rsidR="00BD35AC" w:rsidRPr="00895D4F">
        <w:t xml:space="preserve">fees are applied only when the impacts exceed 2 acres and are determined by the number of </w:t>
      </w:r>
      <w:r w:rsidR="00B93628">
        <w:t xml:space="preserve">whole-valued </w:t>
      </w:r>
      <w:r w:rsidR="00BD35AC" w:rsidRPr="00895D4F">
        <w:t>tenths of an acre over th</w:t>
      </w:r>
      <w:r w:rsidR="00BD35AC">
        <w:t>e 2-acre limit</w:t>
      </w:r>
      <w:r w:rsidR="0054366E">
        <w:rPr>
          <w:rStyle w:val="FootnoteReference"/>
        </w:rPr>
        <w:footnoteReference w:id="1"/>
      </w:r>
      <w:r w:rsidR="00BD35AC">
        <w:t xml:space="preserve">. For example, </w:t>
      </w:r>
      <w:r w:rsidR="00B93628">
        <w:t xml:space="preserve">a total of </w:t>
      </w:r>
      <w:r w:rsidR="00BD35AC">
        <w:t xml:space="preserve">2.528 acres would </w:t>
      </w:r>
      <w:r w:rsidR="00B93628">
        <w:t xml:space="preserve">incur an additional fee based on </w:t>
      </w:r>
      <w:r w:rsidR="00BD35AC">
        <w:t>round</w:t>
      </w:r>
      <w:r w:rsidR="00B93628">
        <w:t>ing up</w:t>
      </w:r>
      <w:r w:rsidR="00BD35AC">
        <w:t xml:space="preserve"> to the </w:t>
      </w:r>
      <w:r w:rsidR="00B93628">
        <w:t xml:space="preserve">next whole </w:t>
      </w:r>
      <w:r w:rsidR="00BD35AC">
        <w:t>tenth</w:t>
      </w:r>
      <w:r w:rsidR="00B93628">
        <w:t>s place</w:t>
      </w:r>
      <w:r w:rsidR="00BD35AC">
        <w:t xml:space="preserve"> </w:t>
      </w:r>
      <w:r w:rsidR="00B93628">
        <w:t xml:space="preserve">value </w:t>
      </w:r>
      <w:r w:rsidR="00BD35AC">
        <w:t>(</w:t>
      </w:r>
      <w:r w:rsidR="00B93628">
        <w:t xml:space="preserve">0.528 to </w:t>
      </w:r>
      <w:r w:rsidR="00BD35AC">
        <w:t>0.</w:t>
      </w:r>
      <w:r w:rsidR="00B93628">
        <w:t>6</w:t>
      </w:r>
      <w:r w:rsidR="00BD35AC">
        <w:t>).</w:t>
      </w:r>
    </w:p>
    <w:p w14:paraId="0B39A357" w14:textId="063E4BF5" w:rsidR="001E354A" w:rsidRDefault="00895D4F" w:rsidP="009F40AE">
      <w:pPr>
        <w:jc w:val="both"/>
      </w:pPr>
      <w:r>
        <w:t>If any impacts authorized by the general permit coverage are not completed, the acreage of these impacts must be considered when calculating the final fee. Also, a</w:t>
      </w:r>
      <w:r w:rsidR="001E354A">
        <w:t xml:space="preserve">dditional fees may apply per </w:t>
      </w:r>
      <w:hyperlink r:id="rId19" w:history="1">
        <w:r w:rsidR="001E354A" w:rsidRPr="000A5720">
          <w:rPr>
            <w:rStyle w:val="Hyperlink"/>
          </w:rPr>
          <w:t xml:space="preserve">9VAC25-20 </w:t>
        </w:r>
        <w:r w:rsidR="001E354A" w:rsidRPr="00CD3302">
          <w:rPr>
            <w:rStyle w:val="Hyperlink"/>
            <w:i/>
            <w:iCs/>
          </w:rPr>
          <w:t>et seq</w:t>
        </w:r>
      </w:hyperlink>
      <w:r w:rsidR="001E354A">
        <w:t>.</w:t>
      </w:r>
      <w:r w:rsidRPr="00895D4F">
        <w:t xml:space="preserve"> </w:t>
      </w:r>
      <w:r>
        <w:t>depending upon the amount, if any, of surface water acres being impacted but not previously authorized, including converted stream linear footage.</w:t>
      </w:r>
    </w:p>
    <w:p w14:paraId="3D3BE6AB" w14:textId="77777777" w:rsidR="001E354A" w:rsidRDefault="001E354A" w:rsidP="009F40AE">
      <w:pPr>
        <w:jc w:val="both"/>
      </w:pPr>
      <w:r>
        <w:t>Example</w:t>
      </w:r>
      <w:r w:rsidR="00BF2774">
        <w:t xml:space="preserve"> 1</w:t>
      </w:r>
      <w:r w:rsidR="00895D4F">
        <w:t xml:space="preserve"> – No Impacts Taken</w:t>
      </w:r>
      <w:r>
        <w:t>:</w:t>
      </w:r>
    </w:p>
    <w:p w14:paraId="3E0D1273" w14:textId="77777777" w:rsidR="001E354A" w:rsidRPr="00BF2774" w:rsidRDefault="001E354A" w:rsidP="00344E96">
      <w:pPr>
        <w:ind w:left="720"/>
        <w:jc w:val="both"/>
      </w:pPr>
      <w:r>
        <w:t>The applicable VWP general permit limits wetland impacts to 2 acres. The example general permit coverage authorized 1 acre of wetland impacts – the application fee was paid</w:t>
      </w:r>
      <w:r w:rsidR="00895D4F">
        <w:t xml:space="preserve"> but no impacts have been taken to date</w:t>
      </w:r>
      <w:r>
        <w:t xml:space="preserve">. The project changes such that an additional 1.5 acres of wetlands will be impacted. The total </w:t>
      </w:r>
      <w:r w:rsidR="00BF2774">
        <w:t xml:space="preserve">surface water </w:t>
      </w:r>
      <w:r>
        <w:t>impacts are now 2.5 acres. The permittee terminates general permit coverage and applies for a VWP individual permit. The application fee applied to this action would be:</w:t>
      </w:r>
    </w:p>
    <w:p w14:paraId="1689A7F0" w14:textId="77777777" w:rsidR="001E354A" w:rsidRPr="00895D4F" w:rsidRDefault="001E354A" w:rsidP="009F40AE">
      <w:pPr>
        <w:ind w:left="720"/>
        <w:jc w:val="both"/>
      </w:pPr>
      <w:r w:rsidRPr="00895D4F">
        <w:t>$2,400</w:t>
      </w:r>
      <w:r w:rsidRPr="00895D4F">
        <w:tab/>
        <w:t>[individual permit application fee] +</w:t>
      </w:r>
    </w:p>
    <w:p w14:paraId="39FC53B7" w14:textId="0C272600" w:rsidR="001E354A" w:rsidRPr="00895D4F" w:rsidRDefault="001E354A" w:rsidP="009F40AE">
      <w:pPr>
        <w:ind w:left="720"/>
        <w:jc w:val="both"/>
      </w:pPr>
      <w:r w:rsidRPr="00895D4F">
        <w:t>$1,100 [additional fees calculated at $220 per 1/10 of an acre over 2 acres, or $220 * 5]</w:t>
      </w:r>
    </w:p>
    <w:p w14:paraId="681547B7" w14:textId="1492E48D" w:rsidR="00344E96" w:rsidRPr="00895D4F" w:rsidRDefault="00BF2774" w:rsidP="00344E96">
      <w:pPr>
        <w:ind w:left="720"/>
        <w:jc w:val="both"/>
      </w:pPr>
      <w:r>
        <w:t xml:space="preserve">= </w:t>
      </w:r>
      <w:r w:rsidR="001E354A" w:rsidRPr="00895D4F">
        <w:t>$3,500 [total fee for this example]</w:t>
      </w:r>
    </w:p>
    <w:p w14:paraId="586592A6" w14:textId="77777777" w:rsidR="001E354A" w:rsidRDefault="001E354A" w:rsidP="009F40AE">
      <w:pPr>
        <w:jc w:val="both"/>
      </w:pPr>
      <w:r>
        <w:t>Example</w:t>
      </w:r>
      <w:r w:rsidR="00BF2774">
        <w:t xml:space="preserve"> 2</w:t>
      </w:r>
      <w:r w:rsidR="00895D4F">
        <w:t xml:space="preserve"> - No Impacts Taken</w:t>
      </w:r>
      <w:r>
        <w:t>:</w:t>
      </w:r>
    </w:p>
    <w:p w14:paraId="4BB7C4E5" w14:textId="070C8073" w:rsidR="001E354A" w:rsidRPr="00BF2774" w:rsidRDefault="001E354A" w:rsidP="00344E96">
      <w:pPr>
        <w:ind w:left="720"/>
        <w:jc w:val="both"/>
      </w:pPr>
      <w:r>
        <w:t>The applicable VWP general permit limits wetland impacts to 2 acres and stream impacts to 1,500 linear feet. The example general permit coverage authorized 1 acre of wetland impacts and 1,000 linear feet of stream impacts that averaged 5 feet wide at the impact site(s)</w:t>
      </w:r>
      <w:r w:rsidR="00895D4F" w:rsidRPr="00895D4F">
        <w:t xml:space="preserve"> </w:t>
      </w:r>
      <w:r w:rsidR="00CA106D">
        <w:t xml:space="preserve">[thus, 0.115 of an </w:t>
      </w:r>
      <w:proofErr w:type="gramStart"/>
      <w:r w:rsidR="00CA106D">
        <w:t>acre stream impacts</w:t>
      </w:r>
      <w:proofErr w:type="gramEnd"/>
      <w:r w:rsidR="00CA106D">
        <w:t xml:space="preserve"> when converted to acreage</w:t>
      </w:r>
      <w:r w:rsidR="0054366E">
        <w:rPr>
          <w:rStyle w:val="FootnoteReference"/>
        </w:rPr>
        <w:footnoteReference w:id="2"/>
      </w:r>
      <w:r w:rsidR="00CA106D">
        <w:t>], totaling 1.115 acres of surface water impacts. T</w:t>
      </w:r>
      <w:r w:rsidR="00895D4F">
        <w:t>he application fee was paid but no impacts have been taken to date</w:t>
      </w:r>
      <w:r>
        <w:t>. The project changes such that an additional 1.5 acres of wetlands and 1,000 linear feet of stream will be impacted</w:t>
      </w:r>
      <w:r w:rsidR="00CA106D">
        <w:t xml:space="preserve"> [thus, 0.023 of an </w:t>
      </w:r>
      <w:proofErr w:type="gramStart"/>
      <w:r w:rsidR="00CA106D">
        <w:t>acre stream impacts</w:t>
      </w:r>
      <w:proofErr w:type="gramEnd"/>
      <w:r w:rsidR="00CA106D">
        <w:t xml:space="preserve"> when converted to acreage], totaling an </w:t>
      </w:r>
      <w:r w:rsidR="00CA106D" w:rsidRPr="009F40AE">
        <w:rPr>
          <w:i/>
        </w:rPr>
        <w:t>additional</w:t>
      </w:r>
      <w:r w:rsidR="00CA106D">
        <w:t xml:space="preserve"> 1.523 acres of surface water impacts</w:t>
      </w:r>
      <w:r>
        <w:t>. The total impacts are now 2.5 acres</w:t>
      </w:r>
      <w:r w:rsidR="00BA3AE8">
        <w:t xml:space="preserve"> of wetlands</w:t>
      </w:r>
      <w:r>
        <w:t xml:space="preserve"> and 2,000 linear feet</w:t>
      </w:r>
      <w:r w:rsidR="00BA3AE8">
        <w:t xml:space="preserve"> of streams, or 2.638 acres of surface water impacts</w:t>
      </w:r>
      <w:r>
        <w:t>. The permittee terminates general permit coverage and applies for a VWP individual permit. The application fee applied to this action would be:</w:t>
      </w:r>
    </w:p>
    <w:p w14:paraId="64094FD1" w14:textId="77777777" w:rsidR="001E354A" w:rsidRPr="00895D4F" w:rsidRDefault="001E354A" w:rsidP="009F40AE">
      <w:pPr>
        <w:ind w:left="720"/>
        <w:jc w:val="both"/>
      </w:pPr>
      <w:r w:rsidRPr="00895D4F">
        <w:t>$2,400</w:t>
      </w:r>
      <w:r w:rsidRPr="00895D4F">
        <w:tab/>
        <w:t>[individual permit application fee] +</w:t>
      </w:r>
    </w:p>
    <w:p w14:paraId="544801D5" w14:textId="411187BB" w:rsidR="001E354A" w:rsidRPr="00895D4F" w:rsidRDefault="001E354A" w:rsidP="009F40AE">
      <w:pPr>
        <w:ind w:left="720"/>
        <w:jc w:val="both"/>
      </w:pPr>
      <w:r w:rsidRPr="00895D4F">
        <w:t>$1,</w:t>
      </w:r>
      <w:r w:rsidR="00B93628">
        <w:t>54</w:t>
      </w:r>
      <w:r w:rsidRPr="00895D4F">
        <w:t>0</w:t>
      </w:r>
      <w:r w:rsidR="00BF2774" w:rsidRPr="00895D4F">
        <w:t xml:space="preserve"> [additional fees]</w:t>
      </w:r>
    </w:p>
    <w:p w14:paraId="32AEBD99" w14:textId="6B52DB3B" w:rsidR="001E354A" w:rsidRPr="0054366E" w:rsidRDefault="00BA3AE8" w:rsidP="00344E96">
      <w:pPr>
        <w:ind w:left="1440"/>
        <w:jc w:val="both"/>
      </w:pPr>
      <w:r>
        <w:lastRenderedPageBreak/>
        <w:t>T</w:t>
      </w:r>
      <w:r w:rsidR="001E354A" w:rsidRPr="00895D4F">
        <w:t>he</w:t>
      </w:r>
      <w:r>
        <w:t xml:space="preserve"> surface water</w:t>
      </w:r>
      <w:r w:rsidR="001E354A" w:rsidRPr="00895D4F">
        <w:t xml:space="preserve"> impacts exceed 2 acres by 0.</w:t>
      </w:r>
      <w:r>
        <w:t>638</w:t>
      </w:r>
      <w:r w:rsidR="001E354A" w:rsidRPr="00895D4F">
        <w:t xml:space="preserve"> of an </w:t>
      </w:r>
      <w:proofErr w:type="gramStart"/>
      <w:r w:rsidR="001E354A" w:rsidRPr="00895D4F">
        <w:t>acre</w:t>
      </w:r>
      <w:proofErr w:type="gramEnd"/>
      <w:r w:rsidR="00BD35AC">
        <w:t xml:space="preserve"> [rounded to 0.</w:t>
      </w:r>
      <w:r w:rsidR="00B93628">
        <w:t>7</w:t>
      </w:r>
      <w:r>
        <w:t>]</w:t>
      </w:r>
      <w:r w:rsidR="001E354A" w:rsidRPr="00895D4F">
        <w:t xml:space="preserve">. Thus, $220 per 1/10 of an acre over 2 acres, or $220 * </w:t>
      </w:r>
      <w:r w:rsidR="00B93628">
        <w:t>7</w:t>
      </w:r>
      <w:r w:rsidR="001E354A" w:rsidRPr="00895D4F">
        <w:t xml:space="preserve"> = $1,</w:t>
      </w:r>
      <w:r w:rsidR="00B93628">
        <w:t>54</w:t>
      </w:r>
      <w:r w:rsidR="001E354A" w:rsidRPr="00895D4F">
        <w:t>0</w:t>
      </w:r>
      <w:r w:rsidR="00B93628">
        <w:t>.</w:t>
      </w:r>
    </w:p>
    <w:p w14:paraId="122BC168" w14:textId="3CE9844D" w:rsidR="001E354A" w:rsidRDefault="00BF2774" w:rsidP="00344E96">
      <w:pPr>
        <w:ind w:left="720"/>
        <w:jc w:val="both"/>
      </w:pPr>
      <w:r>
        <w:t xml:space="preserve">= </w:t>
      </w:r>
      <w:r w:rsidR="001E354A" w:rsidRPr="00895D4F">
        <w:t>$3,</w:t>
      </w:r>
      <w:r w:rsidR="0054366E">
        <w:t>94</w:t>
      </w:r>
      <w:r w:rsidR="001E354A" w:rsidRPr="00895D4F">
        <w:t>0 [total fee for this example]</w:t>
      </w:r>
    </w:p>
    <w:p w14:paraId="6585654C" w14:textId="77777777" w:rsidR="00344E96" w:rsidRPr="00344E96" w:rsidRDefault="00344E96" w:rsidP="00344E96">
      <w:pPr>
        <w:ind w:left="720"/>
        <w:jc w:val="both"/>
      </w:pPr>
    </w:p>
    <w:p w14:paraId="33A770BF" w14:textId="77777777" w:rsidR="00895D4F" w:rsidRDefault="00895D4F" w:rsidP="00895D4F">
      <w:pPr>
        <w:jc w:val="both"/>
      </w:pPr>
      <w:r>
        <w:t>Example 3 – Partial Impacts Taken:</w:t>
      </w:r>
    </w:p>
    <w:p w14:paraId="399D318B" w14:textId="77777777" w:rsidR="00895D4F" w:rsidRPr="00BF2774" w:rsidRDefault="00895D4F" w:rsidP="00344E96">
      <w:pPr>
        <w:ind w:left="720"/>
        <w:jc w:val="both"/>
      </w:pPr>
      <w:r>
        <w:t xml:space="preserve">The applicable VWP general permit limits wetland impacts to 2 acres. The example general permit coverage authorized 2 acres of wetland impacts – the application fee was paid, and 1 acre was filled to create a parking lot. The project changes such that an additional </w:t>
      </w:r>
      <w:r w:rsidR="00830196">
        <w:t>0</w:t>
      </w:r>
      <w:r>
        <w:t xml:space="preserve">.5 acres of wetlands will be impacted. The total surface water impacts are now </w:t>
      </w:r>
      <w:r w:rsidR="00830196">
        <w:t>2</w:t>
      </w:r>
      <w:r>
        <w:t>.5 acres; however, one acre no longer requires an application to impact since it was filled under the authorization of the original permit coverage. The permittee terminates general permit coverage and applies for a VWP individual permit. The application fee applied to this action would be:</w:t>
      </w:r>
    </w:p>
    <w:p w14:paraId="5E827963" w14:textId="77777777" w:rsidR="00895D4F" w:rsidRPr="00895D4F" w:rsidRDefault="00895D4F" w:rsidP="00895D4F">
      <w:pPr>
        <w:ind w:left="720"/>
        <w:jc w:val="both"/>
      </w:pPr>
      <w:r w:rsidRPr="00895D4F">
        <w:t>$2,400</w:t>
      </w:r>
      <w:r w:rsidRPr="00895D4F">
        <w:tab/>
        <w:t>[individual permit application fee] +</w:t>
      </w:r>
    </w:p>
    <w:p w14:paraId="4E77A747" w14:textId="38D6BC79" w:rsidR="00895D4F" w:rsidRPr="00895D4F" w:rsidRDefault="00BA3AE8" w:rsidP="009F40AE">
      <w:pPr>
        <w:ind w:left="1080" w:hanging="360"/>
        <w:jc w:val="both"/>
      </w:pPr>
      <w:r>
        <w:t>$0 [</w:t>
      </w:r>
      <w:r w:rsidR="00830196">
        <w:t xml:space="preserve">Fee for 1.5 acres of </w:t>
      </w:r>
      <w:r>
        <w:t xml:space="preserve">surface water </w:t>
      </w:r>
      <w:r w:rsidR="00830196">
        <w:t xml:space="preserve">impacts (one acre from the original permit coverage and 0.5 of an </w:t>
      </w:r>
      <w:proofErr w:type="gramStart"/>
      <w:r w:rsidR="00830196">
        <w:t>acre</w:t>
      </w:r>
      <w:proofErr w:type="gramEnd"/>
      <w:r w:rsidR="00830196">
        <w:t xml:space="preserve"> from the change request, which does not total to more than 2 acres</w:t>
      </w:r>
      <w:r w:rsidR="00C361D5">
        <w:rPr>
          <w:rStyle w:val="FootnoteReference"/>
        </w:rPr>
        <w:footnoteReference w:id="3"/>
      </w:r>
      <w:r w:rsidR="00830196">
        <w:t>)</w:t>
      </w:r>
      <w:r>
        <w:t>]</w:t>
      </w:r>
    </w:p>
    <w:p w14:paraId="7936AF01" w14:textId="7DA445B1" w:rsidR="00895D4F" w:rsidRPr="00344E96" w:rsidRDefault="00895D4F" w:rsidP="00344E96">
      <w:pPr>
        <w:ind w:left="720"/>
        <w:jc w:val="both"/>
      </w:pPr>
      <w:r>
        <w:t xml:space="preserve">= </w:t>
      </w:r>
      <w:r w:rsidRPr="00895D4F">
        <w:t>$</w:t>
      </w:r>
      <w:r w:rsidR="00C361D5">
        <w:t>2</w:t>
      </w:r>
      <w:r w:rsidRPr="00895D4F">
        <w:t>,</w:t>
      </w:r>
      <w:r w:rsidR="00C361D5">
        <w:t>4</w:t>
      </w:r>
      <w:r w:rsidRPr="00895D4F">
        <w:t>00 [total fee for this example]</w:t>
      </w:r>
    </w:p>
    <w:sectPr w:rsidR="00895D4F" w:rsidRPr="00344E9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4B6F" w14:textId="77777777" w:rsidR="00B24708" w:rsidRDefault="00B24708" w:rsidP="0043176A">
      <w:pPr>
        <w:spacing w:after="0" w:line="240" w:lineRule="auto"/>
      </w:pPr>
      <w:r>
        <w:separator/>
      </w:r>
    </w:p>
  </w:endnote>
  <w:endnote w:type="continuationSeparator" w:id="0">
    <w:p w14:paraId="2DA15DD6" w14:textId="77777777" w:rsidR="00B24708" w:rsidRDefault="00B24708" w:rsidP="0043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D950" w14:textId="62FFD382" w:rsidR="0043176A" w:rsidRPr="00D0087E" w:rsidRDefault="00CD3302">
    <w:pPr>
      <w:pStyle w:val="Footer"/>
      <w:rPr>
        <w:sz w:val="20"/>
        <w:szCs w:val="20"/>
      </w:rPr>
    </w:pPr>
    <w:r>
      <w:rPr>
        <w:sz w:val="20"/>
        <w:szCs w:val="20"/>
      </w:rPr>
      <w:t>January 2024</w:t>
    </w:r>
    <w:r w:rsidR="00D0087E">
      <w:rPr>
        <w:sz w:val="20"/>
        <w:szCs w:val="20"/>
      </w:rPr>
      <w:tab/>
    </w:r>
    <w:r w:rsidR="00D0087E">
      <w:rPr>
        <w:sz w:val="20"/>
        <w:szCs w:val="20"/>
      </w:rPr>
      <w:tab/>
    </w:r>
    <w:r w:rsidR="00D0087E" w:rsidRPr="00D0087E">
      <w:rPr>
        <w:sz w:val="20"/>
        <w:szCs w:val="20"/>
      </w:rPr>
      <w:fldChar w:fldCharType="begin"/>
    </w:r>
    <w:r w:rsidR="00D0087E" w:rsidRPr="00D0087E">
      <w:rPr>
        <w:sz w:val="20"/>
        <w:szCs w:val="20"/>
      </w:rPr>
      <w:instrText xml:space="preserve"> PAGE   \* MERGEFORMAT </w:instrText>
    </w:r>
    <w:r w:rsidR="00D0087E" w:rsidRPr="00D0087E">
      <w:rPr>
        <w:sz w:val="20"/>
        <w:szCs w:val="20"/>
      </w:rPr>
      <w:fldChar w:fldCharType="separate"/>
    </w:r>
    <w:r w:rsidR="00F50A90">
      <w:rPr>
        <w:noProof/>
        <w:sz w:val="20"/>
        <w:szCs w:val="20"/>
      </w:rPr>
      <w:t>1</w:t>
    </w:r>
    <w:r w:rsidR="00D0087E" w:rsidRPr="00D0087E">
      <w:rPr>
        <w:noProof/>
        <w:sz w:val="20"/>
        <w:szCs w:val="20"/>
      </w:rPr>
      <w:fldChar w:fldCharType="end"/>
    </w:r>
  </w:p>
  <w:p w14:paraId="39E2D257" w14:textId="77777777" w:rsidR="0043176A" w:rsidRDefault="00431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C39B" w14:textId="77777777" w:rsidR="00B24708" w:rsidRDefault="00B24708" w:rsidP="0043176A">
      <w:pPr>
        <w:spacing w:after="0" w:line="240" w:lineRule="auto"/>
      </w:pPr>
      <w:r>
        <w:separator/>
      </w:r>
    </w:p>
  </w:footnote>
  <w:footnote w:type="continuationSeparator" w:id="0">
    <w:p w14:paraId="4195C785" w14:textId="77777777" w:rsidR="00B24708" w:rsidRDefault="00B24708" w:rsidP="0043176A">
      <w:pPr>
        <w:spacing w:after="0" w:line="240" w:lineRule="auto"/>
      </w:pPr>
      <w:r>
        <w:continuationSeparator/>
      </w:r>
    </w:p>
  </w:footnote>
  <w:footnote w:id="1">
    <w:p w14:paraId="3F8C32CE" w14:textId="568C363A" w:rsidR="0054366E" w:rsidRDefault="0054366E">
      <w:pPr>
        <w:pStyle w:val="FootnoteText"/>
      </w:pPr>
      <w:r>
        <w:rPr>
          <w:rStyle w:val="FootnoteReference"/>
        </w:rPr>
        <w:footnoteRef/>
      </w:r>
      <w:r>
        <w:t xml:space="preserve"> Increments of one-tenth acre are rounded </w:t>
      </w:r>
      <w:r w:rsidRPr="00A30A1C">
        <w:t>up to the next highest tenth</w:t>
      </w:r>
      <w:r>
        <w:t xml:space="preserve">s place value for fee purposes (see </w:t>
      </w:r>
      <w:hyperlink r:id="rId1" w:history="1">
        <w:r w:rsidRPr="000A5720">
          <w:rPr>
            <w:rStyle w:val="Hyperlink"/>
          </w:rPr>
          <w:t>9VAC25-20</w:t>
        </w:r>
      </w:hyperlink>
      <w:r>
        <w:t xml:space="preserve"> where the regulation refers to VWPPP fees “…</w:t>
      </w:r>
      <w:r>
        <w:rPr>
          <w:i/>
          <w:iCs/>
          <w:color w:val="222222"/>
          <w:shd w:val="clear" w:color="auto" w:fill="FFFFFF"/>
        </w:rPr>
        <w:t>plus $220 for each…(1/10 acre) (or portion thereof) of incremental impact over…(two acres)…”</w:t>
      </w:r>
      <w:r>
        <w:rPr>
          <w:iCs/>
          <w:color w:val="222222"/>
          <w:shd w:val="clear" w:color="auto" w:fill="FFFFFF"/>
        </w:rPr>
        <w:t>)</w:t>
      </w:r>
      <w:r>
        <w:rPr>
          <w:i/>
          <w:iCs/>
          <w:color w:val="222222"/>
          <w:shd w:val="clear" w:color="auto" w:fill="FFFFFF"/>
        </w:rPr>
        <w:t>.</w:t>
      </w:r>
      <w:r w:rsidRPr="00A30A1C">
        <w:t xml:space="preserve"> Th</w:t>
      </w:r>
      <w:r>
        <w:t>us</w:t>
      </w:r>
      <w:r w:rsidRPr="00A30A1C">
        <w:t>, 0.7</w:t>
      </w:r>
      <w:r w:rsidRPr="00A30A1C">
        <w:rPr>
          <w:u w:val="single"/>
        </w:rPr>
        <w:t>2</w:t>
      </w:r>
      <w:r w:rsidRPr="00A30A1C">
        <w:t xml:space="preserve"> acres is rounded to 0.8; 0.0</w:t>
      </w:r>
      <w:r w:rsidRPr="00A30A1C">
        <w:rPr>
          <w:u w:val="single"/>
        </w:rPr>
        <w:t>5</w:t>
      </w:r>
      <w:r w:rsidRPr="00A30A1C">
        <w:t xml:space="preserve"> is rounded to 0.1; etc.</w:t>
      </w:r>
    </w:p>
  </w:footnote>
  <w:footnote w:id="2">
    <w:p w14:paraId="0965E2E1" w14:textId="5B8B957D" w:rsidR="0054366E" w:rsidRDefault="0054366E">
      <w:pPr>
        <w:pStyle w:val="FootnoteText"/>
      </w:pPr>
      <w:r>
        <w:rPr>
          <w:rStyle w:val="FootnoteReference"/>
        </w:rPr>
        <w:footnoteRef/>
      </w:r>
      <w:r>
        <w:t xml:space="preserve"> </w:t>
      </w:r>
      <w:r w:rsidRPr="00BF2774">
        <w:t>Stream square footage will vary depending upon the length and width of the impact site. A long section of a narrow stream or a short section of a wide stream may result in similar square feet of impacts.</w:t>
      </w:r>
    </w:p>
  </w:footnote>
  <w:footnote w:id="3">
    <w:p w14:paraId="28C7B946" w14:textId="5B1ABCD0" w:rsidR="00C361D5" w:rsidRDefault="00C361D5">
      <w:pPr>
        <w:pStyle w:val="FootnoteText"/>
      </w:pPr>
      <w:r>
        <w:rPr>
          <w:rStyle w:val="FootnoteReference"/>
        </w:rPr>
        <w:footnoteRef/>
      </w:r>
      <w:r>
        <w:t xml:space="preserve"> </w:t>
      </w:r>
      <w:r w:rsidRPr="00895D4F">
        <w:t xml:space="preserve">Additional fees are applied only when the impacts </w:t>
      </w:r>
      <w:r w:rsidRPr="00A30A1C">
        <w:rPr>
          <w:i/>
        </w:rPr>
        <w:t>exceed</w:t>
      </w:r>
      <w:r w:rsidRPr="00895D4F">
        <w:t xml:space="preserve"> 2 acres and are determined by the number of tenths of an acre </w:t>
      </w:r>
      <w:r w:rsidRPr="00A30A1C">
        <w:rPr>
          <w:i/>
        </w:rPr>
        <w:t>over</w:t>
      </w:r>
      <w:r w:rsidRPr="00895D4F">
        <w:t xml:space="preserve"> th</w:t>
      </w:r>
      <w:r>
        <w:t>e 2-acre limit (</w:t>
      </w:r>
      <w:r w:rsidRPr="00895D4F">
        <w:t>$220 per 1/10 of an acre over 2 acres</w:t>
      </w:r>
      <w:r>
        <w:t>). Also, the one acre already filled is not included in the fee calculation.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AEB0" w14:textId="77777777" w:rsidR="001D4647" w:rsidRDefault="001D4647">
    <w:pPr>
      <w:pStyle w:val="Header"/>
    </w:pPr>
  </w:p>
  <w:p w14:paraId="2DCD8176" w14:textId="77777777" w:rsidR="00C00D01" w:rsidRDefault="00C00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8E4"/>
    <w:multiLevelType w:val="hybridMultilevel"/>
    <w:tmpl w:val="08A2988C"/>
    <w:lvl w:ilvl="0" w:tplc="DCC89076">
      <w:start w:val="1"/>
      <w:numFmt w:val="decimal"/>
      <w:lvlText w:val="%1."/>
      <w:lvlJc w:val="left"/>
      <w:pPr>
        <w:ind w:left="720" w:hanging="360"/>
      </w:pPr>
      <w:rPr>
        <w:rFonts w:hint="default"/>
        <w:i w:val="0"/>
      </w:rPr>
    </w:lvl>
    <w:lvl w:ilvl="1" w:tplc="E73EE4F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D0919"/>
    <w:multiLevelType w:val="hybridMultilevel"/>
    <w:tmpl w:val="F4CCDEFC"/>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916A35"/>
    <w:multiLevelType w:val="hybridMultilevel"/>
    <w:tmpl w:val="4DBE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6647E"/>
    <w:multiLevelType w:val="hybridMultilevel"/>
    <w:tmpl w:val="2496EB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868AE"/>
    <w:multiLevelType w:val="hybridMultilevel"/>
    <w:tmpl w:val="45B0D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F0D8B"/>
    <w:multiLevelType w:val="hybridMultilevel"/>
    <w:tmpl w:val="24FAE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550C43"/>
    <w:multiLevelType w:val="hybridMultilevel"/>
    <w:tmpl w:val="0A9208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2E093F"/>
    <w:multiLevelType w:val="hybridMultilevel"/>
    <w:tmpl w:val="9C0E7340"/>
    <w:lvl w:ilvl="0" w:tplc="1BD8B2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40BCF"/>
    <w:multiLevelType w:val="hybridMultilevel"/>
    <w:tmpl w:val="5454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E74F1"/>
    <w:multiLevelType w:val="hybridMultilevel"/>
    <w:tmpl w:val="7188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05A51"/>
    <w:multiLevelType w:val="hybridMultilevel"/>
    <w:tmpl w:val="4D46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A1788"/>
    <w:multiLevelType w:val="hybridMultilevel"/>
    <w:tmpl w:val="39FA9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A2255F"/>
    <w:multiLevelType w:val="hybridMultilevel"/>
    <w:tmpl w:val="4D46D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71C65"/>
    <w:multiLevelType w:val="hybridMultilevel"/>
    <w:tmpl w:val="1BE44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800E92"/>
    <w:multiLevelType w:val="hybridMultilevel"/>
    <w:tmpl w:val="666E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1299710">
    <w:abstractNumId w:val="1"/>
  </w:num>
  <w:num w:numId="2" w16cid:durableId="867447530">
    <w:abstractNumId w:val="9"/>
  </w:num>
  <w:num w:numId="3" w16cid:durableId="2110348572">
    <w:abstractNumId w:val="8"/>
  </w:num>
  <w:num w:numId="4" w16cid:durableId="968587376">
    <w:abstractNumId w:val="0"/>
  </w:num>
  <w:num w:numId="5" w16cid:durableId="1262566990">
    <w:abstractNumId w:val="7"/>
  </w:num>
  <w:num w:numId="6" w16cid:durableId="829906918">
    <w:abstractNumId w:val="6"/>
  </w:num>
  <w:num w:numId="7" w16cid:durableId="1410804758">
    <w:abstractNumId w:val="3"/>
  </w:num>
  <w:num w:numId="8" w16cid:durableId="1825900764">
    <w:abstractNumId w:val="4"/>
  </w:num>
  <w:num w:numId="9" w16cid:durableId="1970937745">
    <w:abstractNumId w:val="14"/>
  </w:num>
  <w:num w:numId="10" w16cid:durableId="283197426">
    <w:abstractNumId w:val="2"/>
  </w:num>
  <w:num w:numId="11" w16cid:durableId="2043169922">
    <w:abstractNumId w:val="10"/>
  </w:num>
  <w:num w:numId="12" w16cid:durableId="656500066">
    <w:abstractNumId w:val="12"/>
  </w:num>
  <w:num w:numId="13" w16cid:durableId="1602763628">
    <w:abstractNumId w:val="5"/>
  </w:num>
  <w:num w:numId="14" w16cid:durableId="1984265771">
    <w:abstractNumId w:val="13"/>
  </w:num>
  <w:num w:numId="15" w16cid:durableId="646512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07"/>
    <w:rsid w:val="000008C7"/>
    <w:rsid w:val="0003411C"/>
    <w:rsid w:val="00044E2F"/>
    <w:rsid w:val="000A5720"/>
    <w:rsid w:val="000C0FD8"/>
    <w:rsid w:val="000F1FAB"/>
    <w:rsid w:val="001027FA"/>
    <w:rsid w:val="001D4647"/>
    <w:rsid w:val="001E354A"/>
    <w:rsid w:val="0024115C"/>
    <w:rsid w:val="002659FB"/>
    <w:rsid w:val="00285A34"/>
    <w:rsid w:val="002A5A22"/>
    <w:rsid w:val="002B6ADF"/>
    <w:rsid w:val="00344E96"/>
    <w:rsid w:val="00385084"/>
    <w:rsid w:val="0043176A"/>
    <w:rsid w:val="00451BDB"/>
    <w:rsid w:val="004B1B22"/>
    <w:rsid w:val="004C5315"/>
    <w:rsid w:val="0050757B"/>
    <w:rsid w:val="0054366E"/>
    <w:rsid w:val="00552861"/>
    <w:rsid w:val="005541C9"/>
    <w:rsid w:val="005860F3"/>
    <w:rsid w:val="005F0258"/>
    <w:rsid w:val="006426FA"/>
    <w:rsid w:val="006735CD"/>
    <w:rsid w:val="007C05D9"/>
    <w:rsid w:val="007C52D7"/>
    <w:rsid w:val="007F35DD"/>
    <w:rsid w:val="00812AC2"/>
    <w:rsid w:val="00830196"/>
    <w:rsid w:val="00832627"/>
    <w:rsid w:val="00865E15"/>
    <w:rsid w:val="00867B8B"/>
    <w:rsid w:val="00895D4F"/>
    <w:rsid w:val="00936039"/>
    <w:rsid w:val="009A3F5A"/>
    <w:rsid w:val="009C2286"/>
    <w:rsid w:val="009C61B3"/>
    <w:rsid w:val="009F40AE"/>
    <w:rsid w:val="00A509DB"/>
    <w:rsid w:val="00A53276"/>
    <w:rsid w:val="00A76BCB"/>
    <w:rsid w:val="00A93485"/>
    <w:rsid w:val="00AD46A0"/>
    <w:rsid w:val="00B24708"/>
    <w:rsid w:val="00B624F3"/>
    <w:rsid w:val="00B63FE7"/>
    <w:rsid w:val="00B93628"/>
    <w:rsid w:val="00BA1617"/>
    <w:rsid w:val="00BA3AE8"/>
    <w:rsid w:val="00BB1E47"/>
    <w:rsid w:val="00BD35AC"/>
    <w:rsid w:val="00BE36FE"/>
    <w:rsid w:val="00BF2774"/>
    <w:rsid w:val="00BF58CE"/>
    <w:rsid w:val="00C00D01"/>
    <w:rsid w:val="00C27E2A"/>
    <w:rsid w:val="00C361D5"/>
    <w:rsid w:val="00C660A9"/>
    <w:rsid w:val="00CA106D"/>
    <w:rsid w:val="00CB1CB0"/>
    <w:rsid w:val="00CC39F1"/>
    <w:rsid w:val="00CD3302"/>
    <w:rsid w:val="00D0087E"/>
    <w:rsid w:val="00D237F0"/>
    <w:rsid w:val="00D66C99"/>
    <w:rsid w:val="00D92C04"/>
    <w:rsid w:val="00DD622C"/>
    <w:rsid w:val="00DF6607"/>
    <w:rsid w:val="00E73023"/>
    <w:rsid w:val="00E82FC6"/>
    <w:rsid w:val="00E840C4"/>
    <w:rsid w:val="00F50A90"/>
    <w:rsid w:val="00F65C9E"/>
    <w:rsid w:val="00FD617F"/>
    <w:rsid w:val="00FD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911F"/>
  <w15:chartTrackingRefBased/>
  <w15:docId w15:val="{7528F8BD-88CA-4D76-992F-11CC00F3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66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41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F66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3411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3411C"/>
    <w:pPr>
      <w:spacing w:before="120" w:after="120" w:line="240" w:lineRule="auto"/>
      <w:ind w:left="720"/>
      <w:contextualSpacing/>
    </w:pPr>
    <w:rPr>
      <w:rFonts w:eastAsiaTheme="minorEastAsia"/>
      <w:sz w:val="20"/>
      <w:szCs w:val="20"/>
      <w:lang w:bidi="en-US"/>
    </w:rPr>
  </w:style>
  <w:style w:type="table" w:styleId="TableGrid">
    <w:name w:val="Table Grid"/>
    <w:basedOn w:val="TableNormal"/>
    <w:uiPriority w:val="59"/>
    <w:rsid w:val="0003411C"/>
    <w:pPr>
      <w:spacing w:after="0" w:line="240"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76A"/>
  </w:style>
  <w:style w:type="paragraph" w:styleId="Footer">
    <w:name w:val="footer"/>
    <w:basedOn w:val="Normal"/>
    <w:link w:val="FooterChar"/>
    <w:uiPriority w:val="99"/>
    <w:unhideWhenUsed/>
    <w:rsid w:val="00431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76A"/>
  </w:style>
  <w:style w:type="paragraph" w:styleId="TOCHeading">
    <w:name w:val="TOC Heading"/>
    <w:basedOn w:val="Heading1"/>
    <w:next w:val="Normal"/>
    <w:uiPriority w:val="39"/>
    <w:unhideWhenUsed/>
    <w:qFormat/>
    <w:rsid w:val="004B1B22"/>
    <w:pPr>
      <w:outlineLvl w:val="9"/>
    </w:pPr>
  </w:style>
  <w:style w:type="paragraph" w:styleId="TOC1">
    <w:name w:val="toc 1"/>
    <w:basedOn w:val="Normal"/>
    <w:next w:val="Normal"/>
    <w:autoRedefine/>
    <w:uiPriority w:val="39"/>
    <w:unhideWhenUsed/>
    <w:rsid w:val="004B1B22"/>
    <w:pPr>
      <w:spacing w:after="100"/>
    </w:pPr>
  </w:style>
  <w:style w:type="paragraph" w:styleId="TOC2">
    <w:name w:val="toc 2"/>
    <w:basedOn w:val="Normal"/>
    <w:next w:val="Normal"/>
    <w:autoRedefine/>
    <w:uiPriority w:val="39"/>
    <w:unhideWhenUsed/>
    <w:rsid w:val="004B1B22"/>
    <w:pPr>
      <w:spacing w:after="100"/>
      <w:ind w:left="220"/>
    </w:pPr>
  </w:style>
  <w:style w:type="paragraph" w:styleId="TOC3">
    <w:name w:val="toc 3"/>
    <w:basedOn w:val="Normal"/>
    <w:next w:val="Normal"/>
    <w:autoRedefine/>
    <w:uiPriority w:val="39"/>
    <w:unhideWhenUsed/>
    <w:rsid w:val="004B1B22"/>
    <w:pPr>
      <w:spacing w:after="100"/>
      <w:ind w:left="440"/>
    </w:pPr>
  </w:style>
  <w:style w:type="character" w:styleId="Hyperlink">
    <w:name w:val="Hyperlink"/>
    <w:basedOn w:val="DefaultParagraphFont"/>
    <w:uiPriority w:val="99"/>
    <w:unhideWhenUsed/>
    <w:rsid w:val="004B1B22"/>
    <w:rPr>
      <w:color w:val="0563C1" w:themeColor="hyperlink"/>
      <w:u w:val="single"/>
    </w:rPr>
  </w:style>
  <w:style w:type="paragraph" w:styleId="Revision">
    <w:name w:val="Revision"/>
    <w:hidden/>
    <w:uiPriority w:val="99"/>
    <w:semiHidden/>
    <w:rsid w:val="007F35DD"/>
    <w:pPr>
      <w:spacing w:after="0" w:line="240" w:lineRule="auto"/>
    </w:pPr>
  </w:style>
  <w:style w:type="paragraph" w:styleId="BalloonText">
    <w:name w:val="Balloon Text"/>
    <w:basedOn w:val="Normal"/>
    <w:link w:val="BalloonTextChar"/>
    <w:uiPriority w:val="99"/>
    <w:semiHidden/>
    <w:unhideWhenUsed/>
    <w:rsid w:val="00C66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A9"/>
    <w:rPr>
      <w:rFonts w:ascii="Segoe UI" w:hAnsi="Segoe UI" w:cs="Segoe UI"/>
      <w:sz w:val="18"/>
      <w:szCs w:val="18"/>
    </w:rPr>
  </w:style>
  <w:style w:type="paragraph" w:styleId="FootnoteText">
    <w:name w:val="footnote text"/>
    <w:basedOn w:val="Normal"/>
    <w:link w:val="FootnoteTextChar"/>
    <w:uiPriority w:val="99"/>
    <w:semiHidden/>
    <w:unhideWhenUsed/>
    <w:rsid w:val="00BF27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2774"/>
    <w:rPr>
      <w:sz w:val="20"/>
      <w:szCs w:val="20"/>
    </w:rPr>
  </w:style>
  <w:style w:type="character" w:styleId="FootnoteReference">
    <w:name w:val="footnote reference"/>
    <w:basedOn w:val="DefaultParagraphFont"/>
    <w:uiPriority w:val="99"/>
    <w:semiHidden/>
    <w:unhideWhenUsed/>
    <w:rsid w:val="00BF2774"/>
    <w:rPr>
      <w:vertAlign w:val="superscript"/>
    </w:rPr>
  </w:style>
  <w:style w:type="character" w:styleId="CommentReference">
    <w:name w:val="annotation reference"/>
    <w:basedOn w:val="DefaultParagraphFont"/>
    <w:uiPriority w:val="99"/>
    <w:semiHidden/>
    <w:unhideWhenUsed/>
    <w:rsid w:val="00044E2F"/>
    <w:rPr>
      <w:sz w:val="16"/>
      <w:szCs w:val="16"/>
    </w:rPr>
  </w:style>
  <w:style w:type="paragraph" w:styleId="CommentText">
    <w:name w:val="annotation text"/>
    <w:basedOn w:val="Normal"/>
    <w:link w:val="CommentTextChar"/>
    <w:uiPriority w:val="99"/>
    <w:semiHidden/>
    <w:unhideWhenUsed/>
    <w:rsid w:val="00044E2F"/>
    <w:pPr>
      <w:spacing w:line="240" w:lineRule="auto"/>
    </w:pPr>
    <w:rPr>
      <w:sz w:val="20"/>
      <w:szCs w:val="20"/>
    </w:rPr>
  </w:style>
  <w:style w:type="character" w:customStyle="1" w:styleId="CommentTextChar">
    <w:name w:val="Comment Text Char"/>
    <w:basedOn w:val="DefaultParagraphFont"/>
    <w:link w:val="CommentText"/>
    <w:uiPriority w:val="99"/>
    <w:semiHidden/>
    <w:rsid w:val="00044E2F"/>
    <w:rPr>
      <w:sz w:val="20"/>
      <w:szCs w:val="20"/>
    </w:rPr>
  </w:style>
  <w:style w:type="paragraph" w:styleId="CommentSubject">
    <w:name w:val="annotation subject"/>
    <w:basedOn w:val="CommentText"/>
    <w:next w:val="CommentText"/>
    <w:link w:val="CommentSubjectChar"/>
    <w:uiPriority w:val="99"/>
    <w:semiHidden/>
    <w:unhideWhenUsed/>
    <w:rsid w:val="00044E2F"/>
    <w:rPr>
      <w:b/>
      <w:bCs/>
    </w:rPr>
  </w:style>
  <w:style w:type="character" w:customStyle="1" w:styleId="CommentSubjectChar">
    <w:name w:val="Comment Subject Char"/>
    <w:basedOn w:val="CommentTextChar"/>
    <w:link w:val="CommentSubject"/>
    <w:uiPriority w:val="99"/>
    <w:semiHidden/>
    <w:rsid w:val="00044E2F"/>
    <w:rPr>
      <w:b/>
      <w:bCs/>
      <w:sz w:val="20"/>
      <w:szCs w:val="20"/>
    </w:rPr>
  </w:style>
  <w:style w:type="character" w:styleId="UnresolvedMention">
    <w:name w:val="Unresolved Mention"/>
    <w:basedOn w:val="DefaultParagraphFont"/>
    <w:uiPriority w:val="99"/>
    <w:semiHidden/>
    <w:unhideWhenUsed/>
    <w:rsid w:val="00D23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admincode/title9/agency25/chapter680/section80/" TargetMode="External"/><Relationship Id="rId18" Type="http://schemas.openxmlformats.org/officeDocument/2006/relationships/hyperlink" Target="https://law.lis.virginia.gov/admincode/title9/agency25/chapter690/section10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aw.lis.virginia.gov/admincode/title9/agency25/chapter670/section80/" TargetMode="External"/><Relationship Id="rId17" Type="http://schemas.openxmlformats.org/officeDocument/2006/relationships/hyperlink" Target="https://law.lis.virginia.gov/admincode/title9/agency25/chapter680/section100/" TargetMode="External"/><Relationship Id="rId2" Type="http://schemas.openxmlformats.org/officeDocument/2006/relationships/customXml" Target="../customXml/item2.xml"/><Relationship Id="rId16" Type="http://schemas.openxmlformats.org/officeDocument/2006/relationships/hyperlink" Target="https://law.lis.virginia.gov/admincode/title9/agency25/chapter670/section1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lis.virginia.gov/admincode/title9/agency25/chapter660/section80/" TargetMode="External"/><Relationship Id="rId5" Type="http://schemas.openxmlformats.org/officeDocument/2006/relationships/numbering" Target="numbering.xml"/><Relationship Id="rId15" Type="http://schemas.openxmlformats.org/officeDocument/2006/relationships/hyperlink" Target="https://law.lis.virginia.gov/admincode/title9/agency25/chapter660/section10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aw.lis.virginia.gov/admincode/title9/agency25/chapter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admincode/title9/agency25/chapter690/section8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aw.lis.virginia.gov/admincode/title9/agency25/chapte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4" ma:contentTypeDescription="Create a new document." ma:contentTypeScope="" ma:versionID="a5e67e62da2b1ea8892a10e5a35b6ba7">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bb3dbe5c486e4b952e125cafa7d5f9a6"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E6814-B341-40CA-B86C-E9D2B8B53DE3}">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2.xml><?xml version="1.0" encoding="utf-8"?>
<ds:datastoreItem xmlns:ds="http://schemas.openxmlformats.org/officeDocument/2006/customXml" ds:itemID="{B8B10C0E-6EA2-4461-96DD-43D417575A32}">
  <ds:schemaRefs>
    <ds:schemaRef ds:uri="http://schemas.microsoft.com/sharepoint/v3/contenttype/forms"/>
  </ds:schemaRefs>
</ds:datastoreItem>
</file>

<file path=customXml/itemProps3.xml><?xml version="1.0" encoding="utf-8"?>
<ds:datastoreItem xmlns:ds="http://schemas.openxmlformats.org/officeDocument/2006/customXml" ds:itemID="{DB4A6D0D-2751-4F43-A2CB-682CF37A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28E59-1DEF-409D-A7F2-75C39879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Brenda (DEQ)</dc:creator>
  <cp:keywords/>
  <dc:description/>
  <cp:lastModifiedBy>Brenda Winn</cp:lastModifiedBy>
  <cp:revision>14</cp:revision>
  <dcterms:created xsi:type="dcterms:W3CDTF">2023-12-21T15:15:00Z</dcterms:created>
  <dcterms:modified xsi:type="dcterms:W3CDTF">2024-01-11T19:11:00Z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