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rPr>
        <w:id w:val="-514156274"/>
        <w:docPartObj>
          <w:docPartGallery w:val="Table of Contents"/>
          <w:docPartUnique/>
        </w:docPartObj>
      </w:sdtPr>
      <w:sdtEndPr>
        <w:rPr>
          <w:b/>
          <w:bCs/>
          <w:noProof/>
        </w:rPr>
      </w:sdtEndPr>
      <w:sdtContent>
        <w:p w14:paraId="7B04B533" w14:textId="77777777" w:rsidR="007E3660" w:rsidRDefault="007E3660">
          <w:pPr>
            <w:pStyle w:val="TOCHeading"/>
          </w:pPr>
          <w:r>
            <w:t>Contents</w:t>
          </w:r>
        </w:p>
        <w:p w14:paraId="459B66BF" w14:textId="6F74E8B0" w:rsidR="00913A11" w:rsidRDefault="007E3660">
          <w:pPr>
            <w:pStyle w:val="TOC1"/>
            <w:tabs>
              <w:tab w:val="right" w:leader="dot" w:pos="9350"/>
            </w:tabs>
            <w:rPr>
              <w:rFonts w:eastAsiaTheme="minorEastAsia"/>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5361051" w:history="1">
            <w:r w:rsidR="00913A11" w:rsidRPr="007A47A1">
              <w:rPr>
                <w:rStyle w:val="Hyperlink"/>
                <w:noProof/>
              </w:rPr>
              <w:t>CHAPTER 6: STATE PROGRAMMATIC GENERAL PERMIT (SPGP)</w:t>
            </w:r>
            <w:r w:rsidR="00913A11">
              <w:rPr>
                <w:noProof/>
                <w:webHidden/>
              </w:rPr>
              <w:tab/>
            </w:r>
            <w:r w:rsidR="00913A11">
              <w:rPr>
                <w:noProof/>
                <w:webHidden/>
              </w:rPr>
              <w:fldChar w:fldCharType="begin"/>
            </w:r>
            <w:r w:rsidR="00913A11">
              <w:rPr>
                <w:noProof/>
                <w:webHidden/>
              </w:rPr>
              <w:instrText xml:space="preserve"> PAGEREF _Toc195361051 \h </w:instrText>
            </w:r>
            <w:r w:rsidR="00913A11">
              <w:rPr>
                <w:noProof/>
                <w:webHidden/>
              </w:rPr>
            </w:r>
            <w:r w:rsidR="00913A11">
              <w:rPr>
                <w:noProof/>
                <w:webHidden/>
              </w:rPr>
              <w:fldChar w:fldCharType="separate"/>
            </w:r>
            <w:r w:rsidR="00913A11">
              <w:rPr>
                <w:noProof/>
                <w:webHidden/>
              </w:rPr>
              <w:t>1</w:t>
            </w:r>
            <w:r w:rsidR="00913A11">
              <w:rPr>
                <w:noProof/>
                <w:webHidden/>
              </w:rPr>
              <w:fldChar w:fldCharType="end"/>
            </w:r>
          </w:hyperlink>
        </w:p>
        <w:p w14:paraId="75C1832D" w14:textId="66EECD36" w:rsidR="00913A11" w:rsidRDefault="00913A11">
          <w:pPr>
            <w:pStyle w:val="TOC2"/>
            <w:tabs>
              <w:tab w:val="right" w:leader="dot" w:pos="9350"/>
            </w:tabs>
            <w:rPr>
              <w:rFonts w:eastAsiaTheme="minorEastAsia"/>
              <w:noProof/>
              <w:kern w:val="2"/>
              <w:sz w:val="24"/>
              <w:szCs w:val="24"/>
              <w14:ligatures w14:val="standardContextual"/>
            </w:rPr>
          </w:pPr>
          <w:hyperlink w:anchor="_Toc195361052" w:history="1">
            <w:r w:rsidRPr="007A47A1">
              <w:rPr>
                <w:rStyle w:val="Hyperlink"/>
                <w:noProof/>
              </w:rPr>
              <w:t>6.1 SPGP Overview</w:t>
            </w:r>
            <w:r>
              <w:rPr>
                <w:noProof/>
                <w:webHidden/>
              </w:rPr>
              <w:tab/>
            </w:r>
            <w:r>
              <w:rPr>
                <w:noProof/>
                <w:webHidden/>
              </w:rPr>
              <w:fldChar w:fldCharType="begin"/>
            </w:r>
            <w:r>
              <w:rPr>
                <w:noProof/>
                <w:webHidden/>
              </w:rPr>
              <w:instrText xml:space="preserve"> PAGEREF _Toc195361052 \h </w:instrText>
            </w:r>
            <w:r>
              <w:rPr>
                <w:noProof/>
                <w:webHidden/>
              </w:rPr>
            </w:r>
            <w:r>
              <w:rPr>
                <w:noProof/>
                <w:webHidden/>
              </w:rPr>
              <w:fldChar w:fldCharType="separate"/>
            </w:r>
            <w:r>
              <w:rPr>
                <w:noProof/>
                <w:webHidden/>
              </w:rPr>
              <w:t>1</w:t>
            </w:r>
            <w:r>
              <w:rPr>
                <w:noProof/>
                <w:webHidden/>
              </w:rPr>
              <w:fldChar w:fldCharType="end"/>
            </w:r>
          </w:hyperlink>
        </w:p>
        <w:p w14:paraId="1BD254BA" w14:textId="357D073F" w:rsidR="00913A11" w:rsidRDefault="00913A11">
          <w:pPr>
            <w:pStyle w:val="TOC2"/>
            <w:tabs>
              <w:tab w:val="right" w:leader="dot" w:pos="9350"/>
            </w:tabs>
            <w:rPr>
              <w:rFonts w:eastAsiaTheme="minorEastAsia"/>
              <w:noProof/>
              <w:kern w:val="2"/>
              <w:sz w:val="24"/>
              <w:szCs w:val="24"/>
              <w14:ligatures w14:val="standardContextual"/>
            </w:rPr>
          </w:pPr>
          <w:hyperlink w:anchor="_Toc195361053" w:history="1">
            <w:r w:rsidRPr="007A47A1">
              <w:rPr>
                <w:rStyle w:val="Hyperlink"/>
                <w:noProof/>
              </w:rPr>
              <w:t>6.2 SPGP Procedures/Coordination Outline</w:t>
            </w:r>
            <w:r>
              <w:rPr>
                <w:noProof/>
                <w:webHidden/>
              </w:rPr>
              <w:tab/>
            </w:r>
            <w:r>
              <w:rPr>
                <w:noProof/>
                <w:webHidden/>
              </w:rPr>
              <w:fldChar w:fldCharType="begin"/>
            </w:r>
            <w:r>
              <w:rPr>
                <w:noProof/>
                <w:webHidden/>
              </w:rPr>
              <w:instrText xml:space="preserve"> PAGEREF _Toc195361053 \h </w:instrText>
            </w:r>
            <w:r>
              <w:rPr>
                <w:noProof/>
                <w:webHidden/>
              </w:rPr>
            </w:r>
            <w:r>
              <w:rPr>
                <w:noProof/>
                <w:webHidden/>
              </w:rPr>
              <w:fldChar w:fldCharType="separate"/>
            </w:r>
            <w:r>
              <w:rPr>
                <w:noProof/>
                <w:webHidden/>
              </w:rPr>
              <w:t>2</w:t>
            </w:r>
            <w:r>
              <w:rPr>
                <w:noProof/>
                <w:webHidden/>
              </w:rPr>
              <w:fldChar w:fldCharType="end"/>
            </w:r>
          </w:hyperlink>
        </w:p>
        <w:p w14:paraId="6F093551" w14:textId="74D741C9" w:rsidR="00913A11" w:rsidRDefault="00913A11">
          <w:pPr>
            <w:pStyle w:val="TOC2"/>
            <w:tabs>
              <w:tab w:val="right" w:leader="dot" w:pos="9350"/>
            </w:tabs>
            <w:rPr>
              <w:rFonts w:eastAsiaTheme="minorEastAsia"/>
              <w:noProof/>
              <w:kern w:val="2"/>
              <w:sz w:val="24"/>
              <w:szCs w:val="24"/>
              <w14:ligatures w14:val="standardContextual"/>
            </w:rPr>
          </w:pPr>
          <w:hyperlink w:anchor="_Toc195361054" w:history="1">
            <w:r w:rsidRPr="007A47A1">
              <w:rPr>
                <w:rStyle w:val="Hyperlink"/>
                <w:noProof/>
              </w:rPr>
              <w:t>6.3 Delineations</w:t>
            </w:r>
            <w:r>
              <w:rPr>
                <w:noProof/>
                <w:webHidden/>
              </w:rPr>
              <w:tab/>
            </w:r>
            <w:r>
              <w:rPr>
                <w:noProof/>
                <w:webHidden/>
              </w:rPr>
              <w:fldChar w:fldCharType="begin"/>
            </w:r>
            <w:r>
              <w:rPr>
                <w:noProof/>
                <w:webHidden/>
              </w:rPr>
              <w:instrText xml:space="preserve"> PAGEREF _Toc195361054 \h </w:instrText>
            </w:r>
            <w:r>
              <w:rPr>
                <w:noProof/>
                <w:webHidden/>
              </w:rPr>
            </w:r>
            <w:r>
              <w:rPr>
                <w:noProof/>
                <w:webHidden/>
              </w:rPr>
              <w:fldChar w:fldCharType="separate"/>
            </w:r>
            <w:r>
              <w:rPr>
                <w:noProof/>
                <w:webHidden/>
              </w:rPr>
              <w:t>4</w:t>
            </w:r>
            <w:r>
              <w:rPr>
                <w:noProof/>
                <w:webHidden/>
              </w:rPr>
              <w:fldChar w:fldCharType="end"/>
            </w:r>
          </w:hyperlink>
        </w:p>
        <w:p w14:paraId="4F4F44C8" w14:textId="753630E7" w:rsidR="00913A11" w:rsidRDefault="00913A11">
          <w:pPr>
            <w:pStyle w:val="TOC2"/>
            <w:tabs>
              <w:tab w:val="right" w:leader="dot" w:pos="9350"/>
            </w:tabs>
            <w:rPr>
              <w:rFonts w:eastAsiaTheme="minorEastAsia"/>
              <w:noProof/>
              <w:kern w:val="2"/>
              <w:sz w:val="24"/>
              <w:szCs w:val="24"/>
              <w14:ligatures w14:val="standardContextual"/>
            </w:rPr>
          </w:pPr>
          <w:hyperlink w:anchor="_Toc195361055" w:history="1">
            <w:r w:rsidRPr="007A47A1">
              <w:rPr>
                <w:rStyle w:val="Hyperlink"/>
                <w:noProof/>
              </w:rPr>
              <w:t>6.4 Tidal Waters</w:t>
            </w:r>
            <w:r>
              <w:rPr>
                <w:noProof/>
                <w:webHidden/>
              </w:rPr>
              <w:tab/>
            </w:r>
            <w:r>
              <w:rPr>
                <w:noProof/>
                <w:webHidden/>
              </w:rPr>
              <w:fldChar w:fldCharType="begin"/>
            </w:r>
            <w:r>
              <w:rPr>
                <w:noProof/>
                <w:webHidden/>
              </w:rPr>
              <w:instrText xml:space="preserve"> PAGEREF _Toc195361055 \h </w:instrText>
            </w:r>
            <w:r>
              <w:rPr>
                <w:noProof/>
                <w:webHidden/>
              </w:rPr>
            </w:r>
            <w:r>
              <w:rPr>
                <w:noProof/>
                <w:webHidden/>
              </w:rPr>
              <w:fldChar w:fldCharType="separate"/>
            </w:r>
            <w:r>
              <w:rPr>
                <w:noProof/>
                <w:webHidden/>
              </w:rPr>
              <w:t>4</w:t>
            </w:r>
            <w:r>
              <w:rPr>
                <w:noProof/>
                <w:webHidden/>
              </w:rPr>
              <w:fldChar w:fldCharType="end"/>
            </w:r>
          </w:hyperlink>
        </w:p>
        <w:p w14:paraId="2F0E9D46" w14:textId="60DCF739" w:rsidR="00913A11" w:rsidRDefault="00913A11">
          <w:pPr>
            <w:pStyle w:val="TOC2"/>
            <w:tabs>
              <w:tab w:val="right" w:leader="dot" w:pos="9350"/>
            </w:tabs>
            <w:rPr>
              <w:rFonts w:eastAsiaTheme="minorEastAsia"/>
              <w:noProof/>
              <w:kern w:val="2"/>
              <w:sz w:val="24"/>
              <w:szCs w:val="24"/>
              <w14:ligatures w14:val="standardContextual"/>
            </w:rPr>
          </w:pPr>
          <w:hyperlink w:anchor="_Toc195361056" w:history="1">
            <w:r w:rsidRPr="007A47A1">
              <w:rPr>
                <w:rStyle w:val="Hyperlink"/>
                <w:noProof/>
              </w:rPr>
              <w:t>6.5 Deed Restrictions</w:t>
            </w:r>
            <w:r>
              <w:rPr>
                <w:noProof/>
                <w:webHidden/>
              </w:rPr>
              <w:tab/>
            </w:r>
            <w:r>
              <w:rPr>
                <w:noProof/>
                <w:webHidden/>
              </w:rPr>
              <w:fldChar w:fldCharType="begin"/>
            </w:r>
            <w:r>
              <w:rPr>
                <w:noProof/>
                <w:webHidden/>
              </w:rPr>
              <w:instrText xml:space="preserve"> PAGEREF _Toc195361056 \h </w:instrText>
            </w:r>
            <w:r>
              <w:rPr>
                <w:noProof/>
                <w:webHidden/>
              </w:rPr>
            </w:r>
            <w:r>
              <w:rPr>
                <w:noProof/>
                <w:webHidden/>
              </w:rPr>
              <w:fldChar w:fldCharType="separate"/>
            </w:r>
            <w:r>
              <w:rPr>
                <w:noProof/>
                <w:webHidden/>
              </w:rPr>
              <w:t>5</w:t>
            </w:r>
            <w:r>
              <w:rPr>
                <w:noProof/>
                <w:webHidden/>
              </w:rPr>
              <w:fldChar w:fldCharType="end"/>
            </w:r>
          </w:hyperlink>
        </w:p>
        <w:p w14:paraId="5EB4607E" w14:textId="355B8AD6" w:rsidR="00913A11" w:rsidRDefault="00913A11">
          <w:pPr>
            <w:pStyle w:val="TOC2"/>
            <w:tabs>
              <w:tab w:val="right" w:leader="dot" w:pos="9350"/>
            </w:tabs>
            <w:rPr>
              <w:rFonts w:eastAsiaTheme="minorEastAsia"/>
              <w:noProof/>
              <w:kern w:val="2"/>
              <w:sz w:val="24"/>
              <w:szCs w:val="24"/>
              <w14:ligatures w14:val="standardContextual"/>
            </w:rPr>
          </w:pPr>
          <w:hyperlink w:anchor="_Toc195361057" w:history="1">
            <w:r w:rsidRPr="007A47A1">
              <w:rPr>
                <w:rStyle w:val="Hyperlink"/>
                <w:noProof/>
              </w:rPr>
              <w:t>6.6 Transition</w:t>
            </w:r>
            <w:r>
              <w:rPr>
                <w:noProof/>
                <w:webHidden/>
              </w:rPr>
              <w:tab/>
            </w:r>
            <w:r>
              <w:rPr>
                <w:noProof/>
                <w:webHidden/>
              </w:rPr>
              <w:fldChar w:fldCharType="begin"/>
            </w:r>
            <w:r>
              <w:rPr>
                <w:noProof/>
                <w:webHidden/>
              </w:rPr>
              <w:instrText xml:space="preserve"> PAGEREF _Toc195361057 \h </w:instrText>
            </w:r>
            <w:r>
              <w:rPr>
                <w:noProof/>
                <w:webHidden/>
              </w:rPr>
            </w:r>
            <w:r>
              <w:rPr>
                <w:noProof/>
                <w:webHidden/>
              </w:rPr>
              <w:fldChar w:fldCharType="separate"/>
            </w:r>
            <w:r>
              <w:rPr>
                <w:noProof/>
                <w:webHidden/>
              </w:rPr>
              <w:t>5</w:t>
            </w:r>
            <w:r>
              <w:rPr>
                <w:noProof/>
                <w:webHidden/>
              </w:rPr>
              <w:fldChar w:fldCharType="end"/>
            </w:r>
          </w:hyperlink>
        </w:p>
        <w:p w14:paraId="48E6A85A" w14:textId="3E4FDBF8" w:rsidR="00913A11" w:rsidRDefault="00913A11">
          <w:pPr>
            <w:pStyle w:val="TOC2"/>
            <w:tabs>
              <w:tab w:val="right" w:leader="dot" w:pos="9350"/>
            </w:tabs>
            <w:rPr>
              <w:rFonts w:eastAsiaTheme="minorEastAsia"/>
              <w:noProof/>
              <w:kern w:val="2"/>
              <w:sz w:val="24"/>
              <w:szCs w:val="24"/>
              <w14:ligatures w14:val="standardContextual"/>
            </w:rPr>
          </w:pPr>
          <w:hyperlink w:anchor="_Toc195361058" w:history="1">
            <w:r w:rsidRPr="007A47A1">
              <w:rPr>
                <w:rStyle w:val="Hyperlink"/>
                <w:noProof/>
              </w:rPr>
              <w:t>6.7 Modifications</w:t>
            </w:r>
            <w:r>
              <w:rPr>
                <w:noProof/>
                <w:webHidden/>
              </w:rPr>
              <w:tab/>
            </w:r>
            <w:r>
              <w:rPr>
                <w:noProof/>
                <w:webHidden/>
              </w:rPr>
              <w:fldChar w:fldCharType="begin"/>
            </w:r>
            <w:r>
              <w:rPr>
                <w:noProof/>
                <w:webHidden/>
              </w:rPr>
              <w:instrText xml:space="preserve"> PAGEREF _Toc195361058 \h </w:instrText>
            </w:r>
            <w:r>
              <w:rPr>
                <w:noProof/>
                <w:webHidden/>
              </w:rPr>
            </w:r>
            <w:r>
              <w:rPr>
                <w:noProof/>
                <w:webHidden/>
              </w:rPr>
              <w:fldChar w:fldCharType="separate"/>
            </w:r>
            <w:r>
              <w:rPr>
                <w:noProof/>
                <w:webHidden/>
              </w:rPr>
              <w:t>5</w:t>
            </w:r>
            <w:r>
              <w:rPr>
                <w:noProof/>
                <w:webHidden/>
              </w:rPr>
              <w:fldChar w:fldCharType="end"/>
            </w:r>
          </w:hyperlink>
        </w:p>
        <w:p w14:paraId="53D551B9" w14:textId="43C23D04" w:rsidR="00913A11" w:rsidRDefault="00913A11">
          <w:pPr>
            <w:pStyle w:val="TOC2"/>
            <w:tabs>
              <w:tab w:val="right" w:leader="dot" w:pos="9350"/>
            </w:tabs>
            <w:rPr>
              <w:rFonts w:eastAsiaTheme="minorEastAsia"/>
              <w:noProof/>
              <w:kern w:val="2"/>
              <w:sz w:val="24"/>
              <w:szCs w:val="24"/>
              <w14:ligatures w14:val="standardContextual"/>
            </w:rPr>
          </w:pPr>
          <w:hyperlink w:anchor="_Toc195361059" w:history="1">
            <w:r w:rsidRPr="007A47A1">
              <w:rPr>
                <w:rStyle w:val="Hyperlink"/>
                <w:noProof/>
              </w:rPr>
              <w:t>6.8 File Documentation</w:t>
            </w:r>
            <w:r>
              <w:rPr>
                <w:noProof/>
                <w:webHidden/>
              </w:rPr>
              <w:tab/>
            </w:r>
            <w:r>
              <w:rPr>
                <w:noProof/>
                <w:webHidden/>
              </w:rPr>
              <w:fldChar w:fldCharType="begin"/>
            </w:r>
            <w:r>
              <w:rPr>
                <w:noProof/>
                <w:webHidden/>
              </w:rPr>
              <w:instrText xml:space="preserve"> PAGEREF _Toc195361059 \h </w:instrText>
            </w:r>
            <w:r>
              <w:rPr>
                <w:noProof/>
                <w:webHidden/>
              </w:rPr>
            </w:r>
            <w:r>
              <w:rPr>
                <w:noProof/>
                <w:webHidden/>
              </w:rPr>
              <w:fldChar w:fldCharType="separate"/>
            </w:r>
            <w:r>
              <w:rPr>
                <w:noProof/>
                <w:webHidden/>
              </w:rPr>
              <w:t>5</w:t>
            </w:r>
            <w:r>
              <w:rPr>
                <w:noProof/>
                <w:webHidden/>
              </w:rPr>
              <w:fldChar w:fldCharType="end"/>
            </w:r>
          </w:hyperlink>
        </w:p>
        <w:p w14:paraId="7FA78E36" w14:textId="39ACF58F" w:rsidR="007E3660" w:rsidRDefault="007E3660">
          <w:r>
            <w:rPr>
              <w:b/>
              <w:bCs/>
              <w:noProof/>
            </w:rPr>
            <w:fldChar w:fldCharType="end"/>
          </w:r>
        </w:p>
      </w:sdtContent>
    </w:sdt>
    <w:p w14:paraId="6D0E2628" w14:textId="77777777" w:rsidR="001A3495" w:rsidRDefault="001A3495" w:rsidP="001A3495"/>
    <w:p w14:paraId="6A81D09A" w14:textId="1E242E3A" w:rsidR="001A3495" w:rsidRDefault="001A3495" w:rsidP="001A3495">
      <w:r>
        <w:t>See DISCLAIMER in INTRODUCTION.</w:t>
      </w:r>
    </w:p>
    <w:p w14:paraId="72A16EAC" w14:textId="3BFCF95E" w:rsidR="000D6389" w:rsidRDefault="00332F18" w:rsidP="002A2051">
      <w:pPr>
        <w:pStyle w:val="Heading1"/>
        <w:tabs>
          <w:tab w:val="right" w:pos="9360"/>
        </w:tabs>
      </w:pPr>
      <w:bookmarkStart w:id="0" w:name="_Toc195361051"/>
      <w:r>
        <w:t>CHAPTER 6: STATE PROGRAMMATIC GENERAL PERMIT (SPGP)</w:t>
      </w:r>
      <w:bookmarkEnd w:id="0"/>
      <w:r w:rsidR="002A2051">
        <w:tab/>
      </w:r>
    </w:p>
    <w:p w14:paraId="361FB678" w14:textId="41DD74A6" w:rsidR="00332F18" w:rsidRDefault="00332F18" w:rsidP="00332F18">
      <w:pPr>
        <w:pStyle w:val="Heading2"/>
      </w:pPr>
      <w:bookmarkStart w:id="1" w:name="_Toc195361052"/>
      <w:r>
        <w:t>6.1 SPGP</w:t>
      </w:r>
      <w:r w:rsidR="00A2390F">
        <w:t xml:space="preserve"> Overview</w:t>
      </w:r>
      <w:bookmarkEnd w:id="1"/>
    </w:p>
    <w:p w14:paraId="130B259B" w14:textId="52F84256" w:rsidR="005D56D5" w:rsidRDefault="005D56D5" w:rsidP="00332F18">
      <w:pPr>
        <w:jc w:val="both"/>
        <w:rPr>
          <w:rFonts w:eastAsia="Times New Roman"/>
        </w:rPr>
      </w:pPr>
      <w:r>
        <w:rPr>
          <w:rFonts w:eastAsia="Times New Roman"/>
        </w:rPr>
        <w:t>State Programmatic General Permits</w:t>
      </w:r>
      <w:r w:rsidR="00332F18" w:rsidRPr="008450D3">
        <w:rPr>
          <w:rFonts w:eastAsia="Times New Roman"/>
        </w:rPr>
        <w:t xml:space="preserve"> </w:t>
      </w:r>
      <w:r>
        <w:rPr>
          <w:rFonts w:eastAsia="Times New Roman"/>
        </w:rPr>
        <w:t>(</w:t>
      </w:r>
      <w:r w:rsidR="00332F18" w:rsidRPr="008450D3">
        <w:rPr>
          <w:rFonts w:eastAsia="Times New Roman"/>
          <w:spacing w:val="1"/>
        </w:rPr>
        <w:t>SP</w:t>
      </w:r>
      <w:r w:rsidR="00332F18" w:rsidRPr="008450D3">
        <w:rPr>
          <w:rFonts w:eastAsia="Times New Roman"/>
        </w:rPr>
        <w:t>G</w:t>
      </w:r>
      <w:r w:rsidR="00332F18" w:rsidRPr="008450D3">
        <w:rPr>
          <w:rFonts w:eastAsia="Times New Roman"/>
          <w:spacing w:val="1"/>
        </w:rPr>
        <w:t>P</w:t>
      </w:r>
      <w:r>
        <w:rPr>
          <w:rFonts w:eastAsia="Times New Roman"/>
          <w:spacing w:val="1"/>
        </w:rPr>
        <w:t>)</w:t>
      </w:r>
      <w:r w:rsidR="00332F18" w:rsidRPr="008450D3">
        <w:rPr>
          <w:rFonts w:eastAsia="Times New Roman"/>
          <w:spacing w:val="-1"/>
        </w:rPr>
        <w:t xml:space="preserve"> a</w:t>
      </w:r>
      <w:r w:rsidR="00332F18" w:rsidRPr="008450D3">
        <w:rPr>
          <w:rFonts w:eastAsia="Times New Roman"/>
        </w:rPr>
        <w:t>utho</w:t>
      </w:r>
      <w:r w:rsidR="00332F18" w:rsidRPr="008450D3">
        <w:rPr>
          <w:rFonts w:eastAsia="Times New Roman"/>
          <w:spacing w:val="-1"/>
        </w:rPr>
        <w:t>r</w:t>
      </w:r>
      <w:r w:rsidR="00332F18" w:rsidRPr="008450D3">
        <w:rPr>
          <w:rFonts w:eastAsia="Times New Roman"/>
        </w:rPr>
        <w:t>i</w:t>
      </w:r>
      <w:r w:rsidR="00332F18" w:rsidRPr="008450D3">
        <w:rPr>
          <w:rFonts w:eastAsia="Times New Roman"/>
          <w:spacing w:val="1"/>
        </w:rPr>
        <w:t>z</w:t>
      </w:r>
      <w:r w:rsidR="00332F18" w:rsidRPr="008450D3">
        <w:rPr>
          <w:rFonts w:eastAsia="Times New Roman"/>
          <w:spacing w:val="-1"/>
        </w:rPr>
        <w:t>e</w:t>
      </w:r>
      <w:r w:rsidR="00332F18" w:rsidRPr="008450D3">
        <w:rPr>
          <w:rFonts w:eastAsia="Times New Roman"/>
        </w:rPr>
        <w:t xml:space="preserve"> </w:t>
      </w:r>
      <w:r w:rsidR="00332F18" w:rsidRPr="008450D3">
        <w:rPr>
          <w:rFonts w:eastAsia="Times New Roman"/>
          <w:spacing w:val="-2"/>
        </w:rPr>
        <w:t>t</w:t>
      </w:r>
      <w:r w:rsidR="00332F18" w:rsidRPr="008450D3">
        <w:rPr>
          <w:rFonts w:eastAsia="Times New Roman"/>
        </w:rPr>
        <w:t>he</w:t>
      </w:r>
      <w:r w:rsidR="00332F18" w:rsidRPr="008450D3">
        <w:rPr>
          <w:rFonts w:eastAsia="Times New Roman"/>
          <w:spacing w:val="-1"/>
        </w:rPr>
        <w:t xml:space="preserve"> </w:t>
      </w:r>
      <w:r w:rsidR="00332F18" w:rsidRPr="008450D3">
        <w:rPr>
          <w:rFonts w:eastAsia="Times New Roman"/>
        </w:rPr>
        <w:t>dis</w:t>
      </w:r>
      <w:r w:rsidR="00332F18" w:rsidRPr="008450D3">
        <w:rPr>
          <w:rFonts w:eastAsia="Times New Roman"/>
          <w:spacing w:val="-1"/>
        </w:rPr>
        <w:t>c</w:t>
      </w:r>
      <w:r w:rsidR="00332F18" w:rsidRPr="008450D3">
        <w:rPr>
          <w:rFonts w:eastAsia="Times New Roman"/>
        </w:rPr>
        <w:t>h</w:t>
      </w:r>
      <w:r w:rsidR="00332F18" w:rsidRPr="008450D3">
        <w:rPr>
          <w:rFonts w:eastAsia="Times New Roman"/>
          <w:spacing w:val="-1"/>
        </w:rPr>
        <w:t>a</w:t>
      </w:r>
      <w:r w:rsidR="00332F18" w:rsidRPr="008450D3">
        <w:rPr>
          <w:rFonts w:eastAsia="Times New Roman"/>
          <w:spacing w:val="2"/>
        </w:rPr>
        <w:t>r</w:t>
      </w:r>
      <w:r w:rsidR="00332F18" w:rsidRPr="008450D3">
        <w:rPr>
          <w:rFonts w:eastAsia="Times New Roman"/>
        </w:rPr>
        <w:t>ge</w:t>
      </w:r>
      <w:r w:rsidR="00332F18" w:rsidRPr="008450D3">
        <w:rPr>
          <w:rFonts w:eastAsia="Times New Roman"/>
          <w:spacing w:val="-1"/>
        </w:rPr>
        <w:t xml:space="preserve"> </w:t>
      </w:r>
      <w:r w:rsidR="00332F18" w:rsidRPr="008450D3">
        <w:rPr>
          <w:rFonts w:eastAsia="Times New Roman"/>
        </w:rPr>
        <w:t>of</w:t>
      </w:r>
      <w:r w:rsidR="00332F18" w:rsidRPr="008450D3">
        <w:rPr>
          <w:rFonts w:eastAsia="Times New Roman"/>
          <w:spacing w:val="-1"/>
        </w:rPr>
        <w:t xml:space="preserve"> </w:t>
      </w:r>
      <w:r w:rsidR="00332F18" w:rsidRPr="008450D3">
        <w:rPr>
          <w:rFonts w:eastAsia="Times New Roman"/>
        </w:rPr>
        <w:t>d</w:t>
      </w:r>
      <w:r w:rsidR="00332F18" w:rsidRPr="008450D3">
        <w:rPr>
          <w:rFonts w:eastAsia="Times New Roman"/>
          <w:spacing w:val="2"/>
        </w:rPr>
        <w:t>r</w:t>
      </w:r>
      <w:r w:rsidR="00332F18" w:rsidRPr="008450D3">
        <w:rPr>
          <w:rFonts w:eastAsia="Times New Roman"/>
          <w:spacing w:val="-1"/>
        </w:rPr>
        <w:t>e</w:t>
      </w:r>
      <w:r w:rsidR="00332F18" w:rsidRPr="008450D3">
        <w:rPr>
          <w:rFonts w:eastAsia="Times New Roman"/>
          <w:spacing w:val="2"/>
        </w:rPr>
        <w:t>d</w:t>
      </w:r>
      <w:r w:rsidR="00332F18" w:rsidRPr="008450D3">
        <w:rPr>
          <w:rFonts w:eastAsia="Times New Roman"/>
          <w:spacing w:val="-2"/>
        </w:rPr>
        <w:t>g</w:t>
      </w:r>
      <w:r w:rsidR="00332F18" w:rsidRPr="008450D3">
        <w:rPr>
          <w:rFonts w:eastAsia="Times New Roman"/>
          <w:spacing w:val="-1"/>
        </w:rPr>
        <w:t>e</w:t>
      </w:r>
      <w:r w:rsidR="00332F18" w:rsidRPr="008450D3">
        <w:rPr>
          <w:rFonts w:eastAsia="Times New Roman"/>
        </w:rPr>
        <w:t>d</w:t>
      </w:r>
      <w:r w:rsidR="00332F18" w:rsidRPr="008450D3">
        <w:rPr>
          <w:rFonts w:eastAsia="Times New Roman"/>
          <w:spacing w:val="2"/>
        </w:rPr>
        <w:t xml:space="preserve"> </w:t>
      </w:r>
      <w:r w:rsidR="00332F18" w:rsidRPr="008450D3">
        <w:rPr>
          <w:rFonts w:eastAsia="Times New Roman"/>
        </w:rPr>
        <w:t>or</w:t>
      </w:r>
      <w:r w:rsidR="00332F18" w:rsidRPr="008450D3">
        <w:rPr>
          <w:rFonts w:eastAsia="Times New Roman"/>
          <w:spacing w:val="-1"/>
        </w:rPr>
        <w:t xml:space="preserve"> f</w:t>
      </w:r>
      <w:r w:rsidR="00332F18" w:rsidRPr="008450D3">
        <w:rPr>
          <w:rFonts w:eastAsia="Times New Roman"/>
        </w:rPr>
        <w:t>ill m</w:t>
      </w:r>
      <w:r w:rsidR="00332F18" w:rsidRPr="008450D3">
        <w:rPr>
          <w:rFonts w:eastAsia="Times New Roman"/>
          <w:spacing w:val="-1"/>
        </w:rPr>
        <w:t>a</w:t>
      </w:r>
      <w:r w:rsidR="00332F18" w:rsidRPr="008450D3">
        <w:rPr>
          <w:rFonts w:eastAsia="Times New Roman"/>
        </w:rPr>
        <w:t>t</w:t>
      </w:r>
      <w:r w:rsidR="00332F18" w:rsidRPr="008450D3">
        <w:rPr>
          <w:rFonts w:eastAsia="Times New Roman"/>
          <w:spacing w:val="-1"/>
        </w:rPr>
        <w:t>er</w:t>
      </w:r>
      <w:r w:rsidR="00332F18" w:rsidRPr="008450D3">
        <w:rPr>
          <w:rFonts w:eastAsia="Times New Roman"/>
        </w:rPr>
        <w:t>i</w:t>
      </w:r>
      <w:r w:rsidR="00332F18" w:rsidRPr="008450D3">
        <w:rPr>
          <w:rFonts w:eastAsia="Times New Roman"/>
          <w:spacing w:val="-1"/>
        </w:rPr>
        <w:t>a</w:t>
      </w:r>
      <w:r w:rsidR="00332F18" w:rsidRPr="008450D3">
        <w:rPr>
          <w:rFonts w:eastAsia="Times New Roman"/>
        </w:rPr>
        <w:t>l in nontid</w:t>
      </w:r>
      <w:r w:rsidR="00332F18" w:rsidRPr="008450D3">
        <w:rPr>
          <w:rFonts w:eastAsia="Times New Roman"/>
          <w:spacing w:val="-1"/>
        </w:rPr>
        <w:t>a</w:t>
      </w:r>
      <w:r w:rsidR="00332F18" w:rsidRPr="008450D3">
        <w:rPr>
          <w:rFonts w:eastAsia="Times New Roman"/>
        </w:rPr>
        <w:t>l w</w:t>
      </w:r>
      <w:r w:rsidR="00332F18" w:rsidRPr="008450D3">
        <w:rPr>
          <w:rFonts w:eastAsia="Times New Roman"/>
          <w:spacing w:val="-1"/>
        </w:rPr>
        <w:t>a</w:t>
      </w:r>
      <w:r w:rsidR="00332F18" w:rsidRPr="008450D3">
        <w:rPr>
          <w:rFonts w:eastAsia="Times New Roman"/>
        </w:rPr>
        <w:t>t</w:t>
      </w:r>
      <w:r w:rsidR="00332F18" w:rsidRPr="008450D3">
        <w:rPr>
          <w:rFonts w:eastAsia="Times New Roman"/>
          <w:spacing w:val="-1"/>
        </w:rPr>
        <w:t>er</w:t>
      </w:r>
      <w:r w:rsidR="00332F18" w:rsidRPr="008450D3">
        <w:rPr>
          <w:rFonts w:eastAsia="Times New Roman"/>
        </w:rPr>
        <w:t>s of the</w:t>
      </w:r>
      <w:r w:rsidR="00332F18" w:rsidRPr="008450D3">
        <w:rPr>
          <w:rFonts w:eastAsia="Times New Roman"/>
          <w:spacing w:val="-1"/>
        </w:rPr>
        <w:t xml:space="preserve"> </w:t>
      </w:r>
      <w:r w:rsidR="00332F18" w:rsidRPr="008450D3">
        <w:rPr>
          <w:rFonts w:eastAsia="Times New Roman"/>
        </w:rPr>
        <w:t>Unit</w:t>
      </w:r>
      <w:r w:rsidR="00332F18" w:rsidRPr="008450D3">
        <w:rPr>
          <w:rFonts w:eastAsia="Times New Roman"/>
          <w:spacing w:val="-1"/>
        </w:rPr>
        <w:t>e</w:t>
      </w:r>
      <w:r w:rsidR="00332F18" w:rsidRPr="008450D3">
        <w:rPr>
          <w:rFonts w:eastAsia="Times New Roman"/>
        </w:rPr>
        <w:t xml:space="preserve">d </w:t>
      </w:r>
      <w:r w:rsidR="00332F18" w:rsidRPr="008450D3">
        <w:rPr>
          <w:rFonts w:eastAsia="Times New Roman"/>
          <w:spacing w:val="1"/>
        </w:rPr>
        <w:t>S</w:t>
      </w:r>
      <w:r w:rsidR="00332F18" w:rsidRPr="008450D3">
        <w:rPr>
          <w:rFonts w:eastAsia="Times New Roman"/>
        </w:rPr>
        <w:t>t</w:t>
      </w:r>
      <w:r w:rsidR="00332F18" w:rsidRPr="008450D3">
        <w:rPr>
          <w:rFonts w:eastAsia="Times New Roman"/>
          <w:spacing w:val="-1"/>
        </w:rPr>
        <w:t>a</w:t>
      </w:r>
      <w:r w:rsidR="00332F18" w:rsidRPr="008450D3">
        <w:rPr>
          <w:rFonts w:eastAsia="Times New Roman"/>
        </w:rPr>
        <w:t>t</w:t>
      </w:r>
      <w:r w:rsidR="00332F18" w:rsidRPr="008450D3">
        <w:rPr>
          <w:rFonts w:eastAsia="Times New Roman"/>
          <w:spacing w:val="-1"/>
        </w:rPr>
        <w:t>e</w:t>
      </w:r>
      <w:r w:rsidR="00332F18" w:rsidRPr="008450D3">
        <w:rPr>
          <w:rFonts w:eastAsia="Times New Roman"/>
        </w:rPr>
        <w:t>s</w:t>
      </w:r>
      <w:r>
        <w:rPr>
          <w:rFonts w:eastAsia="Times New Roman"/>
        </w:rPr>
        <w:t xml:space="preserve"> (WOTUS)</w:t>
      </w:r>
      <w:r w:rsidR="00332F18" w:rsidRPr="008450D3">
        <w:rPr>
          <w:rFonts w:eastAsia="Times New Roman"/>
        </w:rPr>
        <w:t>, in</w:t>
      </w:r>
      <w:r w:rsidR="00332F18" w:rsidRPr="008450D3">
        <w:rPr>
          <w:rFonts w:eastAsia="Times New Roman"/>
          <w:spacing w:val="-1"/>
        </w:rPr>
        <w:t>c</w:t>
      </w:r>
      <w:r w:rsidR="00332F18" w:rsidRPr="008450D3">
        <w:rPr>
          <w:rFonts w:eastAsia="Times New Roman"/>
        </w:rPr>
        <w:t>luding</w:t>
      </w:r>
      <w:r w:rsidR="00332F18" w:rsidRPr="008450D3">
        <w:rPr>
          <w:rFonts w:eastAsia="Times New Roman"/>
          <w:spacing w:val="-2"/>
        </w:rPr>
        <w:t xml:space="preserve"> </w:t>
      </w:r>
      <w:r w:rsidR="00332F18" w:rsidRPr="008450D3">
        <w:rPr>
          <w:rFonts w:eastAsia="Times New Roman"/>
          <w:spacing w:val="2"/>
        </w:rPr>
        <w:t>w</w:t>
      </w:r>
      <w:r w:rsidR="00332F18" w:rsidRPr="008450D3">
        <w:rPr>
          <w:rFonts w:eastAsia="Times New Roman"/>
          <w:spacing w:val="-1"/>
        </w:rPr>
        <w:t>e</w:t>
      </w:r>
      <w:r w:rsidR="00332F18" w:rsidRPr="008450D3">
        <w:rPr>
          <w:rFonts w:eastAsia="Times New Roman"/>
        </w:rPr>
        <w:t>tl</w:t>
      </w:r>
      <w:r w:rsidR="00332F18" w:rsidRPr="008450D3">
        <w:rPr>
          <w:rFonts w:eastAsia="Times New Roman"/>
          <w:spacing w:val="-1"/>
        </w:rPr>
        <w:t>a</w:t>
      </w:r>
      <w:r w:rsidR="00332F18" w:rsidRPr="008450D3">
        <w:rPr>
          <w:rFonts w:eastAsia="Times New Roman"/>
        </w:rPr>
        <w:t xml:space="preserve">nds, </w:t>
      </w:r>
      <w:r w:rsidR="00332F18" w:rsidRPr="008450D3">
        <w:rPr>
          <w:rFonts w:eastAsia="Times New Roman"/>
          <w:spacing w:val="-1"/>
        </w:rPr>
        <w:t>a</w:t>
      </w:r>
      <w:r w:rsidR="00332F18" w:rsidRPr="008450D3">
        <w:rPr>
          <w:rFonts w:eastAsia="Times New Roman"/>
        </w:rPr>
        <w:t>sso</w:t>
      </w:r>
      <w:r w:rsidR="00332F18" w:rsidRPr="008450D3">
        <w:rPr>
          <w:rFonts w:eastAsia="Times New Roman"/>
          <w:spacing w:val="-1"/>
        </w:rPr>
        <w:t>c</w:t>
      </w:r>
      <w:r w:rsidR="00332F18" w:rsidRPr="008450D3">
        <w:rPr>
          <w:rFonts w:eastAsia="Times New Roman"/>
        </w:rPr>
        <w:t>i</w:t>
      </w:r>
      <w:r w:rsidR="00332F18" w:rsidRPr="008450D3">
        <w:rPr>
          <w:rFonts w:eastAsia="Times New Roman"/>
          <w:spacing w:val="-1"/>
        </w:rPr>
        <w:t>a</w:t>
      </w:r>
      <w:r w:rsidR="00332F18" w:rsidRPr="008450D3">
        <w:rPr>
          <w:rFonts w:eastAsia="Times New Roman"/>
        </w:rPr>
        <w:t>t</w:t>
      </w:r>
      <w:r w:rsidR="00332F18" w:rsidRPr="008450D3">
        <w:rPr>
          <w:rFonts w:eastAsia="Times New Roman"/>
          <w:spacing w:val="-1"/>
        </w:rPr>
        <w:t>e</w:t>
      </w:r>
      <w:r w:rsidR="00332F18" w:rsidRPr="008450D3">
        <w:rPr>
          <w:rFonts w:eastAsia="Times New Roman"/>
        </w:rPr>
        <w:t>d</w:t>
      </w:r>
      <w:r w:rsidR="00332F18" w:rsidRPr="008450D3">
        <w:rPr>
          <w:rFonts w:eastAsia="Times New Roman"/>
          <w:spacing w:val="2"/>
        </w:rPr>
        <w:t xml:space="preserve"> </w:t>
      </w:r>
      <w:r w:rsidR="00332F18" w:rsidRPr="008450D3">
        <w:rPr>
          <w:rFonts w:eastAsia="Times New Roman"/>
        </w:rPr>
        <w:t xml:space="preserve">with </w:t>
      </w:r>
      <w:r>
        <w:rPr>
          <w:rFonts w:eastAsia="Times New Roman"/>
        </w:rPr>
        <w:t>specific activities that are regulated under the federal Section 404 and Section 10 programs administered by the U.S. Environmental Protection Agency (USEPA) and the U.S. Army Corps of Engineers (USACE). The USACE may choose to issue a SPGP to an individual state or tribal agency with authority over similar activities in surface waters.</w:t>
      </w:r>
    </w:p>
    <w:p w14:paraId="39894E23" w14:textId="174DA604" w:rsidR="00332F18" w:rsidRPr="008450D3" w:rsidRDefault="005D56D5" w:rsidP="00332F18">
      <w:pPr>
        <w:jc w:val="both"/>
        <w:rPr>
          <w:rFonts w:eastAsia="Times New Roman"/>
        </w:rPr>
      </w:pPr>
      <w:r>
        <w:rPr>
          <w:rFonts w:eastAsia="Times New Roman"/>
        </w:rPr>
        <w:t xml:space="preserve">Currently in Virginia, there are two primary SPGPs in use, the 22-SPGP-RCIR for </w:t>
      </w:r>
      <w:r w:rsidR="00332F18" w:rsidRPr="008450D3">
        <w:rPr>
          <w:rFonts w:eastAsia="Times New Roman"/>
          <w:spacing w:val="-1"/>
        </w:rPr>
        <w:t>cer</w:t>
      </w:r>
      <w:r w:rsidR="00332F18" w:rsidRPr="008450D3">
        <w:rPr>
          <w:rFonts w:eastAsia="Times New Roman"/>
        </w:rPr>
        <w:t>t</w:t>
      </w:r>
      <w:r w:rsidR="00332F18" w:rsidRPr="008450D3">
        <w:rPr>
          <w:rFonts w:eastAsia="Times New Roman"/>
          <w:spacing w:val="-1"/>
        </w:rPr>
        <w:t>a</w:t>
      </w:r>
      <w:r w:rsidR="00332F18" w:rsidRPr="008450D3">
        <w:rPr>
          <w:rFonts w:eastAsia="Times New Roman"/>
        </w:rPr>
        <w:t xml:space="preserve">in </w:t>
      </w:r>
      <w:r w:rsidR="00332F18" w:rsidRPr="008450D3">
        <w:rPr>
          <w:rFonts w:eastAsia="Times New Roman"/>
          <w:spacing w:val="2"/>
        </w:rPr>
        <w:t>r</w:t>
      </w:r>
      <w:r w:rsidR="00332F18" w:rsidRPr="008450D3">
        <w:rPr>
          <w:rFonts w:eastAsia="Times New Roman"/>
          <w:spacing w:val="-1"/>
        </w:rPr>
        <w:t>e</w:t>
      </w:r>
      <w:r w:rsidR="00332F18" w:rsidRPr="008450D3">
        <w:rPr>
          <w:rFonts w:eastAsia="Times New Roman"/>
        </w:rPr>
        <w:t>sid</w:t>
      </w:r>
      <w:r w:rsidR="00332F18" w:rsidRPr="008450D3">
        <w:rPr>
          <w:rFonts w:eastAsia="Times New Roman"/>
          <w:spacing w:val="-1"/>
        </w:rPr>
        <w:t>e</w:t>
      </w:r>
      <w:r w:rsidR="00332F18" w:rsidRPr="008450D3">
        <w:rPr>
          <w:rFonts w:eastAsia="Times New Roman"/>
        </w:rPr>
        <w:t>nti</w:t>
      </w:r>
      <w:r w:rsidR="00332F18" w:rsidRPr="008450D3">
        <w:rPr>
          <w:rFonts w:eastAsia="Times New Roman"/>
          <w:spacing w:val="-1"/>
        </w:rPr>
        <w:t>a</w:t>
      </w:r>
      <w:r w:rsidR="00332F18" w:rsidRPr="008450D3">
        <w:rPr>
          <w:rFonts w:eastAsia="Times New Roman"/>
        </w:rPr>
        <w:t xml:space="preserve">l, </w:t>
      </w:r>
      <w:r w:rsidR="00332F18" w:rsidRPr="008450D3">
        <w:rPr>
          <w:rFonts w:eastAsia="Times New Roman"/>
          <w:spacing w:val="1"/>
        </w:rPr>
        <w:t>c</w:t>
      </w:r>
      <w:r w:rsidR="00332F18" w:rsidRPr="008450D3">
        <w:rPr>
          <w:rFonts w:eastAsia="Times New Roman"/>
        </w:rPr>
        <w:t>omm</w:t>
      </w:r>
      <w:r w:rsidR="00332F18" w:rsidRPr="008450D3">
        <w:rPr>
          <w:rFonts w:eastAsia="Times New Roman"/>
          <w:spacing w:val="-1"/>
        </w:rPr>
        <w:t>erc</w:t>
      </w:r>
      <w:r w:rsidR="00332F18" w:rsidRPr="008450D3">
        <w:rPr>
          <w:rFonts w:eastAsia="Times New Roman"/>
        </w:rPr>
        <w:t>i</w:t>
      </w:r>
      <w:r w:rsidR="00332F18" w:rsidRPr="008450D3">
        <w:rPr>
          <w:rFonts w:eastAsia="Times New Roman"/>
          <w:spacing w:val="-1"/>
        </w:rPr>
        <w:t>a</w:t>
      </w:r>
      <w:r w:rsidR="00332F18" w:rsidRPr="008450D3">
        <w:rPr>
          <w:rFonts w:eastAsia="Times New Roman"/>
        </w:rPr>
        <w:t xml:space="preserve">l, </w:t>
      </w:r>
      <w:r w:rsidR="00332F18" w:rsidRPr="008450D3">
        <w:rPr>
          <w:rFonts w:eastAsia="Times New Roman"/>
          <w:spacing w:val="-1"/>
        </w:rPr>
        <w:t>a</w:t>
      </w:r>
      <w:r w:rsidR="00332F18" w:rsidRPr="008450D3">
        <w:rPr>
          <w:rFonts w:eastAsia="Times New Roman"/>
        </w:rPr>
        <w:t>nd institution</w:t>
      </w:r>
      <w:r w:rsidR="00332F18" w:rsidRPr="008450D3">
        <w:rPr>
          <w:rFonts w:eastAsia="Times New Roman"/>
          <w:spacing w:val="-1"/>
        </w:rPr>
        <w:t>a</w:t>
      </w:r>
      <w:r w:rsidR="00332F18" w:rsidRPr="008450D3">
        <w:rPr>
          <w:rFonts w:eastAsia="Times New Roman"/>
        </w:rPr>
        <w:t>l d</w:t>
      </w:r>
      <w:r w:rsidR="00332F18" w:rsidRPr="008450D3">
        <w:rPr>
          <w:rFonts w:eastAsia="Times New Roman"/>
          <w:spacing w:val="-1"/>
        </w:rPr>
        <w:t>e</w:t>
      </w:r>
      <w:r w:rsidR="00332F18" w:rsidRPr="008450D3">
        <w:rPr>
          <w:rFonts w:eastAsia="Times New Roman"/>
        </w:rPr>
        <w:t>v</w:t>
      </w:r>
      <w:r w:rsidR="00332F18" w:rsidRPr="008450D3">
        <w:rPr>
          <w:rFonts w:eastAsia="Times New Roman"/>
          <w:spacing w:val="-1"/>
        </w:rPr>
        <w:t>e</w:t>
      </w:r>
      <w:r w:rsidR="00332F18" w:rsidRPr="008450D3">
        <w:rPr>
          <w:rFonts w:eastAsia="Times New Roman"/>
        </w:rPr>
        <w:t>lopm</w:t>
      </w:r>
      <w:r w:rsidR="00332F18" w:rsidRPr="008450D3">
        <w:rPr>
          <w:rFonts w:eastAsia="Times New Roman"/>
          <w:spacing w:val="-1"/>
        </w:rPr>
        <w:t>e</w:t>
      </w:r>
      <w:r w:rsidR="00332F18" w:rsidRPr="008450D3">
        <w:rPr>
          <w:rFonts w:eastAsia="Times New Roman"/>
        </w:rPr>
        <w:t>nts</w:t>
      </w:r>
      <w:r>
        <w:rPr>
          <w:rFonts w:eastAsia="Times New Roman"/>
        </w:rPr>
        <w:t>, and the 22-SPGP-LT</w:t>
      </w:r>
      <w:r w:rsidR="00332F18" w:rsidRPr="008450D3">
        <w:rPr>
          <w:rFonts w:eastAsia="Times New Roman"/>
        </w:rPr>
        <w:t xml:space="preserve"> </w:t>
      </w:r>
      <w:r>
        <w:rPr>
          <w:rFonts w:eastAsia="Times New Roman"/>
        </w:rPr>
        <w:t>for</w:t>
      </w:r>
      <w:r w:rsidR="00332F18" w:rsidRPr="008450D3">
        <w:rPr>
          <w:rFonts w:eastAsia="Times New Roman"/>
        </w:rPr>
        <w:t xml:space="preserve"> lin</w:t>
      </w:r>
      <w:r w:rsidR="00332F18" w:rsidRPr="008450D3">
        <w:rPr>
          <w:rFonts w:eastAsia="Times New Roman"/>
          <w:spacing w:val="-1"/>
        </w:rPr>
        <w:t>ea</w:t>
      </w:r>
      <w:r w:rsidR="00332F18" w:rsidRPr="008450D3">
        <w:rPr>
          <w:rFonts w:eastAsia="Times New Roman"/>
        </w:rPr>
        <w:t>r</w:t>
      </w:r>
      <w:r w:rsidR="00332F18" w:rsidRPr="008450D3">
        <w:rPr>
          <w:rFonts w:eastAsia="Times New Roman"/>
          <w:spacing w:val="-1"/>
        </w:rPr>
        <w:t xml:space="preserve"> </w:t>
      </w:r>
      <w:r w:rsidR="00332F18" w:rsidRPr="008450D3">
        <w:rPr>
          <w:rFonts w:eastAsia="Times New Roman"/>
        </w:rPr>
        <w:t>t</w:t>
      </w:r>
      <w:r w:rsidR="00332F18" w:rsidRPr="008450D3">
        <w:rPr>
          <w:rFonts w:eastAsia="Times New Roman"/>
          <w:spacing w:val="-1"/>
        </w:rPr>
        <w:t>ra</w:t>
      </w:r>
      <w:r w:rsidR="00332F18" w:rsidRPr="008450D3">
        <w:rPr>
          <w:rFonts w:eastAsia="Times New Roman"/>
        </w:rPr>
        <w:t>nsp</w:t>
      </w:r>
      <w:r w:rsidR="00332F18" w:rsidRPr="008450D3">
        <w:rPr>
          <w:rFonts w:eastAsia="Times New Roman"/>
          <w:spacing w:val="2"/>
        </w:rPr>
        <w:t>or</w:t>
      </w:r>
      <w:r w:rsidR="00332F18" w:rsidRPr="008450D3">
        <w:rPr>
          <w:rFonts w:eastAsia="Times New Roman"/>
        </w:rPr>
        <w:t>t</w:t>
      </w:r>
      <w:r w:rsidR="00332F18" w:rsidRPr="008450D3">
        <w:rPr>
          <w:rFonts w:eastAsia="Times New Roman"/>
          <w:spacing w:val="-1"/>
        </w:rPr>
        <w:t>a</w:t>
      </w:r>
      <w:r w:rsidR="00332F18" w:rsidRPr="008450D3">
        <w:rPr>
          <w:rFonts w:eastAsia="Times New Roman"/>
        </w:rPr>
        <w:t>tion p</w:t>
      </w:r>
      <w:r w:rsidR="00332F18" w:rsidRPr="008450D3">
        <w:rPr>
          <w:rFonts w:eastAsia="Times New Roman"/>
          <w:spacing w:val="-1"/>
        </w:rPr>
        <w:t>r</w:t>
      </w:r>
      <w:r w:rsidR="00332F18" w:rsidRPr="008450D3">
        <w:rPr>
          <w:rFonts w:eastAsia="Times New Roman"/>
        </w:rPr>
        <w:t>oj</w:t>
      </w:r>
      <w:r w:rsidR="00332F18" w:rsidRPr="008450D3">
        <w:rPr>
          <w:rFonts w:eastAsia="Times New Roman"/>
          <w:spacing w:val="-1"/>
        </w:rPr>
        <w:t>ec</w:t>
      </w:r>
      <w:r w:rsidR="00332F18" w:rsidRPr="008450D3">
        <w:rPr>
          <w:rFonts w:eastAsia="Times New Roman"/>
        </w:rPr>
        <w:t>ts</w:t>
      </w:r>
      <w:r w:rsidR="005B6938">
        <w:rPr>
          <w:rStyle w:val="FootnoteReference"/>
          <w:rFonts w:eastAsia="Times New Roman"/>
          <w:spacing w:val="-1"/>
        </w:rPr>
        <w:footnoteReference w:id="1"/>
      </w:r>
      <w:r w:rsidR="00033DF9">
        <w:rPr>
          <w:rFonts w:eastAsia="Times New Roman"/>
        </w:rPr>
        <w:t xml:space="preserve"> </w:t>
      </w:r>
      <w:r w:rsidR="00D5701B">
        <w:rPr>
          <w:rFonts w:eastAsia="Times New Roman"/>
        </w:rPr>
        <w:t xml:space="preserve">(see </w:t>
      </w:r>
      <w:hyperlink r:id="rId11" w:history="1">
        <w:r w:rsidR="00D5701B" w:rsidRPr="00D5701B">
          <w:rPr>
            <w:rStyle w:val="Hyperlink"/>
            <w:rFonts w:eastAsia="Times New Roman"/>
          </w:rPr>
          <w:t>https://www.nao.usace.army.mil/Missions/Regulatory/RBregional.aspx</w:t>
        </w:r>
      </w:hyperlink>
      <w:r w:rsidR="00D5701B">
        <w:rPr>
          <w:rFonts w:eastAsia="Times New Roman"/>
        </w:rPr>
        <w:t>)</w:t>
      </w:r>
      <w:r w:rsidR="00332F18" w:rsidRPr="008450D3">
        <w:rPr>
          <w:rFonts w:eastAsia="Times New Roman"/>
        </w:rPr>
        <w:t xml:space="preserve">. </w:t>
      </w:r>
      <w:r w:rsidR="005B6938">
        <w:rPr>
          <w:rFonts w:eastAsia="Times New Roman"/>
        </w:rPr>
        <w:t xml:space="preserve">These </w:t>
      </w:r>
      <w:r w:rsidR="001C585B">
        <w:rPr>
          <w:rFonts w:eastAsia="Times New Roman"/>
        </w:rPr>
        <w:t>22-</w:t>
      </w:r>
      <w:r w:rsidR="005B6938">
        <w:rPr>
          <w:rFonts w:eastAsia="Times New Roman"/>
        </w:rPr>
        <w:t xml:space="preserve">SPGPs were issued in August 2022 and expire in August 2026. DEQ, on behalf of the USACE, provides SPGP applicants with verifications for the </w:t>
      </w:r>
      <w:r w:rsidR="00E75C87">
        <w:rPr>
          <w:rFonts w:eastAsia="Times New Roman"/>
        </w:rPr>
        <w:t>SPGP-</w:t>
      </w:r>
      <w:r w:rsidR="005B6938">
        <w:rPr>
          <w:rFonts w:eastAsia="Times New Roman"/>
        </w:rPr>
        <w:t>covered activities when appropriate and when a DEQ VWP individual permit or general permit coverage is also issued</w:t>
      </w:r>
      <w:r w:rsidR="00EE67E9">
        <w:rPr>
          <w:rFonts w:eastAsia="Times New Roman"/>
        </w:rPr>
        <w:t xml:space="preserve"> for VWP-covered activities</w:t>
      </w:r>
      <w:r w:rsidR="005B6938">
        <w:rPr>
          <w:rFonts w:eastAsia="Times New Roman"/>
        </w:rPr>
        <w:t>.</w:t>
      </w:r>
      <w:r w:rsidR="00332F18" w:rsidRPr="008450D3">
        <w:rPr>
          <w:rFonts w:eastAsia="Times New Roman"/>
          <w:spacing w:val="2"/>
        </w:rPr>
        <w:t xml:space="preserve"> </w:t>
      </w:r>
      <w:r w:rsidR="00F1438F">
        <w:t>Note that in cases where the SPGP applies, but a portion of the activities are excluded from VWP permitting, the SPGP verification may still be issued (see Parts II.D and E.4 of each SPGP)</w:t>
      </w:r>
      <w:r w:rsidR="00F1438F">
        <w:rPr>
          <w:rFonts w:eastAsia="Times New Roman"/>
          <w:spacing w:val="2"/>
        </w:rPr>
        <w:t xml:space="preserve">. If </w:t>
      </w:r>
      <w:proofErr w:type="gramStart"/>
      <w:r w:rsidR="00F1438F">
        <w:rPr>
          <w:rFonts w:eastAsia="Times New Roman"/>
          <w:spacing w:val="2"/>
        </w:rPr>
        <w:t>all of</w:t>
      </w:r>
      <w:proofErr w:type="gramEnd"/>
      <w:r w:rsidR="00F1438F">
        <w:rPr>
          <w:rFonts w:eastAsia="Times New Roman"/>
          <w:spacing w:val="2"/>
        </w:rPr>
        <w:t xml:space="preserve"> the activities are excluded from VWP permitting, then the SPGP cannot be used for the project.</w:t>
      </w:r>
    </w:p>
    <w:p w14:paraId="5D081680" w14:textId="714AC12D" w:rsidR="00332F18" w:rsidRDefault="00A2390F" w:rsidP="00332F18">
      <w:pPr>
        <w:jc w:val="both"/>
      </w:pPr>
      <w:r>
        <w:rPr>
          <w:rFonts w:eastAsia="Times New Roman"/>
        </w:rPr>
        <w:t>WP Permit Program staff review SPGP applications</w:t>
      </w:r>
      <w:r w:rsidRPr="00951E37">
        <w:rPr>
          <w:rFonts w:eastAsia="Times New Roman"/>
        </w:rPr>
        <w:t xml:space="preserve"> </w:t>
      </w:r>
      <w:r w:rsidR="00332F18" w:rsidRPr="00951E37">
        <w:rPr>
          <w:rFonts w:eastAsia="Times New Roman"/>
        </w:rPr>
        <w:t xml:space="preserve">to ensure all </w:t>
      </w:r>
      <w:r w:rsidR="00332F18">
        <w:rPr>
          <w:rFonts w:eastAsia="Times New Roman"/>
        </w:rPr>
        <w:t>SPGP</w:t>
      </w:r>
      <w:r>
        <w:rPr>
          <w:rFonts w:eastAsia="Times New Roman"/>
        </w:rPr>
        <w:t>-required information is included, as detailed in the SPGP permits and Standard Operating Procedures</w:t>
      </w:r>
      <w:r w:rsidR="00332F18" w:rsidRPr="00951E37">
        <w:rPr>
          <w:rFonts w:eastAsia="Times New Roman"/>
        </w:rPr>
        <w:t>.</w:t>
      </w:r>
    </w:p>
    <w:p w14:paraId="1A54067E" w14:textId="77777777" w:rsidR="00332F18" w:rsidRDefault="00332F18" w:rsidP="00332F18">
      <w:pPr>
        <w:pStyle w:val="Heading2"/>
      </w:pPr>
      <w:bookmarkStart w:id="2" w:name="_Toc195361053"/>
      <w:r>
        <w:lastRenderedPageBreak/>
        <w:t>6.2 SPGP Procedures/Coordination Outline</w:t>
      </w:r>
      <w:bookmarkEnd w:id="2"/>
    </w:p>
    <w:p w14:paraId="3885AB62" w14:textId="2D331982" w:rsidR="00A2390F" w:rsidRDefault="00FB531D" w:rsidP="003B4CB4">
      <w:pPr>
        <w:jc w:val="both"/>
      </w:pPr>
      <w:r>
        <w:t xml:space="preserve">Reference materials for VWP Permit Program staff are located </w:t>
      </w:r>
      <w:r w:rsidR="002E76B8">
        <w:t xml:space="preserve">in Chapter 6 </w:t>
      </w:r>
      <w:r w:rsidR="000D6389">
        <w:t xml:space="preserve">References subfolder </w:t>
      </w:r>
      <w:r w:rsidR="002E76B8">
        <w:t xml:space="preserve">of the VWP Permit and Compliance Manual </w:t>
      </w:r>
      <w:r>
        <w:t xml:space="preserve">on </w:t>
      </w:r>
      <w:hyperlink r:id="rId12" w:history="1">
        <w:r w:rsidRPr="00FB531D">
          <w:rPr>
            <w:rStyle w:val="Hyperlink"/>
          </w:rPr>
          <w:t>DEQnet</w:t>
        </w:r>
      </w:hyperlink>
      <w:r>
        <w:t>.</w:t>
      </w:r>
    </w:p>
    <w:p w14:paraId="73F3A9A2" w14:textId="5BE1DB79" w:rsidR="00FB531D" w:rsidRDefault="00332F18" w:rsidP="00332F18">
      <w:pPr>
        <w:jc w:val="both"/>
      </w:pPr>
      <w:r w:rsidRPr="00284BC5">
        <w:rPr>
          <w:b/>
          <w:u w:val="single"/>
        </w:rPr>
        <w:t>Step 1</w:t>
      </w:r>
      <w:r>
        <w:t>:</w:t>
      </w:r>
    </w:p>
    <w:p w14:paraId="2489C905" w14:textId="3FAF9F8A" w:rsidR="00332F18" w:rsidRDefault="00332F18" w:rsidP="00332F18">
      <w:pPr>
        <w:jc w:val="both"/>
      </w:pPr>
      <w:r>
        <w:t xml:space="preserve">Determine if the project qualifies for </w:t>
      </w:r>
      <w:r w:rsidR="00A2390F">
        <w:t>a</w:t>
      </w:r>
      <w:r>
        <w:t xml:space="preserve"> </w:t>
      </w:r>
      <w:r w:rsidR="00F361FB">
        <w:t>22-</w:t>
      </w:r>
      <w:r>
        <w:t>SPGP using the</w:t>
      </w:r>
      <w:r w:rsidR="00FB531D">
        <w:t xml:space="preserve"> </w:t>
      </w:r>
      <w:r w:rsidR="00F361FB">
        <w:t xml:space="preserve">applicable </w:t>
      </w:r>
      <w:r w:rsidR="00FB531D">
        <w:t>SPGP permit itself and the</w:t>
      </w:r>
      <w:r>
        <w:t xml:space="preserve"> most current </w:t>
      </w:r>
      <w:hyperlink r:id="rId13" w:history="1">
        <w:r w:rsidRPr="00A2390F">
          <w:rPr>
            <w:rStyle w:val="Hyperlink"/>
          </w:rPr>
          <w:t>SPGP SOP</w:t>
        </w:r>
      </w:hyperlink>
      <w:r>
        <w:t>.  Part of the eligibility criteria pertain</w:t>
      </w:r>
      <w:r w:rsidR="00A2390F">
        <w:t>s</w:t>
      </w:r>
      <w:r>
        <w:t xml:space="preserve"> to impact thresholds noted below.</w:t>
      </w:r>
    </w:p>
    <w:p w14:paraId="54F195F6" w14:textId="633A8578" w:rsidR="00332F18" w:rsidRDefault="00332F18" w:rsidP="00332F18">
      <w:bookmarkStart w:id="3" w:name="_Toc523314609"/>
      <w:r w:rsidRPr="00064FBC">
        <w:t xml:space="preserve">Figure </w:t>
      </w:r>
      <w:r w:rsidR="00DA47A1">
        <w:rPr>
          <w:noProof/>
        </w:rPr>
        <w:fldChar w:fldCharType="begin"/>
      </w:r>
      <w:r w:rsidR="00DA47A1">
        <w:rPr>
          <w:noProof/>
        </w:rPr>
        <w:instrText xml:space="preserve"> SEQ Figure \* ARABIC </w:instrText>
      </w:r>
      <w:r w:rsidR="00DA47A1">
        <w:rPr>
          <w:noProof/>
        </w:rPr>
        <w:fldChar w:fldCharType="separate"/>
      </w:r>
      <w:r w:rsidRPr="00064FBC">
        <w:rPr>
          <w:noProof/>
        </w:rPr>
        <w:t>1</w:t>
      </w:r>
      <w:r w:rsidR="00DA47A1">
        <w:rPr>
          <w:noProof/>
        </w:rPr>
        <w:fldChar w:fldCharType="end"/>
      </w:r>
      <w:r w:rsidR="00064FBC">
        <w:t>:</w:t>
      </w:r>
      <w:r w:rsidRPr="00064FBC">
        <w:t xml:space="preserve"> </w:t>
      </w:r>
      <w:r w:rsidR="00F01906">
        <w:t>22-</w:t>
      </w:r>
      <w:r w:rsidRPr="00064FBC">
        <w:t>SPGP Thresholds</w:t>
      </w:r>
      <w:bookmarkEnd w:id="3"/>
    </w:p>
    <w:tbl>
      <w:tblPr>
        <w:tblStyle w:val="LightList-Accent11"/>
        <w:tblW w:w="0" w:type="auto"/>
        <w:tblLook w:val="04A0" w:firstRow="1" w:lastRow="0" w:firstColumn="1" w:lastColumn="0" w:noHBand="0" w:noVBand="1"/>
        <w:tblCaption w:val="Figure 1: SPGP Permit Thresholds"/>
        <w:tblDescription w:val="Impact limits for the SPGP"/>
      </w:tblPr>
      <w:tblGrid>
        <w:gridCol w:w="3286"/>
        <w:gridCol w:w="3159"/>
      </w:tblGrid>
      <w:tr w:rsidR="003F0CCA" w14:paraId="188AD70E" w14:textId="77777777" w:rsidTr="003F0C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86" w:type="dxa"/>
          </w:tcPr>
          <w:p w14:paraId="5312F3B4" w14:textId="77777777" w:rsidR="003F0CCA" w:rsidRPr="00CF6C80" w:rsidRDefault="003F0CCA" w:rsidP="00EE7A85">
            <w:r w:rsidRPr="00CF6C80">
              <w:t>Project Type</w:t>
            </w:r>
          </w:p>
        </w:tc>
        <w:tc>
          <w:tcPr>
            <w:tcW w:w="3159" w:type="dxa"/>
          </w:tcPr>
          <w:p w14:paraId="191C2B77" w14:textId="732627D9" w:rsidR="003F0CCA" w:rsidRPr="00CF6C80" w:rsidRDefault="003F0CCA" w:rsidP="00EE7A85">
            <w:pPr>
              <w:cnfStyle w:val="100000000000" w:firstRow="1" w:lastRow="0" w:firstColumn="0" w:lastColumn="0" w:oddVBand="0" w:evenVBand="0" w:oddHBand="0" w:evenHBand="0" w:firstRowFirstColumn="0" w:firstRowLastColumn="0" w:lastRowFirstColumn="0" w:lastRowLastColumn="0"/>
            </w:pPr>
            <w:r w:rsidRPr="00CF6C80">
              <w:t>Threshold</w:t>
            </w:r>
          </w:p>
        </w:tc>
      </w:tr>
      <w:tr w:rsidR="003F0CCA" w14:paraId="15EBE590" w14:textId="77777777" w:rsidTr="003F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2168E564" w14:textId="760A10D6" w:rsidR="003F0CCA" w:rsidRDefault="003F0CCA" w:rsidP="00EE7A85">
            <w:r>
              <w:t>Residential, Commercial, Institutional Development Activities</w:t>
            </w:r>
          </w:p>
        </w:tc>
        <w:tc>
          <w:tcPr>
            <w:tcW w:w="3159" w:type="dxa"/>
          </w:tcPr>
          <w:p w14:paraId="5034F4BC" w14:textId="0CFEA392" w:rsidR="003F0CCA" w:rsidRDefault="003F0CCA" w:rsidP="00EE7A85">
            <w:pPr>
              <w:cnfStyle w:val="000000100000" w:firstRow="0" w:lastRow="0" w:firstColumn="0" w:lastColumn="0" w:oddVBand="0" w:evenVBand="0" w:oddHBand="1" w:evenHBand="0" w:firstRowFirstColumn="0" w:firstRowLastColumn="0" w:lastRowFirstColumn="0" w:lastRowLastColumn="0"/>
            </w:pPr>
            <w:r>
              <w:t xml:space="preserve">≤ </w:t>
            </w:r>
            <w:proofErr w:type="gramStart"/>
            <w:r>
              <w:t>1 acre</w:t>
            </w:r>
            <w:proofErr w:type="gramEnd"/>
            <w:r>
              <w:t xml:space="preserve"> permanent loss, nontidal Waters of the U.S. including wetlands, open water, and stream channel</w:t>
            </w:r>
          </w:p>
          <w:p w14:paraId="1A9DAE1C" w14:textId="77777777" w:rsidR="003F0CCA" w:rsidRDefault="003F0CCA" w:rsidP="00EE7A85">
            <w:pPr>
              <w:cnfStyle w:val="000000100000" w:firstRow="0" w:lastRow="0" w:firstColumn="0" w:lastColumn="0" w:oddVBand="0" w:evenVBand="0" w:oddHBand="1" w:evenHBand="0" w:firstRowFirstColumn="0" w:firstRowLastColumn="0" w:lastRowFirstColumn="0" w:lastRowLastColumn="0"/>
            </w:pPr>
          </w:p>
        </w:tc>
      </w:tr>
      <w:tr w:rsidR="003F0CCA" w14:paraId="22EFDDDA" w14:textId="77777777" w:rsidTr="003F0CCA">
        <w:tc>
          <w:tcPr>
            <w:cnfStyle w:val="001000000000" w:firstRow="0" w:lastRow="0" w:firstColumn="1" w:lastColumn="0" w:oddVBand="0" w:evenVBand="0" w:oddHBand="0" w:evenHBand="0" w:firstRowFirstColumn="0" w:firstRowLastColumn="0" w:lastRowFirstColumn="0" w:lastRowLastColumn="0"/>
            <w:tcW w:w="3286" w:type="dxa"/>
          </w:tcPr>
          <w:p w14:paraId="15D28109" w14:textId="1AAAF5E6" w:rsidR="003F0CCA" w:rsidRDefault="003F0CCA">
            <w:r>
              <w:t>Linear Transportation Activities</w:t>
            </w:r>
          </w:p>
        </w:tc>
        <w:tc>
          <w:tcPr>
            <w:tcW w:w="3159" w:type="dxa"/>
          </w:tcPr>
          <w:p w14:paraId="47ACE0D4" w14:textId="78ABE440" w:rsidR="003F0CCA" w:rsidRDefault="003F0CCA">
            <w:pPr>
              <w:cnfStyle w:val="000000000000" w:firstRow="0" w:lastRow="0" w:firstColumn="0" w:lastColumn="0" w:oddVBand="0" w:evenVBand="0" w:oddHBand="0" w:evenHBand="0" w:firstRowFirstColumn="0" w:firstRowLastColumn="0" w:lastRowFirstColumn="0" w:lastRowLastColumn="0"/>
            </w:pPr>
            <w:r>
              <w:t xml:space="preserve">≤ </w:t>
            </w:r>
            <w:proofErr w:type="gramStart"/>
            <w:r>
              <w:t>0.5 acre</w:t>
            </w:r>
            <w:proofErr w:type="gramEnd"/>
            <w:r>
              <w:t>, permanent loss, nontidal Waters of the U.S. including wetlands, open water, and stream channel</w:t>
            </w:r>
          </w:p>
        </w:tc>
      </w:tr>
    </w:tbl>
    <w:p w14:paraId="671EBC33" w14:textId="77777777" w:rsidR="00064FBC" w:rsidRPr="00064FBC" w:rsidRDefault="00064FBC" w:rsidP="00332F18"/>
    <w:p w14:paraId="6B2BA625" w14:textId="3A164D91" w:rsidR="00332F18" w:rsidRDefault="00A2390F" w:rsidP="00F07091">
      <w:pPr>
        <w:jc w:val="both"/>
      </w:pPr>
      <w:r>
        <w:t xml:space="preserve">Also review in each </w:t>
      </w:r>
      <w:r w:rsidR="00F01906">
        <w:t>22-</w:t>
      </w:r>
      <w:r>
        <w:t xml:space="preserve">SPGP </w:t>
      </w:r>
      <w:r w:rsidR="00FB531D">
        <w:t xml:space="preserve">and related SOP </w:t>
      </w:r>
      <w:r>
        <w:t xml:space="preserve">the activities that are not authorized </w:t>
      </w:r>
      <w:r w:rsidR="00F01906">
        <w:t xml:space="preserve">or are excluded </w:t>
      </w:r>
      <w:r>
        <w:t xml:space="preserve">under the current </w:t>
      </w:r>
      <w:r w:rsidR="00F01906">
        <w:t>22-</w:t>
      </w:r>
      <w:r>
        <w:t>SPGPs.</w:t>
      </w:r>
    </w:p>
    <w:p w14:paraId="03FBB49A" w14:textId="68F640DA" w:rsidR="00FB531D" w:rsidRDefault="00332F18" w:rsidP="00537D75">
      <w:r>
        <w:rPr>
          <w:b/>
          <w:u w:val="single"/>
        </w:rPr>
        <w:t>Step 2:</w:t>
      </w:r>
    </w:p>
    <w:p w14:paraId="0491B7EE" w14:textId="1499F5D6" w:rsidR="00332F18" w:rsidRPr="00D33CE5" w:rsidRDefault="00332F18" w:rsidP="00F07091">
      <w:pPr>
        <w:jc w:val="both"/>
      </w:pPr>
      <w:r>
        <w:t xml:space="preserve">Review the </w:t>
      </w:r>
      <w:r w:rsidR="00DA0331">
        <w:t>22-</w:t>
      </w:r>
      <w:r w:rsidR="00FB531D">
        <w:t>SPGP and JPA</w:t>
      </w:r>
      <w:r>
        <w:t xml:space="preserve"> application</w:t>
      </w:r>
      <w:r w:rsidR="00FB531D">
        <w:t>s</w:t>
      </w:r>
      <w:r>
        <w:t xml:space="preserve"> for completeness</w:t>
      </w:r>
      <w:r w:rsidR="00FB531D">
        <w:t xml:space="preserve">. In 2023, DEQ developed new Complete </w:t>
      </w:r>
      <w:r w:rsidR="00FB531D" w:rsidRPr="00D33CE5">
        <w:t xml:space="preserve">Application checklists for VWP </w:t>
      </w:r>
      <w:r w:rsidR="00890131" w:rsidRPr="00D33CE5">
        <w:t xml:space="preserve">individual permits, general permit coverages, and </w:t>
      </w:r>
      <w:r w:rsidR="00DA0331">
        <w:t>22-</w:t>
      </w:r>
      <w:r w:rsidR="00890131" w:rsidRPr="00D33CE5">
        <w:t>SPGPs.</w:t>
      </w:r>
    </w:p>
    <w:p w14:paraId="38CE3CDC" w14:textId="5EF59BC6" w:rsidR="007D5AC7" w:rsidRPr="007D5AC7" w:rsidRDefault="00D33CE5" w:rsidP="007D5AC7">
      <w:pPr>
        <w:jc w:val="both"/>
      </w:pPr>
      <w:r w:rsidRPr="005C1C37">
        <w:t>Pre-</w:t>
      </w:r>
      <w:r w:rsidRPr="007D5AC7">
        <w:t>application information</w:t>
      </w:r>
      <w:r w:rsidR="007D5AC7" w:rsidRPr="007D5AC7">
        <w:t>:</w:t>
      </w:r>
    </w:p>
    <w:p w14:paraId="0D2224D1" w14:textId="6CAC4C6F" w:rsidR="003F0CCA" w:rsidRPr="00AB5EF8" w:rsidRDefault="00890131" w:rsidP="00810B6C">
      <w:pPr>
        <w:pStyle w:val="ListParagraph"/>
        <w:numPr>
          <w:ilvl w:val="0"/>
          <w:numId w:val="43"/>
        </w:numPr>
        <w:jc w:val="both"/>
      </w:pPr>
      <w:proofErr w:type="gramStart"/>
      <w:r w:rsidRPr="00810B6C">
        <w:rPr>
          <w:sz w:val="22"/>
          <w:szCs w:val="22"/>
        </w:rPr>
        <w:t>In order for</w:t>
      </w:r>
      <w:proofErr w:type="gramEnd"/>
      <w:r w:rsidRPr="00810B6C">
        <w:rPr>
          <w:sz w:val="22"/>
          <w:szCs w:val="22"/>
        </w:rPr>
        <w:t xml:space="preserve"> the </w:t>
      </w:r>
      <w:r w:rsidR="00DA0331">
        <w:rPr>
          <w:sz w:val="22"/>
          <w:szCs w:val="22"/>
        </w:rPr>
        <w:t>22-</w:t>
      </w:r>
      <w:r w:rsidRPr="00810B6C">
        <w:rPr>
          <w:sz w:val="22"/>
          <w:szCs w:val="22"/>
        </w:rPr>
        <w:t xml:space="preserve">SPGP application process to be initiated, the following information must be obtained </w:t>
      </w:r>
      <w:r w:rsidRPr="00810B6C">
        <w:rPr>
          <w:i/>
          <w:iCs/>
          <w:sz w:val="22"/>
          <w:szCs w:val="22"/>
        </w:rPr>
        <w:t>prior to application</w:t>
      </w:r>
      <w:r w:rsidRPr="00810B6C">
        <w:rPr>
          <w:sz w:val="22"/>
          <w:szCs w:val="22"/>
        </w:rPr>
        <w:t>:</w:t>
      </w:r>
      <w:r w:rsidR="00DF57AF" w:rsidRPr="00810B6C">
        <w:rPr>
          <w:sz w:val="22"/>
          <w:szCs w:val="22"/>
        </w:rPr>
        <w:t xml:space="preserve"> </w:t>
      </w:r>
      <w:r w:rsidRPr="00810B6C">
        <w:rPr>
          <w:sz w:val="22"/>
          <w:szCs w:val="22"/>
        </w:rPr>
        <w:t>A valid</w:t>
      </w:r>
      <w:r w:rsidRPr="00810B6C">
        <w:rPr>
          <w:rFonts w:cstheme="minorHAnsi"/>
          <w:sz w:val="22"/>
          <w:szCs w:val="22"/>
        </w:rPr>
        <w:t xml:space="preserve"> Preliminary Screening Form (PSF), </w:t>
      </w:r>
      <w:r w:rsidR="00B75E37" w:rsidRPr="00810B6C">
        <w:rPr>
          <w:rFonts w:cstheme="minorHAnsi"/>
          <w:i/>
          <w:iCs/>
          <w:sz w:val="22"/>
          <w:szCs w:val="22"/>
        </w:rPr>
        <w:t xml:space="preserve">OR </w:t>
      </w:r>
      <w:r w:rsidR="00B75E37" w:rsidRPr="00810B6C">
        <w:rPr>
          <w:rFonts w:cstheme="minorHAnsi"/>
          <w:sz w:val="22"/>
          <w:szCs w:val="22"/>
        </w:rPr>
        <w:t xml:space="preserve">a </w:t>
      </w:r>
      <w:r w:rsidRPr="00810B6C">
        <w:rPr>
          <w:rFonts w:cstheme="minorHAnsi"/>
          <w:sz w:val="22"/>
          <w:szCs w:val="22"/>
        </w:rPr>
        <w:t xml:space="preserve">Preliminary Jurisdictional Determination (PJD) from the USACE, </w:t>
      </w:r>
      <w:r w:rsidR="00B75E37" w:rsidRPr="00810B6C">
        <w:rPr>
          <w:rFonts w:cstheme="minorHAnsi"/>
          <w:i/>
          <w:iCs/>
          <w:sz w:val="22"/>
          <w:szCs w:val="22"/>
        </w:rPr>
        <w:t>OR</w:t>
      </w:r>
      <w:r w:rsidR="00B75E37" w:rsidRPr="00810B6C">
        <w:rPr>
          <w:rFonts w:cstheme="minorHAnsi"/>
          <w:sz w:val="22"/>
          <w:szCs w:val="22"/>
        </w:rPr>
        <w:t xml:space="preserve"> </w:t>
      </w:r>
      <w:r w:rsidR="00113E9C" w:rsidRPr="00810B6C">
        <w:rPr>
          <w:rFonts w:cstheme="minorHAnsi"/>
          <w:sz w:val="22"/>
          <w:szCs w:val="22"/>
        </w:rPr>
        <w:t>an</w:t>
      </w:r>
      <w:r w:rsidRPr="00810B6C">
        <w:rPr>
          <w:rFonts w:cstheme="minorHAnsi"/>
          <w:sz w:val="22"/>
          <w:szCs w:val="22"/>
        </w:rPr>
        <w:t xml:space="preserve"> Approved Jurisdictional Determination (PJD) from the USACE</w:t>
      </w:r>
      <w:r w:rsidR="00147D9D" w:rsidRPr="00810B6C">
        <w:rPr>
          <w:rFonts w:cstheme="minorHAnsi"/>
          <w:sz w:val="22"/>
          <w:szCs w:val="22"/>
        </w:rPr>
        <w:t>.</w:t>
      </w:r>
    </w:p>
    <w:p w14:paraId="743DC81D" w14:textId="720D26B6" w:rsidR="00370895" w:rsidRPr="00AF207A" w:rsidRDefault="00147D9D" w:rsidP="008D7D8C">
      <w:pPr>
        <w:ind w:left="720"/>
        <w:rPr>
          <w:rFonts w:cstheme="minorHAnsi"/>
        </w:rPr>
      </w:pPr>
      <w:r>
        <w:rPr>
          <w:rFonts w:cstheme="minorHAnsi"/>
        </w:rPr>
        <w:t>Note</w:t>
      </w:r>
      <w:r w:rsidR="00370895">
        <w:rPr>
          <w:rFonts w:cstheme="minorHAnsi"/>
        </w:rPr>
        <w:t>s</w:t>
      </w:r>
      <w:r>
        <w:rPr>
          <w:rFonts w:cstheme="minorHAnsi"/>
        </w:rPr>
        <w:t>:</w:t>
      </w:r>
    </w:p>
    <w:p w14:paraId="2838E0F0" w14:textId="06E5B07A" w:rsidR="006835F1" w:rsidRDefault="00147D9D">
      <w:pPr>
        <w:pStyle w:val="ListParagraph"/>
        <w:numPr>
          <w:ilvl w:val="0"/>
          <w:numId w:val="41"/>
        </w:numPr>
        <w:jc w:val="both"/>
        <w:rPr>
          <w:rFonts w:cstheme="minorHAnsi"/>
          <w:sz w:val="22"/>
          <w:szCs w:val="22"/>
        </w:rPr>
      </w:pPr>
      <w:r w:rsidRPr="00F07091">
        <w:rPr>
          <w:rFonts w:cstheme="minorHAnsi"/>
          <w:sz w:val="22"/>
          <w:szCs w:val="22"/>
        </w:rPr>
        <w:t xml:space="preserve">AJDs completed prior to August 30, </w:t>
      </w:r>
      <w:proofErr w:type="gramStart"/>
      <w:r w:rsidRPr="00F07091">
        <w:rPr>
          <w:rFonts w:cstheme="minorHAnsi"/>
          <w:sz w:val="22"/>
          <w:szCs w:val="22"/>
        </w:rPr>
        <w:t>2021</w:t>
      </w:r>
      <w:proofErr w:type="gramEnd"/>
      <w:r w:rsidRPr="00F07091">
        <w:rPr>
          <w:rFonts w:cstheme="minorHAnsi"/>
          <w:sz w:val="22"/>
          <w:szCs w:val="22"/>
        </w:rPr>
        <w:t xml:space="preserve"> cannot be used, and this provision cannot be waived by the USACE P</w:t>
      </w:r>
      <w:r w:rsidR="00F96BFD" w:rsidRPr="00F07091">
        <w:rPr>
          <w:rFonts w:cstheme="minorHAnsi"/>
          <w:sz w:val="22"/>
          <w:szCs w:val="22"/>
        </w:rPr>
        <w:t>roject Manager.</w:t>
      </w:r>
    </w:p>
    <w:p w14:paraId="483DA440" w14:textId="294DC986" w:rsidR="00AF207A" w:rsidRDefault="006835F1">
      <w:pPr>
        <w:pStyle w:val="ListParagraph"/>
        <w:numPr>
          <w:ilvl w:val="0"/>
          <w:numId w:val="41"/>
        </w:numPr>
        <w:jc w:val="both"/>
        <w:rPr>
          <w:rFonts w:cstheme="minorHAnsi"/>
          <w:sz w:val="22"/>
          <w:szCs w:val="22"/>
        </w:rPr>
      </w:pPr>
      <w:r>
        <w:rPr>
          <w:rFonts w:cstheme="minorHAnsi"/>
          <w:sz w:val="22"/>
          <w:szCs w:val="22"/>
        </w:rPr>
        <w:t>A</w:t>
      </w:r>
      <w:r w:rsidR="002D6B35" w:rsidRPr="00F07091">
        <w:rPr>
          <w:rFonts w:cstheme="minorHAnsi"/>
          <w:sz w:val="22"/>
          <w:szCs w:val="22"/>
        </w:rPr>
        <w:t>s of</w:t>
      </w:r>
      <w:r w:rsidR="0028238A">
        <w:rPr>
          <w:rFonts w:cstheme="minorHAnsi"/>
          <w:sz w:val="22"/>
          <w:szCs w:val="22"/>
        </w:rPr>
        <w:t xml:space="preserve"> June </w:t>
      </w:r>
      <w:r w:rsidR="000C1073" w:rsidRPr="00F07091">
        <w:rPr>
          <w:rFonts w:cstheme="minorHAnsi"/>
          <w:sz w:val="22"/>
          <w:szCs w:val="22"/>
        </w:rPr>
        <w:t>2023, the USACE</w:t>
      </w:r>
      <w:r w:rsidR="009F6781" w:rsidRPr="00F07091">
        <w:rPr>
          <w:rFonts w:cstheme="minorHAnsi"/>
          <w:sz w:val="22"/>
          <w:szCs w:val="22"/>
        </w:rPr>
        <w:t>-Norfolk District</w:t>
      </w:r>
      <w:r w:rsidR="000C1073" w:rsidRPr="00F07091">
        <w:rPr>
          <w:rFonts w:cstheme="minorHAnsi"/>
          <w:sz w:val="22"/>
          <w:szCs w:val="22"/>
        </w:rPr>
        <w:t xml:space="preserve"> is coordinating all AJD requests with the U.S. Environmental Protection Agency (EPA)</w:t>
      </w:r>
      <w:r w:rsidR="009F6781" w:rsidRPr="00F07091">
        <w:rPr>
          <w:rFonts w:cstheme="minorHAnsi"/>
          <w:sz w:val="22"/>
          <w:szCs w:val="22"/>
        </w:rPr>
        <w:t xml:space="preserve"> per</w:t>
      </w:r>
      <w:r w:rsidR="00490040" w:rsidRPr="00F07091">
        <w:rPr>
          <w:rFonts w:cstheme="minorHAnsi"/>
          <w:sz w:val="22"/>
          <w:szCs w:val="22"/>
        </w:rPr>
        <w:t xml:space="preserve"> USACE</w:t>
      </w:r>
      <w:r w:rsidR="009F6781" w:rsidRPr="00F07091">
        <w:rPr>
          <w:rFonts w:cstheme="minorHAnsi"/>
          <w:sz w:val="22"/>
          <w:szCs w:val="22"/>
        </w:rPr>
        <w:t xml:space="preserve"> </w:t>
      </w:r>
      <w:r w:rsidR="00490040" w:rsidRPr="00F07091">
        <w:rPr>
          <w:sz w:val="22"/>
          <w:szCs w:val="22"/>
        </w:rPr>
        <w:t xml:space="preserve">jurisdictional determination prioritization </w:t>
      </w:r>
      <w:hyperlink r:id="rId14" w:history="1">
        <w:r w:rsidR="00490040" w:rsidRPr="00F07091">
          <w:rPr>
            <w:rStyle w:val="Hyperlink"/>
            <w:sz w:val="22"/>
            <w:szCs w:val="22"/>
          </w:rPr>
          <w:t>Public Notice</w:t>
        </w:r>
      </w:hyperlink>
      <w:r w:rsidR="000C1073" w:rsidRPr="00F07091">
        <w:rPr>
          <w:rFonts w:cstheme="minorHAnsi"/>
          <w:sz w:val="22"/>
          <w:szCs w:val="22"/>
        </w:rPr>
        <w:t>.</w:t>
      </w:r>
    </w:p>
    <w:p w14:paraId="2439EEB1" w14:textId="4108E8AD" w:rsidR="00C41043" w:rsidRDefault="009966B0">
      <w:pPr>
        <w:pStyle w:val="ListParagraph"/>
        <w:numPr>
          <w:ilvl w:val="0"/>
          <w:numId w:val="41"/>
        </w:numPr>
        <w:jc w:val="both"/>
        <w:rPr>
          <w:rFonts w:cstheme="minorHAnsi"/>
          <w:sz w:val="22"/>
          <w:szCs w:val="22"/>
        </w:rPr>
      </w:pPr>
      <w:r>
        <w:rPr>
          <w:sz w:val="23"/>
          <w:szCs w:val="23"/>
        </w:rPr>
        <w:t>A</w:t>
      </w:r>
      <w:r w:rsidR="00C41043" w:rsidRPr="00F30B42">
        <w:rPr>
          <w:sz w:val="23"/>
          <w:szCs w:val="23"/>
        </w:rPr>
        <w:t xml:space="preserve"> </w:t>
      </w:r>
      <w:r w:rsidR="00C41043">
        <w:rPr>
          <w:rFonts w:cstheme="minorHAnsi"/>
          <w:sz w:val="22"/>
          <w:szCs w:val="22"/>
        </w:rPr>
        <w:t>State Surface Waters Determination (SSWD)</w:t>
      </w:r>
      <w:r>
        <w:rPr>
          <w:rFonts w:cstheme="minorHAnsi"/>
          <w:sz w:val="22"/>
          <w:szCs w:val="22"/>
        </w:rPr>
        <w:t>, provided by DEQ to an applicant,</w:t>
      </w:r>
      <w:r w:rsidR="00C41043">
        <w:rPr>
          <w:rFonts w:cstheme="minorHAnsi"/>
          <w:sz w:val="22"/>
          <w:szCs w:val="22"/>
        </w:rPr>
        <w:t xml:space="preserve"> </w:t>
      </w:r>
      <w:r w:rsidR="00C41043" w:rsidRPr="00F30B42">
        <w:rPr>
          <w:sz w:val="23"/>
          <w:szCs w:val="23"/>
        </w:rPr>
        <w:t>may be relied upon for DEQ permitting purposes.  The USACE and other state or federal agencies may or may not accept the SSWD for their permitting purposes.</w:t>
      </w:r>
    </w:p>
    <w:p w14:paraId="5B126EB5" w14:textId="6643D939" w:rsidR="007B1114" w:rsidRPr="00F07091" w:rsidRDefault="007B1114" w:rsidP="00F07091">
      <w:pPr>
        <w:pStyle w:val="ListParagraph"/>
        <w:numPr>
          <w:ilvl w:val="0"/>
          <w:numId w:val="41"/>
        </w:numPr>
        <w:jc w:val="both"/>
        <w:rPr>
          <w:rFonts w:cstheme="minorHAnsi"/>
          <w:sz w:val="22"/>
          <w:szCs w:val="22"/>
        </w:rPr>
      </w:pPr>
      <w:r w:rsidRPr="006018B0">
        <w:rPr>
          <w:rFonts w:cstheme="minorHAnsi"/>
          <w:sz w:val="22"/>
          <w:szCs w:val="22"/>
        </w:rPr>
        <w:lastRenderedPageBreak/>
        <w:t xml:space="preserve">See DEQ </w:t>
      </w:r>
      <w:r w:rsidR="006018B0" w:rsidRPr="00E767C7">
        <w:rPr>
          <w:rFonts w:cstheme="minorHAnsi"/>
          <w:i/>
          <w:iCs/>
          <w:color w:val="000000"/>
          <w:sz w:val="22"/>
          <w:szCs w:val="22"/>
        </w:rPr>
        <w:t>WAT-PER-003</w:t>
      </w:r>
      <w:r w:rsidR="006018B0">
        <w:rPr>
          <w:rFonts w:cstheme="minorHAnsi"/>
          <w:i/>
          <w:iCs/>
          <w:color w:val="000000"/>
          <w:sz w:val="22"/>
          <w:szCs w:val="22"/>
        </w:rPr>
        <w:t xml:space="preserve"> </w:t>
      </w:r>
      <w:r w:rsidR="006018B0" w:rsidRPr="00F07091">
        <w:rPr>
          <w:rFonts w:cstheme="minorHAnsi"/>
          <w:i/>
          <w:iCs/>
          <w:color w:val="000000"/>
          <w:sz w:val="22"/>
          <w:szCs w:val="22"/>
        </w:rPr>
        <w:t>Implementation Procedures for VWP Preliminary Jurisdictional Determinations (PJDs), Approved Jurisdictional Determinations (AJDs), and State Surface Waters Determinations (SSWDs)</w:t>
      </w:r>
      <w:r w:rsidR="006018B0">
        <w:rPr>
          <w:rFonts w:cstheme="minorHAnsi"/>
          <w:color w:val="000000"/>
          <w:sz w:val="22"/>
          <w:szCs w:val="22"/>
        </w:rPr>
        <w:t xml:space="preserve"> (December </w:t>
      </w:r>
      <w:r w:rsidR="00703F48">
        <w:rPr>
          <w:rFonts w:cstheme="minorHAnsi"/>
          <w:color w:val="000000"/>
          <w:sz w:val="22"/>
          <w:szCs w:val="22"/>
        </w:rPr>
        <w:t xml:space="preserve">21, </w:t>
      </w:r>
      <w:r w:rsidR="006018B0">
        <w:rPr>
          <w:rFonts w:cstheme="minorHAnsi"/>
          <w:color w:val="000000"/>
          <w:sz w:val="22"/>
          <w:szCs w:val="22"/>
        </w:rPr>
        <w:t>2023</w:t>
      </w:r>
      <w:r w:rsidR="00C4686C">
        <w:rPr>
          <w:rFonts w:cstheme="minorHAnsi"/>
          <w:color w:val="000000"/>
          <w:sz w:val="22"/>
          <w:szCs w:val="22"/>
        </w:rPr>
        <w:t>; Chapter 1 References</w:t>
      </w:r>
      <w:r w:rsidR="006018B0">
        <w:rPr>
          <w:rFonts w:cstheme="minorHAnsi"/>
          <w:color w:val="000000"/>
          <w:sz w:val="22"/>
          <w:szCs w:val="22"/>
        </w:rPr>
        <w:t>)</w:t>
      </w:r>
      <w:r w:rsidR="00703F48">
        <w:rPr>
          <w:rFonts w:cstheme="minorHAnsi"/>
          <w:color w:val="000000"/>
          <w:sz w:val="22"/>
          <w:szCs w:val="22"/>
        </w:rPr>
        <w:t xml:space="preserve"> for questions and answers related to determinations and recent WOTUS events.</w:t>
      </w:r>
    </w:p>
    <w:p w14:paraId="0F3CA602" w14:textId="7D92FED0" w:rsidR="007D5AC7" w:rsidRDefault="00890131" w:rsidP="007D5AC7">
      <w:pPr>
        <w:pStyle w:val="ListParagraph"/>
        <w:numPr>
          <w:ilvl w:val="0"/>
          <w:numId w:val="41"/>
        </w:numPr>
        <w:jc w:val="both"/>
        <w:rPr>
          <w:rFonts w:cstheme="minorHAnsi"/>
          <w:sz w:val="22"/>
          <w:szCs w:val="22"/>
        </w:rPr>
      </w:pPr>
      <w:r w:rsidRPr="00F07091">
        <w:rPr>
          <w:rFonts w:cstheme="minorHAnsi"/>
          <w:sz w:val="22"/>
          <w:szCs w:val="22"/>
        </w:rPr>
        <w:t xml:space="preserve">See DEQ Memorandum </w:t>
      </w:r>
      <w:r w:rsidRPr="00F07091">
        <w:rPr>
          <w:rFonts w:cstheme="minorHAnsi"/>
          <w:i/>
          <w:iCs/>
          <w:sz w:val="22"/>
          <w:szCs w:val="22"/>
        </w:rPr>
        <w:t>Recent Supreme Court Decision Sackett v. Environmental Protection Agency (EPA) - Effect in Virginia and How to Move Forward Without Economic Dislocation</w:t>
      </w:r>
      <w:r w:rsidRPr="00F07091">
        <w:rPr>
          <w:rFonts w:cstheme="minorHAnsi"/>
          <w:sz w:val="22"/>
          <w:szCs w:val="22"/>
        </w:rPr>
        <w:t xml:space="preserve"> </w:t>
      </w:r>
      <w:r w:rsidR="00AD5842">
        <w:rPr>
          <w:rFonts w:cstheme="minorHAnsi"/>
          <w:sz w:val="22"/>
          <w:szCs w:val="22"/>
        </w:rPr>
        <w:t>(</w:t>
      </w:r>
      <w:r w:rsidRPr="00F07091">
        <w:rPr>
          <w:rFonts w:cstheme="minorHAnsi"/>
          <w:sz w:val="22"/>
          <w:szCs w:val="22"/>
        </w:rPr>
        <w:t>June 29, 2023</w:t>
      </w:r>
      <w:r w:rsidR="00AD5842">
        <w:rPr>
          <w:rFonts w:cstheme="minorHAnsi"/>
          <w:sz w:val="22"/>
          <w:szCs w:val="22"/>
        </w:rPr>
        <w:t>; Chapter 1 References)</w:t>
      </w:r>
      <w:r w:rsidRPr="00F07091">
        <w:rPr>
          <w:rFonts w:cstheme="minorHAnsi"/>
          <w:sz w:val="22"/>
          <w:szCs w:val="22"/>
        </w:rPr>
        <w:t>, for more information about obtaining boundary and feature verifications in VA.</w:t>
      </w:r>
    </w:p>
    <w:p w14:paraId="2586D1DE" w14:textId="77777777" w:rsidR="007D5AC7" w:rsidRPr="0013435C" w:rsidRDefault="007D5AC7" w:rsidP="0013435C">
      <w:pPr>
        <w:pStyle w:val="ListParagraph"/>
        <w:ind w:left="1080"/>
        <w:jc w:val="both"/>
        <w:rPr>
          <w:rFonts w:cstheme="minorHAnsi"/>
          <w:sz w:val="22"/>
          <w:szCs w:val="22"/>
        </w:rPr>
      </w:pPr>
    </w:p>
    <w:p w14:paraId="163EC1CB" w14:textId="0B466495" w:rsidR="003F0CCA" w:rsidRPr="008D7D8C" w:rsidRDefault="00890131" w:rsidP="007C470E">
      <w:pPr>
        <w:pStyle w:val="ListParagraph"/>
        <w:numPr>
          <w:ilvl w:val="0"/>
          <w:numId w:val="43"/>
        </w:numPr>
        <w:jc w:val="both"/>
        <w:rPr>
          <w:sz w:val="22"/>
          <w:szCs w:val="22"/>
        </w:rPr>
      </w:pPr>
      <w:r w:rsidRPr="0013435C">
        <w:rPr>
          <w:rFonts w:cstheme="minorHAnsi"/>
          <w:sz w:val="22"/>
          <w:szCs w:val="22"/>
        </w:rPr>
        <w:t>A development plan that accurately accounts for all impacts to Waters of the United States (WOTUS), including secondary impacts, and that is acceptable by the USACE for permitting (includes all types of impacts, to WOTUS such as fill, dredging, temporary, permanent, etc.)</w:t>
      </w:r>
    </w:p>
    <w:p w14:paraId="3AFB20B6" w14:textId="77777777" w:rsidR="008D7D8C" w:rsidRPr="008D7D8C" w:rsidRDefault="008D7D8C" w:rsidP="008D7D8C">
      <w:pPr>
        <w:pStyle w:val="ListParagraph"/>
        <w:jc w:val="both"/>
        <w:rPr>
          <w:sz w:val="22"/>
          <w:szCs w:val="22"/>
        </w:rPr>
      </w:pPr>
    </w:p>
    <w:p w14:paraId="2EE015D8" w14:textId="4DD57F3F" w:rsidR="00890131" w:rsidRPr="00AB5EF8" w:rsidRDefault="00890131" w:rsidP="0013435C">
      <w:pPr>
        <w:pStyle w:val="ListParagraph"/>
        <w:numPr>
          <w:ilvl w:val="0"/>
          <w:numId w:val="44"/>
        </w:numPr>
        <w:jc w:val="both"/>
        <w:rPr>
          <w:rFonts w:cstheme="minorHAnsi"/>
        </w:rPr>
      </w:pPr>
      <w:r w:rsidRPr="008D7D8C">
        <w:rPr>
          <w:rFonts w:cstheme="minorHAnsi"/>
          <w:sz w:val="22"/>
          <w:szCs w:val="22"/>
        </w:rPr>
        <w:t>An accounting of all types of impacts (e.g., fill, dredging, temporary, permanent, etc.) to WOTUS.</w:t>
      </w:r>
    </w:p>
    <w:p w14:paraId="5D5EFD7F" w14:textId="4136871A" w:rsidR="00332F18" w:rsidRPr="00FC32AF" w:rsidRDefault="00890131" w:rsidP="00F07091">
      <w:pPr>
        <w:jc w:val="both"/>
      </w:pPr>
      <w:r>
        <w:t xml:space="preserve">The complete </w:t>
      </w:r>
      <w:r w:rsidR="000D6A28">
        <w:t>22-</w:t>
      </w:r>
      <w:r>
        <w:t xml:space="preserve">SPGP application </w:t>
      </w:r>
      <w:r w:rsidRPr="00FC32AF">
        <w:t xml:space="preserve">includes, </w:t>
      </w:r>
      <w:r w:rsidR="00332F18" w:rsidRPr="00FC32AF">
        <w:t>at a minimum:</w:t>
      </w:r>
    </w:p>
    <w:p w14:paraId="1A339053" w14:textId="447289E8" w:rsidR="00FC32AF" w:rsidRPr="008D7D8C" w:rsidRDefault="00687866" w:rsidP="008D7D8C">
      <w:pPr>
        <w:pStyle w:val="ListParagraph"/>
        <w:numPr>
          <w:ilvl w:val="0"/>
          <w:numId w:val="45"/>
        </w:numPr>
        <w:jc w:val="both"/>
      </w:pPr>
      <w:r w:rsidRPr="008D7D8C">
        <w:rPr>
          <w:i/>
          <w:iCs/>
          <w:sz w:val="22"/>
          <w:szCs w:val="22"/>
        </w:rPr>
        <w:t>The pre-application information listed above</w:t>
      </w:r>
      <w:r w:rsidRPr="008D7D8C">
        <w:rPr>
          <w:sz w:val="22"/>
          <w:szCs w:val="22"/>
        </w:rPr>
        <w:t>.</w:t>
      </w:r>
    </w:p>
    <w:p w14:paraId="0302AD7E" w14:textId="77777777" w:rsidR="008D7D8C" w:rsidRPr="008D7D8C" w:rsidRDefault="008D7D8C" w:rsidP="008D7D8C">
      <w:pPr>
        <w:pStyle w:val="ListParagraph"/>
        <w:jc w:val="both"/>
      </w:pPr>
    </w:p>
    <w:p w14:paraId="0C95008D" w14:textId="3B2DC286" w:rsidR="008D7D8C" w:rsidRPr="00AB5EF8" w:rsidRDefault="00332F18" w:rsidP="008D7D8C">
      <w:pPr>
        <w:pStyle w:val="ListParagraph"/>
        <w:numPr>
          <w:ilvl w:val="0"/>
          <w:numId w:val="45"/>
        </w:numPr>
        <w:jc w:val="both"/>
      </w:pPr>
      <w:r w:rsidRPr="008D7D8C">
        <w:rPr>
          <w:sz w:val="22"/>
          <w:szCs w:val="22"/>
        </w:rPr>
        <w:t xml:space="preserve">A complete and signed Standard </w:t>
      </w:r>
      <w:hyperlink r:id="rId15" w:history="1">
        <w:r w:rsidRPr="008D7D8C">
          <w:rPr>
            <w:sz w:val="22"/>
            <w:szCs w:val="22"/>
          </w:rPr>
          <w:t>Joint Permit Application (JPA)</w:t>
        </w:r>
      </w:hyperlink>
      <w:r w:rsidR="00890131" w:rsidRPr="008D7D8C">
        <w:rPr>
          <w:sz w:val="22"/>
          <w:szCs w:val="22"/>
        </w:rPr>
        <w:t xml:space="preserve"> clearly marked with “22-SPGP-RCIR” or “22-SPGP-LT”</w:t>
      </w:r>
      <w:r w:rsidRPr="008D7D8C">
        <w:rPr>
          <w:sz w:val="22"/>
          <w:szCs w:val="22"/>
        </w:rPr>
        <w:t xml:space="preserve">. The applicant must utilize the most recent </w:t>
      </w:r>
      <w:r w:rsidR="00890131" w:rsidRPr="008D7D8C">
        <w:rPr>
          <w:sz w:val="22"/>
          <w:szCs w:val="22"/>
        </w:rPr>
        <w:t xml:space="preserve">JPA </w:t>
      </w:r>
      <w:r w:rsidRPr="008D7D8C">
        <w:rPr>
          <w:sz w:val="22"/>
          <w:szCs w:val="22"/>
        </w:rPr>
        <w:t>version.</w:t>
      </w:r>
    </w:p>
    <w:p w14:paraId="5858B38E" w14:textId="77777777" w:rsidR="008D7D8C" w:rsidRPr="008D7D8C" w:rsidRDefault="008D7D8C" w:rsidP="008D7D8C">
      <w:pPr>
        <w:pStyle w:val="ListParagraph"/>
        <w:jc w:val="both"/>
      </w:pPr>
    </w:p>
    <w:p w14:paraId="0784E5C4" w14:textId="1C2DB732" w:rsidR="007246AA" w:rsidRPr="00AB5EF8" w:rsidRDefault="00890131" w:rsidP="00913A11">
      <w:pPr>
        <w:pStyle w:val="ListParagraph"/>
        <w:numPr>
          <w:ilvl w:val="0"/>
          <w:numId w:val="45"/>
        </w:numPr>
        <w:jc w:val="both"/>
      </w:pPr>
      <w:r w:rsidRPr="008D7D8C">
        <w:rPr>
          <w:sz w:val="22"/>
          <w:szCs w:val="22"/>
        </w:rPr>
        <w:t xml:space="preserve">A compensatory mitigation </w:t>
      </w:r>
      <w:proofErr w:type="gramStart"/>
      <w:r w:rsidRPr="008D7D8C">
        <w:rPr>
          <w:sz w:val="22"/>
          <w:szCs w:val="22"/>
        </w:rPr>
        <w:t>plan</w:t>
      </w:r>
      <w:proofErr w:type="gramEnd"/>
      <w:r w:rsidRPr="008D7D8C">
        <w:rPr>
          <w:sz w:val="22"/>
          <w:szCs w:val="22"/>
        </w:rPr>
        <w:t xml:space="preserve"> </w:t>
      </w:r>
      <w:r w:rsidRPr="007C1E63">
        <w:rPr>
          <w:i/>
          <w:iCs/>
          <w:sz w:val="22"/>
          <w:szCs w:val="22"/>
        </w:rPr>
        <w:t xml:space="preserve">applicable to the SPGP </w:t>
      </w:r>
      <w:r w:rsidR="00687866" w:rsidRPr="007C1E63">
        <w:rPr>
          <w:i/>
          <w:iCs/>
          <w:sz w:val="22"/>
          <w:szCs w:val="22"/>
        </w:rPr>
        <w:t xml:space="preserve">verification </w:t>
      </w:r>
      <w:r w:rsidRPr="007C1E63">
        <w:rPr>
          <w:i/>
          <w:iCs/>
          <w:sz w:val="22"/>
          <w:szCs w:val="22"/>
        </w:rPr>
        <w:t xml:space="preserve">being </w:t>
      </w:r>
      <w:r w:rsidR="00687866" w:rsidRPr="007C1E63">
        <w:rPr>
          <w:i/>
          <w:iCs/>
          <w:sz w:val="22"/>
          <w:szCs w:val="22"/>
        </w:rPr>
        <w:t>sought</w:t>
      </w:r>
      <w:r w:rsidRPr="008D7D8C">
        <w:rPr>
          <w:sz w:val="22"/>
          <w:szCs w:val="22"/>
        </w:rPr>
        <w:t>.</w:t>
      </w:r>
      <w:r w:rsidR="00334E63" w:rsidRPr="008D7D8C">
        <w:rPr>
          <w:sz w:val="22"/>
          <w:szCs w:val="22"/>
        </w:rPr>
        <w:t xml:space="preserve"> Verify that any bank credits proposed are not outside of the General Service Area (GSA) of the approved mitigation bank.</w:t>
      </w:r>
      <w:r w:rsidR="00B80802" w:rsidRPr="008D7D8C">
        <w:rPr>
          <w:sz w:val="22"/>
          <w:szCs w:val="22"/>
        </w:rPr>
        <w:t xml:space="preserve"> Also, USACE approval is required if permittee-responsible mitigation (PRM) is proposed, or if mitigation proposals do not follow the hierarchy in the Federal Mitigation Rule.</w:t>
      </w:r>
    </w:p>
    <w:p w14:paraId="5BF447E7" w14:textId="77777777" w:rsidR="00913A11" w:rsidRDefault="00913A11" w:rsidP="00913A11">
      <w:pPr>
        <w:pStyle w:val="ListParagraph"/>
        <w:autoSpaceDE w:val="0"/>
        <w:autoSpaceDN w:val="0"/>
        <w:adjustRightInd w:val="0"/>
        <w:snapToGrid w:val="0"/>
        <w:spacing w:after="0" w:line="240" w:lineRule="auto"/>
        <w:ind w:left="1080"/>
        <w:rPr>
          <w:rFonts w:eastAsia="Times New Roman" w:cstheme="minorHAnsi"/>
          <w:color w:val="000000"/>
          <w:sz w:val="22"/>
          <w:szCs w:val="22"/>
          <w:lang w:val="x-none"/>
        </w:rPr>
      </w:pPr>
    </w:p>
    <w:p w14:paraId="5F192B1A" w14:textId="20D9BB54" w:rsidR="0089403D" w:rsidRDefault="0089403D" w:rsidP="00385D4E">
      <w:pPr>
        <w:pStyle w:val="ListParagraph"/>
        <w:numPr>
          <w:ilvl w:val="0"/>
          <w:numId w:val="46"/>
        </w:numPr>
        <w:autoSpaceDE w:val="0"/>
        <w:autoSpaceDN w:val="0"/>
        <w:adjustRightInd w:val="0"/>
        <w:snapToGrid w:val="0"/>
        <w:spacing w:after="0" w:line="240" w:lineRule="auto"/>
        <w:rPr>
          <w:rFonts w:eastAsia="Times New Roman" w:cstheme="minorHAnsi"/>
          <w:color w:val="000000"/>
          <w:sz w:val="22"/>
          <w:szCs w:val="22"/>
          <w:lang w:val="x-none"/>
        </w:rPr>
      </w:pPr>
      <w:r w:rsidRPr="007C1E63">
        <w:rPr>
          <w:rFonts w:eastAsia="Times New Roman" w:cstheme="minorHAnsi"/>
          <w:color w:val="000000"/>
          <w:sz w:val="22"/>
          <w:szCs w:val="22"/>
          <w:lang w:val="x-none"/>
        </w:rPr>
        <w:t>Mitigation will generally be required for all projects where the permanent loss exceeds 0.1 acre of wetlands and/or</w:t>
      </w:r>
      <w:r w:rsidR="00D040B7" w:rsidRPr="007C1E63">
        <w:rPr>
          <w:rFonts w:eastAsia="Times New Roman" w:cstheme="minorHAnsi"/>
          <w:color w:val="000000"/>
          <w:sz w:val="22"/>
          <w:szCs w:val="22"/>
          <w:lang w:val="x-none"/>
        </w:rPr>
        <w:t xml:space="preserve"> </w:t>
      </w:r>
      <w:r w:rsidRPr="007C1E63">
        <w:rPr>
          <w:rFonts w:eastAsia="Times New Roman" w:cstheme="minorHAnsi"/>
          <w:color w:val="000000"/>
          <w:sz w:val="22"/>
          <w:szCs w:val="22"/>
          <w:lang w:val="x-none"/>
        </w:rPr>
        <w:t>0.03 acre of stream bed and/or 300 linear feet of stream bed. Stream channel loss must be reported in acreage and linear feet.</w:t>
      </w:r>
    </w:p>
    <w:p w14:paraId="58FE2D5D" w14:textId="77777777" w:rsidR="007D7A42" w:rsidRPr="007C1E63" w:rsidRDefault="007D7A42" w:rsidP="007C1E63">
      <w:pPr>
        <w:pStyle w:val="ListParagraph"/>
        <w:autoSpaceDE w:val="0"/>
        <w:autoSpaceDN w:val="0"/>
        <w:adjustRightInd w:val="0"/>
        <w:snapToGrid w:val="0"/>
        <w:spacing w:after="0" w:line="240" w:lineRule="auto"/>
        <w:ind w:left="1080"/>
        <w:rPr>
          <w:rFonts w:eastAsia="Times New Roman" w:cstheme="minorHAnsi"/>
          <w:color w:val="000000"/>
          <w:sz w:val="22"/>
          <w:szCs w:val="22"/>
          <w:lang w:val="x-none"/>
        </w:rPr>
      </w:pPr>
    </w:p>
    <w:p w14:paraId="4A74E12A" w14:textId="1F001FE3" w:rsidR="0038603E" w:rsidRDefault="0038603E" w:rsidP="00E01F4D">
      <w:pPr>
        <w:pStyle w:val="ListParagraph"/>
        <w:numPr>
          <w:ilvl w:val="0"/>
          <w:numId w:val="46"/>
        </w:numPr>
        <w:autoSpaceDE w:val="0"/>
        <w:autoSpaceDN w:val="0"/>
        <w:adjustRightInd w:val="0"/>
        <w:snapToGrid w:val="0"/>
        <w:spacing w:after="0" w:line="240" w:lineRule="auto"/>
        <w:rPr>
          <w:rFonts w:eastAsia="Times New Roman" w:cstheme="minorHAnsi"/>
          <w:color w:val="000000"/>
          <w:sz w:val="22"/>
          <w:szCs w:val="22"/>
          <w:lang w:val="x-none"/>
        </w:rPr>
      </w:pPr>
      <w:r w:rsidRPr="007C1E63">
        <w:rPr>
          <w:rFonts w:eastAsia="Times New Roman" w:cstheme="minorHAnsi"/>
          <w:color w:val="000000"/>
          <w:sz w:val="22"/>
          <w:szCs w:val="22"/>
          <w:lang w:val="x-none"/>
        </w:rPr>
        <w:t>For linear transportation project, mitigation will generally be required for all permanent loss of wetlands and/or 0.03 acre of stream bed or 300 linear feet of stream bed. Stream channel loss must be reported in acreage and linear feet.</w:t>
      </w:r>
    </w:p>
    <w:p w14:paraId="78CD670A" w14:textId="77777777" w:rsidR="00E01F4D" w:rsidRPr="00E01F4D" w:rsidRDefault="00E01F4D" w:rsidP="00E01F4D">
      <w:pPr>
        <w:autoSpaceDE w:val="0"/>
        <w:autoSpaceDN w:val="0"/>
        <w:adjustRightInd w:val="0"/>
        <w:snapToGrid w:val="0"/>
        <w:spacing w:after="0" w:line="240" w:lineRule="auto"/>
        <w:rPr>
          <w:rFonts w:eastAsia="Times New Roman" w:cstheme="minorHAnsi"/>
          <w:color w:val="000000"/>
          <w:lang w:val="x-none"/>
        </w:rPr>
      </w:pPr>
    </w:p>
    <w:p w14:paraId="7A889917" w14:textId="512D0063" w:rsidR="00332F18" w:rsidRDefault="00332F18" w:rsidP="00F07091">
      <w:pPr>
        <w:jc w:val="both"/>
        <w:rPr>
          <w:bCs/>
        </w:rPr>
      </w:pPr>
      <w:r w:rsidRPr="00A14ECB">
        <w:t xml:space="preserve">If the </w:t>
      </w:r>
      <w:r w:rsidR="00400276">
        <w:t>22-</w:t>
      </w:r>
      <w:r w:rsidR="006F530A">
        <w:t xml:space="preserve">SPGP </w:t>
      </w:r>
      <w:r w:rsidRPr="004D7F6B">
        <w:t xml:space="preserve">application is incomplete, </w:t>
      </w:r>
      <w:r>
        <w:t>notify the</w:t>
      </w:r>
      <w:r w:rsidRPr="00A14ECB">
        <w:t xml:space="preserve"> applicant</w:t>
      </w:r>
      <w:r>
        <w:t xml:space="preserve"> via an additional information request, indicating what additional items are required to complete the application</w:t>
      </w:r>
      <w:r w:rsidRPr="00A14ECB">
        <w:t>.</w:t>
      </w:r>
      <w:r w:rsidR="00F03CC6" w:rsidRPr="00F03CC6">
        <w:rPr>
          <w:lang w:bidi="en-US"/>
        </w:rPr>
        <w:t xml:space="preserve"> </w:t>
      </w:r>
      <w:r w:rsidR="00F03CC6">
        <w:rPr>
          <w:lang w:bidi="en-US"/>
        </w:rPr>
        <w:t xml:space="preserve">If </w:t>
      </w:r>
      <w:r w:rsidR="00F03CC6" w:rsidRPr="00F03CC6">
        <w:rPr>
          <w:lang w:bidi="en-US"/>
        </w:rPr>
        <w:t>the project does not qualify for a</w:t>
      </w:r>
      <w:r w:rsidR="00F03CC6">
        <w:rPr>
          <w:lang w:bidi="en-US"/>
        </w:rPr>
        <w:t xml:space="preserve"> </w:t>
      </w:r>
      <w:r w:rsidR="00400276">
        <w:rPr>
          <w:lang w:bidi="en-US"/>
        </w:rPr>
        <w:t>22-</w:t>
      </w:r>
      <w:r w:rsidR="00F03CC6">
        <w:rPr>
          <w:lang w:bidi="en-US"/>
        </w:rPr>
        <w:t>S</w:t>
      </w:r>
      <w:r w:rsidR="00F03CC6" w:rsidRPr="00F03CC6">
        <w:rPr>
          <w:lang w:bidi="en-US"/>
        </w:rPr>
        <w:t>PGP verification</w:t>
      </w:r>
      <w:r w:rsidR="00400276">
        <w:rPr>
          <w:lang w:bidi="en-US"/>
        </w:rPr>
        <w:t>,</w:t>
      </w:r>
      <w:r w:rsidR="00F03CC6" w:rsidRPr="00F03CC6">
        <w:rPr>
          <w:lang w:bidi="en-US"/>
        </w:rPr>
        <w:t xml:space="preserve"> the applicant should</w:t>
      </w:r>
      <w:r w:rsidR="00F03CC6">
        <w:rPr>
          <w:lang w:bidi="en-US"/>
        </w:rPr>
        <w:t xml:space="preserve"> either provide the requested information, including any r</w:t>
      </w:r>
      <w:r w:rsidR="00F03CC6" w:rsidRPr="00F03CC6">
        <w:t>evis</w:t>
      </w:r>
      <w:r w:rsidR="00F03CC6">
        <w:t xml:space="preserve">ions to the </w:t>
      </w:r>
      <w:r w:rsidR="00400276">
        <w:t>22-</w:t>
      </w:r>
      <w:r w:rsidR="00F03CC6">
        <w:t xml:space="preserve">SPGP </w:t>
      </w:r>
      <w:r w:rsidR="00F03CC6" w:rsidRPr="00F03CC6">
        <w:t>application</w:t>
      </w:r>
      <w:r w:rsidR="00F03CC6">
        <w:t>, or s</w:t>
      </w:r>
      <w:r w:rsidR="00F03CC6" w:rsidRPr="00F03CC6">
        <w:t xml:space="preserve">ubmit application to </w:t>
      </w:r>
      <w:r w:rsidR="00F03CC6">
        <w:t>USACE</w:t>
      </w:r>
      <w:r w:rsidR="00F03CC6" w:rsidRPr="00F03CC6">
        <w:t xml:space="preserve"> for processing under </w:t>
      </w:r>
      <w:r w:rsidR="00F03CC6">
        <w:t xml:space="preserve">a </w:t>
      </w:r>
      <w:r w:rsidR="00F03CC6" w:rsidRPr="00F03CC6">
        <w:t xml:space="preserve">different </w:t>
      </w:r>
      <w:r w:rsidR="00F03CC6">
        <w:t xml:space="preserve">federal </w:t>
      </w:r>
      <w:r w:rsidR="00F03CC6" w:rsidRPr="00F03CC6">
        <w:t>permit.</w:t>
      </w:r>
      <w:r w:rsidR="00F03CC6">
        <w:t xml:space="preserve"> </w:t>
      </w:r>
      <w:r w:rsidRPr="003F0CCA">
        <w:rPr>
          <w:bCs/>
        </w:rPr>
        <w:t>If the applicant does not respond within 60 days, DEQ will administratively withdraw the application and notify the applicant.</w:t>
      </w:r>
    </w:p>
    <w:p w14:paraId="0AE7228D" w14:textId="77777777" w:rsidR="00913A11" w:rsidRDefault="00913A11" w:rsidP="00F07091">
      <w:pPr>
        <w:jc w:val="both"/>
        <w:rPr>
          <w:bCs/>
        </w:rPr>
      </w:pPr>
    </w:p>
    <w:p w14:paraId="0B6C7280" w14:textId="77777777" w:rsidR="00913A11" w:rsidRPr="003F0CCA" w:rsidRDefault="00913A11" w:rsidP="00F07091">
      <w:pPr>
        <w:jc w:val="both"/>
        <w:rPr>
          <w:bCs/>
        </w:rPr>
      </w:pPr>
    </w:p>
    <w:p w14:paraId="5DA4A771" w14:textId="5A4B15E4" w:rsidR="00687866" w:rsidRDefault="00332F18" w:rsidP="00537D75">
      <w:r w:rsidRPr="00284BC5">
        <w:rPr>
          <w:b/>
          <w:u w:val="single"/>
        </w:rPr>
        <w:lastRenderedPageBreak/>
        <w:t xml:space="preserve">Step </w:t>
      </w:r>
      <w:r>
        <w:rPr>
          <w:b/>
          <w:u w:val="single"/>
        </w:rPr>
        <w:t>3</w:t>
      </w:r>
      <w:r>
        <w:t>:</w:t>
      </w:r>
    </w:p>
    <w:p w14:paraId="003FAB8D" w14:textId="44FD572A" w:rsidR="00687866" w:rsidRPr="00687866" w:rsidRDefault="00687866" w:rsidP="00B77494">
      <w:pPr>
        <w:jc w:val="both"/>
      </w:pPr>
      <w:r>
        <w:t xml:space="preserve">If necessary, submit the package to the USACE </w:t>
      </w:r>
      <w:r w:rsidR="008415E7">
        <w:t>Regulator of the Day (</w:t>
      </w:r>
      <w:hyperlink r:id="rId16" w:history="1">
        <w:r w:rsidR="008415E7" w:rsidRPr="00760194">
          <w:rPr>
            <w:rStyle w:val="Hyperlink"/>
            <w:u w:val="none"/>
          </w:rPr>
          <w:t>cenao.reg_rod@usace.army.mil</w:t>
        </w:r>
      </w:hyperlink>
      <w:r w:rsidR="008415E7">
        <w:t xml:space="preserve">), not to the USACE Project Manager, </w:t>
      </w:r>
      <w:r>
        <w:t xml:space="preserve">for federal coordination </w:t>
      </w:r>
      <w:r w:rsidR="008415E7">
        <w:t>processing</w:t>
      </w:r>
      <w:r>
        <w:t>.</w:t>
      </w:r>
      <w:r w:rsidR="003F0CCA">
        <w:t xml:space="preserve"> </w:t>
      </w:r>
      <w:r w:rsidRPr="00687866">
        <w:t xml:space="preserve">The Preliminary Screening Form (PSF) will indicate </w:t>
      </w:r>
      <w:proofErr w:type="gramStart"/>
      <w:r w:rsidRPr="00687866">
        <w:t>whether or not</w:t>
      </w:r>
      <w:proofErr w:type="gramEnd"/>
      <w:r w:rsidRPr="00687866">
        <w:t xml:space="preserve"> the applicant has already coordinated with USACE and/or other federal resource agencies.</w:t>
      </w:r>
    </w:p>
    <w:p w14:paraId="65660A1A" w14:textId="660986D6" w:rsidR="00332F18" w:rsidRDefault="00687866" w:rsidP="00B77494">
      <w:pPr>
        <w:pStyle w:val="ListParagraph"/>
        <w:numPr>
          <w:ilvl w:val="0"/>
          <w:numId w:val="40"/>
        </w:numPr>
        <w:jc w:val="both"/>
        <w:rPr>
          <w:sz w:val="22"/>
          <w:szCs w:val="22"/>
        </w:rPr>
      </w:pPr>
      <w:r w:rsidRPr="00B77494">
        <w:rPr>
          <w:sz w:val="22"/>
          <w:szCs w:val="22"/>
        </w:rPr>
        <w:t xml:space="preserve">If coordination has already occurred, VWPPP staff may proceed directly to issuance of a </w:t>
      </w:r>
      <w:r w:rsidR="00154501">
        <w:rPr>
          <w:sz w:val="22"/>
          <w:szCs w:val="22"/>
        </w:rPr>
        <w:t>22-</w:t>
      </w:r>
      <w:r w:rsidRPr="00B77494">
        <w:rPr>
          <w:sz w:val="22"/>
          <w:szCs w:val="22"/>
        </w:rPr>
        <w:t>SPGP verification</w:t>
      </w:r>
      <w:r w:rsidR="00CF3701" w:rsidRPr="00B77494">
        <w:rPr>
          <w:sz w:val="22"/>
          <w:szCs w:val="22"/>
        </w:rPr>
        <w:t xml:space="preserve"> in the next step</w:t>
      </w:r>
      <w:r w:rsidRPr="00B77494">
        <w:rPr>
          <w:sz w:val="22"/>
          <w:szCs w:val="22"/>
        </w:rPr>
        <w:t>.</w:t>
      </w:r>
    </w:p>
    <w:p w14:paraId="6E4BAE3B" w14:textId="77777777" w:rsidR="008D7D8C" w:rsidRPr="00B77494" w:rsidRDefault="008D7D8C" w:rsidP="008D7D8C">
      <w:pPr>
        <w:pStyle w:val="ListParagraph"/>
        <w:jc w:val="both"/>
        <w:rPr>
          <w:sz w:val="22"/>
          <w:szCs w:val="22"/>
        </w:rPr>
      </w:pPr>
    </w:p>
    <w:p w14:paraId="6549F5FF" w14:textId="5A714289" w:rsidR="00DC63A7" w:rsidRPr="00B77494" w:rsidRDefault="00687866" w:rsidP="00B77494">
      <w:pPr>
        <w:pStyle w:val="ListParagraph"/>
        <w:numPr>
          <w:ilvl w:val="0"/>
          <w:numId w:val="40"/>
        </w:numPr>
        <w:jc w:val="both"/>
        <w:rPr>
          <w:sz w:val="22"/>
          <w:szCs w:val="22"/>
        </w:rPr>
      </w:pPr>
      <w:r w:rsidRPr="00B77494">
        <w:rPr>
          <w:sz w:val="22"/>
          <w:szCs w:val="22"/>
        </w:rPr>
        <w:t>If coordination has not occurred,</w:t>
      </w:r>
      <w:r w:rsidR="00C57883">
        <w:rPr>
          <w:sz w:val="22"/>
          <w:szCs w:val="22"/>
        </w:rPr>
        <w:t xml:space="preserve"> or DEQ staff does not receive a </w:t>
      </w:r>
      <w:r w:rsidR="00791C98">
        <w:rPr>
          <w:sz w:val="22"/>
          <w:szCs w:val="22"/>
        </w:rPr>
        <w:t xml:space="preserve">PSF with an application </w:t>
      </w:r>
      <w:proofErr w:type="gramStart"/>
      <w:r w:rsidR="00791C98">
        <w:rPr>
          <w:sz w:val="22"/>
          <w:szCs w:val="22"/>
        </w:rPr>
        <w:t xml:space="preserve">submittal, </w:t>
      </w:r>
      <w:r w:rsidRPr="00B77494">
        <w:rPr>
          <w:sz w:val="22"/>
          <w:szCs w:val="22"/>
        </w:rPr>
        <w:t xml:space="preserve"> submit</w:t>
      </w:r>
      <w:proofErr w:type="gramEnd"/>
      <w:r w:rsidRPr="00B77494">
        <w:rPr>
          <w:sz w:val="22"/>
          <w:szCs w:val="22"/>
        </w:rPr>
        <w:t xml:space="preserve"> the complete </w:t>
      </w:r>
      <w:r w:rsidR="00154501">
        <w:rPr>
          <w:sz w:val="22"/>
          <w:szCs w:val="22"/>
        </w:rPr>
        <w:t>22-</w:t>
      </w:r>
      <w:r w:rsidRPr="00B77494">
        <w:rPr>
          <w:sz w:val="22"/>
          <w:szCs w:val="22"/>
        </w:rPr>
        <w:t xml:space="preserve">SPGP application </w:t>
      </w:r>
      <w:r w:rsidR="00600683" w:rsidRPr="00E9789C">
        <w:rPr>
          <w:sz w:val="22"/>
          <w:szCs w:val="22"/>
        </w:rPr>
        <w:t xml:space="preserve">and the </w:t>
      </w:r>
      <w:r w:rsidR="00154501">
        <w:rPr>
          <w:sz w:val="22"/>
          <w:szCs w:val="22"/>
        </w:rPr>
        <w:t>22-</w:t>
      </w:r>
      <w:r w:rsidR="005E7EEE" w:rsidRPr="00E9789C">
        <w:rPr>
          <w:sz w:val="22"/>
          <w:szCs w:val="22"/>
        </w:rPr>
        <w:t xml:space="preserve">SPGP Federal Coordination Form </w:t>
      </w:r>
      <w:r w:rsidR="009159CB" w:rsidRPr="00E9789C">
        <w:rPr>
          <w:sz w:val="22"/>
          <w:szCs w:val="22"/>
        </w:rPr>
        <w:t xml:space="preserve">(rev. August </w:t>
      </w:r>
      <w:r w:rsidR="00BD14E8">
        <w:rPr>
          <w:sz w:val="22"/>
          <w:szCs w:val="22"/>
        </w:rPr>
        <w:t>2024</w:t>
      </w:r>
      <w:r w:rsidR="009159CB" w:rsidRPr="00E9789C">
        <w:rPr>
          <w:sz w:val="22"/>
          <w:szCs w:val="22"/>
        </w:rPr>
        <w:t xml:space="preserve">) </w:t>
      </w:r>
      <w:r w:rsidRPr="00B77494">
        <w:rPr>
          <w:sz w:val="22"/>
          <w:szCs w:val="22"/>
        </w:rPr>
        <w:t>to the USACE-Norfolk District for the completion of federal coordination.</w:t>
      </w:r>
      <w:r w:rsidR="009159CB" w:rsidRPr="00B77494">
        <w:rPr>
          <w:sz w:val="22"/>
          <w:szCs w:val="22"/>
        </w:rPr>
        <w:t xml:space="preserve"> Ensure the DEQ permit writer’s </w:t>
      </w:r>
      <w:r w:rsidR="00FD0721">
        <w:rPr>
          <w:sz w:val="22"/>
          <w:szCs w:val="22"/>
        </w:rPr>
        <w:t>email address</w:t>
      </w:r>
      <w:r w:rsidR="009159CB" w:rsidRPr="00B77494">
        <w:rPr>
          <w:sz w:val="22"/>
          <w:szCs w:val="22"/>
        </w:rPr>
        <w:t xml:space="preserve"> is on the form.</w:t>
      </w:r>
      <w:r w:rsidR="00E9789C" w:rsidRPr="00B77494">
        <w:rPr>
          <w:sz w:val="22"/>
          <w:szCs w:val="22"/>
        </w:rPr>
        <w:t xml:space="preserve"> Per the USACE SPGP SOP (rev. October 2023), the USACE permit manager will strive to notify DEQ permit staff of the need for federal coordination within 15 days of receiving the package.</w:t>
      </w:r>
    </w:p>
    <w:p w14:paraId="2698A34A" w14:textId="2B0E96FB" w:rsidR="00E9789C" w:rsidRDefault="00687866" w:rsidP="00B77494">
      <w:pPr>
        <w:jc w:val="both"/>
      </w:pPr>
      <w:r>
        <w:t>When either a preliminary jurisdictional determination (PJD) or approved jurisdictional determination (AJD)</w:t>
      </w:r>
      <w:r w:rsidR="00DC63A7">
        <w:t xml:space="preserve"> are provided without the accompanying PSF, the project must be coordinated by the USACE with federal resource agencies. This may also be the outcome if applicants submit a PSF that does not match either the development plan or waters delineation.</w:t>
      </w:r>
    </w:p>
    <w:p w14:paraId="55F5358A" w14:textId="2CB758E0" w:rsidR="00B80802" w:rsidRDefault="00332F18" w:rsidP="00537D75">
      <w:r w:rsidRPr="00284BC5">
        <w:rPr>
          <w:b/>
          <w:u w:val="single"/>
        </w:rPr>
        <w:t xml:space="preserve">Step </w:t>
      </w:r>
      <w:r>
        <w:rPr>
          <w:b/>
          <w:u w:val="single"/>
        </w:rPr>
        <w:t>4</w:t>
      </w:r>
      <w:r w:rsidRPr="00284BC5">
        <w:rPr>
          <w:b/>
        </w:rPr>
        <w:t>:</w:t>
      </w:r>
    </w:p>
    <w:p w14:paraId="0BB56779" w14:textId="717A2421" w:rsidR="00147D9D" w:rsidRDefault="00CF3701" w:rsidP="00B77494">
      <w:pPr>
        <w:jc w:val="both"/>
      </w:pPr>
      <w:r>
        <w:t xml:space="preserve">The completed </w:t>
      </w:r>
      <w:r w:rsidR="00434525">
        <w:t>22-</w:t>
      </w:r>
      <w:r>
        <w:t>SPGP Coordination Form should be returned to VWPPP staff by the USACE and may include special conditions</w:t>
      </w:r>
      <w:r w:rsidRPr="008F2D54">
        <w:t xml:space="preserve"> </w:t>
      </w:r>
      <w:r>
        <w:t xml:space="preserve">to add to the </w:t>
      </w:r>
      <w:r w:rsidR="00434525">
        <w:t>22-</w:t>
      </w:r>
      <w:r>
        <w:t xml:space="preserve">SPGP verification. </w:t>
      </w:r>
      <w:r w:rsidRPr="008F2D54">
        <w:t>The SPGP verification may not be issued until the USACE has confirmed in writing that the federal coordination process has concluded.</w:t>
      </w:r>
      <w:r w:rsidR="00332F18">
        <w:t xml:space="preserve"> </w:t>
      </w:r>
    </w:p>
    <w:p w14:paraId="52C18BDD" w14:textId="2F0CCDD7" w:rsidR="00147D9D" w:rsidRPr="00147D9D" w:rsidRDefault="00147D9D" w:rsidP="00B77494">
      <w:pPr>
        <w:jc w:val="both"/>
      </w:pPr>
      <w:r>
        <w:t xml:space="preserve">The </w:t>
      </w:r>
      <w:r w:rsidR="00434525">
        <w:t>22-</w:t>
      </w:r>
      <w:r>
        <w:t xml:space="preserve">SPGP </w:t>
      </w:r>
      <w:r w:rsidRPr="00147D9D">
        <w:t xml:space="preserve">verification </w:t>
      </w:r>
      <w:r>
        <w:t>must</w:t>
      </w:r>
      <w:r w:rsidRPr="00147D9D">
        <w:t xml:space="preserve"> reference the</w:t>
      </w:r>
      <w:r>
        <w:t xml:space="preserve"> </w:t>
      </w:r>
      <w:proofErr w:type="gramStart"/>
      <w:r>
        <w:t>federally-</w:t>
      </w:r>
      <w:r w:rsidRPr="00147D9D">
        <w:t>permitted</w:t>
      </w:r>
      <w:proofErr w:type="gramEnd"/>
      <w:r w:rsidRPr="00147D9D">
        <w:t xml:space="preserve"> impacts</w:t>
      </w:r>
      <w:r>
        <w:t xml:space="preserve"> to WOTUS. It should not include any state-only surface waters, such as </w:t>
      </w:r>
      <w:r w:rsidRPr="00147D9D">
        <w:t xml:space="preserve">isolated </w:t>
      </w:r>
      <w:r>
        <w:t xml:space="preserve">wetland </w:t>
      </w:r>
      <w:r w:rsidRPr="00147D9D">
        <w:t>impacts.</w:t>
      </w:r>
    </w:p>
    <w:p w14:paraId="3220B7DD" w14:textId="61793981" w:rsidR="00332F18" w:rsidRDefault="00332F18" w:rsidP="00B77494">
      <w:pPr>
        <w:jc w:val="both"/>
      </w:pPr>
      <w:r>
        <w:t xml:space="preserve">The </w:t>
      </w:r>
      <w:r w:rsidR="00D1451F">
        <w:t>22-</w:t>
      </w:r>
      <w:r w:rsidR="00CF3701">
        <w:t>SPGP</w:t>
      </w:r>
      <w:r>
        <w:t xml:space="preserve"> verification may be issued at the same time as a VWP permit</w:t>
      </w:r>
      <w:r w:rsidR="00CF3701">
        <w:t xml:space="preserve"> or coverage, or after, but the</w:t>
      </w:r>
      <w:r>
        <w:t xml:space="preserve"> </w:t>
      </w:r>
      <w:r w:rsidRPr="003F0CCA">
        <w:t>verification letter is separate from</w:t>
      </w:r>
      <w:r>
        <w:t xml:space="preserve"> any VWP authorization letter. </w:t>
      </w:r>
      <w:r w:rsidR="00796F89">
        <w:t>Use the most recent templates provided in Chapter 6 of the VWP Permit and Compliance Manual.</w:t>
      </w:r>
    </w:p>
    <w:p w14:paraId="48C91410" w14:textId="7E68FC1E" w:rsidR="00E14077" w:rsidRPr="003F0CCA" w:rsidRDefault="00332F18" w:rsidP="00B77494">
      <w:pPr>
        <w:jc w:val="both"/>
        <w:rPr>
          <w:bCs/>
        </w:rPr>
      </w:pPr>
      <w:r w:rsidRPr="003F0CCA">
        <w:rPr>
          <w:bCs/>
        </w:rPr>
        <w:t xml:space="preserve">The </w:t>
      </w:r>
      <w:r w:rsidR="00D1451F">
        <w:rPr>
          <w:bCs/>
        </w:rPr>
        <w:t>22-</w:t>
      </w:r>
      <w:r w:rsidRPr="003F0CCA">
        <w:rPr>
          <w:bCs/>
        </w:rPr>
        <w:t xml:space="preserve">SPGP </w:t>
      </w:r>
      <w:r w:rsidR="00CF3701">
        <w:rPr>
          <w:bCs/>
        </w:rPr>
        <w:t xml:space="preserve">SOP </w:t>
      </w:r>
      <w:r w:rsidRPr="003F0CCA">
        <w:rPr>
          <w:bCs/>
        </w:rPr>
        <w:t xml:space="preserve">does not have </w:t>
      </w:r>
      <w:r w:rsidR="00CF3701">
        <w:rPr>
          <w:bCs/>
        </w:rPr>
        <w:t xml:space="preserve">a </w:t>
      </w:r>
      <w:r w:rsidRPr="003F0CCA">
        <w:rPr>
          <w:bCs/>
        </w:rPr>
        <w:t xml:space="preserve">mandated timeframe as to when </w:t>
      </w:r>
      <w:r w:rsidR="00CF3701">
        <w:rPr>
          <w:bCs/>
        </w:rPr>
        <w:t xml:space="preserve">a </w:t>
      </w:r>
      <w:r w:rsidR="003F0CCA">
        <w:rPr>
          <w:bCs/>
        </w:rPr>
        <w:t>verification</w:t>
      </w:r>
      <w:r w:rsidRPr="003F0CCA">
        <w:rPr>
          <w:bCs/>
        </w:rPr>
        <w:t xml:space="preserve"> must be </w:t>
      </w:r>
      <w:r w:rsidR="00CF3701">
        <w:rPr>
          <w:bCs/>
        </w:rPr>
        <w:t>issued</w:t>
      </w:r>
      <w:r w:rsidRPr="003F0CCA">
        <w:rPr>
          <w:bCs/>
        </w:rPr>
        <w:t>.</w:t>
      </w:r>
    </w:p>
    <w:p w14:paraId="3121546E" w14:textId="77777777" w:rsidR="003F0CCA" w:rsidRDefault="002F7E37" w:rsidP="003F0CCA">
      <w:pPr>
        <w:pStyle w:val="Heading2"/>
      </w:pPr>
      <w:bookmarkStart w:id="4" w:name="_Toc195361054"/>
      <w:r>
        <w:t xml:space="preserve">6.3 </w:t>
      </w:r>
      <w:r w:rsidR="00E83171">
        <w:t>Delineations</w:t>
      </w:r>
      <w:bookmarkEnd w:id="4"/>
    </w:p>
    <w:p w14:paraId="0223C00A" w14:textId="3B5E70FC" w:rsidR="002F7E37" w:rsidRDefault="00661BBC" w:rsidP="003B4CB4">
      <w:pPr>
        <w:jc w:val="both"/>
      </w:pPr>
      <w:r>
        <w:t xml:space="preserve">Until 2023, the USACE was the </w:t>
      </w:r>
      <w:r w:rsidR="002F7E37">
        <w:t xml:space="preserve">lead agency on the confirmation of delineations. </w:t>
      </w:r>
      <w:r>
        <w:t>The USACE announced a scale-back of confirming delineations in late 2022 and again in early 2023 that resulted in DEQ’s plan to continue confirmations, as provided in Code and program regulations. Refer to Chapter 1 for information on State Surface Water Determinations (SSWD) and upcoming protocols for wetland delineation professionals.</w:t>
      </w:r>
    </w:p>
    <w:p w14:paraId="471112C7" w14:textId="7F1623A8" w:rsidR="008167A2" w:rsidRDefault="007E3660" w:rsidP="003F0CCA">
      <w:pPr>
        <w:pStyle w:val="Heading2"/>
      </w:pPr>
      <w:bookmarkStart w:id="5" w:name="_Toc195361055"/>
      <w:r>
        <w:t>6.</w:t>
      </w:r>
      <w:r w:rsidR="006767DD">
        <w:t>4</w:t>
      </w:r>
      <w:r>
        <w:t xml:space="preserve"> Tidal Waters</w:t>
      </w:r>
      <w:bookmarkEnd w:id="5"/>
    </w:p>
    <w:p w14:paraId="1AB5F7FD" w14:textId="05D6A837" w:rsidR="00536B40" w:rsidRDefault="007E3660" w:rsidP="00536B40">
      <w:pPr>
        <w:jc w:val="both"/>
      </w:pPr>
      <w:r>
        <w:t xml:space="preserve">The </w:t>
      </w:r>
      <w:r w:rsidR="00DC313C">
        <w:t>22-</w:t>
      </w:r>
      <w:r>
        <w:t xml:space="preserve">SPGP does not authorize </w:t>
      </w:r>
      <w:r w:rsidRPr="002B1874">
        <w:rPr>
          <w:i/>
          <w:iCs/>
        </w:rPr>
        <w:t>tidal</w:t>
      </w:r>
      <w:r>
        <w:t xml:space="preserve"> impacts; therefore, if a JPA for tidal impacts is marked </w:t>
      </w:r>
      <w:r w:rsidR="00DC313C">
        <w:t>‘</w:t>
      </w:r>
      <w:r>
        <w:t>SPGP</w:t>
      </w:r>
      <w:r w:rsidR="00DC313C">
        <w:t>’</w:t>
      </w:r>
      <w:r>
        <w:t xml:space="preserve">, Staff should notify the applicant that the application may not qualify for the </w:t>
      </w:r>
      <w:r w:rsidR="00DC313C">
        <w:t>22-</w:t>
      </w:r>
      <w:r>
        <w:t xml:space="preserve">SPGP.  Staff must forward the </w:t>
      </w:r>
      <w:r>
        <w:lastRenderedPageBreak/>
        <w:t xml:space="preserve">application material to the </w:t>
      </w:r>
      <w:r w:rsidR="006767DD">
        <w:t>USACE</w:t>
      </w:r>
      <w:r>
        <w:t xml:space="preserve"> for this determination.  Staff should complete the appropriate VWP </w:t>
      </w:r>
      <w:r w:rsidR="00FC4BB6">
        <w:t>decision</w:t>
      </w:r>
      <w:r>
        <w:t xml:space="preserve"> action for the JPA.</w:t>
      </w:r>
    </w:p>
    <w:p w14:paraId="19F665AE" w14:textId="0423DC6D" w:rsidR="00536B40" w:rsidRDefault="00536B40" w:rsidP="00536B40">
      <w:pPr>
        <w:pStyle w:val="Heading2"/>
      </w:pPr>
      <w:bookmarkStart w:id="6" w:name="_Toc195361056"/>
      <w:r>
        <w:t>6.</w:t>
      </w:r>
      <w:r w:rsidR="002E76B8">
        <w:t>5</w:t>
      </w:r>
      <w:r>
        <w:t xml:space="preserve"> Deed Restrictions</w:t>
      </w:r>
      <w:bookmarkEnd w:id="6"/>
    </w:p>
    <w:p w14:paraId="37E97942" w14:textId="31787CEE" w:rsidR="00536B40" w:rsidRPr="003F0CCA" w:rsidRDefault="00536B40" w:rsidP="003F0CCA">
      <w:pPr>
        <w:jc w:val="both"/>
      </w:pPr>
      <w:r>
        <w:t xml:space="preserve">Staff </w:t>
      </w:r>
      <w:r w:rsidR="00DC5DC5">
        <w:t>in</w:t>
      </w:r>
      <w:r>
        <w:t xml:space="preserve"> the Virginia Attorney General’s office, when necessary, will review and approve deed restriction language. If mitigation credit is given for deed-restricted land, the applicant must use the </w:t>
      </w:r>
      <w:r w:rsidR="006767DD">
        <w:t>USACE</w:t>
      </w:r>
      <w:r>
        <w:t xml:space="preserve">-approved deed restriction template. If the applicant proposes deed restriction language that substantially deviates from the template, the </w:t>
      </w:r>
      <w:r w:rsidR="006767DD">
        <w:t>USACE</w:t>
      </w:r>
      <w:r>
        <w:t xml:space="preserve"> Office of Counsel must be provided the opportunity to review and approve the proposed language.</w:t>
      </w:r>
    </w:p>
    <w:p w14:paraId="4A74EA62" w14:textId="1EF1D247" w:rsidR="008415E7" w:rsidRDefault="00536B40">
      <w:pPr>
        <w:pStyle w:val="Heading2"/>
      </w:pPr>
      <w:bookmarkStart w:id="7" w:name="_Toc195361057"/>
      <w:r>
        <w:t>6.</w:t>
      </w:r>
      <w:r w:rsidR="002E76B8">
        <w:t>6</w:t>
      </w:r>
      <w:r>
        <w:t xml:space="preserve"> </w:t>
      </w:r>
      <w:r w:rsidR="008415E7">
        <w:t>Transition</w:t>
      </w:r>
      <w:bookmarkEnd w:id="7"/>
    </w:p>
    <w:p w14:paraId="73B0F905" w14:textId="6D14D1F7" w:rsidR="008415E7" w:rsidRPr="003F0CCA" w:rsidRDefault="008415E7" w:rsidP="003F0CCA">
      <w:pPr>
        <w:jc w:val="both"/>
        <w:rPr>
          <w:rFonts w:eastAsia="Times New Roman" w:cstheme="minorHAnsi"/>
        </w:rPr>
      </w:pPr>
      <w:r>
        <w:rPr>
          <w:rFonts w:eastAsia="Times New Roman" w:cstheme="minorHAnsi"/>
        </w:rPr>
        <w:t>Permittees</w:t>
      </w:r>
      <w:r w:rsidRPr="003F0CCA">
        <w:rPr>
          <w:rFonts w:eastAsia="Times New Roman" w:cstheme="minorHAnsi"/>
        </w:rPr>
        <w:t xml:space="preserve"> that receive </w:t>
      </w:r>
      <w:r w:rsidR="00760837">
        <w:rPr>
          <w:rFonts w:eastAsia="Times New Roman" w:cstheme="minorHAnsi"/>
        </w:rPr>
        <w:t>22</w:t>
      </w:r>
      <w:r w:rsidRPr="003F0CCA">
        <w:rPr>
          <w:rFonts w:eastAsia="Times New Roman" w:cstheme="minorHAnsi"/>
        </w:rPr>
        <w:t>-SPGP</w:t>
      </w:r>
      <w:r>
        <w:rPr>
          <w:rFonts w:eastAsia="Times New Roman" w:cstheme="minorHAnsi"/>
        </w:rPr>
        <w:t xml:space="preserve"> verification</w:t>
      </w:r>
      <w:r w:rsidRPr="003F0CCA">
        <w:rPr>
          <w:rFonts w:eastAsia="Times New Roman" w:cstheme="minorHAnsi"/>
        </w:rPr>
        <w:t>s and</w:t>
      </w:r>
      <w:r>
        <w:rPr>
          <w:rFonts w:eastAsia="Times New Roman" w:cstheme="minorHAnsi"/>
        </w:rPr>
        <w:t xml:space="preserve"> </w:t>
      </w:r>
      <w:r w:rsidR="001A5BBA">
        <w:rPr>
          <w:rFonts w:eastAsia="Times New Roman" w:cstheme="minorHAnsi"/>
        </w:rPr>
        <w:t>will</w:t>
      </w:r>
      <w:r>
        <w:rPr>
          <w:rFonts w:eastAsia="Times New Roman" w:cstheme="minorHAnsi"/>
        </w:rPr>
        <w:t xml:space="preserve"> not complete the authorized activities </w:t>
      </w:r>
      <w:r w:rsidR="001A5BBA">
        <w:rPr>
          <w:rFonts w:eastAsia="Times New Roman" w:cstheme="minorHAnsi"/>
        </w:rPr>
        <w:t>must</w:t>
      </w:r>
      <w:r>
        <w:rPr>
          <w:rFonts w:eastAsia="Times New Roman" w:cstheme="minorHAnsi"/>
        </w:rPr>
        <w:t xml:space="preserve"> reapply for </w:t>
      </w:r>
      <w:r w:rsidR="001A5BBA">
        <w:rPr>
          <w:rFonts w:eastAsia="Times New Roman" w:cstheme="minorHAnsi"/>
        </w:rPr>
        <w:t xml:space="preserve">verification </w:t>
      </w:r>
      <w:r w:rsidR="009D4AF8">
        <w:rPr>
          <w:rFonts w:eastAsia="Times New Roman" w:cstheme="minorHAnsi"/>
        </w:rPr>
        <w:t xml:space="preserve">under the </w:t>
      </w:r>
      <w:r w:rsidR="008C0A7E">
        <w:rPr>
          <w:rFonts w:eastAsia="Times New Roman" w:cstheme="minorHAnsi"/>
        </w:rPr>
        <w:t>upcoming reissued</w:t>
      </w:r>
      <w:r w:rsidR="009D4AF8">
        <w:rPr>
          <w:rFonts w:eastAsia="Times New Roman" w:cstheme="minorHAnsi"/>
        </w:rPr>
        <w:t xml:space="preserve"> SPGP</w:t>
      </w:r>
      <w:r>
        <w:rPr>
          <w:rFonts w:eastAsia="Times New Roman" w:cstheme="minorHAnsi"/>
        </w:rPr>
        <w:t xml:space="preserve">. </w:t>
      </w:r>
      <w:r w:rsidRPr="007C1E63">
        <w:rPr>
          <w:rFonts w:eastAsia="Times New Roman" w:cstheme="minorHAnsi"/>
          <w:i/>
          <w:iCs/>
        </w:rPr>
        <w:t xml:space="preserve">This means that these projects must comply with </w:t>
      </w:r>
      <w:r w:rsidR="008C0A7E" w:rsidRPr="007C1E63">
        <w:rPr>
          <w:rFonts w:eastAsia="Times New Roman" w:cstheme="minorHAnsi"/>
          <w:i/>
          <w:iCs/>
        </w:rPr>
        <w:t>any</w:t>
      </w:r>
      <w:r w:rsidRPr="007C1E63">
        <w:rPr>
          <w:rFonts w:eastAsia="Times New Roman" w:cstheme="minorHAnsi"/>
          <w:i/>
          <w:iCs/>
        </w:rPr>
        <w:t xml:space="preserve"> new SPGP terms and conditions, including mitigation requirements.</w:t>
      </w:r>
      <w:r w:rsidRPr="003F0CCA">
        <w:rPr>
          <w:rFonts w:eastAsia="Times New Roman" w:cstheme="minorHAnsi"/>
        </w:rPr>
        <w:t xml:space="preserve"> </w:t>
      </w:r>
      <w:r w:rsidR="002E76B8">
        <w:rPr>
          <w:rFonts w:eastAsia="Times New Roman" w:cstheme="minorHAnsi"/>
        </w:rPr>
        <w:t xml:space="preserve">Project proponents may </w:t>
      </w:r>
      <w:r w:rsidRPr="003F0CCA">
        <w:rPr>
          <w:rFonts w:eastAsia="Times New Roman" w:cstheme="minorHAnsi"/>
        </w:rPr>
        <w:t xml:space="preserve">meet with the </w:t>
      </w:r>
      <w:r w:rsidR="002E76B8">
        <w:rPr>
          <w:rFonts w:eastAsia="Times New Roman" w:cstheme="minorHAnsi"/>
        </w:rPr>
        <w:t>USACE</w:t>
      </w:r>
      <w:r w:rsidRPr="003F0CCA">
        <w:rPr>
          <w:rFonts w:eastAsia="Times New Roman" w:cstheme="minorHAnsi"/>
        </w:rPr>
        <w:t xml:space="preserve"> and DEQ to discuss the project and potential options for processing</w:t>
      </w:r>
      <w:r w:rsidR="002E76B8">
        <w:rPr>
          <w:rFonts w:eastAsia="Times New Roman" w:cstheme="minorHAnsi"/>
        </w:rPr>
        <w:t xml:space="preserve"> a new </w:t>
      </w:r>
      <w:r w:rsidR="00814640">
        <w:rPr>
          <w:rFonts w:eastAsia="Times New Roman" w:cstheme="minorHAnsi"/>
        </w:rPr>
        <w:t xml:space="preserve">SPGP </w:t>
      </w:r>
      <w:r w:rsidR="002E76B8">
        <w:rPr>
          <w:rFonts w:eastAsia="Times New Roman" w:cstheme="minorHAnsi"/>
        </w:rPr>
        <w:t>verification</w:t>
      </w:r>
      <w:r w:rsidRPr="003F0CCA">
        <w:rPr>
          <w:rFonts w:eastAsia="Times New Roman" w:cstheme="minorHAnsi"/>
        </w:rPr>
        <w:t xml:space="preserve"> or </w:t>
      </w:r>
      <w:r w:rsidR="005017AF">
        <w:rPr>
          <w:rFonts w:eastAsia="Times New Roman" w:cstheme="minorHAnsi"/>
        </w:rPr>
        <w:t xml:space="preserve">approval under </w:t>
      </w:r>
      <w:r w:rsidRPr="003F0CCA">
        <w:rPr>
          <w:rFonts w:eastAsia="Times New Roman" w:cstheme="minorHAnsi"/>
        </w:rPr>
        <w:t xml:space="preserve">another </w:t>
      </w:r>
      <w:r w:rsidR="002E76B8">
        <w:rPr>
          <w:rFonts w:eastAsia="Times New Roman" w:cstheme="minorHAnsi"/>
        </w:rPr>
        <w:t>USACE p</w:t>
      </w:r>
      <w:r w:rsidRPr="003F0CCA">
        <w:rPr>
          <w:rFonts w:eastAsia="Times New Roman" w:cstheme="minorHAnsi"/>
        </w:rPr>
        <w:t>ermit.</w:t>
      </w:r>
    </w:p>
    <w:p w14:paraId="12DD9D50" w14:textId="7D7F64BA" w:rsidR="00536B40" w:rsidRDefault="008415E7" w:rsidP="00536B40">
      <w:pPr>
        <w:pStyle w:val="Heading2"/>
      </w:pPr>
      <w:bookmarkStart w:id="8" w:name="_Toc195361058"/>
      <w:r>
        <w:t>6.</w:t>
      </w:r>
      <w:r w:rsidR="002E76B8">
        <w:t>7</w:t>
      </w:r>
      <w:r>
        <w:t xml:space="preserve"> </w:t>
      </w:r>
      <w:r w:rsidR="00536B40">
        <w:t>Modifications</w:t>
      </w:r>
      <w:bookmarkEnd w:id="8"/>
    </w:p>
    <w:p w14:paraId="637DE838" w14:textId="1B7FA1B6" w:rsidR="00536B40" w:rsidRDefault="00536B40" w:rsidP="003F0CCA">
      <w:pPr>
        <w:tabs>
          <w:tab w:val="left" w:pos="10080"/>
        </w:tabs>
        <w:jc w:val="both"/>
      </w:pPr>
      <w:r>
        <w:t xml:space="preserve">Modifications </w:t>
      </w:r>
      <w:r w:rsidR="006767DD">
        <w:t xml:space="preserve">to </w:t>
      </w:r>
      <w:r w:rsidR="002A1087">
        <w:t>22-</w:t>
      </w:r>
      <w:r w:rsidR="006767DD">
        <w:t>SPGP verifications are not allowed per USACE regulations.</w:t>
      </w:r>
      <w:r w:rsidR="00147D9D">
        <w:t xml:space="preserve"> Changes must be </w:t>
      </w:r>
      <w:r w:rsidR="00147D9D" w:rsidRPr="005E4ACF">
        <w:t xml:space="preserve">coordinated with Corps in accordance with New Verification Procedures as listed in the </w:t>
      </w:r>
      <w:r w:rsidR="00147D9D">
        <w:t xml:space="preserve">respective </w:t>
      </w:r>
      <w:r w:rsidR="00147D9D" w:rsidRPr="005E4ACF">
        <w:t>SOP.</w:t>
      </w:r>
      <w:r w:rsidR="00147D9D">
        <w:t xml:space="preserve"> DEQ will likely need to provide a new verification once the applicant resubmits the revised application package with the updated information, including justification for additional impacts, if applicable.</w:t>
      </w:r>
    </w:p>
    <w:p w14:paraId="6E190360" w14:textId="310C95F3" w:rsidR="002E76B8" w:rsidRDefault="002E76B8" w:rsidP="002E76B8">
      <w:pPr>
        <w:pStyle w:val="Heading2"/>
      </w:pPr>
      <w:bookmarkStart w:id="9" w:name="_Toc195361059"/>
      <w:r>
        <w:t>6.8 File Documentation</w:t>
      </w:r>
      <w:bookmarkEnd w:id="9"/>
    </w:p>
    <w:p w14:paraId="50A35CB4" w14:textId="28E5899C" w:rsidR="002E76B8" w:rsidRDefault="002E76B8">
      <w:pPr>
        <w:jc w:val="both"/>
      </w:pPr>
      <w:r>
        <w:t xml:space="preserve">Below is </w:t>
      </w:r>
      <w:r w:rsidRPr="003F0CCA">
        <w:t>a suggested list of documents</w:t>
      </w:r>
      <w:r w:rsidRPr="00E83171">
        <w:t xml:space="preserve"> for DEQ staff to</w:t>
      </w:r>
      <w:r>
        <w:t xml:space="preserve"> maintain for each </w:t>
      </w:r>
      <w:r w:rsidR="00AE7C3D">
        <w:t>22-</w:t>
      </w:r>
      <w:r>
        <w:t>SPGP</w:t>
      </w:r>
      <w:r w:rsidR="00E83171">
        <w:t xml:space="preserve"> </w:t>
      </w:r>
      <w:r>
        <w:t xml:space="preserve">verification. </w:t>
      </w:r>
      <w:r w:rsidR="00E83171">
        <w:t xml:space="preserve">Because no federal retention schedule is specified in the </w:t>
      </w:r>
      <w:r w:rsidR="00AE7C3D">
        <w:t>22-</w:t>
      </w:r>
      <w:r w:rsidR="00E83171">
        <w:t xml:space="preserve">SPGPs or SOPs, apply the same document retention schedules as used for VWP permit or coverage decisions. </w:t>
      </w:r>
      <w:r>
        <w:t>See the most recent VWP CEDS Manual and/or PEEP Guide for completing SPGP-related CEDS data entry.</w:t>
      </w:r>
    </w:p>
    <w:p w14:paraId="398F9CE1" w14:textId="044EAE3F" w:rsidR="00E83171" w:rsidRDefault="00E83171" w:rsidP="00E83171">
      <w:pPr>
        <w:pStyle w:val="ListParagraph"/>
        <w:numPr>
          <w:ilvl w:val="0"/>
          <w:numId w:val="38"/>
        </w:numPr>
        <w:rPr>
          <w:sz w:val="22"/>
          <w:szCs w:val="22"/>
        </w:rPr>
      </w:pPr>
      <w:r>
        <w:rPr>
          <w:sz w:val="22"/>
          <w:szCs w:val="22"/>
        </w:rPr>
        <w:t>Preliminary Screening Form</w:t>
      </w:r>
    </w:p>
    <w:p w14:paraId="597F5B43" w14:textId="62C72A4E" w:rsidR="00E83171" w:rsidRDefault="00E83171" w:rsidP="00E83171">
      <w:pPr>
        <w:pStyle w:val="ListParagraph"/>
        <w:numPr>
          <w:ilvl w:val="0"/>
          <w:numId w:val="38"/>
        </w:numPr>
        <w:rPr>
          <w:sz w:val="22"/>
          <w:szCs w:val="22"/>
        </w:rPr>
      </w:pPr>
      <w:r>
        <w:rPr>
          <w:sz w:val="22"/>
          <w:szCs w:val="22"/>
        </w:rPr>
        <w:t>Approved or Preliminary USACE Jurisdictional Determinations made by USACE</w:t>
      </w:r>
    </w:p>
    <w:p w14:paraId="69881B73" w14:textId="0DAEE8BA" w:rsidR="00E83171" w:rsidRDefault="00E83171" w:rsidP="00E83171">
      <w:pPr>
        <w:pStyle w:val="ListParagraph"/>
        <w:numPr>
          <w:ilvl w:val="0"/>
          <w:numId w:val="38"/>
        </w:numPr>
        <w:rPr>
          <w:sz w:val="22"/>
          <w:szCs w:val="22"/>
        </w:rPr>
      </w:pPr>
      <w:r>
        <w:rPr>
          <w:sz w:val="22"/>
          <w:szCs w:val="22"/>
        </w:rPr>
        <w:t>State Surface Water Determination, if applicable</w:t>
      </w:r>
    </w:p>
    <w:p w14:paraId="0A22DAC0" w14:textId="64010434" w:rsidR="00E83171" w:rsidRDefault="00E83171" w:rsidP="00E83171">
      <w:pPr>
        <w:pStyle w:val="ListParagraph"/>
        <w:numPr>
          <w:ilvl w:val="0"/>
          <w:numId w:val="38"/>
        </w:numPr>
        <w:rPr>
          <w:sz w:val="22"/>
          <w:szCs w:val="22"/>
        </w:rPr>
      </w:pPr>
      <w:r>
        <w:rPr>
          <w:sz w:val="22"/>
          <w:szCs w:val="22"/>
        </w:rPr>
        <w:t>Project Development Plan, including all WOTUS impact amounts</w:t>
      </w:r>
    </w:p>
    <w:p w14:paraId="2C62540F" w14:textId="04D6545C" w:rsidR="00E83171" w:rsidRDefault="00E83171" w:rsidP="00E83171">
      <w:pPr>
        <w:pStyle w:val="ListParagraph"/>
        <w:numPr>
          <w:ilvl w:val="0"/>
          <w:numId w:val="38"/>
        </w:numPr>
        <w:rPr>
          <w:sz w:val="22"/>
          <w:szCs w:val="22"/>
        </w:rPr>
      </w:pPr>
      <w:r>
        <w:rPr>
          <w:sz w:val="22"/>
          <w:szCs w:val="22"/>
        </w:rPr>
        <w:t>Proposed compensatory mitigation plan</w:t>
      </w:r>
    </w:p>
    <w:p w14:paraId="5ABCFF35" w14:textId="160B2ACA" w:rsidR="00E83171" w:rsidRDefault="00E83171" w:rsidP="00E83171">
      <w:pPr>
        <w:pStyle w:val="ListParagraph"/>
        <w:numPr>
          <w:ilvl w:val="0"/>
          <w:numId w:val="38"/>
        </w:numPr>
        <w:rPr>
          <w:sz w:val="22"/>
          <w:szCs w:val="22"/>
        </w:rPr>
      </w:pPr>
      <w:r>
        <w:rPr>
          <w:sz w:val="22"/>
          <w:szCs w:val="22"/>
        </w:rPr>
        <w:t>Joint Permit Application for DEQ decision purposes</w:t>
      </w:r>
    </w:p>
    <w:p w14:paraId="45755070" w14:textId="5771BB11" w:rsidR="00E83171" w:rsidRDefault="00E83171" w:rsidP="00E83171">
      <w:pPr>
        <w:pStyle w:val="ListParagraph"/>
        <w:numPr>
          <w:ilvl w:val="0"/>
          <w:numId w:val="38"/>
        </w:numPr>
        <w:rPr>
          <w:sz w:val="22"/>
          <w:szCs w:val="22"/>
        </w:rPr>
      </w:pPr>
      <w:r>
        <w:rPr>
          <w:sz w:val="22"/>
          <w:szCs w:val="22"/>
        </w:rPr>
        <w:t>Federal project number, if applicable</w:t>
      </w:r>
    </w:p>
    <w:p w14:paraId="67937EC9" w14:textId="5F7C2B22" w:rsidR="00E83171" w:rsidRPr="003F0CCA" w:rsidRDefault="00E83171" w:rsidP="003F0CCA">
      <w:pPr>
        <w:pStyle w:val="ListParagraph"/>
        <w:numPr>
          <w:ilvl w:val="0"/>
          <w:numId w:val="38"/>
        </w:numPr>
        <w:rPr>
          <w:sz w:val="22"/>
          <w:szCs w:val="22"/>
        </w:rPr>
      </w:pPr>
      <w:r w:rsidRPr="003F0CCA">
        <w:rPr>
          <w:sz w:val="22"/>
          <w:szCs w:val="22"/>
        </w:rPr>
        <w:t>Coordination emails between all parties</w:t>
      </w:r>
    </w:p>
    <w:p w14:paraId="47982FD3" w14:textId="7E46EBDA" w:rsidR="00E83171" w:rsidRPr="003F0CCA" w:rsidRDefault="00E83171" w:rsidP="003F0CCA">
      <w:pPr>
        <w:pStyle w:val="ListParagraph"/>
        <w:numPr>
          <w:ilvl w:val="0"/>
          <w:numId w:val="38"/>
        </w:numPr>
        <w:rPr>
          <w:sz w:val="22"/>
          <w:szCs w:val="22"/>
        </w:rPr>
      </w:pPr>
      <w:r w:rsidRPr="003F0CCA">
        <w:rPr>
          <w:sz w:val="22"/>
          <w:szCs w:val="22"/>
        </w:rPr>
        <w:t>Verification Request Forms</w:t>
      </w:r>
    </w:p>
    <w:p w14:paraId="5023FDF0" w14:textId="6F9CA1DB" w:rsidR="00E83171" w:rsidRPr="003F0CCA" w:rsidRDefault="00E83171" w:rsidP="003F0CCA">
      <w:pPr>
        <w:pStyle w:val="ListParagraph"/>
        <w:numPr>
          <w:ilvl w:val="0"/>
          <w:numId w:val="38"/>
        </w:numPr>
      </w:pPr>
      <w:r w:rsidRPr="003F0CCA">
        <w:rPr>
          <w:sz w:val="22"/>
          <w:szCs w:val="22"/>
        </w:rPr>
        <w:t>Verification Letter sent by DEQ</w:t>
      </w:r>
    </w:p>
    <w:p w14:paraId="5B6C8AE3" w14:textId="77777777" w:rsidR="002E76B8" w:rsidRPr="00536B40" w:rsidRDefault="002E76B8" w:rsidP="00B45520">
      <w:pPr>
        <w:jc w:val="both"/>
      </w:pPr>
    </w:p>
    <w:sectPr w:rsidR="002E76B8" w:rsidRPr="00536B4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35775" w14:textId="77777777" w:rsidR="00AE23BA" w:rsidRDefault="00AE23BA" w:rsidP="007763B1">
      <w:pPr>
        <w:spacing w:after="0" w:line="240" w:lineRule="auto"/>
      </w:pPr>
      <w:r>
        <w:separator/>
      </w:r>
    </w:p>
  </w:endnote>
  <w:endnote w:type="continuationSeparator" w:id="0">
    <w:p w14:paraId="3D2DD9F9" w14:textId="77777777" w:rsidR="00AE23BA" w:rsidRDefault="00AE23BA" w:rsidP="0077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3C2F" w14:textId="45B3DC0D" w:rsidR="007763B1" w:rsidRPr="007763B1" w:rsidRDefault="00913A11">
    <w:pPr>
      <w:pStyle w:val="Footer"/>
      <w:rPr>
        <w:sz w:val="20"/>
        <w:szCs w:val="20"/>
      </w:rPr>
    </w:pPr>
    <w:r>
      <w:rPr>
        <w:sz w:val="20"/>
        <w:szCs w:val="20"/>
      </w:rPr>
      <w:t>April</w:t>
    </w:r>
    <w:r w:rsidR="00DA0331">
      <w:rPr>
        <w:sz w:val="20"/>
        <w:szCs w:val="20"/>
      </w:rPr>
      <w:t xml:space="preserve"> 2025</w:t>
    </w:r>
    <w:r w:rsidR="007763B1">
      <w:rPr>
        <w:sz w:val="20"/>
        <w:szCs w:val="20"/>
      </w:rPr>
      <w:tab/>
    </w:r>
    <w:r w:rsidR="007763B1">
      <w:rPr>
        <w:sz w:val="20"/>
        <w:szCs w:val="20"/>
      </w:rPr>
      <w:tab/>
    </w:r>
    <w:r w:rsidR="007763B1" w:rsidRPr="007763B1">
      <w:rPr>
        <w:sz w:val="20"/>
        <w:szCs w:val="20"/>
      </w:rPr>
      <w:fldChar w:fldCharType="begin"/>
    </w:r>
    <w:r w:rsidR="007763B1" w:rsidRPr="007763B1">
      <w:rPr>
        <w:sz w:val="20"/>
        <w:szCs w:val="20"/>
      </w:rPr>
      <w:instrText xml:space="preserve"> PAGE   \* MERGEFORMAT </w:instrText>
    </w:r>
    <w:r w:rsidR="007763B1" w:rsidRPr="007763B1">
      <w:rPr>
        <w:sz w:val="20"/>
        <w:szCs w:val="20"/>
      </w:rPr>
      <w:fldChar w:fldCharType="separate"/>
    </w:r>
    <w:r w:rsidR="002A2051">
      <w:rPr>
        <w:noProof/>
        <w:sz w:val="20"/>
        <w:szCs w:val="20"/>
      </w:rPr>
      <w:t>1</w:t>
    </w:r>
    <w:r w:rsidR="007763B1" w:rsidRPr="007763B1">
      <w:rPr>
        <w:noProof/>
        <w:sz w:val="20"/>
        <w:szCs w:val="20"/>
      </w:rPr>
      <w:fldChar w:fldCharType="end"/>
    </w:r>
  </w:p>
  <w:p w14:paraId="0E41A1B5" w14:textId="77777777" w:rsidR="007763B1" w:rsidRDefault="00776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62EE" w14:textId="77777777" w:rsidR="00AE23BA" w:rsidRDefault="00AE23BA" w:rsidP="007763B1">
      <w:pPr>
        <w:spacing w:after="0" w:line="240" w:lineRule="auto"/>
      </w:pPr>
      <w:r>
        <w:separator/>
      </w:r>
    </w:p>
  </w:footnote>
  <w:footnote w:type="continuationSeparator" w:id="0">
    <w:p w14:paraId="49B383F9" w14:textId="77777777" w:rsidR="00AE23BA" w:rsidRDefault="00AE23BA" w:rsidP="007763B1">
      <w:pPr>
        <w:spacing w:after="0" w:line="240" w:lineRule="auto"/>
      </w:pPr>
      <w:r>
        <w:continuationSeparator/>
      </w:r>
    </w:p>
  </w:footnote>
  <w:footnote w:id="1">
    <w:p w14:paraId="48D72AEF" w14:textId="606775E1" w:rsidR="005B6938" w:rsidRDefault="005B6938" w:rsidP="00B77494">
      <w:pPr>
        <w:pStyle w:val="FootnoteText"/>
        <w:jc w:val="both"/>
      </w:pPr>
      <w:r>
        <w:rPr>
          <w:rStyle w:val="FootnoteReference"/>
        </w:rPr>
        <w:footnoteRef/>
      </w:r>
      <w:r>
        <w:t xml:space="preserve"> The 23-SPGP-PASDO, </w:t>
      </w:r>
      <w:r w:rsidRPr="00B16191">
        <w:rPr>
          <w:szCs w:val="24"/>
        </w:rPr>
        <w:t>authorizing certain pier, aquaculture, shoreline, dredging, and other activities in tidal or non-tidal waters of the United States (WOTUS)</w:t>
      </w:r>
      <w:r>
        <w:t xml:space="preserve"> is also used in Virginia</w:t>
      </w:r>
      <w:r w:rsidR="002A1097">
        <w:t>. It was developed</w:t>
      </w:r>
      <w:r>
        <w:t xml:space="preserve"> by the Virginia Marine Resources Commission (VMRC)</w:t>
      </w:r>
      <w:r w:rsidR="002A1097">
        <w:t xml:space="preserve"> and the USACE but is administered by the USACE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1097" w14:textId="71815545" w:rsidR="00DA47A1" w:rsidRDefault="00DA47A1">
    <w:pPr>
      <w:pStyle w:val="Header"/>
    </w:pPr>
  </w:p>
  <w:p w14:paraId="7DE4393C" w14:textId="77777777" w:rsidR="00DA47A1" w:rsidRDefault="00DA4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2E2"/>
    <w:multiLevelType w:val="hybridMultilevel"/>
    <w:tmpl w:val="F6F6EEC8"/>
    <w:lvl w:ilvl="0" w:tplc="04090001">
      <w:start w:val="1"/>
      <w:numFmt w:val="bullet"/>
      <w:lvlText w:val=""/>
      <w:lvlJc w:val="left"/>
      <w:pPr>
        <w:ind w:left="720" w:hanging="360"/>
      </w:pPr>
      <w:rPr>
        <w:rFonts w:ascii="Symbol" w:hAnsi="Symbol" w:hint="default"/>
      </w:rPr>
    </w:lvl>
    <w:lvl w:ilvl="1" w:tplc="590CBE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4BF3"/>
    <w:multiLevelType w:val="hybridMultilevel"/>
    <w:tmpl w:val="AA60C708"/>
    <w:lvl w:ilvl="0" w:tplc="0B308F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8232B"/>
    <w:multiLevelType w:val="hybridMultilevel"/>
    <w:tmpl w:val="F7342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E1518"/>
    <w:multiLevelType w:val="hybridMultilevel"/>
    <w:tmpl w:val="E84417D2"/>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7958C188">
      <w:start w:val="3"/>
      <w:numFmt w:val="bullet"/>
      <w:lvlText w:val="•"/>
      <w:lvlJc w:val="left"/>
      <w:pPr>
        <w:ind w:left="1980" w:hanging="360"/>
      </w:pPr>
      <w:rPr>
        <w:rFonts w:ascii="Calibri" w:eastAsiaTheme="minorEastAsia"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630F0"/>
    <w:multiLevelType w:val="hybridMultilevel"/>
    <w:tmpl w:val="6B26217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95E50"/>
    <w:multiLevelType w:val="hybridMultilevel"/>
    <w:tmpl w:val="31BA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31916"/>
    <w:multiLevelType w:val="hybridMultilevel"/>
    <w:tmpl w:val="22C4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E7481"/>
    <w:multiLevelType w:val="hybridMultilevel"/>
    <w:tmpl w:val="91D0861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513028D"/>
    <w:multiLevelType w:val="hybridMultilevel"/>
    <w:tmpl w:val="E0583B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4437E"/>
    <w:multiLevelType w:val="hybridMultilevel"/>
    <w:tmpl w:val="03B8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46BC2"/>
    <w:multiLevelType w:val="hybridMultilevel"/>
    <w:tmpl w:val="F9CE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06DA6"/>
    <w:multiLevelType w:val="hybridMultilevel"/>
    <w:tmpl w:val="9FE453F8"/>
    <w:lvl w:ilvl="0" w:tplc="B528639E">
      <w:start w:val="1"/>
      <w:numFmt w:val="bullet"/>
      <w:lvlText w:val="•"/>
      <w:lvlJc w:val="left"/>
      <w:pPr>
        <w:tabs>
          <w:tab w:val="num" w:pos="720"/>
        </w:tabs>
        <w:ind w:left="720" w:hanging="360"/>
      </w:pPr>
      <w:rPr>
        <w:rFonts w:ascii="Arial" w:hAnsi="Arial" w:hint="default"/>
      </w:rPr>
    </w:lvl>
    <w:lvl w:ilvl="1" w:tplc="12C0AEEC">
      <w:start w:val="1"/>
      <w:numFmt w:val="decimal"/>
      <w:lvlText w:val="%2."/>
      <w:lvlJc w:val="left"/>
      <w:pPr>
        <w:tabs>
          <w:tab w:val="num" w:pos="1440"/>
        </w:tabs>
        <w:ind w:left="1440" w:hanging="360"/>
      </w:pPr>
    </w:lvl>
    <w:lvl w:ilvl="2" w:tplc="0EB245F8" w:tentative="1">
      <w:start w:val="1"/>
      <w:numFmt w:val="bullet"/>
      <w:lvlText w:val="•"/>
      <w:lvlJc w:val="left"/>
      <w:pPr>
        <w:tabs>
          <w:tab w:val="num" w:pos="2160"/>
        </w:tabs>
        <w:ind w:left="2160" w:hanging="360"/>
      </w:pPr>
      <w:rPr>
        <w:rFonts w:ascii="Arial" w:hAnsi="Arial" w:hint="default"/>
      </w:rPr>
    </w:lvl>
    <w:lvl w:ilvl="3" w:tplc="C3EAA1C6" w:tentative="1">
      <w:start w:val="1"/>
      <w:numFmt w:val="bullet"/>
      <w:lvlText w:val="•"/>
      <w:lvlJc w:val="left"/>
      <w:pPr>
        <w:tabs>
          <w:tab w:val="num" w:pos="2880"/>
        </w:tabs>
        <w:ind w:left="2880" w:hanging="360"/>
      </w:pPr>
      <w:rPr>
        <w:rFonts w:ascii="Arial" w:hAnsi="Arial" w:hint="default"/>
      </w:rPr>
    </w:lvl>
    <w:lvl w:ilvl="4" w:tplc="93C6A72E" w:tentative="1">
      <w:start w:val="1"/>
      <w:numFmt w:val="bullet"/>
      <w:lvlText w:val="•"/>
      <w:lvlJc w:val="left"/>
      <w:pPr>
        <w:tabs>
          <w:tab w:val="num" w:pos="3600"/>
        </w:tabs>
        <w:ind w:left="3600" w:hanging="360"/>
      </w:pPr>
      <w:rPr>
        <w:rFonts w:ascii="Arial" w:hAnsi="Arial" w:hint="default"/>
      </w:rPr>
    </w:lvl>
    <w:lvl w:ilvl="5" w:tplc="0CD0FABA" w:tentative="1">
      <w:start w:val="1"/>
      <w:numFmt w:val="bullet"/>
      <w:lvlText w:val="•"/>
      <w:lvlJc w:val="left"/>
      <w:pPr>
        <w:tabs>
          <w:tab w:val="num" w:pos="4320"/>
        </w:tabs>
        <w:ind w:left="4320" w:hanging="360"/>
      </w:pPr>
      <w:rPr>
        <w:rFonts w:ascii="Arial" w:hAnsi="Arial" w:hint="default"/>
      </w:rPr>
    </w:lvl>
    <w:lvl w:ilvl="6" w:tplc="6F5C86C4" w:tentative="1">
      <w:start w:val="1"/>
      <w:numFmt w:val="bullet"/>
      <w:lvlText w:val="•"/>
      <w:lvlJc w:val="left"/>
      <w:pPr>
        <w:tabs>
          <w:tab w:val="num" w:pos="5040"/>
        </w:tabs>
        <w:ind w:left="5040" w:hanging="360"/>
      </w:pPr>
      <w:rPr>
        <w:rFonts w:ascii="Arial" w:hAnsi="Arial" w:hint="default"/>
      </w:rPr>
    </w:lvl>
    <w:lvl w:ilvl="7" w:tplc="B492E17C" w:tentative="1">
      <w:start w:val="1"/>
      <w:numFmt w:val="bullet"/>
      <w:lvlText w:val="•"/>
      <w:lvlJc w:val="left"/>
      <w:pPr>
        <w:tabs>
          <w:tab w:val="num" w:pos="5760"/>
        </w:tabs>
        <w:ind w:left="5760" w:hanging="360"/>
      </w:pPr>
      <w:rPr>
        <w:rFonts w:ascii="Arial" w:hAnsi="Arial" w:hint="default"/>
      </w:rPr>
    </w:lvl>
    <w:lvl w:ilvl="8" w:tplc="F7CCE7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7E2494"/>
    <w:multiLevelType w:val="hybridMultilevel"/>
    <w:tmpl w:val="0A50E612"/>
    <w:lvl w:ilvl="0" w:tplc="FA88D07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A6B3D"/>
    <w:multiLevelType w:val="hybridMultilevel"/>
    <w:tmpl w:val="BCE05FFC"/>
    <w:lvl w:ilvl="0" w:tplc="791A80E6">
      <w:start w:val="1"/>
      <w:numFmt w:val="lowerLetter"/>
      <w:lvlText w:val="%1."/>
      <w:lvlJc w:val="left"/>
      <w:pPr>
        <w:ind w:left="1080" w:hanging="360"/>
      </w:pPr>
      <w:rPr>
        <w:rFonts w:hint="default"/>
        <w:b w:val="0"/>
      </w:rPr>
    </w:lvl>
    <w:lvl w:ilvl="1" w:tplc="04090015">
      <w:start w:val="1"/>
      <w:numFmt w:val="upperLetter"/>
      <w:lvlText w:val="%2."/>
      <w:lvlJc w:val="left"/>
      <w:pPr>
        <w:ind w:left="1800" w:hanging="360"/>
      </w:pPr>
    </w:lvl>
    <w:lvl w:ilvl="2" w:tplc="0409000F">
      <w:start w:val="1"/>
      <w:numFmt w:val="decimal"/>
      <w:lvlText w:val="%3."/>
      <w:lvlJc w:val="left"/>
      <w:pPr>
        <w:ind w:left="2520" w:hanging="180"/>
      </w:pPr>
    </w:lvl>
    <w:lvl w:ilvl="3" w:tplc="1C16D5A2">
      <w:start w:val="1"/>
      <w:numFmt w:val="decimal"/>
      <w:lvlText w:val="%4."/>
      <w:lvlJc w:val="left"/>
      <w:pPr>
        <w:ind w:left="3240" w:hanging="360"/>
      </w:pPr>
      <w:rPr>
        <w:rFonts w:asciiTheme="minorHAnsi" w:hAnsiTheme="minorHAnsi" w:hint="default"/>
        <w:sz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337B23"/>
    <w:multiLevelType w:val="hybridMultilevel"/>
    <w:tmpl w:val="A396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9766F"/>
    <w:multiLevelType w:val="hybridMultilevel"/>
    <w:tmpl w:val="D8302146"/>
    <w:lvl w:ilvl="0" w:tplc="166A47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E67CF"/>
    <w:multiLevelType w:val="hybridMultilevel"/>
    <w:tmpl w:val="E3FCE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012C3"/>
    <w:multiLevelType w:val="hybridMultilevel"/>
    <w:tmpl w:val="557A7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08112B"/>
    <w:multiLevelType w:val="hybridMultilevel"/>
    <w:tmpl w:val="BC6AD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1D170F"/>
    <w:multiLevelType w:val="hybridMultilevel"/>
    <w:tmpl w:val="A4A2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70DCE"/>
    <w:multiLevelType w:val="hybridMultilevel"/>
    <w:tmpl w:val="91A4A54E"/>
    <w:lvl w:ilvl="0" w:tplc="295E6C3A">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1570A"/>
    <w:multiLevelType w:val="hybridMultilevel"/>
    <w:tmpl w:val="F052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55C6C"/>
    <w:multiLevelType w:val="hybridMultilevel"/>
    <w:tmpl w:val="46DCB3F8"/>
    <w:lvl w:ilvl="0" w:tplc="D7C07C2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B0483"/>
    <w:multiLevelType w:val="hybridMultilevel"/>
    <w:tmpl w:val="4C34B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40B9F"/>
    <w:multiLevelType w:val="hybridMultilevel"/>
    <w:tmpl w:val="08B2D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D7A0B"/>
    <w:multiLevelType w:val="hybridMultilevel"/>
    <w:tmpl w:val="B274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F1018"/>
    <w:multiLevelType w:val="hybridMultilevel"/>
    <w:tmpl w:val="BE461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80814"/>
    <w:multiLevelType w:val="hybridMultilevel"/>
    <w:tmpl w:val="AF805B9A"/>
    <w:lvl w:ilvl="0" w:tplc="75420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836860"/>
    <w:multiLevelType w:val="hybridMultilevel"/>
    <w:tmpl w:val="69E86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D14ED5"/>
    <w:multiLevelType w:val="hybridMultilevel"/>
    <w:tmpl w:val="09CC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85B5F"/>
    <w:multiLevelType w:val="hybridMultilevel"/>
    <w:tmpl w:val="B526F71C"/>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1C16D5A2">
      <w:start w:val="1"/>
      <w:numFmt w:val="decimal"/>
      <w:lvlText w:val="%4."/>
      <w:lvlJc w:val="left"/>
      <w:pPr>
        <w:ind w:left="3240" w:hanging="360"/>
      </w:pPr>
      <w:rPr>
        <w:rFonts w:asciiTheme="minorHAnsi" w:hAnsiTheme="minorHAnsi" w:hint="default"/>
        <w:sz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150012"/>
    <w:multiLevelType w:val="hybridMultilevel"/>
    <w:tmpl w:val="85A6A9A2"/>
    <w:lvl w:ilvl="0" w:tplc="593A828C">
      <w:start w:val="1"/>
      <w:numFmt w:val="lowerLetter"/>
      <w:lvlText w:val="%1."/>
      <w:lvlJc w:val="left"/>
      <w:pPr>
        <w:ind w:left="1080" w:hanging="360"/>
      </w:pPr>
      <w:rPr>
        <w:rFonts w:asciiTheme="minorHAnsi" w:hAnsiTheme="minorHAnsi" w:cstheme="minorHAnsi"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5E1FD3"/>
    <w:multiLevelType w:val="hybridMultilevel"/>
    <w:tmpl w:val="3CD40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E1AF6"/>
    <w:multiLevelType w:val="hybridMultilevel"/>
    <w:tmpl w:val="32821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C60B9"/>
    <w:multiLevelType w:val="hybridMultilevel"/>
    <w:tmpl w:val="CBAE4886"/>
    <w:lvl w:ilvl="0" w:tplc="593A828C">
      <w:start w:val="1"/>
      <w:numFmt w:val="lowerLetter"/>
      <w:lvlText w:val="%1."/>
      <w:lvlJc w:val="left"/>
      <w:pPr>
        <w:ind w:left="1080" w:hanging="360"/>
      </w:pPr>
      <w:rPr>
        <w:rFonts w:asciiTheme="minorHAnsi" w:hAnsiTheme="minorHAnsi" w:cs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56E5C"/>
    <w:multiLevelType w:val="hybridMultilevel"/>
    <w:tmpl w:val="CB3A2D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F74603"/>
    <w:multiLevelType w:val="hybridMultilevel"/>
    <w:tmpl w:val="5D8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C4A4A"/>
    <w:multiLevelType w:val="hybridMultilevel"/>
    <w:tmpl w:val="6C50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37AAA"/>
    <w:multiLevelType w:val="hybridMultilevel"/>
    <w:tmpl w:val="5A6C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F4D91"/>
    <w:multiLevelType w:val="hybridMultilevel"/>
    <w:tmpl w:val="D6EE1C68"/>
    <w:lvl w:ilvl="0" w:tplc="791A80E6">
      <w:start w:val="1"/>
      <w:numFmt w:val="lowerLetter"/>
      <w:lvlText w:val="%1."/>
      <w:lvlJc w:val="left"/>
      <w:pPr>
        <w:ind w:left="1080" w:hanging="360"/>
      </w:pPr>
      <w:rPr>
        <w:rFonts w:hint="default"/>
        <w:b w:val="0"/>
      </w:rPr>
    </w:lvl>
    <w:lvl w:ilvl="1" w:tplc="0409000F">
      <w:start w:val="1"/>
      <w:numFmt w:val="decimal"/>
      <w:lvlText w:val="%2."/>
      <w:lvlJc w:val="left"/>
      <w:pPr>
        <w:ind w:left="1800" w:hanging="360"/>
      </w:pPr>
    </w:lvl>
    <w:lvl w:ilvl="2" w:tplc="04090011">
      <w:start w:val="1"/>
      <w:numFmt w:val="decimal"/>
      <w:lvlText w:val="%3)"/>
      <w:lvlJc w:val="left"/>
      <w:pPr>
        <w:ind w:left="2520" w:hanging="180"/>
      </w:pPr>
    </w:lvl>
    <w:lvl w:ilvl="3" w:tplc="1C16D5A2">
      <w:start w:val="1"/>
      <w:numFmt w:val="decimal"/>
      <w:lvlText w:val="%4."/>
      <w:lvlJc w:val="left"/>
      <w:pPr>
        <w:ind w:left="3240" w:hanging="360"/>
      </w:pPr>
      <w:rPr>
        <w:rFonts w:asciiTheme="minorHAnsi" w:hAnsiTheme="minorHAnsi" w:hint="default"/>
        <w:sz w:val="2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852C44"/>
    <w:multiLevelType w:val="hybridMultilevel"/>
    <w:tmpl w:val="FE7C7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76AC0"/>
    <w:multiLevelType w:val="hybridMultilevel"/>
    <w:tmpl w:val="407C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D50A9"/>
    <w:multiLevelType w:val="hybridMultilevel"/>
    <w:tmpl w:val="39D8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92C2F"/>
    <w:multiLevelType w:val="hybridMultilevel"/>
    <w:tmpl w:val="78FE2CA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1645C1"/>
    <w:multiLevelType w:val="hybridMultilevel"/>
    <w:tmpl w:val="48D44C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863E68"/>
    <w:multiLevelType w:val="hybridMultilevel"/>
    <w:tmpl w:val="532640F8"/>
    <w:lvl w:ilvl="0" w:tplc="CABC190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682994">
    <w:abstractNumId w:val="18"/>
  </w:num>
  <w:num w:numId="2" w16cid:durableId="1910924085">
    <w:abstractNumId w:val="43"/>
  </w:num>
  <w:num w:numId="3" w16cid:durableId="688215969">
    <w:abstractNumId w:val="7"/>
  </w:num>
  <w:num w:numId="4" w16cid:durableId="1324775291">
    <w:abstractNumId w:val="36"/>
  </w:num>
  <w:num w:numId="5" w16cid:durableId="632709028">
    <w:abstractNumId w:val="2"/>
  </w:num>
  <w:num w:numId="6" w16cid:durableId="1739863652">
    <w:abstractNumId w:val="19"/>
  </w:num>
  <w:num w:numId="7" w16cid:durableId="281620640">
    <w:abstractNumId w:val="29"/>
  </w:num>
  <w:num w:numId="8" w16cid:durableId="323896224">
    <w:abstractNumId w:val="25"/>
  </w:num>
  <w:num w:numId="9" w16cid:durableId="728966212">
    <w:abstractNumId w:val="32"/>
  </w:num>
  <w:num w:numId="10" w16cid:durableId="1236353150">
    <w:abstractNumId w:val="41"/>
  </w:num>
  <w:num w:numId="11" w16cid:durableId="1929731423">
    <w:abstractNumId w:val="5"/>
  </w:num>
  <w:num w:numId="12" w16cid:durableId="1878932710">
    <w:abstractNumId w:val="10"/>
  </w:num>
  <w:num w:numId="13" w16cid:durableId="1019358866">
    <w:abstractNumId w:val="30"/>
  </w:num>
  <w:num w:numId="14" w16cid:durableId="1739594571">
    <w:abstractNumId w:val="3"/>
  </w:num>
  <w:num w:numId="15" w16cid:durableId="1264731268">
    <w:abstractNumId w:val="39"/>
  </w:num>
  <w:num w:numId="16" w16cid:durableId="711417296">
    <w:abstractNumId w:val="42"/>
  </w:num>
  <w:num w:numId="17" w16cid:durableId="1224103325">
    <w:abstractNumId w:val="20"/>
  </w:num>
  <w:num w:numId="18" w16cid:durableId="1398091316">
    <w:abstractNumId w:val="13"/>
  </w:num>
  <w:num w:numId="19" w16cid:durableId="202253070">
    <w:abstractNumId w:val="17"/>
  </w:num>
  <w:num w:numId="20" w16cid:durableId="240141440">
    <w:abstractNumId w:val="37"/>
  </w:num>
  <w:num w:numId="21" w16cid:durableId="43021951">
    <w:abstractNumId w:val="0"/>
  </w:num>
  <w:num w:numId="22" w16cid:durableId="1836452262">
    <w:abstractNumId w:val="23"/>
  </w:num>
  <w:num w:numId="23" w16cid:durableId="768964929">
    <w:abstractNumId w:val="26"/>
  </w:num>
  <w:num w:numId="24" w16cid:durableId="72050258">
    <w:abstractNumId w:val="4"/>
  </w:num>
  <w:num w:numId="25" w16cid:durableId="1331375130">
    <w:abstractNumId w:val="33"/>
  </w:num>
  <w:num w:numId="26" w16cid:durableId="117341306">
    <w:abstractNumId w:val="31"/>
  </w:num>
  <w:num w:numId="27" w16cid:durableId="511141463">
    <w:abstractNumId w:val="34"/>
  </w:num>
  <w:num w:numId="28" w16cid:durableId="237594281">
    <w:abstractNumId w:val="8"/>
  </w:num>
  <w:num w:numId="29" w16cid:durableId="1635066842">
    <w:abstractNumId w:val="38"/>
  </w:num>
  <w:num w:numId="30" w16cid:durableId="1967421034">
    <w:abstractNumId w:val="1"/>
  </w:num>
  <w:num w:numId="31" w16cid:durableId="1892839564">
    <w:abstractNumId w:val="14"/>
  </w:num>
  <w:num w:numId="32" w16cid:durableId="2032492363">
    <w:abstractNumId w:val="24"/>
  </w:num>
  <w:num w:numId="33" w16cid:durableId="1596405993">
    <w:abstractNumId w:val="45"/>
  </w:num>
  <w:num w:numId="34" w16cid:durableId="579560405">
    <w:abstractNumId w:val="9"/>
  </w:num>
  <w:num w:numId="35" w16cid:durableId="310139831">
    <w:abstractNumId w:val="11"/>
  </w:num>
  <w:num w:numId="36" w16cid:durableId="20250881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5538153">
    <w:abstractNumId w:val="6"/>
  </w:num>
  <w:num w:numId="38" w16cid:durableId="1364358446">
    <w:abstractNumId w:val="21"/>
  </w:num>
  <w:num w:numId="39" w16cid:durableId="1529249368">
    <w:abstractNumId w:val="27"/>
  </w:num>
  <w:num w:numId="40" w16cid:durableId="661007623">
    <w:abstractNumId w:val="12"/>
  </w:num>
  <w:num w:numId="41" w16cid:durableId="840201799">
    <w:abstractNumId w:val="35"/>
  </w:num>
  <w:num w:numId="42" w16cid:durableId="1050226685">
    <w:abstractNumId w:val="16"/>
  </w:num>
  <w:num w:numId="43" w16cid:durableId="1787698599">
    <w:abstractNumId w:val="22"/>
  </w:num>
  <w:num w:numId="44" w16cid:durableId="811211191">
    <w:abstractNumId w:val="15"/>
  </w:num>
  <w:num w:numId="45" w16cid:durableId="58752725">
    <w:abstractNumId w:val="40"/>
  </w:num>
  <w:num w:numId="46" w16cid:durableId="198385306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18"/>
    <w:rsid w:val="000009DE"/>
    <w:rsid w:val="00004693"/>
    <w:rsid w:val="00033DF9"/>
    <w:rsid w:val="00040993"/>
    <w:rsid w:val="000422C7"/>
    <w:rsid w:val="00060E75"/>
    <w:rsid w:val="00064FBC"/>
    <w:rsid w:val="000B7408"/>
    <w:rsid w:val="000C1073"/>
    <w:rsid w:val="000D6389"/>
    <w:rsid w:val="000D6A28"/>
    <w:rsid w:val="000E2464"/>
    <w:rsid w:val="001044D8"/>
    <w:rsid w:val="00113E9C"/>
    <w:rsid w:val="0012319C"/>
    <w:rsid w:val="00123993"/>
    <w:rsid w:val="00132EE1"/>
    <w:rsid w:val="0013435C"/>
    <w:rsid w:val="00147D9D"/>
    <w:rsid w:val="00154501"/>
    <w:rsid w:val="00160390"/>
    <w:rsid w:val="001938FA"/>
    <w:rsid w:val="001A3495"/>
    <w:rsid w:val="001A3D62"/>
    <w:rsid w:val="001A5BBA"/>
    <w:rsid w:val="001C585B"/>
    <w:rsid w:val="001E5677"/>
    <w:rsid w:val="00214214"/>
    <w:rsid w:val="00225C61"/>
    <w:rsid w:val="002361D5"/>
    <w:rsid w:val="0028238A"/>
    <w:rsid w:val="002923D8"/>
    <w:rsid w:val="002A1087"/>
    <w:rsid w:val="002A1097"/>
    <w:rsid w:val="002A2051"/>
    <w:rsid w:val="002A513A"/>
    <w:rsid w:val="002B1874"/>
    <w:rsid w:val="002B46BD"/>
    <w:rsid w:val="002C69BA"/>
    <w:rsid w:val="002D0FFF"/>
    <w:rsid w:val="002D3DE0"/>
    <w:rsid w:val="002D6B35"/>
    <w:rsid w:val="002E5C13"/>
    <w:rsid w:val="002E76B8"/>
    <w:rsid w:val="002F2FE7"/>
    <w:rsid w:val="002F7E37"/>
    <w:rsid w:val="0031126F"/>
    <w:rsid w:val="00325698"/>
    <w:rsid w:val="00332F18"/>
    <w:rsid w:val="00334E63"/>
    <w:rsid w:val="00337238"/>
    <w:rsid w:val="00357644"/>
    <w:rsid w:val="00370895"/>
    <w:rsid w:val="003740D1"/>
    <w:rsid w:val="0038603E"/>
    <w:rsid w:val="003B4CB4"/>
    <w:rsid w:val="003C36C0"/>
    <w:rsid w:val="003E7FC5"/>
    <w:rsid w:val="003F0CCA"/>
    <w:rsid w:val="00400276"/>
    <w:rsid w:val="00411C40"/>
    <w:rsid w:val="00434525"/>
    <w:rsid w:val="00435E86"/>
    <w:rsid w:val="00446F70"/>
    <w:rsid w:val="00451C69"/>
    <w:rsid w:val="00490040"/>
    <w:rsid w:val="0049595C"/>
    <w:rsid w:val="004D23F7"/>
    <w:rsid w:val="004D7AD7"/>
    <w:rsid w:val="004F2CBC"/>
    <w:rsid w:val="004F4233"/>
    <w:rsid w:val="005017AF"/>
    <w:rsid w:val="00527DA5"/>
    <w:rsid w:val="00531BDA"/>
    <w:rsid w:val="00536B40"/>
    <w:rsid w:val="00537D75"/>
    <w:rsid w:val="0055249F"/>
    <w:rsid w:val="005A5EB5"/>
    <w:rsid w:val="005B6938"/>
    <w:rsid w:val="005C42D9"/>
    <w:rsid w:val="005C6EDF"/>
    <w:rsid w:val="005D28F2"/>
    <w:rsid w:val="005D56D5"/>
    <w:rsid w:val="005E2D56"/>
    <w:rsid w:val="005E7164"/>
    <w:rsid w:val="005E7EEE"/>
    <w:rsid w:val="00600683"/>
    <w:rsid w:val="006018B0"/>
    <w:rsid w:val="0061439A"/>
    <w:rsid w:val="00643BDA"/>
    <w:rsid w:val="00661BBC"/>
    <w:rsid w:val="00670DC8"/>
    <w:rsid w:val="006735CD"/>
    <w:rsid w:val="006767DD"/>
    <w:rsid w:val="006835F1"/>
    <w:rsid w:val="00687866"/>
    <w:rsid w:val="00696BA9"/>
    <w:rsid w:val="006B05F9"/>
    <w:rsid w:val="006D151D"/>
    <w:rsid w:val="006D57E2"/>
    <w:rsid w:val="006F530A"/>
    <w:rsid w:val="00703F48"/>
    <w:rsid w:val="007246AA"/>
    <w:rsid w:val="00760194"/>
    <w:rsid w:val="00760837"/>
    <w:rsid w:val="007763B1"/>
    <w:rsid w:val="00781996"/>
    <w:rsid w:val="00787F92"/>
    <w:rsid w:val="00791C98"/>
    <w:rsid w:val="00796F89"/>
    <w:rsid w:val="007A30A2"/>
    <w:rsid w:val="007A5255"/>
    <w:rsid w:val="007B1114"/>
    <w:rsid w:val="007C1E63"/>
    <w:rsid w:val="007C470E"/>
    <w:rsid w:val="007D5AC7"/>
    <w:rsid w:val="007D7A42"/>
    <w:rsid w:val="007E18F0"/>
    <w:rsid w:val="007E3660"/>
    <w:rsid w:val="007F0521"/>
    <w:rsid w:val="00800E1D"/>
    <w:rsid w:val="00810B6C"/>
    <w:rsid w:val="00814640"/>
    <w:rsid w:val="008167A2"/>
    <w:rsid w:val="008415E7"/>
    <w:rsid w:val="00857477"/>
    <w:rsid w:val="00890131"/>
    <w:rsid w:val="0089403D"/>
    <w:rsid w:val="008C0A7E"/>
    <w:rsid w:val="008C3EC0"/>
    <w:rsid w:val="008D4B16"/>
    <w:rsid w:val="008D7D8C"/>
    <w:rsid w:val="008F3E1B"/>
    <w:rsid w:val="00910821"/>
    <w:rsid w:val="00913A11"/>
    <w:rsid w:val="009159CB"/>
    <w:rsid w:val="00926B27"/>
    <w:rsid w:val="00954D04"/>
    <w:rsid w:val="0098438A"/>
    <w:rsid w:val="00991E57"/>
    <w:rsid w:val="009937AC"/>
    <w:rsid w:val="009966B0"/>
    <w:rsid w:val="009A4E03"/>
    <w:rsid w:val="009B46E9"/>
    <w:rsid w:val="009D4AF8"/>
    <w:rsid w:val="009E1896"/>
    <w:rsid w:val="009F3A38"/>
    <w:rsid w:val="009F6781"/>
    <w:rsid w:val="00A069A8"/>
    <w:rsid w:val="00A20D5B"/>
    <w:rsid w:val="00A2390F"/>
    <w:rsid w:val="00A53276"/>
    <w:rsid w:val="00A54A98"/>
    <w:rsid w:val="00A55115"/>
    <w:rsid w:val="00A60F83"/>
    <w:rsid w:val="00A72070"/>
    <w:rsid w:val="00A919CF"/>
    <w:rsid w:val="00A9706E"/>
    <w:rsid w:val="00AA52CB"/>
    <w:rsid w:val="00AB36AE"/>
    <w:rsid w:val="00AB5EF8"/>
    <w:rsid w:val="00AD5842"/>
    <w:rsid w:val="00AE1F47"/>
    <w:rsid w:val="00AE23BA"/>
    <w:rsid w:val="00AE5035"/>
    <w:rsid w:val="00AE7C3D"/>
    <w:rsid w:val="00AF207A"/>
    <w:rsid w:val="00B01958"/>
    <w:rsid w:val="00B05712"/>
    <w:rsid w:val="00B45520"/>
    <w:rsid w:val="00B75E37"/>
    <w:rsid w:val="00B77494"/>
    <w:rsid w:val="00B80802"/>
    <w:rsid w:val="00B86A98"/>
    <w:rsid w:val="00BC2F99"/>
    <w:rsid w:val="00BD14E8"/>
    <w:rsid w:val="00BD4A66"/>
    <w:rsid w:val="00BE6887"/>
    <w:rsid w:val="00BE759A"/>
    <w:rsid w:val="00BF6E7F"/>
    <w:rsid w:val="00BF7EB6"/>
    <w:rsid w:val="00C30521"/>
    <w:rsid w:val="00C41043"/>
    <w:rsid w:val="00C4378A"/>
    <w:rsid w:val="00C4686C"/>
    <w:rsid w:val="00C55E98"/>
    <w:rsid w:val="00C57883"/>
    <w:rsid w:val="00C629E4"/>
    <w:rsid w:val="00C653FC"/>
    <w:rsid w:val="00C70734"/>
    <w:rsid w:val="00C72FFB"/>
    <w:rsid w:val="00C82801"/>
    <w:rsid w:val="00C8651F"/>
    <w:rsid w:val="00C86A44"/>
    <w:rsid w:val="00C911D1"/>
    <w:rsid w:val="00CF3701"/>
    <w:rsid w:val="00CF57BC"/>
    <w:rsid w:val="00D040B7"/>
    <w:rsid w:val="00D13376"/>
    <w:rsid w:val="00D1429B"/>
    <w:rsid w:val="00D1451F"/>
    <w:rsid w:val="00D1722D"/>
    <w:rsid w:val="00D33CE5"/>
    <w:rsid w:val="00D5419C"/>
    <w:rsid w:val="00D5701B"/>
    <w:rsid w:val="00D62EE7"/>
    <w:rsid w:val="00D65663"/>
    <w:rsid w:val="00D6576B"/>
    <w:rsid w:val="00D874CC"/>
    <w:rsid w:val="00D87BB1"/>
    <w:rsid w:val="00DA0331"/>
    <w:rsid w:val="00DA47A1"/>
    <w:rsid w:val="00DB06F9"/>
    <w:rsid w:val="00DB256A"/>
    <w:rsid w:val="00DC313C"/>
    <w:rsid w:val="00DC5DC5"/>
    <w:rsid w:val="00DC63A7"/>
    <w:rsid w:val="00DF3AA5"/>
    <w:rsid w:val="00DF57AF"/>
    <w:rsid w:val="00E01F4D"/>
    <w:rsid w:val="00E039FB"/>
    <w:rsid w:val="00E14077"/>
    <w:rsid w:val="00E47638"/>
    <w:rsid w:val="00E5585C"/>
    <w:rsid w:val="00E66D48"/>
    <w:rsid w:val="00E75C87"/>
    <w:rsid w:val="00E80693"/>
    <w:rsid w:val="00E83171"/>
    <w:rsid w:val="00E8759B"/>
    <w:rsid w:val="00E9789C"/>
    <w:rsid w:val="00EC2014"/>
    <w:rsid w:val="00EC581C"/>
    <w:rsid w:val="00EC71A5"/>
    <w:rsid w:val="00EE67E9"/>
    <w:rsid w:val="00EF2DC7"/>
    <w:rsid w:val="00F01906"/>
    <w:rsid w:val="00F03CC6"/>
    <w:rsid w:val="00F07091"/>
    <w:rsid w:val="00F1438F"/>
    <w:rsid w:val="00F327DC"/>
    <w:rsid w:val="00F361FB"/>
    <w:rsid w:val="00F71DEF"/>
    <w:rsid w:val="00F75B6A"/>
    <w:rsid w:val="00F96BFD"/>
    <w:rsid w:val="00FA6F58"/>
    <w:rsid w:val="00FB531D"/>
    <w:rsid w:val="00FC2080"/>
    <w:rsid w:val="00FC32AF"/>
    <w:rsid w:val="00FC4BB6"/>
    <w:rsid w:val="00FD05C0"/>
    <w:rsid w:val="00FD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91BD4"/>
  <w15:chartTrackingRefBased/>
  <w15:docId w15:val="{54CF439A-8AFB-4E15-8C85-29D608FC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F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2F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7E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F57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F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2F1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32F18"/>
    <w:pPr>
      <w:spacing w:before="200" w:after="200" w:line="276" w:lineRule="auto"/>
      <w:ind w:left="720"/>
      <w:contextualSpacing/>
    </w:pPr>
    <w:rPr>
      <w:rFonts w:eastAsiaTheme="minorEastAsia"/>
      <w:sz w:val="20"/>
      <w:szCs w:val="20"/>
      <w:lang w:bidi="en-US"/>
    </w:rPr>
  </w:style>
  <w:style w:type="character" w:styleId="Hyperlink">
    <w:name w:val="Hyperlink"/>
    <w:basedOn w:val="DefaultParagraphFont"/>
    <w:uiPriority w:val="99"/>
    <w:rsid w:val="00332F18"/>
    <w:rPr>
      <w:color w:val="0000FF"/>
      <w:u w:val="single"/>
    </w:rPr>
  </w:style>
  <w:style w:type="character" w:customStyle="1" w:styleId="Heading3Char">
    <w:name w:val="Heading 3 Char"/>
    <w:basedOn w:val="DefaultParagraphFont"/>
    <w:link w:val="Heading3"/>
    <w:uiPriority w:val="9"/>
    <w:rsid w:val="002F7E3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7E3660"/>
    <w:pPr>
      <w:outlineLvl w:val="9"/>
    </w:pPr>
  </w:style>
  <w:style w:type="paragraph" w:styleId="TOC1">
    <w:name w:val="toc 1"/>
    <w:basedOn w:val="Normal"/>
    <w:next w:val="Normal"/>
    <w:autoRedefine/>
    <w:uiPriority w:val="39"/>
    <w:unhideWhenUsed/>
    <w:rsid w:val="007E3660"/>
    <w:pPr>
      <w:spacing w:after="100"/>
    </w:pPr>
  </w:style>
  <w:style w:type="paragraph" w:styleId="TOC2">
    <w:name w:val="toc 2"/>
    <w:basedOn w:val="Normal"/>
    <w:next w:val="Normal"/>
    <w:autoRedefine/>
    <w:uiPriority w:val="39"/>
    <w:unhideWhenUsed/>
    <w:rsid w:val="007E3660"/>
    <w:pPr>
      <w:spacing w:after="100"/>
      <w:ind w:left="220"/>
    </w:pPr>
  </w:style>
  <w:style w:type="paragraph" w:styleId="TOC3">
    <w:name w:val="toc 3"/>
    <w:basedOn w:val="Normal"/>
    <w:next w:val="Normal"/>
    <w:autoRedefine/>
    <w:uiPriority w:val="39"/>
    <w:unhideWhenUsed/>
    <w:rsid w:val="007E3660"/>
    <w:pPr>
      <w:spacing w:after="100"/>
      <w:ind w:left="440"/>
    </w:pPr>
  </w:style>
  <w:style w:type="character" w:customStyle="1" w:styleId="Heading4Char">
    <w:name w:val="Heading 4 Char"/>
    <w:basedOn w:val="DefaultParagraphFont"/>
    <w:link w:val="Heading4"/>
    <w:uiPriority w:val="9"/>
    <w:rsid w:val="00CF57BC"/>
    <w:rPr>
      <w:rFonts w:asciiTheme="majorHAnsi" w:eastAsiaTheme="majorEastAsia" w:hAnsiTheme="majorHAnsi" w:cstheme="majorBidi"/>
      <w:i/>
      <w:iCs/>
      <w:color w:val="2E74B5" w:themeColor="accent1" w:themeShade="BF"/>
    </w:rPr>
  </w:style>
  <w:style w:type="table" w:customStyle="1" w:styleId="LightList-Accent11">
    <w:name w:val="Light List - Accent 11"/>
    <w:basedOn w:val="TableNormal"/>
    <w:uiPriority w:val="61"/>
    <w:rsid w:val="00064FBC"/>
    <w:pPr>
      <w:spacing w:after="0" w:line="240" w:lineRule="auto"/>
    </w:pPr>
    <w:rPr>
      <w:rFonts w:eastAsiaTheme="minorEastAsia"/>
      <w:lang w:bidi="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MediumShading1-Accent11">
    <w:name w:val="Medium Shading 1 - Accent 11"/>
    <w:basedOn w:val="TableNormal"/>
    <w:uiPriority w:val="63"/>
    <w:rsid w:val="00064FBC"/>
    <w:pPr>
      <w:spacing w:after="0" w:line="240" w:lineRule="auto"/>
    </w:pPr>
    <w:rPr>
      <w:rFonts w:eastAsiaTheme="minorEastAsia"/>
      <w:lang w:bidi="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776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3B1"/>
  </w:style>
  <w:style w:type="paragraph" w:styleId="Footer">
    <w:name w:val="footer"/>
    <w:basedOn w:val="Normal"/>
    <w:link w:val="FooterChar"/>
    <w:uiPriority w:val="99"/>
    <w:unhideWhenUsed/>
    <w:rsid w:val="00776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3B1"/>
  </w:style>
  <w:style w:type="paragraph" w:styleId="BalloonText">
    <w:name w:val="Balloon Text"/>
    <w:basedOn w:val="Normal"/>
    <w:link w:val="BalloonTextChar"/>
    <w:uiPriority w:val="99"/>
    <w:semiHidden/>
    <w:unhideWhenUsed/>
    <w:rsid w:val="006D5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7E2"/>
    <w:rPr>
      <w:rFonts w:ascii="Segoe UI" w:hAnsi="Segoe UI" w:cs="Segoe UI"/>
      <w:sz w:val="18"/>
      <w:szCs w:val="18"/>
    </w:rPr>
  </w:style>
  <w:style w:type="character" w:styleId="CommentReference">
    <w:name w:val="annotation reference"/>
    <w:basedOn w:val="DefaultParagraphFont"/>
    <w:uiPriority w:val="99"/>
    <w:semiHidden/>
    <w:unhideWhenUsed/>
    <w:rsid w:val="006D57E2"/>
    <w:rPr>
      <w:sz w:val="16"/>
      <w:szCs w:val="16"/>
    </w:rPr>
  </w:style>
  <w:style w:type="paragraph" w:styleId="CommentText">
    <w:name w:val="annotation text"/>
    <w:basedOn w:val="Normal"/>
    <w:link w:val="CommentTextChar"/>
    <w:uiPriority w:val="99"/>
    <w:semiHidden/>
    <w:unhideWhenUsed/>
    <w:rsid w:val="006D57E2"/>
    <w:pPr>
      <w:spacing w:line="240" w:lineRule="auto"/>
    </w:pPr>
    <w:rPr>
      <w:sz w:val="20"/>
      <w:szCs w:val="20"/>
    </w:rPr>
  </w:style>
  <w:style w:type="character" w:customStyle="1" w:styleId="CommentTextChar">
    <w:name w:val="Comment Text Char"/>
    <w:basedOn w:val="DefaultParagraphFont"/>
    <w:link w:val="CommentText"/>
    <w:uiPriority w:val="99"/>
    <w:semiHidden/>
    <w:rsid w:val="006D57E2"/>
    <w:rPr>
      <w:sz w:val="20"/>
      <w:szCs w:val="20"/>
    </w:rPr>
  </w:style>
  <w:style w:type="paragraph" w:styleId="CommentSubject">
    <w:name w:val="annotation subject"/>
    <w:basedOn w:val="CommentText"/>
    <w:next w:val="CommentText"/>
    <w:link w:val="CommentSubjectChar"/>
    <w:uiPriority w:val="99"/>
    <w:semiHidden/>
    <w:unhideWhenUsed/>
    <w:rsid w:val="006D57E2"/>
    <w:rPr>
      <w:b/>
      <w:bCs/>
    </w:rPr>
  </w:style>
  <w:style w:type="character" w:customStyle="1" w:styleId="CommentSubjectChar">
    <w:name w:val="Comment Subject Char"/>
    <w:basedOn w:val="CommentTextChar"/>
    <w:link w:val="CommentSubject"/>
    <w:uiPriority w:val="99"/>
    <w:semiHidden/>
    <w:rsid w:val="006D57E2"/>
    <w:rPr>
      <w:b/>
      <w:bCs/>
      <w:sz w:val="20"/>
      <w:szCs w:val="20"/>
    </w:rPr>
  </w:style>
  <w:style w:type="paragraph" w:styleId="Revision">
    <w:name w:val="Revision"/>
    <w:hidden/>
    <w:uiPriority w:val="99"/>
    <w:semiHidden/>
    <w:rsid w:val="009B46E9"/>
    <w:pPr>
      <w:spacing w:after="0" w:line="240" w:lineRule="auto"/>
    </w:pPr>
  </w:style>
  <w:style w:type="paragraph" w:customStyle="1" w:styleId="Default">
    <w:name w:val="Default"/>
    <w:rsid w:val="00D6576B"/>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5B6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6938"/>
    <w:rPr>
      <w:sz w:val="20"/>
      <w:szCs w:val="20"/>
    </w:rPr>
  </w:style>
  <w:style w:type="character" w:styleId="FootnoteReference">
    <w:name w:val="footnote reference"/>
    <w:basedOn w:val="DefaultParagraphFont"/>
    <w:uiPriority w:val="99"/>
    <w:semiHidden/>
    <w:unhideWhenUsed/>
    <w:rsid w:val="005B6938"/>
    <w:rPr>
      <w:vertAlign w:val="superscript"/>
    </w:rPr>
  </w:style>
  <w:style w:type="character" w:styleId="UnresolvedMention">
    <w:name w:val="Unresolved Mention"/>
    <w:basedOn w:val="DefaultParagraphFont"/>
    <w:uiPriority w:val="99"/>
    <w:semiHidden/>
    <w:unhideWhenUsed/>
    <w:rsid w:val="005B6938"/>
    <w:rPr>
      <w:color w:val="605E5C"/>
      <w:shd w:val="clear" w:color="auto" w:fill="E1DFDD"/>
    </w:rPr>
  </w:style>
  <w:style w:type="character" w:styleId="FollowedHyperlink">
    <w:name w:val="FollowedHyperlink"/>
    <w:basedOn w:val="DefaultParagraphFont"/>
    <w:uiPriority w:val="99"/>
    <w:semiHidden/>
    <w:unhideWhenUsed/>
    <w:rsid w:val="00890131"/>
    <w:rPr>
      <w:color w:val="954F72" w:themeColor="followedHyperlink"/>
      <w:u w:val="single"/>
    </w:rPr>
  </w:style>
  <w:style w:type="paragraph" w:styleId="NormalWeb">
    <w:name w:val="Normal (Web)"/>
    <w:basedOn w:val="Normal"/>
    <w:uiPriority w:val="99"/>
    <w:semiHidden/>
    <w:unhideWhenUsed/>
    <w:rsid w:val="00147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874">
      <w:bodyDiv w:val="1"/>
      <w:marLeft w:val="0"/>
      <w:marRight w:val="0"/>
      <w:marTop w:val="0"/>
      <w:marBottom w:val="0"/>
      <w:divBdr>
        <w:top w:val="none" w:sz="0" w:space="0" w:color="auto"/>
        <w:left w:val="none" w:sz="0" w:space="0" w:color="auto"/>
        <w:bottom w:val="none" w:sz="0" w:space="0" w:color="auto"/>
        <w:right w:val="none" w:sz="0" w:space="0" w:color="auto"/>
      </w:divBdr>
      <w:divsChild>
        <w:div w:id="409890765">
          <w:marLeft w:val="547"/>
          <w:marRight w:val="0"/>
          <w:marTop w:val="200"/>
          <w:marBottom w:val="0"/>
          <w:divBdr>
            <w:top w:val="none" w:sz="0" w:space="0" w:color="auto"/>
            <w:left w:val="none" w:sz="0" w:space="0" w:color="auto"/>
            <w:bottom w:val="none" w:sz="0" w:space="0" w:color="auto"/>
            <w:right w:val="none" w:sz="0" w:space="0" w:color="auto"/>
          </w:divBdr>
        </w:div>
        <w:div w:id="1108817680">
          <w:marLeft w:val="1800"/>
          <w:marRight w:val="0"/>
          <w:marTop w:val="100"/>
          <w:marBottom w:val="0"/>
          <w:divBdr>
            <w:top w:val="none" w:sz="0" w:space="0" w:color="auto"/>
            <w:left w:val="none" w:sz="0" w:space="0" w:color="auto"/>
            <w:bottom w:val="none" w:sz="0" w:space="0" w:color="auto"/>
            <w:right w:val="none" w:sz="0" w:space="0" w:color="auto"/>
          </w:divBdr>
        </w:div>
        <w:div w:id="2041199443">
          <w:marLeft w:val="1800"/>
          <w:marRight w:val="0"/>
          <w:marTop w:val="100"/>
          <w:marBottom w:val="0"/>
          <w:divBdr>
            <w:top w:val="none" w:sz="0" w:space="0" w:color="auto"/>
            <w:left w:val="none" w:sz="0" w:space="0" w:color="auto"/>
            <w:bottom w:val="none" w:sz="0" w:space="0" w:color="auto"/>
            <w:right w:val="none" w:sz="0" w:space="0" w:color="auto"/>
          </w:divBdr>
        </w:div>
      </w:divsChild>
    </w:div>
    <w:div w:id="218059680">
      <w:bodyDiv w:val="1"/>
      <w:marLeft w:val="0"/>
      <w:marRight w:val="0"/>
      <w:marTop w:val="0"/>
      <w:marBottom w:val="0"/>
      <w:divBdr>
        <w:top w:val="none" w:sz="0" w:space="0" w:color="auto"/>
        <w:left w:val="none" w:sz="0" w:space="0" w:color="auto"/>
        <w:bottom w:val="none" w:sz="0" w:space="0" w:color="auto"/>
        <w:right w:val="none" w:sz="0" w:space="0" w:color="auto"/>
      </w:divBdr>
    </w:div>
    <w:div w:id="1061321900">
      <w:bodyDiv w:val="1"/>
      <w:marLeft w:val="0"/>
      <w:marRight w:val="0"/>
      <w:marTop w:val="0"/>
      <w:marBottom w:val="0"/>
      <w:divBdr>
        <w:top w:val="none" w:sz="0" w:space="0" w:color="auto"/>
        <w:left w:val="none" w:sz="0" w:space="0" w:color="auto"/>
        <w:bottom w:val="none" w:sz="0" w:space="0" w:color="auto"/>
        <w:right w:val="none" w:sz="0" w:space="0" w:color="auto"/>
      </w:divBdr>
    </w:div>
    <w:div w:id="13404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o.usace.army.mil/Missions/Regulatory/RBregional.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vgov.sharepoint.com/sites/deqnet/Shared%20Documents/Forms/Name%20sort.aspx?id=%2Fsites%2Fdeqnet%2FShared%20Documents%2FWater%20Division%2FWater%20Permitting%2FWetlands%20%26%20Stream%20Protection%20%2D%20VWP%2FTraining&amp;viewid=fe19566a%2Dc6e3%2D490e%2D9204%2Da79f6f6580b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enao.reg_rod@usace.army.m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o.usace.army.mil/Missions/Regulatory/RBregional.aspx" TargetMode="External"/><Relationship Id="rId5" Type="http://schemas.openxmlformats.org/officeDocument/2006/relationships/numbering" Target="numbering.xml"/><Relationship Id="rId15" Type="http://schemas.openxmlformats.org/officeDocument/2006/relationships/hyperlink" Target="https://www.nao.usace.army.mil/Missions/Regulatory/JP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o.usace.army.mil/Media/Public-Notices/Article/3402545/notification-to-the-public-of-changes-to-the-districts-regulatory-program-p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198DD65E-FD26-4666-81CA-B25A79457058}">
  <ds:schemaRefs>
    <ds:schemaRef ds:uri="http://schemas.openxmlformats.org/officeDocument/2006/bibliography"/>
  </ds:schemaRefs>
</ds:datastoreItem>
</file>

<file path=customXml/itemProps2.xml><?xml version="1.0" encoding="utf-8"?>
<ds:datastoreItem xmlns:ds="http://schemas.openxmlformats.org/officeDocument/2006/customXml" ds:itemID="{320CB5B0-1938-44FC-9BB9-212E6A2F5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4F15C-C878-4120-8F04-4D5B1430D506}">
  <ds:schemaRefs>
    <ds:schemaRef ds:uri="http://schemas.microsoft.com/sharepoint/v3/contenttype/forms"/>
  </ds:schemaRefs>
</ds:datastoreItem>
</file>

<file path=customXml/itemProps4.xml><?xml version="1.0" encoding="utf-8"?>
<ds:datastoreItem xmlns:ds="http://schemas.openxmlformats.org/officeDocument/2006/customXml" ds:itemID="{8FD0272D-10CA-4201-8171-817F04EDAF8D}">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Brenda (DEQ)</dc:creator>
  <cp:keywords/>
  <dc:description/>
  <cp:lastModifiedBy>Winn, Brenda (DEQ)</cp:lastModifiedBy>
  <cp:revision>8</cp:revision>
  <dcterms:created xsi:type="dcterms:W3CDTF">2025-03-19T17:41:00Z</dcterms:created>
  <dcterms:modified xsi:type="dcterms:W3CDTF">2025-04-12T18:37:00Z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